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BFF" w:rsidRDefault="00DF5BFF" w:rsidP="00870B7E">
      <w:pPr>
        <w:jc w:val="center"/>
        <w:rPr>
          <w:b/>
          <w:sz w:val="28"/>
        </w:rPr>
      </w:pPr>
    </w:p>
    <w:p w:rsidR="00DF5BFF" w:rsidRDefault="00DF5BFF" w:rsidP="00870B7E">
      <w:pPr>
        <w:jc w:val="center"/>
        <w:rPr>
          <w:b/>
          <w:sz w:val="28"/>
        </w:rPr>
      </w:pPr>
    </w:p>
    <w:p w:rsidR="00870B7E" w:rsidRPr="003B2899" w:rsidRDefault="00870B7E" w:rsidP="00870B7E">
      <w:pPr>
        <w:jc w:val="center"/>
        <w:rPr>
          <w:b/>
          <w:sz w:val="28"/>
          <w:szCs w:val="28"/>
        </w:rPr>
      </w:pPr>
      <w:r>
        <w:rPr>
          <w:b/>
          <w:sz w:val="28"/>
        </w:rPr>
        <w:t>UNIVERSITY OF WAIKATO</w:t>
      </w:r>
    </w:p>
    <w:p w:rsidR="00870B7E" w:rsidRDefault="00870B7E" w:rsidP="00870B7E">
      <w:pPr>
        <w:pStyle w:val="PlainText"/>
        <w:tabs>
          <w:tab w:val="left" w:pos="284"/>
        </w:tabs>
        <w:spacing w:line="288" w:lineRule="auto"/>
        <w:jc w:val="center"/>
        <w:rPr>
          <w:rFonts w:ascii="Times New Roman" w:hAnsi="Times New Roman"/>
          <w:b/>
          <w:sz w:val="28"/>
        </w:rPr>
      </w:pPr>
    </w:p>
    <w:p w:rsidR="00870B7E" w:rsidRDefault="00870B7E" w:rsidP="00870B7E">
      <w:pPr>
        <w:pStyle w:val="PlainText"/>
        <w:tabs>
          <w:tab w:val="left" w:pos="284"/>
        </w:tabs>
        <w:spacing w:line="288" w:lineRule="auto"/>
        <w:jc w:val="center"/>
        <w:rPr>
          <w:rFonts w:ascii="Times New Roman" w:hAnsi="Times New Roman"/>
          <w:b/>
          <w:sz w:val="28"/>
        </w:rPr>
      </w:pPr>
      <w:r>
        <w:rPr>
          <w:rFonts w:ascii="Times New Roman" w:hAnsi="Times New Roman"/>
          <w:b/>
          <w:sz w:val="28"/>
        </w:rPr>
        <w:t>Hamilton</w:t>
      </w:r>
    </w:p>
    <w:p w:rsidR="00870B7E" w:rsidRDefault="00870B7E" w:rsidP="00870B7E">
      <w:pPr>
        <w:pStyle w:val="PlainText"/>
        <w:tabs>
          <w:tab w:val="left" w:pos="284"/>
        </w:tabs>
        <w:spacing w:line="288" w:lineRule="auto"/>
        <w:jc w:val="center"/>
        <w:rPr>
          <w:rFonts w:ascii="Times New Roman" w:hAnsi="Times New Roman"/>
          <w:b/>
          <w:sz w:val="28"/>
        </w:rPr>
      </w:pPr>
      <w:smartTag w:uri="urn:schemas-microsoft-com:office:smarttags" w:element="place">
        <w:smartTag w:uri="urn:schemas-microsoft-com:office:smarttags" w:element="country-region">
          <w:r>
            <w:rPr>
              <w:rFonts w:ascii="Times New Roman" w:hAnsi="Times New Roman"/>
              <w:b/>
              <w:sz w:val="28"/>
            </w:rPr>
            <w:t>New Zealand</w:t>
          </w:r>
        </w:smartTag>
      </w:smartTag>
    </w:p>
    <w:p w:rsidR="00870B7E" w:rsidRDefault="00870B7E" w:rsidP="00870B7E">
      <w:pPr>
        <w:pStyle w:val="PlainText"/>
        <w:tabs>
          <w:tab w:val="left" w:pos="284"/>
        </w:tabs>
        <w:spacing w:line="288" w:lineRule="auto"/>
        <w:jc w:val="center"/>
        <w:rPr>
          <w:rFonts w:ascii="Times New Roman" w:hAnsi="Times New Roman"/>
          <w:b/>
          <w:sz w:val="28"/>
        </w:rPr>
      </w:pPr>
    </w:p>
    <w:p w:rsidR="00870B7E" w:rsidRDefault="00870B7E" w:rsidP="00870B7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sz w:val="28"/>
        </w:rPr>
      </w:pPr>
    </w:p>
    <w:p w:rsidR="00870B7E" w:rsidRDefault="00870B7E" w:rsidP="00870B7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 xml:space="preserve">Lost in Transition?  </w:t>
      </w:r>
    </w:p>
    <w:p w:rsidR="00870B7E" w:rsidRDefault="00870B7E" w:rsidP="00870B7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Declining Returns to Education in Vietnam</w:t>
      </w:r>
    </w:p>
    <w:p w:rsidR="00870B7E" w:rsidRDefault="00870B7E" w:rsidP="00870B7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28"/>
        </w:rPr>
      </w:pPr>
    </w:p>
    <w:p w:rsidR="00870B7E" w:rsidRDefault="00FB601E" w:rsidP="00870B7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28"/>
        </w:rPr>
      </w:pPr>
      <w:r>
        <w:rPr>
          <w:rFonts w:ascii="Times New Roman" w:hAnsi="Times New Roman"/>
          <w:bCs/>
          <w:sz w:val="28"/>
        </w:rPr>
        <w:t>Tinh Doan</w:t>
      </w:r>
      <w:r w:rsidR="0006119E">
        <w:rPr>
          <w:rFonts w:ascii="Times New Roman" w:hAnsi="Times New Roman"/>
          <w:bCs/>
          <w:sz w:val="28"/>
        </w:rPr>
        <w:t>,</w:t>
      </w:r>
      <w:r>
        <w:rPr>
          <w:rFonts w:ascii="Times New Roman" w:hAnsi="Times New Roman"/>
          <w:bCs/>
          <w:sz w:val="28"/>
        </w:rPr>
        <w:t xml:space="preserve"> Tran </w:t>
      </w:r>
      <w:proofErr w:type="spellStart"/>
      <w:r>
        <w:rPr>
          <w:rFonts w:ascii="Times New Roman" w:hAnsi="Times New Roman"/>
          <w:bCs/>
          <w:sz w:val="28"/>
        </w:rPr>
        <w:t>Quang</w:t>
      </w:r>
      <w:proofErr w:type="spellEnd"/>
      <w:r>
        <w:rPr>
          <w:rFonts w:ascii="Times New Roman" w:hAnsi="Times New Roman"/>
          <w:bCs/>
          <w:sz w:val="28"/>
        </w:rPr>
        <w:t xml:space="preserve"> </w:t>
      </w:r>
      <w:proofErr w:type="spellStart"/>
      <w:r>
        <w:rPr>
          <w:rFonts w:ascii="Times New Roman" w:hAnsi="Times New Roman"/>
          <w:bCs/>
          <w:sz w:val="28"/>
        </w:rPr>
        <w:t>Tuyen</w:t>
      </w:r>
      <w:proofErr w:type="spellEnd"/>
      <w:r w:rsidR="0006119E">
        <w:rPr>
          <w:rFonts w:ascii="Times New Roman" w:hAnsi="Times New Roman"/>
          <w:bCs/>
          <w:sz w:val="28"/>
        </w:rPr>
        <w:t xml:space="preserve"> and Le </w:t>
      </w:r>
      <w:proofErr w:type="spellStart"/>
      <w:r w:rsidR="0006119E">
        <w:rPr>
          <w:rFonts w:ascii="Times New Roman" w:hAnsi="Times New Roman"/>
          <w:bCs/>
          <w:sz w:val="28"/>
        </w:rPr>
        <w:t>Quan</w:t>
      </w:r>
      <w:proofErr w:type="spellEnd"/>
    </w:p>
    <w:p w:rsidR="00870B7E" w:rsidRPr="00343170" w:rsidRDefault="00870B7E" w:rsidP="00870B7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12"/>
          <w:szCs w:val="12"/>
        </w:rPr>
      </w:pPr>
    </w:p>
    <w:p w:rsidR="00870B7E" w:rsidRDefault="00870B7E" w:rsidP="00870B7E">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16"/>
        </w:rPr>
      </w:pPr>
    </w:p>
    <w:p w:rsidR="00870B7E" w:rsidRDefault="00870B7E" w:rsidP="00870B7E">
      <w:pPr>
        <w:pStyle w:val="PlainText"/>
        <w:tabs>
          <w:tab w:val="left" w:pos="284"/>
        </w:tabs>
        <w:spacing w:line="288" w:lineRule="auto"/>
        <w:jc w:val="both"/>
        <w:rPr>
          <w:rFonts w:ascii="Times New Roman" w:hAnsi="Times New Roman"/>
          <w:b/>
        </w:rPr>
      </w:pPr>
    </w:p>
    <w:p w:rsidR="00870B7E" w:rsidRDefault="00870B7E" w:rsidP="00870B7E">
      <w:pPr>
        <w:pStyle w:val="PlainText"/>
        <w:tabs>
          <w:tab w:val="left" w:pos="284"/>
        </w:tabs>
        <w:spacing w:line="288" w:lineRule="auto"/>
        <w:jc w:val="center"/>
        <w:rPr>
          <w:rFonts w:ascii="Times New Roman" w:hAnsi="Times New Roman"/>
          <w:b/>
          <w:bCs/>
          <w:sz w:val="28"/>
        </w:rPr>
      </w:pPr>
    </w:p>
    <w:p w:rsidR="00870B7E" w:rsidRDefault="00870B7E" w:rsidP="00870B7E">
      <w:pPr>
        <w:pStyle w:val="PlainText"/>
        <w:tabs>
          <w:tab w:val="left" w:pos="284"/>
        </w:tabs>
        <w:spacing w:line="288" w:lineRule="auto"/>
        <w:jc w:val="center"/>
        <w:rPr>
          <w:rFonts w:ascii="Times New Roman" w:hAnsi="Times New Roman"/>
          <w:b/>
          <w:bCs/>
          <w:sz w:val="28"/>
        </w:rPr>
      </w:pPr>
      <w:r>
        <w:rPr>
          <w:rFonts w:ascii="Times New Roman" w:hAnsi="Times New Roman"/>
          <w:b/>
          <w:bCs/>
          <w:sz w:val="28"/>
        </w:rPr>
        <w:t>Department of Economics</w:t>
      </w:r>
    </w:p>
    <w:p w:rsidR="00870B7E" w:rsidRDefault="00DF5BFF" w:rsidP="00870B7E">
      <w:pPr>
        <w:pStyle w:val="PlainText"/>
        <w:tabs>
          <w:tab w:val="left" w:pos="284"/>
        </w:tabs>
        <w:spacing w:line="288" w:lineRule="auto"/>
        <w:jc w:val="center"/>
        <w:rPr>
          <w:rFonts w:ascii="Times New Roman" w:hAnsi="Times New Roman"/>
          <w:b/>
          <w:bCs/>
          <w:sz w:val="28"/>
        </w:rPr>
      </w:pPr>
      <w:r>
        <w:rPr>
          <w:rFonts w:ascii="Times New Roman" w:hAnsi="Times New Roman"/>
          <w:b/>
          <w:bCs/>
          <w:sz w:val="28"/>
        </w:rPr>
        <w:t>Working Paper in Economics 01/16</w:t>
      </w:r>
    </w:p>
    <w:p w:rsidR="00870B7E" w:rsidRDefault="00870B7E" w:rsidP="00870B7E">
      <w:pPr>
        <w:pStyle w:val="PlainText"/>
        <w:tabs>
          <w:tab w:val="left" w:pos="284"/>
        </w:tabs>
        <w:spacing w:line="288" w:lineRule="auto"/>
        <w:jc w:val="center"/>
        <w:rPr>
          <w:rFonts w:ascii="Times New Roman" w:hAnsi="Times New Roman"/>
          <w:sz w:val="28"/>
        </w:rPr>
      </w:pPr>
    </w:p>
    <w:p w:rsidR="00870B7E" w:rsidRDefault="00C11981" w:rsidP="00870B7E">
      <w:pPr>
        <w:pStyle w:val="PlainText"/>
        <w:tabs>
          <w:tab w:val="left" w:pos="284"/>
        </w:tabs>
        <w:spacing w:line="288" w:lineRule="auto"/>
        <w:jc w:val="center"/>
        <w:rPr>
          <w:rFonts w:ascii="Times New Roman" w:hAnsi="Times New Roman"/>
          <w:sz w:val="28"/>
        </w:rPr>
      </w:pPr>
      <w:r>
        <w:rPr>
          <w:rFonts w:ascii="Times New Roman" w:hAnsi="Times New Roman"/>
          <w:sz w:val="28"/>
        </w:rPr>
        <w:t>March</w:t>
      </w:r>
      <w:r w:rsidR="00DF5BFF">
        <w:rPr>
          <w:rFonts w:ascii="Times New Roman" w:hAnsi="Times New Roman"/>
          <w:sz w:val="28"/>
        </w:rPr>
        <w:t xml:space="preserve"> 2016</w:t>
      </w:r>
    </w:p>
    <w:p w:rsidR="00870B7E" w:rsidRDefault="00870B7E" w:rsidP="00870B7E">
      <w:pPr>
        <w:pStyle w:val="PlainText"/>
        <w:tabs>
          <w:tab w:val="left" w:pos="284"/>
        </w:tabs>
        <w:spacing w:line="288" w:lineRule="auto"/>
        <w:jc w:val="center"/>
        <w:rPr>
          <w:rFonts w:ascii="Times New Roman" w:hAnsi="Times New Roman"/>
        </w:rPr>
      </w:pPr>
    </w:p>
    <w:p w:rsidR="00870B7E" w:rsidRDefault="00870B7E" w:rsidP="00870B7E">
      <w:pPr>
        <w:pStyle w:val="PlainText"/>
        <w:tabs>
          <w:tab w:val="left" w:pos="284"/>
        </w:tabs>
        <w:spacing w:line="288" w:lineRule="auto"/>
        <w:jc w:val="center"/>
        <w:rPr>
          <w:rFonts w:ascii="Times New Roman" w:hAnsi="Times New Roman"/>
          <w:i/>
          <w:iCs/>
          <w:sz w:val="22"/>
        </w:rPr>
      </w:pPr>
      <w:r>
        <w:rPr>
          <w:rFonts w:ascii="Times New Roman" w:hAnsi="Times New Roman"/>
          <w:i/>
          <w:iCs/>
          <w:sz w:val="22"/>
        </w:rPr>
        <w:t>Corresponding Author</w:t>
      </w:r>
    </w:p>
    <w:p w:rsidR="00870B7E" w:rsidRPr="00994F63" w:rsidRDefault="00870B7E" w:rsidP="00870B7E">
      <w:pPr>
        <w:pStyle w:val="PlainText"/>
        <w:tabs>
          <w:tab w:val="left" w:pos="284"/>
        </w:tabs>
        <w:spacing w:line="288" w:lineRule="auto"/>
        <w:jc w:val="center"/>
        <w:rPr>
          <w:rFonts w:ascii="Times New Roman" w:hAnsi="Times New Roman"/>
          <w:b/>
          <w:bCs/>
          <w:sz w:val="6"/>
          <w:szCs w:val="6"/>
        </w:rPr>
      </w:pPr>
    </w:p>
    <w:p w:rsidR="00870B7E" w:rsidRDefault="00870B7E" w:rsidP="00870B7E">
      <w:pPr>
        <w:pStyle w:val="PlainText"/>
        <w:tabs>
          <w:tab w:val="left" w:pos="284"/>
        </w:tabs>
        <w:spacing w:line="288" w:lineRule="auto"/>
        <w:jc w:val="center"/>
        <w:rPr>
          <w:rFonts w:ascii="Times New Roman" w:hAnsi="Times New Roman"/>
          <w:b/>
          <w:bCs/>
          <w:sz w:val="22"/>
        </w:rPr>
      </w:pPr>
      <w:r>
        <w:rPr>
          <w:rFonts w:ascii="Times New Roman" w:hAnsi="Times New Roman"/>
          <w:b/>
          <w:bCs/>
          <w:sz w:val="22"/>
        </w:rPr>
        <w:t>Tinh Doan</w:t>
      </w:r>
    </w:p>
    <w:p w:rsidR="00870B7E" w:rsidRDefault="00870B7E" w:rsidP="00870B7E">
      <w:pPr>
        <w:pStyle w:val="PlainText"/>
        <w:tabs>
          <w:tab w:val="left" w:pos="284"/>
        </w:tabs>
        <w:jc w:val="center"/>
        <w:rPr>
          <w:rFonts w:ascii="Times New Roman" w:hAnsi="Times New Roman"/>
          <w:sz w:val="22"/>
        </w:rPr>
      </w:pPr>
      <w:r>
        <w:rPr>
          <w:rFonts w:ascii="Times New Roman" w:hAnsi="Times New Roman"/>
          <w:sz w:val="22"/>
        </w:rPr>
        <w:t>Economics Department</w:t>
      </w:r>
    </w:p>
    <w:p w:rsidR="00870B7E" w:rsidRDefault="00870B7E" w:rsidP="00870B7E">
      <w:pPr>
        <w:pStyle w:val="PlainText"/>
        <w:tabs>
          <w:tab w:val="left" w:pos="284"/>
        </w:tabs>
        <w:jc w:val="center"/>
        <w:rPr>
          <w:rFonts w:ascii="Times New Roman" w:hAnsi="Times New Roman"/>
          <w:sz w:val="22"/>
        </w:rPr>
      </w:pPr>
      <w:r>
        <w:rPr>
          <w:rFonts w:ascii="Times New Roman" w:hAnsi="Times New Roman"/>
          <w:sz w:val="22"/>
        </w:rPr>
        <w:t>University of Waikato</w:t>
      </w:r>
    </w:p>
    <w:p w:rsidR="00870B7E" w:rsidRDefault="00870B7E" w:rsidP="00870B7E">
      <w:pPr>
        <w:pStyle w:val="PlainText"/>
        <w:tabs>
          <w:tab w:val="left" w:pos="284"/>
        </w:tabs>
        <w:jc w:val="center"/>
        <w:rPr>
          <w:rFonts w:ascii="Times New Roman" w:hAnsi="Times New Roman"/>
          <w:sz w:val="22"/>
        </w:rPr>
      </w:pPr>
      <w:r>
        <w:rPr>
          <w:rFonts w:ascii="Times New Roman" w:hAnsi="Times New Roman"/>
          <w:sz w:val="22"/>
        </w:rPr>
        <w:t>Hamilton</w:t>
      </w:r>
    </w:p>
    <w:p w:rsidR="00870B7E" w:rsidRPr="00AC03D0" w:rsidRDefault="00870B7E" w:rsidP="00870B7E">
      <w:pPr>
        <w:pStyle w:val="PlainText"/>
        <w:tabs>
          <w:tab w:val="left" w:pos="284"/>
        </w:tabs>
        <w:jc w:val="center"/>
        <w:rPr>
          <w:rFonts w:ascii="Times New Roman" w:hAnsi="Times New Roman"/>
          <w:sz w:val="10"/>
          <w:szCs w:val="10"/>
        </w:rPr>
      </w:pPr>
      <w:r>
        <w:rPr>
          <w:rFonts w:ascii="Times New Roman" w:hAnsi="Times New Roman"/>
          <w:sz w:val="22"/>
        </w:rPr>
        <w:t>NEW ZEALAND, 3240</w:t>
      </w:r>
    </w:p>
    <w:p w:rsidR="00870B7E" w:rsidRDefault="00870B7E" w:rsidP="00870B7E">
      <w:pPr>
        <w:pStyle w:val="PlainText"/>
        <w:tabs>
          <w:tab w:val="left" w:pos="284"/>
        </w:tabs>
        <w:jc w:val="center"/>
        <w:rPr>
          <w:rFonts w:ascii="Times New Roman" w:hAnsi="Times New Roman"/>
          <w:i/>
          <w:sz w:val="22"/>
        </w:rPr>
      </w:pPr>
      <w:r>
        <w:rPr>
          <w:rFonts w:ascii="Times New Roman" w:hAnsi="Times New Roman"/>
          <w:i/>
          <w:sz w:val="22"/>
        </w:rPr>
        <w:t>a</w:t>
      </w:r>
      <w:r w:rsidRPr="003B2899">
        <w:rPr>
          <w:rFonts w:ascii="Times New Roman" w:hAnsi="Times New Roman"/>
          <w:i/>
          <w:sz w:val="22"/>
        </w:rPr>
        <w:t>nd</w:t>
      </w:r>
    </w:p>
    <w:p w:rsidR="0006119E" w:rsidRDefault="0006119E" w:rsidP="00870B7E">
      <w:pPr>
        <w:pStyle w:val="PlainText"/>
        <w:tabs>
          <w:tab w:val="left" w:pos="284"/>
        </w:tabs>
        <w:jc w:val="center"/>
        <w:rPr>
          <w:rFonts w:ascii="Times New Roman" w:hAnsi="Times New Roman"/>
          <w:sz w:val="22"/>
        </w:rPr>
      </w:pPr>
      <w:r w:rsidRPr="007659D7">
        <w:rPr>
          <w:rFonts w:ascii="Times New Roman" w:hAnsi="Times New Roman" w:cs="Times New Roman"/>
          <w:sz w:val="24"/>
          <w:szCs w:val="24"/>
        </w:rPr>
        <w:t>University of Economics</w:t>
      </w:r>
      <w:r>
        <w:rPr>
          <w:rFonts w:ascii="Times New Roman" w:hAnsi="Times New Roman" w:cs="Times New Roman"/>
          <w:sz w:val="24"/>
          <w:szCs w:val="24"/>
        </w:rPr>
        <w:t xml:space="preserve"> and Business</w:t>
      </w:r>
      <w:r w:rsidRPr="007659D7">
        <w:rPr>
          <w:rFonts w:ascii="Times New Roman" w:hAnsi="Times New Roman" w:cs="Times New Roman"/>
          <w:sz w:val="24"/>
          <w:szCs w:val="24"/>
        </w:rPr>
        <w:t>, VNU</w:t>
      </w:r>
    </w:p>
    <w:p w:rsidR="00870B7E" w:rsidRDefault="00FB601E" w:rsidP="00870B7E">
      <w:pPr>
        <w:pStyle w:val="PlainText"/>
        <w:tabs>
          <w:tab w:val="left" w:pos="284"/>
        </w:tabs>
        <w:jc w:val="center"/>
        <w:rPr>
          <w:rFonts w:ascii="Times New Roman" w:hAnsi="Times New Roman"/>
          <w:sz w:val="22"/>
        </w:rPr>
      </w:pPr>
      <w:r>
        <w:rPr>
          <w:rFonts w:ascii="Times New Roman" w:hAnsi="Times New Roman"/>
          <w:sz w:val="22"/>
        </w:rPr>
        <w:t xml:space="preserve"> </w:t>
      </w:r>
      <w:r w:rsidR="00870B7E">
        <w:rPr>
          <w:rFonts w:ascii="Times New Roman" w:hAnsi="Times New Roman"/>
          <w:sz w:val="22"/>
        </w:rPr>
        <w:t>Hanoi</w:t>
      </w:r>
      <w:r w:rsidR="0006119E">
        <w:rPr>
          <w:rFonts w:ascii="Times New Roman" w:hAnsi="Times New Roman"/>
          <w:sz w:val="22"/>
        </w:rPr>
        <w:t xml:space="preserve">, </w:t>
      </w:r>
      <w:r w:rsidR="00870B7E">
        <w:rPr>
          <w:rFonts w:ascii="Times New Roman" w:hAnsi="Times New Roman"/>
          <w:sz w:val="22"/>
        </w:rPr>
        <w:t>VIETNAM</w:t>
      </w:r>
    </w:p>
    <w:p w:rsidR="00870B7E" w:rsidRDefault="00870B7E" w:rsidP="00870B7E">
      <w:pPr>
        <w:pStyle w:val="PlainText"/>
        <w:tabs>
          <w:tab w:val="left" w:pos="284"/>
        </w:tabs>
        <w:jc w:val="center"/>
        <w:rPr>
          <w:rFonts w:ascii="Times New Roman" w:hAnsi="Times New Roman"/>
          <w:sz w:val="24"/>
          <w:szCs w:val="24"/>
        </w:rPr>
      </w:pPr>
      <w:r>
        <w:rPr>
          <w:rFonts w:ascii="Times New Roman" w:hAnsi="Times New Roman"/>
          <w:sz w:val="24"/>
          <w:szCs w:val="24"/>
        </w:rPr>
        <w:t>Email: tinhd</w:t>
      </w:r>
      <w:r w:rsidRPr="008E09C3">
        <w:rPr>
          <w:rFonts w:ascii="Times New Roman" w:hAnsi="Times New Roman"/>
          <w:sz w:val="24"/>
          <w:szCs w:val="24"/>
        </w:rPr>
        <w:t>oan@waikato.ac.nz</w:t>
      </w:r>
      <w:r>
        <w:rPr>
          <w:rFonts w:ascii="Times New Roman" w:hAnsi="Times New Roman"/>
          <w:sz w:val="24"/>
          <w:szCs w:val="24"/>
        </w:rPr>
        <w:t xml:space="preserve"> </w:t>
      </w:r>
    </w:p>
    <w:p w:rsidR="00870B7E" w:rsidRPr="003B2899" w:rsidRDefault="00870B7E" w:rsidP="00870B7E">
      <w:pPr>
        <w:pStyle w:val="PlainText"/>
        <w:tabs>
          <w:tab w:val="left" w:pos="284"/>
        </w:tabs>
        <w:jc w:val="center"/>
        <w:rPr>
          <w:rFonts w:ascii="Times New Roman" w:hAnsi="Times New Roman"/>
          <w:sz w:val="24"/>
          <w:szCs w:val="24"/>
        </w:rPr>
      </w:pPr>
    </w:p>
    <w:p w:rsidR="00870B7E" w:rsidRPr="007659D7" w:rsidRDefault="00870B7E" w:rsidP="00870B7E">
      <w:pPr>
        <w:pStyle w:val="PlainText"/>
        <w:tabs>
          <w:tab w:val="left" w:pos="0"/>
          <w:tab w:val="left" w:pos="284"/>
          <w:tab w:val="left" w:pos="426"/>
        </w:tabs>
        <w:spacing w:line="288" w:lineRule="auto"/>
        <w:jc w:val="center"/>
        <w:rPr>
          <w:rFonts w:ascii="Times New Roman" w:hAnsi="Times New Roman"/>
          <w:b/>
          <w:bCs/>
          <w:iCs/>
          <w:sz w:val="24"/>
          <w:szCs w:val="24"/>
        </w:rPr>
      </w:pPr>
      <w:r w:rsidRPr="007659D7">
        <w:rPr>
          <w:rFonts w:ascii="Times New Roman" w:hAnsi="Times New Roman"/>
          <w:b/>
          <w:bCs/>
          <w:iCs/>
          <w:sz w:val="24"/>
          <w:szCs w:val="24"/>
        </w:rPr>
        <w:t xml:space="preserve">Tran </w:t>
      </w:r>
      <w:proofErr w:type="spellStart"/>
      <w:r w:rsidRPr="007659D7">
        <w:rPr>
          <w:rFonts w:ascii="Times New Roman" w:hAnsi="Times New Roman"/>
          <w:b/>
          <w:bCs/>
          <w:iCs/>
          <w:sz w:val="24"/>
          <w:szCs w:val="24"/>
        </w:rPr>
        <w:t>Quang</w:t>
      </w:r>
      <w:proofErr w:type="spellEnd"/>
      <w:r w:rsidRPr="007659D7">
        <w:rPr>
          <w:rFonts w:ascii="Times New Roman" w:hAnsi="Times New Roman"/>
          <w:b/>
          <w:bCs/>
          <w:iCs/>
          <w:sz w:val="24"/>
          <w:szCs w:val="24"/>
        </w:rPr>
        <w:t xml:space="preserve"> </w:t>
      </w:r>
      <w:proofErr w:type="spellStart"/>
      <w:r w:rsidRPr="007659D7">
        <w:rPr>
          <w:rFonts w:ascii="Times New Roman" w:hAnsi="Times New Roman"/>
          <w:b/>
          <w:bCs/>
          <w:iCs/>
          <w:sz w:val="24"/>
          <w:szCs w:val="24"/>
        </w:rPr>
        <w:t>Tuyen</w:t>
      </w:r>
      <w:proofErr w:type="spellEnd"/>
    </w:p>
    <w:p w:rsidR="0006119E" w:rsidRDefault="0006119E" w:rsidP="00870B7E">
      <w:pPr>
        <w:pStyle w:val="PlainText"/>
        <w:tabs>
          <w:tab w:val="left" w:pos="284"/>
        </w:tabs>
        <w:jc w:val="center"/>
        <w:rPr>
          <w:rFonts w:ascii="Times New Roman" w:hAnsi="Times New Roman"/>
          <w:sz w:val="22"/>
        </w:rPr>
      </w:pPr>
      <w:r w:rsidRPr="007659D7">
        <w:rPr>
          <w:rFonts w:ascii="Times New Roman" w:hAnsi="Times New Roman" w:cs="Times New Roman"/>
          <w:sz w:val="24"/>
          <w:szCs w:val="24"/>
        </w:rPr>
        <w:t>University of Economics</w:t>
      </w:r>
      <w:r>
        <w:rPr>
          <w:rFonts w:ascii="Times New Roman" w:hAnsi="Times New Roman" w:cs="Times New Roman"/>
          <w:sz w:val="24"/>
          <w:szCs w:val="24"/>
        </w:rPr>
        <w:t xml:space="preserve"> and Business</w:t>
      </w:r>
      <w:r w:rsidRPr="007659D7">
        <w:rPr>
          <w:rFonts w:ascii="Times New Roman" w:hAnsi="Times New Roman" w:cs="Times New Roman"/>
          <w:sz w:val="24"/>
          <w:szCs w:val="24"/>
        </w:rPr>
        <w:t>, VNU</w:t>
      </w:r>
    </w:p>
    <w:p w:rsidR="00870B7E" w:rsidRDefault="00870B7E" w:rsidP="00870B7E">
      <w:pPr>
        <w:pStyle w:val="PlainText"/>
        <w:tabs>
          <w:tab w:val="left" w:pos="284"/>
        </w:tabs>
        <w:jc w:val="center"/>
        <w:rPr>
          <w:rFonts w:ascii="Times New Roman" w:hAnsi="Times New Roman"/>
          <w:sz w:val="22"/>
        </w:rPr>
      </w:pPr>
      <w:r>
        <w:rPr>
          <w:rFonts w:ascii="Times New Roman" w:hAnsi="Times New Roman"/>
          <w:sz w:val="22"/>
        </w:rPr>
        <w:t xml:space="preserve"> Hanoi</w:t>
      </w:r>
      <w:r w:rsidR="0006119E">
        <w:rPr>
          <w:rFonts w:ascii="Times New Roman" w:hAnsi="Times New Roman"/>
          <w:sz w:val="22"/>
        </w:rPr>
        <w:t xml:space="preserve">, </w:t>
      </w:r>
      <w:r>
        <w:rPr>
          <w:rFonts w:ascii="Times New Roman" w:hAnsi="Times New Roman"/>
          <w:sz w:val="22"/>
        </w:rPr>
        <w:t>VIETNAM</w:t>
      </w:r>
    </w:p>
    <w:p w:rsidR="005B42C8" w:rsidRPr="007659D7" w:rsidRDefault="005B42C8" w:rsidP="005B42C8">
      <w:pPr>
        <w:pStyle w:val="PlainText"/>
        <w:tabs>
          <w:tab w:val="left" w:pos="284"/>
          <w:tab w:val="left" w:pos="426"/>
        </w:tabs>
        <w:spacing w:line="288"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Pr="005B42C8">
        <w:rPr>
          <w:rFonts w:ascii="Times New Roman" w:hAnsi="Times New Roman" w:cs="Times New Roman"/>
          <w:sz w:val="24"/>
          <w:szCs w:val="24"/>
        </w:rPr>
        <w:t>tuyentran@uvn.edu.vn</w:t>
      </w:r>
    </w:p>
    <w:p w:rsidR="00870B7E" w:rsidRDefault="00870B7E" w:rsidP="00870B7E">
      <w:pPr>
        <w:jc w:val="center"/>
        <w:rPr>
          <w:b/>
          <w:bCs/>
        </w:rPr>
      </w:pPr>
    </w:p>
    <w:p w:rsidR="0006119E" w:rsidRDefault="0006119E" w:rsidP="0006119E">
      <w:pPr>
        <w:widowControl w:val="0"/>
        <w:autoSpaceDE w:val="0"/>
        <w:autoSpaceDN w:val="0"/>
        <w:adjustRightInd w:val="0"/>
        <w:jc w:val="center"/>
        <w:rPr>
          <w:b/>
          <w:bCs/>
        </w:rPr>
      </w:pPr>
      <w:r>
        <w:rPr>
          <w:b/>
          <w:bCs/>
        </w:rPr>
        <w:t xml:space="preserve">Le </w:t>
      </w:r>
      <w:proofErr w:type="spellStart"/>
      <w:r>
        <w:rPr>
          <w:b/>
          <w:bCs/>
        </w:rPr>
        <w:t>Quan</w:t>
      </w:r>
      <w:proofErr w:type="spellEnd"/>
    </w:p>
    <w:p w:rsidR="0006119E" w:rsidRDefault="0006119E" w:rsidP="0006119E">
      <w:pPr>
        <w:widowControl w:val="0"/>
        <w:autoSpaceDE w:val="0"/>
        <w:autoSpaceDN w:val="0"/>
        <w:adjustRightInd w:val="0"/>
        <w:jc w:val="center"/>
      </w:pPr>
      <w:r w:rsidRPr="007659D7">
        <w:t>University of Economics</w:t>
      </w:r>
      <w:r>
        <w:t xml:space="preserve"> and Business</w:t>
      </w:r>
      <w:r w:rsidRPr="007659D7">
        <w:t xml:space="preserve">, VNU </w:t>
      </w:r>
    </w:p>
    <w:p w:rsidR="0006119E" w:rsidRDefault="0006119E" w:rsidP="0006119E">
      <w:pPr>
        <w:widowControl w:val="0"/>
        <w:autoSpaceDE w:val="0"/>
        <w:autoSpaceDN w:val="0"/>
        <w:adjustRightInd w:val="0"/>
        <w:jc w:val="center"/>
        <w:rPr>
          <w:b/>
          <w:bCs/>
        </w:rPr>
      </w:pPr>
      <w:r>
        <w:t xml:space="preserve">Hanoi, </w:t>
      </w:r>
      <w:r w:rsidR="00020074">
        <w:rPr>
          <w:sz w:val="22"/>
        </w:rPr>
        <w:t>VIETNAM</w:t>
      </w:r>
    </w:p>
    <w:p w:rsidR="0006119E" w:rsidRPr="0006119E" w:rsidRDefault="0006119E" w:rsidP="00870B7E">
      <w:pPr>
        <w:jc w:val="center"/>
        <w:rPr>
          <w:bCs/>
        </w:rPr>
      </w:pPr>
      <w:r>
        <w:rPr>
          <w:bCs/>
        </w:rPr>
        <w:t xml:space="preserve">Email: </w:t>
      </w:r>
      <w:bookmarkStart w:id="0" w:name="_GoBack"/>
      <w:r w:rsidRPr="0006119E">
        <w:rPr>
          <w:bCs/>
        </w:rPr>
        <w:t>lequan@edu.vn</w:t>
      </w:r>
      <w:bookmarkEnd w:id="0"/>
    </w:p>
    <w:p w:rsidR="00870B7E" w:rsidRPr="00D91F67" w:rsidRDefault="00870B7E" w:rsidP="00870B7E">
      <w:pPr>
        <w:pStyle w:val="Caption"/>
      </w:pPr>
    </w:p>
    <w:p w:rsidR="00870B7E" w:rsidRPr="00D91F67" w:rsidRDefault="00870B7E" w:rsidP="00870B7E">
      <w:pPr>
        <w:pStyle w:val="Caption"/>
      </w:pPr>
    </w:p>
    <w:p w:rsidR="00870B7E" w:rsidRPr="00D91F67" w:rsidRDefault="00870B7E" w:rsidP="00870B7E">
      <w:pPr>
        <w:pStyle w:val="Caption"/>
      </w:pPr>
    </w:p>
    <w:p w:rsidR="00870B7E" w:rsidRPr="00D91F67" w:rsidRDefault="00870B7E" w:rsidP="00870B7E">
      <w:pPr>
        <w:pStyle w:val="Caption"/>
      </w:pPr>
    </w:p>
    <w:p w:rsidR="00870B7E" w:rsidRDefault="00870B7E" w:rsidP="00870B7E">
      <w:pPr>
        <w:pStyle w:val="Caption"/>
      </w:pPr>
    </w:p>
    <w:p w:rsidR="00870B7E" w:rsidRDefault="00870B7E" w:rsidP="00870B7E">
      <w:pPr>
        <w:pStyle w:val="Caption"/>
      </w:pPr>
    </w:p>
    <w:p w:rsidR="00870B7E" w:rsidRDefault="00870B7E" w:rsidP="00870B7E">
      <w:pPr>
        <w:pStyle w:val="Caption"/>
      </w:pPr>
    </w:p>
    <w:p w:rsidR="00870B7E" w:rsidRDefault="00870B7E" w:rsidP="00870B7E">
      <w:pPr>
        <w:pStyle w:val="Caption"/>
      </w:pPr>
    </w:p>
    <w:p w:rsidR="00870B7E" w:rsidRDefault="00870B7E" w:rsidP="00870B7E">
      <w:pPr>
        <w:pStyle w:val="Caption"/>
      </w:pPr>
    </w:p>
    <w:p w:rsidR="00870B7E" w:rsidRPr="00D91F67" w:rsidRDefault="00870B7E" w:rsidP="00870B7E">
      <w:pPr>
        <w:pStyle w:val="Caption"/>
      </w:pPr>
      <w:r w:rsidRPr="00D91F67">
        <w:t>Abstract</w:t>
      </w:r>
    </w:p>
    <w:p w:rsidR="00870B7E" w:rsidRDefault="00870B7E" w:rsidP="00870B7E">
      <w:pPr>
        <w:pStyle w:val="BodyText"/>
        <w:tabs>
          <w:tab w:val="left" w:pos="426"/>
        </w:tabs>
        <w:spacing w:after="0" w:line="360" w:lineRule="auto"/>
      </w:pPr>
    </w:p>
    <w:p w:rsidR="005B42C8" w:rsidRDefault="00390F02" w:rsidP="00586EB8">
      <w:pPr>
        <w:widowControl w:val="0"/>
        <w:tabs>
          <w:tab w:val="left" w:pos="284"/>
          <w:tab w:val="left" w:pos="426"/>
        </w:tabs>
        <w:overflowPunct w:val="0"/>
        <w:autoSpaceDE w:val="0"/>
        <w:autoSpaceDN w:val="0"/>
        <w:adjustRightInd w:val="0"/>
        <w:spacing w:line="360" w:lineRule="auto"/>
        <w:jc w:val="both"/>
      </w:pPr>
      <w:r>
        <w:t xml:space="preserve">There is </w:t>
      </w:r>
      <w:r w:rsidR="00521BEA">
        <w:t xml:space="preserve">evidence of </w:t>
      </w:r>
      <w:r>
        <w:t>a rapid</w:t>
      </w:r>
      <w:r w:rsidR="00521BEA">
        <w:t xml:space="preserve"> increase in the returns to education in </w:t>
      </w:r>
      <w:r w:rsidR="007E785F">
        <w:t xml:space="preserve">Vietnam in </w:t>
      </w:r>
      <w:r>
        <w:t xml:space="preserve">the </w:t>
      </w:r>
      <w:r w:rsidR="00521BEA">
        <w:t xml:space="preserve">1990s </w:t>
      </w:r>
      <w:r w:rsidR="007E785F">
        <w:t>and 2000s</w:t>
      </w:r>
      <w:r>
        <w:t>. T</w:t>
      </w:r>
      <w:r w:rsidR="00521BEA">
        <w:t xml:space="preserve">here </w:t>
      </w:r>
      <w:r>
        <w:t xml:space="preserve">was </w:t>
      </w:r>
      <w:r w:rsidR="00521BEA">
        <w:t xml:space="preserve">a </w:t>
      </w:r>
      <w:r>
        <w:t xml:space="preserve">substantial </w:t>
      </w:r>
      <w:r w:rsidR="00521BEA">
        <w:t xml:space="preserve">change in education policy </w:t>
      </w:r>
      <w:r w:rsidR="007E785F">
        <w:t xml:space="preserve">in the 2000s, </w:t>
      </w:r>
      <w:r w:rsidR="00521BEA">
        <w:t xml:space="preserve">especially opening </w:t>
      </w:r>
      <w:r w:rsidR="00482036">
        <w:t>up</w:t>
      </w:r>
      <w:r>
        <w:t xml:space="preserve"> </w:t>
      </w:r>
      <w:r w:rsidR="00521BEA">
        <w:t>education opportunities for education providers to expand educati</w:t>
      </w:r>
      <w:r w:rsidR="007E785F">
        <w:t>onal facilities and training</w:t>
      </w:r>
      <w:r>
        <w:t xml:space="preserve">. </w:t>
      </w:r>
      <w:r w:rsidR="007E785F">
        <w:t xml:space="preserve"> These changes </w:t>
      </w:r>
      <w:r>
        <w:t xml:space="preserve">could </w:t>
      </w:r>
      <w:r w:rsidR="00521BEA">
        <w:t xml:space="preserve">lead to a decline in the returns to education. To provide up-to-date estimates of the returns, we re-visit </w:t>
      </w:r>
      <w:r>
        <w:t>the returns using updated large-</w:t>
      </w:r>
      <w:r w:rsidR="00521BEA">
        <w:t xml:space="preserve">scale survey data to 2014. We apply the Heckman selection estimators to correct for selection bias and find that the return </w:t>
      </w:r>
      <w:r>
        <w:t xml:space="preserve">to education in Vietnam </w:t>
      </w:r>
      <w:r w:rsidR="00521BEA">
        <w:t>increased quickly up to the global fin</w:t>
      </w:r>
      <w:r>
        <w:t xml:space="preserve">ancial crisis in 2008/2009 and </w:t>
      </w:r>
      <w:r w:rsidR="00521BEA">
        <w:t xml:space="preserve">declined sharply </w:t>
      </w:r>
      <w:r w:rsidR="00020074">
        <w:t xml:space="preserve">thereafter. This raises at least two </w:t>
      </w:r>
      <w:r w:rsidR="00521BEA">
        <w:t>question</w:t>
      </w:r>
      <w:r>
        <w:t>s</w:t>
      </w:r>
      <w:r w:rsidR="008315B9">
        <w:t xml:space="preserve">: is </w:t>
      </w:r>
      <w:r>
        <w:t>the higher-</w:t>
      </w:r>
      <w:r w:rsidR="007E785F">
        <w:t xml:space="preserve">educated labour force </w:t>
      </w:r>
      <w:r w:rsidR="00521BEA">
        <w:t xml:space="preserve">oversupplied or is </w:t>
      </w:r>
      <w:r w:rsidR="008315B9">
        <w:t xml:space="preserve">there a </w:t>
      </w:r>
      <w:r w:rsidR="00521BEA">
        <w:t>large distortion in</w:t>
      </w:r>
      <w:r>
        <w:t xml:space="preserve"> the labour market</w:t>
      </w:r>
      <w:r w:rsidR="008315B9">
        <w:t>?</w:t>
      </w:r>
    </w:p>
    <w:p w:rsidR="005B42C8" w:rsidRDefault="005B42C8" w:rsidP="00586EB8">
      <w:pPr>
        <w:widowControl w:val="0"/>
        <w:tabs>
          <w:tab w:val="left" w:pos="284"/>
          <w:tab w:val="left" w:pos="426"/>
        </w:tabs>
        <w:autoSpaceDE w:val="0"/>
        <w:autoSpaceDN w:val="0"/>
        <w:adjustRightInd w:val="0"/>
        <w:spacing w:line="360" w:lineRule="auto"/>
      </w:pPr>
    </w:p>
    <w:p w:rsidR="00870B7E" w:rsidRDefault="00870B7E" w:rsidP="00870B7E">
      <w:pPr>
        <w:tabs>
          <w:tab w:val="left" w:pos="426"/>
        </w:tabs>
        <w:spacing w:line="288" w:lineRule="auto"/>
        <w:jc w:val="center"/>
        <w:rPr>
          <w:b/>
        </w:rPr>
      </w:pPr>
    </w:p>
    <w:p w:rsidR="00870B7E" w:rsidRDefault="00870B7E" w:rsidP="00870B7E">
      <w:pPr>
        <w:tabs>
          <w:tab w:val="left" w:pos="426"/>
        </w:tabs>
        <w:spacing w:line="288" w:lineRule="auto"/>
        <w:jc w:val="center"/>
        <w:rPr>
          <w:b/>
        </w:rPr>
      </w:pPr>
    </w:p>
    <w:p w:rsidR="00870B7E" w:rsidRDefault="00870B7E" w:rsidP="00870B7E">
      <w:pPr>
        <w:tabs>
          <w:tab w:val="left" w:pos="426"/>
        </w:tabs>
        <w:spacing w:line="288" w:lineRule="auto"/>
        <w:jc w:val="center"/>
        <w:rPr>
          <w:b/>
        </w:rPr>
      </w:pPr>
      <w:r w:rsidRPr="00D91F67">
        <w:rPr>
          <w:b/>
        </w:rPr>
        <w:t>JEL Classification</w:t>
      </w:r>
    </w:p>
    <w:p w:rsidR="00870B7E" w:rsidRPr="008E0CBB" w:rsidRDefault="00870B7E" w:rsidP="00870B7E">
      <w:pPr>
        <w:tabs>
          <w:tab w:val="left" w:pos="426"/>
        </w:tabs>
        <w:spacing w:line="288" w:lineRule="auto"/>
        <w:jc w:val="center"/>
        <w:rPr>
          <w:b/>
          <w:sz w:val="12"/>
          <w:szCs w:val="12"/>
        </w:rPr>
      </w:pPr>
    </w:p>
    <w:p w:rsidR="005B42C8" w:rsidRDefault="005B42C8" w:rsidP="005B42C8">
      <w:pPr>
        <w:tabs>
          <w:tab w:val="left" w:pos="284"/>
          <w:tab w:val="left" w:pos="426"/>
        </w:tabs>
        <w:spacing w:line="288" w:lineRule="auto"/>
        <w:jc w:val="center"/>
        <w:rPr>
          <w:bCs/>
        </w:rPr>
      </w:pPr>
      <w:r>
        <w:rPr>
          <w:iCs/>
        </w:rPr>
        <w:t>C52,</w:t>
      </w:r>
      <w:r>
        <w:rPr>
          <w:i/>
          <w:iCs/>
        </w:rPr>
        <w:t xml:space="preserve"> </w:t>
      </w:r>
      <w:r>
        <w:rPr>
          <w:iCs/>
        </w:rPr>
        <w:t xml:space="preserve">I26, J21, </w:t>
      </w:r>
      <w:r>
        <w:t>J31</w:t>
      </w:r>
    </w:p>
    <w:p w:rsidR="00870B7E" w:rsidRDefault="00870B7E" w:rsidP="00870B7E"/>
    <w:p w:rsidR="00870B7E" w:rsidRPr="00D91F67" w:rsidRDefault="00870B7E" w:rsidP="00870B7E"/>
    <w:p w:rsidR="00870B7E" w:rsidRDefault="00870B7E" w:rsidP="00870B7E">
      <w:pPr>
        <w:pStyle w:val="Caption"/>
      </w:pPr>
      <w:r w:rsidRPr="00D91F67">
        <w:t>Keywords</w:t>
      </w:r>
    </w:p>
    <w:p w:rsidR="00870B7E" w:rsidRPr="00586EB8" w:rsidRDefault="00870B7E" w:rsidP="00870B7E">
      <w:pPr>
        <w:pStyle w:val="Caption"/>
        <w:rPr>
          <w:sz w:val="12"/>
          <w:szCs w:val="12"/>
        </w:rPr>
      </w:pPr>
    </w:p>
    <w:p w:rsidR="005B42C8" w:rsidRDefault="005B42C8" w:rsidP="005B42C8">
      <w:pPr>
        <w:widowControl w:val="0"/>
        <w:tabs>
          <w:tab w:val="left" w:pos="284"/>
          <w:tab w:val="left" w:pos="426"/>
        </w:tabs>
        <w:autoSpaceDE w:val="0"/>
        <w:autoSpaceDN w:val="0"/>
        <w:adjustRightInd w:val="0"/>
        <w:spacing w:line="288" w:lineRule="auto"/>
        <w:jc w:val="center"/>
      </w:pPr>
      <w:proofErr w:type="gramStart"/>
      <w:r>
        <w:t>economic</w:t>
      </w:r>
      <w:proofErr w:type="gramEnd"/>
      <w:r>
        <w:t xml:space="preserve"> transformation</w:t>
      </w:r>
    </w:p>
    <w:p w:rsidR="005B42C8" w:rsidRDefault="005B42C8" w:rsidP="005B42C8">
      <w:pPr>
        <w:widowControl w:val="0"/>
        <w:tabs>
          <w:tab w:val="left" w:pos="284"/>
          <w:tab w:val="left" w:pos="426"/>
        </w:tabs>
        <w:autoSpaceDE w:val="0"/>
        <w:autoSpaceDN w:val="0"/>
        <w:adjustRightInd w:val="0"/>
        <w:spacing w:line="288" w:lineRule="auto"/>
        <w:jc w:val="center"/>
      </w:pPr>
      <w:r>
        <w:t>returns to education</w:t>
      </w:r>
    </w:p>
    <w:p w:rsidR="005B42C8" w:rsidRDefault="005B42C8" w:rsidP="005B42C8">
      <w:pPr>
        <w:widowControl w:val="0"/>
        <w:tabs>
          <w:tab w:val="left" w:pos="284"/>
          <w:tab w:val="left" w:pos="426"/>
        </w:tabs>
        <w:autoSpaceDE w:val="0"/>
        <w:autoSpaceDN w:val="0"/>
        <w:adjustRightInd w:val="0"/>
        <w:spacing w:line="288" w:lineRule="auto"/>
        <w:jc w:val="center"/>
      </w:pPr>
      <w:r>
        <w:t>education supply</w:t>
      </w:r>
    </w:p>
    <w:p w:rsidR="005B42C8" w:rsidRDefault="005B42C8" w:rsidP="005B42C8">
      <w:pPr>
        <w:widowControl w:val="0"/>
        <w:tabs>
          <w:tab w:val="left" w:pos="284"/>
          <w:tab w:val="left" w:pos="426"/>
        </w:tabs>
        <w:autoSpaceDE w:val="0"/>
        <w:autoSpaceDN w:val="0"/>
        <w:adjustRightInd w:val="0"/>
        <w:spacing w:line="288" w:lineRule="auto"/>
        <w:jc w:val="center"/>
      </w:pPr>
      <w:r>
        <w:t>wage setting</w:t>
      </w:r>
    </w:p>
    <w:p w:rsidR="005B42C8" w:rsidRDefault="005B42C8" w:rsidP="005B42C8">
      <w:pPr>
        <w:widowControl w:val="0"/>
        <w:tabs>
          <w:tab w:val="left" w:pos="284"/>
          <w:tab w:val="left" w:pos="426"/>
        </w:tabs>
        <w:autoSpaceDE w:val="0"/>
        <w:autoSpaceDN w:val="0"/>
        <w:adjustRightInd w:val="0"/>
        <w:spacing w:line="288" w:lineRule="auto"/>
        <w:jc w:val="center"/>
      </w:pPr>
      <w:r>
        <w:t>Vietnam</w:t>
      </w:r>
    </w:p>
    <w:p w:rsidR="00870B7E" w:rsidRPr="00D91F67" w:rsidRDefault="00870B7E" w:rsidP="00870B7E">
      <w:pPr>
        <w:pStyle w:val="Caption"/>
      </w:pPr>
    </w:p>
    <w:p w:rsidR="00833416" w:rsidRDefault="00833416" w:rsidP="005A2C59">
      <w:pPr>
        <w:widowControl w:val="0"/>
        <w:tabs>
          <w:tab w:val="left" w:pos="284"/>
          <w:tab w:val="left" w:pos="426"/>
        </w:tabs>
        <w:autoSpaceDE w:val="0"/>
        <w:autoSpaceDN w:val="0"/>
        <w:adjustRightInd w:val="0"/>
        <w:spacing w:line="288" w:lineRule="auto"/>
        <w:jc w:val="center"/>
        <w:rPr>
          <w:b/>
          <w:bCs/>
          <w:sz w:val="26"/>
          <w:szCs w:val="26"/>
        </w:rPr>
      </w:pPr>
    </w:p>
    <w:p w:rsidR="00521BEA" w:rsidRDefault="00521BEA">
      <w:pPr>
        <w:rPr>
          <w:b/>
          <w:bCs/>
          <w:sz w:val="26"/>
          <w:szCs w:val="26"/>
        </w:rPr>
      </w:pPr>
      <w:r>
        <w:rPr>
          <w:b/>
          <w:bCs/>
          <w:sz w:val="26"/>
          <w:szCs w:val="26"/>
        </w:rPr>
        <w:br w:type="page"/>
      </w:r>
    </w:p>
    <w:p w:rsidR="006A7D38" w:rsidRDefault="009871AF" w:rsidP="009871AF">
      <w:pPr>
        <w:widowControl w:val="0"/>
        <w:tabs>
          <w:tab w:val="left" w:pos="284"/>
        </w:tabs>
        <w:autoSpaceDE w:val="0"/>
        <w:autoSpaceDN w:val="0"/>
        <w:adjustRightInd w:val="0"/>
        <w:spacing w:line="288" w:lineRule="auto"/>
        <w:rPr>
          <w:b/>
        </w:rPr>
      </w:pPr>
      <w:r>
        <w:rPr>
          <w:b/>
        </w:rPr>
        <w:lastRenderedPageBreak/>
        <w:t>1. Introduction</w:t>
      </w:r>
    </w:p>
    <w:p w:rsidR="009871AF" w:rsidRPr="009871AF" w:rsidRDefault="009871AF" w:rsidP="009871AF">
      <w:pPr>
        <w:widowControl w:val="0"/>
        <w:tabs>
          <w:tab w:val="left" w:pos="284"/>
        </w:tabs>
        <w:autoSpaceDE w:val="0"/>
        <w:autoSpaceDN w:val="0"/>
        <w:adjustRightInd w:val="0"/>
        <w:spacing w:line="288" w:lineRule="auto"/>
        <w:rPr>
          <w:b/>
          <w:sz w:val="12"/>
          <w:szCs w:val="12"/>
        </w:rPr>
      </w:pPr>
    </w:p>
    <w:p w:rsidR="007C2CCF" w:rsidRDefault="007C2CCF" w:rsidP="005A2C59">
      <w:pPr>
        <w:widowControl w:val="0"/>
        <w:tabs>
          <w:tab w:val="left" w:pos="284"/>
          <w:tab w:val="left" w:pos="426"/>
        </w:tabs>
        <w:overflowPunct w:val="0"/>
        <w:autoSpaceDE w:val="0"/>
        <w:autoSpaceDN w:val="0"/>
        <w:adjustRightInd w:val="0"/>
        <w:spacing w:line="288" w:lineRule="auto"/>
        <w:jc w:val="both"/>
      </w:pPr>
      <w:r w:rsidRPr="00217069">
        <w:t>Higher return to schooling is an incentive for investment in education (</w:t>
      </w:r>
      <w:proofErr w:type="spellStart"/>
      <w:r w:rsidRPr="00217069">
        <w:t>Psacharopoulos</w:t>
      </w:r>
      <w:proofErr w:type="spellEnd"/>
      <w:r w:rsidR="00957FC4" w:rsidRPr="00217069">
        <w:t xml:space="preserve"> </w:t>
      </w:r>
      <w:r w:rsidR="003C53BC">
        <w:t>and</w:t>
      </w:r>
      <w:r w:rsidR="00957FC4" w:rsidRPr="00217069">
        <w:t xml:space="preserve"> </w:t>
      </w:r>
      <w:proofErr w:type="spellStart"/>
      <w:r w:rsidR="00957FC4" w:rsidRPr="00217069">
        <w:t>Patrinos</w:t>
      </w:r>
      <w:proofErr w:type="spellEnd"/>
      <w:r w:rsidR="00CF4142">
        <w:t xml:space="preserve"> </w:t>
      </w:r>
      <w:r w:rsidRPr="00217069">
        <w:t xml:space="preserve">2004). </w:t>
      </w:r>
      <w:r w:rsidR="00957FC4" w:rsidRPr="00217069">
        <w:t>Increasingly, governments and other agencies have used retu</w:t>
      </w:r>
      <w:r w:rsidR="004F2898">
        <w:t>rns to education to guide macro-</w:t>
      </w:r>
      <w:r w:rsidR="00957FC4" w:rsidRPr="00217069">
        <w:t>policy decision</w:t>
      </w:r>
      <w:r w:rsidR="004F2898">
        <w:t>s</w:t>
      </w:r>
      <w:r w:rsidR="00957FC4" w:rsidRPr="00217069">
        <w:t xml:space="preserve"> about funding education and </w:t>
      </w:r>
      <w:r w:rsidR="007659D7">
        <w:t xml:space="preserve">education </w:t>
      </w:r>
      <w:r w:rsidR="00CF4142">
        <w:t>reforms (OE</w:t>
      </w:r>
      <w:r w:rsidR="0006119E">
        <w:t>C</w:t>
      </w:r>
      <w:r w:rsidR="00CF4142">
        <w:t xml:space="preserve">D </w:t>
      </w:r>
      <w:r w:rsidR="00957FC4" w:rsidRPr="00217069">
        <w:t xml:space="preserve"> 2003). Returns to education are a useful indicator of the productivity of education and </w:t>
      </w:r>
      <w:r w:rsidR="004F2898">
        <w:t xml:space="preserve">an </w:t>
      </w:r>
      <w:r w:rsidR="00957FC4" w:rsidRPr="00217069">
        <w:t>incen</w:t>
      </w:r>
      <w:r w:rsidR="007659D7">
        <w:t xml:space="preserve">tive for investing in education and </w:t>
      </w:r>
      <w:r w:rsidR="00957FC4" w:rsidRPr="00217069">
        <w:t>human capital</w:t>
      </w:r>
      <w:r w:rsidR="007659D7">
        <w:t xml:space="preserve"> formation</w:t>
      </w:r>
      <w:r w:rsidR="00957FC4" w:rsidRPr="00217069">
        <w:t xml:space="preserve">. </w:t>
      </w:r>
      <w:r w:rsidR="00E76F8E">
        <w:t>The l</w:t>
      </w:r>
      <w:r w:rsidRPr="00217069">
        <w:t xml:space="preserve">owering </w:t>
      </w:r>
      <w:r w:rsidR="00E76F8E">
        <w:t xml:space="preserve">of </w:t>
      </w:r>
      <w:r w:rsidRPr="00217069">
        <w:t>returns to education has some important implications</w:t>
      </w:r>
      <w:r w:rsidR="004F2898">
        <w:t>,</w:t>
      </w:r>
      <w:r w:rsidRPr="00217069">
        <w:t xml:space="preserve"> such as increasing </w:t>
      </w:r>
      <w:r w:rsidR="004F2898">
        <w:t xml:space="preserve">the </w:t>
      </w:r>
      <w:r w:rsidRPr="00217069">
        <w:t>s</w:t>
      </w:r>
      <w:r w:rsidR="004F2898">
        <w:t xml:space="preserve">upply of educated labour </w:t>
      </w:r>
      <w:r w:rsidRPr="00217069">
        <w:t xml:space="preserve">or </w:t>
      </w:r>
      <w:r w:rsidR="007659D7" w:rsidRPr="00217069">
        <w:t>distortion</w:t>
      </w:r>
      <w:r w:rsidR="007E785F">
        <w:t>s</w:t>
      </w:r>
      <w:r w:rsidR="007659D7" w:rsidRPr="00217069">
        <w:t xml:space="preserve"> </w:t>
      </w:r>
      <w:r w:rsidR="007659D7">
        <w:t xml:space="preserve">in </w:t>
      </w:r>
      <w:r w:rsidR="007E785F">
        <w:t xml:space="preserve">the </w:t>
      </w:r>
      <w:r w:rsidRPr="00217069">
        <w:t xml:space="preserve">labour market and/or </w:t>
      </w:r>
      <w:r w:rsidR="007E785F">
        <w:t xml:space="preserve">mismatching in </w:t>
      </w:r>
      <w:r w:rsidR="00E76F8E">
        <w:t xml:space="preserve">the </w:t>
      </w:r>
      <w:r w:rsidR="007E785F">
        <w:t xml:space="preserve">labour market </w:t>
      </w:r>
      <w:r w:rsidR="007659D7">
        <w:t xml:space="preserve">and </w:t>
      </w:r>
      <w:r w:rsidRPr="00217069">
        <w:t>out-dated ski</w:t>
      </w:r>
      <w:r w:rsidR="004F2898">
        <w:t xml:space="preserve">lls in training. These outcomes may </w:t>
      </w:r>
      <w:r w:rsidRPr="00217069">
        <w:t xml:space="preserve">send a negative signal to </w:t>
      </w:r>
      <w:r w:rsidR="007659D7" w:rsidRPr="00217069">
        <w:t xml:space="preserve">investment </w:t>
      </w:r>
      <w:r w:rsidR="007659D7">
        <w:t xml:space="preserve">in </w:t>
      </w:r>
      <w:r w:rsidRPr="00217069">
        <w:t>human capital format</w:t>
      </w:r>
      <w:r w:rsidR="004F2898">
        <w:t>ion especially higher education.</w:t>
      </w:r>
    </w:p>
    <w:p w:rsidR="006A7D38" w:rsidRPr="00217069" w:rsidRDefault="006A7D38" w:rsidP="005A2C59">
      <w:pPr>
        <w:widowControl w:val="0"/>
        <w:tabs>
          <w:tab w:val="left" w:pos="284"/>
          <w:tab w:val="left" w:pos="426"/>
        </w:tabs>
        <w:overflowPunct w:val="0"/>
        <w:autoSpaceDE w:val="0"/>
        <w:autoSpaceDN w:val="0"/>
        <w:adjustRightInd w:val="0"/>
        <w:spacing w:line="288" w:lineRule="auto"/>
        <w:jc w:val="both"/>
      </w:pPr>
    </w:p>
    <w:p w:rsidR="005D5F6E" w:rsidRDefault="005A2C59" w:rsidP="005A2C59">
      <w:pPr>
        <w:widowControl w:val="0"/>
        <w:tabs>
          <w:tab w:val="left" w:pos="426"/>
        </w:tabs>
        <w:overflowPunct w:val="0"/>
        <w:autoSpaceDE w:val="0"/>
        <w:autoSpaceDN w:val="0"/>
        <w:adjustRightInd w:val="0"/>
        <w:spacing w:line="288" w:lineRule="auto"/>
        <w:jc w:val="both"/>
      </w:pPr>
      <w:r>
        <w:tab/>
      </w:r>
      <w:r w:rsidR="005D5F6E" w:rsidRPr="00217069">
        <w:t xml:space="preserve">A </w:t>
      </w:r>
      <w:r w:rsidR="00957FC4" w:rsidRPr="00217069">
        <w:t xml:space="preserve">common trend </w:t>
      </w:r>
      <w:r w:rsidR="00E76F8E">
        <w:t>regarding</w:t>
      </w:r>
      <w:r w:rsidR="005D5F6E" w:rsidRPr="00217069">
        <w:t xml:space="preserve"> transition economies is that the returns to schooling tend to rise as economic reform progresses </w:t>
      </w:r>
      <w:r w:rsidR="00EF4A8E" w:rsidRPr="00217069">
        <w:t xml:space="preserve">especially in early economic transition </w:t>
      </w:r>
      <w:r w:rsidR="0072294E">
        <w:t>(</w:t>
      </w:r>
      <w:proofErr w:type="spellStart"/>
      <w:r w:rsidR="0072294E">
        <w:t>Orazem</w:t>
      </w:r>
      <w:proofErr w:type="spellEnd"/>
      <w:r w:rsidR="0072294E">
        <w:t xml:space="preserve"> and </w:t>
      </w:r>
      <w:proofErr w:type="spellStart"/>
      <w:r w:rsidR="0072294E">
        <w:t>Vodopivec</w:t>
      </w:r>
      <w:proofErr w:type="spellEnd"/>
      <w:r w:rsidR="0072294E">
        <w:t xml:space="preserve"> 1995,</w:t>
      </w:r>
      <w:r w:rsidR="005D5F6E" w:rsidRPr="00217069">
        <w:t xml:space="preserve"> </w:t>
      </w:r>
      <w:r w:rsidR="003D469E" w:rsidRPr="00217069">
        <w:t>Fle</w:t>
      </w:r>
      <w:r w:rsidR="003D469E">
        <w:t xml:space="preserve">isher, </w:t>
      </w:r>
      <w:proofErr w:type="spellStart"/>
      <w:r w:rsidR="003D469E">
        <w:t>Sabirianova</w:t>
      </w:r>
      <w:proofErr w:type="spellEnd"/>
      <w:r w:rsidR="003D469E">
        <w:t xml:space="preserve"> and Wang 2005, </w:t>
      </w:r>
      <w:r w:rsidR="003D469E" w:rsidRPr="00217069">
        <w:t>M</w:t>
      </w:r>
      <w:r w:rsidR="003D469E">
        <w:t xml:space="preserve">unich, </w:t>
      </w:r>
      <w:proofErr w:type="spellStart"/>
      <w:r w:rsidR="003D469E">
        <w:t>Svejnar</w:t>
      </w:r>
      <w:proofErr w:type="spellEnd"/>
      <w:r w:rsidR="003D469E">
        <w:t xml:space="preserve"> and Terrell 2005, </w:t>
      </w:r>
      <w:proofErr w:type="spellStart"/>
      <w:r w:rsidR="0072294E">
        <w:t>Flabbi</w:t>
      </w:r>
      <w:proofErr w:type="spellEnd"/>
      <w:r w:rsidR="0072294E">
        <w:t xml:space="preserve">, </w:t>
      </w:r>
      <w:proofErr w:type="spellStart"/>
      <w:r w:rsidR="0072294E">
        <w:t>Paternostro</w:t>
      </w:r>
      <w:proofErr w:type="spellEnd"/>
      <w:r w:rsidR="0072294E">
        <w:t xml:space="preserve"> and </w:t>
      </w:r>
      <w:proofErr w:type="spellStart"/>
      <w:r w:rsidR="0072294E">
        <w:t>Tiongson</w:t>
      </w:r>
      <w:proofErr w:type="spellEnd"/>
      <w:r w:rsidR="00EF4A8E" w:rsidRPr="00217069">
        <w:t xml:space="preserve"> 2008</w:t>
      </w:r>
      <w:r w:rsidR="0072294E">
        <w:t>,</w:t>
      </w:r>
      <w:r w:rsidR="00BD4B70" w:rsidRPr="00217069">
        <w:rPr>
          <w:rStyle w:val="FootnoteReference"/>
        </w:rPr>
        <w:footnoteReference w:id="1"/>
      </w:r>
      <w:r w:rsidR="00EF4A8E" w:rsidRPr="00217069">
        <w:rPr>
          <w:b/>
        </w:rPr>
        <w:t xml:space="preserve"> </w:t>
      </w:r>
      <w:r w:rsidR="0072294E">
        <w:t xml:space="preserve">Colclough, </w:t>
      </w:r>
      <w:proofErr w:type="spellStart"/>
      <w:r w:rsidR="0072294E">
        <w:t>Kingdon</w:t>
      </w:r>
      <w:proofErr w:type="spellEnd"/>
      <w:r w:rsidR="0072294E">
        <w:t xml:space="preserve"> and </w:t>
      </w:r>
      <w:proofErr w:type="spellStart"/>
      <w:r w:rsidR="0072294E">
        <w:t>Patrinos</w:t>
      </w:r>
      <w:proofErr w:type="spellEnd"/>
      <w:r w:rsidR="005D5F6E" w:rsidRPr="00217069">
        <w:t xml:space="preserve"> 2010</w:t>
      </w:r>
      <w:r w:rsidR="0072294E">
        <w:t>,</w:t>
      </w:r>
      <w:r w:rsidR="007C2CCF" w:rsidRPr="00217069">
        <w:t xml:space="preserve"> </w:t>
      </w:r>
      <w:r w:rsidR="0072294E">
        <w:t>Doan and Gibson 2012,</w:t>
      </w:r>
      <w:r w:rsidR="007C2CCF" w:rsidRPr="00217069">
        <w:t xml:space="preserve"> </w:t>
      </w:r>
      <w:proofErr w:type="spellStart"/>
      <w:r w:rsidR="001B2DD7">
        <w:t>Večerník</w:t>
      </w:r>
      <w:proofErr w:type="spellEnd"/>
      <w:r w:rsidR="00C719AF" w:rsidRPr="00217069">
        <w:t xml:space="preserve"> 2013</w:t>
      </w:r>
      <w:r w:rsidR="00E76F8E">
        <w:t>). The trend</w:t>
      </w:r>
      <w:r w:rsidR="005D5F6E" w:rsidRPr="00217069">
        <w:t xml:space="preserve"> marks the movement away from distorted labour markets and the effects of longer-term changes in patterns of human capital formation.</w:t>
      </w:r>
      <w:r w:rsidR="00957FC4" w:rsidRPr="00217069">
        <w:t xml:space="preserve"> </w:t>
      </w:r>
    </w:p>
    <w:p w:rsidR="006A7D38" w:rsidRPr="004F2628" w:rsidRDefault="006A7D38" w:rsidP="005A2C59">
      <w:pPr>
        <w:widowControl w:val="0"/>
        <w:tabs>
          <w:tab w:val="left" w:pos="284"/>
          <w:tab w:val="left" w:pos="426"/>
        </w:tabs>
        <w:overflowPunct w:val="0"/>
        <w:autoSpaceDE w:val="0"/>
        <w:autoSpaceDN w:val="0"/>
        <w:adjustRightInd w:val="0"/>
        <w:spacing w:line="288" w:lineRule="auto"/>
        <w:jc w:val="both"/>
        <w:rPr>
          <w:sz w:val="20"/>
          <w:szCs w:val="20"/>
        </w:rPr>
      </w:pPr>
    </w:p>
    <w:p w:rsidR="00EB2302" w:rsidRDefault="006A7D38" w:rsidP="005A2C59">
      <w:pPr>
        <w:widowControl w:val="0"/>
        <w:tabs>
          <w:tab w:val="left" w:pos="284"/>
          <w:tab w:val="left" w:pos="426"/>
        </w:tabs>
        <w:overflowPunct w:val="0"/>
        <w:autoSpaceDE w:val="0"/>
        <w:autoSpaceDN w:val="0"/>
        <w:adjustRightInd w:val="0"/>
        <w:spacing w:line="288" w:lineRule="auto"/>
        <w:jc w:val="both"/>
      </w:pPr>
      <w:r>
        <w:tab/>
      </w:r>
      <w:r w:rsidR="005A2C59">
        <w:tab/>
      </w:r>
      <w:r w:rsidR="00957FC4" w:rsidRPr="00217069">
        <w:t xml:space="preserve">There </w:t>
      </w:r>
      <w:r w:rsidR="00E76F8E">
        <w:t xml:space="preserve">is a </w:t>
      </w:r>
      <w:r w:rsidR="00957FC4" w:rsidRPr="00217069">
        <w:t>consensus that</w:t>
      </w:r>
      <w:r w:rsidR="00E76F8E">
        <w:t xml:space="preserve"> in the early stage of transition,</w:t>
      </w:r>
      <w:r w:rsidR="00957FC4" w:rsidRPr="00217069">
        <w:t xml:space="preserve"> the returns to education increase </w:t>
      </w:r>
      <w:r w:rsidR="007659D7">
        <w:t>as</w:t>
      </w:r>
      <w:r w:rsidR="00957FC4" w:rsidRPr="00217069">
        <w:t xml:space="preserve"> well as wage inequality. The argument is that market liberalization and competition leads to increasing returns to education</w:t>
      </w:r>
      <w:r w:rsidR="007659D7">
        <w:t xml:space="preserve"> where education is valued more effectively</w:t>
      </w:r>
      <w:r w:rsidR="004A6D6B">
        <w:t>. T</w:t>
      </w:r>
      <w:r w:rsidR="00957FC4" w:rsidRPr="00217069">
        <w:t xml:space="preserve">here is a link between returns to education and </w:t>
      </w:r>
      <w:r w:rsidR="004A6D6B">
        <w:t xml:space="preserve">the </w:t>
      </w:r>
      <w:r w:rsidR="00957FC4" w:rsidRPr="00217069">
        <w:t>speed of economic reform</w:t>
      </w:r>
      <w:r w:rsidR="004A6D6B">
        <w:t xml:space="preserve"> and </w:t>
      </w:r>
      <w:r w:rsidR="007E0139" w:rsidRPr="00217069">
        <w:t>the size of the state sect</w:t>
      </w:r>
      <w:r w:rsidR="004A6D6B">
        <w:t xml:space="preserve">or </w:t>
      </w:r>
      <w:r w:rsidR="00957FC4" w:rsidRPr="00217069">
        <w:t>(</w:t>
      </w:r>
      <w:r w:rsidR="0072294E">
        <w:t>Yang 2004,</w:t>
      </w:r>
      <w:r w:rsidR="007E0139" w:rsidRPr="00217069">
        <w:t xml:space="preserve"> </w:t>
      </w:r>
      <w:r w:rsidR="00957FC4" w:rsidRPr="00217069">
        <w:t xml:space="preserve">Fleisher, </w:t>
      </w:r>
      <w:proofErr w:type="spellStart"/>
      <w:r w:rsidR="00957FC4" w:rsidRPr="00217069">
        <w:t>Sabirianova</w:t>
      </w:r>
      <w:proofErr w:type="spellEnd"/>
      <w:r w:rsidR="00957FC4" w:rsidRPr="00217069">
        <w:t xml:space="preserve"> </w:t>
      </w:r>
      <w:r w:rsidR="0072294E">
        <w:t>and Wang</w:t>
      </w:r>
      <w:r w:rsidR="00957FC4" w:rsidRPr="00217069">
        <w:t xml:space="preserve"> 2005)</w:t>
      </w:r>
      <w:r w:rsidR="00D45A60" w:rsidRPr="00217069">
        <w:t xml:space="preserve">. </w:t>
      </w:r>
      <w:r w:rsidR="00EB2302">
        <w:t xml:space="preserve"> R</w:t>
      </w:r>
      <w:r w:rsidR="007E0139" w:rsidRPr="00217069">
        <w:t>eturn</w:t>
      </w:r>
      <w:r w:rsidR="00EB2302">
        <w:t xml:space="preserve">s are </w:t>
      </w:r>
      <w:r w:rsidR="007E0139" w:rsidRPr="00217069">
        <w:t xml:space="preserve">determined by </w:t>
      </w:r>
      <w:r w:rsidR="00EB2302">
        <w:t xml:space="preserve">the </w:t>
      </w:r>
      <w:r w:rsidR="008E0406">
        <w:t xml:space="preserve">interaction between </w:t>
      </w:r>
      <w:r w:rsidR="007E0139" w:rsidRPr="00217069">
        <w:t>supply factors</w:t>
      </w:r>
      <w:r w:rsidR="00EB2302">
        <w:t>,</w:t>
      </w:r>
      <w:r w:rsidR="007E0139" w:rsidRPr="00217069">
        <w:t xml:space="preserve"> such as relative supply of skilled workers</w:t>
      </w:r>
      <w:r w:rsidR="00EB2302">
        <w:t>,</w:t>
      </w:r>
      <w:r w:rsidR="007E0139" w:rsidRPr="00217069">
        <w:t xml:space="preserve"> and demand factors</w:t>
      </w:r>
      <w:r w:rsidR="0072294E">
        <w:t xml:space="preserve">, </w:t>
      </w:r>
      <w:r w:rsidR="00EB2302">
        <w:t>such as skill</w:t>
      </w:r>
      <w:r w:rsidR="007E0139" w:rsidRPr="00217069">
        <w:t xml:space="preserve"> requirements </w:t>
      </w:r>
      <w:r w:rsidR="00833416">
        <w:t xml:space="preserve">due to technology change (Katz </w:t>
      </w:r>
      <w:r w:rsidR="0072294E">
        <w:t xml:space="preserve">and </w:t>
      </w:r>
      <w:proofErr w:type="spellStart"/>
      <w:r w:rsidR="0072294E">
        <w:t>Autor</w:t>
      </w:r>
      <w:proofErr w:type="spellEnd"/>
      <w:r w:rsidR="0072294E">
        <w:t xml:space="preserve"> 1999,</w:t>
      </w:r>
      <w:r w:rsidR="007E0139" w:rsidRPr="00217069">
        <w:t xml:space="preserve"> Heckman</w:t>
      </w:r>
      <w:r w:rsidR="008E0406">
        <w:t>,</w:t>
      </w:r>
      <w:r w:rsidR="00833416">
        <w:t xml:space="preserve"> Loch</w:t>
      </w:r>
      <w:r w:rsidR="0072294E">
        <w:t xml:space="preserve"> and Todd</w:t>
      </w:r>
      <w:r w:rsidR="007E0139" w:rsidRPr="00217069">
        <w:t xml:space="preserve"> 2003). </w:t>
      </w:r>
      <w:r w:rsidR="00EB2302">
        <w:t xml:space="preserve"> </w:t>
      </w:r>
    </w:p>
    <w:p w:rsidR="00EB2302" w:rsidRPr="004F2628" w:rsidRDefault="00EB2302" w:rsidP="005A2C59">
      <w:pPr>
        <w:widowControl w:val="0"/>
        <w:tabs>
          <w:tab w:val="left" w:pos="284"/>
          <w:tab w:val="left" w:pos="426"/>
        </w:tabs>
        <w:overflowPunct w:val="0"/>
        <w:autoSpaceDE w:val="0"/>
        <w:autoSpaceDN w:val="0"/>
        <w:adjustRightInd w:val="0"/>
        <w:spacing w:line="288" w:lineRule="auto"/>
        <w:jc w:val="both"/>
        <w:rPr>
          <w:sz w:val="20"/>
          <w:szCs w:val="20"/>
        </w:rPr>
      </w:pPr>
    </w:p>
    <w:p w:rsidR="007E0139" w:rsidRDefault="00EB2302" w:rsidP="005A2C59">
      <w:pPr>
        <w:widowControl w:val="0"/>
        <w:tabs>
          <w:tab w:val="left" w:pos="284"/>
          <w:tab w:val="left" w:pos="426"/>
        </w:tabs>
        <w:overflowPunct w:val="0"/>
        <w:autoSpaceDE w:val="0"/>
        <w:autoSpaceDN w:val="0"/>
        <w:adjustRightInd w:val="0"/>
        <w:spacing w:line="288" w:lineRule="auto"/>
        <w:jc w:val="both"/>
      </w:pPr>
      <w:r>
        <w:tab/>
      </w:r>
      <w:r>
        <w:tab/>
      </w:r>
      <w:r w:rsidR="007E0139" w:rsidRPr="00217069">
        <w:t>I</w:t>
      </w:r>
      <w:r>
        <w:t>n advanced industrial countries, or well-functioning</w:t>
      </w:r>
      <w:r w:rsidR="007E0139" w:rsidRPr="00217069">
        <w:t xml:space="preserve"> markets, the returns to education </w:t>
      </w:r>
      <w:r w:rsidR="007659D7">
        <w:t xml:space="preserve">or </w:t>
      </w:r>
      <w:r w:rsidR="007E0139" w:rsidRPr="00217069">
        <w:t>human capital and physical capital tend to be equated at the marg</w:t>
      </w:r>
      <w:r w:rsidR="0072294E">
        <w:t>in (</w:t>
      </w:r>
      <w:proofErr w:type="spellStart"/>
      <w:r w:rsidR="0072294E">
        <w:t>Psacharopoulos</w:t>
      </w:r>
      <w:proofErr w:type="spellEnd"/>
      <w:r w:rsidR="0072294E">
        <w:t xml:space="preserve"> and </w:t>
      </w:r>
      <w:proofErr w:type="spellStart"/>
      <w:r w:rsidR="0072294E">
        <w:t>Patrinos</w:t>
      </w:r>
      <w:proofErr w:type="spellEnd"/>
      <w:r w:rsidR="007E0139" w:rsidRPr="00217069">
        <w:t xml:space="preserve"> 2004). </w:t>
      </w:r>
      <w:proofErr w:type="spellStart"/>
      <w:r w:rsidR="007E0139" w:rsidRPr="00217069">
        <w:t>Psacharopoulos</w:t>
      </w:r>
      <w:proofErr w:type="spellEnd"/>
      <w:r w:rsidR="007E0139" w:rsidRPr="00217069">
        <w:t xml:space="preserve"> (1994</w:t>
      </w:r>
      <w:r w:rsidR="008E0406">
        <w:t>)</w:t>
      </w:r>
      <w:r w:rsidR="007E0139" w:rsidRPr="00217069">
        <w:t xml:space="preserve"> and </w:t>
      </w:r>
      <w:proofErr w:type="spellStart"/>
      <w:r w:rsidR="008E0406" w:rsidRPr="00217069">
        <w:t>Psacharopoulos</w:t>
      </w:r>
      <w:proofErr w:type="spellEnd"/>
      <w:r w:rsidR="008E0406" w:rsidRPr="00217069">
        <w:t xml:space="preserve"> </w:t>
      </w:r>
      <w:r w:rsidR="008E0406">
        <w:t xml:space="preserve">and </w:t>
      </w:r>
      <w:proofErr w:type="spellStart"/>
      <w:r w:rsidR="008E0406">
        <w:t>Patrinos</w:t>
      </w:r>
      <w:proofErr w:type="spellEnd"/>
      <w:r w:rsidR="008E0406">
        <w:t xml:space="preserve"> (</w:t>
      </w:r>
      <w:r w:rsidR="007E0139" w:rsidRPr="00217069">
        <w:t>2004) report</w:t>
      </w:r>
      <w:r w:rsidR="008E0406">
        <w:t xml:space="preserve"> an </w:t>
      </w:r>
      <w:r w:rsidR="007E0139" w:rsidRPr="00217069">
        <w:t xml:space="preserve">average return to education </w:t>
      </w:r>
      <w:r w:rsidR="008E0406">
        <w:t xml:space="preserve">of </w:t>
      </w:r>
      <w:r w:rsidR="007E0139" w:rsidRPr="00217069">
        <w:t>about 10% for the world and 9.6% for Asia. For low and middle income countries</w:t>
      </w:r>
      <w:r>
        <w:t>,</w:t>
      </w:r>
      <w:r w:rsidR="007E0139" w:rsidRPr="00217069">
        <w:t xml:space="preserve"> the return is hi</w:t>
      </w:r>
      <w:r w:rsidR="00EE3646">
        <w:t>gher at between 11.2% and 11.7% per additional year of schooling.</w:t>
      </w:r>
    </w:p>
    <w:p w:rsidR="00EB2302" w:rsidRPr="004F2628" w:rsidRDefault="00EB2302" w:rsidP="005A2C59">
      <w:pPr>
        <w:widowControl w:val="0"/>
        <w:tabs>
          <w:tab w:val="left" w:pos="284"/>
          <w:tab w:val="left" w:pos="426"/>
        </w:tabs>
        <w:overflowPunct w:val="0"/>
        <w:autoSpaceDE w:val="0"/>
        <w:autoSpaceDN w:val="0"/>
        <w:adjustRightInd w:val="0"/>
        <w:spacing w:line="288" w:lineRule="auto"/>
        <w:jc w:val="both"/>
        <w:rPr>
          <w:sz w:val="20"/>
          <w:szCs w:val="20"/>
        </w:rPr>
      </w:pPr>
    </w:p>
    <w:p w:rsidR="00D45A60" w:rsidRDefault="00BE5A87" w:rsidP="00BE5A87">
      <w:pPr>
        <w:pStyle w:val="Default"/>
        <w:tabs>
          <w:tab w:val="left" w:pos="426"/>
        </w:tabs>
        <w:spacing w:line="288" w:lineRule="auto"/>
        <w:jc w:val="both"/>
      </w:pPr>
      <w:r>
        <w:tab/>
      </w:r>
      <w:r w:rsidR="00EE3646">
        <w:t>In contrast, e</w:t>
      </w:r>
      <w:r w:rsidR="004C6F73">
        <w:t xml:space="preserve">ducation can be </w:t>
      </w:r>
      <w:r w:rsidR="00D45A60" w:rsidRPr="00217069">
        <w:t xml:space="preserve">undervalued </w:t>
      </w:r>
      <w:r w:rsidR="004C6F73">
        <w:t xml:space="preserve">in a </w:t>
      </w:r>
      <w:r w:rsidR="00EE3646">
        <w:t xml:space="preserve">centrally </w:t>
      </w:r>
      <w:r w:rsidR="00D45A60" w:rsidRPr="00217069">
        <w:t>plann</w:t>
      </w:r>
      <w:r>
        <w:t xml:space="preserve">ed economy (Campos and </w:t>
      </w:r>
      <w:proofErr w:type="spellStart"/>
      <w:r>
        <w:t>Jolliffe</w:t>
      </w:r>
      <w:proofErr w:type="spellEnd"/>
      <w:r w:rsidR="00D45A60" w:rsidRPr="00217069">
        <w:t xml:space="preserve"> 2003)</w:t>
      </w:r>
      <w:r w:rsidR="00EE3646">
        <w:t xml:space="preserve">. </w:t>
      </w:r>
      <w:r w:rsidR="004C6F73">
        <w:t>In transition economies, t</w:t>
      </w:r>
      <w:r w:rsidR="00EE3646">
        <w:t>he</w:t>
      </w:r>
      <w:r w:rsidR="00D45A60" w:rsidRPr="00217069">
        <w:t xml:space="preserve"> returns to education have increased rapidly during </w:t>
      </w:r>
      <w:r w:rsidR="004C6F73">
        <w:t>market liberalisation</w:t>
      </w:r>
      <w:r w:rsidR="00D45A60" w:rsidRPr="00217069">
        <w:t xml:space="preserve">. Fleisher </w:t>
      </w:r>
      <w:r w:rsidR="00D45A60" w:rsidRPr="008E0406">
        <w:rPr>
          <w:i/>
        </w:rPr>
        <w:t>et a</w:t>
      </w:r>
      <w:r>
        <w:rPr>
          <w:i/>
        </w:rPr>
        <w:t>l.</w:t>
      </w:r>
      <w:r w:rsidR="00D45A60" w:rsidRPr="00217069">
        <w:t xml:space="preserve"> (2005) </w:t>
      </w:r>
      <w:r w:rsidR="008E0406">
        <w:t xml:space="preserve">proposed </w:t>
      </w:r>
      <w:r w:rsidR="00D45A60" w:rsidRPr="00217069">
        <w:t>two explanation</w:t>
      </w:r>
      <w:r w:rsidR="00CE50EC">
        <w:t>s</w:t>
      </w:r>
      <w:r w:rsidR="00D45A60" w:rsidRPr="00217069">
        <w:t xml:space="preserve">: the first </w:t>
      </w:r>
      <w:r w:rsidR="002A1B85" w:rsidRPr="00217069">
        <w:t xml:space="preserve">argues that </w:t>
      </w:r>
      <w:r w:rsidR="002A1B85" w:rsidRPr="00217069">
        <w:lastRenderedPageBreak/>
        <w:t xml:space="preserve">economic </w:t>
      </w:r>
      <w:r w:rsidR="00D45A60" w:rsidRPr="00217069">
        <w:t xml:space="preserve">reforms allow </w:t>
      </w:r>
      <w:r w:rsidR="004C6F73">
        <w:t xml:space="preserve">an </w:t>
      </w:r>
      <w:r w:rsidR="00D45A60" w:rsidRPr="00217069">
        <w:t xml:space="preserve">easing </w:t>
      </w:r>
      <w:r w:rsidR="004C6F73">
        <w:t xml:space="preserve">of </w:t>
      </w:r>
      <w:r w:rsidR="00D45A60" w:rsidRPr="00217069">
        <w:t>the legal, regulatory, and institutional constraints on wage-setting</w:t>
      </w:r>
      <w:r w:rsidR="00EE3646">
        <w:t xml:space="preserve"> and allow workers to move across regions, industries and employers </w:t>
      </w:r>
      <w:r w:rsidR="004C6F73">
        <w:t>more easily</w:t>
      </w:r>
      <w:r w:rsidR="00D45A60" w:rsidRPr="00217069">
        <w:t xml:space="preserve">. </w:t>
      </w:r>
      <w:r w:rsidR="004C6F73">
        <w:t xml:space="preserve"> </w:t>
      </w:r>
      <w:r w:rsidR="00D45A60" w:rsidRPr="00217069">
        <w:t xml:space="preserve">Thus, the faster the reform, the </w:t>
      </w:r>
      <w:r w:rsidR="004C6F73">
        <w:t>more quickly</w:t>
      </w:r>
      <w:r w:rsidR="008E0406">
        <w:t xml:space="preserve"> </w:t>
      </w:r>
      <w:r w:rsidR="00D45A60" w:rsidRPr="00217069">
        <w:t xml:space="preserve">the returns to education adjust to market rates. The other hypothesis </w:t>
      </w:r>
      <w:r w:rsidR="007E0139" w:rsidRPr="00217069">
        <w:t xml:space="preserve">proposes that </w:t>
      </w:r>
      <w:r w:rsidR="00D45A60" w:rsidRPr="00217069">
        <w:t xml:space="preserve">structural transformations, disruptions and economic disequilibrium make highly educated individuals able to respond to and </w:t>
      </w:r>
      <w:r w:rsidR="007E0139" w:rsidRPr="00217069">
        <w:t xml:space="preserve">benefit </w:t>
      </w:r>
      <w:r w:rsidR="00D45A60" w:rsidRPr="00217069">
        <w:t xml:space="preserve">from </w:t>
      </w:r>
      <w:r w:rsidR="007E0139" w:rsidRPr="00217069">
        <w:t xml:space="preserve">better job </w:t>
      </w:r>
      <w:r w:rsidR="00D45A60" w:rsidRPr="00217069">
        <w:t>opportunities.</w:t>
      </w:r>
    </w:p>
    <w:p w:rsidR="00BE5A87" w:rsidRPr="009871AF" w:rsidRDefault="00BE5A87" w:rsidP="005A2C59">
      <w:pPr>
        <w:pStyle w:val="Default"/>
        <w:tabs>
          <w:tab w:val="left" w:pos="284"/>
          <w:tab w:val="left" w:pos="426"/>
        </w:tabs>
        <w:spacing w:line="288" w:lineRule="auto"/>
        <w:jc w:val="both"/>
        <w:rPr>
          <w:sz w:val="20"/>
          <w:szCs w:val="20"/>
        </w:rPr>
      </w:pPr>
    </w:p>
    <w:p w:rsidR="002A1B85" w:rsidRDefault="00BE5A87" w:rsidP="00BE5A87">
      <w:pPr>
        <w:tabs>
          <w:tab w:val="left" w:pos="426"/>
        </w:tabs>
        <w:spacing w:line="288" w:lineRule="auto"/>
        <w:jc w:val="both"/>
      </w:pPr>
      <w:r>
        <w:tab/>
      </w:r>
      <w:r w:rsidR="00EE3646">
        <w:t>T</w:t>
      </w:r>
      <w:r w:rsidR="00D45A60" w:rsidRPr="00217069">
        <w:t xml:space="preserve">he </w:t>
      </w:r>
      <w:r w:rsidR="003D469E">
        <w:t xml:space="preserve">fast </w:t>
      </w:r>
      <w:r w:rsidR="00D45A60" w:rsidRPr="00217069">
        <w:t>rise of re</w:t>
      </w:r>
      <w:r w:rsidR="00DD1DDC">
        <w:t xml:space="preserve">turns </w:t>
      </w:r>
      <w:r w:rsidR="00D45A60" w:rsidRPr="00217069">
        <w:t>to education during transition</w:t>
      </w:r>
      <w:r w:rsidR="00D65D29">
        <w:t>s parallels</w:t>
      </w:r>
      <w:r w:rsidR="00D45A60" w:rsidRPr="00217069">
        <w:t xml:space="preserve"> abrupt changes in </w:t>
      </w:r>
      <w:r w:rsidR="00D65D29">
        <w:t xml:space="preserve">the </w:t>
      </w:r>
      <w:r w:rsidR="00D45A60" w:rsidRPr="00217069">
        <w:t xml:space="preserve">political and economic system of post-communist countries. </w:t>
      </w:r>
      <w:r w:rsidR="003D469E">
        <w:t>H</w:t>
      </w:r>
      <w:r w:rsidR="00D45A60" w:rsidRPr="00217069">
        <w:t>igh</w:t>
      </w:r>
      <w:r w:rsidR="00DD1DDC">
        <w:t>ly</w:t>
      </w:r>
      <w:r w:rsidR="00D45A60" w:rsidRPr="00217069">
        <w:t xml:space="preserve">-skilled </w:t>
      </w:r>
      <w:r w:rsidR="00DD1DDC">
        <w:t xml:space="preserve">workers </w:t>
      </w:r>
      <w:r w:rsidR="00D45A60" w:rsidRPr="00217069">
        <w:t xml:space="preserve">were valued, not because their productivity would have miraculously risen </w:t>
      </w:r>
      <w:r w:rsidR="00DD1DDC">
        <w:t>quickly</w:t>
      </w:r>
      <w:r w:rsidR="00D65D29">
        <w:t>,</w:t>
      </w:r>
      <w:r w:rsidR="00DD1DDC">
        <w:t xml:space="preserve"> </w:t>
      </w:r>
      <w:r w:rsidR="00D45A60" w:rsidRPr="00217069">
        <w:t xml:space="preserve">but because the value system of the society </w:t>
      </w:r>
      <w:r w:rsidR="00D65D29">
        <w:t xml:space="preserve">had </w:t>
      </w:r>
      <w:r w:rsidR="00D45A60" w:rsidRPr="00217069">
        <w:t xml:space="preserve">changed. Wages were now determined by </w:t>
      </w:r>
      <w:r w:rsidR="00D65D29">
        <w:t xml:space="preserve">a </w:t>
      </w:r>
      <w:r w:rsidR="00D45A60" w:rsidRPr="00217069">
        <w:t>free</w:t>
      </w:r>
      <w:r w:rsidR="00D65D29">
        <w:t>r</w:t>
      </w:r>
      <w:r w:rsidR="00D45A60" w:rsidRPr="00217069">
        <w:t xml:space="preserve"> market and</w:t>
      </w:r>
      <w:r w:rsidR="00DD1DDC">
        <w:t xml:space="preserve"> </w:t>
      </w:r>
      <w:r w:rsidR="00D45A60" w:rsidRPr="00217069">
        <w:t>educa</w:t>
      </w:r>
      <w:r w:rsidR="00D65D29">
        <w:t>tion was valued more than previously</w:t>
      </w:r>
      <w:r w:rsidR="00EE3646">
        <w:t xml:space="preserve"> </w:t>
      </w:r>
      <w:r w:rsidR="00EE3646" w:rsidRPr="00EE3646">
        <w:t>(</w:t>
      </w:r>
      <w:proofErr w:type="spellStart"/>
      <w:r w:rsidR="00EE3646" w:rsidRPr="00EE3646">
        <w:rPr>
          <w:color w:val="1D1D1D"/>
          <w:sz w:val="23"/>
          <w:szCs w:val="23"/>
          <w:lang w:eastAsia="en-NZ"/>
        </w:rPr>
        <w:t>Mysíková</w:t>
      </w:r>
      <w:proofErr w:type="spellEnd"/>
      <w:r w:rsidR="00EE3646" w:rsidRPr="00EE3646">
        <w:rPr>
          <w:color w:val="1D1D1D"/>
          <w:sz w:val="23"/>
          <w:szCs w:val="23"/>
          <w:lang w:eastAsia="en-NZ"/>
        </w:rPr>
        <w:t xml:space="preserve"> and </w:t>
      </w:r>
      <w:proofErr w:type="spellStart"/>
      <w:r w:rsidR="00EE3646" w:rsidRPr="00EE3646">
        <w:rPr>
          <w:color w:val="1D1D1D"/>
          <w:sz w:val="23"/>
          <w:szCs w:val="23"/>
          <w:lang w:eastAsia="en-NZ"/>
        </w:rPr>
        <w:t>Večerník</w:t>
      </w:r>
      <w:proofErr w:type="spellEnd"/>
      <w:r w:rsidR="00EE3646" w:rsidRPr="00EE3646">
        <w:rPr>
          <w:color w:val="1D1D1D"/>
          <w:sz w:val="23"/>
          <w:szCs w:val="23"/>
          <w:lang w:eastAsia="en-NZ"/>
        </w:rPr>
        <w:t xml:space="preserve"> 2014)</w:t>
      </w:r>
      <w:r w:rsidR="00D45A60" w:rsidRPr="00EE3646">
        <w:t>.</w:t>
      </w:r>
      <w:r w:rsidR="002A1B85" w:rsidRPr="00217069">
        <w:t xml:space="preserve"> </w:t>
      </w:r>
      <w:r w:rsidR="00EE3646">
        <w:t>B</w:t>
      </w:r>
      <w:r w:rsidR="00D65D29">
        <w:t>ut after a period</w:t>
      </w:r>
      <w:r w:rsidR="009E0F9A">
        <w:t xml:space="preserve"> of economic transformation</w:t>
      </w:r>
      <w:r w:rsidR="00EE3646">
        <w:t xml:space="preserve">, </w:t>
      </w:r>
      <w:r w:rsidR="00DD1DDC">
        <w:t xml:space="preserve">the </w:t>
      </w:r>
      <w:r w:rsidR="002A1B85" w:rsidRPr="00217069">
        <w:t xml:space="preserve">trend of returns to education </w:t>
      </w:r>
      <w:r w:rsidR="00535472" w:rsidRPr="00217069">
        <w:t xml:space="preserve">in transition economies seems to </w:t>
      </w:r>
      <w:r w:rsidR="00D65D29">
        <w:t xml:space="preserve">have </w:t>
      </w:r>
      <w:r w:rsidR="00535472" w:rsidRPr="00217069">
        <w:t>reverse</w:t>
      </w:r>
      <w:r w:rsidR="00D65D29">
        <w:t>d</w:t>
      </w:r>
      <w:r w:rsidR="00535472" w:rsidRPr="00217069">
        <w:t xml:space="preserve"> </w:t>
      </w:r>
      <w:r w:rsidR="00EE3646">
        <w:t xml:space="preserve">particularly after </w:t>
      </w:r>
      <w:r w:rsidR="00535472" w:rsidRPr="00217069">
        <w:t xml:space="preserve">the </w:t>
      </w:r>
      <w:r w:rsidR="003D469E">
        <w:t>global financial crisis (</w:t>
      </w:r>
      <w:r w:rsidR="00535472" w:rsidRPr="00217069">
        <w:t>GFC</w:t>
      </w:r>
      <w:r w:rsidR="003D469E">
        <w:t>)</w:t>
      </w:r>
      <w:r w:rsidR="00D65D29">
        <w:t xml:space="preserve">. </w:t>
      </w:r>
      <w:r w:rsidR="009E0F9A">
        <w:t>The r</w:t>
      </w:r>
      <w:r w:rsidR="00D65D29">
        <w:t xml:space="preserve">eturns had </w:t>
      </w:r>
      <w:r w:rsidR="002A1B85" w:rsidRPr="00217069">
        <w:t xml:space="preserve">increased </w:t>
      </w:r>
      <w:r w:rsidR="00535472" w:rsidRPr="00217069">
        <w:t xml:space="preserve">in early </w:t>
      </w:r>
      <w:r w:rsidR="00D65D29">
        <w:t xml:space="preserve">the early stages of </w:t>
      </w:r>
      <w:r w:rsidR="00535472" w:rsidRPr="00217069">
        <w:t>transition</w:t>
      </w:r>
      <w:r w:rsidR="002A1B85" w:rsidRPr="00217069">
        <w:t xml:space="preserve">, but then declined </w:t>
      </w:r>
      <w:r w:rsidR="00535472" w:rsidRPr="00217069">
        <w:t xml:space="preserve">slightly </w:t>
      </w:r>
      <w:r w:rsidR="002A1B85" w:rsidRPr="00217069">
        <w:t xml:space="preserve">from </w:t>
      </w:r>
      <w:r w:rsidR="00535472" w:rsidRPr="00217069">
        <w:t>the GFC</w:t>
      </w:r>
      <w:r w:rsidR="002A1B85" w:rsidRPr="00217069">
        <w:t xml:space="preserve">. The declining return </w:t>
      </w:r>
      <w:r w:rsidR="00D65D29">
        <w:t xml:space="preserve">has been </w:t>
      </w:r>
      <w:r w:rsidR="002A1B85" w:rsidRPr="00217069">
        <w:t xml:space="preserve">attributed to </w:t>
      </w:r>
      <w:r w:rsidR="00D65D29">
        <w:t xml:space="preserve">the </w:t>
      </w:r>
      <w:r w:rsidR="002A1B85" w:rsidRPr="00217069">
        <w:t xml:space="preserve">increasing share of tertiary educated workers in </w:t>
      </w:r>
      <w:r w:rsidR="00D65D29">
        <w:t xml:space="preserve">the </w:t>
      </w:r>
      <w:r w:rsidR="002A1B85" w:rsidRPr="00217069">
        <w:t>working age population</w:t>
      </w:r>
      <w:r w:rsidR="00EE3646">
        <w:t xml:space="preserve"> (</w:t>
      </w:r>
      <w:r w:rsidR="00D65D29">
        <w:t xml:space="preserve">see, for example, </w:t>
      </w:r>
      <w:proofErr w:type="spellStart"/>
      <w:r w:rsidR="00EE3646" w:rsidRPr="007433B8">
        <w:rPr>
          <w:color w:val="1D1D1D"/>
          <w:lang w:eastAsia="en-NZ"/>
        </w:rPr>
        <w:t>Mysíková</w:t>
      </w:r>
      <w:proofErr w:type="spellEnd"/>
      <w:r w:rsidR="00EE3646" w:rsidRPr="007433B8">
        <w:rPr>
          <w:color w:val="1D1D1D"/>
          <w:lang w:eastAsia="en-NZ"/>
        </w:rPr>
        <w:t xml:space="preserve"> and </w:t>
      </w:r>
      <w:proofErr w:type="spellStart"/>
      <w:r w:rsidR="00EE3646" w:rsidRPr="007433B8">
        <w:rPr>
          <w:color w:val="1D1D1D"/>
          <w:lang w:eastAsia="en-NZ"/>
        </w:rPr>
        <w:t>Večerník</w:t>
      </w:r>
      <w:proofErr w:type="spellEnd"/>
      <w:r>
        <w:rPr>
          <w:color w:val="1D1D1D"/>
          <w:lang w:eastAsia="en-NZ"/>
        </w:rPr>
        <w:t xml:space="preserve"> </w:t>
      </w:r>
      <w:r w:rsidR="00EE3646" w:rsidRPr="007433B8">
        <w:rPr>
          <w:color w:val="1D1D1D"/>
          <w:lang w:eastAsia="en-NZ"/>
        </w:rPr>
        <w:t>2014)</w:t>
      </w:r>
      <w:r w:rsidR="002A1B85" w:rsidRPr="00217069">
        <w:t xml:space="preserve">. </w:t>
      </w:r>
    </w:p>
    <w:p w:rsidR="00BE5A87" w:rsidRPr="009871AF" w:rsidRDefault="00BE5A87" w:rsidP="00BE5A87">
      <w:pPr>
        <w:tabs>
          <w:tab w:val="left" w:pos="426"/>
        </w:tabs>
        <w:spacing w:line="288" w:lineRule="auto"/>
        <w:jc w:val="both"/>
        <w:rPr>
          <w:sz w:val="20"/>
          <w:szCs w:val="20"/>
        </w:rPr>
      </w:pPr>
    </w:p>
    <w:p w:rsidR="002A1B85" w:rsidRDefault="00BE5A87" w:rsidP="005A2C59">
      <w:pPr>
        <w:pStyle w:val="Default"/>
        <w:tabs>
          <w:tab w:val="left" w:pos="284"/>
          <w:tab w:val="left" w:pos="426"/>
        </w:tabs>
        <w:spacing w:line="288" w:lineRule="auto"/>
        <w:jc w:val="both"/>
      </w:pPr>
      <w:r>
        <w:tab/>
      </w:r>
      <w:r>
        <w:tab/>
      </w:r>
      <w:r w:rsidR="000D0F48">
        <w:t>In</w:t>
      </w:r>
      <w:r w:rsidR="003427F0">
        <w:t xml:space="preserve"> well-functioning economies, changes to </w:t>
      </w:r>
      <w:r w:rsidR="00DD1DDC">
        <w:t xml:space="preserve">returns to education can be due to </w:t>
      </w:r>
      <w:r w:rsidR="000D0F48">
        <w:t>changes in sk</w:t>
      </w:r>
      <w:r w:rsidR="00AF41FC">
        <w:t>i</w:t>
      </w:r>
      <w:r w:rsidR="000D0F48">
        <w:t>lled labour supply and demand. H</w:t>
      </w:r>
      <w:r w:rsidR="002A1B85" w:rsidRPr="00217069">
        <w:t xml:space="preserve">igher returns to education </w:t>
      </w:r>
      <w:r w:rsidR="000D0F48">
        <w:t xml:space="preserve">means </w:t>
      </w:r>
      <w:r w:rsidR="00C921F1">
        <w:t xml:space="preserve">that </w:t>
      </w:r>
      <w:r w:rsidR="000D0F48">
        <w:t xml:space="preserve">workers are better paid for </w:t>
      </w:r>
      <w:r w:rsidR="002A1B85" w:rsidRPr="00217069">
        <w:t>higher pro</w:t>
      </w:r>
      <w:r w:rsidR="00CF4142">
        <w:t>ductivity (Becker</w:t>
      </w:r>
      <w:r w:rsidR="002A1B85" w:rsidRPr="00217069">
        <w:t xml:space="preserve"> 19</w:t>
      </w:r>
      <w:r w:rsidR="00AF41FC">
        <w:t>75</w:t>
      </w:r>
      <w:r w:rsidR="009E0F9A">
        <w:t>,</w:t>
      </w:r>
      <w:r w:rsidR="00CF4142">
        <w:t xml:space="preserve"> and Mincer</w:t>
      </w:r>
      <w:r w:rsidR="002A1B85" w:rsidRPr="00217069">
        <w:t xml:space="preserve"> 1974). Becker</w:t>
      </w:r>
      <w:r w:rsidR="000D0F48">
        <w:t xml:space="preserve"> (</w:t>
      </w:r>
      <w:r w:rsidR="002A1B85" w:rsidRPr="00217069">
        <w:t xml:space="preserve">1975) </w:t>
      </w:r>
      <w:r w:rsidR="000D0F48">
        <w:t xml:space="preserve">states that </w:t>
      </w:r>
      <w:r w:rsidR="002A1B85" w:rsidRPr="00217069">
        <w:t xml:space="preserve">marginal returns to higher education fall </w:t>
      </w:r>
      <w:r w:rsidR="00EE3646">
        <w:t xml:space="preserve">when </w:t>
      </w:r>
      <w:r w:rsidR="002A1B85" w:rsidRPr="00217069">
        <w:t xml:space="preserve">the proportion of the population with higher education rises. </w:t>
      </w:r>
      <w:r w:rsidR="00535472" w:rsidRPr="00217069">
        <w:t xml:space="preserve"> </w:t>
      </w:r>
      <w:r w:rsidR="000D0F48">
        <w:t>E</w:t>
      </w:r>
      <w:r w:rsidR="002A1B85" w:rsidRPr="00217069">
        <w:t xml:space="preserve">ducational expansion is usually followed </w:t>
      </w:r>
      <w:r w:rsidR="00C921F1">
        <w:t xml:space="preserve">by </w:t>
      </w:r>
      <w:r w:rsidR="002A1B85" w:rsidRPr="00217069">
        <w:t>a decline in returns to education</w:t>
      </w:r>
      <w:r w:rsidR="000D0F48">
        <w:t xml:space="preserve"> (</w:t>
      </w:r>
      <w:proofErr w:type="spellStart"/>
      <w:r w:rsidR="000D0F48" w:rsidRPr="00217069">
        <w:t>Ps</w:t>
      </w:r>
      <w:r w:rsidR="00CF4142">
        <w:t>acharopoulos</w:t>
      </w:r>
      <w:proofErr w:type="spellEnd"/>
      <w:r w:rsidR="000D0F48">
        <w:t xml:space="preserve"> 1989)</w:t>
      </w:r>
      <w:r w:rsidR="00535472" w:rsidRPr="00217069">
        <w:t>. T</w:t>
      </w:r>
      <w:r w:rsidR="002A1B85" w:rsidRPr="00217069">
        <w:t xml:space="preserve">he evidence seems to be more consistent with the human capital theory of the relationship between education and earnings. However, the returns would remain stable if the </w:t>
      </w:r>
      <w:r w:rsidR="00EE3646">
        <w:t xml:space="preserve">extra </w:t>
      </w:r>
      <w:r w:rsidR="002A1B85" w:rsidRPr="00217069">
        <w:t xml:space="preserve">supply of higher educated workers is </w:t>
      </w:r>
      <w:r w:rsidR="00535472" w:rsidRPr="00217069">
        <w:t>offset by t</w:t>
      </w:r>
      <w:r w:rsidR="002A1B85" w:rsidRPr="00217069">
        <w:t xml:space="preserve">he </w:t>
      </w:r>
      <w:r w:rsidR="000D0F48">
        <w:t xml:space="preserve">similar </w:t>
      </w:r>
      <w:r w:rsidR="002A1B85" w:rsidRPr="00217069">
        <w:t xml:space="preserve">additional demand for higher </w:t>
      </w:r>
      <w:r w:rsidR="00EE3646">
        <w:t xml:space="preserve">skilled </w:t>
      </w:r>
      <w:r w:rsidR="002A1B85" w:rsidRPr="00217069">
        <w:t xml:space="preserve">workers. </w:t>
      </w:r>
    </w:p>
    <w:p w:rsidR="00BE5A87" w:rsidRPr="009871AF" w:rsidRDefault="00BE5A87" w:rsidP="005A2C59">
      <w:pPr>
        <w:pStyle w:val="Default"/>
        <w:tabs>
          <w:tab w:val="left" w:pos="284"/>
          <w:tab w:val="left" w:pos="426"/>
        </w:tabs>
        <w:spacing w:line="288" w:lineRule="auto"/>
        <w:jc w:val="both"/>
        <w:rPr>
          <w:sz w:val="20"/>
          <w:szCs w:val="20"/>
        </w:rPr>
      </w:pPr>
    </w:p>
    <w:p w:rsidR="00F0247F" w:rsidRDefault="00BE5A87" w:rsidP="00C921F1">
      <w:pPr>
        <w:widowControl w:val="0"/>
        <w:tabs>
          <w:tab w:val="left" w:pos="284"/>
          <w:tab w:val="left" w:pos="426"/>
        </w:tabs>
        <w:overflowPunct w:val="0"/>
        <w:autoSpaceDE w:val="0"/>
        <w:autoSpaceDN w:val="0"/>
        <w:adjustRightInd w:val="0"/>
        <w:spacing w:line="288" w:lineRule="auto"/>
        <w:jc w:val="both"/>
      </w:pPr>
      <w:r>
        <w:tab/>
      </w:r>
      <w:r>
        <w:tab/>
      </w:r>
      <w:r w:rsidR="00535472" w:rsidRPr="00217069">
        <w:t xml:space="preserve">Using data from </w:t>
      </w:r>
      <w:r w:rsidR="000D0F48">
        <w:t>E</w:t>
      </w:r>
      <w:r w:rsidR="00535472" w:rsidRPr="00217069">
        <w:t xml:space="preserve">astern and </w:t>
      </w:r>
      <w:r w:rsidR="000D0F48">
        <w:t>W</w:t>
      </w:r>
      <w:r w:rsidR="00535472" w:rsidRPr="00217069">
        <w:t>estern European countries from 2004 to 2011</w:t>
      </w:r>
      <w:r w:rsidR="00C719AF" w:rsidRPr="00217069">
        <w:t xml:space="preserve">, </w:t>
      </w:r>
      <w:proofErr w:type="spellStart"/>
      <w:r w:rsidR="008922C6" w:rsidRPr="007433B8">
        <w:rPr>
          <w:color w:val="1D1D1D"/>
          <w:lang w:eastAsia="en-NZ"/>
        </w:rPr>
        <w:t>Mysíková</w:t>
      </w:r>
      <w:proofErr w:type="spellEnd"/>
      <w:r w:rsidR="008922C6" w:rsidRPr="007433B8">
        <w:rPr>
          <w:color w:val="1D1D1D"/>
          <w:lang w:eastAsia="en-NZ"/>
        </w:rPr>
        <w:t xml:space="preserve"> and </w:t>
      </w:r>
      <w:proofErr w:type="spellStart"/>
      <w:r w:rsidR="008922C6" w:rsidRPr="007433B8">
        <w:rPr>
          <w:color w:val="1D1D1D"/>
          <w:lang w:eastAsia="en-NZ"/>
        </w:rPr>
        <w:t>Večerník</w:t>
      </w:r>
      <w:proofErr w:type="spellEnd"/>
      <w:r w:rsidR="008922C6" w:rsidRPr="007433B8">
        <w:rPr>
          <w:color w:val="1D1D1D"/>
          <w:lang w:eastAsia="en-NZ"/>
        </w:rPr>
        <w:t xml:space="preserve"> (2014)</w:t>
      </w:r>
      <w:r w:rsidR="00C719AF" w:rsidRPr="00217069">
        <w:t xml:space="preserve"> show</w:t>
      </w:r>
      <w:r w:rsidR="00535472" w:rsidRPr="00217069">
        <w:t xml:space="preserve"> a significantly negative relationship between </w:t>
      </w:r>
      <w:r w:rsidR="00C921F1">
        <w:t xml:space="preserve">the </w:t>
      </w:r>
      <w:r w:rsidR="00535472" w:rsidRPr="00217069">
        <w:t xml:space="preserve">share of tertiary education and </w:t>
      </w:r>
      <w:r w:rsidR="00C921F1">
        <w:t xml:space="preserve">the </w:t>
      </w:r>
      <w:r w:rsidR="00535472" w:rsidRPr="00217069">
        <w:t>returns to education in W</w:t>
      </w:r>
      <w:r w:rsidR="000D0F48">
        <w:t xml:space="preserve">estern </w:t>
      </w:r>
      <w:r w:rsidR="00C921F1">
        <w:t>countries but no strong effect i</w:t>
      </w:r>
      <w:r w:rsidR="000D0F48">
        <w:t>n E</w:t>
      </w:r>
      <w:r w:rsidR="00535472" w:rsidRPr="00217069">
        <w:t xml:space="preserve">astern </w:t>
      </w:r>
      <w:r w:rsidR="000D0F48">
        <w:t xml:space="preserve">European </w:t>
      </w:r>
      <w:r w:rsidR="00535472" w:rsidRPr="00217069">
        <w:t>countries</w:t>
      </w:r>
      <w:r w:rsidR="00C719AF" w:rsidRPr="00217069">
        <w:t>.</w:t>
      </w:r>
      <w:r w:rsidR="00535472" w:rsidRPr="00217069">
        <w:t xml:space="preserve"> </w:t>
      </w:r>
      <w:r w:rsidR="009E0F9A">
        <w:t>They argue that a</w:t>
      </w:r>
      <w:r w:rsidR="000D0F48">
        <w:t>long with economic liberalization, higher education</w:t>
      </w:r>
      <w:r w:rsidR="00EE3646">
        <w:t xml:space="preserve"> has</w:t>
      </w:r>
      <w:r w:rsidR="000D0F48">
        <w:t xml:space="preserve"> expanded </w:t>
      </w:r>
      <w:r w:rsidR="004008B9" w:rsidRPr="00217069">
        <w:t xml:space="preserve">in Easter European </w:t>
      </w:r>
      <w:r w:rsidR="004008B9" w:rsidRPr="007F71CB">
        <w:t>economies.</w:t>
      </w:r>
      <w:r w:rsidR="004008B9" w:rsidRPr="00217069">
        <w:t xml:space="preserve"> </w:t>
      </w:r>
      <w:r w:rsidR="00F0247F">
        <w:t xml:space="preserve">However, </w:t>
      </w:r>
      <w:r w:rsidR="004008B9" w:rsidRPr="00217069">
        <w:t xml:space="preserve">the </w:t>
      </w:r>
      <w:r w:rsidR="00F0247F">
        <w:t>increase in</w:t>
      </w:r>
      <w:r w:rsidR="006F07B9">
        <w:t xml:space="preserve"> </w:t>
      </w:r>
      <w:r w:rsidR="004008B9" w:rsidRPr="00217069">
        <w:t>higher</w:t>
      </w:r>
      <w:r w:rsidR="006F07B9">
        <w:t xml:space="preserve"> skilled</w:t>
      </w:r>
      <w:r w:rsidR="004008B9" w:rsidRPr="00217069">
        <w:t xml:space="preserve"> </w:t>
      </w:r>
      <w:r w:rsidR="006F07B9">
        <w:t xml:space="preserve">labour </w:t>
      </w:r>
      <w:r w:rsidR="004008B9" w:rsidRPr="00217069">
        <w:t xml:space="preserve">supply in Easter European economies </w:t>
      </w:r>
      <w:r w:rsidR="00C921F1">
        <w:t>did</w:t>
      </w:r>
      <w:r w:rsidR="006F07B9">
        <w:t xml:space="preserve"> not exceed t</w:t>
      </w:r>
      <w:r w:rsidR="004008B9" w:rsidRPr="00217069">
        <w:t xml:space="preserve">he </w:t>
      </w:r>
      <w:r w:rsidR="006F07B9">
        <w:t xml:space="preserve">increased </w:t>
      </w:r>
      <w:r w:rsidR="004008B9" w:rsidRPr="00217069">
        <w:t xml:space="preserve">market demand for </w:t>
      </w:r>
      <w:r w:rsidR="006F07B9">
        <w:t xml:space="preserve">skilled </w:t>
      </w:r>
      <w:r w:rsidR="004008B9" w:rsidRPr="00217069">
        <w:t xml:space="preserve">labour. The study also found that </w:t>
      </w:r>
      <w:r w:rsidR="00535472" w:rsidRPr="00217069">
        <w:t xml:space="preserve">2009 appears </w:t>
      </w:r>
      <w:r w:rsidR="004008B9" w:rsidRPr="00217069">
        <w:t xml:space="preserve">to be </w:t>
      </w:r>
      <w:r w:rsidR="00BF00CB">
        <w:t>a break-point</w:t>
      </w:r>
      <w:r w:rsidR="00535472" w:rsidRPr="00217069">
        <w:t xml:space="preserve"> when rising returns to education started to dec</w:t>
      </w:r>
      <w:r w:rsidR="00F0247F">
        <w:t>line</w:t>
      </w:r>
      <w:r w:rsidR="00535472" w:rsidRPr="00217069">
        <w:t xml:space="preserve">. </w:t>
      </w:r>
    </w:p>
    <w:p w:rsidR="005D5F6E" w:rsidRPr="009871AF" w:rsidRDefault="005D5F6E" w:rsidP="005A2C59">
      <w:pPr>
        <w:widowControl w:val="0"/>
        <w:tabs>
          <w:tab w:val="left" w:pos="284"/>
          <w:tab w:val="left" w:pos="426"/>
        </w:tabs>
        <w:autoSpaceDE w:val="0"/>
        <w:autoSpaceDN w:val="0"/>
        <w:adjustRightInd w:val="0"/>
        <w:spacing w:line="288" w:lineRule="auto"/>
        <w:rPr>
          <w:sz w:val="20"/>
          <w:szCs w:val="20"/>
        </w:rPr>
      </w:pPr>
    </w:p>
    <w:p w:rsidR="005D5F6E" w:rsidRDefault="00BE5A87" w:rsidP="005A2C59">
      <w:pPr>
        <w:widowControl w:val="0"/>
        <w:tabs>
          <w:tab w:val="left" w:pos="284"/>
          <w:tab w:val="left" w:pos="426"/>
        </w:tabs>
        <w:overflowPunct w:val="0"/>
        <w:autoSpaceDE w:val="0"/>
        <w:autoSpaceDN w:val="0"/>
        <w:adjustRightInd w:val="0"/>
        <w:spacing w:line="288" w:lineRule="auto"/>
        <w:jc w:val="both"/>
      </w:pPr>
      <w:r>
        <w:tab/>
      </w:r>
      <w:r>
        <w:tab/>
      </w:r>
      <w:r w:rsidR="004F2628">
        <w:t>S</w:t>
      </w:r>
      <w:r w:rsidR="009E0F9A">
        <w:t>ome s</w:t>
      </w:r>
      <w:r w:rsidR="00F0247F">
        <w:t xml:space="preserve">tudies </w:t>
      </w:r>
      <w:r w:rsidR="004F2628">
        <w:t xml:space="preserve">suggest that education </w:t>
      </w:r>
      <w:r w:rsidR="005D5F6E" w:rsidRPr="00C010CB">
        <w:t>return</w:t>
      </w:r>
      <w:r w:rsidR="004F2628">
        <w:t>s</w:t>
      </w:r>
      <w:r w:rsidR="005D5F6E" w:rsidRPr="00C010CB">
        <w:t xml:space="preserve"> in Vietnam follow</w:t>
      </w:r>
      <w:r w:rsidR="004F2628">
        <w:t>ed</w:t>
      </w:r>
      <w:r w:rsidR="005D5F6E" w:rsidRPr="00C010CB">
        <w:t xml:space="preserve"> the typical pattern </w:t>
      </w:r>
      <w:r w:rsidR="00DE6646">
        <w:t xml:space="preserve">of </w:t>
      </w:r>
      <w:r w:rsidR="00631FF2">
        <w:t xml:space="preserve">fast </w:t>
      </w:r>
      <w:r w:rsidR="00DE6646">
        <w:t xml:space="preserve">rising returns especially in 2000s </w:t>
      </w:r>
      <w:r w:rsidR="005D5F6E" w:rsidRPr="00C010CB">
        <w:t>(</w:t>
      </w:r>
      <w:r w:rsidR="004F2628">
        <w:t xml:space="preserve">see, for example, </w:t>
      </w:r>
      <w:r w:rsidR="00DE6646">
        <w:t>Doan a</w:t>
      </w:r>
      <w:r w:rsidR="004F2628">
        <w:t>nd Gibson</w:t>
      </w:r>
      <w:r w:rsidR="00DE6646">
        <w:t xml:space="preserve"> 2012</w:t>
      </w:r>
      <w:r w:rsidR="005D5F6E" w:rsidRPr="00C010CB">
        <w:t xml:space="preserve">). Comparing the world </w:t>
      </w:r>
      <w:r w:rsidR="00D45A60">
        <w:t>and Asia</w:t>
      </w:r>
      <w:r w:rsidR="004F2628">
        <w:t>n</w:t>
      </w:r>
      <w:r w:rsidR="00D45A60">
        <w:t xml:space="preserve"> </w:t>
      </w:r>
      <w:r w:rsidR="005D5F6E" w:rsidRPr="00C010CB">
        <w:t>rate of retu</w:t>
      </w:r>
      <w:r w:rsidR="004F2628">
        <w:t>rn</w:t>
      </w:r>
      <w:r w:rsidR="009E0F9A">
        <w:t>s</w:t>
      </w:r>
      <w:r w:rsidR="009871AF">
        <w:t xml:space="preserve"> at about 10% </w:t>
      </w:r>
      <w:r>
        <w:t>(</w:t>
      </w:r>
      <w:proofErr w:type="spellStart"/>
      <w:r>
        <w:t>Psacharopoulos</w:t>
      </w:r>
      <w:proofErr w:type="spellEnd"/>
      <w:r w:rsidR="005D5F6E" w:rsidRPr="00C010CB">
        <w:t xml:space="preserve"> 1994</w:t>
      </w:r>
      <w:r>
        <w:t>,</w:t>
      </w:r>
      <w:r w:rsidR="00D45A60">
        <w:t xml:space="preserve"> </w:t>
      </w:r>
      <w:proofErr w:type="spellStart"/>
      <w:r w:rsidR="00D45A60" w:rsidRPr="00C010CB">
        <w:t>Psacharopoulos</w:t>
      </w:r>
      <w:proofErr w:type="spellEnd"/>
      <w:r w:rsidR="00D45A60">
        <w:t xml:space="preserve"> </w:t>
      </w:r>
      <w:r w:rsidR="003C53BC">
        <w:t>and</w:t>
      </w:r>
      <w:r>
        <w:t xml:space="preserve"> </w:t>
      </w:r>
      <w:proofErr w:type="spellStart"/>
      <w:r>
        <w:t>Patrinos</w:t>
      </w:r>
      <w:proofErr w:type="spellEnd"/>
      <w:r w:rsidR="00D45A60">
        <w:t xml:space="preserve"> 2004</w:t>
      </w:r>
      <w:r w:rsidR="005D5F6E" w:rsidRPr="00C010CB">
        <w:t xml:space="preserve">), </w:t>
      </w:r>
      <w:r w:rsidR="009E0F9A">
        <w:t xml:space="preserve">the </w:t>
      </w:r>
      <w:r w:rsidR="005D5F6E" w:rsidRPr="00C010CB">
        <w:t>rate of return</w:t>
      </w:r>
      <w:r w:rsidR="009E0F9A">
        <w:t>s</w:t>
      </w:r>
      <w:r w:rsidR="005D5F6E" w:rsidRPr="00C010CB">
        <w:t xml:space="preserve"> for Vietnam </w:t>
      </w:r>
      <w:r w:rsidR="009E0F9A">
        <w:t>is</w:t>
      </w:r>
      <w:r w:rsidR="005D5F6E" w:rsidRPr="00C010CB">
        <w:t xml:space="preserve"> </w:t>
      </w:r>
      <w:r w:rsidR="00DE6646">
        <w:t xml:space="preserve">well in line </w:t>
      </w:r>
      <w:r w:rsidR="004F2628">
        <w:t xml:space="preserve">with </w:t>
      </w:r>
      <w:r w:rsidR="00DE6646">
        <w:t>Asia</w:t>
      </w:r>
      <w:r w:rsidR="005D5F6E" w:rsidRPr="00C010CB">
        <w:t xml:space="preserve">. </w:t>
      </w:r>
      <w:r w:rsidR="00DE6646">
        <w:t xml:space="preserve">It </w:t>
      </w:r>
      <w:r w:rsidR="00F0247F">
        <w:t xml:space="preserve">is likely </w:t>
      </w:r>
      <w:r w:rsidR="00DE6646">
        <w:t>that the economic reform</w:t>
      </w:r>
      <w:r w:rsidR="004F2628">
        <w:t>s</w:t>
      </w:r>
      <w:r w:rsidR="00DE6646">
        <w:t xml:space="preserve"> </w:t>
      </w:r>
      <w:r w:rsidR="00CE18FB">
        <w:t xml:space="preserve">in Vietnam </w:t>
      </w:r>
      <w:r w:rsidR="00F0247F">
        <w:t xml:space="preserve">would have </w:t>
      </w:r>
      <w:r w:rsidR="004F2628">
        <w:t xml:space="preserve">had a </w:t>
      </w:r>
      <w:r w:rsidR="009E0F9A">
        <w:t xml:space="preserve">sufficient </w:t>
      </w:r>
      <w:r w:rsidR="004F2628">
        <w:t xml:space="preserve">impact </w:t>
      </w:r>
      <w:r w:rsidR="00DE6646">
        <w:t>on the labour market</w:t>
      </w:r>
      <w:r w:rsidR="005D5F6E" w:rsidRPr="00C010CB">
        <w:t>.</w:t>
      </w:r>
      <w:r w:rsidR="00A611C3">
        <w:t xml:space="preserve"> </w:t>
      </w:r>
    </w:p>
    <w:p w:rsidR="00F16A60" w:rsidRDefault="00BE5A87" w:rsidP="009871AF">
      <w:pPr>
        <w:widowControl w:val="0"/>
        <w:tabs>
          <w:tab w:val="left" w:pos="284"/>
          <w:tab w:val="left" w:pos="426"/>
        </w:tabs>
        <w:overflowPunct w:val="0"/>
        <w:autoSpaceDE w:val="0"/>
        <w:autoSpaceDN w:val="0"/>
        <w:adjustRightInd w:val="0"/>
        <w:spacing w:line="288" w:lineRule="auto"/>
        <w:jc w:val="both"/>
      </w:pPr>
      <w:r>
        <w:lastRenderedPageBreak/>
        <w:tab/>
      </w:r>
      <w:r>
        <w:tab/>
      </w:r>
      <w:r w:rsidR="002313F2">
        <w:t>E</w:t>
      </w:r>
      <w:r w:rsidR="00DE6646" w:rsidRPr="00631FF2">
        <w:t xml:space="preserve">conomic reform and economic growth </w:t>
      </w:r>
      <w:r w:rsidR="002313F2">
        <w:t xml:space="preserve">in Vietnam </w:t>
      </w:r>
      <w:r w:rsidR="00DE6646" w:rsidRPr="00631FF2">
        <w:t>has slowed down particular</w:t>
      </w:r>
      <w:r w:rsidR="00631FF2" w:rsidRPr="00631FF2">
        <w:t>ly</w:t>
      </w:r>
      <w:r w:rsidR="00DE6646" w:rsidRPr="00631FF2">
        <w:t xml:space="preserve"> after the GFC</w:t>
      </w:r>
      <w:r w:rsidR="005D5F6E" w:rsidRPr="00631FF2">
        <w:t xml:space="preserve">. </w:t>
      </w:r>
      <w:r w:rsidR="00631FF2" w:rsidRPr="00631FF2">
        <w:t xml:space="preserve">The </w:t>
      </w:r>
      <w:r w:rsidR="002313F2">
        <w:t>desire to control</w:t>
      </w:r>
      <w:r w:rsidR="00F16A60" w:rsidRPr="00631FF2">
        <w:t xml:space="preserve"> the economy has again </w:t>
      </w:r>
      <w:r w:rsidR="002313F2">
        <w:t>led</w:t>
      </w:r>
      <w:r w:rsidR="00F16A60" w:rsidRPr="00631FF2">
        <w:t xml:space="preserve"> the Communist Party not to </w:t>
      </w:r>
      <w:r w:rsidR="002313F2">
        <w:t xml:space="preserve">pursue </w:t>
      </w:r>
      <w:r w:rsidR="00CE18FB">
        <w:t xml:space="preserve">more economic </w:t>
      </w:r>
      <w:r w:rsidR="002313F2">
        <w:t>freedom f</w:t>
      </w:r>
      <w:r w:rsidR="00F16A60" w:rsidRPr="00631FF2">
        <w:t>o</w:t>
      </w:r>
      <w:r w:rsidR="002313F2">
        <w:t>r</w:t>
      </w:r>
      <w:r w:rsidR="00F16A60" w:rsidRPr="00631FF2">
        <w:t xml:space="preserve"> </w:t>
      </w:r>
      <w:r w:rsidR="00CE18FB">
        <w:t xml:space="preserve">the </w:t>
      </w:r>
      <w:r w:rsidR="002313F2">
        <w:t>private sector</w:t>
      </w:r>
      <w:r w:rsidR="00F16A60" w:rsidRPr="00631FF2">
        <w:t xml:space="preserve">. </w:t>
      </w:r>
      <w:r w:rsidR="00322F96" w:rsidRPr="000F3DF4">
        <w:t xml:space="preserve">After two decades of growth, the </w:t>
      </w:r>
      <w:r w:rsidR="00F16A60" w:rsidRPr="000F3DF4">
        <w:t xml:space="preserve">economy </w:t>
      </w:r>
      <w:r w:rsidR="00322F96" w:rsidRPr="000F3DF4">
        <w:t xml:space="preserve">started to lose its growth </w:t>
      </w:r>
      <w:r w:rsidR="00631FF2" w:rsidRPr="000F3DF4">
        <w:t xml:space="preserve">momentum </w:t>
      </w:r>
      <w:r w:rsidR="00CB1437" w:rsidRPr="000F3DF4">
        <w:t xml:space="preserve">from </w:t>
      </w:r>
      <w:r w:rsidR="002313F2">
        <w:t xml:space="preserve">the </w:t>
      </w:r>
      <w:r w:rsidR="00322F96" w:rsidRPr="000F3DF4">
        <w:t xml:space="preserve">late 2000s. </w:t>
      </w:r>
      <w:r w:rsidR="00F0247F">
        <w:t>Instead of more decentralization an</w:t>
      </w:r>
      <w:r w:rsidR="002313F2">
        <w:t xml:space="preserve">d privatization, the government, which </w:t>
      </w:r>
      <w:r w:rsidR="00F0247F">
        <w:t xml:space="preserve">was controlled </w:t>
      </w:r>
      <w:r w:rsidR="002313F2">
        <w:t xml:space="preserve">solely </w:t>
      </w:r>
      <w:r w:rsidR="00F0247F">
        <w:t>by the Communist party</w:t>
      </w:r>
      <w:r w:rsidR="002313F2">
        <w:t>,</w:t>
      </w:r>
      <w:r w:rsidR="00F0247F">
        <w:t xml:space="preserve"> has pursued the state-conglomerate model. </w:t>
      </w:r>
      <w:r w:rsidR="00322F96" w:rsidRPr="000F3DF4">
        <w:t xml:space="preserve">The </w:t>
      </w:r>
      <w:r w:rsidR="002313F2">
        <w:t>state-run conglomerate model</w:t>
      </w:r>
      <w:r w:rsidR="00322F96" w:rsidRPr="000F3DF4">
        <w:t xml:space="preserve"> </w:t>
      </w:r>
      <w:r w:rsidR="002313F2">
        <w:t>appears</w:t>
      </w:r>
      <w:r w:rsidR="00F0247F">
        <w:t xml:space="preserve"> to </w:t>
      </w:r>
      <w:r w:rsidR="002313F2">
        <w:t>have</w:t>
      </w:r>
      <w:r w:rsidR="00F0247F">
        <w:t xml:space="preserve"> </w:t>
      </w:r>
      <w:r w:rsidR="00322F96" w:rsidRPr="000F3DF4">
        <w:t xml:space="preserve">serious problems from </w:t>
      </w:r>
      <w:r w:rsidR="00F0247F">
        <w:t xml:space="preserve">mismanagement, poor </w:t>
      </w:r>
      <w:r w:rsidR="00322F96" w:rsidRPr="000F3DF4">
        <w:t>efficiency and corruption to crony capitalism.</w:t>
      </w:r>
      <w:r w:rsidR="003E0D33" w:rsidRPr="000F3DF4">
        <w:rPr>
          <w:rStyle w:val="FootnoteReference"/>
        </w:rPr>
        <w:footnoteReference w:id="2"/>
      </w:r>
      <w:r w:rsidR="00322F96" w:rsidRPr="000F3DF4">
        <w:t xml:space="preserve"> </w:t>
      </w:r>
      <w:r w:rsidR="002313F2">
        <w:t xml:space="preserve"> T</w:t>
      </w:r>
      <w:r w:rsidR="00322F96" w:rsidRPr="000F3DF4">
        <w:t xml:space="preserve">he economy </w:t>
      </w:r>
      <w:r w:rsidR="002313F2">
        <w:t xml:space="preserve">has </w:t>
      </w:r>
      <w:r w:rsidR="00322F96" w:rsidRPr="000F3DF4">
        <w:t xml:space="preserve">experienced a period of high inflation, </w:t>
      </w:r>
      <w:r w:rsidR="003E0D33">
        <w:t xml:space="preserve">serious </w:t>
      </w:r>
      <w:r w:rsidR="00322F96" w:rsidRPr="000F3DF4">
        <w:t>budget deficit</w:t>
      </w:r>
      <w:r w:rsidR="002313F2">
        <w:t>s</w:t>
      </w:r>
      <w:r w:rsidR="00322F96" w:rsidRPr="000F3DF4">
        <w:t>, declining foreign reserve</w:t>
      </w:r>
      <w:r w:rsidR="003E0D33">
        <w:t>s</w:t>
      </w:r>
      <w:r w:rsidR="00322F96" w:rsidRPr="000F3DF4">
        <w:t>, mismanaged fiscal and monetary policies, high unemployment</w:t>
      </w:r>
      <w:r w:rsidR="003E0D33">
        <w:t xml:space="preserve"> and sluggish </w:t>
      </w:r>
      <w:r w:rsidR="00CE18FB" w:rsidRPr="000F3DF4">
        <w:t>economic growth</w:t>
      </w:r>
      <w:r w:rsidR="00322F96" w:rsidRPr="000F3DF4">
        <w:t>.</w:t>
      </w:r>
      <w:r w:rsidR="002313F2">
        <w:t xml:space="preserve"> </w:t>
      </w:r>
      <w:r w:rsidR="00322F96" w:rsidRPr="000F3DF4">
        <w:t xml:space="preserve"> </w:t>
      </w:r>
      <w:r w:rsidR="002313F2">
        <w:t xml:space="preserve">Currently, </w:t>
      </w:r>
      <w:r w:rsidR="00F16A60" w:rsidRPr="000F3DF4">
        <w:t>t</w:t>
      </w:r>
      <w:r w:rsidR="00322F96" w:rsidRPr="000F3DF4">
        <w:t xml:space="preserve">he state sector </w:t>
      </w:r>
      <w:r w:rsidR="007B3BF6" w:rsidRPr="000F3DF4">
        <w:t>still do</w:t>
      </w:r>
      <w:r w:rsidR="002313F2">
        <w:t>minates</w:t>
      </w:r>
      <w:r w:rsidR="007B3BF6" w:rsidRPr="000F3DF4">
        <w:t xml:space="preserve"> economic activities, for example</w:t>
      </w:r>
      <w:r w:rsidR="002313F2">
        <w:t xml:space="preserve">, </w:t>
      </w:r>
      <w:r w:rsidR="00322F96" w:rsidRPr="000F3DF4">
        <w:t xml:space="preserve">70% </w:t>
      </w:r>
      <w:r w:rsidR="007B3BF6" w:rsidRPr="000F3DF4">
        <w:t xml:space="preserve">of </w:t>
      </w:r>
      <w:r w:rsidR="00322F96" w:rsidRPr="000F3DF4">
        <w:t xml:space="preserve">total </w:t>
      </w:r>
      <w:r w:rsidR="007B3BF6" w:rsidRPr="000F3DF4">
        <w:t>physical</w:t>
      </w:r>
      <w:r w:rsidR="003D469E">
        <w:t xml:space="preserve"> capital </w:t>
      </w:r>
      <w:r w:rsidR="00322F96" w:rsidRPr="000F3DF4">
        <w:t xml:space="preserve">investment, 60% commercial </w:t>
      </w:r>
      <w:r w:rsidR="007B3BF6" w:rsidRPr="000F3DF4">
        <w:t>loan value from banks</w:t>
      </w:r>
      <w:r w:rsidR="00322F96" w:rsidRPr="000F3DF4">
        <w:t xml:space="preserve"> and 70% of ODA</w:t>
      </w:r>
      <w:r w:rsidR="009E0F9A">
        <w:t xml:space="preserve">, but just </w:t>
      </w:r>
      <w:r w:rsidR="009E0F9A" w:rsidRPr="000F3DF4">
        <w:t xml:space="preserve">about 10% </w:t>
      </w:r>
      <w:r w:rsidR="009E0F9A">
        <w:t xml:space="preserve">of </w:t>
      </w:r>
      <w:r w:rsidR="009E0F9A" w:rsidRPr="000F3DF4">
        <w:t>employment</w:t>
      </w:r>
      <w:r w:rsidR="00322F96" w:rsidRPr="000F3DF4">
        <w:t>.</w:t>
      </w:r>
      <w:r w:rsidR="005D5F6E" w:rsidRPr="000F3DF4">
        <w:t> </w:t>
      </w:r>
      <w:r w:rsidR="00F16A60" w:rsidRPr="000F3DF4">
        <w:t xml:space="preserve">The </w:t>
      </w:r>
      <w:r w:rsidR="00CE18FB" w:rsidRPr="000F3DF4">
        <w:t xml:space="preserve">severe </w:t>
      </w:r>
      <w:r w:rsidR="00F16A60" w:rsidRPr="000F3DF4">
        <w:t xml:space="preserve">distortion in the economy has impeded markets including </w:t>
      </w:r>
      <w:r w:rsidR="00CE18FB" w:rsidRPr="000F3DF4">
        <w:t xml:space="preserve">the </w:t>
      </w:r>
      <w:r w:rsidR="00F16A60" w:rsidRPr="000F3DF4">
        <w:t>lab</w:t>
      </w:r>
      <w:r w:rsidR="00F16A60" w:rsidRPr="00631FF2">
        <w:t>ou</w:t>
      </w:r>
      <w:r w:rsidR="002313F2">
        <w:t>r market</w:t>
      </w:r>
      <w:r w:rsidR="00F16A60" w:rsidRPr="00631FF2">
        <w:t>.</w:t>
      </w:r>
    </w:p>
    <w:p w:rsidR="00BE5A87" w:rsidRPr="00631FF2" w:rsidRDefault="00BE5A87" w:rsidP="005A2C59">
      <w:pPr>
        <w:widowControl w:val="0"/>
        <w:tabs>
          <w:tab w:val="left" w:pos="284"/>
          <w:tab w:val="left" w:pos="426"/>
        </w:tabs>
        <w:overflowPunct w:val="0"/>
        <w:autoSpaceDE w:val="0"/>
        <w:autoSpaceDN w:val="0"/>
        <w:adjustRightInd w:val="0"/>
        <w:spacing w:line="288" w:lineRule="auto"/>
        <w:jc w:val="both"/>
      </w:pPr>
    </w:p>
    <w:p w:rsidR="00D70885" w:rsidRDefault="00BE5A87" w:rsidP="005A2C59">
      <w:pPr>
        <w:tabs>
          <w:tab w:val="left" w:pos="284"/>
          <w:tab w:val="left" w:pos="426"/>
        </w:tabs>
        <w:spacing w:line="288" w:lineRule="auto"/>
        <w:jc w:val="both"/>
      </w:pPr>
      <w:r>
        <w:tab/>
      </w:r>
      <w:r w:rsidR="009871AF">
        <w:tab/>
      </w:r>
      <w:r w:rsidR="003E0D33" w:rsidRPr="003E0D33">
        <w:t>Given a</w:t>
      </w:r>
      <w:r w:rsidR="003E0D33">
        <w:t xml:space="preserve"> </w:t>
      </w:r>
      <w:r w:rsidR="00D51F12">
        <w:t xml:space="preserve">heavily distorted economy </w:t>
      </w:r>
      <w:r w:rsidR="003E0D33">
        <w:t xml:space="preserve">and labour market in </w:t>
      </w:r>
      <w:r w:rsidR="00D7693F">
        <w:t>Vietnam, higher-</w:t>
      </w:r>
      <w:r w:rsidR="00D51F12">
        <w:t xml:space="preserve">educated workers tend to work </w:t>
      </w:r>
      <w:r w:rsidR="00D7693F">
        <w:t xml:space="preserve">the </w:t>
      </w:r>
      <w:r w:rsidR="00D51F12">
        <w:t>in state sector</w:t>
      </w:r>
      <w:r w:rsidR="003E0D33">
        <w:t xml:space="preserve"> (</w:t>
      </w:r>
      <w:r w:rsidR="003E0D33" w:rsidRPr="008922C6">
        <w:t>Coxhead and Phan 2013)</w:t>
      </w:r>
      <w:r w:rsidR="00D51F12">
        <w:t xml:space="preserve">, while the transition in Eastern European economies </w:t>
      </w:r>
      <w:r w:rsidR="00CE18FB">
        <w:t xml:space="preserve">resulted in </w:t>
      </w:r>
      <w:r w:rsidR="00D51F12">
        <w:t xml:space="preserve">the movement of skilled workers to </w:t>
      </w:r>
      <w:r w:rsidR="00D7693F">
        <w:t>the private sector</w:t>
      </w:r>
      <w:r w:rsidR="00D51F12">
        <w:t xml:space="preserve"> to seek </w:t>
      </w:r>
      <w:r w:rsidR="00D7693F">
        <w:t xml:space="preserve">more productive or </w:t>
      </w:r>
      <w:r w:rsidR="00D51F12">
        <w:t xml:space="preserve">better paid jobs (Munich, </w:t>
      </w:r>
      <w:proofErr w:type="spellStart"/>
      <w:r w:rsidR="00D51F12">
        <w:t>Svejnar</w:t>
      </w:r>
      <w:proofErr w:type="spellEnd"/>
      <w:r>
        <w:t xml:space="preserve"> and Terrell</w:t>
      </w:r>
      <w:r w:rsidR="00D51F12">
        <w:t xml:space="preserve"> 2005). The distortion in </w:t>
      </w:r>
      <w:r w:rsidR="00D7693F">
        <w:t xml:space="preserve">the </w:t>
      </w:r>
      <w:r w:rsidR="00D51F12">
        <w:t>Vietnam</w:t>
      </w:r>
      <w:r w:rsidR="00D7693F">
        <w:t>ese</w:t>
      </w:r>
      <w:r w:rsidR="00D51F12">
        <w:t xml:space="preserve"> </w:t>
      </w:r>
      <w:r w:rsidR="00D25D9B">
        <w:t xml:space="preserve">labour market </w:t>
      </w:r>
      <w:r w:rsidR="001464BE">
        <w:t>has occurred</w:t>
      </w:r>
      <w:r w:rsidR="00D7693F">
        <w:t xml:space="preserve"> partly because the government wants to control key economic decisions as they concerned about losing socialism ideology if economic influence is shifted to non-state sectors.</w:t>
      </w:r>
      <w:r w:rsidR="00D51F12">
        <w:t xml:space="preserve"> </w:t>
      </w:r>
    </w:p>
    <w:p w:rsidR="00D7693F" w:rsidRDefault="00D7693F" w:rsidP="005A2C59">
      <w:pPr>
        <w:tabs>
          <w:tab w:val="left" w:pos="284"/>
          <w:tab w:val="left" w:pos="426"/>
        </w:tabs>
        <w:spacing w:line="288" w:lineRule="auto"/>
        <w:jc w:val="both"/>
      </w:pPr>
    </w:p>
    <w:p w:rsidR="00D51F12" w:rsidRDefault="00D70885" w:rsidP="005A2C59">
      <w:pPr>
        <w:tabs>
          <w:tab w:val="left" w:pos="284"/>
          <w:tab w:val="left" w:pos="426"/>
        </w:tabs>
        <w:spacing w:line="288" w:lineRule="auto"/>
        <w:jc w:val="both"/>
      </w:pPr>
      <w:r>
        <w:tab/>
      </w:r>
      <w:r>
        <w:tab/>
      </w:r>
      <w:r w:rsidR="00D51F12">
        <w:t>There exists a high degree of economic policy distortion with heavily bias</w:t>
      </w:r>
      <w:r w:rsidR="00BE5A87">
        <w:t xml:space="preserve">ed towards flavouring SOEs </w:t>
      </w:r>
      <w:r w:rsidR="001464BE">
        <w:t xml:space="preserve">in Vietnam </w:t>
      </w:r>
      <w:r w:rsidR="00BE5A87">
        <w:t xml:space="preserve">(IMF </w:t>
      </w:r>
      <w:r w:rsidR="001464BE">
        <w:t>2012). This has</w:t>
      </w:r>
      <w:r w:rsidR="00D51F12">
        <w:t xml:space="preserve"> led to </w:t>
      </w:r>
      <w:r w:rsidR="001464BE">
        <w:t xml:space="preserve">a </w:t>
      </w:r>
      <w:r w:rsidR="00D51F12">
        <w:t>generation of privileges for public servants and well-connected people</w:t>
      </w:r>
      <w:r w:rsidR="001464BE">
        <w:t>.  This situation has</w:t>
      </w:r>
      <w:r w:rsidR="00D51F12">
        <w:t xml:space="preserve"> </w:t>
      </w:r>
      <w:r w:rsidR="001464BE">
        <w:t>affected firm and workers behaviour</w:t>
      </w:r>
      <w:r w:rsidR="00D51F12">
        <w:t xml:space="preserve"> </w:t>
      </w:r>
      <w:r w:rsidR="001464BE">
        <w:t>i</w:t>
      </w:r>
      <w:r w:rsidR="00D51F12">
        <w:t xml:space="preserve">n the </w:t>
      </w:r>
      <w:r w:rsidR="001F08C2">
        <w:t xml:space="preserve">labour </w:t>
      </w:r>
      <w:r w:rsidR="00D51F12">
        <w:t xml:space="preserve">market. Many workers therefore want to work </w:t>
      </w:r>
      <w:r w:rsidR="001464BE">
        <w:t>in the</w:t>
      </w:r>
      <w:r w:rsidR="00D51F12">
        <w:t xml:space="preserve"> public </w:t>
      </w:r>
      <w:r w:rsidR="001F08C2">
        <w:t xml:space="preserve">sector or SOEs </w:t>
      </w:r>
      <w:r w:rsidR="00D51F12">
        <w:t>to enjoy the privileges</w:t>
      </w:r>
      <w:r w:rsidR="001464BE">
        <w:t xml:space="preserve">. Firms and </w:t>
      </w:r>
      <w:r w:rsidR="001F08C2">
        <w:t>lo</w:t>
      </w:r>
      <w:r w:rsidR="003E0D33">
        <w:t>cal</w:t>
      </w:r>
      <w:r w:rsidR="001F08C2">
        <w:t xml:space="preserve"> government entities </w:t>
      </w:r>
      <w:r w:rsidR="00D51F12">
        <w:t xml:space="preserve">want to recruit well-connected (with senior government officers) </w:t>
      </w:r>
      <w:r w:rsidR="003E0D33">
        <w:t xml:space="preserve">workers </w:t>
      </w:r>
      <w:r w:rsidR="00D51F12">
        <w:t>to take advantages of the relationship</w:t>
      </w:r>
      <w:r w:rsidR="003E0D33">
        <w:t xml:space="preserve"> to exploit the privileges</w:t>
      </w:r>
      <w:r w:rsidR="00D51F12">
        <w:t xml:space="preserve">. Coxhead and Phan (2013) use the terms </w:t>
      </w:r>
      <w:r w:rsidR="00DE24A2">
        <w:t>'</w:t>
      </w:r>
      <w:r w:rsidR="00D51F12">
        <w:t>princelings</w:t>
      </w:r>
      <w:r w:rsidR="00DE24A2">
        <w:t>'</w:t>
      </w:r>
      <w:r w:rsidR="00D51F12">
        <w:t xml:space="preserve"> to describe this problem. </w:t>
      </w:r>
      <w:r w:rsidR="00DE24A2">
        <w:t xml:space="preserve"> </w:t>
      </w:r>
      <w:r w:rsidR="001F08C2">
        <w:t xml:space="preserve">In this situation, </w:t>
      </w:r>
      <w:r w:rsidR="00D51F12">
        <w:t>education</w:t>
      </w:r>
      <w:r w:rsidR="001464BE">
        <w:t xml:space="preserve"> is </w:t>
      </w:r>
      <w:r w:rsidR="003E0D33">
        <w:t xml:space="preserve">likely to be </w:t>
      </w:r>
      <w:r w:rsidR="001F08C2">
        <w:t>under</w:t>
      </w:r>
      <w:r w:rsidR="00D51F12">
        <w:t>valued.</w:t>
      </w:r>
      <w:r w:rsidR="00DE24A2">
        <w:t xml:space="preserve"> </w:t>
      </w:r>
      <w:r w:rsidR="002B5755">
        <w:t>It has recently become a phenomenon that in order to get promoted and earn a higher income, t</w:t>
      </w:r>
      <w:r w:rsidR="00D51F12">
        <w:t xml:space="preserve">he most important </w:t>
      </w:r>
      <w:r w:rsidR="002B5755">
        <w:t>factor is to have relationship with senior government officers</w:t>
      </w:r>
      <w:proofErr w:type="gramStart"/>
      <w:r w:rsidR="002B5755">
        <w:t xml:space="preserve">, </w:t>
      </w:r>
      <w:r w:rsidR="00D51F12">
        <w:t>,</w:t>
      </w:r>
      <w:proofErr w:type="gramEnd"/>
      <w:r w:rsidR="00D51F12">
        <w:t xml:space="preserve"> the second is </w:t>
      </w:r>
      <w:r w:rsidR="00DE24A2">
        <w:t xml:space="preserve">to have </w:t>
      </w:r>
      <w:r w:rsidR="00D51F12">
        <w:t xml:space="preserve">family relatives or descendants </w:t>
      </w:r>
      <w:r w:rsidR="001F08C2">
        <w:t xml:space="preserve">of </w:t>
      </w:r>
      <w:r w:rsidR="00A611C3">
        <w:t xml:space="preserve">public officers </w:t>
      </w:r>
      <w:r w:rsidR="00D51F12">
        <w:t xml:space="preserve">(princelings), the third is </w:t>
      </w:r>
      <w:r w:rsidR="00DE24A2">
        <w:t xml:space="preserve">to invest </w:t>
      </w:r>
      <w:r w:rsidR="00D51F12">
        <w:t xml:space="preserve">money </w:t>
      </w:r>
      <w:r w:rsidR="00817EE3">
        <w:t xml:space="preserve">in the forms of </w:t>
      </w:r>
      <w:r w:rsidR="00DE24A2">
        <w:t>bribes</w:t>
      </w:r>
      <w:r w:rsidR="00D51F12">
        <w:t xml:space="preserve"> and the least important </w:t>
      </w:r>
      <w:r w:rsidR="00DE24A2">
        <w:t>requirement</w:t>
      </w:r>
      <w:r w:rsidR="00817EE3">
        <w:t xml:space="preserve"> </w:t>
      </w:r>
      <w:r w:rsidR="00D51F12">
        <w:t xml:space="preserve">is </w:t>
      </w:r>
      <w:r w:rsidR="00817EE3">
        <w:t xml:space="preserve">to have </w:t>
      </w:r>
      <w:r w:rsidR="00D51F12">
        <w:t>knowledge (education)</w:t>
      </w:r>
      <w:r w:rsidR="00A611C3">
        <w:t>.</w:t>
      </w:r>
    </w:p>
    <w:p w:rsidR="005A565B" w:rsidRDefault="005A565B" w:rsidP="005A2C59">
      <w:pPr>
        <w:tabs>
          <w:tab w:val="left" w:pos="284"/>
          <w:tab w:val="left" w:pos="426"/>
        </w:tabs>
        <w:spacing w:line="288" w:lineRule="auto"/>
        <w:jc w:val="both"/>
      </w:pPr>
    </w:p>
    <w:p w:rsidR="00BE5A87" w:rsidRDefault="00786885" w:rsidP="005A2C59">
      <w:pPr>
        <w:widowControl w:val="0"/>
        <w:tabs>
          <w:tab w:val="left" w:pos="284"/>
          <w:tab w:val="left" w:pos="426"/>
        </w:tabs>
        <w:overflowPunct w:val="0"/>
        <w:autoSpaceDE w:val="0"/>
        <w:autoSpaceDN w:val="0"/>
        <w:adjustRightInd w:val="0"/>
        <w:spacing w:line="288" w:lineRule="auto"/>
        <w:jc w:val="both"/>
      </w:pPr>
      <w:r>
        <w:tab/>
      </w:r>
      <w:r w:rsidR="00BE5A87">
        <w:tab/>
      </w:r>
      <w:r w:rsidR="000172DB">
        <w:t xml:space="preserve">The connections based on family ties </w:t>
      </w:r>
      <w:r w:rsidR="005068AA">
        <w:t xml:space="preserve">have become an </w:t>
      </w:r>
      <w:r w:rsidR="000172DB">
        <w:t xml:space="preserve">important factor determining the likelihood of gaining </w:t>
      </w:r>
      <w:r w:rsidR="00E23189">
        <w:t>employment</w:t>
      </w:r>
      <w:r w:rsidR="000172DB">
        <w:t xml:space="preserve"> in </w:t>
      </w:r>
      <w:r w:rsidR="00E23189">
        <w:t xml:space="preserve">the </w:t>
      </w:r>
      <w:r w:rsidR="00A611C3">
        <w:t xml:space="preserve">public </w:t>
      </w:r>
      <w:r w:rsidR="000172DB">
        <w:t xml:space="preserve">sector </w:t>
      </w:r>
      <w:r w:rsidR="005068AA">
        <w:t xml:space="preserve">in Vietnam </w:t>
      </w:r>
      <w:r w:rsidR="00BE5A87">
        <w:t>(</w:t>
      </w:r>
      <w:proofErr w:type="spellStart"/>
      <w:r w:rsidR="00BE5A87">
        <w:t>Oxhead</w:t>
      </w:r>
      <w:proofErr w:type="spellEnd"/>
      <w:r w:rsidR="00BE5A87">
        <w:t xml:space="preserve"> and Phan</w:t>
      </w:r>
      <w:r w:rsidR="000172DB">
        <w:t xml:space="preserve"> 2013). </w:t>
      </w:r>
      <w:r w:rsidR="00D51F12">
        <w:t xml:space="preserve">The income premium of </w:t>
      </w:r>
      <w:r w:rsidR="00E23189">
        <w:t xml:space="preserve">working in the </w:t>
      </w:r>
      <w:r w:rsidR="00D51F12">
        <w:t>state sector i</w:t>
      </w:r>
      <w:r w:rsidR="00E23189">
        <w:t xml:space="preserve">s higher than in the </w:t>
      </w:r>
      <w:r w:rsidR="00D51F12">
        <w:t>private sector</w:t>
      </w:r>
      <w:r w:rsidR="00E23189">
        <w:t>.</w:t>
      </w:r>
      <w:r w:rsidR="00D51F12">
        <w:t xml:space="preserve"> </w:t>
      </w:r>
      <w:r w:rsidR="00E23189">
        <w:t>This situation discourages</w:t>
      </w:r>
      <w:r w:rsidR="00D51F12">
        <w:t xml:space="preserve"> education investment for those who do not have the relationships</w:t>
      </w:r>
      <w:r w:rsidR="002963B3">
        <w:t xml:space="preserve"> or </w:t>
      </w:r>
      <w:r w:rsidR="00E23189">
        <w:t xml:space="preserve">who </w:t>
      </w:r>
      <w:r w:rsidR="002275C6">
        <w:t xml:space="preserve">are not </w:t>
      </w:r>
      <w:r w:rsidR="002963B3">
        <w:t>descendants</w:t>
      </w:r>
      <w:r w:rsidR="005068AA">
        <w:t>. I</w:t>
      </w:r>
      <w:r w:rsidR="00D51F12">
        <w:t>nstead of investing more in education</w:t>
      </w:r>
      <w:r w:rsidR="00E23189">
        <w:t>,</w:t>
      </w:r>
      <w:r w:rsidR="00D51F12">
        <w:t xml:space="preserve"> </w:t>
      </w:r>
      <w:r w:rsidR="00A611C3">
        <w:t xml:space="preserve">families have turned to </w:t>
      </w:r>
      <w:r w:rsidR="00D51F12">
        <w:lastRenderedPageBreak/>
        <w:t>‘buy</w:t>
      </w:r>
      <w:r w:rsidR="00E23189">
        <w:t xml:space="preserve">ing’ jobs - that is, </w:t>
      </w:r>
      <w:r w:rsidR="005068AA">
        <w:t>paying bribe</w:t>
      </w:r>
      <w:r w:rsidR="00E23189">
        <w:t xml:space="preserve">s - </w:t>
      </w:r>
      <w:r w:rsidR="00D51F12">
        <w:t xml:space="preserve">for their children </w:t>
      </w:r>
      <w:r w:rsidR="00E23189">
        <w:t xml:space="preserve">to work </w:t>
      </w:r>
      <w:r w:rsidR="00D51F12">
        <w:t xml:space="preserve">in </w:t>
      </w:r>
      <w:r w:rsidR="00A611C3">
        <w:t xml:space="preserve">the </w:t>
      </w:r>
      <w:r w:rsidR="00D51F12">
        <w:t>state sector.</w:t>
      </w:r>
      <w:r w:rsidR="00E23189">
        <w:t xml:space="preserve"> </w:t>
      </w:r>
      <w:r w:rsidR="002B5755">
        <w:t>That is, t</w:t>
      </w:r>
      <w:r w:rsidR="002963B3">
        <w:t xml:space="preserve">hey </w:t>
      </w:r>
      <w:r w:rsidR="000172DB">
        <w:t xml:space="preserve">choose to </w:t>
      </w:r>
      <w:r w:rsidR="005068AA">
        <w:t xml:space="preserve">opt out of investment </w:t>
      </w:r>
      <w:r w:rsidR="00E23189">
        <w:t>in education.</w:t>
      </w:r>
      <w:r w:rsidR="002963B3">
        <w:t xml:space="preserve"> </w:t>
      </w:r>
      <w:r w:rsidR="00E23189">
        <w:t>C</w:t>
      </w:r>
      <w:r w:rsidR="00D51F12">
        <w:t xml:space="preserve">orruption has </w:t>
      </w:r>
      <w:r w:rsidR="00A611C3">
        <w:t xml:space="preserve">thus </w:t>
      </w:r>
      <w:r w:rsidR="00D51F12">
        <w:t>become very severe in Vietnam</w:t>
      </w:r>
      <w:r w:rsidR="00E23189">
        <w:t>. J</w:t>
      </w:r>
      <w:r w:rsidR="002275C6">
        <w:t xml:space="preserve">ob buyers will try </w:t>
      </w:r>
      <w:r w:rsidR="005068AA">
        <w:t xml:space="preserve">to gain </w:t>
      </w:r>
      <w:r w:rsidR="002275C6">
        <w:t>returns from the</w:t>
      </w:r>
      <w:r w:rsidR="005068AA">
        <w:t>ir</w:t>
      </w:r>
      <w:r w:rsidR="002275C6">
        <w:t xml:space="preserve"> ‘job investment’</w:t>
      </w:r>
      <w:r w:rsidR="002B5755">
        <w:t xml:space="preserve"> by asking for and/or receiving bribes</w:t>
      </w:r>
      <w:r w:rsidR="00D51F12">
        <w:t xml:space="preserve">. </w:t>
      </w:r>
      <w:r w:rsidR="00A611C3">
        <w:t>R</w:t>
      </w:r>
      <w:r w:rsidR="00D51F12">
        <w:t>ecent reports from the World Transparency Index show</w:t>
      </w:r>
      <w:r w:rsidR="005068AA">
        <w:t xml:space="preserve"> very</w:t>
      </w:r>
      <w:r w:rsidR="00D51F12">
        <w:t xml:space="preserve"> </w:t>
      </w:r>
      <w:r w:rsidR="00A611C3">
        <w:t>little i</w:t>
      </w:r>
      <w:r w:rsidR="00D51F12">
        <w:t xml:space="preserve">mprovement in </w:t>
      </w:r>
      <w:r w:rsidR="00E23189">
        <w:t xml:space="preserve">the </w:t>
      </w:r>
      <w:r w:rsidR="00D51F12">
        <w:t xml:space="preserve">corruption </w:t>
      </w:r>
      <w:r w:rsidR="005068AA">
        <w:t xml:space="preserve">ranking </w:t>
      </w:r>
      <w:r w:rsidR="00E23189">
        <w:t>of</w:t>
      </w:r>
      <w:r w:rsidR="00D51F12">
        <w:t xml:space="preserve"> Vietnam </w:t>
      </w:r>
      <w:r w:rsidR="00C356E4">
        <w:t xml:space="preserve">over </w:t>
      </w:r>
      <w:r w:rsidR="002275C6">
        <w:t xml:space="preserve">the </w:t>
      </w:r>
      <w:r w:rsidR="00D51F12">
        <w:t>last five years.</w:t>
      </w:r>
      <w:r w:rsidR="00A611C3">
        <w:t xml:space="preserve"> </w:t>
      </w:r>
      <w:r w:rsidR="002B5755">
        <w:t xml:space="preserve">Vietnam </w:t>
      </w:r>
      <w:r w:rsidR="00EA1A22">
        <w:t>has been recently</w:t>
      </w:r>
      <w:r w:rsidR="002B5755">
        <w:t xml:space="preserve"> still ranked very low amongst East and Southeast Asian countries. </w:t>
      </w:r>
      <w:r w:rsidR="00A611C3">
        <w:t>A</w:t>
      </w:r>
      <w:r w:rsidR="000172DB">
        <w:t xml:space="preserve"> majority of workers in Vietnam have a low likelihood of finding employment in industries/occupation where returns to higher-quality education </w:t>
      </w:r>
      <w:r w:rsidR="00E23189">
        <w:t>would</w:t>
      </w:r>
      <w:r w:rsidR="000172DB">
        <w:t xml:space="preserve"> justify the cost of</w:t>
      </w:r>
      <w:r w:rsidR="00E23189">
        <w:t xml:space="preserve"> their qualifications</w:t>
      </w:r>
      <w:r w:rsidR="00A611C3">
        <w:t xml:space="preserve"> (</w:t>
      </w:r>
      <w:proofErr w:type="spellStart"/>
      <w:r w:rsidR="00A611C3">
        <w:t>Oxhead</w:t>
      </w:r>
      <w:proofErr w:type="spellEnd"/>
      <w:r w:rsidR="00A611C3">
        <w:t xml:space="preserve"> and Phan 2013)</w:t>
      </w:r>
      <w:r w:rsidR="000172DB">
        <w:t xml:space="preserve">. </w:t>
      </w:r>
    </w:p>
    <w:p w:rsidR="0075644D" w:rsidRPr="00786885" w:rsidRDefault="0075644D" w:rsidP="005A2C59">
      <w:pPr>
        <w:widowControl w:val="0"/>
        <w:tabs>
          <w:tab w:val="left" w:pos="284"/>
          <w:tab w:val="left" w:pos="426"/>
        </w:tabs>
        <w:overflowPunct w:val="0"/>
        <w:autoSpaceDE w:val="0"/>
        <w:autoSpaceDN w:val="0"/>
        <w:adjustRightInd w:val="0"/>
        <w:spacing w:line="288" w:lineRule="auto"/>
        <w:jc w:val="both"/>
        <w:rPr>
          <w:sz w:val="20"/>
          <w:szCs w:val="20"/>
        </w:rPr>
      </w:pPr>
    </w:p>
    <w:p w:rsidR="000172DB" w:rsidRDefault="00BE5A87" w:rsidP="005A2C59">
      <w:pPr>
        <w:widowControl w:val="0"/>
        <w:tabs>
          <w:tab w:val="left" w:pos="284"/>
          <w:tab w:val="left" w:pos="426"/>
        </w:tabs>
        <w:overflowPunct w:val="0"/>
        <w:autoSpaceDE w:val="0"/>
        <w:autoSpaceDN w:val="0"/>
        <w:adjustRightInd w:val="0"/>
        <w:spacing w:line="288" w:lineRule="auto"/>
        <w:jc w:val="both"/>
      </w:pPr>
      <w:r>
        <w:tab/>
      </w:r>
      <w:r>
        <w:tab/>
      </w:r>
      <w:r w:rsidR="00A611C3">
        <w:t xml:space="preserve">If there does not exist a functioning labour market, </w:t>
      </w:r>
      <w:r w:rsidR="000172DB">
        <w:t xml:space="preserve">some children </w:t>
      </w:r>
      <w:r w:rsidR="00A611C3">
        <w:t xml:space="preserve">will </w:t>
      </w:r>
      <w:r w:rsidR="000172DB">
        <w:t xml:space="preserve">opt out of education to join </w:t>
      </w:r>
      <w:r w:rsidR="00C356E4">
        <w:t>the lower-</w:t>
      </w:r>
      <w:r w:rsidR="000172DB">
        <w:t xml:space="preserve">skilled labour force </w:t>
      </w:r>
      <w:r w:rsidR="00C356E4">
        <w:t xml:space="preserve">and </w:t>
      </w:r>
      <w:r w:rsidR="000172DB">
        <w:t>work in factories in industrial parks, exporting zones or special economic zones</w:t>
      </w:r>
      <w:r w:rsidR="00C356E4">
        <w:t xml:space="preserve">.  </w:t>
      </w:r>
      <w:r w:rsidR="000172DB">
        <w:t>Many higher educat</w:t>
      </w:r>
      <w:r w:rsidR="00A611C3">
        <w:t>ed</w:t>
      </w:r>
      <w:r w:rsidR="000172DB">
        <w:t xml:space="preserve"> graduates worked in offices with lower pay than those with low</w:t>
      </w:r>
      <w:r w:rsidR="00A611C3">
        <w:t>er qualification</w:t>
      </w:r>
      <w:r w:rsidR="00B50796">
        <w:t xml:space="preserve">s working </w:t>
      </w:r>
      <w:r w:rsidR="00A611C3">
        <w:t xml:space="preserve">in </w:t>
      </w:r>
      <w:r w:rsidR="000172DB">
        <w:t>manufacturing assembly factories</w:t>
      </w:r>
      <w:r w:rsidR="00B50796">
        <w:t xml:space="preserve">. </w:t>
      </w:r>
      <w:r w:rsidR="000172DB">
        <w:t xml:space="preserve">The </w:t>
      </w:r>
      <w:r w:rsidR="002275C6">
        <w:t xml:space="preserve">declining </w:t>
      </w:r>
      <w:r w:rsidR="000172DB">
        <w:t xml:space="preserve">returns to education will </w:t>
      </w:r>
      <w:r w:rsidR="00A611C3">
        <w:t xml:space="preserve">thus </w:t>
      </w:r>
      <w:r w:rsidR="000172DB">
        <w:t xml:space="preserve">discourage education investment and harm human capital formation leading to </w:t>
      </w:r>
      <w:r w:rsidR="00B50796">
        <w:t xml:space="preserve">a slower </w:t>
      </w:r>
      <w:r w:rsidR="003427F0">
        <w:t>economic growth (Booth</w:t>
      </w:r>
      <w:r w:rsidR="000172DB">
        <w:t xml:space="preserve"> 2003).</w:t>
      </w:r>
      <w:r w:rsidR="00D25D9B">
        <w:t xml:space="preserve"> </w:t>
      </w:r>
      <w:r w:rsidR="00A611C3">
        <w:t xml:space="preserve">This is </w:t>
      </w:r>
      <w:r w:rsidR="002275C6">
        <w:t xml:space="preserve">a </w:t>
      </w:r>
      <w:r w:rsidR="00B50796">
        <w:t xml:space="preserve">significant </w:t>
      </w:r>
      <w:r w:rsidR="002275C6">
        <w:t xml:space="preserve">risk </w:t>
      </w:r>
      <w:r w:rsidR="00A611C3">
        <w:t xml:space="preserve">for economic </w:t>
      </w:r>
      <w:r w:rsidR="007F0E2E">
        <w:t xml:space="preserve">growth </w:t>
      </w:r>
      <w:r w:rsidR="002275C6">
        <w:t xml:space="preserve">as growth in the long run relies on productivity </w:t>
      </w:r>
      <w:r>
        <w:t xml:space="preserve">(Krugman </w:t>
      </w:r>
      <w:r w:rsidR="001E5E87">
        <w:t>1992</w:t>
      </w:r>
      <w:r w:rsidR="007F0E2E">
        <w:t>)</w:t>
      </w:r>
      <w:r w:rsidR="002275C6">
        <w:t>.</w:t>
      </w:r>
    </w:p>
    <w:p w:rsidR="00D51F12" w:rsidRPr="00786885" w:rsidRDefault="00D51F12" w:rsidP="005A2C59">
      <w:pPr>
        <w:widowControl w:val="0"/>
        <w:tabs>
          <w:tab w:val="left" w:pos="284"/>
          <w:tab w:val="left" w:pos="426"/>
        </w:tabs>
        <w:overflowPunct w:val="0"/>
        <w:autoSpaceDE w:val="0"/>
        <w:autoSpaceDN w:val="0"/>
        <w:adjustRightInd w:val="0"/>
        <w:spacing w:line="288" w:lineRule="auto"/>
        <w:jc w:val="both"/>
        <w:rPr>
          <w:sz w:val="20"/>
          <w:szCs w:val="20"/>
        </w:rPr>
      </w:pPr>
    </w:p>
    <w:p w:rsidR="00EB1D59" w:rsidRDefault="00BE5A87" w:rsidP="005A2C59">
      <w:pPr>
        <w:widowControl w:val="0"/>
        <w:tabs>
          <w:tab w:val="left" w:pos="284"/>
          <w:tab w:val="left" w:pos="426"/>
        </w:tabs>
        <w:overflowPunct w:val="0"/>
        <w:autoSpaceDE w:val="0"/>
        <w:autoSpaceDN w:val="0"/>
        <w:adjustRightInd w:val="0"/>
        <w:spacing w:line="288" w:lineRule="auto"/>
        <w:jc w:val="both"/>
      </w:pPr>
      <w:r>
        <w:tab/>
      </w:r>
      <w:r w:rsidR="000172DB">
        <w:t xml:space="preserve">Apart from </w:t>
      </w:r>
      <w:r w:rsidR="00EB1D59">
        <w:t xml:space="preserve">labour </w:t>
      </w:r>
      <w:r w:rsidR="000172DB">
        <w:t xml:space="preserve">market distortion, </w:t>
      </w:r>
      <w:r w:rsidR="00104C47">
        <w:t>the</w:t>
      </w:r>
      <w:r w:rsidR="00EB1D59">
        <w:t xml:space="preserve"> </w:t>
      </w:r>
      <w:r w:rsidR="000172DB">
        <w:t xml:space="preserve">increasing supply of higher education </w:t>
      </w:r>
      <w:r w:rsidR="008524DC">
        <w:t>may</w:t>
      </w:r>
      <w:r w:rsidR="000172DB">
        <w:t xml:space="preserve"> affect the returns to education. T</w:t>
      </w:r>
      <w:r w:rsidR="00DE6646">
        <w:t xml:space="preserve">here </w:t>
      </w:r>
      <w:r w:rsidR="008524DC">
        <w:t>is a</w:t>
      </w:r>
      <w:r w:rsidR="00DE6646">
        <w:t xml:space="preserve"> boom in education supply</w:t>
      </w:r>
      <w:r w:rsidR="00104C47">
        <w:t>,</w:t>
      </w:r>
      <w:r w:rsidR="00DE6646">
        <w:t xml:space="preserve"> especially higher education</w:t>
      </w:r>
      <w:r w:rsidR="00104C47">
        <w:t>,</w:t>
      </w:r>
      <w:r w:rsidR="00EB1D59">
        <w:t xml:space="preserve"> in transition economies</w:t>
      </w:r>
      <w:r w:rsidR="00DE6646">
        <w:t xml:space="preserve">. </w:t>
      </w:r>
      <w:r w:rsidR="00FC4A28" w:rsidRPr="00217069">
        <w:t xml:space="preserve">Under </w:t>
      </w:r>
      <w:r w:rsidR="00104C47">
        <w:t xml:space="preserve">a </w:t>
      </w:r>
      <w:r w:rsidR="00FC4A28" w:rsidRPr="00217069">
        <w:t>command economy, education uptake</w:t>
      </w:r>
      <w:r w:rsidR="00104C47">
        <w:t>,</w:t>
      </w:r>
      <w:r w:rsidR="00FC4A28" w:rsidRPr="00217069">
        <w:t xml:space="preserve"> particularly higher education</w:t>
      </w:r>
      <w:r w:rsidR="00104C47">
        <w:t>,</w:t>
      </w:r>
      <w:r w:rsidR="00FC4A28" w:rsidRPr="00217069">
        <w:t xml:space="preserve"> </w:t>
      </w:r>
      <w:r w:rsidR="00104C47">
        <w:t>is</w:t>
      </w:r>
      <w:r w:rsidR="00FC4A28" w:rsidRPr="00217069">
        <w:t xml:space="preserve"> subject to a quota </w:t>
      </w:r>
      <w:r w:rsidR="008524DC">
        <w:t xml:space="preserve">set </w:t>
      </w:r>
      <w:r w:rsidR="00FC4A28" w:rsidRPr="00217069">
        <w:t xml:space="preserve">by the central government which </w:t>
      </w:r>
      <w:r w:rsidR="00EB1D59">
        <w:t>was</w:t>
      </w:r>
      <w:r w:rsidR="00FC4A28" w:rsidRPr="00217069">
        <w:t xml:space="preserve"> often w</w:t>
      </w:r>
      <w:r w:rsidR="00104C47">
        <w:t>ell below demand</w:t>
      </w:r>
      <w:r w:rsidR="00FC4A28" w:rsidRPr="00217069">
        <w:t xml:space="preserve">. Due to </w:t>
      </w:r>
      <w:r w:rsidR="00104C47">
        <w:t xml:space="preserve">an open </w:t>
      </w:r>
      <w:r w:rsidR="00FC4A28" w:rsidRPr="00217069">
        <w:t xml:space="preserve">policy on education, new opportunities have resulted in </w:t>
      </w:r>
      <w:r w:rsidR="00DA6835">
        <w:t xml:space="preserve">a </w:t>
      </w:r>
      <w:r w:rsidR="00FC4A28" w:rsidRPr="00217069">
        <w:t xml:space="preserve">mushrooming </w:t>
      </w:r>
      <w:r w:rsidR="00EF02BF">
        <w:t xml:space="preserve">of </w:t>
      </w:r>
      <w:r w:rsidR="00FC4A28" w:rsidRPr="00217069">
        <w:t xml:space="preserve">education </w:t>
      </w:r>
      <w:r w:rsidR="00EB1D59">
        <w:t>providers</w:t>
      </w:r>
      <w:r w:rsidR="00DA6835">
        <w:t>,</w:t>
      </w:r>
      <w:r w:rsidR="00EB1D59">
        <w:t xml:space="preserve"> </w:t>
      </w:r>
      <w:r w:rsidR="00FC4A28" w:rsidRPr="00217069">
        <w:t>including tertiary education</w:t>
      </w:r>
      <w:r w:rsidR="00DA6835">
        <w:t>.</w:t>
      </w:r>
      <w:r w:rsidR="00FC4A28" w:rsidRPr="00217069">
        <w:t xml:space="preserve"> </w:t>
      </w:r>
      <w:r w:rsidR="00DA6835">
        <w:t xml:space="preserve">As a result, </w:t>
      </w:r>
      <w:r w:rsidR="00FC4A28" w:rsidRPr="00217069">
        <w:t>student</w:t>
      </w:r>
      <w:r w:rsidR="00DA6835">
        <w:t xml:space="preserve"> numbers surge</w:t>
      </w:r>
      <w:r w:rsidR="00EF02BF">
        <w:t>d</w:t>
      </w:r>
      <w:r w:rsidR="00FC4A28" w:rsidRPr="00217069">
        <w:t xml:space="preserve">. Soon enough, the labour market was faced with an increasing number of people with higher diplomas. Although some transition countries are still faced with </w:t>
      </w:r>
      <w:r w:rsidR="00EF02BF">
        <w:t xml:space="preserve">a </w:t>
      </w:r>
      <w:r w:rsidR="00FC4A28" w:rsidRPr="00217069">
        <w:t>shortag</w:t>
      </w:r>
      <w:r>
        <w:t>e of skilled workers (</w:t>
      </w:r>
      <w:proofErr w:type="spellStart"/>
      <w:r>
        <w:t>Rutkowski</w:t>
      </w:r>
      <w:proofErr w:type="spellEnd"/>
      <w:r w:rsidR="00FC4A28" w:rsidRPr="00217069">
        <w:t xml:space="preserve"> 2007), the increase in rewards for highly educated people cannot be endless and should </w:t>
      </w:r>
      <w:r w:rsidR="00EB1D59">
        <w:t xml:space="preserve">then </w:t>
      </w:r>
      <w:r w:rsidR="00FC4A28" w:rsidRPr="00217069">
        <w:t xml:space="preserve">slow down, </w:t>
      </w:r>
      <w:r w:rsidR="00EF02BF">
        <w:t xml:space="preserve">stay </w:t>
      </w:r>
      <w:r w:rsidR="00EB1D59">
        <w:t>flat</w:t>
      </w:r>
      <w:r w:rsidR="00D25D9B">
        <w:t>,</w:t>
      </w:r>
      <w:r w:rsidR="00FC4A28" w:rsidRPr="00217069">
        <w:t xml:space="preserve"> or </w:t>
      </w:r>
      <w:r w:rsidR="00EB1D59">
        <w:t xml:space="preserve">decline </w:t>
      </w:r>
      <w:r w:rsidR="00FC4A28" w:rsidRPr="00217069">
        <w:t>eventually.</w:t>
      </w:r>
      <w:r w:rsidR="00FC4A28">
        <w:t xml:space="preserve"> </w:t>
      </w:r>
    </w:p>
    <w:p w:rsidR="00BE5A87" w:rsidRPr="00786885" w:rsidRDefault="00BE5A87" w:rsidP="005A2C59">
      <w:pPr>
        <w:widowControl w:val="0"/>
        <w:tabs>
          <w:tab w:val="left" w:pos="284"/>
          <w:tab w:val="left" w:pos="426"/>
        </w:tabs>
        <w:overflowPunct w:val="0"/>
        <w:autoSpaceDE w:val="0"/>
        <w:autoSpaceDN w:val="0"/>
        <w:adjustRightInd w:val="0"/>
        <w:spacing w:line="288" w:lineRule="auto"/>
        <w:jc w:val="both"/>
        <w:rPr>
          <w:sz w:val="20"/>
          <w:szCs w:val="20"/>
        </w:rPr>
      </w:pPr>
    </w:p>
    <w:p w:rsidR="00E36198" w:rsidRDefault="00BE5A87" w:rsidP="005A2C59">
      <w:pPr>
        <w:widowControl w:val="0"/>
        <w:tabs>
          <w:tab w:val="left" w:pos="284"/>
          <w:tab w:val="left" w:pos="426"/>
        </w:tabs>
        <w:overflowPunct w:val="0"/>
        <w:autoSpaceDE w:val="0"/>
        <w:autoSpaceDN w:val="0"/>
        <w:adjustRightInd w:val="0"/>
        <w:spacing w:line="288" w:lineRule="auto"/>
        <w:jc w:val="both"/>
      </w:pPr>
      <w:r>
        <w:tab/>
      </w:r>
      <w:r w:rsidR="00786885">
        <w:tab/>
      </w:r>
      <w:r w:rsidR="008524DC">
        <w:t>In Vietnam, a</w:t>
      </w:r>
      <w:r w:rsidR="00FC4A28">
        <w:t xml:space="preserve"> </w:t>
      </w:r>
      <w:r w:rsidR="00EF02BF">
        <w:t>significant</w:t>
      </w:r>
      <w:r w:rsidR="00FC4A28">
        <w:t xml:space="preserve"> increase in intakes </w:t>
      </w:r>
      <w:r w:rsidR="00EF02BF">
        <w:t>into</w:t>
      </w:r>
      <w:r w:rsidR="00FC4A28">
        <w:t xml:space="preserve"> tertiary education has been observed in </w:t>
      </w:r>
      <w:r w:rsidR="00C139AA">
        <w:t xml:space="preserve">the middle and third part </w:t>
      </w:r>
      <w:r w:rsidR="00EB1D59">
        <w:t xml:space="preserve">of </w:t>
      </w:r>
      <w:r w:rsidR="00FC4A28">
        <w:t>2000s</w:t>
      </w:r>
      <w:r w:rsidR="00EB1D59">
        <w:t xml:space="preserve"> </w:t>
      </w:r>
      <w:r w:rsidR="00C139AA">
        <w:t>(see Figure 1). The gross enrolment rate</w:t>
      </w:r>
      <w:r w:rsidR="00EF02BF">
        <w:t xml:space="preserve"> in </w:t>
      </w:r>
      <w:r w:rsidR="00C139AA">
        <w:t>tertiary</w:t>
      </w:r>
      <w:r w:rsidR="00901C0A">
        <w:t xml:space="preserve"> education increased from around 10%</w:t>
      </w:r>
      <w:r w:rsidR="008524DC">
        <w:t xml:space="preserve"> for many years prior to 2003 to 15.9% in 2005. The enrolment rate </w:t>
      </w:r>
      <w:r w:rsidR="00901C0A">
        <w:t>then increase</w:t>
      </w:r>
      <w:r w:rsidR="008524DC">
        <w:t xml:space="preserve">d again </w:t>
      </w:r>
      <w:r w:rsidR="00901C0A">
        <w:t xml:space="preserve">from 15.9% in 2005 to 24.4% in 2011. </w:t>
      </w:r>
      <w:r w:rsidR="00827586">
        <w:t xml:space="preserve">Between 2003 and 2011, the gross </w:t>
      </w:r>
      <w:r w:rsidR="008524DC">
        <w:t xml:space="preserve">tertiary </w:t>
      </w:r>
      <w:r w:rsidR="00827586">
        <w:t xml:space="preserve">enrolment rose by </w:t>
      </w:r>
      <w:r w:rsidR="00EF02BF">
        <w:t xml:space="preserve">a remarkable </w:t>
      </w:r>
      <w:r w:rsidR="00827586">
        <w:t xml:space="preserve">144%. </w:t>
      </w:r>
      <w:r w:rsidR="004B4FEA">
        <w:t xml:space="preserve">The increase in uptake </w:t>
      </w:r>
      <w:r w:rsidR="000F3D22">
        <w:t xml:space="preserve">beginning in </w:t>
      </w:r>
      <w:r w:rsidR="004B4FEA">
        <w:t>200</w:t>
      </w:r>
      <w:r w:rsidR="00644037">
        <w:t>4 would start having an effect from</w:t>
      </w:r>
      <w:r w:rsidR="000F3D22">
        <w:t xml:space="preserve"> 2008 onwards as the additional students graduated after </w:t>
      </w:r>
      <w:r w:rsidR="008524DC">
        <w:t xml:space="preserve">three or </w:t>
      </w:r>
      <w:r w:rsidR="000F3D22">
        <w:t>four years</w:t>
      </w:r>
      <w:r w:rsidR="008524DC">
        <w:t xml:space="preserve"> of training</w:t>
      </w:r>
      <w:r w:rsidR="000F3D22">
        <w:t xml:space="preserve">. The effect in </w:t>
      </w:r>
      <w:r w:rsidR="00E36198">
        <w:t xml:space="preserve">the </w:t>
      </w:r>
      <w:r w:rsidR="000F3D22">
        <w:t xml:space="preserve">following years </w:t>
      </w:r>
      <w:r w:rsidR="00E36198">
        <w:t xml:space="preserve">would be stronger as </w:t>
      </w:r>
      <w:r w:rsidR="008524DC">
        <w:t xml:space="preserve">incremental </w:t>
      </w:r>
      <w:r w:rsidR="00E36198">
        <w:t>number</w:t>
      </w:r>
      <w:r w:rsidR="00644037">
        <w:t>s</w:t>
      </w:r>
      <w:r w:rsidR="00E36198">
        <w:t xml:space="preserve"> of </w:t>
      </w:r>
      <w:r w:rsidR="008524DC">
        <w:t xml:space="preserve">students </w:t>
      </w:r>
      <w:r w:rsidR="00E36198">
        <w:t xml:space="preserve">graduate. </w:t>
      </w:r>
    </w:p>
    <w:p w:rsidR="00D70885" w:rsidRDefault="00D70885" w:rsidP="005A2C59">
      <w:pPr>
        <w:widowControl w:val="0"/>
        <w:tabs>
          <w:tab w:val="left" w:pos="284"/>
          <w:tab w:val="left" w:pos="426"/>
        </w:tabs>
        <w:overflowPunct w:val="0"/>
        <w:autoSpaceDE w:val="0"/>
        <w:autoSpaceDN w:val="0"/>
        <w:adjustRightInd w:val="0"/>
        <w:spacing w:line="288" w:lineRule="auto"/>
        <w:jc w:val="both"/>
      </w:pPr>
    </w:p>
    <w:p w:rsidR="0075644D" w:rsidRDefault="0075644D" w:rsidP="0075644D">
      <w:pPr>
        <w:widowControl w:val="0"/>
        <w:tabs>
          <w:tab w:val="left" w:pos="284"/>
          <w:tab w:val="left" w:pos="426"/>
        </w:tabs>
        <w:overflowPunct w:val="0"/>
        <w:autoSpaceDE w:val="0"/>
        <w:autoSpaceDN w:val="0"/>
        <w:adjustRightInd w:val="0"/>
        <w:spacing w:line="288" w:lineRule="auto"/>
        <w:jc w:val="both"/>
      </w:pPr>
      <w:r>
        <w:tab/>
      </w:r>
      <w:r>
        <w:tab/>
      </w:r>
      <w:r w:rsidR="00644037">
        <w:t>T</w:t>
      </w:r>
      <w:r>
        <w:t>he quality of the training is not always followed with quantity improvement</w:t>
      </w:r>
      <w:r w:rsidR="00644037">
        <w:t>s</w:t>
      </w:r>
      <w:r>
        <w:t xml:space="preserve"> (Christian 2014).  Economic growth has been sluggish since the GFC and the Vietnam economy has not been able to absorb the extra graduates. Data from Ministry of labour, Invalids and Social </w:t>
      </w:r>
      <w:r>
        <w:lastRenderedPageBreak/>
        <w:t>Affairs reveal</w:t>
      </w:r>
      <w:r w:rsidR="00644037">
        <w:t>s</w:t>
      </w:r>
      <w:r>
        <w:t xml:space="preserve"> that except </w:t>
      </w:r>
      <w:r w:rsidR="00644037">
        <w:t xml:space="preserve">for </w:t>
      </w:r>
      <w:r>
        <w:t xml:space="preserve">non-educated people </w:t>
      </w:r>
      <w:r w:rsidR="00644037">
        <w:t xml:space="preserve">(who </w:t>
      </w:r>
      <w:r>
        <w:t>have the highest unemployment rat</w:t>
      </w:r>
      <w:r w:rsidR="00644037">
        <w:t>e)</w:t>
      </w:r>
      <w:r>
        <w:rPr>
          <w:rStyle w:val="FootnoteReference"/>
        </w:rPr>
        <w:footnoteReference w:id="3"/>
      </w:r>
      <w:r w:rsidR="00644037">
        <w:t>,</w:t>
      </w:r>
      <w:r>
        <w:t xml:space="preserve"> people with university degrees have a higher unemployment rate than any other </w:t>
      </w:r>
      <w:r w:rsidR="00644037">
        <w:t>group</w:t>
      </w:r>
      <w:r>
        <w:t>. This is unusual, and implies an oversupply of the higher educa</w:t>
      </w:r>
      <w:r w:rsidR="00644037">
        <w:t>tion graduates and possibly</w:t>
      </w:r>
      <w:r>
        <w:t xml:space="preserve"> </w:t>
      </w:r>
      <w:r w:rsidR="00644037">
        <w:t xml:space="preserve">a </w:t>
      </w:r>
      <w:r>
        <w:t>low</w:t>
      </w:r>
      <w:r w:rsidR="00644037">
        <w:t>er</w:t>
      </w:r>
      <w:r>
        <w:t xml:space="preserve"> quality of the tertiary education training.</w:t>
      </w:r>
    </w:p>
    <w:p w:rsidR="0075644D" w:rsidRDefault="0075644D" w:rsidP="005A2C59">
      <w:pPr>
        <w:widowControl w:val="0"/>
        <w:tabs>
          <w:tab w:val="left" w:pos="284"/>
          <w:tab w:val="left" w:pos="426"/>
        </w:tabs>
        <w:overflowPunct w:val="0"/>
        <w:autoSpaceDE w:val="0"/>
        <w:autoSpaceDN w:val="0"/>
        <w:adjustRightInd w:val="0"/>
        <w:spacing w:line="288" w:lineRule="auto"/>
        <w:jc w:val="both"/>
      </w:pPr>
    </w:p>
    <w:p w:rsidR="00C139AA" w:rsidRDefault="004118E2" w:rsidP="005F6ACA">
      <w:pPr>
        <w:widowControl w:val="0"/>
        <w:overflowPunct w:val="0"/>
        <w:autoSpaceDE w:val="0"/>
        <w:autoSpaceDN w:val="0"/>
        <w:adjustRightInd w:val="0"/>
        <w:spacing w:line="288" w:lineRule="auto"/>
        <w:jc w:val="center"/>
      </w:pPr>
      <w:r>
        <w:rPr>
          <w:noProof/>
          <w:lang w:val="en-NZ" w:eastAsia="en-NZ"/>
        </w:rPr>
        <w:drawing>
          <wp:inline distT="0" distB="0" distL="0" distR="0" wp14:anchorId="44D04331" wp14:editId="04AE8DD0">
            <wp:extent cx="5928360" cy="3429000"/>
            <wp:effectExtent l="0" t="0" r="15240" b="1905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2108" w:rsidRPr="00CE50EC" w:rsidRDefault="00B62108" w:rsidP="00BE5A87">
      <w:pPr>
        <w:widowControl w:val="0"/>
        <w:tabs>
          <w:tab w:val="left" w:pos="284"/>
          <w:tab w:val="left" w:pos="426"/>
        </w:tabs>
        <w:overflowPunct w:val="0"/>
        <w:autoSpaceDE w:val="0"/>
        <w:autoSpaceDN w:val="0"/>
        <w:adjustRightInd w:val="0"/>
        <w:spacing w:line="288" w:lineRule="auto"/>
        <w:rPr>
          <w:sz w:val="20"/>
          <w:szCs w:val="20"/>
        </w:rPr>
      </w:pPr>
      <w:r w:rsidRPr="00BE5A87">
        <w:rPr>
          <w:i/>
          <w:sz w:val="20"/>
          <w:szCs w:val="20"/>
        </w:rPr>
        <w:t>Source: World Development Indicators</w:t>
      </w:r>
      <w:r w:rsidRPr="00CE50EC">
        <w:rPr>
          <w:sz w:val="20"/>
          <w:szCs w:val="20"/>
        </w:rPr>
        <w:t xml:space="preserve">, </w:t>
      </w:r>
      <w:hyperlink r:id="rId10" w:history="1">
        <w:r w:rsidRPr="00CE50EC">
          <w:rPr>
            <w:rStyle w:val="Hyperlink"/>
            <w:color w:val="auto"/>
            <w:sz w:val="20"/>
            <w:szCs w:val="20"/>
          </w:rPr>
          <w:t>http://data.worldbank.org/indicator/SE.TER.ENRR/countries/VN-4E-XN?display=default</w:t>
        </w:r>
      </w:hyperlink>
    </w:p>
    <w:p w:rsidR="00BE5A87" w:rsidRDefault="00BE5A87" w:rsidP="005A2C59">
      <w:pPr>
        <w:widowControl w:val="0"/>
        <w:tabs>
          <w:tab w:val="left" w:pos="284"/>
          <w:tab w:val="left" w:pos="426"/>
        </w:tabs>
        <w:overflowPunct w:val="0"/>
        <w:autoSpaceDE w:val="0"/>
        <w:autoSpaceDN w:val="0"/>
        <w:adjustRightInd w:val="0"/>
        <w:spacing w:line="288" w:lineRule="auto"/>
        <w:jc w:val="both"/>
      </w:pPr>
      <w:r>
        <w:tab/>
      </w:r>
    </w:p>
    <w:p w:rsidR="00E46A00" w:rsidRDefault="00BE5A87" w:rsidP="005A2C59">
      <w:pPr>
        <w:widowControl w:val="0"/>
        <w:tabs>
          <w:tab w:val="left" w:pos="284"/>
          <w:tab w:val="left" w:pos="426"/>
        </w:tabs>
        <w:overflowPunct w:val="0"/>
        <w:autoSpaceDE w:val="0"/>
        <w:autoSpaceDN w:val="0"/>
        <w:adjustRightInd w:val="0"/>
        <w:spacing w:line="288" w:lineRule="auto"/>
        <w:jc w:val="both"/>
      </w:pPr>
      <w:r>
        <w:tab/>
      </w:r>
      <w:r w:rsidR="00644037">
        <w:tab/>
        <w:t>T</w:t>
      </w:r>
      <w:r w:rsidR="00EB1D59" w:rsidRPr="005A048D">
        <w:t xml:space="preserve">he qualifications of higher educated workers are not </w:t>
      </w:r>
      <w:r w:rsidR="00731D12" w:rsidRPr="005A048D">
        <w:t xml:space="preserve">at </w:t>
      </w:r>
      <w:r w:rsidR="00047824">
        <w:t xml:space="preserve">the quality </w:t>
      </w:r>
      <w:r w:rsidR="00731D12" w:rsidRPr="005A048D">
        <w:t xml:space="preserve">level </w:t>
      </w:r>
      <w:r w:rsidR="00047824">
        <w:t>required.</w:t>
      </w:r>
      <w:r w:rsidR="00731D12" w:rsidRPr="005A048D">
        <w:t xml:space="preserve"> </w:t>
      </w:r>
      <w:r w:rsidR="003038D1" w:rsidRPr="005A048D">
        <w:t>Christian</w:t>
      </w:r>
      <w:r w:rsidR="005A048D" w:rsidRPr="005A048D">
        <w:t xml:space="preserve"> (</w:t>
      </w:r>
      <w:r w:rsidR="003038D1" w:rsidRPr="005A048D">
        <w:t>2014) shows unbalanced training in Vietnam education</w:t>
      </w:r>
      <w:r w:rsidR="00047824">
        <w:t xml:space="preserve"> where </w:t>
      </w:r>
      <w:r w:rsidR="00731D12" w:rsidRPr="005A048D">
        <w:t xml:space="preserve">education has focused mainly on </w:t>
      </w:r>
      <w:r w:rsidR="00E9365F" w:rsidRPr="005A048D">
        <w:t xml:space="preserve">scale </w:t>
      </w:r>
      <w:r w:rsidR="00731D12" w:rsidRPr="005A048D">
        <w:t>expansion</w:t>
      </w:r>
      <w:r w:rsidR="00C212B6" w:rsidRPr="005A048D">
        <w:t>,</w:t>
      </w:r>
      <w:r w:rsidR="00731D12" w:rsidRPr="005A048D">
        <w:t xml:space="preserve"> but </w:t>
      </w:r>
      <w:r w:rsidR="00C212B6" w:rsidRPr="005A048D">
        <w:t xml:space="preserve">the </w:t>
      </w:r>
      <w:r w:rsidR="00731D12" w:rsidRPr="005A048D">
        <w:t xml:space="preserve">quality of education </w:t>
      </w:r>
      <w:r w:rsidR="00C212B6" w:rsidRPr="005A048D">
        <w:t>has been questionable</w:t>
      </w:r>
      <w:r w:rsidR="00731D12" w:rsidRPr="005A048D">
        <w:t>. The</w:t>
      </w:r>
      <w:r w:rsidR="00B65C94">
        <w:t xml:space="preserve">re is a </w:t>
      </w:r>
      <w:r w:rsidR="003038D1" w:rsidRPr="005A048D">
        <w:t xml:space="preserve">need to focus </w:t>
      </w:r>
      <w:r w:rsidR="00B65C94">
        <w:t xml:space="preserve">on </w:t>
      </w:r>
      <w:r w:rsidR="003038D1" w:rsidRPr="005A048D">
        <w:t>both quantity and quality of education</w:t>
      </w:r>
      <w:r w:rsidR="00731D12" w:rsidRPr="005A048D">
        <w:t xml:space="preserve">. </w:t>
      </w:r>
      <w:r w:rsidR="00B65C94">
        <w:t xml:space="preserve">In short, it is </w:t>
      </w:r>
      <w:r w:rsidR="00C212B6" w:rsidRPr="005A048D">
        <w:t xml:space="preserve">important to provide </w:t>
      </w:r>
      <w:r w:rsidR="00047824">
        <w:t xml:space="preserve">the </w:t>
      </w:r>
      <w:r w:rsidR="00B65C94">
        <w:t>appropriate</w:t>
      </w:r>
      <w:r w:rsidR="003038D1" w:rsidRPr="005A048D">
        <w:t xml:space="preserve"> skills </w:t>
      </w:r>
      <w:r w:rsidR="00731D12" w:rsidRPr="005A048D">
        <w:t xml:space="preserve">to meet </w:t>
      </w:r>
      <w:r w:rsidR="003038D1" w:rsidRPr="005A048D">
        <w:t>Vietnam’s continued economic mod</w:t>
      </w:r>
      <w:r w:rsidR="00047824">
        <w:t>ernization</w:t>
      </w:r>
      <w:r w:rsidR="003038D1" w:rsidRPr="005A048D">
        <w:t xml:space="preserve">. </w:t>
      </w:r>
      <w:r w:rsidR="005A048D" w:rsidRPr="005A048D">
        <w:t xml:space="preserve">Apart from </w:t>
      </w:r>
      <w:r w:rsidR="003038D1" w:rsidRPr="005A048D">
        <w:t xml:space="preserve">job-specific skills, Vietnamese employers value cognitive skills, such as problem solving and critical thinking, and </w:t>
      </w:r>
      <w:r w:rsidR="00827586" w:rsidRPr="005A048D">
        <w:t>behavioural</w:t>
      </w:r>
      <w:r w:rsidR="003038D1" w:rsidRPr="005A048D">
        <w:t xml:space="preserve"> skills, such as team work and communication</w:t>
      </w:r>
      <w:r w:rsidR="009B658A" w:rsidRPr="005A048D">
        <w:t xml:space="preserve">. </w:t>
      </w:r>
      <w:r w:rsidR="00B65C94">
        <w:t>In</w:t>
      </w:r>
      <w:r w:rsidR="005A048D" w:rsidRPr="005A048D">
        <w:t xml:space="preserve"> </w:t>
      </w:r>
      <w:r w:rsidR="009B658A" w:rsidRPr="005A048D">
        <w:t>‘</w:t>
      </w:r>
      <w:r w:rsidR="003038D1" w:rsidRPr="005A048D">
        <w:rPr>
          <w:i/>
        </w:rPr>
        <w:t xml:space="preserve">Skilling </w:t>
      </w:r>
      <w:r w:rsidR="00CE5949" w:rsidRPr="005A048D">
        <w:rPr>
          <w:i/>
        </w:rPr>
        <w:t>up</w:t>
      </w:r>
      <w:r w:rsidR="003038D1" w:rsidRPr="005A048D">
        <w:rPr>
          <w:i/>
        </w:rPr>
        <w:t xml:space="preserve"> Vietnam</w:t>
      </w:r>
      <w:r w:rsidR="00B65C94">
        <w:t xml:space="preserve">’, </w:t>
      </w:r>
      <w:r>
        <w:t>Christian</w:t>
      </w:r>
      <w:r w:rsidR="005A048D" w:rsidRPr="005A048D">
        <w:t xml:space="preserve"> </w:t>
      </w:r>
      <w:r w:rsidR="00B65C94">
        <w:t>(</w:t>
      </w:r>
      <w:r w:rsidR="005A048D" w:rsidRPr="005A048D">
        <w:t xml:space="preserve">2014) </w:t>
      </w:r>
      <w:r w:rsidR="003038D1" w:rsidRPr="005A048D">
        <w:t xml:space="preserve">proposes a three-step holistic skills strategy. Vietnam’s skills development efforts should focus on promoting school readiness through early childhood development, ensuring a strong cognitive and </w:t>
      </w:r>
      <w:r w:rsidR="00C212B6" w:rsidRPr="005A048D">
        <w:t>behavioural</w:t>
      </w:r>
      <w:r w:rsidR="003038D1" w:rsidRPr="005A048D">
        <w:t xml:space="preserve"> </w:t>
      </w:r>
      <w:r w:rsidR="00B65C94">
        <w:t>foundation in general education</w:t>
      </w:r>
      <w:r w:rsidR="003038D1" w:rsidRPr="005A048D">
        <w:t xml:space="preserve"> and building job-relevant technical skills through a more connected system among employers, students and universities, and vocational schools.</w:t>
      </w:r>
    </w:p>
    <w:p w:rsidR="00BE5A87" w:rsidRDefault="00827586" w:rsidP="005A2C59">
      <w:pPr>
        <w:widowControl w:val="0"/>
        <w:tabs>
          <w:tab w:val="left" w:pos="284"/>
          <w:tab w:val="left" w:pos="426"/>
        </w:tabs>
        <w:overflowPunct w:val="0"/>
        <w:autoSpaceDE w:val="0"/>
        <w:autoSpaceDN w:val="0"/>
        <w:adjustRightInd w:val="0"/>
        <w:spacing w:line="288" w:lineRule="auto"/>
        <w:jc w:val="both"/>
      </w:pPr>
      <w:r w:rsidRPr="005A048D">
        <w:t xml:space="preserve"> </w:t>
      </w:r>
    </w:p>
    <w:p w:rsidR="00E77257" w:rsidRDefault="00BE5A87" w:rsidP="005A2C59">
      <w:pPr>
        <w:widowControl w:val="0"/>
        <w:tabs>
          <w:tab w:val="left" w:pos="284"/>
          <w:tab w:val="left" w:pos="426"/>
        </w:tabs>
        <w:overflowPunct w:val="0"/>
        <w:autoSpaceDE w:val="0"/>
        <w:autoSpaceDN w:val="0"/>
        <w:adjustRightInd w:val="0"/>
        <w:spacing w:line="288" w:lineRule="auto"/>
        <w:jc w:val="both"/>
      </w:pPr>
      <w:r>
        <w:tab/>
      </w:r>
      <w:r w:rsidR="00586EB8">
        <w:tab/>
      </w:r>
      <w:r w:rsidR="0048616F">
        <w:t xml:space="preserve">In summary, </w:t>
      </w:r>
      <w:r w:rsidR="00E46A00">
        <w:t xml:space="preserve">an </w:t>
      </w:r>
      <w:r w:rsidR="0048616F">
        <w:t>oversupply of educated workers</w:t>
      </w:r>
      <w:r w:rsidR="00D83CFA">
        <w:t>,</w:t>
      </w:r>
      <w:r w:rsidR="00E46A00">
        <w:t xml:space="preserve"> </w:t>
      </w:r>
      <w:r w:rsidR="00E9365F">
        <w:t xml:space="preserve">lower demand for educated workers due to slowing economic growth, </w:t>
      </w:r>
      <w:r w:rsidR="0048616F">
        <w:t xml:space="preserve">distortion in </w:t>
      </w:r>
      <w:r w:rsidR="00E46A00">
        <w:t xml:space="preserve">the </w:t>
      </w:r>
      <w:r w:rsidR="0048616F">
        <w:t>labour market</w:t>
      </w:r>
      <w:r w:rsidR="00E9365F">
        <w:t xml:space="preserve"> and </w:t>
      </w:r>
      <w:r w:rsidR="00E46A00">
        <w:t xml:space="preserve">the </w:t>
      </w:r>
      <w:r w:rsidR="00E9365F">
        <w:t>quality of training</w:t>
      </w:r>
      <w:r w:rsidR="0048616F">
        <w:t xml:space="preserve"> may be </w:t>
      </w:r>
      <w:r w:rsidR="00E9365F">
        <w:t xml:space="preserve">some </w:t>
      </w:r>
      <w:r w:rsidR="0048616F">
        <w:t xml:space="preserve">key factors </w:t>
      </w:r>
      <w:r w:rsidR="005A048D">
        <w:t>driving the fall of the</w:t>
      </w:r>
      <w:r w:rsidR="00E9365F">
        <w:t xml:space="preserve"> </w:t>
      </w:r>
      <w:r w:rsidR="00167359">
        <w:t xml:space="preserve">returns to education. </w:t>
      </w:r>
      <w:r>
        <w:t xml:space="preserve"> </w:t>
      </w:r>
      <w:r w:rsidR="00011655">
        <w:t xml:space="preserve">This paper aims at </w:t>
      </w:r>
      <w:r w:rsidR="00011655">
        <w:lastRenderedPageBreak/>
        <w:t>p</w:t>
      </w:r>
      <w:r w:rsidR="00E46A00">
        <w:t>rovide</w:t>
      </w:r>
      <w:r w:rsidR="005D5F6E" w:rsidRPr="00C010CB">
        <w:t xml:space="preserve"> an up-to-date estimate for returns to education</w:t>
      </w:r>
      <w:r w:rsidR="00E46A00">
        <w:t xml:space="preserve"> in </w:t>
      </w:r>
      <w:r w:rsidR="00011655" w:rsidRPr="00C010CB">
        <w:t>Vietnam</w:t>
      </w:r>
      <w:r w:rsidR="005D5F6E" w:rsidRPr="00C010CB">
        <w:t xml:space="preserve">. </w:t>
      </w:r>
      <w:r w:rsidR="00E46A00">
        <w:t xml:space="preserve">This task is important for at least two </w:t>
      </w:r>
      <w:r w:rsidR="005D5F6E" w:rsidRPr="00C010CB">
        <w:t xml:space="preserve">reasons. First, it </w:t>
      </w:r>
      <w:r w:rsidR="00E46A00">
        <w:t xml:space="preserve">provides </w:t>
      </w:r>
      <w:r w:rsidR="005D5F6E" w:rsidRPr="00C010CB">
        <w:t xml:space="preserve">information </w:t>
      </w:r>
      <w:r w:rsidR="00E46A00">
        <w:t xml:space="preserve">on </w:t>
      </w:r>
      <w:r w:rsidR="005D5F6E" w:rsidRPr="00C010CB">
        <w:t xml:space="preserve">the dynamics of </w:t>
      </w:r>
      <w:r w:rsidR="00E46A00">
        <w:t xml:space="preserve">the </w:t>
      </w:r>
      <w:r w:rsidR="005D5F6E" w:rsidRPr="00C010CB">
        <w:t xml:space="preserve">labour market in </w:t>
      </w:r>
      <w:r w:rsidR="00E46A00">
        <w:t>Vietnam</w:t>
      </w:r>
      <w:r w:rsidR="005D5F6E" w:rsidRPr="00C010CB">
        <w:t xml:space="preserve"> during </w:t>
      </w:r>
      <w:r w:rsidR="00167359">
        <w:t xml:space="preserve">different stages of </w:t>
      </w:r>
      <w:r w:rsidR="00E46A00">
        <w:t xml:space="preserve">its </w:t>
      </w:r>
      <w:r w:rsidR="00167359">
        <w:t xml:space="preserve">economic </w:t>
      </w:r>
      <w:r w:rsidR="005D5F6E" w:rsidRPr="00C010CB">
        <w:t>trans</w:t>
      </w:r>
      <w:r w:rsidR="00E9365F">
        <w:t>formation</w:t>
      </w:r>
      <w:r w:rsidR="005D5F6E" w:rsidRPr="00C010CB">
        <w:t>. Second</w:t>
      </w:r>
      <w:r w:rsidR="00696FF4">
        <w:t>ly</w:t>
      </w:r>
      <w:r w:rsidR="005D5F6E" w:rsidRPr="00C010CB">
        <w:t xml:space="preserve">, it provides implications for </w:t>
      </w:r>
      <w:r w:rsidR="00011655">
        <w:t>adjustment</w:t>
      </w:r>
      <w:r w:rsidR="00E46A00">
        <w:t>s</w:t>
      </w:r>
      <w:r w:rsidR="00011655">
        <w:t xml:space="preserve"> in </w:t>
      </w:r>
      <w:r w:rsidR="00167359">
        <w:t xml:space="preserve">education </w:t>
      </w:r>
      <w:r w:rsidR="00E9365F">
        <w:t xml:space="preserve">investment and education policy.  </w:t>
      </w:r>
      <w:r w:rsidR="00E46A00">
        <w:t>S</w:t>
      </w:r>
      <w:r w:rsidR="005D5F6E">
        <w:t xml:space="preserve">ection </w:t>
      </w:r>
      <w:r w:rsidR="00E46A00">
        <w:t xml:space="preserve">2 </w:t>
      </w:r>
      <w:r w:rsidR="00011655">
        <w:t xml:space="preserve">presents </w:t>
      </w:r>
      <w:r w:rsidR="005D5F6E">
        <w:t xml:space="preserve">the data and econometric specifications. Section </w:t>
      </w:r>
      <w:r w:rsidR="00011655">
        <w:t>3</w:t>
      </w:r>
      <w:r w:rsidR="005D5F6E">
        <w:t xml:space="preserve"> presents the results. Discussion of possible explanations for the changing returns and </w:t>
      </w:r>
      <w:r w:rsidR="00E46A00">
        <w:t xml:space="preserve">our </w:t>
      </w:r>
      <w:r w:rsidR="005D5F6E">
        <w:t>conclu</w:t>
      </w:r>
      <w:r w:rsidR="00011655">
        <w:t>sions are presented in Section 4</w:t>
      </w:r>
      <w:r w:rsidR="005D5F6E">
        <w:t>.</w:t>
      </w:r>
    </w:p>
    <w:p w:rsidR="00CD7A2B" w:rsidRDefault="00CD7A2B" w:rsidP="005A2C59">
      <w:pPr>
        <w:widowControl w:val="0"/>
        <w:tabs>
          <w:tab w:val="left" w:pos="284"/>
          <w:tab w:val="left" w:pos="426"/>
        </w:tabs>
        <w:overflowPunct w:val="0"/>
        <w:autoSpaceDE w:val="0"/>
        <w:autoSpaceDN w:val="0"/>
        <w:adjustRightInd w:val="0"/>
        <w:spacing w:line="288" w:lineRule="auto"/>
        <w:jc w:val="both"/>
        <w:rPr>
          <w:b/>
          <w:bCs/>
        </w:rPr>
      </w:pPr>
    </w:p>
    <w:p w:rsidR="005D5F6E" w:rsidRDefault="00FF5C4F" w:rsidP="005A2C59">
      <w:pPr>
        <w:widowControl w:val="0"/>
        <w:tabs>
          <w:tab w:val="left" w:pos="284"/>
          <w:tab w:val="left" w:pos="426"/>
        </w:tabs>
        <w:overflowPunct w:val="0"/>
        <w:autoSpaceDE w:val="0"/>
        <w:autoSpaceDN w:val="0"/>
        <w:adjustRightInd w:val="0"/>
        <w:spacing w:line="288" w:lineRule="auto"/>
        <w:jc w:val="both"/>
        <w:rPr>
          <w:b/>
          <w:bCs/>
        </w:rPr>
      </w:pPr>
      <w:r w:rsidRPr="00A22567">
        <w:rPr>
          <w:b/>
          <w:bCs/>
        </w:rPr>
        <w:t>2</w:t>
      </w:r>
      <w:r w:rsidR="00BE5A87">
        <w:rPr>
          <w:b/>
          <w:bCs/>
        </w:rPr>
        <w:t>. Data and Model S</w:t>
      </w:r>
      <w:r w:rsidR="005D5F6E" w:rsidRPr="00A22567">
        <w:rPr>
          <w:b/>
          <w:bCs/>
        </w:rPr>
        <w:t>pecification</w:t>
      </w:r>
    </w:p>
    <w:p w:rsidR="005F6ACA" w:rsidRPr="00C356E4" w:rsidRDefault="005F6ACA" w:rsidP="005A2C59">
      <w:pPr>
        <w:widowControl w:val="0"/>
        <w:tabs>
          <w:tab w:val="left" w:pos="284"/>
          <w:tab w:val="left" w:pos="426"/>
        </w:tabs>
        <w:overflowPunct w:val="0"/>
        <w:autoSpaceDE w:val="0"/>
        <w:autoSpaceDN w:val="0"/>
        <w:adjustRightInd w:val="0"/>
        <w:spacing w:line="288" w:lineRule="auto"/>
        <w:jc w:val="both"/>
        <w:rPr>
          <w:sz w:val="8"/>
          <w:szCs w:val="8"/>
        </w:rPr>
      </w:pPr>
    </w:p>
    <w:p w:rsidR="00DA5098" w:rsidRDefault="00DA5098" w:rsidP="005A2C59">
      <w:pPr>
        <w:tabs>
          <w:tab w:val="left" w:pos="284"/>
          <w:tab w:val="left" w:pos="426"/>
        </w:tabs>
        <w:spacing w:line="288" w:lineRule="auto"/>
        <w:jc w:val="both"/>
        <w:rPr>
          <w:b/>
        </w:rPr>
      </w:pPr>
      <w:r w:rsidRPr="00DA5098">
        <w:rPr>
          <w:b/>
        </w:rPr>
        <w:t>2.1 Data</w:t>
      </w:r>
    </w:p>
    <w:p w:rsidR="00E46A00" w:rsidRPr="00E46A00" w:rsidRDefault="00E46A00" w:rsidP="005A2C59">
      <w:pPr>
        <w:tabs>
          <w:tab w:val="left" w:pos="284"/>
          <w:tab w:val="left" w:pos="426"/>
        </w:tabs>
        <w:spacing w:line="288" w:lineRule="auto"/>
        <w:jc w:val="both"/>
        <w:rPr>
          <w:b/>
          <w:sz w:val="4"/>
          <w:szCs w:val="4"/>
        </w:rPr>
      </w:pPr>
    </w:p>
    <w:p w:rsidR="00DA5098" w:rsidRDefault="005D5F6E" w:rsidP="005A2C59">
      <w:pPr>
        <w:tabs>
          <w:tab w:val="left" w:pos="284"/>
          <w:tab w:val="left" w:pos="426"/>
        </w:tabs>
        <w:spacing w:line="288" w:lineRule="auto"/>
        <w:jc w:val="both"/>
      </w:pPr>
      <w:r>
        <w:t xml:space="preserve">Data used in </w:t>
      </w:r>
      <w:r w:rsidR="00DA5098">
        <w:t xml:space="preserve">this </w:t>
      </w:r>
      <w:r>
        <w:t>paper are from the 1998, 2002, 2004, 2006</w:t>
      </w:r>
      <w:r w:rsidR="00FF5C4F">
        <w:t>,</w:t>
      </w:r>
      <w:r>
        <w:t xml:space="preserve"> 2008</w:t>
      </w:r>
      <w:r w:rsidR="00FF5C4F">
        <w:t>, 2010, 2012 and 2014</w:t>
      </w:r>
      <w:r>
        <w:t xml:space="preserve"> rounds of the Vietnam Household Living Standards Survey (V</w:t>
      </w:r>
      <w:r w:rsidR="00FF5C4F">
        <w:t>H</w:t>
      </w:r>
      <w:r>
        <w:t>LSS) conducted by the General Statistics Office of Vietnam (GSO). The</w:t>
      </w:r>
      <w:r w:rsidR="00FF5C4F">
        <w:t xml:space="preserve"> data consist of around 6</w:t>
      </w:r>
      <w:r w:rsidR="00DA5098">
        <w:t>,</w:t>
      </w:r>
      <w:r w:rsidR="00FF5C4F">
        <w:t xml:space="preserve">000 </w:t>
      </w:r>
      <w:r>
        <w:t xml:space="preserve">households </w:t>
      </w:r>
      <w:r w:rsidR="00FF5C4F">
        <w:t xml:space="preserve">in 1998 to </w:t>
      </w:r>
      <w:r w:rsidR="00BE30EF">
        <w:t xml:space="preserve">about </w:t>
      </w:r>
      <w:r w:rsidR="00FF5C4F">
        <w:t>9,</w:t>
      </w:r>
      <w:r w:rsidR="00BE30EF">
        <w:t>4</w:t>
      </w:r>
      <w:r w:rsidR="00FF5C4F">
        <w:t xml:space="preserve">00 </w:t>
      </w:r>
      <w:r w:rsidR="00BE30EF">
        <w:t xml:space="preserve">households </w:t>
      </w:r>
      <w:r w:rsidR="00FF5C4F">
        <w:t xml:space="preserve">in 2014 except for </w:t>
      </w:r>
      <w:r w:rsidR="00DA5098">
        <w:t xml:space="preserve">the </w:t>
      </w:r>
      <w:r w:rsidR="00BE30EF">
        <w:t>VHLSS</w:t>
      </w:r>
      <w:r w:rsidR="00FF5C4F">
        <w:t>2002 round which has about 30,000 households.</w:t>
      </w:r>
      <w:r w:rsidR="00BE30EF" w:rsidRPr="00BE30EF">
        <w:rPr>
          <w:rStyle w:val="FootnoteReference"/>
        </w:rPr>
        <w:t xml:space="preserve"> </w:t>
      </w:r>
      <w:r w:rsidR="00BE30EF">
        <w:rPr>
          <w:rStyle w:val="FootnoteReference"/>
        </w:rPr>
        <w:footnoteReference w:id="4"/>
      </w:r>
      <w:r w:rsidR="00FF5C4F">
        <w:t xml:space="preserve"> The survey</w:t>
      </w:r>
      <w:r w:rsidR="009E5259">
        <w:t>s</w:t>
      </w:r>
      <w:r w:rsidR="00FF5C4F">
        <w:t xml:space="preserve"> offer a large number of household members from </w:t>
      </w:r>
      <w:r>
        <w:t>28,624 household members in V</w:t>
      </w:r>
      <w:r w:rsidR="00C37CB3">
        <w:t>H</w:t>
      </w:r>
      <w:r>
        <w:t>LSS1998</w:t>
      </w:r>
      <w:r w:rsidR="00FF5C4F">
        <w:t xml:space="preserve"> to </w:t>
      </w:r>
      <w:r w:rsidR="009E5259">
        <w:t xml:space="preserve">about 40,000 </w:t>
      </w:r>
      <w:r>
        <w:t xml:space="preserve">households </w:t>
      </w:r>
      <w:r w:rsidR="009E5259">
        <w:t>in 2014 (except a large number in VHLSS2002 with</w:t>
      </w:r>
      <w:r>
        <w:t xml:space="preserve"> </w:t>
      </w:r>
      <w:r w:rsidR="00DA5098">
        <w:t xml:space="preserve">more than </w:t>
      </w:r>
      <w:r>
        <w:t>132,</w:t>
      </w:r>
      <w:r w:rsidR="00DA5098">
        <w:t>000</w:t>
      </w:r>
      <w:r>
        <w:t xml:space="preserve"> members</w:t>
      </w:r>
      <w:r w:rsidR="00EF1524">
        <w:t>)</w:t>
      </w:r>
      <w:r>
        <w:t xml:space="preserve">. Sub-samples of wage-earners aged from 15 to 60 are used in the estimations, which yield 3,244 from </w:t>
      </w:r>
      <w:r w:rsidR="00C37CB3">
        <w:t>VHLSS</w:t>
      </w:r>
      <w:r>
        <w:t xml:space="preserve">1998, 26,268 from </w:t>
      </w:r>
      <w:r w:rsidR="00C37CB3">
        <w:t>VHLSS</w:t>
      </w:r>
      <w:r>
        <w:t xml:space="preserve">2002, 7,177 from </w:t>
      </w:r>
      <w:r w:rsidR="00C37CB3">
        <w:t>VHLSS</w:t>
      </w:r>
      <w:r>
        <w:t xml:space="preserve">2004, 7,436 from </w:t>
      </w:r>
      <w:r w:rsidR="00C37CB3">
        <w:t>VHLSS</w:t>
      </w:r>
      <w:r>
        <w:t xml:space="preserve">2006, 7,532 from </w:t>
      </w:r>
      <w:r w:rsidR="00C37CB3">
        <w:t>VHLSS</w:t>
      </w:r>
      <w:r>
        <w:t>2008</w:t>
      </w:r>
      <w:r w:rsidR="009E5259">
        <w:t>, 7,166 from VHLSS2010, 7,758 from VHLSS2012, and 7,868 from VHLSS2014</w:t>
      </w:r>
      <w:r>
        <w:t xml:space="preserve">. </w:t>
      </w:r>
      <w:r w:rsidR="00DA5098">
        <w:t xml:space="preserve">A consistent method of randomly stratified sampling across rounds of the survey enables us to compare the results </w:t>
      </w:r>
      <w:r w:rsidR="00C37CB3">
        <w:t>over time</w:t>
      </w:r>
      <w:r w:rsidR="00DA5098">
        <w:t>. These samples are representative for the national population of Vietnam.</w:t>
      </w:r>
    </w:p>
    <w:p w:rsidR="00CF4142" w:rsidRDefault="00CF4142" w:rsidP="005A2C59">
      <w:pPr>
        <w:tabs>
          <w:tab w:val="left" w:pos="284"/>
          <w:tab w:val="left" w:pos="426"/>
        </w:tabs>
        <w:spacing w:line="288" w:lineRule="auto"/>
        <w:jc w:val="both"/>
      </w:pPr>
    </w:p>
    <w:p w:rsidR="005D5F6E" w:rsidRDefault="00CF4142" w:rsidP="005A2C59">
      <w:pPr>
        <w:tabs>
          <w:tab w:val="left" w:pos="284"/>
          <w:tab w:val="left" w:pos="426"/>
        </w:tabs>
        <w:spacing w:line="288" w:lineRule="auto"/>
        <w:jc w:val="both"/>
      </w:pPr>
      <w:r>
        <w:tab/>
      </w:r>
      <w:r>
        <w:tab/>
      </w:r>
      <w:r w:rsidR="005D5F6E">
        <w:t xml:space="preserve">We use the average hourly income from the first and second job (if </w:t>
      </w:r>
      <w:r w:rsidR="00DA5098">
        <w:t xml:space="preserve">a worker </w:t>
      </w:r>
      <w:r w:rsidR="005D5F6E">
        <w:t>has two jobs). General</w:t>
      </w:r>
      <w:r w:rsidR="00DA5098">
        <w:t xml:space="preserve">, </w:t>
      </w:r>
      <w:r w:rsidR="005D5F6E">
        <w:t>higher education and vocational training were used to calculate years of schooling. The individual’s highest education was used</w:t>
      </w:r>
      <w:r w:rsidR="00DA5098">
        <w:t>. F</w:t>
      </w:r>
      <w:r w:rsidR="005D5F6E">
        <w:t xml:space="preserve">or example, </w:t>
      </w:r>
      <w:r w:rsidR="00DA5098">
        <w:t xml:space="preserve">if </w:t>
      </w:r>
      <w:r w:rsidR="00EF1524">
        <w:t>a person</w:t>
      </w:r>
      <w:r w:rsidR="005D5F6E">
        <w:t xml:space="preserve"> has a high school diploma (12 years) and a </w:t>
      </w:r>
      <w:r w:rsidR="00DA5098">
        <w:t xml:space="preserve">three-year college diploma </w:t>
      </w:r>
      <w:r w:rsidR="005D5F6E">
        <w:t xml:space="preserve">(12 </w:t>
      </w:r>
      <w:r w:rsidR="005D5F6E">
        <w:rPr>
          <w:i/>
          <w:iCs/>
        </w:rPr>
        <w:t>plus</w:t>
      </w:r>
      <w:r w:rsidR="00DA5098">
        <w:t xml:space="preserve"> 3</w:t>
      </w:r>
      <w:r w:rsidR="005D5F6E">
        <w:t xml:space="preserve"> years)</w:t>
      </w:r>
      <w:r w:rsidR="00DA5098">
        <w:t xml:space="preserve">, </w:t>
      </w:r>
      <w:r w:rsidR="005D5F6E">
        <w:t>this person’s years of schooling should be 1</w:t>
      </w:r>
      <w:r w:rsidR="00DA5098">
        <w:t>5</w:t>
      </w:r>
      <w:r w:rsidR="005D5F6E">
        <w:t>.</w:t>
      </w:r>
    </w:p>
    <w:p w:rsidR="0075644D" w:rsidRDefault="0075644D" w:rsidP="005A2C59">
      <w:pPr>
        <w:tabs>
          <w:tab w:val="left" w:pos="284"/>
          <w:tab w:val="left" w:pos="426"/>
        </w:tabs>
        <w:spacing w:line="288" w:lineRule="auto"/>
        <w:jc w:val="both"/>
      </w:pPr>
    </w:p>
    <w:p w:rsidR="005D5F6E" w:rsidRDefault="00BE30EF" w:rsidP="005A2C59">
      <w:pPr>
        <w:widowControl w:val="0"/>
        <w:tabs>
          <w:tab w:val="left" w:pos="284"/>
          <w:tab w:val="left" w:pos="426"/>
        </w:tabs>
        <w:autoSpaceDE w:val="0"/>
        <w:autoSpaceDN w:val="0"/>
        <w:adjustRightInd w:val="0"/>
        <w:spacing w:line="288" w:lineRule="auto"/>
      </w:pPr>
      <w:r>
        <w:rPr>
          <w:b/>
          <w:bCs/>
        </w:rPr>
        <w:t>2</w:t>
      </w:r>
      <w:r w:rsidR="005D5F6E">
        <w:rPr>
          <w:b/>
          <w:bCs/>
        </w:rPr>
        <w:t>.</w:t>
      </w:r>
      <w:r w:rsidR="00C356E4">
        <w:rPr>
          <w:b/>
          <w:bCs/>
        </w:rPr>
        <w:t>2 Estimation M</w:t>
      </w:r>
      <w:r w:rsidR="00DA5098">
        <w:rPr>
          <w:b/>
          <w:bCs/>
        </w:rPr>
        <w:t>ethods</w:t>
      </w:r>
    </w:p>
    <w:p w:rsidR="005D5F6E" w:rsidRPr="00CE50EC" w:rsidRDefault="005D5F6E" w:rsidP="005A2C59">
      <w:pPr>
        <w:widowControl w:val="0"/>
        <w:tabs>
          <w:tab w:val="left" w:pos="284"/>
          <w:tab w:val="left" w:pos="426"/>
        </w:tabs>
        <w:autoSpaceDE w:val="0"/>
        <w:autoSpaceDN w:val="0"/>
        <w:adjustRightInd w:val="0"/>
        <w:spacing w:line="288" w:lineRule="auto"/>
        <w:rPr>
          <w:sz w:val="10"/>
          <w:szCs w:val="10"/>
        </w:rPr>
      </w:pPr>
    </w:p>
    <w:p w:rsidR="005D5F6E" w:rsidRDefault="005D5F6E" w:rsidP="005A2C59">
      <w:pPr>
        <w:widowControl w:val="0"/>
        <w:tabs>
          <w:tab w:val="left" w:pos="284"/>
          <w:tab w:val="left" w:pos="426"/>
        </w:tabs>
        <w:autoSpaceDE w:val="0"/>
        <w:autoSpaceDN w:val="0"/>
        <w:adjustRightInd w:val="0"/>
        <w:spacing w:line="288" w:lineRule="auto"/>
      </w:pPr>
      <w:r>
        <w:t xml:space="preserve">To estimate the returns to schooling, </w:t>
      </w:r>
      <w:r w:rsidR="00E15F26">
        <w:t xml:space="preserve">we start with </w:t>
      </w:r>
      <w:r>
        <w:t xml:space="preserve">the </w:t>
      </w:r>
      <w:proofErr w:type="spellStart"/>
      <w:r>
        <w:t>Min</w:t>
      </w:r>
      <w:r w:rsidR="00E15F26">
        <w:t>cerian</w:t>
      </w:r>
      <w:proofErr w:type="spellEnd"/>
      <w:r w:rsidR="00E15F26">
        <w:t xml:space="preserve"> earnings equation</w:t>
      </w:r>
      <w:r>
        <w:t>:</w:t>
      </w:r>
    </w:p>
    <w:p w:rsidR="005D5F6E" w:rsidRPr="007C4A87" w:rsidRDefault="005D5F6E" w:rsidP="005A2C59">
      <w:pPr>
        <w:widowControl w:val="0"/>
        <w:tabs>
          <w:tab w:val="left" w:pos="284"/>
          <w:tab w:val="left" w:pos="426"/>
        </w:tabs>
        <w:autoSpaceDE w:val="0"/>
        <w:autoSpaceDN w:val="0"/>
        <w:adjustRightInd w:val="0"/>
        <w:spacing w:line="288" w:lineRule="auto"/>
        <w:rPr>
          <w:sz w:val="20"/>
          <w:szCs w:val="20"/>
        </w:rPr>
      </w:pPr>
    </w:p>
    <w:p w:rsidR="005D5F6E" w:rsidRPr="00BE5A87" w:rsidRDefault="005D5F6E" w:rsidP="00CE50EC">
      <w:pPr>
        <w:widowControl w:val="0"/>
        <w:tabs>
          <w:tab w:val="left" w:pos="284"/>
          <w:tab w:val="left" w:pos="426"/>
          <w:tab w:val="right" w:pos="9027"/>
        </w:tabs>
        <w:autoSpaceDE w:val="0"/>
        <w:autoSpaceDN w:val="0"/>
        <w:adjustRightInd w:val="0"/>
        <w:spacing w:line="288" w:lineRule="auto"/>
        <w:ind w:left="2720"/>
        <w:rPr>
          <w:sz w:val="22"/>
          <w:szCs w:val="22"/>
        </w:rPr>
      </w:pPr>
      <w:proofErr w:type="spellStart"/>
      <w:r w:rsidRPr="00BE5A87">
        <w:rPr>
          <w:i/>
          <w:iCs/>
          <w:sz w:val="22"/>
          <w:szCs w:val="22"/>
        </w:rPr>
        <w:t>LnY</w:t>
      </w:r>
      <w:r w:rsidRPr="00BE5A87">
        <w:rPr>
          <w:i/>
          <w:iCs/>
          <w:sz w:val="22"/>
          <w:szCs w:val="22"/>
          <w:vertAlign w:val="subscript"/>
        </w:rPr>
        <w:t>i</w:t>
      </w:r>
      <w:proofErr w:type="spellEnd"/>
      <w:r w:rsidRPr="00BE5A87">
        <w:rPr>
          <w:i/>
          <w:iCs/>
          <w:sz w:val="22"/>
          <w:szCs w:val="22"/>
        </w:rPr>
        <w:t xml:space="preserve">  = </w:t>
      </w:r>
      <w:r w:rsidRPr="00BE5A87">
        <w:rPr>
          <w:rFonts w:ascii="Symbol" w:hAnsi="Symbol" w:cs="Symbol"/>
          <w:i/>
          <w:iCs/>
          <w:sz w:val="22"/>
          <w:szCs w:val="22"/>
        </w:rPr>
        <w:t></w:t>
      </w:r>
      <w:r w:rsidRPr="00BE5A87">
        <w:rPr>
          <w:i/>
          <w:iCs/>
          <w:sz w:val="22"/>
          <w:szCs w:val="22"/>
        </w:rPr>
        <w:t xml:space="preserve"> + </w:t>
      </w:r>
      <w:r w:rsidRPr="00BE5A87">
        <w:rPr>
          <w:rFonts w:ascii="Symbol" w:hAnsi="Symbol" w:cs="Symbol"/>
          <w:i/>
          <w:iCs/>
          <w:sz w:val="22"/>
          <w:szCs w:val="22"/>
        </w:rPr>
        <w:t></w:t>
      </w:r>
      <w:r w:rsidRPr="00BE5A87">
        <w:rPr>
          <w:i/>
          <w:iCs/>
          <w:sz w:val="22"/>
          <w:szCs w:val="22"/>
          <w:vertAlign w:val="subscript"/>
        </w:rPr>
        <w:t>1</w:t>
      </w:r>
      <w:r w:rsidRPr="00BE5A87">
        <w:rPr>
          <w:i/>
          <w:iCs/>
          <w:sz w:val="22"/>
          <w:szCs w:val="22"/>
        </w:rPr>
        <w:t>.S</w:t>
      </w:r>
      <w:r w:rsidRPr="00BE5A87">
        <w:rPr>
          <w:i/>
          <w:iCs/>
          <w:sz w:val="22"/>
          <w:szCs w:val="22"/>
          <w:vertAlign w:val="subscript"/>
        </w:rPr>
        <w:t>i</w:t>
      </w:r>
      <w:r w:rsidRPr="00BE5A87">
        <w:rPr>
          <w:i/>
          <w:iCs/>
          <w:sz w:val="22"/>
          <w:szCs w:val="22"/>
        </w:rPr>
        <w:t xml:space="preserve">  + </w:t>
      </w:r>
      <w:r w:rsidRPr="00BE5A87">
        <w:rPr>
          <w:rFonts w:ascii="Symbol" w:hAnsi="Symbol" w:cs="Symbol"/>
          <w:i/>
          <w:iCs/>
          <w:sz w:val="22"/>
          <w:szCs w:val="22"/>
        </w:rPr>
        <w:t></w:t>
      </w:r>
      <w:r w:rsidRPr="00BE5A87">
        <w:rPr>
          <w:i/>
          <w:iCs/>
          <w:sz w:val="22"/>
          <w:szCs w:val="22"/>
          <w:vertAlign w:val="subscript"/>
        </w:rPr>
        <w:t>2</w:t>
      </w:r>
      <w:r w:rsidRPr="00BE5A87">
        <w:rPr>
          <w:i/>
          <w:iCs/>
          <w:sz w:val="22"/>
          <w:szCs w:val="22"/>
        </w:rPr>
        <w:t>Exp</w:t>
      </w:r>
      <w:r w:rsidRPr="00BE5A87">
        <w:rPr>
          <w:i/>
          <w:iCs/>
          <w:sz w:val="22"/>
          <w:szCs w:val="22"/>
          <w:vertAlign w:val="subscript"/>
        </w:rPr>
        <w:t>i</w:t>
      </w:r>
      <w:r w:rsidRPr="00BE5A87">
        <w:rPr>
          <w:i/>
          <w:iCs/>
          <w:sz w:val="22"/>
          <w:szCs w:val="22"/>
        </w:rPr>
        <w:t xml:space="preserve">  + </w:t>
      </w:r>
      <w:r w:rsidRPr="00BE5A87">
        <w:rPr>
          <w:rFonts w:ascii="Symbol" w:hAnsi="Symbol" w:cs="Symbol"/>
          <w:i/>
          <w:iCs/>
          <w:sz w:val="22"/>
          <w:szCs w:val="22"/>
        </w:rPr>
        <w:t></w:t>
      </w:r>
      <w:r w:rsidRPr="00BE5A87">
        <w:rPr>
          <w:i/>
          <w:iCs/>
          <w:sz w:val="22"/>
          <w:szCs w:val="22"/>
          <w:vertAlign w:val="subscript"/>
        </w:rPr>
        <w:t>3</w:t>
      </w:r>
      <w:r w:rsidRPr="00BE5A87">
        <w:rPr>
          <w:i/>
          <w:iCs/>
          <w:sz w:val="22"/>
          <w:szCs w:val="22"/>
        </w:rPr>
        <w:t>Exp</w:t>
      </w:r>
      <w:r w:rsidRPr="00BE5A87">
        <w:rPr>
          <w:i/>
          <w:iCs/>
          <w:sz w:val="22"/>
          <w:szCs w:val="22"/>
          <w:vertAlign w:val="subscript"/>
        </w:rPr>
        <w:t>i</w:t>
      </w:r>
      <w:r w:rsidRPr="00BE5A87">
        <w:rPr>
          <w:i/>
          <w:iCs/>
          <w:sz w:val="22"/>
          <w:szCs w:val="22"/>
          <w:vertAlign w:val="superscript"/>
        </w:rPr>
        <w:t>2</w:t>
      </w:r>
      <w:r w:rsidRPr="00BE5A87">
        <w:rPr>
          <w:i/>
          <w:iCs/>
          <w:sz w:val="22"/>
          <w:szCs w:val="22"/>
        </w:rPr>
        <w:t xml:space="preserve">  + </w:t>
      </w:r>
      <w:r w:rsidRPr="00BE5A87">
        <w:rPr>
          <w:rFonts w:ascii="Symbol" w:hAnsi="Symbol" w:cs="Symbol"/>
          <w:i/>
          <w:iCs/>
          <w:sz w:val="22"/>
          <w:szCs w:val="22"/>
        </w:rPr>
        <w:t></w:t>
      </w:r>
      <w:proofErr w:type="spellStart"/>
      <w:r w:rsidR="00E15F26" w:rsidRPr="00BE5A87">
        <w:rPr>
          <w:sz w:val="22"/>
          <w:szCs w:val="22"/>
          <w:vertAlign w:val="subscript"/>
        </w:rPr>
        <w:t>i</w:t>
      </w:r>
      <w:proofErr w:type="spellEnd"/>
      <w:r w:rsidR="00D70885">
        <w:rPr>
          <w:sz w:val="22"/>
          <w:szCs w:val="22"/>
          <w:vertAlign w:val="subscript"/>
        </w:rPr>
        <w:t xml:space="preserve">         </w:t>
      </w:r>
      <w:r w:rsidR="00CE50EC">
        <w:rPr>
          <w:sz w:val="22"/>
          <w:szCs w:val="22"/>
          <w:vertAlign w:val="subscript"/>
        </w:rPr>
        <w:tab/>
      </w:r>
      <w:r w:rsidR="00D70885">
        <w:rPr>
          <w:sz w:val="22"/>
          <w:szCs w:val="22"/>
          <w:vertAlign w:val="subscript"/>
        </w:rPr>
        <w:t xml:space="preserve">                                              </w:t>
      </w:r>
      <w:r w:rsidRPr="00BE5A87">
        <w:rPr>
          <w:sz w:val="22"/>
          <w:szCs w:val="22"/>
        </w:rPr>
        <w:t>(1)</w:t>
      </w:r>
    </w:p>
    <w:p w:rsidR="005D5F6E" w:rsidRPr="007C4A87" w:rsidRDefault="005D5F6E" w:rsidP="005A2C59">
      <w:pPr>
        <w:widowControl w:val="0"/>
        <w:tabs>
          <w:tab w:val="left" w:pos="284"/>
          <w:tab w:val="left" w:pos="426"/>
        </w:tabs>
        <w:autoSpaceDE w:val="0"/>
        <w:autoSpaceDN w:val="0"/>
        <w:adjustRightInd w:val="0"/>
        <w:spacing w:line="288" w:lineRule="auto"/>
        <w:rPr>
          <w:sz w:val="20"/>
          <w:szCs w:val="20"/>
        </w:rPr>
      </w:pPr>
    </w:p>
    <w:p w:rsidR="00E15F26" w:rsidRDefault="005D5F6E" w:rsidP="005A2C59">
      <w:pPr>
        <w:widowControl w:val="0"/>
        <w:tabs>
          <w:tab w:val="left" w:pos="284"/>
          <w:tab w:val="left" w:pos="426"/>
        </w:tabs>
        <w:overflowPunct w:val="0"/>
        <w:autoSpaceDE w:val="0"/>
        <w:autoSpaceDN w:val="0"/>
        <w:adjustRightInd w:val="0"/>
        <w:spacing w:line="288" w:lineRule="auto"/>
        <w:jc w:val="both"/>
      </w:pPr>
      <w:r>
        <w:t xml:space="preserve">where </w:t>
      </w:r>
      <w:proofErr w:type="spellStart"/>
      <w:r>
        <w:rPr>
          <w:i/>
          <w:iCs/>
        </w:rPr>
        <w:t>LnY</w:t>
      </w:r>
      <w:proofErr w:type="spellEnd"/>
      <w:r>
        <w:t xml:space="preserve"> is the natural logarithm of hourly wage</w:t>
      </w:r>
      <w:r w:rsidR="00EF1524">
        <w:t>s including bonuses, allowances</w:t>
      </w:r>
      <w:r>
        <w:t xml:space="preserve"> and subsidies (both in cash and in-kind), </w:t>
      </w:r>
      <w:r>
        <w:rPr>
          <w:i/>
          <w:iCs/>
        </w:rPr>
        <w:t>S</w:t>
      </w:r>
      <w:r>
        <w:t xml:space="preserve"> is years of schooling, </w:t>
      </w:r>
      <w:proofErr w:type="spellStart"/>
      <w:r>
        <w:rPr>
          <w:i/>
          <w:iCs/>
        </w:rPr>
        <w:t>Exp</w:t>
      </w:r>
      <w:proofErr w:type="spellEnd"/>
      <w:r>
        <w:t xml:space="preserve"> is potential experience (calculated as age </w:t>
      </w:r>
      <w:r>
        <w:rPr>
          <w:i/>
          <w:iCs/>
        </w:rPr>
        <w:t xml:space="preserve">minus </w:t>
      </w:r>
      <w:r>
        <w:t>schooling years</w:t>
      </w:r>
      <w:r>
        <w:rPr>
          <w:i/>
          <w:iCs/>
        </w:rPr>
        <w:t xml:space="preserve"> minus </w:t>
      </w:r>
      <w:r>
        <w:t>six) and the experience squared term,</w:t>
      </w:r>
      <w:r>
        <w:rPr>
          <w:i/>
          <w:iCs/>
        </w:rPr>
        <w:t xml:space="preserve"> Exp</w:t>
      </w:r>
      <w:r>
        <w:rPr>
          <w:i/>
          <w:iCs/>
          <w:sz w:val="32"/>
          <w:szCs w:val="32"/>
          <w:vertAlign w:val="superscript"/>
        </w:rPr>
        <w:t>2</w:t>
      </w:r>
      <w:r>
        <w:rPr>
          <w:i/>
          <w:iCs/>
        </w:rPr>
        <w:t xml:space="preserve">, </w:t>
      </w:r>
      <w:r>
        <w:t xml:space="preserve">is </w:t>
      </w:r>
      <w:r>
        <w:lastRenderedPageBreak/>
        <w:t>included to allow a</w:t>
      </w:r>
      <w:r>
        <w:rPr>
          <w:i/>
          <w:iCs/>
        </w:rPr>
        <w:t xml:space="preserve"> </w:t>
      </w:r>
      <w:r>
        <w:t xml:space="preserve">non-linear pattern in lifecycle earnings. </w:t>
      </w:r>
      <w:r w:rsidR="00E15F26">
        <w:t xml:space="preserve"> Unlike other papers, we use the simple form of </w:t>
      </w:r>
      <w:proofErr w:type="spellStart"/>
      <w:r w:rsidR="00E15F26">
        <w:t>Mincerian</w:t>
      </w:r>
      <w:proofErr w:type="spellEnd"/>
      <w:r w:rsidR="00E15F26">
        <w:t xml:space="preserve"> earnings equation which includes only education, experience, experience squared and gender to estimate the returns because inclusi</w:t>
      </w:r>
      <w:r w:rsidR="00FA1746">
        <w:t xml:space="preserve">on of </w:t>
      </w:r>
      <w:r w:rsidR="00CF4142">
        <w:t xml:space="preserve">other variables, such as occupation and sector, </w:t>
      </w:r>
      <w:r w:rsidR="00E15F26">
        <w:t xml:space="preserve">will </w:t>
      </w:r>
      <w:r w:rsidR="00EF1524">
        <w:t>rob</w:t>
      </w:r>
      <w:r w:rsidR="00E15F26">
        <w:t xml:space="preserve"> some parts of the effect of education on earnings (</w:t>
      </w:r>
      <w:proofErr w:type="spellStart"/>
      <w:r w:rsidR="00E15F26">
        <w:t>Psacharapolous</w:t>
      </w:r>
      <w:proofErr w:type="spellEnd"/>
      <w:r w:rsidR="00E15F26">
        <w:t xml:space="preserve"> </w:t>
      </w:r>
      <w:r w:rsidR="003C53BC">
        <w:t>and</w:t>
      </w:r>
      <w:r w:rsidR="00CF4142">
        <w:t xml:space="preserve"> </w:t>
      </w:r>
      <w:proofErr w:type="spellStart"/>
      <w:r w:rsidR="00CF4142">
        <w:t>Patrinos</w:t>
      </w:r>
      <w:proofErr w:type="spellEnd"/>
      <w:r w:rsidR="00E15F26">
        <w:t xml:space="preserve"> 2004).</w:t>
      </w:r>
    </w:p>
    <w:p w:rsidR="00CF4142" w:rsidRPr="00CE50EC" w:rsidRDefault="00CF4142" w:rsidP="005A2C59">
      <w:pPr>
        <w:widowControl w:val="0"/>
        <w:tabs>
          <w:tab w:val="left" w:pos="284"/>
          <w:tab w:val="left" w:pos="426"/>
        </w:tabs>
        <w:overflowPunct w:val="0"/>
        <w:autoSpaceDE w:val="0"/>
        <w:autoSpaceDN w:val="0"/>
        <w:adjustRightInd w:val="0"/>
        <w:spacing w:line="288" w:lineRule="auto"/>
        <w:jc w:val="both"/>
        <w:rPr>
          <w:sz w:val="22"/>
          <w:szCs w:val="22"/>
        </w:rPr>
      </w:pPr>
    </w:p>
    <w:p w:rsidR="005D5F6E" w:rsidRDefault="00CF4142" w:rsidP="005A2C59">
      <w:pPr>
        <w:widowControl w:val="0"/>
        <w:tabs>
          <w:tab w:val="left" w:pos="284"/>
          <w:tab w:val="left" w:pos="426"/>
        </w:tabs>
        <w:overflowPunct w:val="0"/>
        <w:autoSpaceDE w:val="0"/>
        <w:autoSpaceDN w:val="0"/>
        <w:adjustRightInd w:val="0"/>
        <w:spacing w:line="288" w:lineRule="auto"/>
        <w:jc w:val="both"/>
      </w:pPr>
      <w:r>
        <w:tab/>
      </w:r>
      <w:r w:rsidR="009871AF">
        <w:tab/>
      </w:r>
      <w:r w:rsidR="005D5F6E">
        <w:t xml:space="preserve">To test </w:t>
      </w:r>
      <w:r w:rsidR="00FA1746">
        <w:t xml:space="preserve">the </w:t>
      </w:r>
      <w:r w:rsidR="00E15F26">
        <w:t xml:space="preserve">trend </w:t>
      </w:r>
      <w:r w:rsidR="00C37CB3">
        <w:t>o</w:t>
      </w:r>
      <w:r w:rsidR="005D5F6E">
        <w:t xml:space="preserve">f return to schooling over time, </w:t>
      </w:r>
      <w:r w:rsidR="00FA1746">
        <w:t xml:space="preserve">we add </w:t>
      </w:r>
      <w:r w:rsidR="005D5F6E">
        <w:t>an interaction term between years of schooling and a year dummy for the compar</w:t>
      </w:r>
      <w:r w:rsidR="00484979">
        <w:t xml:space="preserve">ed </w:t>
      </w:r>
      <w:r w:rsidR="005D5F6E">
        <w:t>year</w:t>
      </w:r>
      <w:r w:rsidR="00484979">
        <w:t xml:space="preserve"> (</w:t>
      </w:r>
      <w:r w:rsidR="00484979">
        <w:rPr>
          <w:i/>
        </w:rPr>
        <w:t>year2)</w:t>
      </w:r>
      <w:r w:rsidR="005D5F6E">
        <w:t xml:space="preserve">. In addition, to capture the gender difference in earnings, we also include a dummy variable for gender and its interaction term with the </w:t>
      </w:r>
      <w:r w:rsidR="00484979">
        <w:t xml:space="preserve">compared </w:t>
      </w:r>
      <w:r w:rsidR="005D5F6E">
        <w:t>year dummy. The stand-alone year dummy captures the time effects</w:t>
      </w:r>
      <w:r w:rsidR="00FA1746">
        <w:t>,</w:t>
      </w:r>
      <w:r w:rsidR="005D5F6E">
        <w:t xml:space="preserve"> including inflation</w:t>
      </w:r>
      <w:r w:rsidR="00FA1746">
        <w:t>,</w:t>
      </w:r>
      <w:r w:rsidR="00C37CB3">
        <w:t xml:space="preserve"> as we use nominal income in this study</w:t>
      </w:r>
      <w:r w:rsidR="00FA1746">
        <w:t>. T</w:t>
      </w:r>
      <w:r w:rsidR="005D5F6E">
        <w:t xml:space="preserve">he interactions between year dummy and </w:t>
      </w:r>
      <w:r w:rsidR="00FA1746">
        <w:t xml:space="preserve">the </w:t>
      </w:r>
      <w:r w:rsidR="005D5F6E">
        <w:t xml:space="preserve">explanatory variables capture changes </w:t>
      </w:r>
      <w:r w:rsidR="00FA1746">
        <w:t xml:space="preserve">in </w:t>
      </w:r>
      <w:r w:rsidR="005D5F6E">
        <w:t xml:space="preserve">the </w:t>
      </w:r>
      <w:r w:rsidR="00E15F26">
        <w:t xml:space="preserve">impact </w:t>
      </w:r>
      <w:r w:rsidR="005D5F6E">
        <w:t>of each explanatory variable in earnings across years. The es</w:t>
      </w:r>
      <w:r w:rsidR="00696FF4">
        <w:t>timation model is now</w:t>
      </w:r>
      <w:r w:rsidR="005D5F6E">
        <w:t>:</w:t>
      </w:r>
    </w:p>
    <w:p w:rsidR="00796308" w:rsidRPr="009248F7" w:rsidRDefault="00796308" w:rsidP="005A2C59">
      <w:pPr>
        <w:widowControl w:val="0"/>
        <w:tabs>
          <w:tab w:val="left" w:pos="284"/>
          <w:tab w:val="left" w:pos="426"/>
        </w:tabs>
        <w:overflowPunct w:val="0"/>
        <w:autoSpaceDE w:val="0"/>
        <w:autoSpaceDN w:val="0"/>
        <w:adjustRightInd w:val="0"/>
        <w:spacing w:line="288" w:lineRule="auto"/>
        <w:jc w:val="both"/>
        <w:rPr>
          <w:sz w:val="20"/>
          <w:szCs w:val="20"/>
        </w:rPr>
      </w:pPr>
    </w:p>
    <w:p w:rsidR="005D5F6E" w:rsidRPr="00BE5A87" w:rsidRDefault="005D5F6E" w:rsidP="00CE50EC">
      <w:pPr>
        <w:tabs>
          <w:tab w:val="left" w:pos="284"/>
          <w:tab w:val="left" w:pos="426"/>
        </w:tabs>
        <w:ind w:left="993" w:hanging="993"/>
        <w:jc w:val="center"/>
        <w:rPr>
          <w:i/>
          <w:sz w:val="22"/>
          <w:szCs w:val="22"/>
          <w:vertAlign w:val="superscript"/>
        </w:rPr>
      </w:pPr>
      <w:proofErr w:type="spellStart"/>
      <w:r w:rsidRPr="00BE5A87">
        <w:rPr>
          <w:i/>
          <w:sz w:val="22"/>
          <w:szCs w:val="22"/>
        </w:rPr>
        <w:t>LnY</w:t>
      </w:r>
      <w:r w:rsidRPr="00BE5A87">
        <w:rPr>
          <w:i/>
          <w:sz w:val="22"/>
          <w:szCs w:val="22"/>
          <w:vertAlign w:val="subscript"/>
        </w:rPr>
        <w:t>i</w:t>
      </w:r>
      <w:proofErr w:type="spellEnd"/>
      <w:r w:rsidRPr="00BE5A87">
        <w:rPr>
          <w:i/>
          <w:sz w:val="22"/>
          <w:szCs w:val="22"/>
        </w:rPr>
        <w:t xml:space="preserve"> = </w:t>
      </w:r>
      <w:r w:rsidRPr="00BE5A87">
        <w:rPr>
          <w:rFonts w:ascii="Symbol" w:hAnsi="Symbol"/>
          <w:i/>
          <w:sz w:val="22"/>
          <w:szCs w:val="22"/>
        </w:rPr>
        <w:t></w:t>
      </w:r>
      <w:r w:rsidRPr="00BE5A87">
        <w:rPr>
          <w:i/>
          <w:sz w:val="22"/>
          <w:szCs w:val="22"/>
        </w:rPr>
        <w:t>+</w:t>
      </w:r>
      <w:r w:rsidRPr="00BE5A87">
        <w:rPr>
          <w:rFonts w:ascii="Symbol" w:hAnsi="Symbol"/>
          <w:i/>
          <w:sz w:val="22"/>
          <w:szCs w:val="22"/>
        </w:rPr>
        <w:t></w:t>
      </w:r>
      <w:r w:rsidRPr="00BE5A87">
        <w:rPr>
          <w:i/>
          <w:sz w:val="22"/>
          <w:szCs w:val="22"/>
          <w:vertAlign w:val="subscript"/>
        </w:rPr>
        <w:t>0</w:t>
      </w:r>
      <w:r w:rsidRPr="00BE5A87">
        <w:rPr>
          <w:i/>
          <w:sz w:val="22"/>
          <w:szCs w:val="22"/>
        </w:rPr>
        <w:t>.Year</w:t>
      </w:r>
      <w:r w:rsidRPr="00BE5A87">
        <w:rPr>
          <w:i/>
          <w:sz w:val="22"/>
          <w:szCs w:val="22"/>
          <w:vertAlign w:val="subscript"/>
        </w:rPr>
        <w:t xml:space="preserve">2 </w:t>
      </w:r>
      <w:r w:rsidRPr="00BE5A87">
        <w:rPr>
          <w:rFonts w:ascii="Symbol" w:hAnsi="Symbol"/>
          <w:i/>
          <w:sz w:val="22"/>
          <w:szCs w:val="22"/>
        </w:rPr>
        <w:t></w:t>
      </w:r>
      <w:r w:rsidRPr="00BE5A87">
        <w:rPr>
          <w:rFonts w:ascii="Symbol" w:hAnsi="Symbol"/>
          <w:i/>
          <w:sz w:val="22"/>
          <w:szCs w:val="22"/>
        </w:rPr>
        <w:t></w:t>
      </w:r>
      <w:r w:rsidRPr="00BE5A87">
        <w:rPr>
          <w:i/>
          <w:sz w:val="22"/>
          <w:szCs w:val="22"/>
          <w:vertAlign w:val="subscript"/>
        </w:rPr>
        <w:t>1</w:t>
      </w:r>
      <w:r w:rsidRPr="00BE5A87">
        <w:rPr>
          <w:i/>
          <w:sz w:val="22"/>
          <w:szCs w:val="22"/>
        </w:rPr>
        <w:t>.S</w:t>
      </w:r>
      <w:r w:rsidRPr="00BE5A87">
        <w:rPr>
          <w:i/>
          <w:sz w:val="22"/>
          <w:szCs w:val="22"/>
          <w:vertAlign w:val="subscript"/>
        </w:rPr>
        <w:t xml:space="preserve">i </w:t>
      </w:r>
      <w:r w:rsidRPr="00BE5A87">
        <w:rPr>
          <w:i/>
          <w:sz w:val="22"/>
          <w:szCs w:val="22"/>
        </w:rPr>
        <w:t>+</w:t>
      </w:r>
      <w:r w:rsidRPr="00BE5A87">
        <w:rPr>
          <w:rFonts w:ascii="Symbol" w:hAnsi="Symbol"/>
          <w:i/>
          <w:sz w:val="22"/>
          <w:szCs w:val="22"/>
        </w:rPr>
        <w:t></w:t>
      </w:r>
      <w:r w:rsidRPr="00BE5A87">
        <w:rPr>
          <w:i/>
          <w:sz w:val="22"/>
          <w:szCs w:val="22"/>
          <w:vertAlign w:val="subscript"/>
        </w:rPr>
        <w:t>1</w:t>
      </w:r>
      <w:r w:rsidRPr="00BE5A87">
        <w:rPr>
          <w:i/>
          <w:sz w:val="22"/>
          <w:szCs w:val="22"/>
        </w:rPr>
        <w:t>.S</w:t>
      </w:r>
      <w:r w:rsidRPr="00BE5A87">
        <w:rPr>
          <w:i/>
          <w:sz w:val="22"/>
          <w:szCs w:val="22"/>
          <w:vertAlign w:val="subscript"/>
        </w:rPr>
        <w:t>i</w:t>
      </w:r>
      <w:r w:rsidRPr="00BE5A87">
        <w:rPr>
          <w:i/>
          <w:sz w:val="22"/>
          <w:szCs w:val="22"/>
        </w:rPr>
        <w:t>*Year</w:t>
      </w:r>
      <w:r w:rsidRPr="00BE5A87">
        <w:rPr>
          <w:i/>
          <w:sz w:val="22"/>
          <w:szCs w:val="22"/>
          <w:vertAlign w:val="subscript"/>
        </w:rPr>
        <w:t xml:space="preserve">2 </w:t>
      </w:r>
      <w:r w:rsidRPr="00BE5A87">
        <w:rPr>
          <w:rFonts w:ascii="Symbol" w:hAnsi="Symbol"/>
          <w:i/>
          <w:sz w:val="22"/>
          <w:szCs w:val="22"/>
        </w:rPr>
        <w:t></w:t>
      </w:r>
      <w:r w:rsidRPr="00BE5A87">
        <w:rPr>
          <w:rFonts w:ascii="Symbol" w:hAnsi="Symbol"/>
          <w:i/>
          <w:sz w:val="22"/>
          <w:szCs w:val="22"/>
        </w:rPr>
        <w:t></w:t>
      </w:r>
      <w:r w:rsidRPr="00BE5A87">
        <w:rPr>
          <w:i/>
          <w:sz w:val="22"/>
          <w:szCs w:val="22"/>
          <w:vertAlign w:val="subscript"/>
        </w:rPr>
        <w:t>2</w:t>
      </w:r>
      <w:r w:rsidRPr="00BE5A87">
        <w:rPr>
          <w:i/>
          <w:sz w:val="22"/>
          <w:szCs w:val="22"/>
        </w:rPr>
        <w:t>.Exp</w:t>
      </w:r>
      <w:r w:rsidRPr="00BE5A87">
        <w:rPr>
          <w:i/>
          <w:sz w:val="22"/>
          <w:szCs w:val="22"/>
          <w:vertAlign w:val="subscript"/>
        </w:rPr>
        <w:t xml:space="preserve">i </w:t>
      </w:r>
      <w:r w:rsidRPr="00BE5A87">
        <w:rPr>
          <w:i/>
          <w:sz w:val="22"/>
          <w:szCs w:val="22"/>
        </w:rPr>
        <w:t>+</w:t>
      </w:r>
      <w:r w:rsidRPr="00BE5A87">
        <w:rPr>
          <w:rFonts w:ascii="Symbol" w:hAnsi="Symbol"/>
          <w:i/>
          <w:sz w:val="22"/>
          <w:szCs w:val="22"/>
        </w:rPr>
        <w:t></w:t>
      </w:r>
      <w:r w:rsidRPr="00BE5A87">
        <w:rPr>
          <w:i/>
          <w:sz w:val="22"/>
          <w:szCs w:val="22"/>
          <w:vertAlign w:val="subscript"/>
        </w:rPr>
        <w:t>2</w:t>
      </w:r>
      <w:r w:rsidRPr="00BE5A87">
        <w:rPr>
          <w:i/>
          <w:sz w:val="22"/>
          <w:szCs w:val="22"/>
        </w:rPr>
        <w:t>.Exp</w:t>
      </w:r>
      <w:r w:rsidRPr="00BE5A87">
        <w:rPr>
          <w:i/>
          <w:sz w:val="22"/>
          <w:szCs w:val="22"/>
          <w:vertAlign w:val="subscript"/>
        </w:rPr>
        <w:t>i</w:t>
      </w:r>
      <w:r w:rsidRPr="00BE5A87">
        <w:rPr>
          <w:i/>
          <w:sz w:val="22"/>
          <w:szCs w:val="22"/>
        </w:rPr>
        <w:t>*Year</w:t>
      </w:r>
      <w:r w:rsidRPr="00BE5A87">
        <w:rPr>
          <w:i/>
          <w:sz w:val="22"/>
          <w:szCs w:val="22"/>
          <w:vertAlign w:val="subscript"/>
        </w:rPr>
        <w:t xml:space="preserve">2 </w:t>
      </w:r>
      <w:r w:rsidRPr="00BE5A87">
        <w:rPr>
          <w:i/>
          <w:sz w:val="22"/>
          <w:szCs w:val="22"/>
        </w:rPr>
        <w:t>+</w:t>
      </w:r>
      <w:r w:rsidRPr="00BE5A87">
        <w:rPr>
          <w:rFonts w:ascii="Symbol" w:hAnsi="Symbol"/>
          <w:i/>
          <w:sz w:val="22"/>
          <w:szCs w:val="22"/>
        </w:rPr>
        <w:t></w:t>
      </w:r>
      <w:r w:rsidRPr="00BE5A87">
        <w:rPr>
          <w:i/>
          <w:sz w:val="22"/>
          <w:szCs w:val="22"/>
          <w:vertAlign w:val="subscript"/>
        </w:rPr>
        <w:t>3</w:t>
      </w:r>
      <w:r w:rsidRPr="00BE5A87">
        <w:rPr>
          <w:i/>
          <w:sz w:val="22"/>
          <w:szCs w:val="22"/>
        </w:rPr>
        <w:t>.Exp</w:t>
      </w:r>
      <w:r w:rsidRPr="00BE5A87">
        <w:rPr>
          <w:i/>
          <w:sz w:val="22"/>
          <w:szCs w:val="22"/>
          <w:vertAlign w:val="subscript"/>
        </w:rPr>
        <w:t>i</w:t>
      </w:r>
      <w:r w:rsidRPr="00BE5A87">
        <w:rPr>
          <w:i/>
          <w:sz w:val="22"/>
          <w:szCs w:val="22"/>
          <w:vertAlign w:val="superscript"/>
        </w:rPr>
        <w:t>2</w:t>
      </w:r>
    </w:p>
    <w:p w:rsidR="005D5F6E" w:rsidRPr="00BE5A87" w:rsidRDefault="005D5F6E" w:rsidP="00CE50EC">
      <w:pPr>
        <w:tabs>
          <w:tab w:val="left" w:pos="284"/>
          <w:tab w:val="left" w:pos="426"/>
        </w:tabs>
        <w:ind w:left="992" w:hanging="992"/>
        <w:jc w:val="right"/>
        <w:rPr>
          <w:sz w:val="22"/>
          <w:szCs w:val="22"/>
        </w:rPr>
      </w:pPr>
      <w:r w:rsidRPr="00BE5A87">
        <w:rPr>
          <w:i/>
          <w:sz w:val="22"/>
          <w:szCs w:val="22"/>
        </w:rPr>
        <w:t>+</w:t>
      </w:r>
      <w:r w:rsidRPr="00BE5A87">
        <w:rPr>
          <w:rFonts w:ascii="Symbol" w:hAnsi="Symbol"/>
          <w:i/>
          <w:sz w:val="22"/>
          <w:szCs w:val="22"/>
        </w:rPr>
        <w:t></w:t>
      </w:r>
      <w:r w:rsidRPr="00BE5A87">
        <w:rPr>
          <w:i/>
          <w:sz w:val="22"/>
          <w:szCs w:val="22"/>
          <w:vertAlign w:val="subscript"/>
        </w:rPr>
        <w:t>3</w:t>
      </w:r>
      <w:r w:rsidRPr="00BE5A87">
        <w:rPr>
          <w:i/>
          <w:sz w:val="22"/>
          <w:szCs w:val="22"/>
        </w:rPr>
        <w:t>.Exp</w:t>
      </w:r>
      <w:r w:rsidRPr="00BE5A87">
        <w:rPr>
          <w:i/>
          <w:sz w:val="22"/>
          <w:szCs w:val="22"/>
          <w:vertAlign w:val="subscript"/>
        </w:rPr>
        <w:t>i</w:t>
      </w:r>
      <w:r w:rsidRPr="00BE5A87">
        <w:rPr>
          <w:i/>
          <w:sz w:val="22"/>
          <w:szCs w:val="22"/>
          <w:vertAlign w:val="superscript"/>
        </w:rPr>
        <w:t>2</w:t>
      </w:r>
      <w:r w:rsidRPr="00BE5A87">
        <w:rPr>
          <w:i/>
          <w:sz w:val="22"/>
          <w:szCs w:val="22"/>
        </w:rPr>
        <w:t>*Year</w:t>
      </w:r>
      <w:r w:rsidRPr="00BE5A87">
        <w:rPr>
          <w:i/>
          <w:sz w:val="22"/>
          <w:szCs w:val="22"/>
          <w:vertAlign w:val="subscript"/>
        </w:rPr>
        <w:t xml:space="preserve">2 </w:t>
      </w:r>
      <w:r w:rsidRPr="00BE5A87">
        <w:rPr>
          <w:i/>
          <w:sz w:val="22"/>
          <w:szCs w:val="22"/>
        </w:rPr>
        <w:t>+</w:t>
      </w:r>
      <w:r w:rsidRPr="00BE5A87">
        <w:rPr>
          <w:rFonts w:ascii="Symbol" w:hAnsi="Symbol"/>
          <w:i/>
          <w:sz w:val="22"/>
          <w:szCs w:val="22"/>
        </w:rPr>
        <w:t></w:t>
      </w:r>
      <w:r w:rsidRPr="00BE5A87">
        <w:rPr>
          <w:i/>
          <w:sz w:val="22"/>
          <w:szCs w:val="22"/>
          <w:vertAlign w:val="subscript"/>
        </w:rPr>
        <w:t>4</w:t>
      </w:r>
      <w:r w:rsidRPr="00BE5A87">
        <w:rPr>
          <w:i/>
          <w:sz w:val="22"/>
          <w:szCs w:val="22"/>
        </w:rPr>
        <w:t>.Gender +</w:t>
      </w:r>
      <w:r w:rsidRPr="00BE5A87">
        <w:rPr>
          <w:rFonts w:ascii="Symbol" w:hAnsi="Symbol"/>
          <w:i/>
          <w:sz w:val="22"/>
          <w:szCs w:val="22"/>
        </w:rPr>
        <w:t></w:t>
      </w:r>
      <w:r w:rsidRPr="00BE5A87">
        <w:rPr>
          <w:i/>
          <w:sz w:val="22"/>
          <w:szCs w:val="22"/>
          <w:vertAlign w:val="subscript"/>
        </w:rPr>
        <w:t>4</w:t>
      </w:r>
      <w:r w:rsidRPr="00BE5A87">
        <w:rPr>
          <w:i/>
          <w:sz w:val="22"/>
          <w:szCs w:val="22"/>
        </w:rPr>
        <w:t>.Gender*Year</w:t>
      </w:r>
      <w:r w:rsidRPr="00BE5A87">
        <w:rPr>
          <w:i/>
          <w:sz w:val="22"/>
          <w:szCs w:val="22"/>
          <w:vertAlign w:val="subscript"/>
        </w:rPr>
        <w:t xml:space="preserve">2 </w:t>
      </w:r>
      <w:r w:rsidRPr="00BE5A87">
        <w:rPr>
          <w:rFonts w:ascii="Symbol" w:hAnsi="Symbol"/>
          <w:i/>
          <w:sz w:val="22"/>
          <w:szCs w:val="22"/>
        </w:rPr>
        <w:t></w:t>
      </w:r>
      <w:r w:rsidRPr="00BE5A87">
        <w:rPr>
          <w:i/>
          <w:sz w:val="22"/>
          <w:szCs w:val="22"/>
        </w:rPr>
        <w:t xml:space="preserve"> </w:t>
      </w:r>
      <w:r w:rsidRPr="00BE5A87">
        <w:rPr>
          <w:rFonts w:ascii="Symbol" w:hAnsi="Symbol"/>
          <w:i/>
          <w:sz w:val="22"/>
          <w:szCs w:val="22"/>
        </w:rPr>
        <w:t></w:t>
      </w:r>
      <w:proofErr w:type="spellStart"/>
      <w:r w:rsidR="00E15F26" w:rsidRPr="00BE5A87">
        <w:rPr>
          <w:i/>
          <w:sz w:val="22"/>
          <w:szCs w:val="22"/>
          <w:vertAlign w:val="subscript"/>
        </w:rPr>
        <w:t>i</w:t>
      </w:r>
      <w:proofErr w:type="spellEnd"/>
      <w:r w:rsidRPr="00BE5A87">
        <w:rPr>
          <w:sz w:val="22"/>
          <w:szCs w:val="22"/>
          <w:vertAlign w:val="subscript"/>
        </w:rPr>
        <w:t xml:space="preserve"> </w:t>
      </w:r>
      <w:r w:rsidRPr="00BE5A87">
        <w:rPr>
          <w:sz w:val="22"/>
          <w:szCs w:val="22"/>
        </w:rPr>
        <w:t xml:space="preserve">     </w:t>
      </w:r>
      <w:r w:rsidRPr="00BE5A87">
        <w:rPr>
          <w:sz w:val="22"/>
          <w:szCs w:val="22"/>
        </w:rPr>
        <w:tab/>
      </w:r>
      <w:r w:rsidRPr="00BE5A87">
        <w:rPr>
          <w:sz w:val="22"/>
          <w:szCs w:val="22"/>
        </w:rPr>
        <w:tab/>
      </w:r>
      <w:r w:rsidRPr="00BE5A87">
        <w:rPr>
          <w:sz w:val="22"/>
          <w:szCs w:val="22"/>
        </w:rPr>
        <w:tab/>
        <w:t xml:space="preserve"> (2)</w:t>
      </w:r>
    </w:p>
    <w:p w:rsidR="005D5F6E" w:rsidRPr="009248F7" w:rsidRDefault="005D5F6E" w:rsidP="005A2C59">
      <w:pPr>
        <w:widowControl w:val="0"/>
        <w:tabs>
          <w:tab w:val="left" w:pos="284"/>
          <w:tab w:val="left" w:pos="426"/>
        </w:tabs>
        <w:overflowPunct w:val="0"/>
        <w:autoSpaceDE w:val="0"/>
        <w:autoSpaceDN w:val="0"/>
        <w:adjustRightInd w:val="0"/>
        <w:spacing w:line="288" w:lineRule="auto"/>
        <w:jc w:val="both"/>
        <w:rPr>
          <w:sz w:val="20"/>
          <w:szCs w:val="20"/>
        </w:rPr>
      </w:pPr>
    </w:p>
    <w:p w:rsidR="005D5F6E" w:rsidRDefault="00BE5A87" w:rsidP="005A2C59">
      <w:pPr>
        <w:tabs>
          <w:tab w:val="left" w:pos="284"/>
          <w:tab w:val="left" w:pos="426"/>
        </w:tabs>
        <w:spacing w:line="288" w:lineRule="auto"/>
        <w:jc w:val="both"/>
      </w:pPr>
      <w:r>
        <w:tab/>
      </w:r>
      <w:r>
        <w:tab/>
      </w:r>
      <w:r w:rsidR="00E15F26">
        <w:t>The estimates may be biased due to s</w:t>
      </w:r>
      <w:r w:rsidR="00FA1746">
        <w:t xml:space="preserve">ample selection </w:t>
      </w:r>
      <w:r w:rsidR="005D5F6E">
        <w:t xml:space="preserve">when the subset of wage earners used for the </w:t>
      </w:r>
      <w:proofErr w:type="spellStart"/>
      <w:r w:rsidR="005D5F6E">
        <w:t>Mincerian</w:t>
      </w:r>
      <w:proofErr w:type="spellEnd"/>
      <w:r w:rsidR="005D5F6E">
        <w:t xml:space="preserve"> earnings </w:t>
      </w:r>
      <w:r w:rsidR="007A0ED2">
        <w:t xml:space="preserve">equation </w:t>
      </w:r>
      <w:r w:rsidR="005D5F6E">
        <w:t xml:space="preserve">is not randomly sampled from the general population. </w:t>
      </w:r>
      <w:r w:rsidR="007A0ED2">
        <w:t xml:space="preserve">The </w:t>
      </w:r>
      <w:r w:rsidR="009248F7">
        <w:t>o</w:t>
      </w:r>
      <w:r w:rsidR="007A0ED2">
        <w:t xml:space="preserve">rdinary </w:t>
      </w:r>
      <w:r w:rsidR="009248F7">
        <w:t>l</w:t>
      </w:r>
      <w:r w:rsidR="007A0ED2">
        <w:t xml:space="preserve">east </w:t>
      </w:r>
      <w:r w:rsidR="009248F7">
        <w:t>s</w:t>
      </w:r>
      <w:r w:rsidR="007A0ED2">
        <w:t>quares (</w:t>
      </w:r>
      <w:r w:rsidR="005D5F6E">
        <w:t>OLS</w:t>
      </w:r>
      <w:r w:rsidR="007A0ED2">
        <w:t>)</w:t>
      </w:r>
      <w:r w:rsidR="005D5F6E">
        <w:t xml:space="preserve"> estimates using the </w:t>
      </w:r>
      <w:proofErr w:type="spellStart"/>
      <w:r w:rsidR="005D5F6E">
        <w:t>Mincerian</w:t>
      </w:r>
      <w:proofErr w:type="spellEnd"/>
      <w:r w:rsidR="005D5F6E">
        <w:t xml:space="preserve"> earnings equation may be biased and not representative for the whole population since the OLS estimates the return to schooling for a subset of wage-earners only. To address the problem we apply the sample s</w:t>
      </w:r>
      <w:r w:rsidR="00FA1746">
        <w:t>election model (Heckman</w:t>
      </w:r>
      <w:r w:rsidR="005D5F6E">
        <w:t xml:space="preserve"> 1979) as follows:</w:t>
      </w:r>
    </w:p>
    <w:p w:rsidR="00CE50EC" w:rsidRDefault="00CE50EC" w:rsidP="005A2C59">
      <w:pPr>
        <w:tabs>
          <w:tab w:val="left" w:pos="284"/>
          <w:tab w:val="left" w:pos="426"/>
        </w:tabs>
        <w:spacing w:line="288" w:lineRule="auto"/>
        <w:jc w:val="right"/>
        <w:rPr>
          <w:sz w:val="12"/>
          <w:szCs w:val="12"/>
        </w:rPr>
      </w:pPr>
    </w:p>
    <w:p w:rsidR="00F25EEA" w:rsidRPr="00BE5A87" w:rsidRDefault="005F6ACA" w:rsidP="00CE50EC">
      <w:pPr>
        <w:tabs>
          <w:tab w:val="left" w:pos="284"/>
          <w:tab w:val="left" w:pos="3686"/>
          <w:tab w:val="right" w:pos="9027"/>
        </w:tabs>
        <w:spacing w:line="288" w:lineRule="auto"/>
        <w:rPr>
          <w:sz w:val="22"/>
          <w:szCs w:val="22"/>
        </w:rPr>
      </w:pPr>
      <w:r w:rsidRPr="00696FF4">
        <w:rPr>
          <w:i/>
          <w:sz w:val="22"/>
          <w:szCs w:val="22"/>
        </w:rPr>
        <w:t>Wage E</w:t>
      </w:r>
      <w:r w:rsidR="00F25EEA" w:rsidRPr="00696FF4">
        <w:rPr>
          <w:i/>
          <w:sz w:val="22"/>
          <w:szCs w:val="22"/>
        </w:rPr>
        <w:t>quation</w:t>
      </w:r>
      <w:r w:rsidR="00F25EEA" w:rsidRPr="00BE5A87">
        <w:rPr>
          <w:sz w:val="22"/>
          <w:szCs w:val="22"/>
        </w:rPr>
        <w:t xml:space="preserve">: </w:t>
      </w:r>
      <w:r w:rsidR="00CE50EC">
        <w:rPr>
          <w:sz w:val="22"/>
          <w:szCs w:val="22"/>
        </w:rPr>
        <w:t xml:space="preserve"> </w:t>
      </w:r>
      <w:r w:rsidR="00CE50EC">
        <w:rPr>
          <w:sz w:val="22"/>
          <w:szCs w:val="22"/>
        </w:rPr>
        <w:tab/>
      </w:r>
      <w:proofErr w:type="spellStart"/>
      <w:r w:rsidR="00F25EEA" w:rsidRPr="00BE5A87">
        <w:rPr>
          <w:i/>
          <w:sz w:val="22"/>
          <w:szCs w:val="22"/>
        </w:rPr>
        <w:t>w</w:t>
      </w:r>
      <w:r w:rsidR="00F25EEA" w:rsidRPr="00BE5A87">
        <w:rPr>
          <w:i/>
          <w:sz w:val="22"/>
          <w:szCs w:val="22"/>
          <w:vertAlign w:val="subscript"/>
        </w:rPr>
        <w:t>i</w:t>
      </w:r>
      <w:proofErr w:type="spellEnd"/>
      <w:r w:rsidR="00F25EEA" w:rsidRPr="00BE5A87">
        <w:rPr>
          <w:i/>
          <w:sz w:val="22"/>
          <w:szCs w:val="22"/>
          <w:vertAlign w:val="subscript"/>
        </w:rPr>
        <w:t xml:space="preserve"> </w:t>
      </w:r>
      <w:r w:rsidR="00F25EEA" w:rsidRPr="00BE5A87">
        <w:rPr>
          <w:i/>
          <w:sz w:val="22"/>
          <w:szCs w:val="22"/>
        </w:rPr>
        <w:t xml:space="preserve">= </w:t>
      </w:r>
      <w:proofErr w:type="spellStart"/>
      <w:r w:rsidR="00F25EEA" w:rsidRPr="00BE5A87">
        <w:rPr>
          <w:i/>
          <w:sz w:val="22"/>
          <w:szCs w:val="22"/>
        </w:rPr>
        <w:t>z</w:t>
      </w:r>
      <w:r w:rsidR="00F25EEA" w:rsidRPr="00BE5A87">
        <w:rPr>
          <w:i/>
          <w:sz w:val="22"/>
          <w:szCs w:val="22"/>
          <w:vertAlign w:val="subscript"/>
        </w:rPr>
        <w:t>i</w:t>
      </w:r>
      <w:proofErr w:type="spellEnd"/>
      <w:r w:rsidR="00F25EEA" w:rsidRPr="00BE5A87">
        <w:rPr>
          <w:i/>
          <w:sz w:val="22"/>
          <w:szCs w:val="22"/>
        </w:rPr>
        <w:t xml:space="preserve"> </w:t>
      </w:r>
      <w:r w:rsidR="00F25EEA" w:rsidRPr="00BE5A87">
        <w:rPr>
          <w:rFonts w:ascii="Symbol" w:hAnsi="Symbol"/>
          <w:i/>
          <w:sz w:val="22"/>
          <w:szCs w:val="22"/>
        </w:rPr>
        <w:t></w:t>
      </w:r>
      <w:r w:rsidR="00F25EEA" w:rsidRPr="00BE5A87">
        <w:rPr>
          <w:i/>
          <w:sz w:val="22"/>
          <w:szCs w:val="22"/>
          <w:vertAlign w:val="subscript"/>
        </w:rPr>
        <w:t>1</w:t>
      </w:r>
      <w:r w:rsidR="00F25EEA" w:rsidRPr="00BE5A87">
        <w:rPr>
          <w:i/>
          <w:sz w:val="22"/>
          <w:szCs w:val="22"/>
        </w:rPr>
        <w:t xml:space="preserve"> + u</w:t>
      </w:r>
      <w:r w:rsidR="00F25EEA" w:rsidRPr="00BE5A87">
        <w:rPr>
          <w:i/>
          <w:sz w:val="22"/>
          <w:szCs w:val="22"/>
          <w:vertAlign w:val="subscript"/>
        </w:rPr>
        <w:t>1i</w:t>
      </w:r>
      <w:r w:rsidR="00F25EEA" w:rsidRPr="00BE5A87">
        <w:rPr>
          <w:sz w:val="22"/>
          <w:szCs w:val="22"/>
          <w:vertAlign w:val="subscript"/>
        </w:rPr>
        <w:tab/>
      </w:r>
      <w:r w:rsidR="00F25EEA" w:rsidRPr="00BE5A87">
        <w:rPr>
          <w:sz w:val="22"/>
          <w:szCs w:val="22"/>
        </w:rPr>
        <w:t>(3)</w:t>
      </w:r>
    </w:p>
    <w:p w:rsidR="00BE5A87" w:rsidRPr="009248F7" w:rsidRDefault="00BE5A87" w:rsidP="005A2C59">
      <w:pPr>
        <w:tabs>
          <w:tab w:val="left" w:pos="284"/>
          <w:tab w:val="left" w:pos="426"/>
        </w:tabs>
        <w:spacing w:line="288" w:lineRule="auto"/>
        <w:jc w:val="both"/>
        <w:rPr>
          <w:sz w:val="20"/>
          <w:szCs w:val="20"/>
        </w:rPr>
      </w:pPr>
    </w:p>
    <w:p w:rsidR="00F25EEA" w:rsidRDefault="00BE5A87" w:rsidP="005A2C59">
      <w:pPr>
        <w:tabs>
          <w:tab w:val="left" w:pos="284"/>
          <w:tab w:val="left" w:pos="426"/>
        </w:tabs>
        <w:spacing w:line="288" w:lineRule="auto"/>
        <w:jc w:val="both"/>
      </w:pPr>
      <w:r>
        <w:t>w</w:t>
      </w:r>
      <w:r w:rsidR="00F25EEA" w:rsidRPr="00FA3A14">
        <w:t xml:space="preserve">here </w:t>
      </w:r>
      <w:proofErr w:type="spellStart"/>
      <w:r w:rsidR="00E869F0" w:rsidRPr="00B61713">
        <w:rPr>
          <w:i/>
        </w:rPr>
        <w:t>w</w:t>
      </w:r>
      <w:r w:rsidR="00E869F0" w:rsidRPr="00B61713">
        <w:rPr>
          <w:i/>
          <w:vertAlign w:val="subscript"/>
        </w:rPr>
        <w:t>i</w:t>
      </w:r>
      <w:proofErr w:type="spellEnd"/>
      <w:r w:rsidR="00E869F0">
        <w:t xml:space="preserve"> is log of hourly wage, </w:t>
      </w:r>
      <w:proofErr w:type="spellStart"/>
      <w:r w:rsidR="00F25EEA" w:rsidRPr="00B61713">
        <w:rPr>
          <w:i/>
        </w:rPr>
        <w:t>z</w:t>
      </w:r>
      <w:r w:rsidR="00F25EEA" w:rsidRPr="00B61713">
        <w:rPr>
          <w:i/>
          <w:vertAlign w:val="subscript"/>
        </w:rPr>
        <w:t>i</w:t>
      </w:r>
      <w:proofErr w:type="spellEnd"/>
      <w:r w:rsidR="00F25EEA" w:rsidRPr="00FA3A14">
        <w:t xml:space="preserve"> is a vector of schooling</w:t>
      </w:r>
      <w:r w:rsidR="00636C0E">
        <w:t>,</w:t>
      </w:r>
      <w:r w:rsidR="00F25EEA" w:rsidRPr="00FA3A14">
        <w:t xml:space="preserve"> experience </w:t>
      </w:r>
      <w:r w:rsidR="00636C0E">
        <w:t xml:space="preserve">and gender </w:t>
      </w:r>
      <w:r w:rsidR="00F25EEA" w:rsidRPr="00FA3A14">
        <w:t xml:space="preserve">variables for individual </w:t>
      </w:r>
      <w:proofErr w:type="spellStart"/>
      <w:r w:rsidR="00F25EEA" w:rsidRPr="00B61713">
        <w:rPr>
          <w:i/>
        </w:rPr>
        <w:t>i</w:t>
      </w:r>
      <w:proofErr w:type="spellEnd"/>
      <w:r w:rsidR="00E869F0">
        <w:t>.</w:t>
      </w:r>
    </w:p>
    <w:p w:rsidR="00CE50EC" w:rsidRPr="00CE50EC" w:rsidRDefault="00CE50EC" w:rsidP="005A2C59">
      <w:pPr>
        <w:tabs>
          <w:tab w:val="left" w:pos="284"/>
          <w:tab w:val="left" w:pos="426"/>
        </w:tabs>
        <w:spacing w:line="288" w:lineRule="auto"/>
        <w:jc w:val="both"/>
        <w:rPr>
          <w:sz w:val="8"/>
          <w:szCs w:val="8"/>
        </w:rPr>
      </w:pPr>
    </w:p>
    <w:p w:rsidR="00F25EEA" w:rsidRPr="00BE5A87" w:rsidRDefault="005F6ACA" w:rsidP="00CE50EC">
      <w:pPr>
        <w:tabs>
          <w:tab w:val="left" w:pos="284"/>
          <w:tab w:val="left" w:pos="3686"/>
          <w:tab w:val="right" w:pos="9027"/>
        </w:tabs>
        <w:spacing w:line="288" w:lineRule="auto"/>
        <w:jc w:val="both"/>
        <w:rPr>
          <w:sz w:val="22"/>
          <w:szCs w:val="22"/>
        </w:rPr>
      </w:pPr>
      <w:r w:rsidRPr="00696FF4">
        <w:rPr>
          <w:i/>
          <w:sz w:val="22"/>
          <w:szCs w:val="22"/>
        </w:rPr>
        <w:t>Selection E</w:t>
      </w:r>
      <w:r w:rsidR="00F25EEA" w:rsidRPr="00696FF4">
        <w:rPr>
          <w:i/>
          <w:sz w:val="22"/>
          <w:szCs w:val="22"/>
        </w:rPr>
        <w:t>quation</w:t>
      </w:r>
      <w:r w:rsidR="00F25EEA" w:rsidRPr="00BE5A87">
        <w:rPr>
          <w:sz w:val="22"/>
          <w:szCs w:val="22"/>
        </w:rPr>
        <w:t xml:space="preserve">: </w:t>
      </w:r>
      <w:r w:rsidR="00CE50EC">
        <w:rPr>
          <w:sz w:val="22"/>
          <w:szCs w:val="22"/>
        </w:rPr>
        <w:tab/>
      </w:r>
      <w:r w:rsidR="00F25EEA" w:rsidRPr="00BE5A87">
        <w:rPr>
          <w:i/>
          <w:sz w:val="22"/>
          <w:szCs w:val="22"/>
        </w:rPr>
        <w:t>h</w:t>
      </w:r>
      <w:r w:rsidR="00F25EEA" w:rsidRPr="00BE5A87">
        <w:rPr>
          <w:i/>
          <w:sz w:val="22"/>
          <w:szCs w:val="22"/>
          <w:vertAlign w:val="subscript"/>
        </w:rPr>
        <w:t>i</w:t>
      </w:r>
      <w:r w:rsidR="00F25EEA" w:rsidRPr="00BE5A87">
        <w:rPr>
          <w:i/>
          <w:sz w:val="22"/>
          <w:szCs w:val="22"/>
        </w:rPr>
        <w:t>* = x</w:t>
      </w:r>
      <w:r w:rsidR="00F25EEA" w:rsidRPr="00BE5A87">
        <w:rPr>
          <w:i/>
          <w:sz w:val="22"/>
          <w:szCs w:val="22"/>
          <w:vertAlign w:val="subscript"/>
        </w:rPr>
        <w:t>i</w:t>
      </w:r>
      <w:r w:rsidR="00F25EEA" w:rsidRPr="00BE5A87">
        <w:rPr>
          <w:i/>
          <w:sz w:val="22"/>
          <w:szCs w:val="22"/>
        </w:rPr>
        <w:t xml:space="preserve"> </w:t>
      </w:r>
      <w:r w:rsidR="00F25EEA" w:rsidRPr="00BE5A87">
        <w:rPr>
          <w:rFonts w:ascii="Symbol" w:hAnsi="Symbol"/>
          <w:i/>
          <w:sz w:val="22"/>
          <w:szCs w:val="22"/>
        </w:rPr>
        <w:t></w:t>
      </w:r>
      <w:r w:rsidR="00F25EEA" w:rsidRPr="00BE5A87">
        <w:rPr>
          <w:i/>
          <w:sz w:val="22"/>
          <w:szCs w:val="22"/>
          <w:vertAlign w:val="subscript"/>
        </w:rPr>
        <w:t>2</w:t>
      </w:r>
      <w:r w:rsidR="00F25EEA" w:rsidRPr="00BE5A87">
        <w:rPr>
          <w:i/>
          <w:sz w:val="22"/>
          <w:szCs w:val="22"/>
        </w:rPr>
        <w:t xml:space="preserve"> + u</w:t>
      </w:r>
      <w:r w:rsidR="00F25EEA" w:rsidRPr="00BE5A87">
        <w:rPr>
          <w:i/>
          <w:sz w:val="22"/>
          <w:szCs w:val="22"/>
          <w:vertAlign w:val="subscript"/>
        </w:rPr>
        <w:t>2i</w:t>
      </w:r>
      <w:r w:rsidR="00F25EEA" w:rsidRPr="00BE5A87">
        <w:rPr>
          <w:sz w:val="22"/>
          <w:szCs w:val="22"/>
          <w:vertAlign w:val="subscript"/>
        </w:rPr>
        <w:tab/>
      </w:r>
      <w:r w:rsidR="00F25EEA" w:rsidRPr="00BE5A87">
        <w:rPr>
          <w:sz w:val="22"/>
          <w:szCs w:val="22"/>
        </w:rPr>
        <w:t>(4)</w:t>
      </w:r>
    </w:p>
    <w:p w:rsidR="00BE5A87" w:rsidRPr="009248F7" w:rsidRDefault="00BE5A87" w:rsidP="005A2C59">
      <w:pPr>
        <w:tabs>
          <w:tab w:val="left" w:pos="284"/>
          <w:tab w:val="left" w:pos="426"/>
        </w:tabs>
        <w:spacing w:line="288" w:lineRule="auto"/>
        <w:jc w:val="both"/>
        <w:rPr>
          <w:sz w:val="20"/>
          <w:szCs w:val="20"/>
        </w:rPr>
      </w:pPr>
    </w:p>
    <w:p w:rsidR="00F25EEA" w:rsidRDefault="00F25EEA" w:rsidP="005A2C59">
      <w:pPr>
        <w:tabs>
          <w:tab w:val="left" w:pos="284"/>
          <w:tab w:val="left" w:pos="426"/>
        </w:tabs>
        <w:spacing w:line="288" w:lineRule="auto"/>
        <w:jc w:val="both"/>
      </w:pPr>
      <w:proofErr w:type="gramStart"/>
      <w:r w:rsidRPr="00FA3A14">
        <w:t>where</w:t>
      </w:r>
      <w:proofErr w:type="gramEnd"/>
      <w:r w:rsidRPr="00FA3A14">
        <w:t xml:space="preserve"> </w:t>
      </w:r>
      <w:r w:rsidRPr="00B61713">
        <w:rPr>
          <w:i/>
        </w:rPr>
        <w:t>h</w:t>
      </w:r>
      <w:r w:rsidRPr="00B61713">
        <w:rPr>
          <w:i/>
          <w:vertAlign w:val="subscript"/>
        </w:rPr>
        <w:t>i</w:t>
      </w:r>
      <w:r w:rsidRPr="00B61713">
        <w:rPr>
          <w:i/>
        </w:rPr>
        <w:t>*</w:t>
      </w:r>
      <w:r w:rsidR="00FA1746">
        <w:t xml:space="preserve"> is a latent variable </w:t>
      </w:r>
      <w:r w:rsidRPr="00FA3A14">
        <w:t xml:space="preserve">and </w:t>
      </w:r>
      <w:proofErr w:type="spellStart"/>
      <w:r w:rsidRPr="00B61713">
        <w:rPr>
          <w:i/>
        </w:rPr>
        <w:t>w</w:t>
      </w:r>
      <w:r w:rsidRPr="00B61713">
        <w:rPr>
          <w:i/>
          <w:vertAlign w:val="subscript"/>
        </w:rPr>
        <w:t>i</w:t>
      </w:r>
      <w:proofErr w:type="spellEnd"/>
      <w:r w:rsidRPr="00FA3A14">
        <w:t xml:space="preserve"> is observed if </w:t>
      </w:r>
      <w:r w:rsidRPr="00B61713">
        <w:rPr>
          <w:i/>
        </w:rPr>
        <w:t>h</w:t>
      </w:r>
      <w:r w:rsidRPr="00B61713">
        <w:rPr>
          <w:i/>
          <w:vertAlign w:val="subscript"/>
        </w:rPr>
        <w:t>i</w:t>
      </w:r>
      <w:r w:rsidRPr="00FA3A14">
        <w:t xml:space="preserve">* &gt; 0, and </w:t>
      </w:r>
      <w:proofErr w:type="spellStart"/>
      <w:r w:rsidRPr="00B61713">
        <w:rPr>
          <w:i/>
        </w:rPr>
        <w:t>w</w:t>
      </w:r>
      <w:r w:rsidRPr="00B61713">
        <w:rPr>
          <w:i/>
          <w:vertAlign w:val="subscript"/>
        </w:rPr>
        <w:t>i</w:t>
      </w:r>
      <w:proofErr w:type="spellEnd"/>
      <w:r w:rsidRPr="00FA3A14">
        <w:t xml:space="preserve"> is not observed if </w:t>
      </w:r>
      <w:r w:rsidRPr="00B61713">
        <w:rPr>
          <w:i/>
        </w:rPr>
        <w:t>h</w:t>
      </w:r>
      <w:r w:rsidRPr="00B61713">
        <w:rPr>
          <w:i/>
          <w:vertAlign w:val="subscript"/>
        </w:rPr>
        <w:t>i</w:t>
      </w:r>
      <w:r w:rsidRPr="00FA3A14">
        <w:t xml:space="preserve">* ≤ 0. </w:t>
      </w:r>
      <w:r w:rsidR="00B84027" w:rsidRPr="00B61713">
        <w:rPr>
          <w:i/>
        </w:rPr>
        <w:t>X</w:t>
      </w:r>
      <w:r w:rsidR="00636C0E" w:rsidRPr="00B61713">
        <w:rPr>
          <w:i/>
          <w:vertAlign w:val="subscript"/>
        </w:rPr>
        <w:t>i</w:t>
      </w:r>
      <w:r w:rsidR="00636C0E">
        <w:t xml:space="preserve"> is a vector of schooling, experience, gender, household size and household non-wage income. </w:t>
      </w:r>
      <w:r w:rsidR="005D5F6E">
        <w:t xml:space="preserve">The </w:t>
      </w:r>
      <w:r w:rsidR="005D5F6E">
        <w:rPr>
          <w:rFonts w:ascii="Symbol" w:hAnsi="Symbol" w:cs="Symbol"/>
          <w:i/>
          <w:iCs/>
          <w:w w:val="93"/>
        </w:rPr>
        <w:t></w:t>
      </w:r>
      <w:r w:rsidR="005D5F6E" w:rsidRPr="00B60AF3">
        <w:rPr>
          <w:i/>
          <w:iCs/>
          <w:w w:val="93"/>
          <w:szCs w:val="32"/>
          <w:vertAlign w:val="subscript"/>
        </w:rPr>
        <w:t>1</w:t>
      </w:r>
      <w:r w:rsidR="005D5F6E" w:rsidRPr="003829A9">
        <w:rPr>
          <w:i/>
          <w:iCs/>
          <w:w w:val="93"/>
          <w:szCs w:val="32"/>
          <w:vertAlign w:val="subscript"/>
        </w:rPr>
        <w:t xml:space="preserve"> </w:t>
      </w:r>
      <w:r w:rsidR="005D5F6E" w:rsidRPr="003829A9">
        <w:rPr>
          <w:iCs/>
          <w:w w:val="93"/>
          <w:szCs w:val="32"/>
        </w:rPr>
        <w:t xml:space="preserve">and </w:t>
      </w:r>
      <w:r w:rsidR="005D5F6E" w:rsidRPr="00B60AF3">
        <w:rPr>
          <w:rFonts w:ascii="Symbol" w:hAnsi="Symbol" w:cs="Symbol"/>
          <w:i/>
          <w:iCs/>
          <w:w w:val="93"/>
        </w:rPr>
        <w:t></w:t>
      </w:r>
      <w:proofErr w:type="gramStart"/>
      <w:r w:rsidR="005D5F6E" w:rsidRPr="00B60AF3">
        <w:rPr>
          <w:rFonts w:ascii="Symbol" w:hAnsi="Symbol"/>
          <w:i/>
          <w:iCs/>
          <w:w w:val="93"/>
          <w:vertAlign w:val="subscript"/>
        </w:rPr>
        <w:t></w:t>
      </w:r>
      <w:r w:rsidR="005D5F6E" w:rsidRPr="003829A9">
        <w:rPr>
          <w:i/>
          <w:iCs/>
          <w:w w:val="93"/>
          <w:szCs w:val="32"/>
          <w:vertAlign w:val="subscript"/>
        </w:rPr>
        <w:t xml:space="preserve"> </w:t>
      </w:r>
      <w:r w:rsidR="00FA1746">
        <w:rPr>
          <w:i/>
          <w:iCs/>
          <w:w w:val="93"/>
          <w:szCs w:val="32"/>
          <w:vertAlign w:val="subscript"/>
        </w:rPr>
        <w:t xml:space="preserve"> </w:t>
      </w:r>
      <w:r w:rsidR="005D5F6E" w:rsidRPr="003829A9">
        <w:rPr>
          <w:iCs/>
          <w:w w:val="93"/>
          <w:szCs w:val="32"/>
        </w:rPr>
        <w:t>are</w:t>
      </w:r>
      <w:proofErr w:type="gramEnd"/>
      <w:r w:rsidR="005D5F6E">
        <w:rPr>
          <w:iCs/>
          <w:w w:val="93"/>
          <w:szCs w:val="32"/>
        </w:rPr>
        <w:t xml:space="preserve"> vectors of coefficients. </w:t>
      </w:r>
      <w:r w:rsidR="00B84027">
        <w:t xml:space="preserve">The selection equation is used to correct the sample selectivity bias. People may self-select into </w:t>
      </w:r>
      <w:r w:rsidR="00FA1746">
        <w:t xml:space="preserve">the </w:t>
      </w:r>
      <w:r w:rsidR="00B84027">
        <w:t xml:space="preserve">wage employment sector according to their education, household size and non-wage income. </w:t>
      </w:r>
      <w:r w:rsidRPr="00FA3A14">
        <w:t xml:space="preserve">Furthermore, the assumptions about the errors are that: </w:t>
      </w:r>
    </w:p>
    <w:p w:rsidR="00F25EEA" w:rsidRDefault="00F25EEA" w:rsidP="005A2C59">
      <w:pPr>
        <w:tabs>
          <w:tab w:val="left" w:pos="284"/>
          <w:tab w:val="left" w:pos="426"/>
        </w:tabs>
        <w:spacing w:line="288" w:lineRule="auto"/>
        <w:jc w:val="center"/>
        <w:rPr>
          <w:i/>
          <w:sz w:val="22"/>
          <w:szCs w:val="22"/>
          <w:vertAlign w:val="subscript"/>
        </w:rPr>
      </w:pPr>
      <w:r w:rsidRPr="00BE5A87">
        <w:rPr>
          <w:i/>
          <w:sz w:val="22"/>
          <w:szCs w:val="22"/>
        </w:rPr>
        <w:t>u</w:t>
      </w:r>
      <w:r w:rsidRPr="00BE5A87">
        <w:rPr>
          <w:i/>
          <w:sz w:val="22"/>
          <w:szCs w:val="22"/>
        </w:rPr>
        <w:softHyphen/>
      </w:r>
      <w:r w:rsidRPr="00BE5A87">
        <w:rPr>
          <w:i/>
          <w:sz w:val="22"/>
          <w:szCs w:val="22"/>
          <w:vertAlign w:val="subscript"/>
        </w:rPr>
        <w:t>1i</w:t>
      </w:r>
      <w:r w:rsidRPr="00BE5A87">
        <w:rPr>
          <w:i/>
          <w:sz w:val="22"/>
          <w:szCs w:val="22"/>
        </w:rPr>
        <w:t xml:space="preserve"> ~ </w:t>
      </w:r>
      <w:proofErr w:type="gramStart"/>
      <w:r w:rsidRPr="00BE5A87">
        <w:rPr>
          <w:i/>
          <w:sz w:val="22"/>
          <w:szCs w:val="22"/>
        </w:rPr>
        <w:t>NID</w:t>
      </w:r>
      <w:r w:rsidRPr="00FA1746">
        <w:rPr>
          <w:sz w:val="22"/>
          <w:szCs w:val="22"/>
        </w:rPr>
        <w:t>(</w:t>
      </w:r>
      <w:proofErr w:type="gramEnd"/>
      <w:r w:rsidRPr="00BE5A87">
        <w:rPr>
          <w:i/>
          <w:sz w:val="22"/>
          <w:szCs w:val="22"/>
        </w:rPr>
        <w:t>0, σ</w:t>
      </w:r>
      <w:r w:rsidRPr="00BE5A87">
        <w:rPr>
          <w:i/>
          <w:sz w:val="22"/>
          <w:szCs w:val="22"/>
          <w:vertAlign w:val="superscript"/>
        </w:rPr>
        <w:t>2</w:t>
      </w:r>
      <w:r w:rsidRPr="00BE5A87">
        <w:rPr>
          <w:i/>
          <w:sz w:val="22"/>
          <w:szCs w:val="22"/>
        </w:rPr>
        <w:t>)</w:t>
      </w:r>
      <w:r w:rsidRPr="00BE5A87">
        <w:rPr>
          <w:sz w:val="22"/>
          <w:szCs w:val="22"/>
        </w:rPr>
        <w:t xml:space="preserve"> and </w:t>
      </w:r>
      <w:r w:rsidRPr="00BE5A87">
        <w:rPr>
          <w:i/>
          <w:sz w:val="22"/>
          <w:szCs w:val="22"/>
        </w:rPr>
        <w:t>u</w:t>
      </w:r>
      <w:r w:rsidRPr="00BE5A87">
        <w:rPr>
          <w:i/>
          <w:sz w:val="22"/>
          <w:szCs w:val="22"/>
          <w:vertAlign w:val="subscript"/>
        </w:rPr>
        <w:t>2i</w:t>
      </w:r>
      <w:r w:rsidRPr="00BE5A87">
        <w:rPr>
          <w:i/>
          <w:sz w:val="22"/>
          <w:szCs w:val="22"/>
        </w:rPr>
        <w:t xml:space="preserve"> ~ N</w:t>
      </w:r>
      <w:r w:rsidRPr="00FA1746">
        <w:rPr>
          <w:sz w:val="22"/>
          <w:szCs w:val="22"/>
        </w:rPr>
        <w:t>(</w:t>
      </w:r>
      <w:r w:rsidRPr="00BE5A87">
        <w:rPr>
          <w:i/>
          <w:sz w:val="22"/>
          <w:szCs w:val="22"/>
        </w:rPr>
        <w:t>0,1)</w:t>
      </w:r>
      <w:r w:rsidRPr="00BE5A87">
        <w:rPr>
          <w:sz w:val="22"/>
          <w:szCs w:val="22"/>
        </w:rPr>
        <w:t xml:space="preserve"> and</w:t>
      </w:r>
      <w:r w:rsidRPr="00BE5A87">
        <w:rPr>
          <w:sz w:val="22"/>
          <w:szCs w:val="22"/>
        </w:rPr>
        <w:tab/>
      </w:r>
      <w:r w:rsidR="00B61713" w:rsidRPr="00BE5A87">
        <w:rPr>
          <w:sz w:val="22"/>
          <w:szCs w:val="22"/>
        </w:rPr>
        <w:t xml:space="preserve"> </w:t>
      </w:r>
      <w:proofErr w:type="spellStart"/>
      <w:r w:rsidRPr="00BE5A87">
        <w:rPr>
          <w:i/>
          <w:sz w:val="22"/>
          <w:szCs w:val="22"/>
        </w:rPr>
        <w:t>cov</w:t>
      </w:r>
      <w:proofErr w:type="spellEnd"/>
      <w:r w:rsidRPr="00FA1746">
        <w:rPr>
          <w:sz w:val="22"/>
          <w:szCs w:val="22"/>
        </w:rPr>
        <w:t>(</w:t>
      </w:r>
      <w:r w:rsidRPr="00BE5A87">
        <w:rPr>
          <w:i/>
          <w:sz w:val="22"/>
          <w:szCs w:val="22"/>
        </w:rPr>
        <w:t>u</w:t>
      </w:r>
      <w:r w:rsidRPr="00BE5A87">
        <w:rPr>
          <w:i/>
          <w:sz w:val="22"/>
          <w:szCs w:val="22"/>
          <w:vertAlign w:val="subscript"/>
        </w:rPr>
        <w:t>1i</w:t>
      </w:r>
      <w:r w:rsidRPr="00BE5A87">
        <w:rPr>
          <w:i/>
          <w:sz w:val="22"/>
          <w:szCs w:val="22"/>
        </w:rPr>
        <w:t>, u</w:t>
      </w:r>
      <w:r w:rsidRPr="00BE5A87">
        <w:rPr>
          <w:i/>
          <w:sz w:val="22"/>
          <w:szCs w:val="22"/>
          <w:vertAlign w:val="subscript"/>
        </w:rPr>
        <w:t>2i</w:t>
      </w:r>
      <w:r w:rsidRPr="00FA1746">
        <w:rPr>
          <w:sz w:val="22"/>
          <w:szCs w:val="22"/>
        </w:rPr>
        <w:t>)</w:t>
      </w:r>
      <w:r w:rsidRPr="00BE5A87">
        <w:rPr>
          <w:i/>
          <w:sz w:val="22"/>
          <w:szCs w:val="22"/>
        </w:rPr>
        <w:t xml:space="preserve"> =  </w:t>
      </w:r>
      <w:r w:rsidRPr="00BE5A87">
        <w:rPr>
          <w:i/>
          <w:sz w:val="22"/>
          <w:szCs w:val="22"/>
        </w:rPr>
        <w:sym w:font="Symbol" w:char="F072"/>
      </w:r>
      <w:r w:rsidRPr="00BE5A87">
        <w:rPr>
          <w:i/>
          <w:sz w:val="22"/>
          <w:szCs w:val="22"/>
          <w:vertAlign w:val="subscript"/>
        </w:rPr>
        <w:t>12</w:t>
      </w:r>
    </w:p>
    <w:p w:rsidR="0075644D" w:rsidRPr="009248F7" w:rsidRDefault="0075644D" w:rsidP="005A2C59">
      <w:pPr>
        <w:tabs>
          <w:tab w:val="left" w:pos="284"/>
          <w:tab w:val="left" w:pos="426"/>
        </w:tabs>
        <w:spacing w:line="288" w:lineRule="auto"/>
        <w:jc w:val="center"/>
        <w:rPr>
          <w:sz w:val="20"/>
          <w:szCs w:val="20"/>
        </w:rPr>
      </w:pPr>
    </w:p>
    <w:p w:rsidR="00F25EEA" w:rsidRDefault="003427F0" w:rsidP="005A2C59">
      <w:pPr>
        <w:tabs>
          <w:tab w:val="left" w:pos="284"/>
          <w:tab w:val="left" w:pos="426"/>
        </w:tabs>
        <w:spacing w:line="288" w:lineRule="auto"/>
        <w:jc w:val="both"/>
      </w:pPr>
      <w:r>
        <w:tab/>
      </w:r>
      <w:r w:rsidR="00CE50EC">
        <w:tab/>
      </w:r>
      <w:r w:rsidR="00F25EEA" w:rsidRPr="00FA3A14">
        <w:t>In the fi</w:t>
      </w:r>
      <w:r w:rsidR="00FA1746">
        <w:t xml:space="preserve">rst estimation stage, a binary </w:t>
      </w:r>
      <w:proofErr w:type="spellStart"/>
      <w:r w:rsidR="00FA1746">
        <w:t>p</w:t>
      </w:r>
      <w:r w:rsidR="00F25EEA" w:rsidRPr="00FA3A14">
        <w:t>robit</w:t>
      </w:r>
      <w:proofErr w:type="spellEnd"/>
      <w:r w:rsidR="00F25EEA" w:rsidRPr="00FA3A14">
        <w:t xml:space="preserve"> model on all observations (those in wage employment and those not) is used to estimate the correction term </w:t>
      </w:r>
      <w:r w:rsidR="00F25EEA" w:rsidRPr="00B61713">
        <w:rPr>
          <w:rFonts w:ascii="Symbol" w:hAnsi="Symbol"/>
          <w:i/>
        </w:rPr>
        <w:t></w:t>
      </w:r>
      <w:proofErr w:type="spellStart"/>
      <w:r w:rsidR="00D620C7">
        <w:rPr>
          <w:i/>
          <w:vertAlign w:val="subscript"/>
        </w:rPr>
        <w:t>i</w:t>
      </w:r>
      <w:proofErr w:type="spellEnd"/>
      <w:r w:rsidR="00F25EEA" w:rsidRPr="00FA3A14">
        <w:t>, which is the inverse Mill’s ratio or H</w:t>
      </w:r>
      <w:r w:rsidR="00FA1746">
        <w:t>eckman’s l</w:t>
      </w:r>
      <w:r w:rsidR="00F25EEA" w:rsidRPr="00FA3A14">
        <w:t xml:space="preserve">ambda: </w:t>
      </w:r>
      <w:r w:rsidR="00F25EEA" w:rsidRPr="00B61713">
        <w:rPr>
          <w:rFonts w:ascii="Symbol" w:hAnsi="Symbol"/>
          <w:i/>
        </w:rPr>
        <w:t></w:t>
      </w:r>
      <w:proofErr w:type="spellStart"/>
      <w:r w:rsidR="00D620C7">
        <w:rPr>
          <w:i/>
          <w:vertAlign w:val="subscript"/>
        </w:rPr>
        <w:t>i</w:t>
      </w:r>
      <w:proofErr w:type="spellEnd"/>
      <w:r w:rsidR="00F25EEA" w:rsidRPr="00B61713">
        <w:rPr>
          <w:i/>
        </w:rPr>
        <w:t xml:space="preserve"> = </w:t>
      </w:r>
      <w:r w:rsidR="00F25EEA" w:rsidRPr="00B61713">
        <w:rPr>
          <w:rFonts w:ascii="Symbol" w:hAnsi="Symbol"/>
          <w:i/>
        </w:rPr>
        <w:t></w:t>
      </w:r>
      <w:r w:rsidR="00FA1746">
        <w:rPr>
          <w:rFonts w:ascii="Symbol" w:hAnsi="Symbol"/>
        </w:rPr>
        <w:t></w:t>
      </w:r>
      <w:r w:rsidR="00F25EEA" w:rsidRPr="00B61713">
        <w:rPr>
          <w:i/>
        </w:rPr>
        <w:t>x</w:t>
      </w:r>
      <w:r w:rsidR="00F25EEA" w:rsidRPr="00B61713">
        <w:rPr>
          <w:i/>
          <w:vertAlign w:val="subscript"/>
        </w:rPr>
        <w:t>i</w:t>
      </w:r>
      <w:r w:rsidR="00F25EEA" w:rsidRPr="00B61713">
        <w:rPr>
          <w:i/>
        </w:rPr>
        <w:t xml:space="preserve"> </w:t>
      </w:r>
      <w:r w:rsidR="00F25EEA" w:rsidRPr="00B61713">
        <w:rPr>
          <w:rFonts w:ascii="Symbol" w:hAnsi="Symbol"/>
          <w:i/>
        </w:rPr>
        <w:t></w:t>
      </w:r>
      <w:r w:rsidR="00F25EEA" w:rsidRPr="00B61713">
        <w:rPr>
          <w:rFonts w:ascii="Symbol" w:hAnsi="Symbol"/>
          <w:i/>
          <w:vertAlign w:val="subscript"/>
        </w:rPr>
        <w:t></w:t>
      </w:r>
      <w:r w:rsidR="00FA1746">
        <w:rPr>
          <w:rFonts w:ascii="Symbol" w:hAnsi="Symbol"/>
        </w:rPr>
        <w:t></w:t>
      </w:r>
      <w:r w:rsidR="00FA1746">
        <w:rPr>
          <w:rFonts w:ascii="Symbol" w:hAnsi="Symbol"/>
          <w:i/>
        </w:rPr>
        <w:t></w:t>
      </w:r>
      <w:r w:rsidR="00FA1746">
        <w:rPr>
          <w:rFonts w:ascii="Symbol" w:hAnsi="Symbol"/>
          <w:i/>
        </w:rPr>
        <w:t></w:t>
      </w:r>
      <w:r w:rsidR="00FA1746">
        <w:rPr>
          <w:rFonts w:ascii="Symbol" w:hAnsi="Symbol"/>
        </w:rPr>
        <w:t></w:t>
      </w:r>
      <w:r w:rsidR="00F25EEA" w:rsidRPr="00B61713">
        <w:rPr>
          <w:i/>
        </w:rPr>
        <w:t>x</w:t>
      </w:r>
      <w:r w:rsidR="00F25EEA" w:rsidRPr="00B61713">
        <w:rPr>
          <w:i/>
          <w:vertAlign w:val="subscript"/>
        </w:rPr>
        <w:t>i</w:t>
      </w:r>
      <w:r w:rsidR="00F25EEA" w:rsidRPr="00B61713">
        <w:rPr>
          <w:rFonts w:ascii="Symbol" w:hAnsi="Symbol"/>
          <w:i/>
        </w:rPr>
        <w:t></w:t>
      </w:r>
      <w:r w:rsidR="00F25EEA" w:rsidRPr="00B61713">
        <w:rPr>
          <w:rFonts w:ascii="Symbol" w:hAnsi="Symbol"/>
          <w:i/>
          <w:vertAlign w:val="subscript"/>
        </w:rPr>
        <w:t></w:t>
      </w:r>
      <w:r w:rsidR="00FA1746">
        <w:rPr>
          <w:rFonts w:ascii="Symbol" w:hAnsi="Symbol"/>
        </w:rPr>
        <w:t></w:t>
      </w:r>
      <w:r w:rsidR="00EB1C96">
        <w:rPr>
          <w:rFonts w:ascii="Symbol" w:hAnsi="Symbol"/>
          <w:i/>
        </w:rPr>
        <w:t></w:t>
      </w:r>
      <w:r w:rsidR="00EB1C96" w:rsidRPr="00EB1C96">
        <w:t xml:space="preserve">where </w:t>
      </w:r>
      <w:r w:rsidR="00C36611" w:rsidRPr="00B61713">
        <w:rPr>
          <w:rFonts w:ascii="Symbol" w:hAnsi="Symbol"/>
          <w:i/>
        </w:rPr>
        <w:t></w:t>
      </w:r>
      <w:r w:rsidR="00C36611">
        <w:rPr>
          <w:rFonts w:ascii="Symbol" w:hAnsi="Symbol"/>
          <w:i/>
        </w:rPr>
        <w:t></w:t>
      </w:r>
      <w:r w:rsidR="00EB1C96" w:rsidRPr="00EB1C96">
        <w:t>is</w:t>
      </w:r>
      <w:r w:rsidR="00EB1C96">
        <w:t xml:space="preserve"> a normal probability distribution function and </w:t>
      </w:r>
      <w:r w:rsidR="00C36611" w:rsidRPr="00B61713">
        <w:rPr>
          <w:rFonts w:ascii="Symbol" w:hAnsi="Symbol"/>
          <w:i/>
        </w:rPr>
        <w:t></w:t>
      </w:r>
      <w:r w:rsidR="00C36611">
        <w:rPr>
          <w:rFonts w:ascii="Symbol" w:hAnsi="Symbol"/>
          <w:i/>
        </w:rPr>
        <w:t></w:t>
      </w:r>
      <w:r w:rsidR="00EB1C96">
        <w:t xml:space="preserve">is a normal </w:t>
      </w:r>
      <w:r w:rsidR="00D620C7">
        <w:t>cumulative distribution function (</w:t>
      </w:r>
      <w:proofErr w:type="spellStart"/>
      <w:r w:rsidR="00EB1C96" w:rsidRPr="00D620C7">
        <w:rPr>
          <w:i/>
        </w:rPr>
        <w:t>cdf</w:t>
      </w:r>
      <w:proofErr w:type="spellEnd"/>
      <w:r w:rsidR="00D620C7">
        <w:t>)</w:t>
      </w:r>
      <w:r w:rsidR="00EB1C96">
        <w:t xml:space="preserve">. </w:t>
      </w:r>
      <w:r w:rsidR="00F25EEA" w:rsidRPr="00FA3A14">
        <w:t xml:space="preserve">The term is then included in the second stage of the augmented earnings function: </w:t>
      </w:r>
    </w:p>
    <w:p w:rsidR="00F25EEA" w:rsidRPr="00BE5A87" w:rsidRDefault="00DD432A" w:rsidP="00DD432A">
      <w:pPr>
        <w:tabs>
          <w:tab w:val="left" w:pos="3261"/>
          <w:tab w:val="right" w:pos="9027"/>
        </w:tabs>
        <w:spacing w:line="288" w:lineRule="auto"/>
        <w:jc w:val="both"/>
        <w:rPr>
          <w:sz w:val="22"/>
          <w:szCs w:val="22"/>
        </w:rPr>
      </w:pPr>
      <w:r>
        <w:rPr>
          <w:i/>
          <w:sz w:val="22"/>
          <w:szCs w:val="22"/>
        </w:rPr>
        <w:lastRenderedPageBreak/>
        <w:tab/>
      </w:r>
      <w:proofErr w:type="spellStart"/>
      <w:proofErr w:type="gramStart"/>
      <w:r w:rsidR="00F25EEA" w:rsidRPr="00BE5A87">
        <w:rPr>
          <w:i/>
          <w:sz w:val="22"/>
          <w:szCs w:val="22"/>
        </w:rPr>
        <w:t>w</w:t>
      </w:r>
      <w:r w:rsidR="00F25EEA" w:rsidRPr="00BE5A87">
        <w:rPr>
          <w:i/>
          <w:sz w:val="22"/>
          <w:szCs w:val="22"/>
          <w:vertAlign w:val="subscript"/>
        </w:rPr>
        <w:t>i</w:t>
      </w:r>
      <w:proofErr w:type="spellEnd"/>
      <w:r w:rsidR="00F25EEA" w:rsidRPr="00BE5A87">
        <w:rPr>
          <w:i/>
          <w:sz w:val="22"/>
          <w:szCs w:val="22"/>
          <w:vertAlign w:val="subscript"/>
        </w:rPr>
        <w:t xml:space="preserve">  </w:t>
      </w:r>
      <w:r w:rsidR="00F25EEA" w:rsidRPr="00BE5A87">
        <w:rPr>
          <w:i/>
          <w:sz w:val="22"/>
          <w:szCs w:val="22"/>
        </w:rPr>
        <w:t>=</w:t>
      </w:r>
      <w:proofErr w:type="gramEnd"/>
      <w:r w:rsidR="00F25EEA" w:rsidRPr="00BE5A87">
        <w:rPr>
          <w:i/>
          <w:sz w:val="22"/>
          <w:szCs w:val="22"/>
        </w:rPr>
        <w:t xml:space="preserve">  </w:t>
      </w:r>
      <w:proofErr w:type="spellStart"/>
      <w:r w:rsidR="00F25EEA" w:rsidRPr="00BE5A87">
        <w:rPr>
          <w:i/>
          <w:sz w:val="22"/>
          <w:szCs w:val="22"/>
        </w:rPr>
        <w:t>z</w:t>
      </w:r>
      <w:r w:rsidR="00F25EEA" w:rsidRPr="00BE5A87">
        <w:rPr>
          <w:i/>
          <w:sz w:val="22"/>
          <w:szCs w:val="22"/>
          <w:vertAlign w:val="subscript"/>
        </w:rPr>
        <w:t>i</w:t>
      </w:r>
      <w:proofErr w:type="spellEnd"/>
      <w:r w:rsidR="00F25EEA" w:rsidRPr="00BE5A87">
        <w:rPr>
          <w:i/>
          <w:sz w:val="22"/>
          <w:szCs w:val="22"/>
        </w:rPr>
        <w:t xml:space="preserve"> </w:t>
      </w:r>
      <w:r w:rsidR="00F25EEA" w:rsidRPr="00BE5A87">
        <w:rPr>
          <w:rFonts w:ascii="Symbol" w:hAnsi="Symbol"/>
          <w:i/>
          <w:sz w:val="22"/>
          <w:szCs w:val="22"/>
        </w:rPr>
        <w:t></w:t>
      </w:r>
      <w:r w:rsidR="00F25EEA" w:rsidRPr="00BE5A87">
        <w:rPr>
          <w:i/>
          <w:sz w:val="22"/>
          <w:szCs w:val="22"/>
          <w:vertAlign w:val="subscript"/>
        </w:rPr>
        <w:t>1</w:t>
      </w:r>
      <w:r w:rsidR="00F25EEA" w:rsidRPr="00BE5A87">
        <w:rPr>
          <w:i/>
          <w:sz w:val="22"/>
          <w:szCs w:val="22"/>
        </w:rPr>
        <w:t xml:space="preserve"> + σ</w:t>
      </w:r>
      <w:r w:rsidR="00F25EEA" w:rsidRPr="00BE5A87">
        <w:rPr>
          <w:i/>
          <w:sz w:val="22"/>
          <w:szCs w:val="22"/>
          <w:vertAlign w:val="subscript"/>
        </w:rPr>
        <w:t>12</w:t>
      </w:r>
      <w:r w:rsidR="00F25EEA" w:rsidRPr="00BE5A87">
        <w:rPr>
          <w:i/>
          <w:sz w:val="22"/>
          <w:szCs w:val="22"/>
        </w:rPr>
        <w:t>.</w:t>
      </w:r>
      <w:r w:rsidR="00F25EEA" w:rsidRPr="00BE5A87">
        <w:rPr>
          <w:rFonts w:ascii="Symbol" w:hAnsi="Symbol"/>
          <w:i/>
          <w:sz w:val="22"/>
          <w:szCs w:val="22"/>
        </w:rPr>
        <w:t></w:t>
      </w:r>
      <w:r w:rsidR="00F25EEA" w:rsidRPr="00BE5A87">
        <w:rPr>
          <w:rFonts w:ascii="Symbol" w:hAnsi="Symbol"/>
          <w:i/>
          <w:sz w:val="22"/>
          <w:szCs w:val="22"/>
        </w:rPr>
        <w:t></w:t>
      </w:r>
      <w:proofErr w:type="spellStart"/>
      <w:r w:rsidR="00D620C7" w:rsidRPr="00BE5A87">
        <w:rPr>
          <w:i/>
          <w:sz w:val="22"/>
          <w:szCs w:val="22"/>
          <w:vertAlign w:val="subscript"/>
        </w:rPr>
        <w:t>i</w:t>
      </w:r>
      <w:proofErr w:type="spellEnd"/>
      <w:r w:rsidR="00F25EEA" w:rsidRPr="00BE5A87">
        <w:rPr>
          <w:i/>
          <w:sz w:val="22"/>
          <w:szCs w:val="22"/>
        </w:rPr>
        <w:t>+</w:t>
      </w:r>
      <w:r w:rsidR="00F25EEA" w:rsidRPr="00BE5A87">
        <w:rPr>
          <w:i/>
          <w:sz w:val="22"/>
          <w:szCs w:val="22"/>
          <w:vertAlign w:val="subscript"/>
        </w:rPr>
        <w:t xml:space="preserve">  </w:t>
      </w:r>
      <w:r w:rsidR="00F25EEA" w:rsidRPr="00BE5A87">
        <w:rPr>
          <w:rFonts w:ascii="Symbol" w:hAnsi="Symbol"/>
          <w:i/>
          <w:sz w:val="22"/>
          <w:szCs w:val="22"/>
        </w:rPr>
        <w:t></w:t>
      </w:r>
      <w:proofErr w:type="spellStart"/>
      <w:r w:rsidR="00D620C7" w:rsidRPr="00BE5A87">
        <w:rPr>
          <w:i/>
          <w:sz w:val="22"/>
          <w:szCs w:val="22"/>
          <w:vertAlign w:val="subscript"/>
        </w:rPr>
        <w:t>i</w:t>
      </w:r>
      <w:proofErr w:type="spellEnd"/>
      <w:r w:rsidR="00F25EEA" w:rsidRPr="00BE5A87">
        <w:rPr>
          <w:sz w:val="22"/>
          <w:szCs w:val="22"/>
          <w:vertAlign w:val="subscript"/>
        </w:rPr>
        <w:tab/>
      </w:r>
      <w:r w:rsidR="00F25EEA" w:rsidRPr="00BE5A87">
        <w:rPr>
          <w:sz w:val="22"/>
          <w:szCs w:val="22"/>
        </w:rPr>
        <w:t>(5)</w:t>
      </w:r>
    </w:p>
    <w:p w:rsidR="00BE5A87" w:rsidRPr="00BE5A87" w:rsidRDefault="00BE5A87" w:rsidP="005A2C59">
      <w:pPr>
        <w:tabs>
          <w:tab w:val="left" w:pos="284"/>
          <w:tab w:val="left" w:pos="426"/>
        </w:tabs>
        <w:spacing w:line="288" w:lineRule="auto"/>
        <w:jc w:val="both"/>
        <w:rPr>
          <w:sz w:val="12"/>
          <w:szCs w:val="12"/>
        </w:rPr>
      </w:pPr>
    </w:p>
    <w:p w:rsidR="00FA1746" w:rsidRDefault="00BE5A87" w:rsidP="005A2C59">
      <w:pPr>
        <w:tabs>
          <w:tab w:val="left" w:pos="284"/>
          <w:tab w:val="left" w:pos="426"/>
        </w:tabs>
        <w:spacing w:line="288" w:lineRule="auto"/>
        <w:jc w:val="both"/>
      </w:pPr>
      <w:r>
        <w:tab/>
      </w:r>
      <w:r w:rsidR="003427F0">
        <w:tab/>
      </w:r>
      <w:r w:rsidR="00EB1C96">
        <w:t xml:space="preserve">These two equations can also be estimated in one single step procedure using </w:t>
      </w:r>
      <w:r w:rsidR="00FA1746">
        <w:t xml:space="preserve">the </w:t>
      </w:r>
      <w:r w:rsidR="00EB1C96">
        <w:t>Heckman maximum likelihood estimator, whi</w:t>
      </w:r>
      <w:r w:rsidR="00DD432A">
        <w:t>ch is more efficient (</w:t>
      </w:r>
      <w:proofErr w:type="spellStart"/>
      <w:r w:rsidR="00DD432A">
        <w:t>StataCorp</w:t>
      </w:r>
      <w:proofErr w:type="spellEnd"/>
      <w:r w:rsidR="00EB1C96">
        <w:t xml:space="preserve"> 2001) than the two-step procedure. Identification is achieved by including variables (</w:t>
      </w:r>
      <w:r w:rsidR="00EB1C96">
        <w:rPr>
          <w:i/>
          <w:iCs/>
        </w:rPr>
        <w:t>x</w:t>
      </w:r>
      <w:r w:rsidR="00EB1C96">
        <w:rPr>
          <w:i/>
          <w:iCs/>
          <w:sz w:val="32"/>
          <w:szCs w:val="32"/>
          <w:vertAlign w:val="subscript"/>
        </w:rPr>
        <w:t>i</w:t>
      </w:r>
      <w:r w:rsidR="00EB1C96">
        <w:t>)</w:t>
      </w:r>
      <w:r w:rsidR="00FA1746">
        <w:t>,</w:t>
      </w:r>
      <w:r w:rsidR="00EB1C96">
        <w:t xml:space="preserve"> such as household size and household non-wage income</w:t>
      </w:r>
      <w:r w:rsidR="00FA1746">
        <w:t>,</w:t>
      </w:r>
      <w:r w:rsidR="00EB1C96">
        <w:t xml:space="preserve"> in the selection equation but not in the wage equation. Justification for the use of these variables is that they affect wage employm</w:t>
      </w:r>
      <w:r w:rsidR="00FA1746">
        <w:t>ent participation probabilities</w:t>
      </w:r>
      <w:r w:rsidR="00EB1C96">
        <w:t xml:space="preserve"> through changing the opportunity cost of being in the wage labour force, but an employer is unlikely to pay a different wage rate depending on one’s household size or non-labour income. </w:t>
      </w:r>
    </w:p>
    <w:p w:rsidR="00FA1746" w:rsidRDefault="00FA1746" w:rsidP="005A2C59">
      <w:pPr>
        <w:tabs>
          <w:tab w:val="left" w:pos="284"/>
          <w:tab w:val="left" w:pos="426"/>
        </w:tabs>
        <w:spacing w:line="288" w:lineRule="auto"/>
        <w:jc w:val="both"/>
      </w:pPr>
    </w:p>
    <w:p w:rsidR="00D50A2B" w:rsidRDefault="00FA1746" w:rsidP="005A2C59">
      <w:pPr>
        <w:tabs>
          <w:tab w:val="left" w:pos="284"/>
          <w:tab w:val="left" w:pos="426"/>
        </w:tabs>
        <w:spacing w:line="288" w:lineRule="auto"/>
        <w:jc w:val="both"/>
      </w:pPr>
      <w:r>
        <w:tab/>
      </w:r>
      <w:r w:rsidR="00EB1C96">
        <w:t xml:space="preserve">Household size may affect wage employment participation because low productivity and limited arable land in the agricultural sector have </w:t>
      </w:r>
      <w:r w:rsidR="00C37CB3">
        <w:t xml:space="preserve">resulted in </w:t>
      </w:r>
      <w:r w:rsidR="00EB1C96">
        <w:t xml:space="preserve">labour surplus in the </w:t>
      </w:r>
      <w:r w:rsidR="00C37CB3">
        <w:t xml:space="preserve">agricultural </w:t>
      </w:r>
      <w:r w:rsidR="00EB1C96">
        <w:t xml:space="preserve">sector if households have more members. Therefore, household size relates to labour surplus and affects wage employment participation. </w:t>
      </w:r>
      <w:r w:rsidR="00D620C7">
        <w:t>H</w:t>
      </w:r>
      <w:r w:rsidR="00EB1C96">
        <w:t>ouseholds with higher non-wage incomes fr</w:t>
      </w:r>
      <w:r>
        <w:t>om self-employment</w:t>
      </w:r>
      <w:r w:rsidR="00D620C7">
        <w:t xml:space="preserve">, given the same household size, </w:t>
      </w:r>
      <w:r w:rsidR="00EB1C96">
        <w:t>family businesses and farming</w:t>
      </w:r>
      <w:r>
        <w:t>,</w:t>
      </w:r>
      <w:r w:rsidR="00EB1C96">
        <w:t xml:space="preserve"> should have a higher reservation wage and hence may not send their members out to work in the wage employment sector. Therefore, household size and non-wage income are likely to affect </w:t>
      </w:r>
      <w:r w:rsidR="00196F83">
        <w:t xml:space="preserve">significantly </w:t>
      </w:r>
      <w:r w:rsidR="00EB1C96">
        <w:t>the probability of being wage-earners</w:t>
      </w:r>
      <w:r w:rsidR="00D620C7">
        <w:t xml:space="preserve"> in the case of Vietnam</w:t>
      </w:r>
      <w:r w:rsidR="00EB1C96">
        <w:t>.</w:t>
      </w:r>
    </w:p>
    <w:p w:rsidR="00BE5A87" w:rsidRDefault="00BE5A87" w:rsidP="005A2C59">
      <w:pPr>
        <w:tabs>
          <w:tab w:val="left" w:pos="284"/>
          <w:tab w:val="left" w:pos="426"/>
        </w:tabs>
        <w:spacing w:line="288" w:lineRule="auto"/>
        <w:jc w:val="both"/>
      </w:pPr>
    </w:p>
    <w:p w:rsidR="00933B5F" w:rsidRPr="00167359" w:rsidRDefault="00BE30EF" w:rsidP="005A2C59">
      <w:pPr>
        <w:widowControl w:val="0"/>
        <w:tabs>
          <w:tab w:val="left" w:pos="284"/>
          <w:tab w:val="left" w:pos="426"/>
        </w:tabs>
        <w:autoSpaceDE w:val="0"/>
        <w:autoSpaceDN w:val="0"/>
        <w:adjustRightInd w:val="0"/>
        <w:spacing w:line="288" w:lineRule="auto"/>
      </w:pPr>
      <w:r w:rsidRPr="00167359">
        <w:rPr>
          <w:b/>
          <w:bCs/>
        </w:rPr>
        <w:t>3</w:t>
      </w:r>
      <w:r w:rsidR="00933B5F" w:rsidRPr="00167359">
        <w:rPr>
          <w:b/>
          <w:bCs/>
        </w:rPr>
        <w:t xml:space="preserve">. </w:t>
      </w:r>
      <w:r w:rsidR="00BE5A87">
        <w:rPr>
          <w:b/>
          <w:bCs/>
        </w:rPr>
        <w:t>Estimation R</w:t>
      </w:r>
      <w:r w:rsidR="00933B5F" w:rsidRPr="00167359">
        <w:rPr>
          <w:b/>
          <w:bCs/>
        </w:rPr>
        <w:t>esults</w:t>
      </w:r>
    </w:p>
    <w:p w:rsidR="00BE5A87" w:rsidRPr="00BE5A87" w:rsidRDefault="00BE5A87" w:rsidP="005A2C59">
      <w:pPr>
        <w:widowControl w:val="0"/>
        <w:tabs>
          <w:tab w:val="left" w:pos="284"/>
          <w:tab w:val="left" w:pos="426"/>
        </w:tabs>
        <w:overflowPunct w:val="0"/>
        <w:autoSpaceDE w:val="0"/>
        <w:autoSpaceDN w:val="0"/>
        <w:adjustRightInd w:val="0"/>
        <w:spacing w:line="288" w:lineRule="auto"/>
        <w:jc w:val="both"/>
        <w:rPr>
          <w:sz w:val="12"/>
          <w:szCs w:val="12"/>
        </w:rPr>
      </w:pPr>
    </w:p>
    <w:p w:rsidR="000F3DF4" w:rsidRDefault="00933B5F" w:rsidP="005A2C59">
      <w:pPr>
        <w:widowControl w:val="0"/>
        <w:tabs>
          <w:tab w:val="left" w:pos="284"/>
          <w:tab w:val="left" w:pos="426"/>
        </w:tabs>
        <w:overflowPunct w:val="0"/>
        <w:autoSpaceDE w:val="0"/>
        <w:autoSpaceDN w:val="0"/>
        <w:adjustRightInd w:val="0"/>
        <w:spacing w:line="288" w:lineRule="auto"/>
        <w:jc w:val="both"/>
      </w:pPr>
      <w:r>
        <w:t>The descriptive statistic</w:t>
      </w:r>
      <w:r w:rsidR="00C37CB3">
        <w:t xml:space="preserve">s show that on </w:t>
      </w:r>
      <w:r>
        <w:t xml:space="preserve">average educational attainment of wage earners in Vietnam was about </w:t>
      </w:r>
      <w:r w:rsidR="001A1CED">
        <w:t xml:space="preserve">nine to ten </w:t>
      </w:r>
      <w:r>
        <w:t>years</w:t>
      </w:r>
      <w:r w:rsidR="001A1CED">
        <w:t xml:space="preserve"> of schooling</w:t>
      </w:r>
      <w:r>
        <w:t>,</w:t>
      </w:r>
      <w:r w:rsidR="001A1CED">
        <w:t xml:space="preserve"> except slightly lower in </w:t>
      </w:r>
      <w:r w:rsidR="00196F83">
        <w:t xml:space="preserve">the </w:t>
      </w:r>
      <w:r w:rsidR="001A1CED">
        <w:t>2002 sample</w:t>
      </w:r>
      <w:r w:rsidR="00354949">
        <w:t xml:space="preserve"> (Table </w:t>
      </w:r>
      <w:r>
        <w:t>1).</w:t>
      </w:r>
      <w:r w:rsidR="00473DA2">
        <w:rPr>
          <w:rStyle w:val="FootnoteReference"/>
        </w:rPr>
        <w:footnoteReference w:id="5"/>
      </w:r>
      <w:r w:rsidR="00473DA2">
        <w:t xml:space="preserve"> </w:t>
      </w:r>
      <w:r>
        <w:t>Non-wage earners’ education attainment is lower than that of wage earners in all years. The average hourly wage rate was 2,</w:t>
      </w:r>
      <w:r w:rsidR="00672D4C">
        <w:t>420</w:t>
      </w:r>
      <w:r>
        <w:t xml:space="preserve"> </w:t>
      </w:r>
      <w:r w:rsidR="00672D4C">
        <w:t>VND</w:t>
      </w:r>
      <w:r>
        <w:t xml:space="preserve"> (US$0.1</w:t>
      </w:r>
      <w:r w:rsidR="00672D4C">
        <w:t>76</w:t>
      </w:r>
      <w:r>
        <w:t xml:space="preserve">) in 1998 and in nominal terms had risen to </w:t>
      </w:r>
      <w:r w:rsidR="00672D4C">
        <w:t>26,320 VND (US$ 1</w:t>
      </w:r>
      <w:r>
        <w:t>.</w:t>
      </w:r>
      <w:r w:rsidR="00672D4C">
        <w:t>238</w:t>
      </w:r>
      <w:r>
        <w:t>) by 20</w:t>
      </w:r>
      <w:r w:rsidR="00672D4C">
        <w:t>14</w:t>
      </w:r>
      <w:r w:rsidR="007A2BB7">
        <w:t>, or by 10.9 times</w:t>
      </w:r>
      <w:r w:rsidR="00C37CB3">
        <w:t xml:space="preserve">, and by </w:t>
      </w:r>
      <w:r w:rsidR="007A2BB7">
        <w:t>seven times in the US$ terms.</w:t>
      </w:r>
      <w:r w:rsidR="00354949">
        <w:t xml:space="preserve"> Interes</w:t>
      </w:r>
      <w:r w:rsidR="00196F83">
        <w:t>tingly, the share of university-</w:t>
      </w:r>
      <w:r w:rsidR="00C37CB3">
        <w:t xml:space="preserve">graduated </w:t>
      </w:r>
      <w:r w:rsidR="00354949">
        <w:t>workers in the wage-earner subsample increased significantly after the 2008 survey round</w:t>
      </w:r>
      <w:r w:rsidR="00C37CB3">
        <w:t>:</w:t>
      </w:r>
      <w:r w:rsidR="00354949">
        <w:t xml:space="preserve"> the sha</w:t>
      </w:r>
      <w:r w:rsidR="00196F83">
        <w:t xml:space="preserve">re rose more than </w:t>
      </w:r>
      <w:r w:rsidR="00D83CFA">
        <w:t>threefold</w:t>
      </w:r>
      <w:r w:rsidR="00354949">
        <w:t xml:space="preserve">, </w:t>
      </w:r>
      <w:r w:rsidR="00196F83">
        <w:t xml:space="preserve">from </w:t>
      </w:r>
      <w:r w:rsidR="00354949">
        <w:t>7.2% to 22.9%</w:t>
      </w:r>
      <w:r w:rsidR="00C37CB3">
        <w:t xml:space="preserve"> </w:t>
      </w:r>
      <w:r w:rsidR="00196F83">
        <w:t xml:space="preserve">between 2008 and </w:t>
      </w:r>
      <w:r w:rsidR="00C37CB3">
        <w:t>2014</w:t>
      </w:r>
      <w:r w:rsidR="00354949">
        <w:t>.</w:t>
      </w:r>
    </w:p>
    <w:p w:rsidR="00D70885" w:rsidRDefault="00D70885" w:rsidP="005A2C59">
      <w:pPr>
        <w:widowControl w:val="0"/>
        <w:tabs>
          <w:tab w:val="left" w:pos="284"/>
          <w:tab w:val="left" w:pos="426"/>
        </w:tabs>
        <w:overflowPunct w:val="0"/>
        <w:autoSpaceDE w:val="0"/>
        <w:autoSpaceDN w:val="0"/>
        <w:adjustRightInd w:val="0"/>
        <w:spacing w:line="288" w:lineRule="auto"/>
        <w:jc w:val="both"/>
      </w:pPr>
    </w:p>
    <w:p w:rsidR="00D70885" w:rsidRDefault="00D70885" w:rsidP="00D70885">
      <w:pPr>
        <w:widowControl w:val="0"/>
        <w:tabs>
          <w:tab w:val="left" w:pos="284"/>
          <w:tab w:val="left" w:pos="426"/>
        </w:tabs>
        <w:autoSpaceDE w:val="0"/>
        <w:autoSpaceDN w:val="0"/>
        <w:adjustRightInd w:val="0"/>
        <w:spacing w:line="288" w:lineRule="auto"/>
        <w:rPr>
          <w:b/>
          <w:bCs/>
        </w:rPr>
      </w:pPr>
      <w:r>
        <w:rPr>
          <w:b/>
          <w:bCs/>
        </w:rPr>
        <w:t>3.1 Returns to Education</w:t>
      </w:r>
    </w:p>
    <w:p w:rsidR="0075644D" w:rsidRPr="0075644D" w:rsidRDefault="0075644D" w:rsidP="00D70885">
      <w:pPr>
        <w:widowControl w:val="0"/>
        <w:tabs>
          <w:tab w:val="left" w:pos="284"/>
          <w:tab w:val="left" w:pos="426"/>
        </w:tabs>
        <w:autoSpaceDE w:val="0"/>
        <w:autoSpaceDN w:val="0"/>
        <w:adjustRightInd w:val="0"/>
        <w:spacing w:line="288" w:lineRule="auto"/>
        <w:rPr>
          <w:b/>
          <w:bCs/>
          <w:sz w:val="8"/>
          <w:szCs w:val="8"/>
        </w:rPr>
      </w:pPr>
    </w:p>
    <w:p w:rsidR="00D70885" w:rsidRDefault="00D70885" w:rsidP="00D70885">
      <w:pPr>
        <w:widowControl w:val="0"/>
        <w:tabs>
          <w:tab w:val="left" w:pos="284"/>
          <w:tab w:val="left" w:pos="426"/>
        </w:tabs>
        <w:autoSpaceDE w:val="0"/>
        <w:autoSpaceDN w:val="0"/>
        <w:adjustRightInd w:val="0"/>
        <w:spacing w:line="288" w:lineRule="auto"/>
        <w:rPr>
          <w:b/>
          <w:bCs/>
        </w:rPr>
      </w:pPr>
      <w:r>
        <w:rPr>
          <w:b/>
          <w:bCs/>
        </w:rPr>
        <w:t>a. Baseline Estimates</w:t>
      </w:r>
    </w:p>
    <w:p w:rsidR="0075644D" w:rsidRPr="0075644D" w:rsidRDefault="0075644D" w:rsidP="00D70885">
      <w:pPr>
        <w:widowControl w:val="0"/>
        <w:tabs>
          <w:tab w:val="left" w:pos="284"/>
          <w:tab w:val="left" w:pos="426"/>
        </w:tabs>
        <w:autoSpaceDE w:val="0"/>
        <w:autoSpaceDN w:val="0"/>
        <w:adjustRightInd w:val="0"/>
        <w:spacing w:line="288" w:lineRule="auto"/>
        <w:rPr>
          <w:sz w:val="4"/>
          <w:szCs w:val="4"/>
        </w:rPr>
      </w:pPr>
    </w:p>
    <w:p w:rsidR="0075644D" w:rsidRDefault="00D70885" w:rsidP="00D70885">
      <w:pPr>
        <w:widowControl w:val="0"/>
        <w:tabs>
          <w:tab w:val="left" w:pos="284"/>
          <w:tab w:val="left" w:pos="426"/>
        </w:tabs>
        <w:overflowPunct w:val="0"/>
        <w:autoSpaceDE w:val="0"/>
        <w:autoSpaceDN w:val="0"/>
        <w:adjustRightInd w:val="0"/>
        <w:spacing w:line="288" w:lineRule="auto"/>
        <w:jc w:val="both"/>
      </w:pPr>
      <w:r>
        <w:t>Table 2 contains the basic earnings function estimates. All coefficients are sta</w:t>
      </w:r>
      <w:r w:rsidR="00696FF4">
        <w:t>tistically significant at the one percent</w:t>
      </w:r>
      <w:r>
        <w:t xml:space="preserve"> level. The coefficient on years of schooling implies an average private rate of return to another year of schooling of 2.9% i</w:t>
      </w:r>
      <w:r w:rsidR="00B30C21">
        <w:t>n 1998 rising continuously year-by-</w:t>
      </w:r>
      <w:r>
        <w:t>year to a peak of 9.5% in 2008, then declining to 7.2% in 2010, 6% in 2012 and to 5.7% in 2014. These results obviously show the increasing returns to schooling during the 2000s then declining after the GFC in 2008.</w:t>
      </w:r>
    </w:p>
    <w:p w:rsidR="0075644D" w:rsidRDefault="0075644D"/>
    <w:p w:rsidR="001A1CED" w:rsidRDefault="00354949" w:rsidP="00CF4142">
      <w:pPr>
        <w:widowControl w:val="0"/>
        <w:tabs>
          <w:tab w:val="left" w:pos="284"/>
          <w:tab w:val="left" w:pos="426"/>
        </w:tabs>
        <w:overflowPunct w:val="0"/>
        <w:autoSpaceDE w:val="0"/>
        <w:autoSpaceDN w:val="0"/>
        <w:adjustRightInd w:val="0"/>
        <w:jc w:val="center"/>
        <w:rPr>
          <w:b/>
          <w:sz w:val="22"/>
          <w:szCs w:val="22"/>
        </w:rPr>
      </w:pPr>
      <w:r w:rsidRPr="006A7D38">
        <w:rPr>
          <w:b/>
          <w:sz w:val="22"/>
          <w:szCs w:val="22"/>
        </w:rPr>
        <w:lastRenderedPageBreak/>
        <w:t>Table 1</w:t>
      </w:r>
      <w:r w:rsidR="00BE5A87">
        <w:rPr>
          <w:b/>
          <w:sz w:val="22"/>
          <w:szCs w:val="22"/>
        </w:rPr>
        <w:t xml:space="preserve">: Means of Some Main Variables </w:t>
      </w:r>
      <w:r w:rsidR="00B30C21">
        <w:rPr>
          <w:b/>
          <w:sz w:val="22"/>
          <w:szCs w:val="22"/>
        </w:rPr>
        <w:t>for</w:t>
      </w:r>
      <w:r w:rsidR="00BE5A87">
        <w:rPr>
          <w:b/>
          <w:sz w:val="22"/>
          <w:szCs w:val="22"/>
        </w:rPr>
        <w:t xml:space="preserve"> Wage Earner S</w:t>
      </w:r>
      <w:r w:rsidR="001A1CED" w:rsidRPr="006A7D38">
        <w:rPr>
          <w:b/>
          <w:sz w:val="22"/>
          <w:szCs w:val="22"/>
        </w:rPr>
        <w:t>ub-sample</w:t>
      </w:r>
    </w:p>
    <w:p w:rsidR="00501247" w:rsidRPr="006A7D38" w:rsidRDefault="00501247" w:rsidP="00CF4142">
      <w:pPr>
        <w:widowControl w:val="0"/>
        <w:tabs>
          <w:tab w:val="left" w:pos="284"/>
          <w:tab w:val="left" w:pos="426"/>
        </w:tabs>
        <w:overflowPunct w:val="0"/>
        <w:autoSpaceDE w:val="0"/>
        <w:autoSpaceDN w:val="0"/>
        <w:adjustRightInd w:val="0"/>
        <w:jc w:val="center"/>
        <w:rPr>
          <w:b/>
          <w:sz w:val="22"/>
          <w:szCs w:val="22"/>
        </w:rPr>
      </w:pPr>
      <w:r>
        <w:rPr>
          <w:b/>
          <w:sz w:val="22"/>
          <w:szCs w:val="22"/>
        </w:rPr>
        <w:t>1998-2014</w:t>
      </w:r>
    </w:p>
    <w:tbl>
      <w:tblPr>
        <w:tblW w:w="5000" w:type="pct"/>
        <w:tblBorders>
          <w:top w:val="single" w:sz="8" w:space="0" w:color="4F81BD"/>
          <w:bottom w:val="single" w:sz="8" w:space="0" w:color="4F81BD"/>
        </w:tblBorders>
        <w:tblLook w:val="04A0" w:firstRow="1" w:lastRow="0" w:firstColumn="1" w:lastColumn="0" w:noHBand="0" w:noVBand="1"/>
      </w:tblPr>
      <w:tblGrid>
        <w:gridCol w:w="2094"/>
        <w:gridCol w:w="893"/>
        <w:gridCol w:w="894"/>
        <w:gridCol w:w="894"/>
        <w:gridCol w:w="894"/>
        <w:gridCol w:w="894"/>
        <w:gridCol w:w="896"/>
        <w:gridCol w:w="896"/>
        <w:gridCol w:w="888"/>
      </w:tblGrid>
      <w:tr w:rsidR="001A1CED" w:rsidRPr="006A7D38" w:rsidTr="006A2E4F">
        <w:trPr>
          <w:trHeight w:val="300"/>
        </w:trPr>
        <w:tc>
          <w:tcPr>
            <w:tcW w:w="1033" w:type="pct"/>
            <w:tcBorders>
              <w:top w:val="single" w:sz="8" w:space="0" w:color="4F81BD"/>
              <w:left w:val="nil"/>
              <w:bottom w:val="single" w:sz="8" w:space="0" w:color="4F81BD"/>
              <w:right w:val="nil"/>
            </w:tcBorders>
            <w:shd w:val="clear" w:color="auto" w:fill="auto"/>
            <w:noWrap/>
            <w:hideMark/>
          </w:tcPr>
          <w:p w:rsidR="001A1CED" w:rsidRPr="006A7D38" w:rsidRDefault="001A1CED" w:rsidP="00CF4142">
            <w:pPr>
              <w:tabs>
                <w:tab w:val="left" w:pos="284"/>
                <w:tab w:val="left" w:pos="426"/>
              </w:tabs>
              <w:rPr>
                <w:bCs/>
                <w:iCs/>
                <w:color w:val="000000"/>
                <w:sz w:val="22"/>
                <w:szCs w:val="22"/>
              </w:rPr>
            </w:pPr>
            <w:r w:rsidRPr="006A7D38">
              <w:rPr>
                <w:bCs/>
                <w:iCs/>
                <w:color w:val="000000"/>
                <w:sz w:val="22"/>
                <w:szCs w:val="22"/>
              </w:rPr>
              <w:t>Year</w:t>
            </w:r>
          </w:p>
        </w:tc>
        <w:tc>
          <w:tcPr>
            <w:tcW w:w="496" w:type="pct"/>
            <w:tcBorders>
              <w:top w:val="single" w:sz="8" w:space="0" w:color="4F81BD"/>
              <w:left w:val="nil"/>
              <w:bottom w:val="single" w:sz="8" w:space="0" w:color="4F81BD"/>
              <w:right w:val="nil"/>
            </w:tcBorders>
            <w:shd w:val="clear" w:color="auto" w:fill="auto"/>
            <w:noWrap/>
            <w:hideMark/>
          </w:tcPr>
          <w:p w:rsidR="001A1CED" w:rsidRPr="006A7D38" w:rsidRDefault="001A1CED" w:rsidP="00CF4142">
            <w:pPr>
              <w:tabs>
                <w:tab w:val="left" w:pos="284"/>
                <w:tab w:val="left" w:pos="426"/>
              </w:tabs>
              <w:jc w:val="right"/>
              <w:rPr>
                <w:bCs/>
                <w:iCs/>
                <w:color w:val="000000"/>
                <w:sz w:val="22"/>
                <w:szCs w:val="22"/>
              </w:rPr>
            </w:pPr>
            <w:r w:rsidRPr="006A7D38">
              <w:rPr>
                <w:bCs/>
                <w:iCs/>
                <w:color w:val="000000"/>
                <w:sz w:val="22"/>
                <w:szCs w:val="22"/>
              </w:rPr>
              <w:t>1998</w:t>
            </w:r>
          </w:p>
        </w:tc>
        <w:tc>
          <w:tcPr>
            <w:tcW w:w="496" w:type="pct"/>
            <w:tcBorders>
              <w:top w:val="single" w:sz="8" w:space="0" w:color="4F81BD"/>
              <w:left w:val="nil"/>
              <w:bottom w:val="single" w:sz="8" w:space="0" w:color="4F81BD"/>
              <w:right w:val="nil"/>
            </w:tcBorders>
            <w:shd w:val="clear" w:color="auto" w:fill="auto"/>
            <w:noWrap/>
            <w:hideMark/>
          </w:tcPr>
          <w:p w:rsidR="001A1CED" w:rsidRPr="006A7D38" w:rsidRDefault="001A1CED" w:rsidP="00CF4142">
            <w:pPr>
              <w:tabs>
                <w:tab w:val="left" w:pos="284"/>
                <w:tab w:val="left" w:pos="426"/>
              </w:tabs>
              <w:jc w:val="right"/>
              <w:rPr>
                <w:bCs/>
                <w:iCs/>
                <w:color w:val="000000"/>
                <w:sz w:val="22"/>
                <w:szCs w:val="22"/>
              </w:rPr>
            </w:pPr>
            <w:r w:rsidRPr="006A7D38">
              <w:rPr>
                <w:bCs/>
                <w:iCs/>
                <w:color w:val="000000"/>
                <w:sz w:val="22"/>
                <w:szCs w:val="22"/>
              </w:rPr>
              <w:t>2002</w:t>
            </w:r>
          </w:p>
        </w:tc>
        <w:tc>
          <w:tcPr>
            <w:tcW w:w="496" w:type="pct"/>
            <w:tcBorders>
              <w:top w:val="single" w:sz="8" w:space="0" w:color="4F81BD"/>
              <w:left w:val="nil"/>
              <w:bottom w:val="single" w:sz="8" w:space="0" w:color="4F81BD"/>
              <w:right w:val="nil"/>
            </w:tcBorders>
            <w:shd w:val="clear" w:color="auto" w:fill="auto"/>
            <w:noWrap/>
            <w:hideMark/>
          </w:tcPr>
          <w:p w:rsidR="001A1CED" w:rsidRPr="006A7D38" w:rsidRDefault="001A1CED" w:rsidP="00CF4142">
            <w:pPr>
              <w:tabs>
                <w:tab w:val="left" w:pos="284"/>
                <w:tab w:val="left" w:pos="426"/>
              </w:tabs>
              <w:jc w:val="right"/>
              <w:rPr>
                <w:bCs/>
                <w:iCs/>
                <w:color w:val="000000"/>
                <w:sz w:val="22"/>
                <w:szCs w:val="22"/>
              </w:rPr>
            </w:pPr>
            <w:r w:rsidRPr="006A7D38">
              <w:rPr>
                <w:bCs/>
                <w:iCs/>
                <w:color w:val="000000"/>
                <w:sz w:val="22"/>
                <w:szCs w:val="22"/>
              </w:rPr>
              <w:t>2004</w:t>
            </w:r>
          </w:p>
        </w:tc>
        <w:tc>
          <w:tcPr>
            <w:tcW w:w="496" w:type="pct"/>
            <w:tcBorders>
              <w:top w:val="single" w:sz="8" w:space="0" w:color="4F81BD"/>
              <w:left w:val="nil"/>
              <w:bottom w:val="single" w:sz="8" w:space="0" w:color="4F81BD"/>
              <w:right w:val="nil"/>
            </w:tcBorders>
            <w:shd w:val="clear" w:color="auto" w:fill="auto"/>
            <w:noWrap/>
            <w:hideMark/>
          </w:tcPr>
          <w:p w:rsidR="001A1CED" w:rsidRPr="006A7D38" w:rsidRDefault="001A1CED" w:rsidP="00CF4142">
            <w:pPr>
              <w:tabs>
                <w:tab w:val="left" w:pos="284"/>
                <w:tab w:val="left" w:pos="426"/>
              </w:tabs>
              <w:jc w:val="right"/>
              <w:rPr>
                <w:bCs/>
                <w:iCs/>
                <w:color w:val="000000"/>
                <w:sz w:val="22"/>
                <w:szCs w:val="22"/>
              </w:rPr>
            </w:pPr>
            <w:r w:rsidRPr="006A7D38">
              <w:rPr>
                <w:bCs/>
                <w:iCs/>
                <w:color w:val="000000"/>
                <w:sz w:val="22"/>
                <w:szCs w:val="22"/>
              </w:rPr>
              <w:t>2006</w:t>
            </w:r>
          </w:p>
        </w:tc>
        <w:tc>
          <w:tcPr>
            <w:tcW w:w="496" w:type="pct"/>
            <w:tcBorders>
              <w:top w:val="single" w:sz="8" w:space="0" w:color="4F81BD"/>
              <w:left w:val="nil"/>
              <w:bottom w:val="single" w:sz="8" w:space="0" w:color="4F81BD"/>
              <w:right w:val="nil"/>
            </w:tcBorders>
            <w:shd w:val="clear" w:color="auto" w:fill="auto"/>
            <w:noWrap/>
            <w:hideMark/>
          </w:tcPr>
          <w:p w:rsidR="001A1CED" w:rsidRPr="006A7D38" w:rsidRDefault="001A1CED" w:rsidP="00CF4142">
            <w:pPr>
              <w:tabs>
                <w:tab w:val="left" w:pos="284"/>
                <w:tab w:val="left" w:pos="426"/>
              </w:tabs>
              <w:jc w:val="right"/>
              <w:rPr>
                <w:bCs/>
                <w:iCs/>
                <w:color w:val="000000"/>
                <w:sz w:val="22"/>
                <w:szCs w:val="22"/>
              </w:rPr>
            </w:pPr>
            <w:r w:rsidRPr="006A7D38">
              <w:rPr>
                <w:bCs/>
                <w:iCs/>
                <w:color w:val="000000"/>
                <w:sz w:val="22"/>
                <w:szCs w:val="22"/>
              </w:rPr>
              <w:t>2008</w:t>
            </w:r>
          </w:p>
        </w:tc>
        <w:tc>
          <w:tcPr>
            <w:tcW w:w="497" w:type="pct"/>
            <w:tcBorders>
              <w:top w:val="single" w:sz="8" w:space="0" w:color="4F81BD"/>
              <w:left w:val="nil"/>
              <w:bottom w:val="single" w:sz="8" w:space="0" w:color="4F81BD"/>
              <w:right w:val="nil"/>
            </w:tcBorders>
            <w:shd w:val="clear" w:color="auto" w:fill="auto"/>
            <w:noWrap/>
            <w:hideMark/>
          </w:tcPr>
          <w:p w:rsidR="001A1CED" w:rsidRPr="006A7D38" w:rsidRDefault="001A1CED" w:rsidP="00CF4142">
            <w:pPr>
              <w:tabs>
                <w:tab w:val="left" w:pos="284"/>
                <w:tab w:val="left" w:pos="426"/>
              </w:tabs>
              <w:jc w:val="right"/>
              <w:rPr>
                <w:bCs/>
                <w:iCs/>
                <w:color w:val="000000"/>
                <w:sz w:val="22"/>
                <w:szCs w:val="22"/>
              </w:rPr>
            </w:pPr>
            <w:r w:rsidRPr="006A7D38">
              <w:rPr>
                <w:bCs/>
                <w:iCs/>
                <w:color w:val="000000"/>
                <w:sz w:val="22"/>
                <w:szCs w:val="22"/>
              </w:rPr>
              <w:t>2010</w:t>
            </w:r>
          </w:p>
        </w:tc>
        <w:tc>
          <w:tcPr>
            <w:tcW w:w="497" w:type="pct"/>
            <w:tcBorders>
              <w:top w:val="single" w:sz="8" w:space="0" w:color="4F81BD"/>
              <w:left w:val="nil"/>
              <w:bottom w:val="single" w:sz="8" w:space="0" w:color="4F81BD"/>
              <w:right w:val="nil"/>
            </w:tcBorders>
            <w:shd w:val="clear" w:color="auto" w:fill="auto"/>
            <w:noWrap/>
            <w:hideMark/>
          </w:tcPr>
          <w:p w:rsidR="001A1CED" w:rsidRPr="006A7D38" w:rsidRDefault="001A1CED" w:rsidP="00CF4142">
            <w:pPr>
              <w:tabs>
                <w:tab w:val="left" w:pos="284"/>
                <w:tab w:val="left" w:pos="426"/>
              </w:tabs>
              <w:jc w:val="right"/>
              <w:rPr>
                <w:bCs/>
                <w:iCs/>
                <w:color w:val="000000"/>
                <w:sz w:val="22"/>
                <w:szCs w:val="22"/>
              </w:rPr>
            </w:pPr>
            <w:r w:rsidRPr="006A7D38">
              <w:rPr>
                <w:bCs/>
                <w:iCs/>
                <w:color w:val="000000"/>
                <w:sz w:val="22"/>
                <w:szCs w:val="22"/>
              </w:rPr>
              <w:t>2012</w:t>
            </w:r>
          </w:p>
        </w:tc>
        <w:tc>
          <w:tcPr>
            <w:tcW w:w="493" w:type="pct"/>
            <w:tcBorders>
              <w:top w:val="single" w:sz="8" w:space="0" w:color="4F81BD"/>
              <w:left w:val="nil"/>
              <w:bottom w:val="single" w:sz="8" w:space="0" w:color="4F81BD"/>
              <w:right w:val="nil"/>
            </w:tcBorders>
            <w:shd w:val="clear" w:color="auto" w:fill="auto"/>
            <w:noWrap/>
            <w:hideMark/>
          </w:tcPr>
          <w:p w:rsidR="001A1CED" w:rsidRPr="006A7D38" w:rsidRDefault="001A1CED" w:rsidP="00CF4142">
            <w:pPr>
              <w:tabs>
                <w:tab w:val="left" w:pos="284"/>
                <w:tab w:val="left" w:pos="426"/>
              </w:tabs>
              <w:jc w:val="right"/>
              <w:rPr>
                <w:bCs/>
                <w:iCs/>
                <w:color w:val="000000"/>
                <w:sz w:val="22"/>
                <w:szCs w:val="22"/>
              </w:rPr>
            </w:pPr>
            <w:r w:rsidRPr="006A7D38">
              <w:rPr>
                <w:bCs/>
                <w:iCs/>
                <w:color w:val="000000"/>
                <w:sz w:val="22"/>
                <w:szCs w:val="22"/>
              </w:rPr>
              <w:t>2014</w:t>
            </w:r>
          </w:p>
        </w:tc>
      </w:tr>
      <w:tr w:rsidR="001A1CED" w:rsidRPr="006A7D38" w:rsidTr="006A2E4F">
        <w:trPr>
          <w:trHeight w:val="300"/>
        </w:trPr>
        <w:tc>
          <w:tcPr>
            <w:tcW w:w="1033" w:type="pct"/>
            <w:tcBorders>
              <w:left w:val="nil"/>
              <w:right w:val="nil"/>
            </w:tcBorders>
            <w:shd w:val="clear" w:color="auto" w:fill="D3DFEE"/>
            <w:noWrap/>
            <w:hideMark/>
          </w:tcPr>
          <w:p w:rsidR="001A1CED" w:rsidRPr="006A7D38" w:rsidRDefault="001A1CED" w:rsidP="00CF4142">
            <w:pPr>
              <w:tabs>
                <w:tab w:val="left" w:pos="284"/>
                <w:tab w:val="left" w:pos="426"/>
              </w:tabs>
              <w:rPr>
                <w:bCs/>
                <w:color w:val="000000"/>
                <w:sz w:val="22"/>
                <w:szCs w:val="22"/>
              </w:rPr>
            </w:pPr>
            <w:r w:rsidRPr="006A7D38">
              <w:rPr>
                <w:bCs/>
                <w:color w:val="000000"/>
                <w:sz w:val="22"/>
                <w:szCs w:val="22"/>
              </w:rPr>
              <w:t>Sex (M=1)</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0.6</w:t>
            </w:r>
            <w:r w:rsidR="00354949" w:rsidRPr="006A7D38">
              <w:rPr>
                <w:color w:val="000000"/>
                <w:sz w:val="22"/>
                <w:szCs w:val="22"/>
              </w:rPr>
              <w:t>0</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0.63</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0.61</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0.61</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0.61</w:t>
            </w:r>
          </w:p>
        </w:tc>
        <w:tc>
          <w:tcPr>
            <w:tcW w:w="497"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0.6</w:t>
            </w:r>
            <w:r w:rsidR="00354949" w:rsidRPr="006A7D38">
              <w:rPr>
                <w:color w:val="000000"/>
                <w:sz w:val="22"/>
                <w:szCs w:val="22"/>
              </w:rPr>
              <w:t>0</w:t>
            </w:r>
          </w:p>
        </w:tc>
        <w:tc>
          <w:tcPr>
            <w:tcW w:w="497"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0.59</w:t>
            </w:r>
          </w:p>
        </w:tc>
        <w:tc>
          <w:tcPr>
            <w:tcW w:w="493"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0.58</w:t>
            </w:r>
          </w:p>
        </w:tc>
      </w:tr>
      <w:tr w:rsidR="001A1CED" w:rsidRPr="006A7D38" w:rsidTr="006A2E4F">
        <w:trPr>
          <w:trHeight w:val="300"/>
        </w:trPr>
        <w:tc>
          <w:tcPr>
            <w:tcW w:w="1033" w:type="pct"/>
            <w:shd w:val="clear" w:color="auto" w:fill="auto"/>
            <w:noWrap/>
            <w:hideMark/>
          </w:tcPr>
          <w:p w:rsidR="001A1CED" w:rsidRPr="006A7D38" w:rsidRDefault="00A81B90" w:rsidP="00CF4142">
            <w:pPr>
              <w:tabs>
                <w:tab w:val="left" w:pos="284"/>
                <w:tab w:val="left" w:pos="426"/>
              </w:tabs>
              <w:rPr>
                <w:bCs/>
                <w:color w:val="000000"/>
                <w:sz w:val="22"/>
                <w:szCs w:val="22"/>
              </w:rPr>
            </w:pPr>
            <w:r w:rsidRPr="006A7D38">
              <w:rPr>
                <w:bCs/>
                <w:color w:val="000000"/>
                <w:sz w:val="22"/>
                <w:szCs w:val="22"/>
              </w:rPr>
              <w:t>A</w:t>
            </w:r>
            <w:r w:rsidR="001A1CED" w:rsidRPr="006A7D38">
              <w:rPr>
                <w:bCs/>
                <w:color w:val="000000"/>
                <w:sz w:val="22"/>
                <w:szCs w:val="22"/>
              </w:rPr>
              <w:t>ge</w:t>
            </w:r>
            <w:r w:rsidRPr="006A7D38">
              <w:rPr>
                <w:bCs/>
                <w:color w:val="000000"/>
                <w:sz w:val="22"/>
                <w:szCs w:val="22"/>
              </w:rPr>
              <w:t xml:space="preserve"> (years)</w:t>
            </w:r>
            <w:r w:rsidR="001A1CED" w:rsidRPr="006A7D38">
              <w:rPr>
                <w:bCs/>
                <w:color w:val="000000"/>
                <w:sz w:val="22"/>
                <w:szCs w:val="22"/>
              </w:rPr>
              <w:t xml:space="preserve"> </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30.8</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32.1</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32.8</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33.2</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33.8</w:t>
            </w:r>
          </w:p>
        </w:tc>
        <w:tc>
          <w:tcPr>
            <w:tcW w:w="497"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34.1</w:t>
            </w:r>
          </w:p>
        </w:tc>
        <w:tc>
          <w:tcPr>
            <w:tcW w:w="497"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34.3</w:t>
            </w:r>
          </w:p>
        </w:tc>
        <w:tc>
          <w:tcPr>
            <w:tcW w:w="493"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34.7</w:t>
            </w:r>
          </w:p>
        </w:tc>
      </w:tr>
      <w:tr w:rsidR="001A1CED" w:rsidRPr="006A7D38" w:rsidTr="006A2E4F">
        <w:trPr>
          <w:trHeight w:val="300"/>
        </w:trPr>
        <w:tc>
          <w:tcPr>
            <w:tcW w:w="1033" w:type="pct"/>
            <w:tcBorders>
              <w:left w:val="nil"/>
              <w:right w:val="nil"/>
            </w:tcBorders>
            <w:shd w:val="clear" w:color="auto" w:fill="D3DFEE"/>
            <w:noWrap/>
            <w:hideMark/>
          </w:tcPr>
          <w:p w:rsidR="001A1CED" w:rsidRPr="006A7D38" w:rsidRDefault="001A1CED" w:rsidP="00CF4142">
            <w:pPr>
              <w:tabs>
                <w:tab w:val="left" w:pos="284"/>
                <w:tab w:val="left" w:pos="426"/>
              </w:tabs>
              <w:rPr>
                <w:bCs/>
                <w:color w:val="000000"/>
                <w:sz w:val="22"/>
                <w:szCs w:val="22"/>
              </w:rPr>
            </w:pPr>
            <w:r w:rsidRPr="006A7D38">
              <w:rPr>
                <w:bCs/>
                <w:color w:val="000000"/>
                <w:sz w:val="22"/>
                <w:szCs w:val="22"/>
              </w:rPr>
              <w:t>Exp</w:t>
            </w:r>
            <w:r w:rsidR="007A2BB7" w:rsidRPr="006A7D38">
              <w:rPr>
                <w:bCs/>
                <w:color w:val="000000"/>
                <w:sz w:val="22"/>
                <w:szCs w:val="22"/>
              </w:rPr>
              <w:t>erience</w:t>
            </w:r>
            <w:r w:rsidR="00A81B90" w:rsidRPr="006A7D38">
              <w:rPr>
                <w:bCs/>
                <w:color w:val="000000"/>
                <w:sz w:val="22"/>
                <w:szCs w:val="22"/>
              </w:rPr>
              <w:t xml:space="preserve"> (years)</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14.6</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15.8</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15.8</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15.9</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16.3</w:t>
            </w:r>
          </w:p>
        </w:tc>
        <w:tc>
          <w:tcPr>
            <w:tcW w:w="497"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16.9</w:t>
            </w:r>
          </w:p>
        </w:tc>
        <w:tc>
          <w:tcPr>
            <w:tcW w:w="497"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17.1</w:t>
            </w:r>
          </w:p>
        </w:tc>
        <w:tc>
          <w:tcPr>
            <w:tcW w:w="493"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16.8</w:t>
            </w:r>
          </w:p>
        </w:tc>
      </w:tr>
      <w:tr w:rsidR="001A1CED" w:rsidRPr="006A7D38" w:rsidTr="006A2E4F">
        <w:trPr>
          <w:trHeight w:val="300"/>
        </w:trPr>
        <w:tc>
          <w:tcPr>
            <w:tcW w:w="1033" w:type="pct"/>
            <w:shd w:val="clear" w:color="auto" w:fill="auto"/>
            <w:noWrap/>
            <w:hideMark/>
          </w:tcPr>
          <w:p w:rsidR="001A1CED" w:rsidRPr="006A7D38" w:rsidRDefault="001A1CED" w:rsidP="00CF4142">
            <w:pPr>
              <w:tabs>
                <w:tab w:val="left" w:pos="284"/>
                <w:tab w:val="left" w:pos="426"/>
              </w:tabs>
              <w:rPr>
                <w:bCs/>
                <w:color w:val="000000"/>
                <w:sz w:val="22"/>
                <w:szCs w:val="22"/>
              </w:rPr>
            </w:pPr>
            <w:r w:rsidRPr="006A7D38">
              <w:rPr>
                <w:bCs/>
                <w:color w:val="000000"/>
                <w:sz w:val="22"/>
                <w:szCs w:val="22"/>
              </w:rPr>
              <w:t>H</w:t>
            </w:r>
            <w:r w:rsidR="00354949" w:rsidRPr="006A7D38">
              <w:rPr>
                <w:bCs/>
                <w:color w:val="000000"/>
                <w:sz w:val="22"/>
                <w:szCs w:val="22"/>
              </w:rPr>
              <w:t>ousehold</w:t>
            </w:r>
            <w:r w:rsidRPr="006A7D38">
              <w:rPr>
                <w:bCs/>
                <w:color w:val="000000"/>
                <w:sz w:val="22"/>
                <w:szCs w:val="22"/>
              </w:rPr>
              <w:t xml:space="preserve"> size</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6.1</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5.7</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5.6</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5.4</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5.3</w:t>
            </w:r>
          </w:p>
        </w:tc>
        <w:tc>
          <w:tcPr>
            <w:tcW w:w="497"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4.9</w:t>
            </w:r>
          </w:p>
        </w:tc>
        <w:tc>
          <w:tcPr>
            <w:tcW w:w="497"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5</w:t>
            </w:r>
            <w:r w:rsidR="00354949" w:rsidRPr="006A7D38">
              <w:rPr>
                <w:color w:val="000000"/>
                <w:sz w:val="22"/>
                <w:szCs w:val="22"/>
              </w:rPr>
              <w:t>.0</w:t>
            </w:r>
          </w:p>
        </w:tc>
        <w:tc>
          <w:tcPr>
            <w:tcW w:w="493"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4.9</w:t>
            </w:r>
          </w:p>
        </w:tc>
      </w:tr>
      <w:tr w:rsidR="001A1CED" w:rsidRPr="006A7D38" w:rsidTr="006A2E4F">
        <w:trPr>
          <w:trHeight w:val="362"/>
        </w:trPr>
        <w:tc>
          <w:tcPr>
            <w:tcW w:w="1033" w:type="pct"/>
            <w:tcBorders>
              <w:left w:val="nil"/>
              <w:right w:val="nil"/>
            </w:tcBorders>
            <w:shd w:val="clear" w:color="auto" w:fill="D3DFEE"/>
            <w:hideMark/>
          </w:tcPr>
          <w:p w:rsidR="001A1CED" w:rsidRPr="006A7D38" w:rsidRDefault="00473DA2" w:rsidP="00CF4142">
            <w:pPr>
              <w:tabs>
                <w:tab w:val="left" w:pos="284"/>
                <w:tab w:val="left" w:pos="426"/>
              </w:tabs>
              <w:rPr>
                <w:bCs/>
                <w:color w:val="000000"/>
                <w:sz w:val="22"/>
                <w:szCs w:val="22"/>
              </w:rPr>
            </w:pPr>
            <w:r w:rsidRPr="006A7D38">
              <w:rPr>
                <w:bCs/>
                <w:color w:val="000000"/>
                <w:sz w:val="22"/>
                <w:szCs w:val="22"/>
              </w:rPr>
              <w:t>Household non-wage income</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1.36</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1.09</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1.5</w:t>
            </w:r>
            <w:r w:rsidR="00354949" w:rsidRPr="006A7D38">
              <w:rPr>
                <w:color w:val="000000"/>
                <w:sz w:val="22"/>
                <w:szCs w:val="22"/>
              </w:rPr>
              <w:t>0</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1.98</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3.04</w:t>
            </w:r>
          </w:p>
        </w:tc>
        <w:tc>
          <w:tcPr>
            <w:tcW w:w="497"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2.94</w:t>
            </w:r>
          </w:p>
        </w:tc>
        <w:tc>
          <w:tcPr>
            <w:tcW w:w="497"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3.88</w:t>
            </w:r>
          </w:p>
        </w:tc>
        <w:tc>
          <w:tcPr>
            <w:tcW w:w="493"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4.25</w:t>
            </w:r>
          </w:p>
        </w:tc>
      </w:tr>
      <w:tr w:rsidR="001A1CED" w:rsidRPr="006A7D38" w:rsidTr="006A2E4F">
        <w:trPr>
          <w:trHeight w:val="300"/>
        </w:trPr>
        <w:tc>
          <w:tcPr>
            <w:tcW w:w="1033" w:type="pct"/>
            <w:shd w:val="clear" w:color="auto" w:fill="auto"/>
            <w:noWrap/>
            <w:hideMark/>
          </w:tcPr>
          <w:p w:rsidR="001A1CED" w:rsidRPr="006A7D38" w:rsidRDefault="007A2BB7" w:rsidP="00CF4142">
            <w:pPr>
              <w:tabs>
                <w:tab w:val="left" w:pos="284"/>
                <w:tab w:val="left" w:pos="426"/>
              </w:tabs>
              <w:rPr>
                <w:bCs/>
                <w:color w:val="000000"/>
                <w:sz w:val="22"/>
                <w:szCs w:val="22"/>
              </w:rPr>
            </w:pPr>
            <w:r w:rsidRPr="006A7D38">
              <w:rPr>
                <w:bCs/>
                <w:color w:val="000000"/>
                <w:sz w:val="22"/>
                <w:szCs w:val="22"/>
              </w:rPr>
              <w:t>S</w:t>
            </w:r>
            <w:r w:rsidR="001A1CED" w:rsidRPr="006A7D38">
              <w:rPr>
                <w:bCs/>
                <w:color w:val="000000"/>
                <w:sz w:val="22"/>
                <w:szCs w:val="22"/>
              </w:rPr>
              <w:t>chool</w:t>
            </w:r>
            <w:r w:rsidRPr="006A7D38">
              <w:rPr>
                <w:bCs/>
                <w:color w:val="000000"/>
                <w:sz w:val="22"/>
                <w:szCs w:val="22"/>
              </w:rPr>
              <w:t xml:space="preserve">ing </w:t>
            </w:r>
            <w:r w:rsidR="001A1CED" w:rsidRPr="006A7D38">
              <w:rPr>
                <w:bCs/>
                <w:color w:val="000000"/>
                <w:sz w:val="22"/>
                <w:szCs w:val="22"/>
              </w:rPr>
              <w:t xml:space="preserve">year </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9.2</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8.2</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9.7</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9.8</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10</w:t>
            </w:r>
            <w:r w:rsidR="00354949" w:rsidRPr="006A7D38">
              <w:rPr>
                <w:color w:val="000000"/>
                <w:sz w:val="22"/>
                <w:szCs w:val="22"/>
              </w:rPr>
              <w:t>.0</w:t>
            </w:r>
          </w:p>
        </w:tc>
        <w:tc>
          <w:tcPr>
            <w:tcW w:w="497"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9.5</w:t>
            </w:r>
          </w:p>
        </w:tc>
        <w:tc>
          <w:tcPr>
            <w:tcW w:w="497"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9.4</w:t>
            </w:r>
          </w:p>
        </w:tc>
        <w:tc>
          <w:tcPr>
            <w:tcW w:w="493"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10.4</w:t>
            </w:r>
          </w:p>
        </w:tc>
      </w:tr>
      <w:tr w:rsidR="001A1CED" w:rsidRPr="006A7D38" w:rsidTr="006A2E4F">
        <w:trPr>
          <w:trHeight w:val="300"/>
        </w:trPr>
        <w:tc>
          <w:tcPr>
            <w:tcW w:w="1033" w:type="pct"/>
            <w:tcBorders>
              <w:left w:val="nil"/>
              <w:right w:val="nil"/>
            </w:tcBorders>
            <w:shd w:val="clear" w:color="auto" w:fill="D3DFEE"/>
            <w:noWrap/>
            <w:hideMark/>
          </w:tcPr>
          <w:p w:rsidR="001A1CED" w:rsidRPr="006A7D38" w:rsidRDefault="001A1CED" w:rsidP="00CF4142">
            <w:pPr>
              <w:tabs>
                <w:tab w:val="left" w:pos="284"/>
                <w:tab w:val="left" w:pos="426"/>
              </w:tabs>
              <w:rPr>
                <w:bCs/>
                <w:color w:val="000000"/>
                <w:sz w:val="22"/>
                <w:szCs w:val="22"/>
              </w:rPr>
            </w:pPr>
            <w:r w:rsidRPr="006A7D38">
              <w:rPr>
                <w:bCs/>
                <w:color w:val="000000"/>
                <w:sz w:val="22"/>
                <w:szCs w:val="22"/>
              </w:rPr>
              <w:t>Vocational share</w:t>
            </w:r>
            <w:r w:rsidR="00A81B90" w:rsidRPr="006A7D38">
              <w:rPr>
                <w:bCs/>
                <w:color w:val="000000"/>
                <w:sz w:val="22"/>
                <w:szCs w:val="22"/>
              </w:rPr>
              <w:t xml:space="preserve"> (%)</w:t>
            </w:r>
          </w:p>
        </w:tc>
        <w:tc>
          <w:tcPr>
            <w:tcW w:w="496"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6.9</w:t>
            </w:r>
          </w:p>
        </w:tc>
        <w:tc>
          <w:tcPr>
            <w:tcW w:w="496"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10.2</w:t>
            </w:r>
          </w:p>
        </w:tc>
        <w:tc>
          <w:tcPr>
            <w:tcW w:w="496"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16.8</w:t>
            </w:r>
          </w:p>
        </w:tc>
        <w:tc>
          <w:tcPr>
            <w:tcW w:w="496"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18.0</w:t>
            </w:r>
          </w:p>
        </w:tc>
        <w:tc>
          <w:tcPr>
            <w:tcW w:w="496"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14.9</w:t>
            </w:r>
          </w:p>
        </w:tc>
        <w:tc>
          <w:tcPr>
            <w:tcW w:w="497"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15.4</w:t>
            </w:r>
          </w:p>
        </w:tc>
        <w:tc>
          <w:tcPr>
            <w:tcW w:w="497"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16.7</w:t>
            </w:r>
          </w:p>
        </w:tc>
        <w:tc>
          <w:tcPr>
            <w:tcW w:w="493"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14.8</w:t>
            </w:r>
          </w:p>
        </w:tc>
      </w:tr>
      <w:tr w:rsidR="001A1CED" w:rsidRPr="006A7D38" w:rsidTr="006A2E4F">
        <w:trPr>
          <w:trHeight w:val="300"/>
        </w:trPr>
        <w:tc>
          <w:tcPr>
            <w:tcW w:w="1033" w:type="pct"/>
            <w:shd w:val="clear" w:color="auto" w:fill="auto"/>
            <w:noWrap/>
            <w:hideMark/>
          </w:tcPr>
          <w:p w:rsidR="001A1CED" w:rsidRPr="006A7D38" w:rsidRDefault="001A1CED" w:rsidP="00CF4142">
            <w:pPr>
              <w:tabs>
                <w:tab w:val="left" w:pos="284"/>
                <w:tab w:val="left" w:pos="426"/>
              </w:tabs>
              <w:rPr>
                <w:bCs/>
                <w:color w:val="000000"/>
                <w:sz w:val="22"/>
                <w:szCs w:val="22"/>
              </w:rPr>
            </w:pPr>
            <w:r w:rsidRPr="006A7D38">
              <w:rPr>
                <w:bCs/>
                <w:color w:val="000000"/>
                <w:sz w:val="22"/>
                <w:szCs w:val="22"/>
              </w:rPr>
              <w:t>University share</w:t>
            </w:r>
            <w:r w:rsidR="00A81B90" w:rsidRPr="006A7D38">
              <w:rPr>
                <w:bCs/>
                <w:color w:val="000000"/>
                <w:sz w:val="22"/>
                <w:szCs w:val="22"/>
              </w:rPr>
              <w:t xml:space="preserve"> (%)</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6.0%</w:t>
            </w:r>
          </w:p>
        </w:tc>
        <w:tc>
          <w:tcPr>
            <w:tcW w:w="496" w:type="pct"/>
            <w:shd w:val="clear" w:color="auto" w:fill="auto"/>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6.0</w:t>
            </w:r>
          </w:p>
        </w:tc>
        <w:tc>
          <w:tcPr>
            <w:tcW w:w="496" w:type="pct"/>
            <w:shd w:val="clear" w:color="auto" w:fill="auto"/>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7.2</w:t>
            </w:r>
          </w:p>
        </w:tc>
        <w:tc>
          <w:tcPr>
            <w:tcW w:w="496" w:type="pct"/>
            <w:shd w:val="clear" w:color="auto" w:fill="auto"/>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7.2</w:t>
            </w:r>
          </w:p>
        </w:tc>
        <w:tc>
          <w:tcPr>
            <w:tcW w:w="496" w:type="pct"/>
            <w:shd w:val="clear" w:color="auto" w:fill="auto"/>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12.0</w:t>
            </w:r>
          </w:p>
        </w:tc>
        <w:tc>
          <w:tcPr>
            <w:tcW w:w="497" w:type="pct"/>
            <w:shd w:val="clear" w:color="auto" w:fill="auto"/>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14.6</w:t>
            </w:r>
          </w:p>
        </w:tc>
        <w:tc>
          <w:tcPr>
            <w:tcW w:w="497" w:type="pct"/>
            <w:shd w:val="clear" w:color="auto" w:fill="auto"/>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19.4</w:t>
            </w:r>
          </w:p>
        </w:tc>
        <w:tc>
          <w:tcPr>
            <w:tcW w:w="493" w:type="pct"/>
            <w:shd w:val="clear" w:color="auto" w:fill="auto"/>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22.9</w:t>
            </w:r>
          </w:p>
        </w:tc>
      </w:tr>
      <w:tr w:rsidR="001A1CED" w:rsidRPr="006A7D38" w:rsidTr="006A2E4F">
        <w:trPr>
          <w:trHeight w:val="300"/>
        </w:trPr>
        <w:tc>
          <w:tcPr>
            <w:tcW w:w="1033" w:type="pct"/>
            <w:tcBorders>
              <w:left w:val="nil"/>
              <w:right w:val="nil"/>
            </w:tcBorders>
            <w:shd w:val="clear" w:color="auto" w:fill="D3DFEE"/>
            <w:noWrap/>
            <w:hideMark/>
          </w:tcPr>
          <w:p w:rsidR="001A1CED" w:rsidRPr="006A7D38" w:rsidRDefault="00B30C21" w:rsidP="00B30C21">
            <w:pPr>
              <w:tabs>
                <w:tab w:val="left" w:pos="284"/>
                <w:tab w:val="left" w:pos="426"/>
              </w:tabs>
              <w:ind w:right="-96"/>
              <w:rPr>
                <w:bCs/>
                <w:color w:val="000000"/>
                <w:sz w:val="22"/>
                <w:szCs w:val="22"/>
              </w:rPr>
            </w:pPr>
            <w:r>
              <w:rPr>
                <w:bCs/>
                <w:color w:val="000000"/>
                <w:sz w:val="22"/>
                <w:szCs w:val="22"/>
              </w:rPr>
              <w:t>H</w:t>
            </w:r>
            <w:r w:rsidR="001A1CED" w:rsidRPr="006A7D38">
              <w:rPr>
                <w:bCs/>
                <w:color w:val="000000"/>
                <w:sz w:val="22"/>
                <w:szCs w:val="22"/>
              </w:rPr>
              <w:t>ourly income in log</w:t>
            </w:r>
            <w:r>
              <w:rPr>
                <w:bCs/>
                <w:color w:val="000000"/>
                <w:sz w:val="22"/>
                <w:szCs w:val="22"/>
              </w:rPr>
              <w:t>s</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0.68</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0.99</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1.24</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1.51</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1.93</w:t>
            </w:r>
          </w:p>
        </w:tc>
        <w:tc>
          <w:tcPr>
            <w:tcW w:w="497"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2.5</w:t>
            </w:r>
          </w:p>
        </w:tc>
        <w:tc>
          <w:tcPr>
            <w:tcW w:w="497"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2.87</w:t>
            </w:r>
          </w:p>
        </w:tc>
        <w:tc>
          <w:tcPr>
            <w:tcW w:w="493"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3.09</w:t>
            </w:r>
          </w:p>
        </w:tc>
      </w:tr>
      <w:tr w:rsidR="001A1CED" w:rsidRPr="006A7D38" w:rsidTr="006A2E4F">
        <w:trPr>
          <w:trHeight w:val="300"/>
        </w:trPr>
        <w:tc>
          <w:tcPr>
            <w:tcW w:w="1033" w:type="pct"/>
            <w:shd w:val="clear" w:color="auto" w:fill="auto"/>
            <w:noWrap/>
            <w:hideMark/>
          </w:tcPr>
          <w:p w:rsidR="001A1CED" w:rsidRPr="006A7D38" w:rsidRDefault="001A1CED" w:rsidP="00CF4142">
            <w:pPr>
              <w:tabs>
                <w:tab w:val="left" w:pos="284"/>
                <w:tab w:val="left" w:pos="426"/>
              </w:tabs>
              <w:rPr>
                <w:bCs/>
                <w:color w:val="000000"/>
                <w:sz w:val="22"/>
                <w:szCs w:val="22"/>
              </w:rPr>
            </w:pPr>
            <w:r w:rsidRPr="006A7D38">
              <w:rPr>
                <w:bCs/>
                <w:color w:val="000000"/>
                <w:sz w:val="22"/>
                <w:szCs w:val="22"/>
              </w:rPr>
              <w:t>Hourly income</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2.42</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3.95</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4.61</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5.94</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9.24</w:t>
            </w:r>
          </w:p>
        </w:tc>
        <w:tc>
          <w:tcPr>
            <w:tcW w:w="497"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15.6</w:t>
            </w:r>
          </w:p>
        </w:tc>
        <w:tc>
          <w:tcPr>
            <w:tcW w:w="497"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21.36</w:t>
            </w:r>
          </w:p>
        </w:tc>
        <w:tc>
          <w:tcPr>
            <w:tcW w:w="493"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26.32</w:t>
            </w:r>
          </w:p>
        </w:tc>
      </w:tr>
      <w:tr w:rsidR="001A1CED" w:rsidRPr="006A7D38" w:rsidTr="006A2E4F">
        <w:trPr>
          <w:trHeight w:val="644"/>
        </w:trPr>
        <w:tc>
          <w:tcPr>
            <w:tcW w:w="1033" w:type="pct"/>
            <w:tcBorders>
              <w:left w:val="nil"/>
              <w:right w:val="nil"/>
            </w:tcBorders>
            <w:shd w:val="clear" w:color="auto" w:fill="D3DFEE"/>
            <w:hideMark/>
          </w:tcPr>
          <w:p w:rsidR="001A1CED" w:rsidRPr="006A7D38" w:rsidRDefault="00B30C21" w:rsidP="00CF4142">
            <w:pPr>
              <w:tabs>
                <w:tab w:val="left" w:pos="284"/>
                <w:tab w:val="left" w:pos="426"/>
              </w:tabs>
              <w:rPr>
                <w:bCs/>
                <w:color w:val="000000"/>
                <w:sz w:val="22"/>
                <w:szCs w:val="22"/>
              </w:rPr>
            </w:pPr>
            <w:r>
              <w:rPr>
                <w:bCs/>
                <w:color w:val="000000"/>
                <w:sz w:val="22"/>
                <w:szCs w:val="22"/>
              </w:rPr>
              <w:t>N</w:t>
            </w:r>
            <w:r w:rsidR="00672D4C" w:rsidRPr="006A7D38">
              <w:rPr>
                <w:bCs/>
                <w:color w:val="000000"/>
                <w:sz w:val="22"/>
                <w:szCs w:val="22"/>
              </w:rPr>
              <w:t>on-wage earner</w:t>
            </w:r>
            <w:r w:rsidR="00672D4C" w:rsidRPr="006A7D38">
              <w:rPr>
                <w:bCs/>
                <w:color w:val="000000"/>
                <w:sz w:val="22"/>
                <w:szCs w:val="22"/>
              </w:rPr>
              <w:br/>
              <w:t>school</w:t>
            </w:r>
            <w:r>
              <w:rPr>
                <w:bCs/>
                <w:color w:val="000000"/>
                <w:sz w:val="22"/>
                <w:szCs w:val="22"/>
              </w:rPr>
              <w:t xml:space="preserve">ing </w:t>
            </w:r>
            <w:r w:rsidR="00672D4C" w:rsidRPr="006A7D38">
              <w:rPr>
                <w:bCs/>
                <w:color w:val="000000"/>
                <w:sz w:val="22"/>
                <w:szCs w:val="22"/>
              </w:rPr>
              <w:t>year</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7.8</w:t>
            </w:r>
          </w:p>
        </w:tc>
        <w:tc>
          <w:tcPr>
            <w:tcW w:w="496" w:type="pct"/>
            <w:tcBorders>
              <w:left w:val="nil"/>
              <w:right w:val="nil"/>
            </w:tcBorders>
            <w:shd w:val="clear" w:color="auto" w:fill="D3DFEE"/>
            <w:noWrap/>
            <w:hideMark/>
          </w:tcPr>
          <w:p w:rsidR="001A1CED" w:rsidRPr="006A7D38" w:rsidRDefault="00672D4C" w:rsidP="00CF4142">
            <w:pPr>
              <w:tabs>
                <w:tab w:val="left" w:pos="284"/>
                <w:tab w:val="left" w:pos="426"/>
              </w:tabs>
              <w:jc w:val="right"/>
              <w:rPr>
                <w:color w:val="000000"/>
                <w:sz w:val="22"/>
                <w:szCs w:val="22"/>
              </w:rPr>
            </w:pPr>
            <w:r w:rsidRPr="006A7D38">
              <w:rPr>
                <w:color w:val="000000"/>
                <w:sz w:val="22"/>
                <w:szCs w:val="22"/>
              </w:rPr>
              <w:t>7.5</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8.5</w:t>
            </w:r>
          </w:p>
        </w:tc>
        <w:tc>
          <w:tcPr>
            <w:tcW w:w="496" w:type="pct"/>
            <w:tcBorders>
              <w:left w:val="nil"/>
              <w:right w:val="nil"/>
            </w:tcBorders>
            <w:shd w:val="clear" w:color="auto" w:fill="D3DFEE"/>
            <w:noWrap/>
            <w:hideMark/>
          </w:tcPr>
          <w:p w:rsidR="001A1CED" w:rsidRPr="006A7D38" w:rsidRDefault="00672D4C" w:rsidP="00CF4142">
            <w:pPr>
              <w:tabs>
                <w:tab w:val="left" w:pos="284"/>
                <w:tab w:val="left" w:pos="426"/>
              </w:tabs>
              <w:jc w:val="right"/>
              <w:rPr>
                <w:color w:val="000000"/>
                <w:sz w:val="22"/>
                <w:szCs w:val="22"/>
              </w:rPr>
            </w:pPr>
            <w:r w:rsidRPr="006A7D38">
              <w:rPr>
                <w:color w:val="000000"/>
                <w:sz w:val="22"/>
                <w:szCs w:val="22"/>
              </w:rPr>
              <w:t>8.7</w:t>
            </w:r>
          </w:p>
        </w:tc>
        <w:tc>
          <w:tcPr>
            <w:tcW w:w="496"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8.</w:t>
            </w:r>
            <w:r w:rsidR="00672D4C" w:rsidRPr="006A7D38">
              <w:rPr>
                <w:color w:val="000000"/>
                <w:sz w:val="22"/>
                <w:szCs w:val="22"/>
              </w:rPr>
              <w:t>9</w:t>
            </w:r>
          </w:p>
        </w:tc>
        <w:tc>
          <w:tcPr>
            <w:tcW w:w="497" w:type="pct"/>
            <w:tcBorders>
              <w:left w:val="nil"/>
              <w:right w:val="nil"/>
            </w:tcBorders>
            <w:shd w:val="clear" w:color="auto" w:fill="D3DFEE"/>
            <w:noWrap/>
            <w:hideMark/>
          </w:tcPr>
          <w:p w:rsidR="001A1CED" w:rsidRPr="006A7D38" w:rsidRDefault="00672D4C" w:rsidP="00CF4142">
            <w:pPr>
              <w:tabs>
                <w:tab w:val="left" w:pos="284"/>
                <w:tab w:val="left" w:pos="426"/>
              </w:tabs>
              <w:jc w:val="right"/>
              <w:rPr>
                <w:color w:val="000000"/>
                <w:sz w:val="22"/>
                <w:szCs w:val="22"/>
              </w:rPr>
            </w:pPr>
            <w:r w:rsidRPr="006A7D38">
              <w:rPr>
                <w:color w:val="000000"/>
                <w:sz w:val="22"/>
                <w:szCs w:val="22"/>
              </w:rPr>
              <w:t>8.2</w:t>
            </w:r>
          </w:p>
        </w:tc>
        <w:tc>
          <w:tcPr>
            <w:tcW w:w="497" w:type="pct"/>
            <w:tcBorders>
              <w:left w:val="nil"/>
              <w:right w:val="nil"/>
            </w:tcBorders>
            <w:shd w:val="clear" w:color="auto" w:fill="D3DFEE"/>
            <w:noWrap/>
            <w:hideMark/>
          </w:tcPr>
          <w:p w:rsidR="001A1CED" w:rsidRPr="006A7D38" w:rsidRDefault="00672D4C" w:rsidP="00CF4142">
            <w:pPr>
              <w:tabs>
                <w:tab w:val="left" w:pos="284"/>
                <w:tab w:val="left" w:pos="426"/>
              </w:tabs>
              <w:jc w:val="right"/>
              <w:rPr>
                <w:color w:val="000000"/>
                <w:sz w:val="22"/>
                <w:szCs w:val="22"/>
              </w:rPr>
            </w:pPr>
            <w:r w:rsidRPr="006A7D38">
              <w:rPr>
                <w:color w:val="000000"/>
                <w:sz w:val="22"/>
                <w:szCs w:val="22"/>
              </w:rPr>
              <w:t>7.</w:t>
            </w:r>
            <w:r w:rsidR="001A1CED" w:rsidRPr="006A7D38">
              <w:rPr>
                <w:color w:val="000000"/>
                <w:sz w:val="22"/>
                <w:szCs w:val="22"/>
              </w:rPr>
              <w:t>8</w:t>
            </w:r>
          </w:p>
        </w:tc>
        <w:tc>
          <w:tcPr>
            <w:tcW w:w="493" w:type="pct"/>
            <w:tcBorders>
              <w:left w:val="nil"/>
              <w:right w:val="nil"/>
            </w:tcBorders>
            <w:shd w:val="clear" w:color="auto" w:fill="D3DFEE"/>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8.</w:t>
            </w:r>
            <w:r w:rsidR="00672D4C" w:rsidRPr="006A7D38">
              <w:rPr>
                <w:color w:val="000000"/>
                <w:sz w:val="22"/>
                <w:szCs w:val="22"/>
              </w:rPr>
              <w:t>5</w:t>
            </w:r>
          </w:p>
        </w:tc>
      </w:tr>
      <w:tr w:rsidR="001A1CED" w:rsidRPr="006A7D38" w:rsidTr="006A2E4F">
        <w:trPr>
          <w:trHeight w:val="537"/>
        </w:trPr>
        <w:tc>
          <w:tcPr>
            <w:tcW w:w="1033" w:type="pct"/>
            <w:shd w:val="clear" w:color="auto" w:fill="auto"/>
            <w:hideMark/>
          </w:tcPr>
          <w:p w:rsidR="001A1CED" w:rsidRPr="006A7D38" w:rsidRDefault="00B30C21" w:rsidP="00CF4142">
            <w:pPr>
              <w:tabs>
                <w:tab w:val="left" w:pos="284"/>
                <w:tab w:val="left" w:pos="426"/>
              </w:tabs>
              <w:rPr>
                <w:bCs/>
                <w:color w:val="000000"/>
                <w:sz w:val="22"/>
                <w:szCs w:val="22"/>
              </w:rPr>
            </w:pPr>
            <w:r>
              <w:rPr>
                <w:bCs/>
                <w:color w:val="000000"/>
                <w:sz w:val="22"/>
                <w:szCs w:val="22"/>
              </w:rPr>
              <w:t>I</w:t>
            </w:r>
            <w:r w:rsidR="008922C6" w:rsidRPr="006A7D38">
              <w:rPr>
                <w:bCs/>
                <w:color w:val="000000"/>
                <w:sz w:val="22"/>
                <w:szCs w:val="22"/>
              </w:rPr>
              <w:t>ncome of non-wager HHs</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1.74</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1.95</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2.62</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3.34</w:t>
            </w:r>
          </w:p>
        </w:tc>
        <w:tc>
          <w:tcPr>
            <w:tcW w:w="496"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5.15</w:t>
            </w:r>
          </w:p>
        </w:tc>
        <w:tc>
          <w:tcPr>
            <w:tcW w:w="497"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6.03</w:t>
            </w:r>
          </w:p>
        </w:tc>
        <w:tc>
          <w:tcPr>
            <w:tcW w:w="497"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8.1</w:t>
            </w:r>
          </w:p>
        </w:tc>
        <w:tc>
          <w:tcPr>
            <w:tcW w:w="493" w:type="pct"/>
            <w:shd w:val="clear" w:color="auto" w:fill="auto"/>
            <w:noWrap/>
            <w:hideMark/>
          </w:tcPr>
          <w:p w:rsidR="001A1CED" w:rsidRPr="006A7D38" w:rsidRDefault="001A1CED" w:rsidP="00CF4142">
            <w:pPr>
              <w:tabs>
                <w:tab w:val="left" w:pos="284"/>
                <w:tab w:val="left" w:pos="426"/>
              </w:tabs>
              <w:jc w:val="right"/>
              <w:rPr>
                <w:color w:val="000000"/>
                <w:sz w:val="22"/>
                <w:szCs w:val="22"/>
              </w:rPr>
            </w:pPr>
            <w:r w:rsidRPr="006A7D38">
              <w:rPr>
                <w:color w:val="000000"/>
                <w:sz w:val="22"/>
                <w:szCs w:val="22"/>
              </w:rPr>
              <w:t>9.3</w:t>
            </w:r>
          </w:p>
        </w:tc>
      </w:tr>
      <w:tr w:rsidR="001A1CED" w:rsidRPr="006A7D38" w:rsidTr="006A2E4F">
        <w:trPr>
          <w:trHeight w:val="315"/>
        </w:trPr>
        <w:tc>
          <w:tcPr>
            <w:tcW w:w="1033" w:type="pct"/>
            <w:tcBorders>
              <w:left w:val="nil"/>
              <w:right w:val="nil"/>
            </w:tcBorders>
            <w:shd w:val="clear" w:color="auto" w:fill="D3DFEE"/>
            <w:noWrap/>
            <w:hideMark/>
          </w:tcPr>
          <w:p w:rsidR="001A1CED" w:rsidRPr="006A7D38" w:rsidRDefault="00A81B90" w:rsidP="00CF4142">
            <w:pPr>
              <w:tabs>
                <w:tab w:val="left" w:pos="284"/>
                <w:tab w:val="left" w:pos="426"/>
              </w:tabs>
              <w:rPr>
                <w:bCs/>
                <w:color w:val="000000"/>
                <w:sz w:val="22"/>
                <w:szCs w:val="22"/>
              </w:rPr>
            </w:pPr>
            <w:r w:rsidRPr="006A7D38">
              <w:rPr>
                <w:bCs/>
                <w:color w:val="000000"/>
                <w:sz w:val="22"/>
                <w:szCs w:val="22"/>
              </w:rPr>
              <w:t>W</w:t>
            </w:r>
            <w:r w:rsidR="001A1CED" w:rsidRPr="006A7D38">
              <w:rPr>
                <w:bCs/>
                <w:color w:val="000000"/>
                <w:sz w:val="22"/>
                <w:szCs w:val="22"/>
              </w:rPr>
              <w:t>age earners</w:t>
            </w:r>
            <w:r w:rsidRPr="006A7D38">
              <w:rPr>
                <w:bCs/>
                <w:color w:val="000000"/>
                <w:sz w:val="22"/>
                <w:szCs w:val="22"/>
              </w:rPr>
              <w:t xml:space="preserve"> (%)</w:t>
            </w:r>
          </w:p>
        </w:tc>
        <w:tc>
          <w:tcPr>
            <w:tcW w:w="496"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16.6</w:t>
            </w:r>
          </w:p>
        </w:tc>
        <w:tc>
          <w:tcPr>
            <w:tcW w:w="496"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32.6</w:t>
            </w:r>
          </w:p>
        </w:tc>
        <w:tc>
          <w:tcPr>
            <w:tcW w:w="496"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34.4</w:t>
            </w:r>
          </w:p>
        </w:tc>
        <w:tc>
          <w:tcPr>
            <w:tcW w:w="496"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35.1</w:t>
            </w:r>
          </w:p>
        </w:tc>
        <w:tc>
          <w:tcPr>
            <w:tcW w:w="496"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35.3</w:t>
            </w:r>
          </w:p>
        </w:tc>
        <w:tc>
          <w:tcPr>
            <w:tcW w:w="497"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37.6</w:t>
            </w:r>
          </w:p>
        </w:tc>
        <w:tc>
          <w:tcPr>
            <w:tcW w:w="497"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34.9</w:t>
            </w:r>
          </w:p>
        </w:tc>
        <w:tc>
          <w:tcPr>
            <w:tcW w:w="493" w:type="pct"/>
            <w:tcBorders>
              <w:left w:val="nil"/>
              <w:right w:val="nil"/>
            </w:tcBorders>
            <w:shd w:val="clear" w:color="auto" w:fill="D3DFEE"/>
            <w:noWrap/>
            <w:hideMark/>
          </w:tcPr>
          <w:p w:rsidR="001A1CED" w:rsidRPr="006A7D38" w:rsidRDefault="00A81B90" w:rsidP="00CF4142">
            <w:pPr>
              <w:tabs>
                <w:tab w:val="left" w:pos="284"/>
                <w:tab w:val="left" w:pos="426"/>
              </w:tabs>
              <w:jc w:val="right"/>
              <w:rPr>
                <w:color w:val="000000"/>
                <w:sz w:val="22"/>
                <w:szCs w:val="22"/>
              </w:rPr>
            </w:pPr>
            <w:r w:rsidRPr="006A7D38">
              <w:rPr>
                <w:color w:val="000000"/>
                <w:sz w:val="22"/>
                <w:szCs w:val="22"/>
              </w:rPr>
              <w:t>36.5</w:t>
            </w:r>
          </w:p>
        </w:tc>
      </w:tr>
    </w:tbl>
    <w:p w:rsidR="00B30C21" w:rsidRDefault="001A1CED" w:rsidP="00CF4142">
      <w:pPr>
        <w:widowControl w:val="0"/>
        <w:tabs>
          <w:tab w:val="left" w:pos="284"/>
          <w:tab w:val="left" w:pos="426"/>
        </w:tabs>
        <w:overflowPunct w:val="0"/>
        <w:autoSpaceDE w:val="0"/>
        <w:autoSpaceDN w:val="0"/>
        <w:adjustRightInd w:val="0"/>
        <w:jc w:val="both"/>
        <w:rPr>
          <w:i/>
          <w:sz w:val="20"/>
          <w:szCs w:val="20"/>
        </w:rPr>
      </w:pPr>
      <w:r>
        <w:rPr>
          <w:i/>
          <w:sz w:val="20"/>
          <w:szCs w:val="20"/>
        </w:rPr>
        <w:t>Notes</w:t>
      </w:r>
      <w:r w:rsidRPr="000709B1">
        <w:rPr>
          <w:i/>
          <w:sz w:val="20"/>
          <w:szCs w:val="20"/>
        </w:rPr>
        <w:t xml:space="preserve"> </w:t>
      </w:r>
      <w:r w:rsidR="00CF4142">
        <w:rPr>
          <w:i/>
          <w:sz w:val="20"/>
          <w:szCs w:val="20"/>
        </w:rPr>
        <w:t xml:space="preserve"> </w:t>
      </w:r>
    </w:p>
    <w:p w:rsidR="001A1CED" w:rsidRPr="00BE5A87" w:rsidRDefault="001A1CED" w:rsidP="00CF4142">
      <w:pPr>
        <w:widowControl w:val="0"/>
        <w:tabs>
          <w:tab w:val="left" w:pos="284"/>
          <w:tab w:val="left" w:pos="426"/>
        </w:tabs>
        <w:overflowPunct w:val="0"/>
        <w:autoSpaceDE w:val="0"/>
        <w:autoSpaceDN w:val="0"/>
        <w:adjustRightInd w:val="0"/>
        <w:jc w:val="both"/>
        <w:rPr>
          <w:sz w:val="20"/>
          <w:szCs w:val="20"/>
        </w:rPr>
      </w:pPr>
      <w:r w:rsidRPr="00BE5A87">
        <w:rPr>
          <w:sz w:val="20"/>
          <w:szCs w:val="20"/>
        </w:rPr>
        <w:t xml:space="preserve">Hourly wage rates </w:t>
      </w:r>
      <w:r w:rsidR="003427F0">
        <w:rPr>
          <w:sz w:val="20"/>
          <w:szCs w:val="20"/>
        </w:rPr>
        <w:t>are in 1,000 Vietnam Dong. T</w:t>
      </w:r>
      <w:r w:rsidRPr="00BE5A87">
        <w:rPr>
          <w:sz w:val="20"/>
          <w:szCs w:val="20"/>
        </w:rPr>
        <w:t>he average exchange rate was 13,765 Dong/USD in 1998, 15,244 in 2002; 15,705 in 2004; 15,965 in 2006; 16,481 in 2008; 18,983 in 2010; 20,919 in 2012; 21,259 in 2014. Sample</w:t>
      </w:r>
      <w:r w:rsidR="00FB26FE" w:rsidRPr="00BE5A87">
        <w:rPr>
          <w:sz w:val="20"/>
          <w:szCs w:val="20"/>
        </w:rPr>
        <w:t>s</w:t>
      </w:r>
      <w:r w:rsidRPr="00BE5A87">
        <w:rPr>
          <w:sz w:val="20"/>
          <w:szCs w:val="20"/>
        </w:rPr>
        <w:t xml:space="preserve"> exclude </w:t>
      </w:r>
      <w:r w:rsidR="003427F0">
        <w:rPr>
          <w:sz w:val="20"/>
          <w:szCs w:val="20"/>
        </w:rPr>
        <w:t xml:space="preserve">several </w:t>
      </w:r>
      <w:r w:rsidRPr="00BE5A87">
        <w:rPr>
          <w:sz w:val="20"/>
          <w:szCs w:val="20"/>
        </w:rPr>
        <w:t xml:space="preserve">extreme outliers. </w:t>
      </w:r>
      <w:r w:rsidR="003427F0">
        <w:rPr>
          <w:sz w:val="20"/>
          <w:szCs w:val="20"/>
        </w:rPr>
        <w:t xml:space="preserve"> </w:t>
      </w:r>
      <w:r w:rsidRPr="00BE5A87">
        <w:rPr>
          <w:sz w:val="20"/>
          <w:szCs w:val="20"/>
        </w:rPr>
        <w:t>Non-wage income is in VND million.</w:t>
      </w:r>
    </w:p>
    <w:p w:rsidR="00D70885" w:rsidRDefault="00D70885" w:rsidP="00BE5A87">
      <w:pPr>
        <w:tabs>
          <w:tab w:val="left" w:pos="284"/>
          <w:tab w:val="left" w:pos="426"/>
        </w:tabs>
        <w:spacing w:line="288" w:lineRule="auto"/>
        <w:jc w:val="center"/>
        <w:rPr>
          <w:b/>
        </w:rPr>
      </w:pPr>
    </w:p>
    <w:p w:rsidR="003427F0" w:rsidRDefault="003427F0" w:rsidP="00BE5A87">
      <w:pPr>
        <w:tabs>
          <w:tab w:val="left" w:pos="284"/>
          <w:tab w:val="left" w:pos="426"/>
        </w:tabs>
        <w:spacing w:line="288" w:lineRule="auto"/>
        <w:jc w:val="center"/>
        <w:rPr>
          <w:b/>
        </w:rPr>
      </w:pPr>
    </w:p>
    <w:p w:rsidR="00501247" w:rsidRDefault="008B6826" w:rsidP="00501247">
      <w:pPr>
        <w:tabs>
          <w:tab w:val="left" w:pos="284"/>
          <w:tab w:val="left" w:pos="426"/>
        </w:tabs>
        <w:jc w:val="center"/>
        <w:rPr>
          <w:b/>
          <w:sz w:val="22"/>
          <w:szCs w:val="22"/>
        </w:rPr>
      </w:pPr>
      <w:r w:rsidRPr="00CE50EC">
        <w:rPr>
          <w:b/>
          <w:sz w:val="22"/>
          <w:szCs w:val="22"/>
        </w:rPr>
        <w:t xml:space="preserve">Table </w:t>
      </w:r>
      <w:r w:rsidR="001D5DA2" w:rsidRPr="00CE50EC">
        <w:rPr>
          <w:b/>
          <w:sz w:val="22"/>
          <w:szCs w:val="22"/>
        </w:rPr>
        <w:t>2</w:t>
      </w:r>
      <w:r w:rsidRPr="00CE50EC">
        <w:rPr>
          <w:b/>
          <w:sz w:val="22"/>
          <w:szCs w:val="22"/>
        </w:rPr>
        <w:t>: Ba</w:t>
      </w:r>
      <w:r w:rsidR="00BE5A87" w:rsidRPr="00CE50EC">
        <w:rPr>
          <w:b/>
          <w:sz w:val="22"/>
          <w:szCs w:val="22"/>
        </w:rPr>
        <w:t>seline E</w:t>
      </w:r>
      <w:r w:rsidR="001D5DA2" w:rsidRPr="00CE50EC">
        <w:rPr>
          <w:b/>
          <w:sz w:val="22"/>
          <w:szCs w:val="22"/>
        </w:rPr>
        <w:t>stimates</w:t>
      </w:r>
      <w:r w:rsidR="00BE5A87" w:rsidRPr="00CE50EC">
        <w:rPr>
          <w:b/>
          <w:sz w:val="22"/>
          <w:szCs w:val="22"/>
        </w:rPr>
        <w:t xml:space="preserve"> U</w:t>
      </w:r>
      <w:r w:rsidR="008919CF" w:rsidRPr="00CE50EC">
        <w:rPr>
          <w:b/>
          <w:sz w:val="22"/>
          <w:szCs w:val="22"/>
        </w:rPr>
        <w:t>sing OLS</w:t>
      </w:r>
      <w:r w:rsidR="00CE50EC">
        <w:rPr>
          <w:b/>
          <w:sz w:val="22"/>
          <w:szCs w:val="22"/>
        </w:rPr>
        <w:t xml:space="preserve"> </w:t>
      </w:r>
    </w:p>
    <w:p w:rsidR="008B6826" w:rsidRPr="00CE50EC" w:rsidRDefault="008B6826" w:rsidP="00501247">
      <w:pPr>
        <w:tabs>
          <w:tab w:val="left" w:pos="284"/>
          <w:tab w:val="left" w:pos="426"/>
        </w:tabs>
        <w:jc w:val="center"/>
        <w:rPr>
          <w:b/>
          <w:sz w:val="22"/>
          <w:szCs w:val="22"/>
        </w:rPr>
      </w:pPr>
      <w:r w:rsidRPr="00CE50EC">
        <w:rPr>
          <w:b/>
          <w:sz w:val="22"/>
          <w:szCs w:val="22"/>
        </w:rPr>
        <w:t>1998-20</w:t>
      </w:r>
      <w:r w:rsidR="001D5DA2" w:rsidRPr="00CE50EC">
        <w:rPr>
          <w:b/>
          <w:sz w:val="22"/>
          <w:szCs w:val="22"/>
        </w:rPr>
        <w:t>14</w:t>
      </w:r>
    </w:p>
    <w:tbl>
      <w:tblPr>
        <w:tblW w:w="0" w:type="auto"/>
        <w:jc w:val="right"/>
        <w:tblBorders>
          <w:top w:val="single" w:sz="8" w:space="0" w:color="000000"/>
          <w:bottom w:val="single" w:sz="8" w:space="0" w:color="000000"/>
        </w:tblBorders>
        <w:tblLook w:val="04A0" w:firstRow="1" w:lastRow="0" w:firstColumn="1" w:lastColumn="0" w:noHBand="0" w:noVBand="1"/>
      </w:tblPr>
      <w:tblGrid>
        <w:gridCol w:w="1281"/>
        <w:gridCol w:w="906"/>
        <w:gridCol w:w="1008"/>
        <w:gridCol w:w="1008"/>
        <w:gridCol w:w="1008"/>
        <w:gridCol w:w="1008"/>
        <w:gridCol w:w="1008"/>
        <w:gridCol w:w="1008"/>
        <w:gridCol w:w="1008"/>
      </w:tblGrid>
      <w:tr w:rsidR="008B6826" w:rsidRPr="008922C6" w:rsidTr="00DF0FFA">
        <w:trPr>
          <w:jc w:val="right"/>
        </w:trPr>
        <w:tc>
          <w:tcPr>
            <w:tcW w:w="1729" w:type="dxa"/>
            <w:tcBorders>
              <w:top w:val="single" w:sz="8" w:space="0" w:color="000000"/>
              <w:left w:val="nil"/>
              <w:bottom w:val="single" w:sz="8" w:space="0" w:color="000000"/>
              <w:right w:val="nil"/>
            </w:tcBorders>
            <w:shd w:val="clear" w:color="auto" w:fill="auto"/>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p>
        </w:tc>
        <w:tc>
          <w:tcPr>
            <w:tcW w:w="1225" w:type="dxa"/>
            <w:tcBorders>
              <w:top w:val="single" w:sz="8" w:space="0" w:color="000000"/>
              <w:left w:val="nil"/>
              <w:bottom w:val="single" w:sz="8" w:space="0" w:color="000000"/>
              <w:right w:val="nil"/>
            </w:tcBorders>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bCs/>
                <w:color w:val="000000"/>
              </w:rPr>
            </w:pPr>
            <w:r w:rsidRPr="008922C6">
              <w:rPr>
                <w:rFonts w:ascii="Times New Roman" w:hAnsi="Times New Roman" w:cs="Times New Roman"/>
                <w:bCs/>
                <w:color w:val="000000"/>
              </w:rPr>
              <w:t>1998</w:t>
            </w:r>
          </w:p>
        </w:tc>
        <w:tc>
          <w:tcPr>
            <w:tcW w:w="1351" w:type="dxa"/>
            <w:tcBorders>
              <w:top w:val="single" w:sz="8" w:space="0" w:color="000000"/>
              <w:left w:val="nil"/>
              <w:bottom w:val="single" w:sz="8" w:space="0" w:color="000000"/>
              <w:right w:val="nil"/>
            </w:tcBorders>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bCs/>
                <w:color w:val="000000"/>
              </w:rPr>
            </w:pPr>
            <w:r w:rsidRPr="008922C6">
              <w:rPr>
                <w:rFonts w:ascii="Times New Roman" w:hAnsi="Times New Roman" w:cs="Times New Roman"/>
                <w:bCs/>
                <w:color w:val="000000"/>
              </w:rPr>
              <w:t>2002</w:t>
            </w:r>
          </w:p>
        </w:tc>
        <w:tc>
          <w:tcPr>
            <w:tcW w:w="1351" w:type="dxa"/>
            <w:tcBorders>
              <w:top w:val="single" w:sz="8" w:space="0" w:color="000000"/>
              <w:left w:val="nil"/>
              <w:bottom w:val="single" w:sz="8" w:space="0" w:color="000000"/>
              <w:right w:val="nil"/>
            </w:tcBorders>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bCs/>
                <w:color w:val="000000"/>
              </w:rPr>
            </w:pPr>
            <w:r w:rsidRPr="008922C6">
              <w:rPr>
                <w:rFonts w:ascii="Times New Roman" w:hAnsi="Times New Roman" w:cs="Times New Roman"/>
                <w:bCs/>
                <w:color w:val="000000"/>
              </w:rPr>
              <w:t>2004</w:t>
            </w:r>
          </w:p>
        </w:tc>
        <w:tc>
          <w:tcPr>
            <w:tcW w:w="1351" w:type="dxa"/>
            <w:tcBorders>
              <w:top w:val="single" w:sz="8" w:space="0" w:color="000000"/>
              <w:left w:val="nil"/>
              <w:bottom w:val="single" w:sz="8" w:space="0" w:color="000000"/>
              <w:right w:val="nil"/>
            </w:tcBorders>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bCs/>
                <w:color w:val="000000"/>
              </w:rPr>
            </w:pPr>
            <w:r w:rsidRPr="008922C6">
              <w:rPr>
                <w:rFonts w:ascii="Times New Roman" w:hAnsi="Times New Roman" w:cs="Times New Roman"/>
                <w:bCs/>
                <w:color w:val="000000"/>
              </w:rPr>
              <w:t>2006</w:t>
            </w:r>
          </w:p>
        </w:tc>
        <w:tc>
          <w:tcPr>
            <w:tcW w:w="1351" w:type="dxa"/>
            <w:tcBorders>
              <w:top w:val="single" w:sz="8" w:space="0" w:color="000000"/>
              <w:left w:val="nil"/>
              <w:bottom w:val="single" w:sz="8" w:space="0" w:color="000000"/>
              <w:right w:val="nil"/>
            </w:tcBorders>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bCs/>
                <w:color w:val="000000"/>
              </w:rPr>
            </w:pPr>
            <w:r w:rsidRPr="008922C6">
              <w:rPr>
                <w:rFonts w:ascii="Times New Roman" w:hAnsi="Times New Roman" w:cs="Times New Roman"/>
                <w:bCs/>
                <w:color w:val="000000"/>
              </w:rPr>
              <w:t>2008</w:t>
            </w:r>
          </w:p>
        </w:tc>
        <w:tc>
          <w:tcPr>
            <w:tcW w:w="1351" w:type="dxa"/>
            <w:tcBorders>
              <w:top w:val="single" w:sz="8" w:space="0" w:color="000000"/>
              <w:left w:val="nil"/>
              <w:bottom w:val="single" w:sz="8" w:space="0" w:color="000000"/>
              <w:right w:val="nil"/>
            </w:tcBorders>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bCs/>
                <w:color w:val="000000"/>
              </w:rPr>
            </w:pPr>
            <w:r w:rsidRPr="008922C6">
              <w:rPr>
                <w:rFonts w:ascii="Times New Roman" w:hAnsi="Times New Roman" w:cs="Times New Roman"/>
                <w:bCs/>
                <w:color w:val="000000"/>
              </w:rPr>
              <w:t>2010</w:t>
            </w:r>
          </w:p>
        </w:tc>
        <w:tc>
          <w:tcPr>
            <w:tcW w:w="1351" w:type="dxa"/>
            <w:tcBorders>
              <w:top w:val="single" w:sz="8" w:space="0" w:color="000000"/>
              <w:left w:val="nil"/>
              <w:bottom w:val="single" w:sz="8" w:space="0" w:color="000000"/>
              <w:right w:val="nil"/>
            </w:tcBorders>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bCs/>
                <w:color w:val="000000"/>
              </w:rPr>
            </w:pPr>
            <w:r w:rsidRPr="008922C6">
              <w:rPr>
                <w:rFonts w:ascii="Times New Roman" w:hAnsi="Times New Roman" w:cs="Times New Roman"/>
                <w:bCs/>
                <w:color w:val="000000"/>
              </w:rPr>
              <w:t>2012</w:t>
            </w:r>
          </w:p>
        </w:tc>
        <w:tc>
          <w:tcPr>
            <w:tcW w:w="1351" w:type="dxa"/>
            <w:tcBorders>
              <w:top w:val="single" w:sz="8" w:space="0" w:color="000000"/>
              <w:left w:val="nil"/>
              <w:bottom w:val="single" w:sz="8" w:space="0" w:color="000000"/>
              <w:right w:val="nil"/>
            </w:tcBorders>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bCs/>
                <w:color w:val="000000"/>
              </w:rPr>
            </w:pPr>
            <w:r w:rsidRPr="008922C6">
              <w:rPr>
                <w:rFonts w:ascii="Times New Roman" w:hAnsi="Times New Roman" w:cs="Times New Roman"/>
                <w:bCs/>
                <w:color w:val="000000"/>
              </w:rPr>
              <w:t>2014</w:t>
            </w:r>
          </w:p>
        </w:tc>
      </w:tr>
      <w:tr w:rsidR="008B6826" w:rsidRPr="008922C6" w:rsidTr="00DF0FFA">
        <w:trPr>
          <w:jc w:val="right"/>
        </w:trPr>
        <w:tc>
          <w:tcPr>
            <w:tcW w:w="1729" w:type="dxa"/>
            <w:tcBorders>
              <w:left w:val="nil"/>
              <w:right w:val="nil"/>
            </w:tcBorders>
            <w:shd w:val="clear" w:color="auto" w:fill="C0C0C0"/>
          </w:tcPr>
          <w:p w:rsidR="008B6826" w:rsidRPr="008922C6" w:rsidRDefault="003427F0" w:rsidP="005A2C59">
            <w:pPr>
              <w:pStyle w:val="PlainText"/>
              <w:tabs>
                <w:tab w:val="left" w:pos="284"/>
                <w:tab w:val="left" w:pos="426"/>
              </w:tabs>
              <w:spacing w:line="288" w:lineRule="auto"/>
              <w:rPr>
                <w:rFonts w:ascii="Times New Roman" w:hAnsi="Times New Roman" w:cs="Times New Roman"/>
                <w:bCs/>
                <w:color w:val="000000"/>
              </w:rPr>
            </w:pPr>
            <w:r>
              <w:rPr>
                <w:rFonts w:ascii="Times New Roman" w:hAnsi="Times New Roman" w:cs="Times New Roman"/>
                <w:bCs/>
                <w:color w:val="000000"/>
              </w:rPr>
              <w:t>s</w:t>
            </w:r>
            <w:r w:rsidR="008B6826" w:rsidRPr="008922C6">
              <w:rPr>
                <w:rFonts w:ascii="Times New Roman" w:hAnsi="Times New Roman" w:cs="Times New Roman"/>
                <w:bCs/>
                <w:color w:val="000000"/>
              </w:rPr>
              <w:t>chool</w:t>
            </w:r>
            <w:r>
              <w:rPr>
                <w:rFonts w:ascii="Times New Roman" w:hAnsi="Times New Roman" w:cs="Times New Roman"/>
                <w:bCs/>
                <w:color w:val="000000"/>
              </w:rPr>
              <w:t xml:space="preserve"> </w:t>
            </w:r>
            <w:r w:rsidR="008B6826" w:rsidRPr="008922C6">
              <w:rPr>
                <w:rFonts w:ascii="Times New Roman" w:hAnsi="Times New Roman" w:cs="Times New Roman"/>
                <w:bCs/>
                <w:color w:val="000000"/>
              </w:rPr>
              <w:t>year</w:t>
            </w:r>
          </w:p>
        </w:tc>
        <w:tc>
          <w:tcPr>
            <w:tcW w:w="1225"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0.029</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0.076</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0.084</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0.088</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0.095</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0.072</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0.060</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0.057</w:t>
            </w:r>
          </w:p>
        </w:tc>
      </w:tr>
      <w:tr w:rsidR="008B6826" w:rsidRPr="008922C6" w:rsidTr="00DF0FFA">
        <w:trPr>
          <w:jc w:val="right"/>
        </w:trPr>
        <w:tc>
          <w:tcPr>
            <w:tcW w:w="1729" w:type="dxa"/>
            <w:shd w:val="clear" w:color="auto" w:fill="auto"/>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p>
        </w:tc>
        <w:tc>
          <w:tcPr>
            <w:tcW w:w="1225"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(7.64)**</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(43.96)**</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(34.41)**</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(38.99)**</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(39.62)**</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(35.88)**</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(39.51)**</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(40.80)**</w:t>
            </w:r>
          </w:p>
        </w:tc>
      </w:tr>
      <w:tr w:rsidR="008B6826" w:rsidRPr="008922C6" w:rsidTr="00DF0FFA">
        <w:trPr>
          <w:jc w:val="right"/>
        </w:trPr>
        <w:tc>
          <w:tcPr>
            <w:tcW w:w="1729"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proofErr w:type="spellStart"/>
            <w:r w:rsidRPr="008922C6">
              <w:rPr>
                <w:rFonts w:ascii="Times New Roman" w:hAnsi="Times New Roman" w:cs="Times New Roman"/>
                <w:bCs/>
                <w:color w:val="000000"/>
              </w:rPr>
              <w:t>exp</w:t>
            </w:r>
            <w:proofErr w:type="spellEnd"/>
          </w:p>
        </w:tc>
        <w:tc>
          <w:tcPr>
            <w:tcW w:w="1225"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0.015</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0.018</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0.027</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0.030</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0.040</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0.042</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0.041</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0.045</w:t>
            </w:r>
          </w:p>
        </w:tc>
      </w:tr>
      <w:tr w:rsidR="008B6826" w:rsidRPr="008922C6" w:rsidTr="00DF0FFA">
        <w:trPr>
          <w:jc w:val="right"/>
        </w:trPr>
        <w:tc>
          <w:tcPr>
            <w:tcW w:w="1729" w:type="dxa"/>
            <w:shd w:val="clear" w:color="auto" w:fill="auto"/>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p>
        </w:tc>
        <w:tc>
          <w:tcPr>
            <w:tcW w:w="1225"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(2.90)**</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(7.43)**</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(8.28)**</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(10.66)**</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(13.97)**</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(16.15)**</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(17.01)**</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(21.33)**</w:t>
            </w:r>
          </w:p>
        </w:tc>
      </w:tr>
      <w:tr w:rsidR="008B6826" w:rsidRPr="008922C6" w:rsidTr="00DF0FFA">
        <w:trPr>
          <w:jc w:val="right"/>
        </w:trPr>
        <w:tc>
          <w:tcPr>
            <w:tcW w:w="1729"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r w:rsidRPr="008922C6">
              <w:rPr>
                <w:rFonts w:ascii="Times New Roman" w:hAnsi="Times New Roman" w:cs="Times New Roman"/>
                <w:bCs/>
                <w:color w:val="000000"/>
              </w:rPr>
              <w:t>exp2</w:t>
            </w:r>
          </w:p>
        </w:tc>
        <w:tc>
          <w:tcPr>
            <w:tcW w:w="1225"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-0.001</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-0.0001</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-0.001</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-0.001</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-0.001</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-0.001</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-0.001</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-0.001</w:t>
            </w:r>
          </w:p>
        </w:tc>
      </w:tr>
      <w:tr w:rsidR="008B6826" w:rsidRPr="008922C6" w:rsidTr="00DF0FFA">
        <w:trPr>
          <w:jc w:val="right"/>
        </w:trPr>
        <w:tc>
          <w:tcPr>
            <w:tcW w:w="1729" w:type="dxa"/>
            <w:shd w:val="clear" w:color="auto" w:fill="auto"/>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p>
        </w:tc>
        <w:tc>
          <w:tcPr>
            <w:tcW w:w="1225"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(3.69)**</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(6.19)**</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(6.91)**</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(8.52)**</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(12.22)**</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(13.63)**</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(14.29)**</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(17.50)**</w:t>
            </w:r>
          </w:p>
        </w:tc>
      </w:tr>
      <w:tr w:rsidR="008B6826" w:rsidRPr="008922C6" w:rsidTr="00DF0FFA">
        <w:trPr>
          <w:jc w:val="right"/>
        </w:trPr>
        <w:tc>
          <w:tcPr>
            <w:tcW w:w="1729"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r w:rsidRPr="008922C6">
              <w:rPr>
                <w:rFonts w:ascii="Times New Roman" w:hAnsi="Times New Roman" w:cs="Times New Roman"/>
                <w:bCs/>
                <w:color w:val="000000"/>
              </w:rPr>
              <w:t>sex</w:t>
            </w:r>
            <w:r w:rsidR="001D5DA2" w:rsidRPr="008922C6">
              <w:rPr>
                <w:rFonts w:ascii="Times New Roman" w:hAnsi="Times New Roman" w:cs="Times New Roman"/>
                <w:bCs/>
                <w:color w:val="000000"/>
              </w:rPr>
              <w:t xml:space="preserve"> (M=1)</w:t>
            </w:r>
          </w:p>
        </w:tc>
        <w:tc>
          <w:tcPr>
            <w:tcW w:w="1225"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0.138</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0.161</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0.128</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0.137</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0.182</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0.167</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0.179</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0.117</w:t>
            </w:r>
          </w:p>
        </w:tc>
      </w:tr>
      <w:tr w:rsidR="008B6826" w:rsidRPr="008922C6" w:rsidTr="00DF0FFA">
        <w:trPr>
          <w:jc w:val="right"/>
        </w:trPr>
        <w:tc>
          <w:tcPr>
            <w:tcW w:w="1729" w:type="dxa"/>
            <w:shd w:val="clear" w:color="auto" w:fill="auto"/>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p>
        </w:tc>
        <w:tc>
          <w:tcPr>
            <w:tcW w:w="1225"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(4.55)**</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(10.89)**</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(6.40)**</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(7.68)**</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(10.14)**</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(10.07)**</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(13.04)**</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(8.23)**</w:t>
            </w:r>
          </w:p>
        </w:tc>
      </w:tr>
      <w:tr w:rsidR="008B6826" w:rsidRPr="008922C6" w:rsidTr="00DF0FFA">
        <w:trPr>
          <w:jc w:val="right"/>
        </w:trPr>
        <w:tc>
          <w:tcPr>
            <w:tcW w:w="1729"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r w:rsidRPr="008922C6">
              <w:rPr>
                <w:rFonts w:ascii="Times New Roman" w:hAnsi="Times New Roman" w:cs="Times New Roman"/>
                <w:bCs/>
                <w:color w:val="000000"/>
              </w:rPr>
              <w:t>Constant</w:t>
            </w:r>
          </w:p>
        </w:tc>
        <w:tc>
          <w:tcPr>
            <w:tcW w:w="1225"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0.294</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0.139</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0.215</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0.406</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0.644</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1.350</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1.871</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2.063</w:t>
            </w:r>
          </w:p>
        </w:tc>
      </w:tr>
      <w:tr w:rsidR="008B6826" w:rsidRPr="008922C6" w:rsidTr="00DF0FFA">
        <w:trPr>
          <w:jc w:val="right"/>
        </w:trPr>
        <w:tc>
          <w:tcPr>
            <w:tcW w:w="1729" w:type="dxa"/>
            <w:shd w:val="clear" w:color="auto" w:fill="auto"/>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p>
        </w:tc>
        <w:tc>
          <w:tcPr>
            <w:tcW w:w="1225"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(6.01)**</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(5.80)**</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(6.14)**</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(12.46)**</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(18.62)**</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(40.51)**</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(72.73)**</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(79.98)**</w:t>
            </w:r>
          </w:p>
        </w:tc>
      </w:tr>
      <w:tr w:rsidR="008B6826" w:rsidRPr="008922C6" w:rsidTr="00DF0FFA">
        <w:trPr>
          <w:jc w:val="right"/>
        </w:trPr>
        <w:tc>
          <w:tcPr>
            <w:tcW w:w="1729"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r w:rsidRPr="008922C6">
              <w:rPr>
                <w:rFonts w:ascii="Times New Roman" w:hAnsi="Times New Roman" w:cs="Times New Roman"/>
                <w:bCs/>
                <w:color w:val="000000"/>
              </w:rPr>
              <w:t>Observations</w:t>
            </w:r>
          </w:p>
        </w:tc>
        <w:tc>
          <w:tcPr>
            <w:tcW w:w="1225"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3,244</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26,268</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7,177</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7,436</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7,532</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7,166</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7,758</w:t>
            </w:r>
          </w:p>
        </w:tc>
        <w:tc>
          <w:tcPr>
            <w:tcW w:w="1351"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7,868</w:t>
            </w:r>
          </w:p>
        </w:tc>
      </w:tr>
      <w:tr w:rsidR="008B6826" w:rsidRPr="008922C6" w:rsidTr="00DF0FFA">
        <w:trPr>
          <w:jc w:val="right"/>
        </w:trPr>
        <w:tc>
          <w:tcPr>
            <w:tcW w:w="1729" w:type="dxa"/>
            <w:shd w:val="clear" w:color="auto" w:fill="auto"/>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r w:rsidRPr="008922C6">
              <w:rPr>
                <w:rFonts w:ascii="Times New Roman" w:hAnsi="Times New Roman" w:cs="Times New Roman"/>
                <w:bCs/>
                <w:color w:val="000000"/>
              </w:rPr>
              <w:t>R-squared</w:t>
            </w:r>
          </w:p>
        </w:tc>
        <w:tc>
          <w:tcPr>
            <w:tcW w:w="1225"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0.04</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0.15</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0.20</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0.23</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0.25</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0.25</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0.28</w:t>
            </w:r>
          </w:p>
        </w:tc>
        <w:tc>
          <w:tcPr>
            <w:tcW w:w="1351" w:type="dxa"/>
            <w:shd w:val="clear" w:color="auto" w:fill="auto"/>
          </w:tcPr>
          <w:p w:rsidR="008B6826" w:rsidRPr="008922C6" w:rsidRDefault="008B6826" w:rsidP="005A2C59">
            <w:pPr>
              <w:pStyle w:val="PlainText"/>
              <w:tabs>
                <w:tab w:val="left" w:pos="284"/>
                <w:tab w:val="left" w:pos="426"/>
              </w:tabs>
              <w:spacing w:line="288" w:lineRule="auto"/>
              <w:jc w:val="right"/>
              <w:rPr>
                <w:rFonts w:ascii="Times New Roman" w:hAnsi="Times New Roman" w:cs="Times New Roman"/>
                <w:color w:val="000000"/>
              </w:rPr>
            </w:pPr>
            <w:r w:rsidRPr="008922C6">
              <w:rPr>
                <w:rFonts w:ascii="Times New Roman" w:hAnsi="Times New Roman" w:cs="Times New Roman"/>
                <w:color w:val="000000"/>
              </w:rPr>
              <w:t>0.28</w:t>
            </w:r>
          </w:p>
        </w:tc>
      </w:tr>
      <w:tr w:rsidR="008B6826" w:rsidRPr="008922C6" w:rsidTr="00DF0FFA">
        <w:trPr>
          <w:jc w:val="right"/>
        </w:trPr>
        <w:tc>
          <w:tcPr>
            <w:tcW w:w="1729" w:type="dxa"/>
            <w:tcBorders>
              <w:left w:val="nil"/>
              <w:right w:val="nil"/>
            </w:tcBorders>
            <w:shd w:val="clear" w:color="auto" w:fill="C0C0C0"/>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proofErr w:type="spellStart"/>
            <w:r w:rsidRPr="008922C6">
              <w:rPr>
                <w:rFonts w:ascii="Times New Roman" w:hAnsi="Times New Roman" w:cs="Times New Roman"/>
                <w:bCs/>
                <w:color w:val="000000"/>
              </w:rPr>
              <w:t>Prob</w:t>
            </w:r>
            <w:proofErr w:type="spellEnd"/>
            <w:r w:rsidRPr="008922C6">
              <w:rPr>
                <w:rFonts w:ascii="Times New Roman" w:hAnsi="Times New Roman" w:cs="Times New Roman"/>
                <w:bCs/>
                <w:color w:val="000000"/>
              </w:rPr>
              <w:t xml:space="preserve"> &gt; F</w:t>
            </w:r>
          </w:p>
        </w:tc>
        <w:tc>
          <w:tcPr>
            <w:tcW w:w="1225" w:type="dxa"/>
            <w:tcBorders>
              <w:left w:val="nil"/>
              <w:right w:val="nil"/>
            </w:tcBorders>
            <w:shd w:val="clear" w:color="auto" w:fill="C0C0C0"/>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0.0000</w:t>
            </w:r>
          </w:p>
        </w:tc>
        <w:tc>
          <w:tcPr>
            <w:tcW w:w="1351" w:type="dxa"/>
            <w:tcBorders>
              <w:left w:val="nil"/>
              <w:right w:val="nil"/>
            </w:tcBorders>
            <w:shd w:val="clear" w:color="auto" w:fill="C0C0C0"/>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0.0000</w:t>
            </w:r>
          </w:p>
        </w:tc>
        <w:tc>
          <w:tcPr>
            <w:tcW w:w="1351" w:type="dxa"/>
            <w:tcBorders>
              <w:left w:val="nil"/>
              <w:right w:val="nil"/>
            </w:tcBorders>
            <w:shd w:val="clear" w:color="auto" w:fill="C0C0C0"/>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0.0000</w:t>
            </w:r>
          </w:p>
        </w:tc>
        <w:tc>
          <w:tcPr>
            <w:tcW w:w="1351" w:type="dxa"/>
            <w:tcBorders>
              <w:left w:val="nil"/>
              <w:right w:val="nil"/>
            </w:tcBorders>
            <w:shd w:val="clear" w:color="auto" w:fill="C0C0C0"/>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0.0000</w:t>
            </w:r>
          </w:p>
        </w:tc>
        <w:tc>
          <w:tcPr>
            <w:tcW w:w="1351" w:type="dxa"/>
            <w:tcBorders>
              <w:left w:val="nil"/>
              <w:right w:val="nil"/>
            </w:tcBorders>
            <w:shd w:val="clear" w:color="auto" w:fill="C0C0C0"/>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0.0000</w:t>
            </w:r>
          </w:p>
        </w:tc>
        <w:tc>
          <w:tcPr>
            <w:tcW w:w="1351" w:type="dxa"/>
            <w:tcBorders>
              <w:left w:val="nil"/>
              <w:right w:val="nil"/>
            </w:tcBorders>
            <w:shd w:val="clear" w:color="auto" w:fill="C0C0C0"/>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0.0000</w:t>
            </w:r>
          </w:p>
        </w:tc>
        <w:tc>
          <w:tcPr>
            <w:tcW w:w="1351" w:type="dxa"/>
            <w:tcBorders>
              <w:left w:val="nil"/>
              <w:right w:val="nil"/>
            </w:tcBorders>
            <w:shd w:val="clear" w:color="auto" w:fill="C0C0C0"/>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0.0000</w:t>
            </w:r>
          </w:p>
        </w:tc>
        <w:tc>
          <w:tcPr>
            <w:tcW w:w="1351" w:type="dxa"/>
            <w:tcBorders>
              <w:left w:val="nil"/>
              <w:right w:val="nil"/>
            </w:tcBorders>
            <w:shd w:val="clear" w:color="auto" w:fill="C0C0C0"/>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0.0000</w:t>
            </w:r>
          </w:p>
        </w:tc>
      </w:tr>
      <w:tr w:rsidR="008B6826" w:rsidRPr="008922C6" w:rsidTr="00DF0FFA">
        <w:trPr>
          <w:jc w:val="right"/>
        </w:trPr>
        <w:tc>
          <w:tcPr>
            <w:tcW w:w="1729" w:type="dxa"/>
            <w:shd w:val="clear" w:color="auto" w:fill="auto"/>
          </w:tcPr>
          <w:p w:rsidR="008B6826" w:rsidRPr="008922C6" w:rsidRDefault="008B6826" w:rsidP="005A2C59">
            <w:pPr>
              <w:pStyle w:val="PlainText"/>
              <w:tabs>
                <w:tab w:val="left" w:pos="284"/>
                <w:tab w:val="left" w:pos="426"/>
              </w:tabs>
              <w:spacing w:line="288" w:lineRule="auto"/>
              <w:rPr>
                <w:rFonts w:ascii="Times New Roman" w:hAnsi="Times New Roman" w:cs="Times New Roman"/>
                <w:bCs/>
                <w:color w:val="000000"/>
              </w:rPr>
            </w:pPr>
            <w:r w:rsidRPr="008922C6">
              <w:rPr>
                <w:rFonts w:ascii="Times New Roman" w:hAnsi="Times New Roman" w:cs="Times New Roman"/>
                <w:bCs/>
                <w:color w:val="000000"/>
              </w:rPr>
              <w:t>F statistics</w:t>
            </w:r>
          </w:p>
        </w:tc>
        <w:tc>
          <w:tcPr>
            <w:tcW w:w="1225" w:type="dxa"/>
            <w:shd w:val="clear" w:color="auto" w:fill="auto"/>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23.85</w:t>
            </w:r>
          </w:p>
        </w:tc>
        <w:tc>
          <w:tcPr>
            <w:tcW w:w="1351" w:type="dxa"/>
            <w:shd w:val="clear" w:color="auto" w:fill="auto"/>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550.93</w:t>
            </w:r>
          </w:p>
        </w:tc>
        <w:tc>
          <w:tcPr>
            <w:tcW w:w="1351" w:type="dxa"/>
            <w:shd w:val="clear" w:color="auto" w:fill="auto"/>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328.97</w:t>
            </w:r>
          </w:p>
        </w:tc>
        <w:tc>
          <w:tcPr>
            <w:tcW w:w="1351" w:type="dxa"/>
            <w:shd w:val="clear" w:color="auto" w:fill="auto"/>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410.94</w:t>
            </w:r>
          </w:p>
        </w:tc>
        <w:tc>
          <w:tcPr>
            <w:tcW w:w="1351" w:type="dxa"/>
            <w:shd w:val="clear" w:color="auto" w:fill="auto"/>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444.05</w:t>
            </w:r>
          </w:p>
        </w:tc>
        <w:tc>
          <w:tcPr>
            <w:tcW w:w="1351" w:type="dxa"/>
            <w:shd w:val="clear" w:color="auto" w:fill="auto"/>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355.06</w:t>
            </w:r>
          </w:p>
        </w:tc>
        <w:tc>
          <w:tcPr>
            <w:tcW w:w="1351" w:type="dxa"/>
            <w:shd w:val="clear" w:color="auto" w:fill="auto"/>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464.01</w:t>
            </w:r>
          </w:p>
        </w:tc>
        <w:tc>
          <w:tcPr>
            <w:tcW w:w="1351" w:type="dxa"/>
            <w:shd w:val="clear" w:color="auto" w:fill="auto"/>
          </w:tcPr>
          <w:p w:rsidR="008B6826" w:rsidRPr="008922C6" w:rsidRDefault="008B6826" w:rsidP="005A2C59">
            <w:pPr>
              <w:tabs>
                <w:tab w:val="left" w:pos="284"/>
                <w:tab w:val="left" w:pos="426"/>
              </w:tabs>
              <w:spacing w:line="288" w:lineRule="auto"/>
              <w:jc w:val="right"/>
              <w:rPr>
                <w:color w:val="000000"/>
                <w:sz w:val="20"/>
                <w:szCs w:val="20"/>
              </w:rPr>
            </w:pPr>
            <w:r w:rsidRPr="008922C6">
              <w:rPr>
                <w:color w:val="000000"/>
                <w:sz w:val="20"/>
                <w:szCs w:val="20"/>
              </w:rPr>
              <w:t>491.74</w:t>
            </w:r>
          </w:p>
        </w:tc>
      </w:tr>
    </w:tbl>
    <w:p w:rsidR="00B30C21" w:rsidRDefault="00B30C21" w:rsidP="00696FF4">
      <w:pPr>
        <w:tabs>
          <w:tab w:val="left" w:pos="284"/>
          <w:tab w:val="left" w:pos="426"/>
        </w:tabs>
        <w:jc w:val="both"/>
        <w:rPr>
          <w:i/>
          <w:sz w:val="20"/>
          <w:szCs w:val="20"/>
        </w:rPr>
      </w:pPr>
      <w:r>
        <w:rPr>
          <w:i/>
          <w:sz w:val="20"/>
          <w:szCs w:val="20"/>
        </w:rPr>
        <w:t>Notes</w:t>
      </w:r>
      <w:r w:rsidR="00CE50EC">
        <w:rPr>
          <w:i/>
          <w:sz w:val="20"/>
          <w:szCs w:val="20"/>
        </w:rPr>
        <w:t xml:space="preserve"> </w:t>
      </w:r>
    </w:p>
    <w:p w:rsidR="008B6826" w:rsidRPr="00BE5A87" w:rsidRDefault="008B6826" w:rsidP="00696FF4">
      <w:pPr>
        <w:tabs>
          <w:tab w:val="left" w:pos="284"/>
          <w:tab w:val="left" w:pos="426"/>
        </w:tabs>
        <w:jc w:val="both"/>
        <w:rPr>
          <w:sz w:val="20"/>
          <w:szCs w:val="20"/>
        </w:rPr>
      </w:pPr>
      <w:proofErr w:type="gramStart"/>
      <w:r w:rsidRPr="00BE5A87">
        <w:rPr>
          <w:sz w:val="20"/>
          <w:szCs w:val="20"/>
        </w:rPr>
        <w:t xml:space="preserve">Robust </w:t>
      </w:r>
      <w:r w:rsidRPr="003427F0">
        <w:rPr>
          <w:i/>
          <w:sz w:val="20"/>
          <w:szCs w:val="20"/>
        </w:rPr>
        <w:t>t</w:t>
      </w:r>
      <w:r w:rsidRPr="00BE5A87">
        <w:rPr>
          <w:sz w:val="20"/>
          <w:szCs w:val="20"/>
        </w:rPr>
        <w:t>-statistics in parentheses (corrected for sampling weights), statistically significant at 10% (</w:t>
      </w:r>
      <w:r w:rsidR="003427F0">
        <w:rPr>
          <w:sz w:val="20"/>
          <w:szCs w:val="20"/>
        </w:rPr>
        <w:t>+), at 5% (*), and at 1% (**).</w:t>
      </w:r>
      <w:proofErr w:type="gramEnd"/>
      <w:r w:rsidR="003427F0">
        <w:rPr>
          <w:sz w:val="20"/>
          <w:szCs w:val="20"/>
        </w:rPr>
        <w:t xml:space="preserve"> The d</w:t>
      </w:r>
      <w:r w:rsidRPr="00BE5A87">
        <w:rPr>
          <w:sz w:val="20"/>
          <w:szCs w:val="20"/>
        </w:rPr>
        <w:t xml:space="preserve">ependent variable is </w:t>
      </w:r>
      <w:r w:rsidR="003427F0">
        <w:rPr>
          <w:sz w:val="20"/>
          <w:szCs w:val="20"/>
        </w:rPr>
        <w:t xml:space="preserve">the </w:t>
      </w:r>
      <w:r w:rsidRPr="00BE5A87">
        <w:rPr>
          <w:sz w:val="20"/>
          <w:szCs w:val="20"/>
        </w:rPr>
        <w:t>hourly wage in log</w:t>
      </w:r>
      <w:r w:rsidR="003427F0">
        <w:rPr>
          <w:sz w:val="20"/>
          <w:szCs w:val="20"/>
        </w:rPr>
        <w:t xml:space="preserve">s.  The </w:t>
      </w:r>
      <w:r w:rsidRPr="00BE5A87">
        <w:rPr>
          <w:sz w:val="20"/>
          <w:szCs w:val="20"/>
        </w:rPr>
        <w:t>hourly wage is meas</w:t>
      </w:r>
      <w:r w:rsidR="00DC3DD3">
        <w:rPr>
          <w:sz w:val="20"/>
          <w:szCs w:val="20"/>
        </w:rPr>
        <w:t>ured in VND 1,000 (and for all t</w:t>
      </w:r>
      <w:r w:rsidRPr="00BE5A87">
        <w:rPr>
          <w:sz w:val="20"/>
          <w:szCs w:val="20"/>
        </w:rPr>
        <w:t>ables hereafter).</w:t>
      </w:r>
    </w:p>
    <w:p w:rsidR="002C46BA" w:rsidRDefault="002C46BA" w:rsidP="005A2C59">
      <w:pPr>
        <w:widowControl w:val="0"/>
        <w:tabs>
          <w:tab w:val="left" w:pos="284"/>
          <w:tab w:val="left" w:pos="426"/>
        </w:tabs>
        <w:autoSpaceDE w:val="0"/>
        <w:autoSpaceDN w:val="0"/>
        <w:adjustRightInd w:val="0"/>
        <w:spacing w:line="288" w:lineRule="auto"/>
      </w:pPr>
    </w:p>
    <w:p w:rsidR="003427F0" w:rsidRDefault="003427F0" w:rsidP="005A2C59">
      <w:pPr>
        <w:widowControl w:val="0"/>
        <w:tabs>
          <w:tab w:val="left" w:pos="284"/>
          <w:tab w:val="left" w:pos="426"/>
        </w:tabs>
        <w:autoSpaceDE w:val="0"/>
        <w:autoSpaceDN w:val="0"/>
        <w:adjustRightInd w:val="0"/>
        <w:spacing w:line="288" w:lineRule="auto"/>
      </w:pPr>
    </w:p>
    <w:p w:rsidR="002C46BA" w:rsidRDefault="00B30C21" w:rsidP="002C46BA">
      <w:pPr>
        <w:widowControl w:val="0"/>
        <w:tabs>
          <w:tab w:val="left" w:pos="284"/>
          <w:tab w:val="left" w:pos="426"/>
        </w:tabs>
        <w:autoSpaceDE w:val="0"/>
        <w:autoSpaceDN w:val="0"/>
        <w:adjustRightInd w:val="0"/>
        <w:spacing w:line="288" w:lineRule="auto"/>
      </w:pPr>
      <w:r>
        <w:rPr>
          <w:b/>
          <w:bCs/>
        </w:rPr>
        <w:br/>
      </w:r>
      <w:proofErr w:type="gramStart"/>
      <w:r w:rsidR="00CE50EC">
        <w:rPr>
          <w:b/>
          <w:bCs/>
        </w:rPr>
        <w:lastRenderedPageBreak/>
        <w:t>b.  Heckman</w:t>
      </w:r>
      <w:proofErr w:type="gramEnd"/>
      <w:r w:rsidR="00CE50EC">
        <w:rPr>
          <w:b/>
          <w:bCs/>
        </w:rPr>
        <w:t xml:space="preserve"> Maximum Likelihood E</w:t>
      </w:r>
      <w:r w:rsidR="002C46BA">
        <w:rPr>
          <w:b/>
          <w:bCs/>
        </w:rPr>
        <w:t>stimates</w:t>
      </w:r>
    </w:p>
    <w:p w:rsidR="002C46BA" w:rsidRPr="002C46BA" w:rsidRDefault="002C46BA" w:rsidP="002C46BA">
      <w:pPr>
        <w:widowControl w:val="0"/>
        <w:tabs>
          <w:tab w:val="left" w:pos="284"/>
          <w:tab w:val="left" w:pos="426"/>
        </w:tabs>
        <w:overflowPunct w:val="0"/>
        <w:autoSpaceDE w:val="0"/>
        <w:autoSpaceDN w:val="0"/>
        <w:adjustRightInd w:val="0"/>
        <w:spacing w:line="288" w:lineRule="auto"/>
        <w:jc w:val="both"/>
        <w:rPr>
          <w:sz w:val="12"/>
          <w:szCs w:val="12"/>
        </w:rPr>
      </w:pPr>
    </w:p>
    <w:p w:rsidR="002C46BA" w:rsidRDefault="002C46BA" w:rsidP="002C46BA">
      <w:pPr>
        <w:widowControl w:val="0"/>
        <w:tabs>
          <w:tab w:val="left" w:pos="284"/>
          <w:tab w:val="left" w:pos="426"/>
        </w:tabs>
        <w:overflowPunct w:val="0"/>
        <w:autoSpaceDE w:val="0"/>
        <w:autoSpaceDN w:val="0"/>
        <w:adjustRightInd w:val="0"/>
        <w:spacing w:line="288" w:lineRule="auto"/>
        <w:jc w:val="both"/>
      </w:pPr>
      <w:r>
        <w:t>To overcome selectivity bias</w:t>
      </w:r>
      <w:r w:rsidR="00B30C21">
        <w:t>,</w:t>
      </w:r>
      <w:r>
        <w:t xml:space="preserve"> the Heckman selection-correction model is employed. After correcting for sample selection bias, the estimated rates of return to education are somewhat higher than in the OLS estimates reported in Table </w:t>
      </w:r>
      <w:r w:rsidR="001F3F11">
        <w:t>2. The OLS estimate is downward-</w:t>
      </w:r>
      <w:r>
        <w:t xml:space="preserve">biased because the OLS uses only </w:t>
      </w:r>
      <w:r w:rsidR="001F3F11">
        <w:t xml:space="preserve">the wage-earner subsample; </w:t>
      </w:r>
      <w:r>
        <w:t xml:space="preserve">wage-earners may have better ability and also </w:t>
      </w:r>
      <w:r w:rsidR="001F3F11">
        <w:t xml:space="preserve">have </w:t>
      </w:r>
      <w:r>
        <w:t xml:space="preserve">spent more years at school (Table 1). </w:t>
      </w:r>
    </w:p>
    <w:p w:rsidR="002C46BA" w:rsidRDefault="002C46BA" w:rsidP="002C46BA">
      <w:pPr>
        <w:widowControl w:val="0"/>
        <w:tabs>
          <w:tab w:val="left" w:pos="284"/>
          <w:tab w:val="left" w:pos="426"/>
        </w:tabs>
        <w:overflowPunct w:val="0"/>
        <w:autoSpaceDE w:val="0"/>
        <w:autoSpaceDN w:val="0"/>
        <w:adjustRightInd w:val="0"/>
        <w:spacing w:line="288" w:lineRule="auto"/>
        <w:jc w:val="both"/>
      </w:pPr>
    </w:p>
    <w:p w:rsidR="002C46BA" w:rsidRDefault="002C46BA" w:rsidP="002C46BA">
      <w:pPr>
        <w:widowControl w:val="0"/>
        <w:tabs>
          <w:tab w:val="left" w:pos="284"/>
          <w:tab w:val="left" w:pos="426"/>
        </w:tabs>
        <w:overflowPunct w:val="0"/>
        <w:autoSpaceDE w:val="0"/>
        <w:autoSpaceDN w:val="0"/>
        <w:adjustRightInd w:val="0"/>
        <w:spacing w:line="288" w:lineRule="auto"/>
        <w:jc w:val="both"/>
      </w:pPr>
      <w:r>
        <w:tab/>
      </w:r>
      <w:r>
        <w:tab/>
        <w:t xml:space="preserve">The selection-corrected estimates show a consistent trend </w:t>
      </w:r>
      <w:r w:rsidR="00F93336">
        <w:t>similar to</w:t>
      </w:r>
      <w:r>
        <w:t xml:space="preserve"> the OLS estimates, which shows rising returns up t</w:t>
      </w:r>
      <w:r w:rsidR="00F93336">
        <w:t>o 2008 then declining thereafter</w:t>
      </w:r>
      <w:r>
        <w:t>. The Heckman selection model estimates are reported in Table 3. The estimated rate of returns rose fro</w:t>
      </w:r>
      <w:r w:rsidR="00F93336">
        <w:t>m 3.8% in 1998 to 10.4% in 2008</w:t>
      </w:r>
      <w:r>
        <w:t xml:space="preserve"> and then declined gradually to 6.2% by 2014. The returns declined to low level similar to t</w:t>
      </w:r>
      <w:r w:rsidR="00F93336">
        <w:t>hose</w:t>
      </w:r>
      <w:r>
        <w:t xml:space="preserve"> of </w:t>
      </w:r>
      <w:r w:rsidR="00F93336">
        <w:t xml:space="preserve">the </w:t>
      </w:r>
      <w:r>
        <w:t xml:space="preserve">early 2000s. </w:t>
      </w:r>
    </w:p>
    <w:p w:rsidR="002C46BA" w:rsidRDefault="002C46BA" w:rsidP="005A2C59">
      <w:pPr>
        <w:widowControl w:val="0"/>
        <w:tabs>
          <w:tab w:val="left" w:pos="284"/>
          <w:tab w:val="left" w:pos="426"/>
        </w:tabs>
        <w:autoSpaceDE w:val="0"/>
        <w:autoSpaceDN w:val="0"/>
        <w:adjustRightInd w:val="0"/>
        <w:spacing w:line="288" w:lineRule="auto"/>
      </w:pPr>
    </w:p>
    <w:p w:rsidR="002C46BA" w:rsidRDefault="002C46BA" w:rsidP="002C46BA">
      <w:pPr>
        <w:widowControl w:val="0"/>
        <w:tabs>
          <w:tab w:val="left" w:pos="284"/>
          <w:tab w:val="left" w:pos="426"/>
        </w:tabs>
        <w:overflowPunct w:val="0"/>
        <w:autoSpaceDE w:val="0"/>
        <w:autoSpaceDN w:val="0"/>
        <w:adjustRightInd w:val="0"/>
        <w:spacing w:line="288" w:lineRule="auto"/>
        <w:jc w:val="both"/>
      </w:pPr>
      <w:r>
        <w:tab/>
        <w:t>All the statistics of the Heckman selection equation</w:t>
      </w:r>
      <w:r w:rsidR="00F93336">
        <w:t>,</w:t>
      </w:r>
      <w:r>
        <w:t xml:space="preserve"> such as sigma, lambda and rho</w:t>
      </w:r>
      <w:r w:rsidR="00F93336">
        <w:t>,</w:t>
      </w:r>
      <w:r>
        <w:t xml:space="preserve"> are highly statistically significant, supporting an appropriate application of the model. The positive coefficients on years of schooling in the selection equations show a positive effect of education, which is omitted from the standard wage equations, on wage labour market participation. </w:t>
      </w:r>
    </w:p>
    <w:p w:rsidR="002C46BA" w:rsidRDefault="002C46BA" w:rsidP="005A2C59">
      <w:pPr>
        <w:widowControl w:val="0"/>
        <w:tabs>
          <w:tab w:val="left" w:pos="284"/>
          <w:tab w:val="left" w:pos="426"/>
        </w:tabs>
        <w:autoSpaceDE w:val="0"/>
        <w:autoSpaceDN w:val="0"/>
        <w:adjustRightInd w:val="0"/>
        <w:spacing w:line="288" w:lineRule="auto"/>
      </w:pPr>
    </w:p>
    <w:p w:rsidR="00F2738B" w:rsidRDefault="00DC3DD3" w:rsidP="00DC3DD3">
      <w:pPr>
        <w:widowControl w:val="0"/>
        <w:tabs>
          <w:tab w:val="left" w:pos="284"/>
          <w:tab w:val="left" w:pos="426"/>
        </w:tabs>
        <w:overflowPunct w:val="0"/>
        <w:autoSpaceDE w:val="0"/>
        <w:autoSpaceDN w:val="0"/>
        <w:adjustRightInd w:val="0"/>
        <w:spacing w:line="288" w:lineRule="auto"/>
        <w:jc w:val="both"/>
      </w:pPr>
      <w:r>
        <w:tab/>
        <w:t xml:space="preserve">There exists a substantial rise in the effect of education on the likelihood of wage labour market participation </w:t>
      </w:r>
      <w:r w:rsidR="00F93336">
        <w:t>until 2008. F</w:t>
      </w:r>
      <w:r>
        <w:t>rom 2008 onwards</w:t>
      </w:r>
      <w:r w:rsidR="00F93336">
        <w:t>,</w:t>
      </w:r>
      <w:r>
        <w:t xml:space="preserve"> the role of education on wage labour market participation has been stable. In other words, workers with higher education have an increasingly higher likelihood of having wage jobs up to 2008 then stable</w:t>
      </w:r>
      <w:r w:rsidR="00F93336">
        <w:t xml:space="preserve"> thereafter</w:t>
      </w:r>
      <w:r>
        <w:t xml:space="preserve">. It is also notable that the overall rise in the likelihood of wage labour market participation increased from 16.6% in 1998 to 36.5% by 2014. </w:t>
      </w:r>
    </w:p>
    <w:p w:rsidR="00F2738B" w:rsidRDefault="00F2738B" w:rsidP="00DC3DD3">
      <w:pPr>
        <w:widowControl w:val="0"/>
        <w:tabs>
          <w:tab w:val="left" w:pos="284"/>
          <w:tab w:val="left" w:pos="426"/>
        </w:tabs>
        <w:overflowPunct w:val="0"/>
        <w:autoSpaceDE w:val="0"/>
        <w:autoSpaceDN w:val="0"/>
        <w:adjustRightInd w:val="0"/>
        <w:spacing w:line="288" w:lineRule="auto"/>
        <w:jc w:val="both"/>
      </w:pPr>
    </w:p>
    <w:p w:rsidR="00DC3DD3" w:rsidRDefault="00F2738B" w:rsidP="00DC3DD3">
      <w:pPr>
        <w:widowControl w:val="0"/>
        <w:tabs>
          <w:tab w:val="left" w:pos="284"/>
          <w:tab w:val="left" w:pos="426"/>
        </w:tabs>
        <w:overflowPunct w:val="0"/>
        <w:autoSpaceDE w:val="0"/>
        <w:autoSpaceDN w:val="0"/>
        <w:adjustRightInd w:val="0"/>
        <w:spacing w:line="288" w:lineRule="auto"/>
        <w:jc w:val="both"/>
      </w:pPr>
      <w:r>
        <w:tab/>
      </w:r>
      <w:r w:rsidR="00DC3DD3">
        <w:t xml:space="preserve">The rapid increase in the probability of being in wage work was up to 2008, and then remained the same from 2008 onwards. This reflects </w:t>
      </w:r>
      <w:r w:rsidR="00F93336">
        <w:t xml:space="preserve">a </w:t>
      </w:r>
      <w:r w:rsidR="00DC3DD3">
        <w:t>sl</w:t>
      </w:r>
      <w:r w:rsidR="00F93336">
        <w:t>owing down in economic structural</w:t>
      </w:r>
      <w:r w:rsidR="00DC3DD3">
        <w:t xml:space="preserve"> changes in Vietnam after the</w:t>
      </w:r>
      <w:r w:rsidR="00F93336">
        <w:t xml:space="preserve"> Global Financial Crisis</w:t>
      </w:r>
      <w:r w:rsidR="00DC3DD3">
        <w:t xml:space="preserve">. Availability of other non-wage employment from household business, self-employment, and farming, which generates household non-wage incomes, reduces the likelihood of wage labour market participation. However, the negative effect of non-wage income on wage labour market </w:t>
      </w:r>
      <w:r w:rsidR="00D83CFA">
        <w:t xml:space="preserve">participation has </w:t>
      </w:r>
      <w:r w:rsidR="00DC3DD3">
        <w:t>faded</w:t>
      </w:r>
      <w:r w:rsidR="00D83CFA">
        <w:t xml:space="preserve"> </w:t>
      </w:r>
      <w:r w:rsidR="00DC3DD3">
        <w:t xml:space="preserve">out during </w:t>
      </w:r>
      <w:r w:rsidR="00D83CFA">
        <w:t xml:space="preserve">the </w:t>
      </w:r>
      <w:r w:rsidR="00DC3DD3">
        <w:t xml:space="preserve">2000s. </w:t>
      </w:r>
    </w:p>
    <w:p w:rsidR="00DC3DD3" w:rsidRDefault="00DC3DD3" w:rsidP="005A2C59">
      <w:pPr>
        <w:widowControl w:val="0"/>
        <w:tabs>
          <w:tab w:val="left" w:pos="284"/>
          <w:tab w:val="left" w:pos="426"/>
        </w:tabs>
        <w:autoSpaceDE w:val="0"/>
        <w:autoSpaceDN w:val="0"/>
        <w:adjustRightInd w:val="0"/>
        <w:spacing w:line="288" w:lineRule="auto"/>
      </w:pPr>
    </w:p>
    <w:p w:rsidR="00DC3DD3" w:rsidRDefault="00DC3DD3" w:rsidP="005A2C59">
      <w:pPr>
        <w:widowControl w:val="0"/>
        <w:tabs>
          <w:tab w:val="left" w:pos="284"/>
          <w:tab w:val="left" w:pos="426"/>
        </w:tabs>
        <w:autoSpaceDE w:val="0"/>
        <w:autoSpaceDN w:val="0"/>
        <w:adjustRightInd w:val="0"/>
        <w:spacing w:line="288" w:lineRule="auto"/>
      </w:pPr>
    </w:p>
    <w:p w:rsidR="00DC3DD3" w:rsidRDefault="00DC3DD3" w:rsidP="005A2C59">
      <w:pPr>
        <w:widowControl w:val="0"/>
        <w:tabs>
          <w:tab w:val="left" w:pos="284"/>
          <w:tab w:val="left" w:pos="426"/>
        </w:tabs>
        <w:autoSpaceDE w:val="0"/>
        <w:autoSpaceDN w:val="0"/>
        <w:adjustRightInd w:val="0"/>
        <w:spacing w:line="288" w:lineRule="auto"/>
        <w:sectPr w:rsidR="00DC3DD3" w:rsidSect="00E1718E">
          <w:footerReference w:type="even" r:id="rId11"/>
          <w:footerReference w:type="default" r:id="rId12"/>
          <w:footnotePr>
            <w:numRestart w:val="eachSect"/>
          </w:footnotePr>
          <w:endnotePr>
            <w:numFmt w:val="decimal"/>
          </w:endnotePr>
          <w:pgSz w:w="11907" w:h="16839" w:code="9"/>
          <w:pgMar w:top="1440" w:right="1440" w:bottom="1440" w:left="1440" w:header="720" w:footer="720" w:gutter="0"/>
          <w:pgNumType w:start="1"/>
          <w:cols w:space="720"/>
          <w:titlePg/>
          <w:docGrid w:linePitch="360"/>
        </w:sectPr>
      </w:pPr>
    </w:p>
    <w:p w:rsidR="00933B5F" w:rsidRPr="003427F0" w:rsidRDefault="003955F9" w:rsidP="005A2C59">
      <w:pPr>
        <w:widowControl w:val="0"/>
        <w:tabs>
          <w:tab w:val="left" w:pos="284"/>
          <w:tab w:val="left" w:pos="426"/>
        </w:tabs>
        <w:autoSpaceDE w:val="0"/>
        <w:autoSpaceDN w:val="0"/>
        <w:adjustRightInd w:val="0"/>
        <w:spacing w:line="288" w:lineRule="auto"/>
        <w:rPr>
          <w:b/>
          <w:sz w:val="22"/>
          <w:szCs w:val="22"/>
        </w:rPr>
      </w:pPr>
      <w:r w:rsidRPr="003427F0">
        <w:rPr>
          <w:b/>
          <w:sz w:val="22"/>
          <w:szCs w:val="22"/>
        </w:rPr>
        <w:lastRenderedPageBreak/>
        <w:t>Table 3: Heckman Selection M</w:t>
      </w:r>
      <w:r w:rsidR="00CF4142" w:rsidRPr="003427F0">
        <w:rPr>
          <w:b/>
          <w:sz w:val="22"/>
          <w:szCs w:val="22"/>
        </w:rPr>
        <w:t>odel E</w:t>
      </w:r>
      <w:r w:rsidR="0014540A" w:rsidRPr="003427F0">
        <w:rPr>
          <w:b/>
          <w:sz w:val="22"/>
          <w:szCs w:val="22"/>
        </w:rPr>
        <w:t>stimates</w:t>
      </w:r>
    </w:p>
    <w:tbl>
      <w:tblPr>
        <w:tblW w:w="5000" w:type="pct"/>
        <w:tblBorders>
          <w:top w:val="single" w:sz="8" w:space="0" w:color="4F81BD"/>
          <w:bottom w:val="single" w:sz="8" w:space="0" w:color="4F81BD"/>
        </w:tblBorders>
        <w:tblLook w:val="04A0" w:firstRow="1" w:lastRow="0" w:firstColumn="1" w:lastColumn="0" w:noHBand="0" w:noVBand="1"/>
      </w:tblPr>
      <w:tblGrid>
        <w:gridCol w:w="953"/>
        <w:gridCol w:w="878"/>
        <w:gridCol w:w="963"/>
        <w:gridCol w:w="878"/>
        <w:gridCol w:w="964"/>
        <w:gridCol w:w="879"/>
        <w:gridCol w:w="964"/>
        <w:gridCol w:w="879"/>
        <w:gridCol w:w="964"/>
        <w:gridCol w:w="879"/>
        <w:gridCol w:w="964"/>
        <w:gridCol w:w="879"/>
        <w:gridCol w:w="964"/>
        <w:gridCol w:w="879"/>
        <w:gridCol w:w="964"/>
        <w:gridCol w:w="879"/>
        <w:gridCol w:w="964"/>
      </w:tblGrid>
      <w:tr w:rsidR="007A359B" w:rsidRPr="008922C6" w:rsidTr="00CF4142">
        <w:tc>
          <w:tcPr>
            <w:tcW w:w="304" w:type="pct"/>
            <w:tcBorders>
              <w:top w:val="single" w:sz="8" w:space="0" w:color="4F81BD"/>
              <w:bottom w:val="nil"/>
            </w:tcBorders>
            <w:shd w:val="clear" w:color="auto" w:fill="auto"/>
          </w:tcPr>
          <w:p w:rsidR="0014540A" w:rsidRPr="00CF4142" w:rsidRDefault="0014540A" w:rsidP="005A2C59">
            <w:pPr>
              <w:pStyle w:val="PlainText"/>
              <w:tabs>
                <w:tab w:val="left" w:pos="284"/>
                <w:tab w:val="left" w:pos="426"/>
              </w:tabs>
              <w:spacing w:line="288" w:lineRule="auto"/>
              <w:rPr>
                <w:rFonts w:ascii="Times New Roman" w:hAnsi="Times New Roman" w:cs="Times New Roman"/>
                <w:b/>
                <w:bCs/>
                <w:sz w:val="16"/>
                <w:szCs w:val="16"/>
              </w:rPr>
            </w:pPr>
          </w:p>
        </w:tc>
        <w:tc>
          <w:tcPr>
            <w:tcW w:w="587" w:type="pct"/>
            <w:gridSpan w:val="2"/>
            <w:tcBorders>
              <w:top w:val="single" w:sz="8" w:space="0" w:color="4F81BD"/>
              <w:bottom w:val="nil"/>
            </w:tcBorders>
            <w:shd w:val="clear" w:color="auto" w:fill="auto"/>
          </w:tcPr>
          <w:p w:rsidR="0014540A" w:rsidRPr="00CF4142" w:rsidRDefault="0014540A" w:rsidP="005A2C59">
            <w:pPr>
              <w:pStyle w:val="PlainText"/>
              <w:tabs>
                <w:tab w:val="left" w:pos="284"/>
                <w:tab w:val="left" w:pos="426"/>
              </w:tabs>
              <w:spacing w:line="288" w:lineRule="auto"/>
              <w:jc w:val="center"/>
              <w:rPr>
                <w:rFonts w:ascii="Times New Roman" w:hAnsi="Times New Roman" w:cs="Times New Roman"/>
                <w:b/>
                <w:bCs/>
                <w:sz w:val="16"/>
                <w:szCs w:val="16"/>
              </w:rPr>
            </w:pPr>
            <w:r w:rsidRPr="00CF4142">
              <w:rPr>
                <w:rFonts w:ascii="Times New Roman" w:hAnsi="Times New Roman" w:cs="Times New Roman"/>
                <w:b/>
                <w:bCs/>
                <w:sz w:val="16"/>
                <w:szCs w:val="16"/>
              </w:rPr>
              <w:t>1998</w:t>
            </w:r>
          </w:p>
        </w:tc>
        <w:tc>
          <w:tcPr>
            <w:tcW w:w="587" w:type="pct"/>
            <w:gridSpan w:val="2"/>
            <w:tcBorders>
              <w:top w:val="single" w:sz="8" w:space="0" w:color="4F81BD"/>
              <w:bottom w:val="nil"/>
            </w:tcBorders>
            <w:shd w:val="clear" w:color="auto" w:fill="auto"/>
          </w:tcPr>
          <w:p w:rsidR="0014540A" w:rsidRPr="00CF4142" w:rsidRDefault="0014540A" w:rsidP="005A2C59">
            <w:pPr>
              <w:pStyle w:val="PlainText"/>
              <w:tabs>
                <w:tab w:val="left" w:pos="284"/>
                <w:tab w:val="left" w:pos="426"/>
              </w:tabs>
              <w:spacing w:line="288" w:lineRule="auto"/>
              <w:jc w:val="center"/>
              <w:rPr>
                <w:rFonts w:ascii="Times New Roman" w:hAnsi="Times New Roman" w:cs="Times New Roman"/>
                <w:b/>
                <w:bCs/>
                <w:sz w:val="16"/>
                <w:szCs w:val="16"/>
              </w:rPr>
            </w:pPr>
            <w:r w:rsidRPr="00CF4142">
              <w:rPr>
                <w:rFonts w:ascii="Times New Roman" w:hAnsi="Times New Roman" w:cs="Times New Roman"/>
                <w:b/>
                <w:bCs/>
                <w:sz w:val="16"/>
                <w:szCs w:val="16"/>
              </w:rPr>
              <w:t>2002</w:t>
            </w:r>
          </w:p>
        </w:tc>
        <w:tc>
          <w:tcPr>
            <w:tcW w:w="587" w:type="pct"/>
            <w:gridSpan w:val="2"/>
            <w:tcBorders>
              <w:top w:val="single" w:sz="8" w:space="0" w:color="4F81BD"/>
              <w:bottom w:val="nil"/>
            </w:tcBorders>
            <w:shd w:val="clear" w:color="auto" w:fill="auto"/>
          </w:tcPr>
          <w:p w:rsidR="0014540A" w:rsidRPr="00CF4142" w:rsidRDefault="0014540A" w:rsidP="005A2C59">
            <w:pPr>
              <w:pStyle w:val="PlainText"/>
              <w:tabs>
                <w:tab w:val="left" w:pos="284"/>
                <w:tab w:val="left" w:pos="426"/>
              </w:tabs>
              <w:spacing w:line="288" w:lineRule="auto"/>
              <w:jc w:val="center"/>
              <w:rPr>
                <w:rFonts w:ascii="Times New Roman" w:hAnsi="Times New Roman" w:cs="Times New Roman"/>
                <w:b/>
                <w:bCs/>
                <w:sz w:val="16"/>
                <w:szCs w:val="16"/>
              </w:rPr>
            </w:pPr>
            <w:r w:rsidRPr="00CF4142">
              <w:rPr>
                <w:rFonts w:ascii="Times New Roman" w:hAnsi="Times New Roman" w:cs="Times New Roman"/>
                <w:b/>
                <w:bCs/>
                <w:sz w:val="16"/>
                <w:szCs w:val="16"/>
              </w:rPr>
              <w:t>2004</w:t>
            </w:r>
          </w:p>
        </w:tc>
        <w:tc>
          <w:tcPr>
            <w:tcW w:w="587" w:type="pct"/>
            <w:gridSpan w:val="2"/>
            <w:tcBorders>
              <w:top w:val="single" w:sz="8" w:space="0" w:color="4F81BD"/>
              <w:bottom w:val="nil"/>
            </w:tcBorders>
            <w:shd w:val="clear" w:color="auto" w:fill="auto"/>
          </w:tcPr>
          <w:p w:rsidR="0014540A" w:rsidRPr="00CF4142" w:rsidRDefault="0014540A" w:rsidP="005A2C59">
            <w:pPr>
              <w:pStyle w:val="PlainText"/>
              <w:tabs>
                <w:tab w:val="left" w:pos="284"/>
                <w:tab w:val="left" w:pos="426"/>
              </w:tabs>
              <w:spacing w:line="288" w:lineRule="auto"/>
              <w:jc w:val="center"/>
              <w:rPr>
                <w:rFonts w:ascii="Times New Roman" w:hAnsi="Times New Roman" w:cs="Times New Roman"/>
                <w:b/>
                <w:bCs/>
                <w:sz w:val="16"/>
                <w:szCs w:val="16"/>
              </w:rPr>
            </w:pPr>
            <w:r w:rsidRPr="00CF4142">
              <w:rPr>
                <w:rFonts w:ascii="Times New Roman" w:hAnsi="Times New Roman" w:cs="Times New Roman"/>
                <w:b/>
                <w:bCs/>
                <w:sz w:val="16"/>
                <w:szCs w:val="16"/>
              </w:rPr>
              <w:t>2006</w:t>
            </w:r>
          </w:p>
        </w:tc>
        <w:tc>
          <w:tcPr>
            <w:tcW w:w="587" w:type="pct"/>
            <w:gridSpan w:val="2"/>
            <w:tcBorders>
              <w:top w:val="single" w:sz="8" w:space="0" w:color="4F81BD"/>
              <w:bottom w:val="nil"/>
            </w:tcBorders>
            <w:shd w:val="clear" w:color="auto" w:fill="auto"/>
          </w:tcPr>
          <w:p w:rsidR="0014540A" w:rsidRPr="00CF4142" w:rsidRDefault="0014540A" w:rsidP="005A2C59">
            <w:pPr>
              <w:pStyle w:val="PlainText"/>
              <w:tabs>
                <w:tab w:val="left" w:pos="284"/>
                <w:tab w:val="left" w:pos="426"/>
              </w:tabs>
              <w:spacing w:line="288" w:lineRule="auto"/>
              <w:jc w:val="center"/>
              <w:rPr>
                <w:rFonts w:ascii="Times New Roman" w:hAnsi="Times New Roman" w:cs="Times New Roman"/>
                <w:b/>
                <w:bCs/>
                <w:sz w:val="16"/>
                <w:szCs w:val="16"/>
              </w:rPr>
            </w:pPr>
            <w:r w:rsidRPr="00CF4142">
              <w:rPr>
                <w:rFonts w:ascii="Times New Roman" w:hAnsi="Times New Roman" w:cs="Times New Roman"/>
                <w:b/>
                <w:bCs/>
                <w:sz w:val="16"/>
                <w:szCs w:val="16"/>
              </w:rPr>
              <w:t>2008</w:t>
            </w:r>
          </w:p>
        </w:tc>
        <w:tc>
          <w:tcPr>
            <w:tcW w:w="587" w:type="pct"/>
            <w:gridSpan w:val="2"/>
            <w:tcBorders>
              <w:top w:val="single" w:sz="8" w:space="0" w:color="4F81BD"/>
              <w:bottom w:val="nil"/>
            </w:tcBorders>
            <w:shd w:val="clear" w:color="auto" w:fill="auto"/>
          </w:tcPr>
          <w:p w:rsidR="0014540A" w:rsidRPr="00CF4142" w:rsidRDefault="0014540A" w:rsidP="005A2C59">
            <w:pPr>
              <w:pStyle w:val="PlainText"/>
              <w:tabs>
                <w:tab w:val="left" w:pos="284"/>
                <w:tab w:val="left" w:pos="426"/>
              </w:tabs>
              <w:spacing w:line="288" w:lineRule="auto"/>
              <w:jc w:val="center"/>
              <w:rPr>
                <w:rFonts w:ascii="Times New Roman" w:hAnsi="Times New Roman" w:cs="Times New Roman"/>
                <w:b/>
                <w:bCs/>
                <w:sz w:val="16"/>
                <w:szCs w:val="16"/>
              </w:rPr>
            </w:pPr>
            <w:r w:rsidRPr="00CF4142">
              <w:rPr>
                <w:rFonts w:ascii="Times New Roman" w:hAnsi="Times New Roman" w:cs="Times New Roman"/>
                <w:b/>
                <w:bCs/>
                <w:sz w:val="16"/>
                <w:szCs w:val="16"/>
              </w:rPr>
              <w:t>2010</w:t>
            </w:r>
          </w:p>
        </w:tc>
        <w:tc>
          <w:tcPr>
            <w:tcW w:w="587" w:type="pct"/>
            <w:gridSpan w:val="2"/>
            <w:tcBorders>
              <w:top w:val="single" w:sz="8" w:space="0" w:color="4F81BD"/>
              <w:bottom w:val="nil"/>
            </w:tcBorders>
            <w:shd w:val="clear" w:color="auto" w:fill="auto"/>
          </w:tcPr>
          <w:p w:rsidR="0014540A" w:rsidRPr="00CF4142" w:rsidRDefault="0014540A" w:rsidP="005A2C59">
            <w:pPr>
              <w:pStyle w:val="PlainText"/>
              <w:tabs>
                <w:tab w:val="left" w:pos="284"/>
                <w:tab w:val="left" w:pos="426"/>
              </w:tabs>
              <w:spacing w:line="288" w:lineRule="auto"/>
              <w:jc w:val="center"/>
              <w:rPr>
                <w:rFonts w:ascii="Times New Roman" w:hAnsi="Times New Roman" w:cs="Times New Roman"/>
                <w:b/>
                <w:bCs/>
                <w:sz w:val="16"/>
                <w:szCs w:val="16"/>
              </w:rPr>
            </w:pPr>
            <w:r w:rsidRPr="00CF4142">
              <w:rPr>
                <w:rFonts w:ascii="Times New Roman" w:hAnsi="Times New Roman" w:cs="Times New Roman"/>
                <w:b/>
                <w:bCs/>
                <w:sz w:val="16"/>
                <w:szCs w:val="16"/>
              </w:rPr>
              <w:t>2012</w:t>
            </w:r>
          </w:p>
        </w:tc>
        <w:tc>
          <w:tcPr>
            <w:tcW w:w="587" w:type="pct"/>
            <w:gridSpan w:val="2"/>
            <w:tcBorders>
              <w:top w:val="single" w:sz="8" w:space="0" w:color="4F81BD"/>
              <w:bottom w:val="nil"/>
            </w:tcBorders>
            <w:shd w:val="clear" w:color="auto" w:fill="auto"/>
          </w:tcPr>
          <w:p w:rsidR="0014540A" w:rsidRPr="00CF4142" w:rsidRDefault="0014540A" w:rsidP="005A2C59">
            <w:pPr>
              <w:pStyle w:val="PlainText"/>
              <w:tabs>
                <w:tab w:val="left" w:pos="284"/>
                <w:tab w:val="left" w:pos="426"/>
              </w:tabs>
              <w:spacing w:line="288" w:lineRule="auto"/>
              <w:jc w:val="center"/>
              <w:rPr>
                <w:rFonts w:ascii="Times New Roman" w:hAnsi="Times New Roman" w:cs="Times New Roman"/>
                <w:b/>
                <w:bCs/>
                <w:sz w:val="16"/>
                <w:szCs w:val="16"/>
              </w:rPr>
            </w:pPr>
            <w:r w:rsidRPr="00CF4142">
              <w:rPr>
                <w:rFonts w:ascii="Times New Roman" w:hAnsi="Times New Roman" w:cs="Times New Roman"/>
                <w:b/>
                <w:bCs/>
                <w:sz w:val="16"/>
                <w:szCs w:val="16"/>
              </w:rPr>
              <w:t>2014</w:t>
            </w:r>
          </w:p>
        </w:tc>
      </w:tr>
      <w:tr w:rsidR="007A359B" w:rsidRPr="008922C6" w:rsidTr="00CF4142">
        <w:tc>
          <w:tcPr>
            <w:tcW w:w="304" w:type="pct"/>
            <w:tcBorders>
              <w:top w:val="nil"/>
              <w:bottom w:val="single" w:sz="4" w:space="0" w:color="auto"/>
            </w:tcBorders>
            <w:shd w:val="clear" w:color="auto" w:fill="D3DFEE"/>
          </w:tcPr>
          <w:p w:rsidR="0014540A" w:rsidRPr="00CF4142" w:rsidRDefault="0014540A" w:rsidP="005A2C59">
            <w:pPr>
              <w:pStyle w:val="PlainText"/>
              <w:tabs>
                <w:tab w:val="left" w:pos="284"/>
                <w:tab w:val="left" w:pos="426"/>
              </w:tabs>
              <w:spacing w:line="288" w:lineRule="auto"/>
              <w:rPr>
                <w:rFonts w:ascii="Times New Roman" w:hAnsi="Times New Roman" w:cs="Times New Roman"/>
                <w:b/>
                <w:bCs/>
                <w:sz w:val="16"/>
                <w:szCs w:val="16"/>
              </w:rPr>
            </w:pPr>
          </w:p>
        </w:tc>
        <w:tc>
          <w:tcPr>
            <w:tcW w:w="280" w:type="pct"/>
            <w:tcBorders>
              <w:top w:val="nil"/>
              <w:left w:val="nil"/>
              <w:bottom w:val="single" w:sz="4" w:space="0" w:color="auto"/>
              <w:right w:val="nil"/>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wage</w:t>
            </w:r>
          </w:p>
        </w:tc>
        <w:tc>
          <w:tcPr>
            <w:tcW w:w="307" w:type="pct"/>
            <w:tcBorders>
              <w:top w:val="nil"/>
              <w:bottom w:val="single" w:sz="4" w:space="0" w:color="auto"/>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selection</w:t>
            </w:r>
          </w:p>
        </w:tc>
        <w:tc>
          <w:tcPr>
            <w:tcW w:w="280" w:type="pct"/>
            <w:tcBorders>
              <w:top w:val="nil"/>
              <w:left w:val="nil"/>
              <w:bottom w:val="single" w:sz="4" w:space="0" w:color="auto"/>
              <w:right w:val="nil"/>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wage</w:t>
            </w:r>
          </w:p>
        </w:tc>
        <w:tc>
          <w:tcPr>
            <w:tcW w:w="307" w:type="pct"/>
            <w:tcBorders>
              <w:top w:val="nil"/>
              <w:bottom w:val="single" w:sz="4" w:space="0" w:color="auto"/>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selection</w:t>
            </w:r>
          </w:p>
        </w:tc>
        <w:tc>
          <w:tcPr>
            <w:tcW w:w="280" w:type="pct"/>
            <w:tcBorders>
              <w:top w:val="nil"/>
              <w:left w:val="nil"/>
              <w:bottom w:val="single" w:sz="4" w:space="0" w:color="auto"/>
              <w:right w:val="nil"/>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wage</w:t>
            </w:r>
          </w:p>
        </w:tc>
        <w:tc>
          <w:tcPr>
            <w:tcW w:w="307" w:type="pct"/>
            <w:tcBorders>
              <w:top w:val="nil"/>
              <w:bottom w:val="single" w:sz="4" w:space="0" w:color="auto"/>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selection</w:t>
            </w:r>
          </w:p>
        </w:tc>
        <w:tc>
          <w:tcPr>
            <w:tcW w:w="280" w:type="pct"/>
            <w:tcBorders>
              <w:top w:val="nil"/>
              <w:left w:val="nil"/>
              <w:bottom w:val="single" w:sz="4" w:space="0" w:color="auto"/>
              <w:right w:val="nil"/>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wage</w:t>
            </w:r>
          </w:p>
        </w:tc>
        <w:tc>
          <w:tcPr>
            <w:tcW w:w="307" w:type="pct"/>
            <w:tcBorders>
              <w:top w:val="nil"/>
              <w:bottom w:val="single" w:sz="4" w:space="0" w:color="auto"/>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selection</w:t>
            </w:r>
          </w:p>
        </w:tc>
        <w:tc>
          <w:tcPr>
            <w:tcW w:w="280" w:type="pct"/>
            <w:tcBorders>
              <w:top w:val="nil"/>
              <w:left w:val="nil"/>
              <w:bottom w:val="single" w:sz="4" w:space="0" w:color="auto"/>
              <w:right w:val="nil"/>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wage</w:t>
            </w:r>
          </w:p>
        </w:tc>
        <w:tc>
          <w:tcPr>
            <w:tcW w:w="307" w:type="pct"/>
            <w:tcBorders>
              <w:top w:val="nil"/>
              <w:bottom w:val="single" w:sz="4" w:space="0" w:color="auto"/>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selection</w:t>
            </w:r>
          </w:p>
        </w:tc>
        <w:tc>
          <w:tcPr>
            <w:tcW w:w="280" w:type="pct"/>
            <w:tcBorders>
              <w:top w:val="nil"/>
              <w:left w:val="nil"/>
              <w:bottom w:val="single" w:sz="4" w:space="0" w:color="auto"/>
              <w:right w:val="nil"/>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wage</w:t>
            </w:r>
          </w:p>
        </w:tc>
        <w:tc>
          <w:tcPr>
            <w:tcW w:w="307" w:type="pct"/>
            <w:tcBorders>
              <w:top w:val="nil"/>
              <w:bottom w:val="single" w:sz="4" w:space="0" w:color="auto"/>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selection</w:t>
            </w:r>
          </w:p>
        </w:tc>
        <w:tc>
          <w:tcPr>
            <w:tcW w:w="280" w:type="pct"/>
            <w:tcBorders>
              <w:top w:val="nil"/>
              <w:left w:val="nil"/>
              <w:bottom w:val="single" w:sz="4" w:space="0" w:color="auto"/>
              <w:right w:val="nil"/>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wage</w:t>
            </w:r>
          </w:p>
        </w:tc>
        <w:tc>
          <w:tcPr>
            <w:tcW w:w="307" w:type="pct"/>
            <w:tcBorders>
              <w:top w:val="nil"/>
              <w:bottom w:val="single" w:sz="4" w:space="0" w:color="auto"/>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selection</w:t>
            </w:r>
          </w:p>
        </w:tc>
        <w:tc>
          <w:tcPr>
            <w:tcW w:w="280" w:type="pct"/>
            <w:tcBorders>
              <w:top w:val="nil"/>
              <w:left w:val="nil"/>
              <w:bottom w:val="single" w:sz="4" w:space="0" w:color="auto"/>
              <w:right w:val="nil"/>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wage</w:t>
            </w:r>
          </w:p>
        </w:tc>
        <w:tc>
          <w:tcPr>
            <w:tcW w:w="307" w:type="pct"/>
            <w:tcBorders>
              <w:top w:val="nil"/>
              <w:bottom w:val="single" w:sz="4" w:space="0" w:color="auto"/>
            </w:tcBorders>
            <w:shd w:val="clear" w:color="auto" w:fill="D3DFEE"/>
          </w:tcPr>
          <w:p w:rsidR="0014540A" w:rsidRPr="00CF4142" w:rsidRDefault="0014540A" w:rsidP="005A2C59">
            <w:pPr>
              <w:pStyle w:val="PlainText"/>
              <w:tabs>
                <w:tab w:val="left" w:pos="284"/>
                <w:tab w:val="left" w:pos="426"/>
              </w:tabs>
              <w:spacing w:line="288" w:lineRule="auto"/>
              <w:jc w:val="right"/>
              <w:rPr>
                <w:rFonts w:ascii="Times New Roman" w:hAnsi="Times New Roman" w:cs="Times New Roman"/>
                <w:b/>
                <w:sz w:val="16"/>
                <w:szCs w:val="16"/>
              </w:rPr>
            </w:pPr>
            <w:r w:rsidRPr="00CF4142">
              <w:rPr>
                <w:rFonts w:ascii="Times New Roman" w:hAnsi="Times New Roman" w:cs="Times New Roman"/>
                <w:b/>
                <w:sz w:val="16"/>
                <w:szCs w:val="16"/>
              </w:rPr>
              <w:t>selection</w:t>
            </w:r>
          </w:p>
        </w:tc>
      </w:tr>
      <w:tr w:rsidR="00CF4142" w:rsidRPr="008922C6" w:rsidTr="00CF4142">
        <w:tc>
          <w:tcPr>
            <w:tcW w:w="304"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rPr>
                <w:rFonts w:ascii="Times New Roman" w:hAnsi="Times New Roman" w:cs="Times New Roman"/>
                <w:bCs/>
                <w:sz w:val="16"/>
                <w:szCs w:val="16"/>
              </w:rPr>
            </w:pPr>
          </w:p>
        </w:tc>
        <w:tc>
          <w:tcPr>
            <w:tcW w:w="280"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tcBorders>
              <w:top w:val="single" w:sz="4" w:space="0" w:color="auto"/>
              <w:bottom w:val="nil"/>
            </w:tcBorders>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r>
      <w:tr w:rsidR="007A359B" w:rsidRPr="008922C6" w:rsidTr="00CF4142">
        <w:tc>
          <w:tcPr>
            <w:tcW w:w="304" w:type="pct"/>
            <w:tcBorders>
              <w:top w:val="nil"/>
            </w:tcBorders>
            <w:shd w:val="clear" w:color="auto" w:fill="auto"/>
          </w:tcPr>
          <w:p w:rsidR="0014540A" w:rsidRPr="008922C6" w:rsidRDefault="002F7110" w:rsidP="005A2C59">
            <w:pPr>
              <w:pStyle w:val="PlainText"/>
              <w:tabs>
                <w:tab w:val="left" w:pos="284"/>
                <w:tab w:val="left" w:pos="426"/>
              </w:tabs>
              <w:spacing w:line="288" w:lineRule="auto"/>
              <w:rPr>
                <w:rFonts w:ascii="Times New Roman" w:hAnsi="Times New Roman" w:cs="Times New Roman"/>
                <w:bCs/>
                <w:sz w:val="16"/>
                <w:szCs w:val="16"/>
              </w:rPr>
            </w:pPr>
            <w:r w:rsidRPr="008922C6">
              <w:rPr>
                <w:rFonts w:ascii="Times New Roman" w:hAnsi="Times New Roman" w:cs="Times New Roman"/>
                <w:bCs/>
                <w:sz w:val="16"/>
                <w:szCs w:val="16"/>
              </w:rPr>
              <w:t>S</w:t>
            </w:r>
            <w:r w:rsidR="00F93336">
              <w:rPr>
                <w:rFonts w:ascii="Times New Roman" w:hAnsi="Times New Roman" w:cs="Times New Roman"/>
                <w:bCs/>
                <w:sz w:val="16"/>
                <w:szCs w:val="16"/>
              </w:rPr>
              <w:t>chool</w:t>
            </w:r>
            <w:r w:rsidR="00FB26FE">
              <w:rPr>
                <w:rFonts w:ascii="Times New Roman" w:hAnsi="Times New Roman" w:cs="Times New Roman"/>
                <w:bCs/>
                <w:sz w:val="16"/>
                <w:szCs w:val="16"/>
              </w:rPr>
              <w:t>ing</w:t>
            </w:r>
          </w:p>
        </w:tc>
        <w:tc>
          <w:tcPr>
            <w:tcW w:w="280"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0.0381**</w:t>
            </w:r>
          </w:p>
        </w:tc>
        <w:tc>
          <w:tcPr>
            <w:tcW w:w="307"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0.0500**</w:t>
            </w:r>
          </w:p>
        </w:tc>
        <w:tc>
          <w:tcPr>
            <w:tcW w:w="280"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0.0772**</w:t>
            </w:r>
          </w:p>
        </w:tc>
        <w:tc>
          <w:tcPr>
            <w:tcW w:w="307"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0.0386**</w:t>
            </w:r>
          </w:p>
        </w:tc>
        <w:tc>
          <w:tcPr>
            <w:tcW w:w="280"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0.0929**</w:t>
            </w:r>
          </w:p>
        </w:tc>
        <w:tc>
          <w:tcPr>
            <w:tcW w:w="307"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0.0852**</w:t>
            </w:r>
          </w:p>
        </w:tc>
        <w:tc>
          <w:tcPr>
            <w:tcW w:w="280"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0.0966**</w:t>
            </w:r>
          </w:p>
        </w:tc>
        <w:tc>
          <w:tcPr>
            <w:tcW w:w="307"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0.0882**</w:t>
            </w:r>
          </w:p>
        </w:tc>
        <w:tc>
          <w:tcPr>
            <w:tcW w:w="280"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0.1038**</w:t>
            </w:r>
          </w:p>
        </w:tc>
        <w:tc>
          <w:tcPr>
            <w:tcW w:w="307"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0.0870**</w:t>
            </w:r>
          </w:p>
        </w:tc>
        <w:tc>
          <w:tcPr>
            <w:tcW w:w="280"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0.0844**</w:t>
            </w:r>
          </w:p>
        </w:tc>
        <w:tc>
          <w:tcPr>
            <w:tcW w:w="307"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0.0918**</w:t>
            </w:r>
          </w:p>
        </w:tc>
        <w:tc>
          <w:tcPr>
            <w:tcW w:w="280"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0.0717**</w:t>
            </w:r>
          </w:p>
        </w:tc>
        <w:tc>
          <w:tcPr>
            <w:tcW w:w="307"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0.0904**</w:t>
            </w:r>
          </w:p>
        </w:tc>
        <w:tc>
          <w:tcPr>
            <w:tcW w:w="280"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0.0619**</w:t>
            </w:r>
          </w:p>
        </w:tc>
        <w:tc>
          <w:tcPr>
            <w:tcW w:w="307" w:type="pct"/>
            <w:tcBorders>
              <w:top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0.0925**</w:t>
            </w:r>
          </w:p>
        </w:tc>
      </w:tr>
      <w:tr w:rsidR="003D469E" w:rsidRPr="008922C6" w:rsidTr="003D469E">
        <w:tc>
          <w:tcPr>
            <w:tcW w:w="304" w:type="pct"/>
            <w:shd w:val="clear" w:color="auto" w:fill="auto"/>
          </w:tcPr>
          <w:p w:rsidR="0014540A" w:rsidRPr="008922C6" w:rsidRDefault="002F7110" w:rsidP="003D469E">
            <w:pPr>
              <w:pStyle w:val="PlainText"/>
              <w:tabs>
                <w:tab w:val="left" w:pos="284"/>
                <w:tab w:val="left" w:pos="426"/>
              </w:tabs>
              <w:rPr>
                <w:rFonts w:ascii="Times New Roman" w:hAnsi="Times New Roman" w:cs="Times New Roman"/>
                <w:bCs/>
                <w:sz w:val="16"/>
                <w:szCs w:val="16"/>
              </w:rPr>
            </w:pPr>
            <w:r w:rsidRPr="008922C6">
              <w:rPr>
                <w:rFonts w:ascii="Times New Roman" w:hAnsi="Times New Roman" w:cs="Times New Roman"/>
                <w:bCs/>
                <w:sz w:val="16"/>
                <w:szCs w:val="16"/>
              </w:rPr>
              <w:t>years</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(0.0041)</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(0.0040)</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(0.0018)</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(0.0025)</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(0.0031)</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(0.0035)</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(0.0030)</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(0.0036)</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(0.0032)</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(0.0034)</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(0.0033)</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(0.0033)</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(0.0042)</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(0.0024)</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(0.0017)</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(0.0027)</w:t>
            </w:r>
          </w:p>
        </w:tc>
      </w:tr>
      <w:tr w:rsidR="007A359B" w:rsidRPr="008922C6" w:rsidTr="003D469E">
        <w:tc>
          <w:tcPr>
            <w:tcW w:w="304" w:type="pct"/>
            <w:shd w:val="clear" w:color="auto" w:fill="DBE5F1" w:themeFill="accent1" w:themeFillTint="33"/>
          </w:tcPr>
          <w:p w:rsidR="0014540A" w:rsidRPr="008922C6" w:rsidRDefault="002F7110" w:rsidP="003D469E">
            <w:pPr>
              <w:pStyle w:val="PlainText"/>
              <w:tabs>
                <w:tab w:val="left" w:pos="284"/>
                <w:tab w:val="left" w:pos="426"/>
              </w:tabs>
              <w:spacing w:before="240" w:line="288" w:lineRule="auto"/>
              <w:rPr>
                <w:rFonts w:ascii="Times New Roman" w:hAnsi="Times New Roman" w:cs="Times New Roman"/>
                <w:bCs/>
                <w:sz w:val="16"/>
                <w:szCs w:val="16"/>
              </w:rPr>
            </w:pPr>
            <w:r w:rsidRPr="008922C6">
              <w:rPr>
                <w:rFonts w:ascii="Times New Roman" w:hAnsi="Times New Roman" w:cs="Times New Roman"/>
                <w:bCs/>
                <w:sz w:val="16"/>
                <w:szCs w:val="16"/>
              </w:rPr>
              <w:t>E</w:t>
            </w:r>
            <w:r w:rsidR="0014540A" w:rsidRPr="008922C6">
              <w:rPr>
                <w:rFonts w:ascii="Times New Roman" w:hAnsi="Times New Roman" w:cs="Times New Roman"/>
                <w:bCs/>
                <w:sz w:val="16"/>
                <w:szCs w:val="16"/>
              </w:rPr>
              <w:t>xp</w:t>
            </w:r>
            <w:r w:rsidRPr="008922C6">
              <w:rPr>
                <w:rFonts w:ascii="Times New Roman" w:hAnsi="Times New Roman" w:cs="Times New Roman"/>
                <w:bCs/>
                <w:sz w:val="16"/>
                <w:szCs w:val="16"/>
              </w:rPr>
              <w:t>erience</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0.0155**</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-0.0000</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0.0247**</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0.0810**</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0.0402**</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0.0909**</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0.0436**</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0.0978**</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0.0555**</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0.1037**</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0.0600**</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0.0980**</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0.0577**</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0.1044**</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0.0533**</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line="288" w:lineRule="auto"/>
              <w:jc w:val="right"/>
              <w:rPr>
                <w:rFonts w:ascii="Times New Roman" w:hAnsi="Times New Roman" w:cs="Times New Roman"/>
                <w:sz w:val="16"/>
                <w:szCs w:val="16"/>
              </w:rPr>
            </w:pPr>
            <w:r w:rsidRPr="008922C6">
              <w:rPr>
                <w:rFonts w:ascii="Times New Roman" w:hAnsi="Times New Roman" w:cs="Times New Roman"/>
                <w:sz w:val="16"/>
                <w:szCs w:val="16"/>
              </w:rPr>
              <w:t>0.1097**</w:t>
            </w:r>
          </w:p>
        </w:tc>
      </w:tr>
      <w:tr w:rsidR="007A359B" w:rsidRPr="008922C6" w:rsidTr="003D469E">
        <w:tc>
          <w:tcPr>
            <w:tcW w:w="304" w:type="pct"/>
            <w:shd w:val="clear" w:color="auto" w:fill="DBE5F1" w:themeFill="accent1" w:themeFillTint="33"/>
          </w:tcPr>
          <w:p w:rsidR="0014540A" w:rsidRPr="008922C6" w:rsidRDefault="0014540A" w:rsidP="005A2C59">
            <w:pPr>
              <w:pStyle w:val="PlainText"/>
              <w:tabs>
                <w:tab w:val="left" w:pos="284"/>
                <w:tab w:val="left" w:pos="426"/>
              </w:tabs>
              <w:spacing w:line="288" w:lineRule="auto"/>
              <w:rPr>
                <w:rFonts w:ascii="Times New Roman" w:hAnsi="Times New Roman" w:cs="Times New Roman"/>
                <w:bCs/>
                <w:sz w:val="16"/>
                <w:szCs w:val="16"/>
              </w:rPr>
            </w:pP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(0.0052)</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(0.0035)</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(0.0029)</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(0.0021)</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(0.0041)</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(0.0032)</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(0.0036)</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(0.0032)</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(0.0041)</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(0.0031)</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(0.0045)</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(0.0034)</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(0.0056)</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(0.0036)</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(0.0026)</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(0.0037)</w:t>
            </w:r>
          </w:p>
        </w:tc>
      </w:tr>
      <w:tr w:rsidR="007A359B" w:rsidRPr="008922C6" w:rsidTr="000D48AD">
        <w:tc>
          <w:tcPr>
            <w:tcW w:w="304" w:type="pct"/>
            <w:shd w:val="clear" w:color="auto" w:fill="auto"/>
          </w:tcPr>
          <w:p w:rsidR="0014540A" w:rsidRPr="008922C6" w:rsidRDefault="002F7110" w:rsidP="003D469E">
            <w:pPr>
              <w:pStyle w:val="PlainText"/>
              <w:tabs>
                <w:tab w:val="left" w:pos="284"/>
                <w:tab w:val="left" w:pos="426"/>
              </w:tabs>
              <w:spacing w:before="240"/>
              <w:rPr>
                <w:rFonts w:ascii="Times New Roman" w:hAnsi="Times New Roman" w:cs="Times New Roman"/>
                <w:bCs/>
                <w:sz w:val="16"/>
                <w:szCs w:val="16"/>
              </w:rPr>
            </w:pPr>
            <w:r w:rsidRPr="008922C6">
              <w:rPr>
                <w:rFonts w:ascii="Times New Roman" w:hAnsi="Times New Roman" w:cs="Times New Roman"/>
                <w:bCs/>
                <w:sz w:val="16"/>
                <w:szCs w:val="16"/>
              </w:rPr>
              <w:t>E</w:t>
            </w:r>
            <w:r w:rsidR="0014540A" w:rsidRPr="008922C6">
              <w:rPr>
                <w:rFonts w:ascii="Times New Roman" w:hAnsi="Times New Roman" w:cs="Times New Roman"/>
                <w:bCs/>
                <w:sz w:val="16"/>
                <w:szCs w:val="16"/>
              </w:rPr>
              <w:t>xp2</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-0.0006**</w:t>
            </w: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-0.0002**</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-0.0006**</w:t>
            </w: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-0.0023**</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-0.0010**</w:t>
            </w: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-0.0025**</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-0.0010**</w:t>
            </w: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-0.0026**</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-0.0014**</w:t>
            </w: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-0.0027**</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-0.0014**</w:t>
            </w: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-0.0026**</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-0.0013**</w:t>
            </w: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-0.0024**</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-0.0011**</w:t>
            </w: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-0.0025**</w:t>
            </w:r>
          </w:p>
        </w:tc>
      </w:tr>
      <w:tr w:rsidR="007A359B" w:rsidRPr="008922C6" w:rsidTr="003D469E">
        <w:tc>
          <w:tcPr>
            <w:tcW w:w="304" w:type="pct"/>
            <w:shd w:val="clear" w:color="auto" w:fill="auto"/>
          </w:tcPr>
          <w:p w:rsidR="0014540A" w:rsidRPr="008922C6" w:rsidRDefault="0014540A" w:rsidP="005A2C59">
            <w:pPr>
              <w:pStyle w:val="PlainText"/>
              <w:tabs>
                <w:tab w:val="left" w:pos="284"/>
                <w:tab w:val="left" w:pos="426"/>
              </w:tabs>
              <w:spacing w:line="288" w:lineRule="auto"/>
              <w:rPr>
                <w:rFonts w:ascii="Times New Roman" w:hAnsi="Times New Roman" w:cs="Times New Roman"/>
                <w:bCs/>
                <w:sz w:val="16"/>
                <w:szCs w:val="16"/>
              </w:rPr>
            </w:pP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(0.0002)</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(0.0001)</w:t>
            </w:r>
          </w:p>
        </w:tc>
      </w:tr>
      <w:tr w:rsidR="007A359B" w:rsidRPr="008922C6" w:rsidTr="003D469E">
        <w:tc>
          <w:tcPr>
            <w:tcW w:w="304" w:type="pct"/>
            <w:shd w:val="clear" w:color="auto" w:fill="DBE5F1" w:themeFill="accent1" w:themeFillTint="33"/>
          </w:tcPr>
          <w:p w:rsidR="0014540A" w:rsidRPr="008922C6" w:rsidRDefault="002F7110" w:rsidP="003D469E">
            <w:pPr>
              <w:pStyle w:val="PlainText"/>
              <w:tabs>
                <w:tab w:val="left" w:pos="284"/>
                <w:tab w:val="left" w:pos="426"/>
              </w:tabs>
              <w:spacing w:before="240"/>
              <w:rPr>
                <w:rFonts w:ascii="Times New Roman" w:hAnsi="Times New Roman" w:cs="Times New Roman"/>
                <w:bCs/>
                <w:sz w:val="16"/>
                <w:szCs w:val="16"/>
              </w:rPr>
            </w:pPr>
            <w:r w:rsidRPr="008922C6">
              <w:rPr>
                <w:rFonts w:ascii="Times New Roman" w:hAnsi="Times New Roman" w:cs="Times New Roman"/>
                <w:bCs/>
                <w:sz w:val="16"/>
                <w:szCs w:val="16"/>
              </w:rPr>
              <w:t>Sex</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0.2448**</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0.4703**</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0.2018**</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0.5052**</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0.1872**</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0.4258**</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0.1956**</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0.4297**</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0.2433**</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0.4341**</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0.2400**</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0.4181**</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0.2343**</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0.3627**</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0.1389**</w:t>
            </w: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0.3594**</w:t>
            </w:r>
          </w:p>
        </w:tc>
      </w:tr>
      <w:tr w:rsidR="007A359B" w:rsidRPr="008922C6" w:rsidTr="003D469E">
        <w:tc>
          <w:tcPr>
            <w:tcW w:w="304" w:type="pct"/>
            <w:shd w:val="clear" w:color="auto" w:fill="DBE5F1" w:themeFill="accent1" w:themeFillTint="33"/>
          </w:tcPr>
          <w:p w:rsidR="0014540A" w:rsidRPr="008922C6" w:rsidRDefault="0014540A" w:rsidP="005A2C59">
            <w:pPr>
              <w:pStyle w:val="PlainText"/>
              <w:tabs>
                <w:tab w:val="left" w:pos="284"/>
                <w:tab w:val="left" w:pos="426"/>
              </w:tabs>
              <w:spacing w:line="288" w:lineRule="auto"/>
              <w:rPr>
                <w:rFonts w:ascii="Times New Roman" w:hAnsi="Times New Roman" w:cs="Times New Roman"/>
                <w:bCs/>
                <w:sz w:val="16"/>
                <w:szCs w:val="16"/>
              </w:rPr>
            </w:pP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(0.0340)</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(0.0240)</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(0.0173)</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(0.0143)</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(0.0236)</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(0.0222)</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(0.0206)</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(0.0218)</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(0.0214)</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(0.0213)</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(0.0222)</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(0.0223)</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(0.0226)</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(0.0209)</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(0.0149)</w:t>
            </w: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(0.0211)</w:t>
            </w:r>
          </w:p>
        </w:tc>
      </w:tr>
      <w:tr w:rsidR="007A359B" w:rsidRPr="008922C6" w:rsidTr="000D48AD">
        <w:tc>
          <w:tcPr>
            <w:tcW w:w="304" w:type="pct"/>
            <w:shd w:val="clear" w:color="auto" w:fill="auto"/>
          </w:tcPr>
          <w:p w:rsidR="0014540A" w:rsidRPr="008922C6" w:rsidRDefault="00FB26FE" w:rsidP="003D469E">
            <w:pPr>
              <w:pStyle w:val="PlainText"/>
              <w:tabs>
                <w:tab w:val="left" w:pos="284"/>
                <w:tab w:val="left" w:pos="426"/>
              </w:tabs>
              <w:spacing w:before="240"/>
              <w:rPr>
                <w:rFonts w:ascii="Times New Roman" w:hAnsi="Times New Roman" w:cs="Times New Roman"/>
                <w:bCs/>
                <w:sz w:val="16"/>
                <w:szCs w:val="16"/>
              </w:rPr>
            </w:pPr>
            <w:r>
              <w:rPr>
                <w:rFonts w:ascii="Times New Roman" w:hAnsi="Times New Roman" w:cs="Times New Roman"/>
                <w:bCs/>
                <w:sz w:val="16"/>
                <w:szCs w:val="16"/>
              </w:rPr>
              <w:t>H</w:t>
            </w:r>
            <w:r w:rsidR="00916276" w:rsidRPr="008922C6">
              <w:rPr>
                <w:rFonts w:ascii="Times New Roman" w:hAnsi="Times New Roman" w:cs="Times New Roman"/>
                <w:bCs/>
                <w:sz w:val="16"/>
                <w:szCs w:val="16"/>
              </w:rPr>
              <w:t xml:space="preserve">ousehold </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0.0009</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0.0446**</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0.0469**</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0.0460**</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0.0446**</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0.0343**</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0.0396**</w:t>
            </w:r>
          </w:p>
        </w:tc>
        <w:tc>
          <w:tcPr>
            <w:tcW w:w="280"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auto"/>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0.0328**</w:t>
            </w:r>
          </w:p>
        </w:tc>
      </w:tr>
      <w:tr w:rsidR="007A359B" w:rsidRPr="008922C6" w:rsidTr="003D469E">
        <w:tc>
          <w:tcPr>
            <w:tcW w:w="304" w:type="pct"/>
            <w:shd w:val="clear" w:color="auto" w:fill="auto"/>
          </w:tcPr>
          <w:p w:rsidR="0014540A" w:rsidRPr="008922C6" w:rsidRDefault="00916276" w:rsidP="005A2C59">
            <w:pPr>
              <w:pStyle w:val="PlainText"/>
              <w:tabs>
                <w:tab w:val="left" w:pos="284"/>
                <w:tab w:val="left" w:pos="426"/>
              </w:tabs>
              <w:spacing w:line="288" w:lineRule="auto"/>
              <w:rPr>
                <w:rFonts w:ascii="Times New Roman" w:hAnsi="Times New Roman" w:cs="Times New Roman"/>
                <w:bCs/>
                <w:sz w:val="16"/>
                <w:szCs w:val="16"/>
              </w:rPr>
            </w:pPr>
            <w:r w:rsidRPr="008922C6">
              <w:rPr>
                <w:rFonts w:ascii="Times New Roman" w:hAnsi="Times New Roman" w:cs="Times New Roman"/>
                <w:bCs/>
                <w:sz w:val="16"/>
                <w:szCs w:val="16"/>
              </w:rPr>
              <w:t>size</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(0.0071)</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(0.0054)</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(0.0074)</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(0.0087)</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(0.0076)</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(0.0082)</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(0.0096)</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(0.0101)</w:t>
            </w:r>
          </w:p>
        </w:tc>
      </w:tr>
      <w:tr w:rsidR="007A359B" w:rsidRPr="008922C6" w:rsidTr="003D469E">
        <w:tc>
          <w:tcPr>
            <w:tcW w:w="304" w:type="pct"/>
            <w:shd w:val="clear" w:color="auto" w:fill="DBE5F1" w:themeFill="accent1" w:themeFillTint="33"/>
          </w:tcPr>
          <w:p w:rsidR="0014540A" w:rsidRPr="008922C6" w:rsidRDefault="00F93336" w:rsidP="003D469E">
            <w:pPr>
              <w:pStyle w:val="PlainText"/>
              <w:tabs>
                <w:tab w:val="left" w:pos="284"/>
                <w:tab w:val="left" w:pos="426"/>
              </w:tabs>
              <w:spacing w:before="240"/>
              <w:rPr>
                <w:rFonts w:ascii="Times New Roman" w:hAnsi="Times New Roman" w:cs="Times New Roman"/>
                <w:bCs/>
                <w:sz w:val="16"/>
                <w:szCs w:val="16"/>
              </w:rPr>
            </w:pPr>
            <w:proofErr w:type="spellStart"/>
            <w:r>
              <w:rPr>
                <w:rFonts w:ascii="Times New Roman" w:hAnsi="Times New Roman" w:cs="Times New Roman"/>
                <w:bCs/>
                <w:sz w:val="16"/>
                <w:szCs w:val="16"/>
              </w:rPr>
              <w:t>N</w:t>
            </w:r>
            <w:r w:rsidR="0014540A" w:rsidRPr="008922C6">
              <w:rPr>
                <w:rFonts w:ascii="Times New Roman" w:hAnsi="Times New Roman" w:cs="Times New Roman"/>
                <w:bCs/>
                <w:sz w:val="16"/>
                <w:szCs w:val="16"/>
              </w:rPr>
              <w:t>on_wage</w:t>
            </w:r>
            <w:proofErr w:type="spellEnd"/>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-0.0752**</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-0.2468**</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-0.1811**</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-0.1053**</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-0.0632**</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-0.0758**</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-0.0251**</w:t>
            </w:r>
          </w:p>
        </w:tc>
        <w:tc>
          <w:tcPr>
            <w:tcW w:w="280"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3D469E">
            <w:pPr>
              <w:pStyle w:val="PlainText"/>
              <w:tabs>
                <w:tab w:val="left" w:pos="284"/>
                <w:tab w:val="left" w:pos="426"/>
              </w:tabs>
              <w:spacing w:before="240"/>
              <w:jc w:val="right"/>
              <w:rPr>
                <w:rFonts w:ascii="Times New Roman" w:hAnsi="Times New Roman" w:cs="Times New Roman"/>
                <w:sz w:val="16"/>
                <w:szCs w:val="16"/>
              </w:rPr>
            </w:pPr>
            <w:r w:rsidRPr="008922C6">
              <w:rPr>
                <w:rFonts w:ascii="Times New Roman" w:hAnsi="Times New Roman" w:cs="Times New Roman"/>
                <w:sz w:val="16"/>
                <w:szCs w:val="16"/>
              </w:rPr>
              <w:t>-0.0493**</w:t>
            </w:r>
          </w:p>
        </w:tc>
      </w:tr>
      <w:tr w:rsidR="007A359B" w:rsidRPr="008922C6" w:rsidTr="003D469E">
        <w:tc>
          <w:tcPr>
            <w:tcW w:w="304" w:type="pct"/>
            <w:shd w:val="clear" w:color="auto" w:fill="DBE5F1" w:themeFill="accent1" w:themeFillTint="33"/>
          </w:tcPr>
          <w:p w:rsidR="0014540A" w:rsidRPr="008922C6" w:rsidRDefault="005858CB" w:rsidP="005A2C59">
            <w:pPr>
              <w:pStyle w:val="PlainText"/>
              <w:tabs>
                <w:tab w:val="left" w:pos="284"/>
                <w:tab w:val="left" w:pos="426"/>
              </w:tabs>
              <w:spacing w:line="288" w:lineRule="auto"/>
              <w:rPr>
                <w:rFonts w:ascii="Times New Roman" w:hAnsi="Times New Roman" w:cs="Times New Roman"/>
                <w:bCs/>
                <w:sz w:val="16"/>
                <w:szCs w:val="16"/>
              </w:rPr>
            </w:pPr>
            <w:r w:rsidRPr="008922C6">
              <w:rPr>
                <w:rFonts w:ascii="Times New Roman" w:hAnsi="Times New Roman" w:cs="Times New Roman"/>
                <w:bCs/>
                <w:sz w:val="16"/>
                <w:szCs w:val="16"/>
              </w:rPr>
              <w:t>income</w:t>
            </w:r>
            <w:r w:rsidRPr="008922C6">
              <w:rPr>
                <w:rFonts w:ascii="Times New Roman" w:hAnsi="Times New Roman" w:cs="Times New Roman"/>
                <w:bCs/>
                <w:sz w:val="16"/>
                <w:szCs w:val="16"/>
                <w:vertAlign w:val="superscript"/>
              </w:rPr>
              <w:t>(a)</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(0.0098)</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(0.0224)</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(0.0124)</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(0.0114)</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(0.0061)</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(0.0069)</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(0.0085)</w:t>
            </w:r>
          </w:p>
        </w:tc>
        <w:tc>
          <w:tcPr>
            <w:tcW w:w="280" w:type="pct"/>
            <w:tcBorders>
              <w:left w:val="nil"/>
              <w:right w:val="nil"/>
            </w:tcBorders>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DBE5F1" w:themeFill="accent1" w:themeFillTint="33"/>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(0.0089)</w:t>
            </w:r>
          </w:p>
        </w:tc>
      </w:tr>
      <w:tr w:rsidR="00CF4142" w:rsidRPr="008922C6" w:rsidTr="000D48AD">
        <w:tc>
          <w:tcPr>
            <w:tcW w:w="304" w:type="pct"/>
            <w:shd w:val="clear" w:color="auto" w:fill="auto"/>
          </w:tcPr>
          <w:p w:rsidR="00CF4142" w:rsidRPr="008922C6" w:rsidRDefault="00CF4142" w:rsidP="005A2C59">
            <w:pPr>
              <w:pStyle w:val="PlainText"/>
              <w:tabs>
                <w:tab w:val="left" w:pos="284"/>
                <w:tab w:val="left" w:pos="426"/>
              </w:tabs>
              <w:spacing w:line="288" w:lineRule="auto"/>
              <w:rPr>
                <w:rFonts w:ascii="Times New Roman" w:hAnsi="Times New Roman" w:cs="Times New Roman"/>
                <w:bCs/>
                <w:sz w:val="16"/>
                <w:szCs w:val="16"/>
              </w:rPr>
            </w:pPr>
          </w:p>
        </w:tc>
        <w:tc>
          <w:tcPr>
            <w:tcW w:w="280"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c>
          <w:tcPr>
            <w:tcW w:w="307" w:type="pct"/>
            <w:shd w:val="clear" w:color="auto" w:fill="auto"/>
          </w:tcPr>
          <w:p w:rsidR="00CF4142" w:rsidRPr="008922C6" w:rsidRDefault="00CF4142" w:rsidP="005A2C59">
            <w:pPr>
              <w:pStyle w:val="PlainText"/>
              <w:tabs>
                <w:tab w:val="left" w:pos="284"/>
                <w:tab w:val="left" w:pos="426"/>
              </w:tabs>
              <w:spacing w:line="288" w:lineRule="auto"/>
              <w:jc w:val="right"/>
              <w:rPr>
                <w:rFonts w:ascii="Times New Roman" w:hAnsi="Times New Roman" w:cs="Times New Roman"/>
                <w:sz w:val="16"/>
                <w:szCs w:val="16"/>
              </w:rPr>
            </w:pPr>
          </w:p>
        </w:tc>
      </w:tr>
      <w:tr w:rsidR="007A359B" w:rsidRPr="008922C6" w:rsidTr="000D48AD">
        <w:tc>
          <w:tcPr>
            <w:tcW w:w="304" w:type="pct"/>
            <w:shd w:val="clear" w:color="auto" w:fill="auto"/>
          </w:tcPr>
          <w:p w:rsidR="0014540A" w:rsidRPr="008922C6" w:rsidRDefault="0014540A" w:rsidP="003D469E">
            <w:pPr>
              <w:pStyle w:val="PlainText"/>
              <w:tabs>
                <w:tab w:val="left" w:pos="284"/>
                <w:tab w:val="left" w:pos="426"/>
              </w:tabs>
              <w:rPr>
                <w:rFonts w:ascii="Times New Roman" w:hAnsi="Times New Roman" w:cs="Times New Roman"/>
                <w:bCs/>
                <w:sz w:val="16"/>
                <w:szCs w:val="16"/>
              </w:rPr>
            </w:pPr>
            <w:r w:rsidRPr="008922C6">
              <w:rPr>
                <w:rFonts w:ascii="Times New Roman" w:hAnsi="Times New Roman" w:cs="Times New Roman"/>
                <w:bCs/>
                <w:sz w:val="16"/>
                <w:szCs w:val="16"/>
              </w:rPr>
              <w:t>Cons</w:t>
            </w:r>
            <w:r w:rsidR="00916276" w:rsidRPr="008922C6">
              <w:rPr>
                <w:rFonts w:ascii="Times New Roman" w:hAnsi="Times New Roman" w:cs="Times New Roman"/>
                <w:bCs/>
                <w:sz w:val="16"/>
                <w:szCs w:val="16"/>
              </w:rPr>
              <w:t>tant</w:t>
            </w:r>
          </w:p>
        </w:tc>
        <w:tc>
          <w:tcPr>
            <w:tcW w:w="280"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-0.2649**</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-1.5129**</w:t>
            </w:r>
          </w:p>
        </w:tc>
        <w:tc>
          <w:tcPr>
            <w:tcW w:w="280"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-0.0542</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-1.2933**</w:t>
            </w:r>
          </w:p>
        </w:tc>
        <w:tc>
          <w:tcPr>
            <w:tcW w:w="280"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-0.1664*</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-1.7212**</w:t>
            </w:r>
          </w:p>
        </w:tc>
        <w:tc>
          <w:tcPr>
            <w:tcW w:w="280"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0.0182</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-1.8462**</w:t>
            </w:r>
          </w:p>
        </w:tc>
        <w:tc>
          <w:tcPr>
            <w:tcW w:w="280"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0.2281**</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-1.8921**</w:t>
            </w:r>
          </w:p>
        </w:tc>
        <w:tc>
          <w:tcPr>
            <w:tcW w:w="280"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0.8434**</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-1.8107**</w:t>
            </w:r>
          </w:p>
        </w:tc>
        <w:tc>
          <w:tcPr>
            <w:tcW w:w="280"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1.3931**</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-2.1020**</w:t>
            </w:r>
          </w:p>
        </w:tc>
        <w:tc>
          <w:tcPr>
            <w:tcW w:w="280"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1.8551**</w:t>
            </w:r>
          </w:p>
        </w:tc>
        <w:tc>
          <w:tcPr>
            <w:tcW w:w="307" w:type="pct"/>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-1.9636**</w:t>
            </w:r>
          </w:p>
        </w:tc>
      </w:tr>
      <w:tr w:rsidR="007A359B" w:rsidRPr="008922C6" w:rsidTr="003D469E">
        <w:tc>
          <w:tcPr>
            <w:tcW w:w="304" w:type="pct"/>
            <w:shd w:val="clear" w:color="auto" w:fill="auto"/>
          </w:tcPr>
          <w:p w:rsidR="0014540A" w:rsidRPr="008922C6" w:rsidRDefault="0014540A" w:rsidP="003D469E">
            <w:pPr>
              <w:pStyle w:val="PlainText"/>
              <w:tabs>
                <w:tab w:val="left" w:pos="284"/>
                <w:tab w:val="left" w:pos="426"/>
              </w:tabs>
              <w:spacing w:after="240" w:line="288" w:lineRule="auto"/>
              <w:rPr>
                <w:rFonts w:ascii="Times New Roman" w:hAnsi="Times New Roman" w:cs="Times New Roman"/>
                <w:bCs/>
                <w:sz w:val="16"/>
                <w:szCs w:val="16"/>
              </w:rPr>
            </w:pP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(0.0891)</w:t>
            </w:r>
          </w:p>
        </w:tc>
        <w:tc>
          <w:tcPr>
            <w:tcW w:w="307" w:type="pct"/>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(0.0657)</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(0.0503)</w:t>
            </w:r>
          </w:p>
        </w:tc>
        <w:tc>
          <w:tcPr>
            <w:tcW w:w="307" w:type="pct"/>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(0.0406)</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(0.0797)</w:t>
            </w:r>
          </w:p>
        </w:tc>
        <w:tc>
          <w:tcPr>
            <w:tcW w:w="307" w:type="pct"/>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(0.0597)</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(0.0747)</w:t>
            </w:r>
          </w:p>
        </w:tc>
        <w:tc>
          <w:tcPr>
            <w:tcW w:w="307" w:type="pct"/>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(0.0636)</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(0.0864)</w:t>
            </w:r>
          </w:p>
        </w:tc>
        <w:tc>
          <w:tcPr>
            <w:tcW w:w="307" w:type="pct"/>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(0.0591)</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(0.1021)</w:t>
            </w:r>
          </w:p>
        </w:tc>
        <w:tc>
          <w:tcPr>
            <w:tcW w:w="307" w:type="pct"/>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(0.0581)</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(0.1520)</w:t>
            </w:r>
          </w:p>
        </w:tc>
        <w:tc>
          <w:tcPr>
            <w:tcW w:w="307" w:type="pct"/>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(0.0432)</w:t>
            </w:r>
          </w:p>
        </w:tc>
        <w:tc>
          <w:tcPr>
            <w:tcW w:w="280" w:type="pct"/>
            <w:tcBorders>
              <w:left w:val="nil"/>
              <w:right w:val="nil"/>
            </w:tcBorders>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(0.0466)</w:t>
            </w:r>
          </w:p>
        </w:tc>
        <w:tc>
          <w:tcPr>
            <w:tcW w:w="307" w:type="pct"/>
            <w:shd w:val="clear" w:color="auto" w:fill="auto"/>
          </w:tcPr>
          <w:p w:rsidR="0014540A" w:rsidRPr="008922C6" w:rsidRDefault="0014540A" w:rsidP="003D469E">
            <w:pPr>
              <w:pStyle w:val="PlainText"/>
              <w:tabs>
                <w:tab w:val="left" w:pos="284"/>
                <w:tab w:val="left" w:pos="426"/>
              </w:tabs>
              <w:spacing w:after="240" w:line="288" w:lineRule="auto"/>
              <w:jc w:val="right"/>
              <w:rPr>
                <w:rFonts w:ascii="Times New Roman" w:hAnsi="Times New Roman" w:cs="Times New Roman"/>
                <w:sz w:val="16"/>
                <w:szCs w:val="16"/>
              </w:rPr>
            </w:pPr>
            <w:r w:rsidRPr="008922C6">
              <w:rPr>
                <w:rFonts w:ascii="Times New Roman" w:hAnsi="Times New Roman" w:cs="Times New Roman"/>
                <w:sz w:val="16"/>
                <w:szCs w:val="16"/>
              </w:rPr>
              <w:t>(0.0501)</w:t>
            </w:r>
          </w:p>
        </w:tc>
      </w:tr>
      <w:tr w:rsidR="007A359B" w:rsidRPr="008922C6" w:rsidTr="003D469E">
        <w:trPr>
          <w:trHeight w:val="285"/>
        </w:trPr>
        <w:tc>
          <w:tcPr>
            <w:tcW w:w="304" w:type="pct"/>
            <w:shd w:val="clear" w:color="auto" w:fill="DBE5F1" w:themeFill="accent1" w:themeFillTint="33"/>
          </w:tcPr>
          <w:p w:rsidR="0014540A" w:rsidRPr="008922C6" w:rsidRDefault="0014540A" w:rsidP="003D469E">
            <w:pPr>
              <w:pStyle w:val="PlainText"/>
              <w:tabs>
                <w:tab w:val="left" w:pos="284"/>
                <w:tab w:val="left" w:pos="426"/>
              </w:tabs>
              <w:rPr>
                <w:rFonts w:ascii="Times New Roman" w:hAnsi="Times New Roman" w:cs="Times New Roman"/>
                <w:bCs/>
                <w:sz w:val="16"/>
                <w:szCs w:val="16"/>
              </w:rPr>
            </w:pPr>
            <w:r w:rsidRPr="008922C6">
              <w:rPr>
                <w:rFonts w:ascii="Times New Roman" w:hAnsi="Times New Roman" w:cs="Times New Roman"/>
                <w:bCs/>
                <w:sz w:val="16"/>
                <w:szCs w:val="16"/>
              </w:rPr>
              <w:t>rho</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0.3414**</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(0.0417)</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0.1476**</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(0.0331)</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0.28723**</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(0.0498)</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0.3099**</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(0.0490)</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0.3209**</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(0.0551)</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0.4208**</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(0.0699)</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0.4149**</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(0.1120)</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 xml:space="preserve">0.1974** </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(0.0360)</w:t>
            </w:r>
          </w:p>
        </w:tc>
      </w:tr>
      <w:tr w:rsidR="003D469E" w:rsidRPr="008922C6" w:rsidTr="003D469E">
        <w:trPr>
          <w:trHeight w:val="285"/>
        </w:trPr>
        <w:tc>
          <w:tcPr>
            <w:tcW w:w="304" w:type="pct"/>
            <w:shd w:val="clear" w:color="auto" w:fill="DBE5F1" w:themeFill="accent1" w:themeFillTint="33"/>
          </w:tcPr>
          <w:p w:rsidR="003D469E" w:rsidRPr="008922C6" w:rsidRDefault="003D469E" w:rsidP="003D469E">
            <w:pPr>
              <w:pStyle w:val="PlainText"/>
              <w:tabs>
                <w:tab w:val="left" w:pos="284"/>
                <w:tab w:val="left" w:pos="426"/>
              </w:tabs>
              <w:rPr>
                <w:rFonts w:ascii="Times New Roman" w:hAnsi="Times New Roman" w:cs="Times New Roman"/>
                <w:bCs/>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r>
      <w:tr w:rsidR="007A359B" w:rsidRPr="008922C6" w:rsidTr="003D469E">
        <w:trPr>
          <w:trHeight w:val="285"/>
        </w:trPr>
        <w:tc>
          <w:tcPr>
            <w:tcW w:w="304" w:type="pct"/>
            <w:shd w:val="clear" w:color="auto" w:fill="auto"/>
          </w:tcPr>
          <w:p w:rsidR="0014540A" w:rsidRPr="008922C6" w:rsidRDefault="0014540A" w:rsidP="003D469E">
            <w:pPr>
              <w:pStyle w:val="PlainText"/>
              <w:tabs>
                <w:tab w:val="left" w:pos="284"/>
                <w:tab w:val="left" w:pos="426"/>
              </w:tabs>
              <w:rPr>
                <w:rFonts w:ascii="Times New Roman" w:hAnsi="Times New Roman" w:cs="Times New Roman"/>
                <w:bCs/>
                <w:sz w:val="16"/>
                <w:szCs w:val="16"/>
              </w:rPr>
            </w:pPr>
            <w:r w:rsidRPr="008922C6">
              <w:rPr>
                <w:rFonts w:ascii="Times New Roman" w:hAnsi="Times New Roman" w:cs="Times New Roman"/>
                <w:bCs/>
                <w:sz w:val="16"/>
                <w:szCs w:val="16"/>
              </w:rPr>
              <w:t>Sigma</w:t>
            </w:r>
          </w:p>
        </w:tc>
        <w:tc>
          <w:tcPr>
            <w:tcW w:w="587" w:type="pct"/>
            <w:gridSpan w:val="2"/>
            <w:tcBorders>
              <w:left w:val="nil"/>
              <w:right w:val="nil"/>
            </w:tcBorders>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0.8345**</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(0.0196)</w:t>
            </w:r>
          </w:p>
        </w:tc>
        <w:tc>
          <w:tcPr>
            <w:tcW w:w="587" w:type="pct"/>
            <w:gridSpan w:val="2"/>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0.8123**</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(0.0072)</w:t>
            </w:r>
          </w:p>
        </w:tc>
        <w:tc>
          <w:tcPr>
            <w:tcW w:w="587" w:type="pct"/>
            <w:gridSpan w:val="2"/>
            <w:tcBorders>
              <w:left w:val="nil"/>
              <w:right w:val="nil"/>
            </w:tcBorders>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0.7082**</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(0.0111)</w:t>
            </w:r>
          </w:p>
        </w:tc>
        <w:tc>
          <w:tcPr>
            <w:tcW w:w="587" w:type="pct"/>
            <w:gridSpan w:val="2"/>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0.6610**</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(0.0096)</w:t>
            </w:r>
          </w:p>
        </w:tc>
        <w:tc>
          <w:tcPr>
            <w:tcW w:w="587" w:type="pct"/>
            <w:gridSpan w:val="2"/>
            <w:tcBorders>
              <w:left w:val="nil"/>
              <w:right w:val="nil"/>
            </w:tcBorders>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0.6780**</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(0.0115)</w:t>
            </w:r>
          </w:p>
        </w:tc>
        <w:tc>
          <w:tcPr>
            <w:tcW w:w="587" w:type="pct"/>
            <w:gridSpan w:val="2"/>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0.6078**</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(0.0159)</w:t>
            </w:r>
          </w:p>
        </w:tc>
        <w:tc>
          <w:tcPr>
            <w:tcW w:w="587" w:type="pct"/>
            <w:gridSpan w:val="2"/>
            <w:tcBorders>
              <w:left w:val="nil"/>
              <w:right w:val="nil"/>
            </w:tcBorders>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0.5473**</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(0.0204)</w:t>
            </w:r>
          </w:p>
        </w:tc>
        <w:tc>
          <w:tcPr>
            <w:tcW w:w="587" w:type="pct"/>
            <w:gridSpan w:val="2"/>
            <w:shd w:val="clear" w:color="auto" w:fill="auto"/>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0.5096**</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(0.0067)</w:t>
            </w:r>
          </w:p>
        </w:tc>
      </w:tr>
      <w:tr w:rsidR="003D469E" w:rsidRPr="008922C6" w:rsidTr="003D469E">
        <w:trPr>
          <w:trHeight w:val="285"/>
        </w:trPr>
        <w:tc>
          <w:tcPr>
            <w:tcW w:w="304" w:type="pct"/>
            <w:shd w:val="clear" w:color="auto" w:fill="auto"/>
          </w:tcPr>
          <w:p w:rsidR="003D469E" w:rsidRPr="008922C6" w:rsidRDefault="003D469E" w:rsidP="003D469E">
            <w:pPr>
              <w:pStyle w:val="PlainText"/>
              <w:tabs>
                <w:tab w:val="left" w:pos="284"/>
                <w:tab w:val="left" w:pos="426"/>
              </w:tabs>
              <w:rPr>
                <w:rFonts w:ascii="Times New Roman" w:hAnsi="Times New Roman" w:cs="Times New Roman"/>
                <w:bCs/>
                <w:sz w:val="16"/>
                <w:szCs w:val="16"/>
              </w:rPr>
            </w:pPr>
          </w:p>
        </w:tc>
        <w:tc>
          <w:tcPr>
            <w:tcW w:w="587" w:type="pct"/>
            <w:gridSpan w:val="2"/>
            <w:tcBorders>
              <w:left w:val="nil"/>
              <w:right w:val="nil"/>
            </w:tcBorders>
            <w:shd w:val="clear" w:color="auto" w:fill="auto"/>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auto"/>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tcBorders>
              <w:left w:val="nil"/>
              <w:right w:val="nil"/>
            </w:tcBorders>
            <w:shd w:val="clear" w:color="auto" w:fill="auto"/>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auto"/>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tcBorders>
              <w:left w:val="nil"/>
              <w:right w:val="nil"/>
            </w:tcBorders>
            <w:shd w:val="clear" w:color="auto" w:fill="auto"/>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auto"/>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tcBorders>
              <w:left w:val="nil"/>
              <w:right w:val="nil"/>
            </w:tcBorders>
            <w:shd w:val="clear" w:color="auto" w:fill="auto"/>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auto"/>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r>
      <w:tr w:rsidR="007A359B" w:rsidRPr="008922C6" w:rsidTr="003D469E">
        <w:trPr>
          <w:trHeight w:val="285"/>
        </w:trPr>
        <w:tc>
          <w:tcPr>
            <w:tcW w:w="304" w:type="pct"/>
            <w:shd w:val="clear" w:color="auto" w:fill="DBE5F1" w:themeFill="accent1" w:themeFillTint="33"/>
          </w:tcPr>
          <w:p w:rsidR="0014540A" w:rsidRPr="008922C6" w:rsidRDefault="0014540A" w:rsidP="003D469E">
            <w:pPr>
              <w:pStyle w:val="PlainText"/>
              <w:tabs>
                <w:tab w:val="left" w:pos="284"/>
                <w:tab w:val="left" w:pos="426"/>
              </w:tabs>
              <w:rPr>
                <w:rFonts w:ascii="Times New Roman" w:hAnsi="Times New Roman" w:cs="Times New Roman"/>
                <w:bCs/>
                <w:sz w:val="16"/>
                <w:szCs w:val="16"/>
              </w:rPr>
            </w:pPr>
            <w:r w:rsidRPr="008922C6">
              <w:rPr>
                <w:rFonts w:ascii="Times New Roman" w:hAnsi="Times New Roman" w:cs="Times New Roman"/>
                <w:bCs/>
                <w:sz w:val="16"/>
                <w:szCs w:val="16"/>
              </w:rPr>
              <w:t>Lambda(</w:t>
            </w:r>
            <w:r w:rsidRPr="008922C6">
              <w:rPr>
                <w:rFonts w:ascii="Symbol" w:hAnsi="Symbol" w:cs="Times New Roman"/>
                <w:bCs/>
                <w:sz w:val="16"/>
                <w:szCs w:val="16"/>
              </w:rPr>
              <w:t></w:t>
            </w:r>
            <w:r w:rsidRPr="008922C6">
              <w:rPr>
                <w:rFonts w:ascii="Times New Roman" w:hAnsi="Times New Roman" w:cs="Times New Roman"/>
                <w:bCs/>
                <w:sz w:val="16"/>
                <w:szCs w:val="16"/>
              </w:rPr>
              <w:t>)</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0.2850**</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(0.0380)</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0.1200**</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(0.0273)</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0.2035**</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(0.0372)</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0.2048**</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(0.0346)</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0.2176**</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(0.0400)</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0.2558**</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(0.0480)</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0.2271**</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(0.0693)</w:t>
            </w:r>
          </w:p>
        </w:tc>
        <w:tc>
          <w:tcPr>
            <w:tcW w:w="587" w:type="pct"/>
            <w:gridSpan w:val="2"/>
            <w:shd w:val="clear" w:color="auto" w:fill="DBE5F1" w:themeFill="accent1" w:themeFillTint="33"/>
          </w:tcPr>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0.1006**</w:t>
            </w:r>
          </w:p>
          <w:p w:rsidR="0014540A" w:rsidRPr="008922C6" w:rsidRDefault="0014540A"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(0.0188)</w:t>
            </w:r>
          </w:p>
        </w:tc>
      </w:tr>
      <w:tr w:rsidR="003D469E" w:rsidRPr="008922C6" w:rsidTr="003D469E">
        <w:trPr>
          <w:trHeight w:val="285"/>
        </w:trPr>
        <w:tc>
          <w:tcPr>
            <w:tcW w:w="304" w:type="pct"/>
            <w:shd w:val="clear" w:color="auto" w:fill="DBE5F1" w:themeFill="accent1" w:themeFillTint="33"/>
          </w:tcPr>
          <w:p w:rsidR="003D469E" w:rsidRPr="008922C6" w:rsidRDefault="003D469E" w:rsidP="003D469E">
            <w:pPr>
              <w:pStyle w:val="PlainText"/>
              <w:tabs>
                <w:tab w:val="left" w:pos="284"/>
                <w:tab w:val="left" w:pos="426"/>
              </w:tabs>
              <w:rPr>
                <w:rFonts w:ascii="Times New Roman" w:hAnsi="Times New Roman" w:cs="Times New Roman"/>
                <w:bCs/>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c>
          <w:tcPr>
            <w:tcW w:w="587" w:type="pct"/>
            <w:gridSpan w:val="2"/>
            <w:shd w:val="clear" w:color="auto" w:fill="DBE5F1" w:themeFill="accent1" w:themeFillTint="33"/>
          </w:tcPr>
          <w:p w:rsidR="003D469E" w:rsidRPr="008922C6" w:rsidRDefault="003D469E" w:rsidP="003D469E">
            <w:pPr>
              <w:pStyle w:val="PlainText"/>
              <w:tabs>
                <w:tab w:val="left" w:pos="284"/>
                <w:tab w:val="left" w:pos="426"/>
              </w:tabs>
              <w:jc w:val="right"/>
              <w:rPr>
                <w:rFonts w:ascii="Times New Roman" w:hAnsi="Times New Roman" w:cs="Times New Roman"/>
                <w:sz w:val="16"/>
                <w:szCs w:val="16"/>
              </w:rPr>
            </w:pPr>
          </w:p>
        </w:tc>
      </w:tr>
      <w:tr w:rsidR="007A359B" w:rsidRPr="008922C6" w:rsidTr="003D469E">
        <w:tc>
          <w:tcPr>
            <w:tcW w:w="304" w:type="pct"/>
            <w:shd w:val="clear" w:color="auto" w:fill="auto"/>
          </w:tcPr>
          <w:p w:rsidR="0014540A" w:rsidRPr="008922C6" w:rsidRDefault="0014540A" w:rsidP="005A2C59">
            <w:pPr>
              <w:pStyle w:val="PlainText"/>
              <w:tabs>
                <w:tab w:val="left" w:pos="284"/>
                <w:tab w:val="left" w:pos="426"/>
              </w:tabs>
              <w:spacing w:line="288" w:lineRule="auto"/>
              <w:rPr>
                <w:rFonts w:ascii="Times New Roman" w:hAnsi="Times New Roman" w:cs="Times New Roman"/>
                <w:bCs/>
                <w:sz w:val="16"/>
                <w:szCs w:val="16"/>
              </w:rPr>
            </w:pPr>
            <w:proofErr w:type="spellStart"/>
            <w:r w:rsidRPr="008922C6">
              <w:rPr>
                <w:rFonts w:ascii="Times New Roman" w:hAnsi="Times New Roman" w:cs="Times New Roman"/>
                <w:bCs/>
                <w:sz w:val="16"/>
                <w:szCs w:val="16"/>
              </w:rPr>
              <w:t>Prob</w:t>
            </w:r>
            <w:proofErr w:type="spellEnd"/>
            <w:r w:rsidRPr="008922C6">
              <w:rPr>
                <w:rFonts w:ascii="Times New Roman" w:hAnsi="Times New Roman" w:cs="Times New Roman"/>
                <w:bCs/>
                <w:sz w:val="16"/>
                <w:szCs w:val="16"/>
              </w:rPr>
              <w:t>&gt;F</w:t>
            </w:r>
            <w:r w:rsidRPr="008922C6">
              <w:rPr>
                <w:rFonts w:ascii="Symbol" w:hAnsi="Symbol" w:cs="Times New Roman"/>
                <w:bCs/>
                <w:sz w:val="16"/>
                <w:szCs w:val="16"/>
              </w:rPr>
              <w:t></w:t>
            </w: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0.0000</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0.0000</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0.0000</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0.0000</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0.0000</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0.0000</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0.0000</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c>
          <w:tcPr>
            <w:tcW w:w="280" w:type="pct"/>
            <w:tcBorders>
              <w:left w:val="nil"/>
              <w:right w:val="nil"/>
            </w:tcBorders>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r w:rsidRPr="008922C6">
              <w:rPr>
                <w:rFonts w:ascii="Times New Roman" w:hAnsi="Times New Roman" w:cs="Times New Roman"/>
                <w:sz w:val="16"/>
                <w:szCs w:val="16"/>
              </w:rPr>
              <w:t>0.0000</w:t>
            </w:r>
          </w:p>
        </w:tc>
        <w:tc>
          <w:tcPr>
            <w:tcW w:w="307" w:type="pct"/>
            <w:shd w:val="clear" w:color="auto" w:fill="auto"/>
          </w:tcPr>
          <w:p w:rsidR="0014540A" w:rsidRPr="008922C6" w:rsidRDefault="0014540A" w:rsidP="005A2C59">
            <w:pPr>
              <w:pStyle w:val="PlainText"/>
              <w:tabs>
                <w:tab w:val="left" w:pos="284"/>
                <w:tab w:val="left" w:pos="426"/>
              </w:tabs>
              <w:spacing w:line="288" w:lineRule="auto"/>
              <w:jc w:val="right"/>
              <w:rPr>
                <w:rFonts w:ascii="Times New Roman" w:hAnsi="Times New Roman" w:cs="Times New Roman"/>
                <w:sz w:val="16"/>
                <w:szCs w:val="16"/>
              </w:rPr>
            </w:pPr>
          </w:p>
        </w:tc>
      </w:tr>
      <w:tr w:rsidR="007A359B" w:rsidRPr="008922C6" w:rsidTr="003D469E">
        <w:tc>
          <w:tcPr>
            <w:tcW w:w="304" w:type="pct"/>
            <w:shd w:val="clear" w:color="auto" w:fill="DBE5F1" w:themeFill="accent1" w:themeFillTint="33"/>
          </w:tcPr>
          <w:p w:rsidR="007A359B" w:rsidRPr="008922C6" w:rsidRDefault="007A359B" w:rsidP="003D469E">
            <w:pPr>
              <w:pStyle w:val="PlainText"/>
              <w:tabs>
                <w:tab w:val="left" w:pos="284"/>
                <w:tab w:val="left" w:pos="426"/>
              </w:tabs>
              <w:rPr>
                <w:rFonts w:ascii="Times New Roman" w:hAnsi="Times New Roman" w:cs="Times New Roman"/>
                <w:bCs/>
                <w:sz w:val="16"/>
                <w:szCs w:val="16"/>
              </w:rPr>
            </w:pPr>
            <w:proofErr w:type="spellStart"/>
            <w:r w:rsidRPr="008922C6">
              <w:rPr>
                <w:rFonts w:ascii="Times New Roman" w:hAnsi="Times New Roman" w:cs="Times New Roman"/>
                <w:bCs/>
                <w:sz w:val="16"/>
                <w:szCs w:val="16"/>
              </w:rPr>
              <w:t>Obs</w:t>
            </w:r>
            <w:proofErr w:type="spellEnd"/>
          </w:p>
        </w:tc>
        <w:tc>
          <w:tcPr>
            <w:tcW w:w="280"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3,244</w:t>
            </w:r>
          </w:p>
        </w:tc>
        <w:tc>
          <w:tcPr>
            <w:tcW w:w="307"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20,627</w:t>
            </w:r>
          </w:p>
        </w:tc>
        <w:tc>
          <w:tcPr>
            <w:tcW w:w="280"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26,268</w:t>
            </w:r>
          </w:p>
        </w:tc>
        <w:tc>
          <w:tcPr>
            <w:tcW w:w="307"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80,575</w:t>
            </w:r>
          </w:p>
        </w:tc>
        <w:tc>
          <w:tcPr>
            <w:tcW w:w="280"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7,177</w:t>
            </w:r>
          </w:p>
        </w:tc>
        <w:tc>
          <w:tcPr>
            <w:tcW w:w="307"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20,866</w:t>
            </w:r>
          </w:p>
        </w:tc>
        <w:tc>
          <w:tcPr>
            <w:tcW w:w="280"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7,436</w:t>
            </w:r>
          </w:p>
        </w:tc>
        <w:tc>
          <w:tcPr>
            <w:tcW w:w="307"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21,209</w:t>
            </w:r>
          </w:p>
        </w:tc>
        <w:tc>
          <w:tcPr>
            <w:tcW w:w="280"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7,532</w:t>
            </w:r>
          </w:p>
        </w:tc>
        <w:tc>
          <w:tcPr>
            <w:tcW w:w="307"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21,311</w:t>
            </w:r>
          </w:p>
        </w:tc>
        <w:tc>
          <w:tcPr>
            <w:tcW w:w="280"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7,166</w:t>
            </w:r>
          </w:p>
        </w:tc>
        <w:tc>
          <w:tcPr>
            <w:tcW w:w="307"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21,630</w:t>
            </w:r>
          </w:p>
        </w:tc>
        <w:tc>
          <w:tcPr>
            <w:tcW w:w="280"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7,758</w:t>
            </w:r>
          </w:p>
        </w:tc>
        <w:tc>
          <w:tcPr>
            <w:tcW w:w="307"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31,150</w:t>
            </w:r>
          </w:p>
        </w:tc>
        <w:tc>
          <w:tcPr>
            <w:tcW w:w="280"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7,868</w:t>
            </w:r>
          </w:p>
        </w:tc>
        <w:tc>
          <w:tcPr>
            <w:tcW w:w="307" w:type="pct"/>
            <w:shd w:val="clear" w:color="auto" w:fill="DBE5F1" w:themeFill="accent1" w:themeFillTint="33"/>
          </w:tcPr>
          <w:p w:rsidR="007A359B" w:rsidRPr="008922C6" w:rsidRDefault="007A359B" w:rsidP="003D469E">
            <w:pPr>
              <w:pStyle w:val="PlainText"/>
              <w:tabs>
                <w:tab w:val="left" w:pos="284"/>
                <w:tab w:val="left" w:pos="426"/>
              </w:tabs>
              <w:jc w:val="right"/>
              <w:rPr>
                <w:rFonts w:ascii="Times New Roman" w:hAnsi="Times New Roman" w:cs="Times New Roman"/>
                <w:sz w:val="16"/>
                <w:szCs w:val="16"/>
              </w:rPr>
            </w:pPr>
            <w:r w:rsidRPr="008922C6">
              <w:rPr>
                <w:rFonts w:ascii="Times New Roman" w:hAnsi="Times New Roman" w:cs="Times New Roman"/>
                <w:sz w:val="16"/>
                <w:szCs w:val="16"/>
              </w:rPr>
              <w:t>30,721</w:t>
            </w:r>
          </w:p>
        </w:tc>
      </w:tr>
    </w:tbl>
    <w:p w:rsidR="00CF4142" w:rsidRDefault="00F93336" w:rsidP="005A2C59">
      <w:pPr>
        <w:pStyle w:val="PlainText"/>
        <w:tabs>
          <w:tab w:val="left" w:pos="284"/>
          <w:tab w:val="left" w:pos="426"/>
        </w:tabs>
        <w:spacing w:line="288" w:lineRule="auto"/>
        <w:rPr>
          <w:rFonts w:ascii="Times New Roman" w:hAnsi="Times New Roman" w:cs="Times New Roman"/>
          <w:i/>
        </w:rPr>
      </w:pPr>
      <w:r>
        <w:rPr>
          <w:rFonts w:ascii="Times New Roman" w:hAnsi="Times New Roman" w:cs="Times New Roman"/>
          <w:i/>
        </w:rPr>
        <w:t>Notes</w:t>
      </w:r>
    </w:p>
    <w:p w:rsidR="00F93336" w:rsidRDefault="008227F2" w:rsidP="005A2C59">
      <w:pPr>
        <w:pStyle w:val="PlainText"/>
        <w:tabs>
          <w:tab w:val="left" w:pos="284"/>
          <w:tab w:val="left" w:pos="426"/>
        </w:tabs>
        <w:spacing w:line="288" w:lineRule="auto"/>
        <w:rPr>
          <w:rFonts w:ascii="Times New Roman" w:hAnsi="Times New Roman" w:cs="Times New Roman"/>
        </w:rPr>
      </w:pPr>
      <w:proofErr w:type="gramStart"/>
      <w:r w:rsidRPr="00CF4142">
        <w:rPr>
          <w:rFonts w:ascii="Times New Roman" w:hAnsi="Times New Roman" w:cs="Times New Roman"/>
        </w:rPr>
        <w:t xml:space="preserve">Robust </w:t>
      </w:r>
      <w:r w:rsidR="005858CB" w:rsidRPr="00CF4142">
        <w:rPr>
          <w:rFonts w:ascii="Times New Roman" w:hAnsi="Times New Roman" w:cs="Times New Roman"/>
        </w:rPr>
        <w:t>s</w:t>
      </w:r>
      <w:r w:rsidR="005D74A2" w:rsidRPr="00CF4142">
        <w:rPr>
          <w:rFonts w:ascii="Times New Roman" w:hAnsi="Times New Roman" w:cs="Times New Roman"/>
        </w:rPr>
        <w:t>tandard errors in parentheses</w:t>
      </w:r>
      <w:r w:rsidR="00F93336">
        <w:rPr>
          <w:rFonts w:ascii="Times New Roman" w:hAnsi="Times New Roman" w:cs="Times New Roman"/>
        </w:rPr>
        <w:t>.</w:t>
      </w:r>
      <w:proofErr w:type="gramEnd"/>
      <w:r w:rsidR="005D74A2" w:rsidRPr="00CF4142">
        <w:rPr>
          <w:rFonts w:ascii="Times New Roman" w:hAnsi="Times New Roman" w:cs="Times New Roman"/>
        </w:rPr>
        <w:t xml:space="preserve"> </w:t>
      </w:r>
    </w:p>
    <w:p w:rsidR="00F93336" w:rsidRDefault="005D74A2" w:rsidP="005A2C59">
      <w:pPr>
        <w:pStyle w:val="PlainText"/>
        <w:tabs>
          <w:tab w:val="left" w:pos="284"/>
          <w:tab w:val="left" w:pos="426"/>
        </w:tabs>
        <w:spacing w:line="288" w:lineRule="auto"/>
        <w:rPr>
          <w:rFonts w:ascii="Times New Roman" w:hAnsi="Times New Roman" w:cs="Times New Roman"/>
        </w:rPr>
      </w:pPr>
      <w:r w:rsidRPr="00CF4142">
        <w:rPr>
          <w:rFonts w:ascii="Times New Roman" w:hAnsi="Times New Roman" w:cs="Times New Roman"/>
        </w:rPr>
        <w:t>*</w:t>
      </w:r>
      <w:r w:rsidR="00720138">
        <w:rPr>
          <w:rFonts w:ascii="Times New Roman" w:hAnsi="Times New Roman" w:cs="Times New Roman"/>
        </w:rPr>
        <w:tab/>
      </w:r>
      <w:r w:rsidRPr="00CF4142">
        <w:rPr>
          <w:rFonts w:ascii="Times New Roman" w:hAnsi="Times New Roman" w:cs="Times New Roman"/>
        </w:rPr>
        <w:t xml:space="preserve"> </w:t>
      </w:r>
      <w:proofErr w:type="gramStart"/>
      <w:r w:rsidRPr="00CF4142">
        <w:rPr>
          <w:rFonts w:ascii="Times New Roman" w:hAnsi="Times New Roman" w:cs="Times New Roman"/>
        </w:rPr>
        <w:t>signific</w:t>
      </w:r>
      <w:r w:rsidR="00F93336">
        <w:rPr>
          <w:rFonts w:ascii="Times New Roman" w:hAnsi="Times New Roman" w:cs="Times New Roman"/>
        </w:rPr>
        <w:t>ant</w:t>
      </w:r>
      <w:proofErr w:type="gramEnd"/>
      <w:r w:rsidR="00F93336">
        <w:rPr>
          <w:rFonts w:ascii="Times New Roman" w:hAnsi="Times New Roman" w:cs="Times New Roman"/>
        </w:rPr>
        <w:t xml:space="preserve"> at 5%</w:t>
      </w:r>
      <w:r w:rsidR="003427F0">
        <w:rPr>
          <w:rFonts w:ascii="Times New Roman" w:hAnsi="Times New Roman" w:cs="Times New Roman"/>
        </w:rPr>
        <w:t xml:space="preserve"> </w:t>
      </w:r>
    </w:p>
    <w:p w:rsidR="00F93336" w:rsidRDefault="00F93336" w:rsidP="005A2C59">
      <w:pPr>
        <w:pStyle w:val="PlainText"/>
        <w:tabs>
          <w:tab w:val="left" w:pos="284"/>
          <w:tab w:val="left" w:pos="426"/>
        </w:tabs>
        <w:spacing w:line="288" w:lineRule="auto"/>
        <w:rPr>
          <w:rFonts w:ascii="Times New Roman" w:hAnsi="Times New Roman" w:cs="Times New Roman"/>
        </w:rPr>
      </w:pPr>
      <w:r>
        <w:rPr>
          <w:rFonts w:ascii="Times New Roman" w:hAnsi="Times New Roman" w:cs="Times New Roman"/>
        </w:rPr>
        <w:t>**</w:t>
      </w:r>
      <w:r w:rsidR="00720138">
        <w:rPr>
          <w:rFonts w:ascii="Times New Roman" w:hAnsi="Times New Roman" w:cs="Times New Roman"/>
        </w:rPr>
        <w:tab/>
      </w:r>
      <w:r>
        <w:rPr>
          <w:rFonts w:ascii="Times New Roman" w:hAnsi="Times New Roman" w:cs="Times New Roman"/>
        </w:rPr>
        <w:t xml:space="preserve"> </w:t>
      </w:r>
      <w:proofErr w:type="gramStart"/>
      <w:r>
        <w:rPr>
          <w:rFonts w:ascii="Times New Roman" w:hAnsi="Times New Roman" w:cs="Times New Roman"/>
        </w:rPr>
        <w:t>significant</w:t>
      </w:r>
      <w:proofErr w:type="gramEnd"/>
      <w:r>
        <w:rPr>
          <w:rFonts w:ascii="Times New Roman" w:hAnsi="Times New Roman" w:cs="Times New Roman"/>
        </w:rPr>
        <w:t xml:space="preserve"> at 1%</w:t>
      </w:r>
      <w:r w:rsidR="005D74A2" w:rsidRPr="00CF4142">
        <w:rPr>
          <w:rFonts w:ascii="Times New Roman" w:hAnsi="Times New Roman" w:cs="Times New Roman"/>
        </w:rPr>
        <w:t xml:space="preserve"> </w:t>
      </w:r>
    </w:p>
    <w:p w:rsidR="0014540A" w:rsidRPr="00CF4142" w:rsidRDefault="005858CB" w:rsidP="005A2C59">
      <w:pPr>
        <w:pStyle w:val="PlainText"/>
        <w:tabs>
          <w:tab w:val="left" w:pos="284"/>
          <w:tab w:val="left" w:pos="426"/>
        </w:tabs>
        <w:spacing w:line="288" w:lineRule="auto"/>
        <w:rPr>
          <w:rFonts w:ascii="Times New Roman" w:hAnsi="Times New Roman" w:cs="Times New Roman"/>
        </w:rPr>
        <w:sectPr w:rsidR="0014540A" w:rsidRPr="00CF4142" w:rsidSect="00180DF1">
          <w:footnotePr>
            <w:numRestart w:val="eachSect"/>
          </w:footnotePr>
          <w:endnotePr>
            <w:numFmt w:val="decimal"/>
          </w:endnotePr>
          <w:pgSz w:w="16839" w:h="11907" w:orient="landscape" w:code="9"/>
          <w:pgMar w:top="1134" w:right="567" w:bottom="1134" w:left="794" w:header="720" w:footer="720" w:gutter="0"/>
          <w:pgNumType w:start="13"/>
          <w:cols w:space="720"/>
          <w:docGrid w:linePitch="360"/>
        </w:sectPr>
      </w:pPr>
      <w:r w:rsidRPr="00CF4142">
        <w:rPr>
          <w:rFonts w:ascii="Times New Roman" w:hAnsi="Times New Roman" w:cs="Times New Roman"/>
          <w:vertAlign w:val="superscript"/>
        </w:rPr>
        <w:t>(a)</w:t>
      </w:r>
      <w:r w:rsidRPr="00CF4142">
        <w:rPr>
          <w:rFonts w:ascii="Times New Roman" w:hAnsi="Times New Roman" w:cs="Times New Roman"/>
        </w:rPr>
        <w:t xml:space="preserve"> </w:t>
      </w:r>
      <w:r w:rsidR="00F93336">
        <w:rPr>
          <w:rFonts w:ascii="Times New Roman" w:hAnsi="Times New Roman" w:cs="Times New Roman"/>
        </w:rPr>
        <w:t>H</w:t>
      </w:r>
      <w:r w:rsidR="005D74A2" w:rsidRPr="00CF4142">
        <w:rPr>
          <w:rFonts w:ascii="Times New Roman" w:hAnsi="Times New Roman" w:cs="Times New Roman"/>
        </w:rPr>
        <w:t>ousehold non-wage income</w:t>
      </w:r>
      <w:r w:rsidRPr="00CF4142">
        <w:rPr>
          <w:rFonts w:ascii="Times New Roman" w:hAnsi="Times New Roman" w:cs="Times New Roman"/>
        </w:rPr>
        <w:t xml:space="preserve"> is</w:t>
      </w:r>
      <w:r w:rsidR="005D74A2" w:rsidRPr="00CF4142">
        <w:rPr>
          <w:rFonts w:ascii="Times New Roman" w:hAnsi="Times New Roman" w:cs="Times New Roman"/>
        </w:rPr>
        <w:t xml:space="preserve"> divided by 10,000</w:t>
      </w:r>
      <w:r w:rsidRPr="00CF4142">
        <w:rPr>
          <w:rFonts w:ascii="Times New Roman" w:hAnsi="Times New Roman" w:cs="Times New Roman"/>
        </w:rPr>
        <w:t>.</w:t>
      </w:r>
      <w:r w:rsidR="005D74A2" w:rsidRPr="00CF4142">
        <w:rPr>
          <w:rFonts w:ascii="Times New Roman" w:hAnsi="Times New Roman" w:cs="Times New Roman"/>
        </w:rPr>
        <w:tab/>
      </w:r>
      <w:r w:rsidR="005D74A2" w:rsidRPr="00CF4142">
        <w:rPr>
          <w:rFonts w:ascii="Times New Roman" w:hAnsi="Times New Roman" w:cs="Times New Roman"/>
        </w:rPr>
        <w:tab/>
      </w:r>
      <w:r w:rsidR="005D74A2" w:rsidRPr="00CF4142">
        <w:rPr>
          <w:rFonts w:ascii="Times New Roman" w:hAnsi="Times New Roman" w:cs="Times New Roman"/>
        </w:rPr>
        <w:tab/>
      </w:r>
      <w:r w:rsidR="005D74A2" w:rsidRPr="00CF4142">
        <w:rPr>
          <w:rFonts w:ascii="Times New Roman" w:hAnsi="Times New Roman" w:cs="Times New Roman"/>
        </w:rPr>
        <w:tab/>
      </w:r>
      <w:r w:rsidR="005D74A2" w:rsidRPr="00CF4142">
        <w:rPr>
          <w:rFonts w:ascii="Times New Roman" w:hAnsi="Times New Roman" w:cs="Times New Roman"/>
        </w:rPr>
        <w:tab/>
      </w:r>
      <w:r w:rsidR="005D74A2" w:rsidRPr="00CF4142">
        <w:rPr>
          <w:rFonts w:ascii="Times New Roman" w:hAnsi="Times New Roman" w:cs="Times New Roman"/>
        </w:rPr>
        <w:tab/>
      </w:r>
      <w:r w:rsidR="005D74A2" w:rsidRPr="00CF4142">
        <w:rPr>
          <w:rFonts w:ascii="Times New Roman" w:hAnsi="Times New Roman" w:cs="Times New Roman"/>
        </w:rPr>
        <w:tab/>
      </w:r>
      <w:r w:rsidR="005D74A2" w:rsidRPr="00CF4142">
        <w:rPr>
          <w:rFonts w:ascii="Times New Roman" w:hAnsi="Times New Roman" w:cs="Times New Roman"/>
        </w:rPr>
        <w:tab/>
      </w:r>
      <w:r w:rsidR="005D74A2" w:rsidRPr="00CF4142">
        <w:rPr>
          <w:rFonts w:ascii="Times New Roman" w:hAnsi="Times New Roman" w:cs="Times New Roman"/>
        </w:rPr>
        <w:tab/>
      </w:r>
    </w:p>
    <w:p w:rsidR="00DC3DD3" w:rsidRDefault="00DC3DD3" w:rsidP="00DC3DD3">
      <w:pPr>
        <w:widowControl w:val="0"/>
        <w:tabs>
          <w:tab w:val="left" w:pos="284"/>
          <w:tab w:val="left" w:pos="426"/>
        </w:tabs>
        <w:autoSpaceDE w:val="0"/>
        <w:autoSpaceDN w:val="0"/>
        <w:adjustRightInd w:val="0"/>
        <w:spacing w:line="288" w:lineRule="auto"/>
      </w:pPr>
      <w:r>
        <w:rPr>
          <w:b/>
          <w:bCs/>
        </w:rPr>
        <w:lastRenderedPageBreak/>
        <w:t>3.2 T</w:t>
      </w:r>
      <w:r w:rsidR="003D469E">
        <w:rPr>
          <w:b/>
          <w:bCs/>
        </w:rPr>
        <w:t>ests for the Declining Returns si</w:t>
      </w:r>
      <w:r>
        <w:rPr>
          <w:b/>
          <w:bCs/>
        </w:rPr>
        <w:t>nce 2008</w:t>
      </w:r>
    </w:p>
    <w:p w:rsidR="00DC3DD3" w:rsidRPr="002C46BA" w:rsidRDefault="00DC3DD3" w:rsidP="00DC3DD3">
      <w:pPr>
        <w:widowControl w:val="0"/>
        <w:tabs>
          <w:tab w:val="left" w:pos="284"/>
          <w:tab w:val="left" w:pos="426"/>
        </w:tabs>
        <w:overflowPunct w:val="0"/>
        <w:autoSpaceDE w:val="0"/>
        <w:autoSpaceDN w:val="0"/>
        <w:adjustRightInd w:val="0"/>
        <w:spacing w:line="288" w:lineRule="auto"/>
        <w:jc w:val="both"/>
        <w:rPr>
          <w:sz w:val="12"/>
          <w:szCs w:val="12"/>
        </w:rPr>
      </w:pPr>
    </w:p>
    <w:p w:rsidR="00DC3DD3" w:rsidRDefault="00DC3DD3" w:rsidP="00DC3DD3">
      <w:pPr>
        <w:widowControl w:val="0"/>
        <w:tabs>
          <w:tab w:val="left" w:pos="284"/>
          <w:tab w:val="left" w:pos="426"/>
        </w:tabs>
        <w:overflowPunct w:val="0"/>
        <w:autoSpaceDE w:val="0"/>
        <w:autoSpaceDN w:val="0"/>
        <w:adjustRightInd w:val="0"/>
        <w:spacing w:line="288" w:lineRule="auto"/>
        <w:jc w:val="both"/>
      </w:pPr>
      <w:r>
        <w:t>In a previous study, Doan and Gibson (2012) showed a robust upward trend of the returns to schooling from 1998 and 2008. In the current study</w:t>
      </w:r>
      <w:r w:rsidR="008B1867">
        <w:t>,</w:t>
      </w:r>
      <w:r>
        <w:t xml:space="preserve"> we also observe a consistent increasing trend of returns up to 2008. However, we observe that the trend started falling after 2008 (Tables 2 and 3). To validate the comparison</w:t>
      </w:r>
      <w:r w:rsidR="008B1867">
        <w:t>,</w:t>
      </w:r>
      <w:r>
        <w:t xml:space="preserve"> and consolidate the finding of falling returns after 2008, we use pooled data and the interaction terms discussed in Section 2. Specifically, we pooled VHLSS200</w:t>
      </w:r>
      <w:r w:rsidR="008B1867">
        <w:t>8 with, one after the other, VHLSS2010, VHLSS2012</w:t>
      </w:r>
      <w:r>
        <w:t xml:space="preserve"> and VHLSS2014 to set up pooled datasets.</w:t>
      </w:r>
    </w:p>
    <w:p w:rsidR="00DC3DD3" w:rsidRDefault="00DC3DD3" w:rsidP="005A2C59">
      <w:pPr>
        <w:widowControl w:val="0"/>
        <w:tabs>
          <w:tab w:val="left" w:pos="284"/>
          <w:tab w:val="left" w:pos="426"/>
        </w:tabs>
        <w:overflowPunct w:val="0"/>
        <w:autoSpaceDE w:val="0"/>
        <w:autoSpaceDN w:val="0"/>
        <w:adjustRightInd w:val="0"/>
        <w:spacing w:line="288" w:lineRule="auto"/>
        <w:jc w:val="both"/>
      </w:pPr>
    </w:p>
    <w:p w:rsidR="00933B5F" w:rsidRDefault="00DC3DD3" w:rsidP="005A2C59">
      <w:pPr>
        <w:widowControl w:val="0"/>
        <w:tabs>
          <w:tab w:val="left" w:pos="284"/>
          <w:tab w:val="left" w:pos="426"/>
        </w:tabs>
        <w:overflowPunct w:val="0"/>
        <w:autoSpaceDE w:val="0"/>
        <w:autoSpaceDN w:val="0"/>
        <w:adjustRightInd w:val="0"/>
        <w:spacing w:line="288" w:lineRule="auto"/>
        <w:jc w:val="both"/>
      </w:pPr>
      <w:r>
        <w:tab/>
      </w:r>
      <w:r w:rsidR="008B1867">
        <w:tab/>
      </w:r>
      <w:r w:rsidR="00F200B2">
        <w:t>T</w:t>
      </w:r>
      <w:r w:rsidR="00933B5F">
        <w:t xml:space="preserve">he interaction terms </w:t>
      </w:r>
      <w:r w:rsidR="008B1867">
        <w:t>are</w:t>
      </w:r>
      <w:r w:rsidR="00933B5F">
        <w:t xml:space="preserve"> </w:t>
      </w:r>
      <w:r w:rsidR="00F200B2">
        <w:t xml:space="preserve">used </w:t>
      </w:r>
      <w:r w:rsidR="00933B5F">
        <w:t xml:space="preserve">to test whether the returns to schooling are </w:t>
      </w:r>
      <w:r w:rsidR="00F200B2">
        <w:t xml:space="preserve">not significantly different </w:t>
      </w:r>
      <w:r w:rsidR="00D83CFA">
        <w:t xml:space="preserve">from zero </w:t>
      </w:r>
      <w:r w:rsidR="00933B5F">
        <w:t>over time. The hypothesis is that the slope of the hourly wage, in logarithm (</w:t>
      </w:r>
      <w:proofErr w:type="spellStart"/>
      <w:r w:rsidR="00933B5F">
        <w:rPr>
          <w:i/>
          <w:iCs/>
        </w:rPr>
        <w:t>lnY</w:t>
      </w:r>
      <w:proofErr w:type="spellEnd"/>
      <w:r w:rsidR="00933B5F">
        <w:t>), with respect to years of schooling (</w:t>
      </w:r>
      <w:r w:rsidR="00933B5F">
        <w:rPr>
          <w:i/>
          <w:iCs/>
        </w:rPr>
        <w:t>S</w:t>
      </w:r>
      <w:r w:rsidR="00933B5F">
        <w:t xml:space="preserve">) is the same for both </w:t>
      </w:r>
      <w:r w:rsidR="00F200B2">
        <w:t xml:space="preserve">base </w:t>
      </w:r>
      <w:r w:rsidR="00933B5F">
        <w:t>year</w:t>
      </w:r>
      <w:r w:rsidR="00F200B2">
        <w:t xml:space="preserve"> and the compar</w:t>
      </w:r>
      <w:r w:rsidR="00484979">
        <w:t>ed</w:t>
      </w:r>
      <w:r w:rsidR="00F200B2">
        <w:t xml:space="preserve"> year (</w:t>
      </w:r>
      <w:r w:rsidR="00933B5F">
        <w:t xml:space="preserve">the second year). </w:t>
      </w:r>
    </w:p>
    <w:p w:rsidR="006A7D38" w:rsidRDefault="006A7D38" w:rsidP="005A2C59">
      <w:pPr>
        <w:widowControl w:val="0"/>
        <w:tabs>
          <w:tab w:val="left" w:pos="284"/>
          <w:tab w:val="left" w:pos="426"/>
        </w:tabs>
        <w:overflowPunct w:val="0"/>
        <w:autoSpaceDE w:val="0"/>
        <w:autoSpaceDN w:val="0"/>
        <w:adjustRightInd w:val="0"/>
        <w:spacing w:line="288" w:lineRule="auto"/>
        <w:jc w:val="both"/>
      </w:pPr>
    </w:p>
    <w:p w:rsidR="002C46BA" w:rsidRDefault="002C46BA" w:rsidP="008B1867">
      <w:pPr>
        <w:widowControl w:val="0"/>
        <w:tabs>
          <w:tab w:val="left" w:pos="284"/>
          <w:tab w:val="left" w:pos="426"/>
        </w:tabs>
        <w:overflowPunct w:val="0"/>
        <w:autoSpaceDE w:val="0"/>
        <w:autoSpaceDN w:val="0"/>
        <w:adjustRightInd w:val="0"/>
        <w:spacing w:line="288" w:lineRule="auto"/>
        <w:jc w:val="both"/>
      </w:pPr>
      <w:r>
        <w:tab/>
      </w:r>
      <w:r>
        <w:tab/>
        <w:t xml:space="preserve">The OLS results of the pooled </w:t>
      </w:r>
      <w:proofErr w:type="spellStart"/>
      <w:r>
        <w:t>Mincerian</w:t>
      </w:r>
      <w:proofErr w:type="spellEnd"/>
      <w:r>
        <w:t xml:space="preserve"> earnings equation estimation are presented in Table 4. The first three columns are estimated rates of returns to schooling for 2008 (</w:t>
      </w:r>
      <w:r w:rsidRPr="008B1867">
        <w:rPr>
          <w:rFonts w:ascii="Symbol" w:hAnsi="Symbol"/>
          <w:i/>
        </w:rPr>
        <w:t></w:t>
      </w:r>
      <w:r>
        <w:rPr>
          <w:vertAlign w:val="subscript"/>
        </w:rPr>
        <w:t>1</w:t>
      </w:r>
      <w:r>
        <w:t>) and the interaction terms for the change in rate of returns between the base year 2008 and the comparison or the second year (</w:t>
      </w:r>
      <w:r w:rsidRPr="008B1867">
        <w:rPr>
          <w:rFonts w:ascii="Symbol" w:hAnsi="Symbol"/>
          <w:i/>
        </w:rPr>
        <w:t></w:t>
      </w:r>
      <w:r>
        <w:rPr>
          <w:vertAlign w:val="subscript"/>
        </w:rPr>
        <w:t>1</w:t>
      </w:r>
      <w:r>
        <w:t>). In the first column, the return to schooling for year 2008 is 9.46%, and the return for 2010 is 7.24% (or 9.46%</w:t>
      </w:r>
      <w:r w:rsidR="008B1867">
        <w:t xml:space="preserve"> </w:t>
      </w:r>
      <w:r>
        <w:t>-</w:t>
      </w:r>
      <w:r w:rsidR="008B1867">
        <w:t xml:space="preserve"> </w:t>
      </w:r>
      <w:r>
        <w:t>2.22%). In the second column, the return for 2012 is 6% (or 9.46%</w:t>
      </w:r>
      <w:r w:rsidR="008B1867">
        <w:t xml:space="preserve"> </w:t>
      </w:r>
      <w:r>
        <w:t>-</w:t>
      </w:r>
      <w:r w:rsidR="008B1867">
        <w:t xml:space="preserve"> </w:t>
      </w:r>
      <w:r>
        <w:t xml:space="preserve">3.46%). </w:t>
      </w:r>
      <w:r w:rsidR="008B1867">
        <w:t xml:space="preserve"> </w:t>
      </w:r>
      <w:r>
        <w:t>Likewise, the return for 2014 is 5.69% (or 9.46%</w:t>
      </w:r>
      <w:r w:rsidR="008B1867">
        <w:t xml:space="preserve"> </w:t>
      </w:r>
      <w:r>
        <w:t xml:space="preserve">-3.77%). The tests for difference in the returns between the compared year and the base year of 2008 are all statistically significant at the 1% level (the test for the hypothesis H: </w:t>
      </w:r>
      <w:r w:rsidRPr="008B1867">
        <w:rPr>
          <w:rFonts w:ascii="Symbol" w:hAnsi="Symbol"/>
          <w:i/>
        </w:rPr>
        <w:t></w:t>
      </w:r>
      <w:r w:rsidRPr="00A1786F">
        <w:rPr>
          <w:vertAlign w:val="subscript"/>
        </w:rPr>
        <w:t>1</w:t>
      </w:r>
      <w:r>
        <w:t xml:space="preserve">=0). These estimates show that the return is declining between 2008 and 2014. </w:t>
      </w:r>
    </w:p>
    <w:p w:rsidR="002C46BA" w:rsidRDefault="002C46BA" w:rsidP="005A2C59">
      <w:pPr>
        <w:widowControl w:val="0"/>
        <w:tabs>
          <w:tab w:val="left" w:pos="284"/>
          <w:tab w:val="left" w:pos="426"/>
        </w:tabs>
        <w:overflowPunct w:val="0"/>
        <w:autoSpaceDE w:val="0"/>
        <w:autoSpaceDN w:val="0"/>
        <w:adjustRightInd w:val="0"/>
        <w:spacing w:line="288" w:lineRule="auto"/>
        <w:jc w:val="both"/>
      </w:pPr>
    </w:p>
    <w:p w:rsidR="00A25676" w:rsidRDefault="00A25676" w:rsidP="00A25676">
      <w:pPr>
        <w:widowControl w:val="0"/>
        <w:tabs>
          <w:tab w:val="left" w:pos="284"/>
          <w:tab w:val="left" w:pos="426"/>
        </w:tabs>
        <w:overflowPunct w:val="0"/>
        <w:autoSpaceDE w:val="0"/>
        <w:autoSpaceDN w:val="0"/>
        <w:adjustRightInd w:val="0"/>
        <w:spacing w:line="288" w:lineRule="auto"/>
        <w:jc w:val="both"/>
      </w:pPr>
      <w:r>
        <w:tab/>
      </w:r>
      <w:r w:rsidR="008B1867">
        <w:tab/>
      </w:r>
      <w:r>
        <w:t>The estimates in columns 1, 4 and 5 of Table 4 enable us to test the pace of falling retu</w:t>
      </w:r>
      <w:r w:rsidR="008B1867">
        <w:t>rns to schooling across years. The p</w:t>
      </w:r>
      <w:r>
        <w:t xml:space="preserve">ace of the decline was 2.22% between 2008 and 2010, </w:t>
      </w:r>
      <w:r w:rsidR="008B1867">
        <w:t>1.24% between 2010 and 2012</w:t>
      </w:r>
      <w:r>
        <w:t xml:space="preserve"> and only 0.3% between 2012 and 2014 but the coefficient of the interaction term in column 5 is not statis</w:t>
      </w:r>
      <w:r w:rsidR="008B1867">
        <w:t xml:space="preserve">tically significant. This </w:t>
      </w:r>
      <w:r>
        <w:t xml:space="preserve">shows that the pace of the falling returns </w:t>
      </w:r>
      <w:r w:rsidR="008B1867">
        <w:t xml:space="preserve">has been slowing </w:t>
      </w:r>
      <w:r>
        <w:t xml:space="preserve">in recent years, and seems to pause in 2014. We repeat the test (H: </w:t>
      </w:r>
      <w:r w:rsidRPr="008B1867">
        <w:rPr>
          <w:rFonts w:ascii="Symbol" w:hAnsi="Symbol"/>
          <w:i/>
        </w:rPr>
        <w:t></w:t>
      </w:r>
      <w:r w:rsidRPr="00050694">
        <w:rPr>
          <w:vertAlign w:val="subscript"/>
        </w:rPr>
        <w:t>1</w:t>
      </w:r>
      <w:r>
        <w:t>=0) with Heckman selectio</w:t>
      </w:r>
      <w:r w:rsidR="008B1867">
        <w:t xml:space="preserve">n model estimation in Table 5.  Although </w:t>
      </w:r>
      <w:r w:rsidR="00684D0D">
        <w:t>the magnitude</w:t>
      </w:r>
      <w:r>
        <w:t xml:space="preserve"> of the interaction terms changed</w:t>
      </w:r>
      <w:r w:rsidR="008B1867">
        <w:t xml:space="preserve"> slightly</w:t>
      </w:r>
      <w:r>
        <w:t>, the declining trend is clear and consistent with the OLS estimates in Table 4.</w:t>
      </w:r>
    </w:p>
    <w:p w:rsidR="00A25676" w:rsidRDefault="00A25676">
      <w:pPr>
        <w:rPr>
          <w:rFonts w:eastAsia="SimSun"/>
          <w:b/>
          <w:szCs w:val="20"/>
          <w:lang w:eastAsia="zh-CN"/>
        </w:rPr>
      </w:pPr>
    </w:p>
    <w:p w:rsidR="00DC3DD3" w:rsidRDefault="00DC3DD3" w:rsidP="00DC3DD3">
      <w:pPr>
        <w:widowControl w:val="0"/>
        <w:tabs>
          <w:tab w:val="left" w:pos="284"/>
          <w:tab w:val="left" w:pos="426"/>
        </w:tabs>
        <w:overflowPunct w:val="0"/>
        <w:autoSpaceDE w:val="0"/>
        <w:autoSpaceDN w:val="0"/>
        <w:adjustRightInd w:val="0"/>
        <w:spacing w:line="288" w:lineRule="auto"/>
        <w:jc w:val="both"/>
      </w:pPr>
      <w:r>
        <w:tab/>
      </w:r>
      <w:r w:rsidR="008B1867">
        <w:tab/>
      </w:r>
      <w:r>
        <w:t>The estimate</w:t>
      </w:r>
      <w:r w:rsidR="008B1867">
        <w:t>s</w:t>
      </w:r>
      <w:r>
        <w:t xml:space="preserve"> on the interaction terms are all negative but </w:t>
      </w:r>
      <w:r w:rsidR="008B1867">
        <w:t>their</w:t>
      </w:r>
      <w:r>
        <w:t xml:space="preserve"> magnitude </w:t>
      </w:r>
      <w:r w:rsidR="008B1867">
        <w:t>becomes</w:t>
      </w:r>
      <w:r>
        <w:t xml:space="preserve"> smaller for later years (2012 and 2014) suggesting a clear trend of falling returns to schooling from 2008 to 2014. However, the pace of decline in the rates of returns </w:t>
      </w:r>
      <w:r w:rsidR="008B1867">
        <w:t xml:space="preserve">has </w:t>
      </w:r>
      <w:r>
        <w:t xml:space="preserve">slowed in recent years. The interaction term coefficient of schooling year and the second year for 2014 </w:t>
      </w:r>
      <w:r w:rsidR="008B1867">
        <w:t xml:space="preserve">is </w:t>
      </w:r>
      <w:r>
        <w:t xml:space="preserve">insignificantly different from zero, implying a trough may </w:t>
      </w:r>
      <w:r w:rsidR="008B1867">
        <w:t xml:space="preserve">have </w:t>
      </w:r>
      <w:r>
        <w:t>be</w:t>
      </w:r>
      <w:r w:rsidR="008B1867">
        <w:t>en</w:t>
      </w:r>
      <w:r>
        <w:t xml:space="preserve"> reached.</w:t>
      </w:r>
    </w:p>
    <w:p w:rsidR="00DC3DD3" w:rsidRDefault="00DC3DD3">
      <w:pPr>
        <w:rPr>
          <w:rFonts w:eastAsia="SimSun"/>
          <w:b/>
          <w:szCs w:val="20"/>
          <w:lang w:eastAsia="zh-CN"/>
        </w:rPr>
      </w:pPr>
    </w:p>
    <w:p w:rsidR="00DC3DD3" w:rsidRDefault="00DC3DD3">
      <w:pPr>
        <w:rPr>
          <w:rFonts w:eastAsia="SimSun"/>
          <w:b/>
          <w:szCs w:val="20"/>
          <w:lang w:eastAsia="zh-CN"/>
        </w:rPr>
      </w:pPr>
    </w:p>
    <w:p w:rsidR="00DC3DD3" w:rsidRDefault="00DC3DD3">
      <w:pPr>
        <w:rPr>
          <w:rFonts w:eastAsia="SimSun"/>
          <w:b/>
          <w:szCs w:val="20"/>
          <w:lang w:eastAsia="zh-CN"/>
        </w:rPr>
      </w:pPr>
    </w:p>
    <w:p w:rsidR="00A25676" w:rsidRDefault="00A25676">
      <w:pPr>
        <w:rPr>
          <w:rFonts w:eastAsia="SimSun"/>
          <w:b/>
          <w:szCs w:val="20"/>
          <w:lang w:eastAsia="zh-CN"/>
        </w:rPr>
      </w:pPr>
    </w:p>
    <w:p w:rsidR="008B1867" w:rsidRDefault="002C46BA" w:rsidP="002C46BA">
      <w:pPr>
        <w:pStyle w:val="PlainText"/>
        <w:tabs>
          <w:tab w:val="left" w:pos="284"/>
          <w:tab w:val="left" w:pos="426"/>
        </w:tabs>
        <w:spacing w:line="288" w:lineRule="auto"/>
        <w:jc w:val="center"/>
        <w:rPr>
          <w:rFonts w:ascii="Times New Roman" w:hAnsi="Times New Roman" w:cs="Times New Roman"/>
          <w:b/>
          <w:sz w:val="22"/>
          <w:szCs w:val="22"/>
        </w:rPr>
      </w:pPr>
      <w:r w:rsidRPr="00A25676">
        <w:rPr>
          <w:rFonts w:ascii="Times New Roman" w:hAnsi="Times New Roman" w:cs="Times New Roman"/>
          <w:b/>
          <w:sz w:val="22"/>
          <w:szCs w:val="22"/>
        </w:rPr>
        <w:lastRenderedPageBreak/>
        <w:t>Table 4: Testing the D</w:t>
      </w:r>
      <w:r w:rsidR="00014363" w:rsidRPr="00A25676">
        <w:rPr>
          <w:rFonts w:ascii="Times New Roman" w:hAnsi="Times New Roman" w:cs="Times New Roman"/>
          <w:b/>
          <w:sz w:val="22"/>
          <w:szCs w:val="22"/>
        </w:rPr>
        <w:t>ownw</w:t>
      </w:r>
      <w:r w:rsidRPr="00A25676">
        <w:rPr>
          <w:rFonts w:ascii="Times New Roman" w:hAnsi="Times New Roman" w:cs="Times New Roman"/>
          <w:b/>
          <w:sz w:val="22"/>
          <w:szCs w:val="22"/>
        </w:rPr>
        <w:t>ard Trend in Interaction Term R</w:t>
      </w:r>
      <w:r w:rsidR="00014363" w:rsidRPr="00A25676">
        <w:rPr>
          <w:rFonts w:ascii="Times New Roman" w:hAnsi="Times New Roman" w:cs="Times New Roman"/>
          <w:b/>
          <w:sz w:val="22"/>
          <w:szCs w:val="22"/>
        </w:rPr>
        <w:t xml:space="preserve">egressions </w:t>
      </w:r>
    </w:p>
    <w:p w:rsidR="00014363" w:rsidRPr="008B1867" w:rsidRDefault="00014363" w:rsidP="002C46BA">
      <w:pPr>
        <w:pStyle w:val="PlainText"/>
        <w:tabs>
          <w:tab w:val="left" w:pos="284"/>
          <w:tab w:val="left" w:pos="426"/>
        </w:tabs>
        <w:spacing w:line="288" w:lineRule="auto"/>
        <w:jc w:val="center"/>
        <w:rPr>
          <w:rFonts w:ascii="Times New Roman" w:hAnsi="Times New Roman" w:cs="Times New Roman"/>
          <w:sz w:val="22"/>
          <w:szCs w:val="22"/>
        </w:rPr>
      </w:pPr>
      <w:r w:rsidRPr="008B1867">
        <w:rPr>
          <w:rFonts w:ascii="Times New Roman" w:hAnsi="Times New Roman" w:cs="Times New Roman"/>
          <w:sz w:val="22"/>
          <w:szCs w:val="22"/>
        </w:rPr>
        <w:t>(OLS estimates)</w:t>
      </w:r>
    </w:p>
    <w:tbl>
      <w:tblPr>
        <w:tblW w:w="0" w:type="auto"/>
        <w:tblBorders>
          <w:top w:val="single" w:sz="12" w:space="0" w:color="000000"/>
          <w:bottom w:val="single" w:sz="12" w:space="0" w:color="000000"/>
        </w:tblBorders>
        <w:tblLook w:val="04A0" w:firstRow="1" w:lastRow="0" w:firstColumn="1" w:lastColumn="0" w:noHBand="0" w:noVBand="1"/>
      </w:tblPr>
      <w:tblGrid>
        <w:gridCol w:w="2494"/>
        <w:gridCol w:w="1349"/>
        <w:gridCol w:w="1350"/>
        <w:gridCol w:w="1350"/>
        <w:gridCol w:w="1350"/>
        <w:gridCol w:w="1350"/>
      </w:tblGrid>
      <w:tr w:rsidR="00014363" w:rsidRPr="00442C19" w:rsidTr="00A25676">
        <w:tc>
          <w:tcPr>
            <w:tcW w:w="2521" w:type="dxa"/>
            <w:tcBorders>
              <w:top w:val="single" w:sz="12" w:space="0" w:color="000000"/>
              <w:bottom w:val="single" w:sz="6" w:space="0" w:color="000000"/>
              <w:right w:val="nil"/>
            </w:tcBorders>
            <w:shd w:val="clear" w:color="auto" w:fill="auto"/>
          </w:tcPr>
          <w:p w:rsidR="00014363" w:rsidRPr="00B45A91" w:rsidRDefault="00014363" w:rsidP="00DC3DD3">
            <w:pPr>
              <w:pStyle w:val="PlainText"/>
              <w:tabs>
                <w:tab w:val="left" w:pos="284"/>
                <w:tab w:val="left" w:pos="426"/>
              </w:tabs>
              <w:spacing w:before="100" w:after="100" w:line="288" w:lineRule="auto"/>
              <w:rPr>
                <w:i/>
                <w:iCs/>
              </w:rPr>
            </w:pPr>
          </w:p>
        </w:tc>
        <w:tc>
          <w:tcPr>
            <w:tcW w:w="1410" w:type="dxa"/>
            <w:tcBorders>
              <w:left w:val="nil"/>
              <w:bottom w:val="single" w:sz="6" w:space="0" w:color="000000"/>
            </w:tcBorders>
            <w:shd w:val="clear" w:color="auto" w:fill="auto"/>
          </w:tcPr>
          <w:p w:rsidR="00014363" w:rsidRPr="002C46BA" w:rsidRDefault="00014363" w:rsidP="00DC3DD3">
            <w:pPr>
              <w:pStyle w:val="PlainText"/>
              <w:tabs>
                <w:tab w:val="left" w:pos="284"/>
                <w:tab w:val="left" w:pos="426"/>
              </w:tabs>
              <w:spacing w:before="100" w:after="100" w:line="288" w:lineRule="auto"/>
              <w:jc w:val="right"/>
              <w:rPr>
                <w:rFonts w:ascii="Times New Roman" w:hAnsi="Times New Roman" w:cs="Times New Roman"/>
                <w:iCs/>
              </w:rPr>
            </w:pPr>
            <w:r w:rsidRPr="002C46BA">
              <w:rPr>
                <w:rFonts w:ascii="Times New Roman" w:hAnsi="Times New Roman" w:cs="Times New Roman"/>
                <w:iCs/>
              </w:rPr>
              <w:t>2008/2010</w:t>
            </w:r>
          </w:p>
        </w:tc>
        <w:tc>
          <w:tcPr>
            <w:tcW w:w="1410" w:type="dxa"/>
            <w:tcBorders>
              <w:bottom w:val="single" w:sz="6" w:space="0" w:color="000000"/>
            </w:tcBorders>
            <w:shd w:val="clear" w:color="auto" w:fill="auto"/>
          </w:tcPr>
          <w:p w:rsidR="00014363" w:rsidRPr="002C46BA" w:rsidRDefault="00014363" w:rsidP="00DC3DD3">
            <w:pPr>
              <w:pStyle w:val="PlainText"/>
              <w:tabs>
                <w:tab w:val="left" w:pos="284"/>
                <w:tab w:val="left" w:pos="426"/>
              </w:tabs>
              <w:spacing w:before="100" w:after="100" w:line="288" w:lineRule="auto"/>
              <w:jc w:val="right"/>
              <w:rPr>
                <w:rFonts w:ascii="Times New Roman" w:hAnsi="Times New Roman" w:cs="Times New Roman"/>
                <w:iCs/>
              </w:rPr>
            </w:pPr>
            <w:r w:rsidRPr="002C46BA">
              <w:rPr>
                <w:rFonts w:ascii="Times New Roman" w:hAnsi="Times New Roman" w:cs="Times New Roman"/>
                <w:iCs/>
              </w:rPr>
              <w:t>2008/2012</w:t>
            </w:r>
          </w:p>
        </w:tc>
        <w:tc>
          <w:tcPr>
            <w:tcW w:w="1410" w:type="dxa"/>
            <w:tcBorders>
              <w:bottom w:val="single" w:sz="6" w:space="0" w:color="000000"/>
            </w:tcBorders>
            <w:shd w:val="clear" w:color="auto" w:fill="auto"/>
          </w:tcPr>
          <w:p w:rsidR="00014363" w:rsidRPr="002C46BA" w:rsidRDefault="00014363" w:rsidP="00DC3DD3">
            <w:pPr>
              <w:pStyle w:val="PlainText"/>
              <w:tabs>
                <w:tab w:val="left" w:pos="284"/>
                <w:tab w:val="left" w:pos="426"/>
              </w:tabs>
              <w:spacing w:before="100" w:after="100" w:line="288" w:lineRule="auto"/>
              <w:jc w:val="right"/>
              <w:rPr>
                <w:rFonts w:ascii="Times New Roman" w:hAnsi="Times New Roman" w:cs="Times New Roman"/>
                <w:iCs/>
              </w:rPr>
            </w:pPr>
            <w:r w:rsidRPr="002C46BA">
              <w:rPr>
                <w:rFonts w:ascii="Times New Roman" w:hAnsi="Times New Roman" w:cs="Times New Roman"/>
                <w:iCs/>
              </w:rPr>
              <w:t>2008/2014</w:t>
            </w:r>
          </w:p>
        </w:tc>
        <w:tc>
          <w:tcPr>
            <w:tcW w:w="1410" w:type="dxa"/>
            <w:tcBorders>
              <w:bottom w:val="single" w:sz="6" w:space="0" w:color="000000"/>
            </w:tcBorders>
            <w:shd w:val="clear" w:color="auto" w:fill="auto"/>
          </w:tcPr>
          <w:p w:rsidR="00014363" w:rsidRPr="002C46BA" w:rsidRDefault="00014363" w:rsidP="00DC3DD3">
            <w:pPr>
              <w:pStyle w:val="PlainText"/>
              <w:tabs>
                <w:tab w:val="left" w:pos="284"/>
                <w:tab w:val="left" w:pos="426"/>
              </w:tabs>
              <w:spacing w:before="100" w:after="100" w:line="288" w:lineRule="auto"/>
              <w:jc w:val="right"/>
              <w:rPr>
                <w:rFonts w:ascii="Times New Roman" w:hAnsi="Times New Roman" w:cs="Times New Roman"/>
                <w:iCs/>
              </w:rPr>
            </w:pPr>
            <w:r w:rsidRPr="002C46BA">
              <w:rPr>
                <w:rFonts w:ascii="Times New Roman" w:hAnsi="Times New Roman" w:cs="Times New Roman"/>
                <w:iCs/>
              </w:rPr>
              <w:t>2010/2012</w:t>
            </w:r>
          </w:p>
        </w:tc>
        <w:tc>
          <w:tcPr>
            <w:tcW w:w="1410" w:type="dxa"/>
            <w:tcBorders>
              <w:bottom w:val="single" w:sz="6" w:space="0" w:color="000000"/>
            </w:tcBorders>
            <w:shd w:val="clear" w:color="auto" w:fill="auto"/>
          </w:tcPr>
          <w:p w:rsidR="00014363" w:rsidRPr="002C46BA" w:rsidRDefault="00014363" w:rsidP="00DC3DD3">
            <w:pPr>
              <w:pStyle w:val="PlainText"/>
              <w:tabs>
                <w:tab w:val="left" w:pos="284"/>
                <w:tab w:val="left" w:pos="426"/>
              </w:tabs>
              <w:spacing w:before="100" w:after="100" w:line="288" w:lineRule="auto"/>
              <w:jc w:val="right"/>
              <w:rPr>
                <w:rFonts w:ascii="Times New Roman" w:hAnsi="Times New Roman" w:cs="Times New Roman"/>
                <w:iCs/>
              </w:rPr>
            </w:pPr>
            <w:r w:rsidRPr="002C46BA">
              <w:rPr>
                <w:rFonts w:ascii="Times New Roman" w:hAnsi="Times New Roman" w:cs="Times New Roman"/>
                <w:iCs/>
              </w:rPr>
              <w:t>2012/2014</w:t>
            </w:r>
          </w:p>
        </w:tc>
      </w:tr>
      <w:tr w:rsidR="00014363" w:rsidRPr="00442C19" w:rsidTr="00DC3DD3">
        <w:tc>
          <w:tcPr>
            <w:tcW w:w="2521" w:type="dxa"/>
            <w:tcBorders>
              <w:bottom w:val="nil"/>
              <w:right w:val="nil"/>
            </w:tcBorders>
            <w:shd w:val="clear" w:color="auto" w:fill="auto"/>
          </w:tcPr>
          <w:p w:rsidR="00014363" w:rsidRPr="00442C19" w:rsidRDefault="00014363" w:rsidP="00DC3DD3">
            <w:pPr>
              <w:pStyle w:val="PlainText"/>
              <w:tabs>
                <w:tab w:val="left" w:pos="284"/>
                <w:tab w:val="left" w:pos="426"/>
              </w:tabs>
              <w:spacing w:before="100" w:line="288" w:lineRule="auto"/>
            </w:pPr>
            <w:r w:rsidRPr="00B45A91">
              <w:rPr>
                <w:rFonts w:ascii="Times New Roman" w:hAnsi="Times New Roman" w:cs="Times New Roman"/>
              </w:rPr>
              <w:t>Second year dummy</w:t>
            </w:r>
            <w:r>
              <w:t>(</w:t>
            </w:r>
            <w:r w:rsidRPr="008B1867">
              <w:rPr>
                <w:rFonts w:ascii="Symbol" w:hAnsi="Symbol"/>
                <w:i/>
              </w:rPr>
              <w:t></w:t>
            </w:r>
            <w:r w:rsidRPr="00B45A91">
              <w:rPr>
                <w:rFonts w:ascii="Symbol" w:hAnsi="Symbol"/>
                <w:vertAlign w:val="subscript"/>
              </w:rPr>
              <w:t></w:t>
            </w:r>
            <w:r>
              <w:t>)</w:t>
            </w:r>
          </w:p>
        </w:tc>
        <w:tc>
          <w:tcPr>
            <w:tcW w:w="1410" w:type="dxa"/>
            <w:tcBorders>
              <w:left w:val="nil"/>
              <w:bottom w:val="nil"/>
            </w:tcBorders>
            <w:shd w:val="clear" w:color="auto" w:fill="auto"/>
          </w:tcPr>
          <w:p w:rsidR="00014363" w:rsidRPr="00B45A91" w:rsidRDefault="00014363" w:rsidP="00DC3DD3">
            <w:pPr>
              <w:pStyle w:val="PlainText"/>
              <w:tabs>
                <w:tab w:val="left" w:pos="284"/>
                <w:tab w:val="left" w:pos="426"/>
              </w:tabs>
              <w:spacing w:before="100" w:line="288" w:lineRule="auto"/>
              <w:jc w:val="right"/>
              <w:rPr>
                <w:rFonts w:ascii="Times New Roman" w:hAnsi="Times New Roman" w:cs="Times New Roman"/>
              </w:rPr>
            </w:pPr>
            <w:r w:rsidRPr="00B45A91">
              <w:rPr>
                <w:rFonts w:ascii="Times New Roman" w:hAnsi="Times New Roman" w:cs="Times New Roman"/>
              </w:rPr>
              <w:t>0.7060</w:t>
            </w:r>
          </w:p>
        </w:tc>
        <w:tc>
          <w:tcPr>
            <w:tcW w:w="1410" w:type="dxa"/>
            <w:tcBorders>
              <w:bottom w:val="nil"/>
            </w:tcBorders>
            <w:shd w:val="clear" w:color="auto" w:fill="auto"/>
          </w:tcPr>
          <w:p w:rsidR="00014363" w:rsidRPr="00B45A91" w:rsidRDefault="00014363" w:rsidP="00DC3DD3">
            <w:pPr>
              <w:pStyle w:val="PlainText"/>
              <w:tabs>
                <w:tab w:val="left" w:pos="284"/>
                <w:tab w:val="left" w:pos="426"/>
              </w:tabs>
              <w:spacing w:before="100" w:line="288" w:lineRule="auto"/>
              <w:jc w:val="right"/>
              <w:rPr>
                <w:rFonts w:ascii="Times New Roman" w:hAnsi="Times New Roman" w:cs="Times New Roman"/>
              </w:rPr>
            </w:pPr>
            <w:r w:rsidRPr="00B45A91">
              <w:rPr>
                <w:rFonts w:ascii="Times New Roman" w:hAnsi="Times New Roman" w:cs="Times New Roman"/>
              </w:rPr>
              <w:t>1.2278</w:t>
            </w:r>
          </w:p>
        </w:tc>
        <w:tc>
          <w:tcPr>
            <w:tcW w:w="1410" w:type="dxa"/>
            <w:tcBorders>
              <w:bottom w:val="nil"/>
            </w:tcBorders>
            <w:shd w:val="clear" w:color="auto" w:fill="auto"/>
          </w:tcPr>
          <w:p w:rsidR="00014363" w:rsidRPr="00B45A91" w:rsidRDefault="00014363" w:rsidP="00DC3DD3">
            <w:pPr>
              <w:pStyle w:val="PlainText"/>
              <w:tabs>
                <w:tab w:val="left" w:pos="284"/>
                <w:tab w:val="left" w:pos="426"/>
              </w:tabs>
              <w:spacing w:before="100" w:line="288" w:lineRule="auto"/>
              <w:jc w:val="right"/>
              <w:rPr>
                <w:rFonts w:ascii="Times New Roman" w:hAnsi="Times New Roman" w:cs="Times New Roman"/>
              </w:rPr>
            </w:pPr>
            <w:r w:rsidRPr="00B45A91">
              <w:rPr>
                <w:rFonts w:ascii="Times New Roman" w:hAnsi="Times New Roman" w:cs="Times New Roman"/>
              </w:rPr>
              <w:t>1.4194</w:t>
            </w:r>
          </w:p>
        </w:tc>
        <w:tc>
          <w:tcPr>
            <w:tcW w:w="1410" w:type="dxa"/>
            <w:tcBorders>
              <w:bottom w:val="nil"/>
            </w:tcBorders>
            <w:shd w:val="clear" w:color="auto" w:fill="auto"/>
          </w:tcPr>
          <w:p w:rsidR="00014363" w:rsidRPr="00B45A91" w:rsidRDefault="00014363" w:rsidP="00DC3DD3">
            <w:pPr>
              <w:pStyle w:val="PlainText"/>
              <w:tabs>
                <w:tab w:val="left" w:pos="284"/>
                <w:tab w:val="left" w:pos="426"/>
              </w:tabs>
              <w:spacing w:before="100" w:line="288" w:lineRule="auto"/>
              <w:jc w:val="right"/>
              <w:rPr>
                <w:rFonts w:ascii="Times New Roman" w:hAnsi="Times New Roman" w:cs="Times New Roman"/>
              </w:rPr>
            </w:pPr>
            <w:r w:rsidRPr="00B45A91">
              <w:rPr>
                <w:rFonts w:ascii="Times New Roman" w:hAnsi="Times New Roman" w:cs="Times New Roman"/>
              </w:rPr>
              <w:t>0.5218</w:t>
            </w:r>
          </w:p>
        </w:tc>
        <w:tc>
          <w:tcPr>
            <w:tcW w:w="1410" w:type="dxa"/>
            <w:tcBorders>
              <w:bottom w:val="nil"/>
            </w:tcBorders>
            <w:shd w:val="clear" w:color="auto" w:fill="auto"/>
          </w:tcPr>
          <w:p w:rsidR="00014363" w:rsidRPr="00B45A91" w:rsidRDefault="00014363" w:rsidP="00DC3DD3">
            <w:pPr>
              <w:pStyle w:val="PlainText"/>
              <w:tabs>
                <w:tab w:val="left" w:pos="284"/>
                <w:tab w:val="left" w:pos="426"/>
              </w:tabs>
              <w:spacing w:before="100" w:line="288" w:lineRule="auto"/>
              <w:jc w:val="right"/>
              <w:rPr>
                <w:rFonts w:ascii="Times New Roman" w:hAnsi="Times New Roman" w:cs="Times New Roman"/>
              </w:rPr>
            </w:pPr>
            <w:r w:rsidRPr="00B45A91">
              <w:rPr>
                <w:rFonts w:ascii="Times New Roman" w:hAnsi="Times New Roman" w:cs="Times New Roman"/>
              </w:rPr>
              <w:t>0.1916</w:t>
            </w: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(14.70)**</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(28.49)**</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(32.91)**</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(12.40)**</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(5.26)**</w:t>
            </w:r>
          </w:p>
        </w:tc>
      </w:tr>
      <w:tr w:rsidR="00DC3DD3" w:rsidRPr="00442C19" w:rsidTr="00DC3DD3">
        <w:tc>
          <w:tcPr>
            <w:tcW w:w="2521" w:type="dxa"/>
            <w:tcBorders>
              <w:top w:val="nil"/>
              <w:bottom w:val="nil"/>
              <w:right w:val="nil"/>
            </w:tcBorders>
            <w:shd w:val="clear" w:color="auto" w:fill="auto"/>
          </w:tcPr>
          <w:p w:rsidR="00DC3DD3" w:rsidRPr="00442C19" w:rsidRDefault="00DC3DD3" w:rsidP="005A2C59">
            <w:pPr>
              <w:pStyle w:val="PlainText"/>
              <w:tabs>
                <w:tab w:val="left" w:pos="284"/>
                <w:tab w:val="left" w:pos="426"/>
              </w:tabs>
              <w:spacing w:line="288" w:lineRule="auto"/>
            </w:pPr>
          </w:p>
        </w:tc>
        <w:tc>
          <w:tcPr>
            <w:tcW w:w="1410" w:type="dxa"/>
            <w:tcBorders>
              <w:top w:val="nil"/>
              <w:left w:val="nil"/>
              <w:bottom w:val="nil"/>
            </w:tcBorders>
            <w:shd w:val="clear" w:color="auto" w:fill="auto"/>
          </w:tcPr>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c>
          <w:tcPr>
            <w:tcW w:w="1410" w:type="dxa"/>
            <w:tcBorders>
              <w:top w:val="nil"/>
              <w:bottom w:val="nil"/>
            </w:tcBorders>
            <w:shd w:val="clear" w:color="auto" w:fill="auto"/>
          </w:tcPr>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c>
          <w:tcPr>
            <w:tcW w:w="1410" w:type="dxa"/>
            <w:tcBorders>
              <w:top w:val="nil"/>
              <w:bottom w:val="nil"/>
            </w:tcBorders>
            <w:shd w:val="clear" w:color="auto" w:fill="auto"/>
          </w:tcPr>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c>
          <w:tcPr>
            <w:tcW w:w="1410" w:type="dxa"/>
            <w:tcBorders>
              <w:top w:val="nil"/>
              <w:bottom w:val="nil"/>
            </w:tcBorders>
            <w:shd w:val="clear" w:color="auto" w:fill="auto"/>
          </w:tcPr>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c>
          <w:tcPr>
            <w:tcW w:w="1410" w:type="dxa"/>
            <w:tcBorders>
              <w:top w:val="nil"/>
              <w:bottom w:val="nil"/>
            </w:tcBorders>
            <w:shd w:val="clear" w:color="auto" w:fill="auto"/>
          </w:tcPr>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r w:rsidRPr="00B45A91">
              <w:rPr>
                <w:rFonts w:ascii="Times New Roman" w:hAnsi="Times New Roman" w:cs="Times New Roman"/>
              </w:rPr>
              <w:t>School year</w:t>
            </w:r>
            <w:r>
              <w:t>(</w:t>
            </w:r>
            <w:r w:rsidRPr="008B1867">
              <w:rPr>
                <w:rFonts w:ascii="Symbol" w:hAnsi="Symbol"/>
                <w:i/>
              </w:rPr>
              <w:t></w:t>
            </w:r>
            <w:r w:rsidRPr="00B45A91">
              <w:rPr>
                <w:vertAlign w:val="subscript"/>
              </w:rPr>
              <w:t>1</w:t>
            </w:r>
            <w:r>
              <w:t>)</w:t>
            </w: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0.0946</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0.0946</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0.0946</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0.0723</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0.0599</w:t>
            </w: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(39.62)**</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(39.62)**</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(39.62)**</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(35.88)**</w:t>
            </w:r>
          </w:p>
        </w:tc>
        <w:tc>
          <w:tcPr>
            <w:tcW w:w="1410" w:type="dxa"/>
            <w:tcBorders>
              <w:top w:val="nil"/>
              <w:bottom w:val="nil"/>
            </w:tcBorders>
            <w:shd w:val="clear" w:color="auto" w:fill="auto"/>
          </w:tcPr>
          <w:p w:rsidR="00014363"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(39.51)**</w:t>
            </w:r>
          </w:p>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r>
      <w:tr w:rsidR="00014363" w:rsidRPr="00442C19" w:rsidTr="00DC3DD3">
        <w:tc>
          <w:tcPr>
            <w:tcW w:w="2521" w:type="dxa"/>
            <w:vMerge w:val="restart"/>
            <w:tcBorders>
              <w:top w:val="nil"/>
              <w:bottom w:val="nil"/>
              <w:right w:val="nil"/>
            </w:tcBorders>
            <w:shd w:val="clear" w:color="auto" w:fill="C6D9F1"/>
          </w:tcPr>
          <w:p w:rsidR="00014363" w:rsidRPr="00B45A91" w:rsidRDefault="00014363" w:rsidP="005A2C59">
            <w:pPr>
              <w:pStyle w:val="PlainText"/>
              <w:tabs>
                <w:tab w:val="left" w:pos="284"/>
                <w:tab w:val="left" w:pos="426"/>
              </w:tabs>
              <w:spacing w:line="288" w:lineRule="auto"/>
              <w:rPr>
                <w:rFonts w:ascii="Times New Roman" w:hAnsi="Times New Roman" w:cs="Times New Roman"/>
              </w:rPr>
            </w:pPr>
            <w:r w:rsidRPr="00B45A91">
              <w:rPr>
                <w:rFonts w:ascii="Times New Roman" w:hAnsi="Times New Roman" w:cs="Times New Roman"/>
              </w:rPr>
              <w:t>School</w:t>
            </w:r>
            <w:r w:rsidR="003427F0">
              <w:rPr>
                <w:rFonts w:ascii="Times New Roman" w:hAnsi="Times New Roman" w:cs="Times New Roman"/>
              </w:rPr>
              <w:t xml:space="preserve"> </w:t>
            </w:r>
            <w:r w:rsidRPr="00B45A91">
              <w:rPr>
                <w:rFonts w:ascii="Times New Roman" w:hAnsi="Times New Roman" w:cs="Times New Roman"/>
              </w:rPr>
              <w:t>year</w:t>
            </w:r>
          </w:p>
          <w:p w:rsidR="00014363" w:rsidRPr="00442C19" w:rsidRDefault="00014363" w:rsidP="005A2C59">
            <w:pPr>
              <w:pStyle w:val="PlainText"/>
              <w:tabs>
                <w:tab w:val="left" w:pos="284"/>
                <w:tab w:val="left" w:pos="426"/>
              </w:tabs>
              <w:spacing w:line="288" w:lineRule="auto"/>
            </w:pPr>
            <w:r w:rsidRPr="00B45A91">
              <w:rPr>
                <w:rFonts w:ascii="Times New Roman" w:hAnsi="Times New Roman" w:cs="Times New Roman"/>
              </w:rPr>
              <w:t>*second year</w:t>
            </w:r>
            <w:r>
              <w:t>(</w:t>
            </w:r>
            <w:r w:rsidRPr="008B1867">
              <w:rPr>
                <w:rFonts w:ascii="Symbol" w:hAnsi="Symbol"/>
                <w:i/>
              </w:rPr>
              <w:t></w:t>
            </w:r>
            <w:r w:rsidRPr="00B45A91">
              <w:rPr>
                <w:rFonts w:ascii="Symbol" w:hAnsi="Symbol"/>
                <w:vertAlign w:val="subscript"/>
              </w:rPr>
              <w:t></w:t>
            </w:r>
            <w:r>
              <w:t>)</w:t>
            </w:r>
          </w:p>
        </w:tc>
        <w:tc>
          <w:tcPr>
            <w:tcW w:w="1410" w:type="dxa"/>
            <w:tcBorders>
              <w:top w:val="nil"/>
              <w:left w:val="nil"/>
              <w:bottom w:val="nil"/>
            </w:tcBorders>
            <w:shd w:val="clear" w:color="auto" w:fill="C6D9F1"/>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-0.0222</w:t>
            </w:r>
          </w:p>
        </w:tc>
        <w:tc>
          <w:tcPr>
            <w:tcW w:w="1410" w:type="dxa"/>
            <w:tcBorders>
              <w:top w:val="nil"/>
              <w:bottom w:val="nil"/>
            </w:tcBorders>
            <w:shd w:val="clear" w:color="auto" w:fill="C6D9F1"/>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-0.0346</w:t>
            </w:r>
          </w:p>
        </w:tc>
        <w:tc>
          <w:tcPr>
            <w:tcW w:w="1410" w:type="dxa"/>
            <w:tcBorders>
              <w:top w:val="nil"/>
              <w:bottom w:val="nil"/>
            </w:tcBorders>
            <w:shd w:val="clear" w:color="auto" w:fill="C6D9F1"/>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-0.0377</w:t>
            </w:r>
          </w:p>
        </w:tc>
        <w:tc>
          <w:tcPr>
            <w:tcW w:w="1410" w:type="dxa"/>
            <w:tcBorders>
              <w:top w:val="nil"/>
              <w:bottom w:val="nil"/>
            </w:tcBorders>
            <w:shd w:val="clear" w:color="auto" w:fill="C6D9F1"/>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-0.0124</w:t>
            </w:r>
          </w:p>
        </w:tc>
        <w:tc>
          <w:tcPr>
            <w:tcW w:w="1410" w:type="dxa"/>
            <w:tcBorders>
              <w:top w:val="nil"/>
              <w:bottom w:val="nil"/>
            </w:tcBorders>
            <w:shd w:val="clear" w:color="auto" w:fill="C6D9F1"/>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-0.0030</w:t>
            </w:r>
          </w:p>
        </w:tc>
      </w:tr>
      <w:tr w:rsidR="00014363" w:rsidRPr="00442C19" w:rsidTr="00DC3DD3">
        <w:tc>
          <w:tcPr>
            <w:tcW w:w="2521" w:type="dxa"/>
            <w:vMerge/>
            <w:tcBorders>
              <w:top w:val="nil"/>
              <w:bottom w:val="nil"/>
              <w:right w:val="nil"/>
            </w:tcBorders>
            <w:shd w:val="clear" w:color="auto" w:fill="C6D9F1"/>
          </w:tcPr>
          <w:p w:rsidR="00014363" w:rsidRPr="00442C19" w:rsidRDefault="00014363" w:rsidP="005A2C59">
            <w:pPr>
              <w:pStyle w:val="PlainText"/>
              <w:tabs>
                <w:tab w:val="left" w:pos="284"/>
                <w:tab w:val="left" w:pos="426"/>
              </w:tabs>
              <w:spacing w:line="288" w:lineRule="auto"/>
            </w:pPr>
          </w:p>
        </w:tc>
        <w:tc>
          <w:tcPr>
            <w:tcW w:w="1410" w:type="dxa"/>
            <w:tcBorders>
              <w:top w:val="nil"/>
              <w:left w:val="nil"/>
              <w:bottom w:val="nil"/>
            </w:tcBorders>
            <w:shd w:val="clear" w:color="auto" w:fill="C6D9F1"/>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(7.12)**</w:t>
            </w:r>
          </w:p>
        </w:tc>
        <w:tc>
          <w:tcPr>
            <w:tcW w:w="1410" w:type="dxa"/>
            <w:tcBorders>
              <w:top w:val="nil"/>
              <w:bottom w:val="nil"/>
            </w:tcBorders>
            <w:shd w:val="clear" w:color="auto" w:fill="C6D9F1"/>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(12.25)**</w:t>
            </w:r>
          </w:p>
        </w:tc>
        <w:tc>
          <w:tcPr>
            <w:tcW w:w="1410" w:type="dxa"/>
            <w:tcBorders>
              <w:top w:val="nil"/>
              <w:bottom w:val="nil"/>
            </w:tcBorders>
            <w:shd w:val="clear" w:color="auto" w:fill="C6D9F1"/>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(13.63)**</w:t>
            </w:r>
          </w:p>
        </w:tc>
        <w:tc>
          <w:tcPr>
            <w:tcW w:w="1410" w:type="dxa"/>
            <w:tcBorders>
              <w:top w:val="nil"/>
              <w:bottom w:val="nil"/>
            </w:tcBorders>
            <w:shd w:val="clear" w:color="auto" w:fill="C6D9F1"/>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(4.92)**</w:t>
            </w:r>
          </w:p>
        </w:tc>
        <w:tc>
          <w:tcPr>
            <w:tcW w:w="1410" w:type="dxa"/>
            <w:tcBorders>
              <w:top w:val="nil"/>
              <w:bottom w:val="nil"/>
            </w:tcBorders>
            <w:shd w:val="clear" w:color="auto" w:fill="C6D9F1"/>
          </w:tcPr>
          <w:p w:rsidR="00014363"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(1.47)</w:t>
            </w:r>
          </w:p>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proofErr w:type="spellStart"/>
            <w:r w:rsidRPr="00B45A91">
              <w:rPr>
                <w:rFonts w:ascii="Times New Roman" w:hAnsi="Times New Roman" w:cs="Times New Roman"/>
              </w:rPr>
              <w:t>Exp</w:t>
            </w:r>
            <w:proofErr w:type="spellEnd"/>
            <w:r>
              <w:t>(</w:t>
            </w:r>
            <w:r w:rsidRPr="008B1867">
              <w:rPr>
                <w:rFonts w:ascii="Symbol" w:hAnsi="Symbol"/>
                <w:i/>
              </w:rPr>
              <w:t></w:t>
            </w:r>
            <w:r w:rsidRPr="00B45A91">
              <w:rPr>
                <w:vertAlign w:val="subscript"/>
              </w:rPr>
              <w:t>2</w:t>
            </w:r>
            <w:r>
              <w:t>)</w:t>
            </w: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0.0400</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0.0400</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0.0400</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0.0418</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0.0406</w:t>
            </w: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(13.97)**</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(13.97)**</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(13.97)**</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(16.15)**</w:t>
            </w:r>
          </w:p>
        </w:tc>
        <w:tc>
          <w:tcPr>
            <w:tcW w:w="1410" w:type="dxa"/>
            <w:tcBorders>
              <w:top w:val="nil"/>
              <w:bottom w:val="nil"/>
            </w:tcBorders>
            <w:shd w:val="clear" w:color="auto" w:fill="auto"/>
          </w:tcPr>
          <w:p w:rsidR="00014363"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(17.01)**</w:t>
            </w:r>
          </w:p>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proofErr w:type="spellStart"/>
            <w:r w:rsidRPr="00B45A91">
              <w:rPr>
                <w:rFonts w:ascii="Times New Roman" w:hAnsi="Times New Roman" w:cs="Times New Roman"/>
              </w:rPr>
              <w:t>Exp</w:t>
            </w:r>
            <w:proofErr w:type="spellEnd"/>
            <w:r>
              <w:t>*</w:t>
            </w:r>
            <w:r w:rsidRPr="00B45A91">
              <w:rPr>
                <w:rFonts w:ascii="Times New Roman" w:hAnsi="Times New Roman" w:cs="Times New Roman"/>
              </w:rPr>
              <w:t>second year</w:t>
            </w:r>
            <w:r>
              <w:t>(</w:t>
            </w:r>
            <w:r w:rsidRPr="008B1867">
              <w:rPr>
                <w:rFonts w:ascii="Symbol" w:hAnsi="Symbol"/>
                <w:i/>
              </w:rPr>
              <w:t></w:t>
            </w:r>
            <w:r w:rsidRPr="00B45A91">
              <w:rPr>
                <w:rFonts w:ascii="Symbol" w:hAnsi="Symbol"/>
                <w:vertAlign w:val="subscript"/>
              </w:rPr>
              <w:t></w:t>
            </w:r>
            <w:r>
              <w:t>)</w:t>
            </w: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0.0018</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0.0005</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0.0054</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-0.0012</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0.0048</w:t>
            </w: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(0.46)</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(0.14)</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(1.51)</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(0.35)</w:t>
            </w:r>
          </w:p>
        </w:tc>
        <w:tc>
          <w:tcPr>
            <w:tcW w:w="1410" w:type="dxa"/>
            <w:tcBorders>
              <w:top w:val="nil"/>
              <w:bottom w:val="nil"/>
            </w:tcBorders>
            <w:shd w:val="clear" w:color="auto" w:fill="auto"/>
          </w:tcPr>
          <w:p w:rsidR="00014363"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(1.51)</w:t>
            </w:r>
          </w:p>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r w:rsidRPr="00B45A91">
              <w:rPr>
                <w:rFonts w:ascii="Times New Roman" w:hAnsi="Times New Roman" w:cs="Times New Roman"/>
              </w:rPr>
              <w:t>Exp2</w:t>
            </w:r>
            <w:r>
              <w:t>(</w:t>
            </w:r>
            <w:r w:rsidRPr="008B1867">
              <w:rPr>
                <w:rFonts w:ascii="Symbol" w:hAnsi="Symbol"/>
                <w:i/>
              </w:rPr>
              <w:t></w:t>
            </w:r>
            <w:r w:rsidRPr="00B45A91">
              <w:rPr>
                <w:vertAlign w:val="subscript"/>
              </w:rPr>
              <w:t>2</w:t>
            </w:r>
            <w:r>
              <w:t>)</w:t>
            </w: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-0.0010</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-0.0010</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-0.0010</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-0.0009</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-0.0009</w:t>
            </w: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(12.22)**</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(12.22)**</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(12.22)**</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(13.63)**</w:t>
            </w:r>
          </w:p>
        </w:tc>
        <w:tc>
          <w:tcPr>
            <w:tcW w:w="1410" w:type="dxa"/>
            <w:tcBorders>
              <w:top w:val="nil"/>
              <w:bottom w:val="nil"/>
            </w:tcBorders>
            <w:shd w:val="clear" w:color="auto" w:fill="auto"/>
          </w:tcPr>
          <w:p w:rsidR="00014363"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(14.29)**</w:t>
            </w:r>
          </w:p>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r w:rsidRPr="00B45A91">
              <w:rPr>
                <w:rFonts w:ascii="Times New Roman" w:hAnsi="Times New Roman" w:cs="Times New Roman"/>
              </w:rPr>
              <w:t>Exp2</w:t>
            </w:r>
            <w:r>
              <w:t>*</w:t>
            </w:r>
            <w:r w:rsidRPr="00B45A91">
              <w:rPr>
                <w:rFonts w:ascii="Times New Roman" w:hAnsi="Times New Roman" w:cs="Times New Roman"/>
              </w:rPr>
              <w:t>second year</w:t>
            </w:r>
            <w:r>
              <w:t>(</w:t>
            </w:r>
            <w:r w:rsidRPr="008B1867">
              <w:rPr>
                <w:rFonts w:ascii="Symbol" w:hAnsi="Symbol"/>
                <w:i/>
              </w:rPr>
              <w:t></w:t>
            </w:r>
            <w:r w:rsidRPr="00B45A91">
              <w:rPr>
                <w:rFonts w:ascii="Symbol" w:hAnsi="Symbol"/>
                <w:vertAlign w:val="subscript"/>
              </w:rPr>
              <w:t></w:t>
            </w:r>
            <w:r>
              <w:t>)</w:t>
            </w: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0.0001</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0.0001</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0.0000</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0.0000</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-0.0001</w:t>
            </w: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(0.49)</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(0.93)</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(0.11)</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(0.46)</w:t>
            </w:r>
          </w:p>
        </w:tc>
        <w:tc>
          <w:tcPr>
            <w:tcW w:w="1410" w:type="dxa"/>
            <w:tcBorders>
              <w:top w:val="nil"/>
              <w:bottom w:val="nil"/>
            </w:tcBorders>
            <w:shd w:val="clear" w:color="auto" w:fill="auto"/>
          </w:tcPr>
          <w:p w:rsidR="00014363"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(1.01)</w:t>
            </w:r>
          </w:p>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r w:rsidRPr="00B45A91">
              <w:rPr>
                <w:rFonts w:ascii="Times New Roman" w:hAnsi="Times New Roman" w:cs="Times New Roman"/>
              </w:rPr>
              <w:t>Sex</w:t>
            </w:r>
            <w:r>
              <w:t>(</w:t>
            </w:r>
            <w:r w:rsidRPr="008B1867">
              <w:rPr>
                <w:rFonts w:ascii="Symbol" w:hAnsi="Symbol"/>
                <w:i/>
              </w:rPr>
              <w:t></w:t>
            </w:r>
            <w:r w:rsidRPr="00B45A91">
              <w:rPr>
                <w:vertAlign w:val="subscript"/>
              </w:rPr>
              <w:t>3</w:t>
            </w:r>
            <w:r>
              <w:t>)</w:t>
            </w: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0.1818</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0.1818</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0.1818</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0.1675</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0.1794</w:t>
            </w: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(10.14)**</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(10.14)**</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(10.14)**</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(10.07)**</w:t>
            </w:r>
          </w:p>
        </w:tc>
        <w:tc>
          <w:tcPr>
            <w:tcW w:w="1410" w:type="dxa"/>
            <w:tcBorders>
              <w:top w:val="nil"/>
              <w:bottom w:val="nil"/>
            </w:tcBorders>
            <w:shd w:val="clear" w:color="auto" w:fill="auto"/>
          </w:tcPr>
          <w:p w:rsidR="00014363"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(13.04)**</w:t>
            </w:r>
          </w:p>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r w:rsidRPr="00B45A91">
              <w:rPr>
                <w:rFonts w:ascii="Times New Roman" w:hAnsi="Times New Roman" w:cs="Times New Roman"/>
              </w:rPr>
              <w:t>Sex*school year</w:t>
            </w:r>
            <w:r>
              <w:t>(</w:t>
            </w:r>
            <w:r w:rsidRPr="008B1867">
              <w:rPr>
                <w:rFonts w:ascii="Symbol" w:hAnsi="Symbol"/>
                <w:i/>
              </w:rPr>
              <w:t></w:t>
            </w:r>
            <w:r w:rsidRPr="00B45A91">
              <w:rPr>
                <w:rFonts w:ascii="Symbol" w:hAnsi="Symbol"/>
                <w:vertAlign w:val="subscript"/>
              </w:rPr>
              <w:t></w:t>
            </w:r>
            <w:r>
              <w:t>)</w:t>
            </w: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-0.0144</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-0.0025</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-0.0648</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0.0119</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-0.0623</w:t>
            </w: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(0.59)</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(0.11)</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(2.83)**</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(0.55)</w:t>
            </w:r>
          </w:p>
        </w:tc>
        <w:tc>
          <w:tcPr>
            <w:tcW w:w="1410" w:type="dxa"/>
            <w:tcBorders>
              <w:top w:val="nil"/>
              <w:bottom w:val="nil"/>
            </w:tcBorders>
            <w:shd w:val="clear" w:color="auto" w:fill="auto"/>
          </w:tcPr>
          <w:p w:rsidR="00014363"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(3.15)**</w:t>
            </w:r>
          </w:p>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r>
      <w:tr w:rsidR="00014363" w:rsidRPr="00442C19" w:rsidTr="00DC3DD3">
        <w:tc>
          <w:tcPr>
            <w:tcW w:w="2521" w:type="dxa"/>
            <w:tcBorders>
              <w:top w:val="nil"/>
              <w:bottom w:val="nil"/>
              <w:right w:val="nil"/>
            </w:tcBorders>
            <w:shd w:val="clear" w:color="auto" w:fill="auto"/>
          </w:tcPr>
          <w:p w:rsidR="00014363" w:rsidRPr="00B45A91" w:rsidRDefault="00014363" w:rsidP="005A2C59">
            <w:pPr>
              <w:pStyle w:val="PlainText"/>
              <w:tabs>
                <w:tab w:val="left" w:pos="284"/>
                <w:tab w:val="left" w:pos="426"/>
              </w:tabs>
              <w:spacing w:line="288" w:lineRule="auto"/>
              <w:rPr>
                <w:rFonts w:ascii="Times New Roman" w:hAnsi="Times New Roman" w:cs="Times New Roman"/>
              </w:rPr>
            </w:pPr>
            <w:r w:rsidRPr="00B45A91">
              <w:rPr>
                <w:rFonts w:ascii="Times New Roman" w:hAnsi="Times New Roman" w:cs="Times New Roman"/>
              </w:rPr>
              <w:t>Constant</w:t>
            </w: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0.6437</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0.6437</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0.6437</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1.3496</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1.8714</w:t>
            </w:r>
          </w:p>
        </w:tc>
      </w:tr>
      <w:tr w:rsidR="00014363" w:rsidRPr="00442C19" w:rsidTr="00DC3DD3">
        <w:tc>
          <w:tcPr>
            <w:tcW w:w="2521" w:type="dxa"/>
            <w:tcBorders>
              <w:top w:val="nil"/>
              <w:bottom w:val="nil"/>
              <w:right w:val="nil"/>
            </w:tcBorders>
            <w:shd w:val="clear" w:color="auto" w:fill="auto"/>
          </w:tcPr>
          <w:p w:rsidR="00014363" w:rsidRPr="00442C19" w:rsidRDefault="00014363" w:rsidP="005A2C59">
            <w:pPr>
              <w:pStyle w:val="PlainText"/>
              <w:tabs>
                <w:tab w:val="left" w:pos="284"/>
                <w:tab w:val="left" w:pos="426"/>
              </w:tabs>
              <w:spacing w:line="288" w:lineRule="auto"/>
            </w:pPr>
          </w:p>
        </w:tc>
        <w:tc>
          <w:tcPr>
            <w:tcW w:w="1410" w:type="dxa"/>
            <w:tcBorders>
              <w:top w:val="nil"/>
              <w:left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(18.62)**</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(18.62)**</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(18.62)**</w:t>
            </w:r>
          </w:p>
        </w:tc>
        <w:tc>
          <w:tcPr>
            <w:tcW w:w="1410" w:type="dxa"/>
            <w:tcBorders>
              <w:top w:val="nil"/>
              <w:bottom w:val="nil"/>
            </w:tcBorders>
            <w:shd w:val="clear" w:color="auto" w:fill="auto"/>
          </w:tcPr>
          <w:p w:rsidR="00014363" w:rsidRPr="00B45A91"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(40.51)**</w:t>
            </w:r>
          </w:p>
        </w:tc>
        <w:tc>
          <w:tcPr>
            <w:tcW w:w="1410" w:type="dxa"/>
            <w:tcBorders>
              <w:top w:val="nil"/>
              <w:bottom w:val="nil"/>
            </w:tcBorders>
            <w:shd w:val="clear" w:color="auto" w:fill="auto"/>
          </w:tcPr>
          <w:p w:rsidR="00014363" w:rsidRDefault="00014363" w:rsidP="005A2C59">
            <w:pPr>
              <w:pStyle w:val="PlainText"/>
              <w:tabs>
                <w:tab w:val="left" w:pos="284"/>
                <w:tab w:val="left" w:pos="426"/>
              </w:tabs>
              <w:spacing w:line="288" w:lineRule="auto"/>
              <w:jc w:val="right"/>
              <w:rPr>
                <w:rFonts w:ascii="Times New Roman" w:hAnsi="Times New Roman" w:cs="Times New Roman"/>
              </w:rPr>
            </w:pPr>
            <w:r w:rsidRPr="00B45A91">
              <w:rPr>
                <w:rFonts w:ascii="Times New Roman" w:hAnsi="Times New Roman" w:cs="Times New Roman"/>
              </w:rPr>
              <w:t>(72.73)**</w:t>
            </w:r>
          </w:p>
          <w:p w:rsidR="00DC3DD3" w:rsidRPr="00B45A91" w:rsidRDefault="00DC3DD3" w:rsidP="005A2C59">
            <w:pPr>
              <w:pStyle w:val="PlainText"/>
              <w:tabs>
                <w:tab w:val="left" w:pos="284"/>
                <w:tab w:val="left" w:pos="426"/>
              </w:tabs>
              <w:spacing w:line="288" w:lineRule="auto"/>
              <w:jc w:val="right"/>
              <w:rPr>
                <w:rFonts w:ascii="Times New Roman" w:hAnsi="Times New Roman" w:cs="Times New Roman"/>
              </w:rPr>
            </w:pPr>
          </w:p>
        </w:tc>
      </w:tr>
      <w:tr w:rsidR="00014363" w:rsidRPr="00442C19" w:rsidTr="00DC3DD3">
        <w:tc>
          <w:tcPr>
            <w:tcW w:w="2521" w:type="dxa"/>
            <w:tcBorders>
              <w:top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rPr>
                <w:rFonts w:ascii="Times New Roman" w:hAnsi="Times New Roman" w:cs="Times New Roman"/>
              </w:rPr>
            </w:pPr>
            <w:r w:rsidRPr="008B1867">
              <w:rPr>
                <w:rFonts w:ascii="Times New Roman" w:hAnsi="Times New Roman" w:cs="Times New Roman"/>
              </w:rPr>
              <w:t>R-squared</w:t>
            </w:r>
          </w:p>
        </w:tc>
        <w:tc>
          <w:tcPr>
            <w:tcW w:w="1410" w:type="dxa"/>
            <w:tcBorders>
              <w:top w:val="nil"/>
              <w:left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jc w:val="right"/>
              <w:rPr>
                <w:rFonts w:ascii="Times New Roman" w:hAnsi="Times New Roman" w:cs="Times New Roman"/>
              </w:rPr>
            </w:pPr>
            <w:r w:rsidRPr="008B1867">
              <w:rPr>
                <w:rFonts w:ascii="Times New Roman" w:hAnsi="Times New Roman" w:cs="Times New Roman"/>
              </w:rPr>
              <w:t>0.34</w:t>
            </w:r>
          </w:p>
        </w:tc>
        <w:tc>
          <w:tcPr>
            <w:tcW w:w="1410" w:type="dxa"/>
            <w:tcBorders>
              <w:top w:val="nil"/>
              <w:left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jc w:val="right"/>
              <w:rPr>
                <w:rFonts w:ascii="Times New Roman" w:hAnsi="Times New Roman" w:cs="Times New Roman"/>
              </w:rPr>
            </w:pPr>
            <w:r w:rsidRPr="008B1867">
              <w:rPr>
                <w:rFonts w:ascii="Times New Roman" w:hAnsi="Times New Roman" w:cs="Times New Roman"/>
              </w:rPr>
              <w:t>0.48</w:t>
            </w:r>
          </w:p>
        </w:tc>
        <w:tc>
          <w:tcPr>
            <w:tcW w:w="1410" w:type="dxa"/>
            <w:tcBorders>
              <w:top w:val="nil"/>
              <w:left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jc w:val="right"/>
              <w:rPr>
                <w:rFonts w:ascii="Times New Roman" w:hAnsi="Times New Roman" w:cs="Times New Roman"/>
              </w:rPr>
            </w:pPr>
            <w:r w:rsidRPr="008B1867">
              <w:rPr>
                <w:rFonts w:ascii="Times New Roman" w:hAnsi="Times New Roman" w:cs="Times New Roman"/>
              </w:rPr>
              <w:t>0.56</w:t>
            </w:r>
          </w:p>
        </w:tc>
        <w:tc>
          <w:tcPr>
            <w:tcW w:w="1410" w:type="dxa"/>
            <w:tcBorders>
              <w:top w:val="nil"/>
              <w:left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jc w:val="right"/>
              <w:rPr>
                <w:rFonts w:ascii="Times New Roman" w:hAnsi="Times New Roman" w:cs="Times New Roman"/>
              </w:rPr>
            </w:pPr>
            <w:r w:rsidRPr="008B1867">
              <w:rPr>
                <w:rFonts w:ascii="Times New Roman" w:hAnsi="Times New Roman" w:cs="Times New Roman"/>
              </w:rPr>
              <w:t>0.32</w:t>
            </w:r>
          </w:p>
        </w:tc>
        <w:tc>
          <w:tcPr>
            <w:tcW w:w="1410" w:type="dxa"/>
            <w:tcBorders>
              <w:top w:val="nil"/>
              <w:left w:val="nil"/>
              <w:bottom w:val="nil"/>
            </w:tcBorders>
            <w:shd w:val="clear" w:color="auto" w:fill="auto"/>
          </w:tcPr>
          <w:p w:rsidR="00014363" w:rsidRPr="008B1867" w:rsidRDefault="00014363" w:rsidP="005A2C59">
            <w:pPr>
              <w:pStyle w:val="PlainText"/>
              <w:tabs>
                <w:tab w:val="left" w:pos="284"/>
                <w:tab w:val="left" w:pos="426"/>
              </w:tabs>
              <w:spacing w:line="288" w:lineRule="auto"/>
              <w:jc w:val="right"/>
              <w:rPr>
                <w:rFonts w:ascii="Times New Roman" w:hAnsi="Times New Roman" w:cs="Times New Roman"/>
              </w:rPr>
            </w:pPr>
            <w:r w:rsidRPr="008B1867">
              <w:rPr>
                <w:rFonts w:ascii="Times New Roman" w:hAnsi="Times New Roman" w:cs="Times New Roman"/>
              </w:rPr>
              <w:t>0.30</w:t>
            </w:r>
          </w:p>
        </w:tc>
      </w:tr>
      <w:tr w:rsidR="00014363" w:rsidRPr="00442C19" w:rsidTr="00A25676">
        <w:tc>
          <w:tcPr>
            <w:tcW w:w="2521" w:type="dxa"/>
            <w:tcBorders>
              <w:top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rPr>
                <w:rFonts w:ascii="Times New Roman" w:hAnsi="Times New Roman" w:cs="Times New Roman"/>
              </w:rPr>
            </w:pPr>
            <w:r w:rsidRPr="008B1867">
              <w:rPr>
                <w:rFonts w:ascii="Times New Roman" w:hAnsi="Times New Roman" w:cs="Times New Roman"/>
              </w:rPr>
              <w:t>F-stats</w:t>
            </w:r>
          </w:p>
        </w:tc>
        <w:tc>
          <w:tcPr>
            <w:tcW w:w="1410" w:type="dxa"/>
            <w:tcBorders>
              <w:top w:val="nil"/>
              <w:left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jc w:val="right"/>
              <w:rPr>
                <w:rFonts w:ascii="Times New Roman" w:hAnsi="Times New Roman" w:cs="Times New Roman"/>
              </w:rPr>
            </w:pPr>
            <w:r w:rsidRPr="008B1867">
              <w:rPr>
                <w:rFonts w:ascii="Times New Roman" w:hAnsi="Times New Roman" w:cs="Times New Roman"/>
              </w:rPr>
              <w:t>563.19</w:t>
            </w:r>
          </w:p>
        </w:tc>
        <w:tc>
          <w:tcPr>
            <w:tcW w:w="1410" w:type="dxa"/>
            <w:tcBorders>
              <w:top w:val="nil"/>
              <w:left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jc w:val="right"/>
              <w:rPr>
                <w:rFonts w:ascii="Times New Roman" w:hAnsi="Times New Roman" w:cs="Times New Roman"/>
              </w:rPr>
            </w:pPr>
            <w:r w:rsidRPr="008B1867">
              <w:rPr>
                <w:rFonts w:ascii="Times New Roman" w:hAnsi="Times New Roman" w:cs="Times New Roman"/>
              </w:rPr>
              <w:t>1123.87</w:t>
            </w:r>
          </w:p>
        </w:tc>
        <w:tc>
          <w:tcPr>
            <w:tcW w:w="1410" w:type="dxa"/>
            <w:tcBorders>
              <w:top w:val="nil"/>
              <w:left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jc w:val="right"/>
              <w:rPr>
                <w:rFonts w:ascii="Times New Roman" w:hAnsi="Times New Roman" w:cs="Times New Roman"/>
              </w:rPr>
            </w:pPr>
            <w:r w:rsidRPr="008B1867">
              <w:rPr>
                <w:rFonts w:ascii="Times New Roman" w:hAnsi="Times New Roman" w:cs="Times New Roman"/>
              </w:rPr>
              <w:t>1617.87</w:t>
            </w:r>
          </w:p>
        </w:tc>
        <w:tc>
          <w:tcPr>
            <w:tcW w:w="1410" w:type="dxa"/>
            <w:tcBorders>
              <w:top w:val="nil"/>
              <w:left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jc w:val="right"/>
              <w:rPr>
                <w:rFonts w:ascii="Times New Roman" w:hAnsi="Times New Roman" w:cs="Times New Roman"/>
              </w:rPr>
            </w:pPr>
            <w:r w:rsidRPr="008B1867">
              <w:rPr>
                <w:rFonts w:ascii="Times New Roman" w:hAnsi="Times New Roman" w:cs="Times New Roman"/>
              </w:rPr>
              <w:t>503.27</w:t>
            </w:r>
          </w:p>
        </w:tc>
        <w:tc>
          <w:tcPr>
            <w:tcW w:w="1410" w:type="dxa"/>
            <w:tcBorders>
              <w:top w:val="nil"/>
              <w:left w:val="nil"/>
              <w:bottom w:val="nil"/>
            </w:tcBorders>
            <w:shd w:val="clear" w:color="auto" w:fill="auto"/>
          </w:tcPr>
          <w:p w:rsidR="00014363" w:rsidRPr="008B1867" w:rsidRDefault="00014363" w:rsidP="005A2C59">
            <w:pPr>
              <w:pStyle w:val="PlainText"/>
              <w:tabs>
                <w:tab w:val="left" w:pos="284"/>
                <w:tab w:val="left" w:pos="426"/>
              </w:tabs>
              <w:spacing w:line="288" w:lineRule="auto"/>
              <w:jc w:val="right"/>
              <w:rPr>
                <w:rFonts w:ascii="Times New Roman" w:hAnsi="Times New Roman" w:cs="Times New Roman"/>
              </w:rPr>
            </w:pPr>
            <w:r w:rsidRPr="008B1867">
              <w:rPr>
                <w:rFonts w:ascii="Times New Roman" w:hAnsi="Times New Roman" w:cs="Times New Roman"/>
              </w:rPr>
              <w:t>510.55</w:t>
            </w:r>
          </w:p>
        </w:tc>
      </w:tr>
      <w:tr w:rsidR="00014363" w:rsidRPr="00442C19" w:rsidTr="00A25676">
        <w:tc>
          <w:tcPr>
            <w:tcW w:w="2521" w:type="dxa"/>
            <w:tcBorders>
              <w:top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rPr>
                <w:rFonts w:ascii="Times New Roman" w:hAnsi="Times New Roman" w:cs="Times New Roman"/>
              </w:rPr>
            </w:pPr>
            <w:proofErr w:type="spellStart"/>
            <w:r w:rsidRPr="008B1867">
              <w:rPr>
                <w:rFonts w:ascii="Times New Roman" w:hAnsi="Times New Roman" w:cs="Times New Roman"/>
              </w:rPr>
              <w:t>Prob</w:t>
            </w:r>
            <w:proofErr w:type="spellEnd"/>
            <w:r w:rsidRPr="008B1867">
              <w:rPr>
                <w:rFonts w:ascii="Times New Roman" w:hAnsi="Times New Roman" w:cs="Times New Roman"/>
              </w:rPr>
              <w:t xml:space="preserve"> &gt; F</w:t>
            </w:r>
          </w:p>
        </w:tc>
        <w:tc>
          <w:tcPr>
            <w:tcW w:w="1410" w:type="dxa"/>
            <w:tcBorders>
              <w:top w:val="nil"/>
              <w:left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jc w:val="right"/>
              <w:rPr>
                <w:rFonts w:ascii="Times New Roman" w:hAnsi="Times New Roman" w:cs="Times New Roman"/>
              </w:rPr>
            </w:pPr>
            <w:r w:rsidRPr="008B1867">
              <w:rPr>
                <w:rFonts w:ascii="Times New Roman" w:hAnsi="Times New Roman" w:cs="Times New Roman"/>
              </w:rPr>
              <w:t>0.0000</w:t>
            </w:r>
          </w:p>
        </w:tc>
        <w:tc>
          <w:tcPr>
            <w:tcW w:w="1410" w:type="dxa"/>
            <w:tcBorders>
              <w:top w:val="nil"/>
              <w:left w:val="nil"/>
              <w:bottom w:val="nil"/>
              <w:right w:val="nil"/>
            </w:tcBorders>
            <w:shd w:val="clear" w:color="auto" w:fill="auto"/>
          </w:tcPr>
          <w:p w:rsidR="00014363" w:rsidRPr="008B1867" w:rsidRDefault="00014363" w:rsidP="005A2C59">
            <w:pPr>
              <w:tabs>
                <w:tab w:val="left" w:pos="284"/>
                <w:tab w:val="left" w:pos="426"/>
              </w:tabs>
              <w:spacing w:line="288" w:lineRule="auto"/>
              <w:jc w:val="right"/>
              <w:rPr>
                <w:sz w:val="20"/>
                <w:szCs w:val="20"/>
              </w:rPr>
            </w:pPr>
            <w:r w:rsidRPr="008B1867">
              <w:rPr>
                <w:sz w:val="20"/>
                <w:szCs w:val="20"/>
              </w:rPr>
              <w:t>0.0000</w:t>
            </w:r>
          </w:p>
        </w:tc>
        <w:tc>
          <w:tcPr>
            <w:tcW w:w="1410" w:type="dxa"/>
            <w:tcBorders>
              <w:top w:val="nil"/>
              <w:left w:val="nil"/>
              <w:bottom w:val="nil"/>
              <w:right w:val="nil"/>
            </w:tcBorders>
            <w:shd w:val="clear" w:color="auto" w:fill="auto"/>
          </w:tcPr>
          <w:p w:rsidR="00014363" w:rsidRPr="008B1867" w:rsidRDefault="00014363" w:rsidP="005A2C59">
            <w:pPr>
              <w:tabs>
                <w:tab w:val="left" w:pos="284"/>
                <w:tab w:val="left" w:pos="426"/>
              </w:tabs>
              <w:spacing w:line="288" w:lineRule="auto"/>
              <w:jc w:val="right"/>
              <w:rPr>
                <w:sz w:val="20"/>
                <w:szCs w:val="20"/>
              </w:rPr>
            </w:pPr>
            <w:r w:rsidRPr="008B1867">
              <w:rPr>
                <w:sz w:val="20"/>
                <w:szCs w:val="20"/>
              </w:rPr>
              <w:t>0.0000</w:t>
            </w:r>
          </w:p>
        </w:tc>
        <w:tc>
          <w:tcPr>
            <w:tcW w:w="1410" w:type="dxa"/>
            <w:tcBorders>
              <w:top w:val="nil"/>
              <w:left w:val="nil"/>
              <w:bottom w:val="nil"/>
              <w:right w:val="nil"/>
            </w:tcBorders>
            <w:shd w:val="clear" w:color="auto" w:fill="auto"/>
          </w:tcPr>
          <w:p w:rsidR="00014363" w:rsidRPr="008B1867" w:rsidRDefault="00014363" w:rsidP="005A2C59">
            <w:pPr>
              <w:tabs>
                <w:tab w:val="left" w:pos="284"/>
                <w:tab w:val="left" w:pos="426"/>
              </w:tabs>
              <w:spacing w:line="288" w:lineRule="auto"/>
              <w:jc w:val="right"/>
              <w:rPr>
                <w:sz w:val="20"/>
                <w:szCs w:val="20"/>
              </w:rPr>
            </w:pPr>
            <w:r w:rsidRPr="008B1867">
              <w:rPr>
                <w:sz w:val="20"/>
                <w:szCs w:val="20"/>
              </w:rPr>
              <w:t>0.0000</w:t>
            </w:r>
          </w:p>
        </w:tc>
        <w:tc>
          <w:tcPr>
            <w:tcW w:w="1410" w:type="dxa"/>
            <w:tcBorders>
              <w:top w:val="nil"/>
              <w:left w:val="nil"/>
              <w:bottom w:val="nil"/>
            </w:tcBorders>
            <w:shd w:val="clear" w:color="auto" w:fill="auto"/>
          </w:tcPr>
          <w:p w:rsidR="00014363" w:rsidRPr="008B1867" w:rsidRDefault="00014363" w:rsidP="005A2C59">
            <w:pPr>
              <w:tabs>
                <w:tab w:val="left" w:pos="284"/>
                <w:tab w:val="left" w:pos="426"/>
              </w:tabs>
              <w:spacing w:line="288" w:lineRule="auto"/>
              <w:jc w:val="right"/>
              <w:rPr>
                <w:sz w:val="20"/>
                <w:szCs w:val="20"/>
              </w:rPr>
            </w:pPr>
            <w:r w:rsidRPr="008B1867">
              <w:rPr>
                <w:sz w:val="20"/>
                <w:szCs w:val="20"/>
              </w:rPr>
              <w:t>0.0000</w:t>
            </w:r>
          </w:p>
        </w:tc>
      </w:tr>
      <w:tr w:rsidR="00014363" w:rsidRPr="00442C19" w:rsidTr="00A25676">
        <w:tc>
          <w:tcPr>
            <w:tcW w:w="2521" w:type="dxa"/>
            <w:tcBorders>
              <w:top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pPr>
            <w:r w:rsidRPr="008B1867">
              <w:rPr>
                <w:rFonts w:ascii="Times New Roman" w:hAnsi="Times New Roman" w:cs="Times New Roman"/>
              </w:rPr>
              <w:t>Test</w:t>
            </w:r>
            <w:r w:rsidRPr="008B1867">
              <w:t>(</w:t>
            </w:r>
            <w:r w:rsidRPr="008B1867">
              <w:rPr>
                <w:rFonts w:ascii="Symbol" w:hAnsi="Symbol"/>
                <w:i/>
              </w:rPr>
              <w:t></w:t>
            </w:r>
            <w:r w:rsidRPr="008B1867">
              <w:rPr>
                <w:rFonts w:ascii="Symbol" w:hAnsi="Symbol"/>
                <w:vertAlign w:val="subscript"/>
              </w:rPr>
              <w:t></w:t>
            </w:r>
            <w:r w:rsidRPr="008B1867">
              <w:rPr>
                <w:rFonts w:ascii="Symbol" w:hAnsi="Symbol"/>
                <w:vertAlign w:val="subscript"/>
              </w:rPr>
              <w:t></w:t>
            </w:r>
            <w:r w:rsidRPr="008B1867">
              <w:rPr>
                <w:rFonts w:ascii="Symbol" w:hAnsi="Symbol"/>
              </w:rPr>
              <w:t></w:t>
            </w:r>
            <w:r w:rsidRPr="008B1867">
              <w:rPr>
                <w:rFonts w:ascii="Symbol" w:hAnsi="Symbol"/>
              </w:rPr>
              <w:t></w:t>
            </w:r>
            <w:r w:rsidRPr="008B1867">
              <w:t>)</w:t>
            </w:r>
          </w:p>
        </w:tc>
        <w:tc>
          <w:tcPr>
            <w:tcW w:w="1410" w:type="dxa"/>
            <w:tcBorders>
              <w:top w:val="nil"/>
              <w:left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jc w:val="right"/>
              <w:rPr>
                <w:rFonts w:ascii="Times New Roman" w:hAnsi="Times New Roman" w:cs="Times New Roman"/>
              </w:rPr>
            </w:pPr>
            <w:r w:rsidRPr="008B1867">
              <w:rPr>
                <w:rFonts w:ascii="Times New Roman" w:hAnsi="Times New Roman" w:cs="Times New Roman"/>
              </w:rPr>
              <w:t>0.0000</w:t>
            </w:r>
          </w:p>
        </w:tc>
        <w:tc>
          <w:tcPr>
            <w:tcW w:w="1410" w:type="dxa"/>
            <w:tcBorders>
              <w:top w:val="nil"/>
              <w:left w:val="nil"/>
              <w:bottom w:val="nil"/>
              <w:right w:val="nil"/>
            </w:tcBorders>
            <w:shd w:val="clear" w:color="auto" w:fill="auto"/>
          </w:tcPr>
          <w:p w:rsidR="00014363" w:rsidRPr="008B1867" w:rsidRDefault="00014363" w:rsidP="005A2C59">
            <w:pPr>
              <w:tabs>
                <w:tab w:val="left" w:pos="284"/>
                <w:tab w:val="left" w:pos="426"/>
              </w:tabs>
              <w:spacing w:line="288" w:lineRule="auto"/>
              <w:jc w:val="right"/>
              <w:rPr>
                <w:sz w:val="20"/>
                <w:szCs w:val="20"/>
              </w:rPr>
            </w:pPr>
            <w:r w:rsidRPr="008B1867">
              <w:rPr>
                <w:sz w:val="20"/>
                <w:szCs w:val="20"/>
              </w:rPr>
              <w:t>0.0000</w:t>
            </w:r>
          </w:p>
        </w:tc>
        <w:tc>
          <w:tcPr>
            <w:tcW w:w="1410" w:type="dxa"/>
            <w:tcBorders>
              <w:top w:val="nil"/>
              <w:left w:val="nil"/>
              <w:bottom w:val="nil"/>
              <w:right w:val="nil"/>
            </w:tcBorders>
            <w:shd w:val="clear" w:color="auto" w:fill="auto"/>
          </w:tcPr>
          <w:p w:rsidR="00014363" w:rsidRPr="008B1867" w:rsidRDefault="00014363" w:rsidP="005A2C59">
            <w:pPr>
              <w:tabs>
                <w:tab w:val="left" w:pos="284"/>
                <w:tab w:val="left" w:pos="426"/>
              </w:tabs>
              <w:spacing w:line="288" w:lineRule="auto"/>
              <w:jc w:val="right"/>
              <w:rPr>
                <w:sz w:val="20"/>
                <w:szCs w:val="20"/>
              </w:rPr>
            </w:pPr>
            <w:r w:rsidRPr="008B1867">
              <w:rPr>
                <w:sz w:val="20"/>
                <w:szCs w:val="20"/>
              </w:rPr>
              <w:t>0.0000</w:t>
            </w:r>
          </w:p>
        </w:tc>
        <w:tc>
          <w:tcPr>
            <w:tcW w:w="1410" w:type="dxa"/>
            <w:tcBorders>
              <w:top w:val="nil"/>
              <w:left w:val="nil"/>
              <w:bottom w:val="nil"/>
              <w:right w:val="nil"/>
            </w:tcBorders>
            <w:shd w:val="clear" w:color="auto" w:fill="auto"/>
          </w:tcPr>
          <w:p w:rsidR="00014363" w:rsidRPr="008B1867" w:rsidRDefault="00014363" w:rsidP="005A2C59">
            <w:pPr>
              <w:tabs>
                <w:tab w:val="left" w:pos="284"/>
                <w:tab w:val="left" w:pos="426"/>
              </w:tabs>
              <w:spacing w:line="288" w:lineRule="auto"/>
              <w:jc w:val="right"/>
              <w:rPr>
                <w:sz w:val="20"/>
                <w:szCs w:val="20"/>
              </w:rPr>
            </w:pPr>
            <w:r w:rsidRPr="008B1867">
              <w:rPr>
                <w:sz w:val="20"/>
                <w:szCs w:val="20"/>
              </w:rPr>
              <w:t>0.0000</w:t>
            </w:r>
          </w:p>
        </w:tc>
        <w:tc>
          <w:tcPr>
            <w:tcW w:w="1410" w:type="dxa"/>
            <w:tcBorders>
              <w:top w:val="nil"/>
              <w:left w:val="nil"/>
              <w:bottom w:val="nil"/>
            </w:tcBorders>
            <w:shd w:val="clear" w:color="auto" w:fill="auto"/>
          </w:tcPr>
          <w:p w:rsidR="00014363" w:rsidRPr="008B1867" w:rsidRDefault="00014363" w:rsidP="005A2C59">
            <w:pPr>
              <w:tabs>
                <w:tab w:val="left" w:pos="284"/>
                <w:tab w:val="left" w:pos="426"/>
              </w:tabs>
              <w:spacing w:line="288" w:lineRule="auto"/>
              <w:jc w:val="right"/>
              <w:rPr>
                <w:sz w:val="20"/>
                <w:szCs w:val="20"/>
              </w:rPr>
            </w:pPr>
            <w:r w:rsidRPr="008B1867">
              <w:rPr>
                <w:sz w:val="20"/>
                <w:szCs w:val="20"/>
              </w:rPr>
              <w:t>0.1408</w:t>
            </w:r>
          </w:p>
        </w:tc>
      </w:tr>
      <w:tr w:rsidR="00014363" w:rsidRPr="00442C19" w:rsidTr="00A25676">
        <w:tc>
          <w:tcPr>
            <w:tcW w:w="2521" w:type="dxa"/>
            <w:tcBorders>
              <w:top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pPr>
            <w:r w:rsidRPr="008B1867">
              <w:rPr>
                <w:rFonts w:ascii="Times New Roman" w:hAnsi="Times New Roman" w:cs="Times New Roman"/>
              </w:rPr>
              <w:t>Test</w:t>
            </w:r>
            <w:r w:rsidRPr="008B1867">
              <w:t>:</w:t>
            </w:r>
            <w:r w:rsidRPr="008B1867">
              <w:rPr>
                <w:rFonts w:ascii="Symbol" w:hAnsi="Symbol"/>
                <w:i/>
              </w:rPr>
              <w:t></w:t>
            </w:r>
            <w:r w:rsidRPr="008B1867">
              <w:rPr>
                <w:rFonts w:ascii="Symbol" w:hAnsi="Symbol"/>
                <w:vertAlign w:val="subscript"/>
              </w:rPr>
              <w:t></w:t>
            </w:r>
            <w:r w:rsidRPr="008B1867">
              <w:rPr>
                <w:rFonts w:ascii="Symbol" w:hAnsi="Symbol"/>
                <w:vertAlign w:val="subscript"/>
              </w:rPr>
              <w:t></w:t>
            </w:r>
            <w:r w:rsidRPr="008B1867">
              <w:rPr>
                <w:rFonts w:ascii="Symbol" w:hAnsi="Symbol"/>
              </w:rPr>
              <w:t></w:t>
            </w:r>
            <w:r w:rsidRPr="008B1867">
              <w:rPr>
                <w:rFonts w:ascii="Symbol" w:hAnsi="Symbol"/>
                <w:i/>
              </w:rPr>
              <w:t></w:t>
            </w:r>
            <w:r w:rsidRPr="008B1867">
              <w:rPr>
                <w:rFonts w:ascii="Symbol" w:hAnsi="Symbol"/>
                <w:i/>
              </w:rPr>
              <w:t></w:t>
            </w:r>
            <w:r w:rsidRPr="008B1867">
              <w:rPr>
                <w:rFonts w:ascii="Symbol" w:hAnsi="Symbol"/>
                <w:vertAlign w:val="subscript"/>
              </w:rPr>
              <w:t></w:t>
            </w:r>
            <w:r w:rsidRPr="008B1867">
              <w:rPr>
                <w:rFonts w:ascii="Symbol" w:hAnsi="Symbol"/>
                <w:vertAlign w:val="subscript"/>
              </w:rPr>
              <w:t></w:t>
            </w:r>
            <w:r w:rsidRPr="008B1867">
              <w:rPr>
                <w:rFonts w:ascii="Symbol" w:hAnsi="Symbol"/>
              </w:rPr>
              <w:t></w:t>
            </w:r>
            <w:r w:rsidRPr="008B1867">
              <w:rPr>
                <w:rFonts w:ascii="Symbol" w:hAnsi="Symbol"/>
                <w:i/>
              </w:rPr>
              <w:t></w:t>
            </w:r>
            <w:r w:rsidRPr="008B1867">
              <w:rPr>
                <w:rFonts w:ascii="Symbol" w:hAnsi="Symbol"/>
                <w:i/>
              </w:rPr>
              <w:t></w:t>
            </w:r>
            <w:r w:rsidRPr="008B1867">
              <w:rPr>
                <w:rFonts w:ascii="Symbol" w:hAnsi="Symbol"/>
                <w:vertAlign w:val="subscript"/>
              </w:rPr>
              <w:t></w:t>
            </w:r>
            <w:r w:rsidRPr="008B1867">
              <w:rPr>
                <w:rFonts w:ascii="Symbol" w:hAnsi="Symbol"/>
              </w:rPr>
              <w:t></w:t>
            </w:r>
            <w:r w:rsidRPr="008B1867">
              <w:rPr>
                <w:rFonts w:ascii="Symbol" w:hAnsi="Symbol"/>
              </w:rPr>
              <w:t></w:t>
            </w:r>
            <w:r w:rsidRPr="008B1867">
              <w:rPr>
                <w:rFonts w:ascii="Symbol" w:hAnsi="Symbol"/>
                <w:i/>
              </w:rPr>
              <w:t></w:t>
            </w:r>
            <w:r w:rsidRPr="008B1867">
              <w:rPr>
                <w:rFonts w:ascii="Symbol" w:hAnsi="Symbol"/>
                <w:vertAlign w:val="subscript"/>
              </w:rPr>
              <w:t></w:t>
            </w:r>
            <w:r w:rsidRPr="008B1867">
              <w:rPr>
                <w:rFonts w:ascii="Symbol" w:hAnsi="Symbol"/>
                <w:vertAlign w:val="subscript"/>
              </w:rPr>
              <w:t></w:t>
            </w:r>
            <w:r w:rsidRPr="008B1867">
              <w:rPr>
                <w:rFonts w:ascii="Symbol" w:hAnsi="Symbol"/>
              </w:rPr>
              <w:t></w:t>
            </w:r>
            <w:r w:rsidRPr="008B1867">
              <w:rPr>
                <w:rFonts w:ascii="Symbol" w:hAnsi="Symbol"/>
              </w:rPr>
              <w:t></w:t>
            </w:r>
            <w:r w:rsidRPr="008B1867">
              <w:rPr>
                <w:rFonts w:ascii="Symbol" w:hAnsi="Symbol"/>
                <w:i/>
              </w:rPr>
              <w:t></w:t>
            </w:r>
            <w:r w:rsidRPr="008B1867">
              <w:rPr>
                <w:rFonts w:ascii="Symbol" w:hAnsi="Symbol"/>
                <w:vertAlign w:val="subscript"/>
              </w:rPr>
              <w:t></w:t>
            </w:r>
          </w:p>
        </w:tc>
        <w:tc>
          <w:tcPr>
            <w:tcW w:w="1410" w:type="dxa"/>
            <w:tcBorders>
              <w:top w:val="nil"/>
              <w:left w:val="nil"/>
              <w:bottom w:val="nil"/>
              <w:right w:val="nil"/>
            </w:tcBorders>
            <w:shd w:val="clear" w:color="auto" w:fill="auto"/>
          </w:tcPr>
          <w:p w:rsidR="00014363" w:rsidRPr="008B1867" w:rsidRDefault="00014363" w:rsidP="005A2C59">
            <w:pPr>
              <w:pStyle w:val="PlainText"/>
              <w:tabs>
                <w:tab w:val="left" w:pos="284"/>
                <w:tab w:val="left" w:pos="426"/>
              </w:tabs>
              <w:spacing w:line="288" w:lineRule="auto"/>
              <w:jc w:val="right"/>
              <w:rPr>
                <w:rFonts w:ascii="Times New Roman" w:hAnsi="Times New Roman" w:cs="Times New Roman"/>
              </w:rPr>
            </w:pPr>
            <w:r w:rsidRPr="008B1867">
              <w:rPr>
                <w:rFonts w:ascii="Times New Roman" w:hAnsi="Times New Roman" w:cs="Times New Roman"/>
              </w:rPr>
              <w:t>0.0000</w:t>
            </w:r>
          </w:p>
        </w:tc>
        <w:tc>
          <w:tcPr>
            <w:tcW w:w="1410" w:type="dxa"/>
            <w:tcBorders>
              <w:top w:val="nil"/>
              <w:left w:val="nil"/>
              <w:bottom w:val="nil"/>
              <w:right w:val="nil"/>
            </w:tcBorders>
            <w:shd w:val="clear" w:color="auto" w:fill="auto"/>
          </w:tcPr>
          <w:p w:rsidR="00014363" w:rsidRPr="008B1867" w:rsidRDefault="00014363" w:rsidP="005A2C59">
            <w:pPr>
              <w:tabs>
                <w:tab w:val="left" w:pos="284"/>
                <w:tab w:val="left" w:pos="426"/>
              </w:tabs>
              <w:spacing w:line="288" w:lineRule="auto"/>
              <w:jc w:val="right"/>
              <w:rPr>
                <w:sz w:val="20"/>
                <w:szCs w:val="20"/>
              </w:rPr>
            </w:pPr>
            <w:r w:rsidRPr="008B1867">
              <w:rPr>
                <w:sz w:val="20"/>
                <w:szCs w:val="20"/>
              </w:rPr>
              <w:t>0.0000</w:t>
            </w:r>
          </w:p>
        </w:tc>
        <w:tc>
          <w:tcPr>
            <w:tcW w:w="1410" w:type="dxa"/>
            <w:tcBorders>
              <w:top w:val="nil"/>
              <w:left w:val="nil"/>
              <w:bottom w:val="nil"/>
              <w:right w:val="nil"/>
            </w:tcBorders>
            <w:shd w:val="clear" w:color="auto" w:fill="auto"/>
          </w:tcPr>
          <w:p w:rsidR="00014363" w:rsidRPr="008B1867" w:rsidRDefault="00014363" w:rsidP="005A2C59">
            <w:pPr>
              <w:tabs>
                <w:tab w:val="left" w:pos="284"/>
                <w:tab w:val="left" w:pos="426"/>
              </w:tabs>
              <w:spacing w:line="288" w:lineRule="auto"/>
              <w:jc w:val="right"/>
              <w:rPr>
                <w:sz w:val="20"/>
                <w:szCs w:val="20"/>
              </w:rPr>
            </w:pPr>
            <w:r w:rsidRPr="008B1867">
              <w:rPr>
                <w:sz w:val="20"/>
                <w:szCs w:val="20"/>
              </w:rPr>
              <w:t>0.0000</w:t>
            </w:r>
          </w:p>
        </w:tc>
        <w:tc>
          <w:tcPr>
            <w:tcW w:w="1410" w:type="dxa"/>
            <w:tcBorders>
              <w:top w:val="nil"/>
              <w:left w:val="nil"/>
              <w:bottom w:val="nil"/>
              <w:right w:val="nil"/>
            </w:tcBorders>
            <w:shd w:val="clear" w:color="auto" w:fill="auto"/>
          </w:tcPr>
          <w:p w:rsidR="00014363" w:rsidRPr="008B1867" w:rsidRDefault="00014363" w:rsidP="005A2C59">
            <w:pPr>
              <w:tabs>
                <w:tab w:val="left" w:pos="284"/>
                <w:tab w:val="left" w:pos="426"/>
              </w:tabs>
              <w:spacing w:line="288" w:lineRule="auto"/>
              <w:jc w:val="right"/>
              <w:rPr>
                <w:sz w:val="20"/>
                <w:szCs w:val="20"/>
              </w:rPr>
            </w:pPr>
            <w:r w:rsidRPr="008B1867">
              <w:rPr>
                <w:sz w:val="20"/>
                <w:szCs w:val="20"/>
              </w:rPr>
              <w:t>0.0000</w:t>
            </w:r>
          </w:p>
        </w:tc>
        <w:tc>
          <w:tcPr>
            <w:tcW w:w="1410" w:type="dxa"/>
            <w:tcBorders>
              <w:top w:val="nil"/>
              <w:left w:val="nil"/>
              <w:bottom w:val="nil"/>
            </w:tcBorders>
            <w:shd w:val="clear" w:color="auto" w:fill="auto"/>
          </w:tcPr>
          <w:p w:rsidR="00014363" w:rsidRPr="008B1867" w:rsidRDefault="00014363" w:rsidP="005A2C59">
            <w:pPr>
              <w:tabs>
                <w:tab w:val="left" w:pos="284"/>
                <w:tab w:val="left" w:pos="426"/>
              </w:tabs>
              <w:spacing w:line="288" w:lineRule="auto"/>
              <w:jc w:val="right"/>
              <w:rPr>
                <w:sz w:val="20"/>
                <w:szCs w:val="20"/>
              </w:rPr>
            </w:pPr>
            <w:r w:rsidRPr="008B1867">
              <w:rPr>
                <w:sz w:val="20"/>
                <w:szCs w:val="20"/>
              </w:rPr>
              <w:t>0.0033</w:t>
            </w:r>
          </w:p>
        </w:tc>
      </w:tr>
      <w:tr w:rsidR="007F71F3" w:rsidRPr="00442C19" w:rsidTr="00A25676">
        <w:tc>
          <w:tcPr>
            <w:tcW w:w="2521" w:type="dxa"/>
            <w:tcBorders>
              <w:top w:val="nil"/>
              <w:bottom w:val="single" w:sz="4" w:space="0" w:color="auto"/>
              <w:right w:val="nil"/>
            </w:tcBorders>
            <w:shd w:val="clear" w:color="auto" w:fill="auto"/>
          </w:tcPr>
          <w:p w:rsidR="007F71F3" w:rsidRPr="008B1867" w:rsidRDefault="007F71F3" w:rsidP="00DC3DD3">
            <w:pPr>
              <w:pStyle w:val="PlainText"/>
              <w:tabs>
                <w:tab w:val="left" w:pos="284"/>
                <w:tab w:val="left" w:pos="426"/>
              </w:tabs>
              <w:spacing w:after="100" w:line="288" w:lineRule="auto"/>
              <w:rPr>
                <w:rFonts w:ascii="Times New Roman" w:hAnsi="Times New Roman" w:cs="Times New Roman"/>
              </w:rPr>
            </w:pPr>
            <w:r w:rsidRPr="008B1867">
              <w:rPr>
                <w:rFonts w:ascii="Times New Roman" w:hAnsi="Times New Roman" w:cs="Times New Roman"/>
              </w:rPr>
              <w:t>Observations</w:t>
            </w:r>
          </w:p>
        </w:tc>
        <w:tc>
          <w:tcPr>
            <w:tcW w:w="1410" w:type="dxa"/>
            <w:tcBorders>
              <w:top w:val="nil"/>
              <w:left w:val="nil"/>
              <w:bottom w:val="single" w:sz="4" w:space="0" w:color="auto"/>
              <w:right w:val="nil"/>
            </w:tcBorders>
            <w:shd w:val="clear" w:color="auto" w:fill="auto"/>
          </w:tcPr>
          <w:p w:rsidR="007F71F3" w:rsidRPr="008B1867" w:rsidRDefault="007F71F3" w:rsidP="00DC3DD3">
            <w:pPr>
              <w:pStyle w:val="PlainText"/>
              <w:tabs>
                <w:tab w:val="left" w:pos="284"/>
                <w:tab w:val="left" w:pos="426"/>
              </w:tabs>
              <w:spacing w:after="100" w:line="288" w:lineRule="auto"/>
              <w:jc w:val="right"/>
              <w:rPr>
                <w:rFonts w:ascii="Times New Roman" w:hAnsi="Times New Roman" w:cs="Times New Roman"/>
              </w:rPr>
            </w:pPr>
            <w:r w:rsidRPr="008B1867">
              <w:rPr>
                <w:rFonts w:ascii="Times New Roman" w:hAnsi="Times New Roman" w:cs="Times New Roman"/>
              </w:rPr>
              <w:t>14,698</w:t>
            </w:r>
          </w:p>
        </w:tc>
        <w:tc>
          <w:tcPr>
            <w:tcW w:w="1410" w:type="dxa"/>
            <w:tcBorders>
              <w:top w:val="nil"/>
              <w:left w:val="nil"/>
              <w:bottom w:val="single" w:sz="4" w:space="0" w:color="auto"/>
              <w:right w:val="nil"/>
            </w:tcBorders>
            <w:shd w:val="clear" w:color="auto" w:fill="auto"/>
          </w:tcPr>
          <w:p w:rsidR="007F71F3" w:rsidRPr="008B1867" w:rsidRDefault="007F71F3" w:rsidP="00DC3DD3">
            <w:pPr>
              <w:pStyle w:val="PlainText"/>
              <w:tabs>
                <w:tab w:val="left" w:pos="284"/>
                <w:tab w:val="left" w:pos="426"/>
              </w:tabs>
              <w:spacing w:after="100" w:line="288" w:lineRule="auto"/>
              <w:jc w:val="right"/>
              <w:rPr>
                <w:rFonts w:ascii="Times New Roman" w:hAnsi="Times New Roman" w:cs="Times New Roman"/>
              </w:rPr>
            </w:pPr>
            <w:r w:rsidRPr="008B1867">
              <w:rPr>
                <w:rFonts w:ascii="Times New Roman" w:hAnsi="Times New Roman" w:cs="Times New Roman"/>
              </w:rPr>
              <w:t>15,290</w:t>
            </w:r>
          </w:p>
        </w:tc>
        <w:tc>
          <w:tcPr>
            <w:tcW w:w="1410" w:type="dxa"/>
            <w:tcBorders>
              <w:top w:val="nil"/>
              <w:left w:val="nil"/>
              <w:bottom w:val="single" w:sz="4" w:space="0" w:color="auto"/>
              <w:right w:val="nil"/>
            </w:tcBorders>
            <w:shd w:val="clear" w:color="auto" w:fill="auto"/>
          </w:tcPr>
          <w:p w:rsidR="007F71F3" w:rsidRPr="008B1867" w:rsidRDefault="007F71F3" w:rsidP="00DC3DD3">
            <w:pPr>
              <w:pStyle w:val="PlainText"/>
              <w:tabs>
                <w:tab w:val="left" w:pos="284"/>
                <w:tab w:val="left" w:pos="426"/>
              </w:tabs>
              <w:spacing w:after="100" w:line="288" w:lineRule="auto"/>
              <w:jc w:val="right"/>
              <w:rPr>
                <w:rFonts w:ascii="Times New Roman" w:hAnsi="Times New Roman" w:cs="Times New Roman"/>
              </w:rPr>
            </w:pPr>
            <w:r w:rsidRPr="008B1867">
              <w:rPr>
                <w:rFonts w:ascii="Times New Roman" w:hAnsi="Times New Roman" w:cs="Times New Roman"/>
              </w:rPr>
              <w:t>15,400</w:t>
            </w:r>
          </w:p>
        </w:tc>
        <w:tc>
          <w:tcPr>
            <w:tcW w:w="1410" w:type="dxa"/>
            <w:tcBorders>
              <w:top w:val="nil"/>
              <w:left w:val="nil"/>
              <w:bottom w:val="single" w:sz="4" w:space="0" w:color="auto"/>
              <w:right w:val="nil"/>
            </w:tcBorders>
            <w:shd w:val="clear" w:color="auto" w:fill="auto"/>
          </w:tcPr>
          <w:p w:rsidR="007F71F3" w:rsidRPr="008B1867" w:rsidRDefault="007F71F3" w:rsidP="00DC3DD3">
            <w:pPr>
              <w:pStyle w:val="PlainText"/>
              <w:tabs>
                <w:tab w:val="left" w:pos="284"/>
                <w:tab w:val="left" w:pos="426"/>
              </w:tabs>
              <w:spacing w:after="100" w:line="288" w:lineRule="auto"/>
              <w:jc w:val="right"/>
              <w:rPr>
                <w:rFonts w:ascii="Times New Roman" w:hAnsi="Times New Roman" w:cs="Times New Roman"/>
              </w:rPr>
            </w:pPr>
            <w:r w:rsidRPr="008B1867">
              <w:rPr>
                <w:rFonts w:ascii="Times New Roman" w:hAnsi="Times New Roman" w:cs="Times New Roman"/>
              </w:rPr>
              <w:t>14,924</w:t>
            </w:r>
          </w:p>
        </w:tc>
        <w:tc>
          <w:tcPr>
            <w:tcW w:w="1410" w:type="dxa"/>
            <w:tcBorders>
              <w:top w:val="nil"/>
              <w:left w:val="nil"/>
              <w:bottom w:val="single" w:sz="4" w:space="0" w:color="auto"/>
            </w:tcBorders>
            <w:shd w:val="clear" w:color="auto" w:fill="auto"/>
          </w:tcPr>
          <w:p w:rsidR="007F71F3" w:rsidRPr="008B1867" w:rsidRDefault="007F71F3" w:rsidP="00DC3DD3">
            <w:pPr>
              <w:pStyle w:val="PlainText"/>
              <w:tabs>
                <w:tab w:val="left" w:pos="284"/>
                <w:tab w:val="left" w:pos="426"/>
              </w:tabs>
              <w:spacing w:after="100" w:line="288" w:lineRule="auto"/>
              <w:jc w:val="right"/>
              <w:rPr>
                <w:rFonts w:ascii="Times New Roman" w:hAnsi="Times New Roman" w:cs="Times New Roman"/>
              </w:rPr>
            </w:pPr>
            <w:r w:rsidRPr="008B1867">
              <w:rPr>
                <w:rFonts w:ascii="Times New Roman" w:hAnsi="Times New Roman" w:cs="Times New Roman"/>
              </w:rPr>
              <w:t>15,626</w:t>
            </w:r>
          </w:p>
        </w:tc>
      </w:tr>
    </w:tbl>
    <w:p w:rsidR="00DC3DD3" w:rsidRPr="00DC3DD3" w:rsidRDefault="00DC3DD3" w:rsidP="00DC3DD3">
      <w:pPr>
        <w:widowControl w:val="0"/>
        <w:tabs>
          <w:tab w:val="left" w:pos="284"/>
          <w:tab w:val="left" w:pos="426"/>
        </w:tabs>
        <w:overflowPunct w:val="0"/>
        <w:autoSpaceDE w:val="0"/>
        <w:autoSpaceDN w:val="0"/>
        <w:adjustRightInd w:val="0"/>
        <w:jc w:val="both"/>
        <w:rPr>
          <w:i/>
          <w:sz w:val="20"/>
        </w:rPr>
      </w:pPr>
      <w:r>
        <w:rPr>
          <w:i/>
          <w:sz w:val="20"/>
        </w:rPr>
        <w:t>Notes</w:t>
      </w:r>
    </w:p>
    <w:p w:rsidR="008B1867" w:rsidRDefault="00050694" w:rsidP="00DC3DD3">
      <w:pPr>
        <w:widowControl w:val="0"/>
        <w:tabs>
          <w:tab w:val="left" w:pos="284"/>
          <w:tab w:val="left" w:pos="426"/>
        </w:tabs>
        <w:overflowPunct w:val="0"/>
        <w:autoSpaceDE w:val="0"/>
        <w:autoSpaceDN w:val="0"/>
        <w:adjustRightInd w:val="0"/>
        <w:jc w:val="both"/>
        <w:rPr>
          <w:sz w:val="20"/>
        </w:rPr>
      </w:pPr>
      <w:r w:rsidRPr="002C46BA">
        <w:rPr>
          <w:sz w:val="20"/>
        </w:rPr>
        <w:t xml:space="preserve">Robust </w:t>
      </w:r>
      <w:r w:rsidRPr="00F2738B">
        <w:rPr>
          <w:i/>
          <w:sz w:val="20"/>
        </w:rPr>
        <w:t>t</w:t>
      </w:r>
      <w:r w:rsidRPr="002C46BA">
        <w:rPr>
          <w:sz w:val="20"/>
        </w:rPr>
        <w:t xml:space="preserve"> statistics in parentheses,</w:t>
      </w:r>
      <w:r w:rsidR="00DC3DD3">
        <w:rPr>
          <w:sz w:val="20"/>
        </w:rPr>
        <w:t xml:space="preserve"> corrected for sampling weights.</w:t>
      </w:r>
      <w:r w:rsidRPr="002C46BA">
        <w:rPr>
          <w:sz w:val="20"/>
        </w:rPr>
        <w:t xml:space="preserve"> </w:t>
      </w:r>
    </w:p>
    <w:p w:rsidR="008B1867" w:rsidRDefault="008B1867" w:rsidP="00DC3DD3">
      <w:pPr>
        <w:widowControl w:val="0"/>
        <w:tabs>
          <w:tab w:val="left" w:pos="284"/>
          <w:tab w:val="left" w:pos="426"/>
        </w:tabs>
        <w:overflowPunct w:val="0"/>
        <w:autoSpaceDE w:val="0"/>
        <w:autoSpaceDN w:val="0"/>
        <w:adjustRightInd w:val="0"/>
        <w:jc w:val="both"/>
        <w:rPr>
          <w:sz w:val="20"/>
        </w:rPr>
      </w:pPr>
      <w:r>
        <w:rPr>
          <w:sz w:val="20"/>
        </w:rPr>
        <w:t>*</w:t>
      </w:r>
      <w:r w:rsidR="00720138">
        <w:rPr>
          <w:sz w:val="20"/>
        </w:rPr>
        <w:tab/>
      </w:r>
      <w:proofErr w:type="gramStart"/>
      <w:r>
        <w:rPr>
          <w:sz w:val="20"/>
        </w:rPr>
        <w:t>significant</w:t>
      </w:r>
      <w:proofErr w:type="gramEnd"/>
      <w:r>
        <w:rPr>
          <w:sz w:val="20"/>
        </w:rPr>
        <w:t xml:space="preserve"> at 5%</w:t>
      </w:r>
      <w:r w:rsidR="00050694" w:rsidRPr="002C46BA">
        <w:rPr>
          <w:sz w:val="20"/>
        </w:rPr>
        <w:t xml:space="preserve"> </w:t>
      </w:r>
    </w:p>
    <w:p w:rsidR="00014363" w:rsidRPr="002C46BA" w:rsidRDefault="00050694" w:rsidP="00DC3DD3">
      <w:pPr>
        <w:widowControl w:val="0"/>
        <w:tabs>
          <w:tab w:val="left" w:pos="284"/>
          <w:tab w:val="left" w:pos="426"/>
        </w:tabs>
        <w:overflowPunct w:val="0"/>
        <w:autoSpaceDE w:val="0"/>
        <w:autoSpaceDN w:val="0"/>
        <w:adjustRightInd w:val="0"/>
        <w:jc w:val="both"/>
        <w:rPr>
          <w:sz w:val="20"/>
        </w:rPr>
      </w:pPr>
      <w:r w:rsidRPr="002C46BA">
        <w:rPr>
          <w:sz w:val="20"/>
        </w:rPr>
        <w:t xml:space="preserve">** </w:t>
      </w:r>
      <w:r w:rsidR="00720138">
        <w:rPr>
          <w:sz w:val="20"/>
        </w:rPr>
        <w:tab/>
      </w:r>
      <w:proofErr w:type="gramStart"/>
      <w:r w:rsidRPr="002C46BA">
        <w:rPr>
          <w:sz w:val="20"/>
        </w:rPr>
        <w:t>significant</w:t>
      </w:r>
      <w:proofErr w:type="gramEnd"/>
      <w:r w:rsidRPr="002C46BA">
        <w:rPr>
          <w:sz w:val="20"/>
        </w:rPr>
        <w:t xml:space="preserve"> at 1%.</w:t>
      </w:r>
    </w:p>
    <w:p w:rsidR="00933B5F" w:rsidRDefault="00933B5F" w:rsidP="005A2C59">
      <w:pPr>
        <w:widowControl w:val="0"/>
        <w:tabs>
          <w:tab w:val="left" w:pos="284"/>
          <w:tab w:val="left" w:pos="426"/>
        </w:tabs>
        <w:autoSpaceDE w:val="0"/>
        <w:autoSpaceDN w:val="0"/>
        <w:adjustRightInd w:val="0"/>
        <w:spacing w:line="288" w:lineRule="auto"/>
      </w:pPr>
    </w:p>
    <w:p w:rsidR="002C46BA" w:rsidRDefault="002C46BA" w:rsidP="005A2C59">
      <w:pPr>
        <w:widowControl w:val="0"/>
        <w:tabs>
          <w:tab w:val="left" w:pos="284"/>
          <w:tab w:val="left" w:pos="426"/>
        </w:tabs>
        <w:overflowPunct w:val="0"/>
        <w:autoSpaceDE w:val="0"/>
        <w:autoSpaceDN w:val="0"/>
        <w:adjustRightInd w:val="0"/>
        <w:spacing w:line="288" w:lineRule="auto"/>
        <w:jc w:val="both"/>
      </w:pPr>
    </w:p>
    <w:p w:rsidR="002C46BA" w:rsidRDefault="002C46BA" w:rsidP="002C46BA">
      <w:pPr>
        <w:widowControl w:val="0"/>
        <w:tabs>
          <w:tab w:val="left" w:pos="284"/>
          <w:tab w:val="left" w:pos="426"/>
        </w:tabs>
        <w:overflowPunct w:val="0"/>
        <w:autoSpaceDE w:val="0"/>
        <w:autoSpaceDN w:val="0"/>
        <w:adjustRightInd w:val="0"/>
        <w:spacing w:line="288" w:lineRule="auto"/>
        <w:jc w:val="both"/>
      </w:pPr>
      <w:r>
        <w:tab/>
      </w:r>
    </w:p>
    <w:p w:rsidR="002C46BA" w:rsidRDefault="002C46BA" w:rsidP="005A2C59">
      <w:pPr>
        <w:widowControl w:val="0"/>
        <w:tabs>
          <w:tab w:val="left" w:pos="284"/>
          <w:tab w:val="left" w:pos="426"/>
        </w:tabs>
        <w:overflowPunct w:val="0"/>
        <w:autoSpaceDE w:val="0"/>
        <w:autoSpaceDN w:val="0"/>
        <w:adjustRightInd w:val="0"/>
        <w:spacing w:line="288" w:lineRule="auto"/>
        <w:jc w:val="both"/>
      </w:pPr>
    </w:p>
    <w:p w:rsidR="008623C3" w:rsidRDefault="00050694" w:rsidP="00912053">
      <w:pPr>
        <w:pStyle w:val="PlainText"/>
        <w:tabs>
          <w:tab w:val="left" w:pos="284"/>
          <w:tab w:val="left" w:pos="426"/>
        </w:tabs>
        <w:jc w:val="center"/>
        <w:rPr>
          <w:rFonts w:ascii="Times New Roman" w:hAnsi="Times New Roman" w:cs="Times New Roman"/>
          <w:b/>
          <w:sz w:val="22"/>
          <w:szCs w:val="22"/>
        </w:rPr>
      </w:pPr>
      <w:r w:rsidRPr="002C46BA">
        <w:rPr>
          <w:rFonts w:ascii="Times New Roman" w:hAnsi="Times New Roman" w:cs="Times New Roman"/>
          <w:b/>
          <w:sz w:val="22"/>
          <w:szCs w:val="22"/>
        </w:rPr>
        <w:lastRenderedPageBreak/>
        <w:t>Table 5</w:t>
      </w:r>
      <w:r w:rsidR="002C46BA">
        <w:rPr>
          <w:rFonts w:ascii="Times New Roman" w:hAnsi="Times New Roman" w:cs="Times New Roman"/>
          <w:b/>
          <w:sz w:val="22"/>
          <w:szCs w:val="22"/>
        </w:rPr>
        <w:t>: Testing the T</w:t>
      </w:r>
      <w:r w:rsidRPr="002C46BA">
        <w:rPr>
          <w:rFonts w:ascii="Times New Roman" w:hAnsi="Times New Roman" w:cs="Times New Roman"/>
          <w:b/>
          <w:sz w:val="22"/>
          <w:szCs w:val="22"/>
        </w:rPr>
        <w:t xml:space="preserve">rend </w:t>
      </w:r>
      <w:r w:rsidR="002C46BA">
        <w:rPr>
          <w:rFonts w:ascii="Times New Roman" w:hAnsi="Times New Roman" w:cs="Times New Roman"/>
          <w:b/>
          <w:sz w:val="22"/>
          <w:szCs w:val="22"/>
        </w:rPr>
        <w:t>in Interaction T</w:t>
      </w:r>
      <w:r w:rsidRPr="002C46BA">
        <w:rPr>
          <w:rFonts w:ascii="Times New Roman" w:hAnsi="Times New Roman" w:cs="Times New Roman"/>
          <w:b/>
          <w:sz w:val="22"/>
          <w:szCs w:val="22"/>
        </w:rPr>
        <w:t xml:space="preserve">erm </w:t>
      </w:r>
      <w:r w:rsidR="002C46BA">
        <w:rPr>
          <w:rFonts w:ascii="Times New Roman" w:hAnsi="Times New Roman" w:cs="Times New Roman"/>
          <w:b/>
          <w:sz w:val="22"/>
          <w:szCs w:val="22"/>
        </w:rPr>
        <w:t>R</w:t>
      </w:r>
      <w:r w:rsidRPr="002C46BA">
        <w:rPr>
          <w:rFonts w:ascii="Times New Roman" w:hAnsi="Times New Roman" w:cs="Times New Roman"/>
          <w:b/>
          <w:sz w:val="22"/>
          <w:szCs w:val="22"/>
        </w:rPr>
        <w:t xml:space="preserve">egressions </w:t>
      </w:r>
    </w:p>
    <w:p w:rsidR="00050694" w:rsidRPr="008623C3" w:rsidRDefault="008623C3" w:rsidP="00912053">
      <w:pPr>
        <w:pStyle w:val="PlainText"/>
        <w:tabs>
          <w:tab w:val="left" w:pos="284"/>
          <w:tab w:val="left" w:pos="426"/>
        </w:tabs>
        <w:jc w:val="center"/>
        <w:rPr>
          <w:rFonts w:ascii="Times New Roman" w:hAnsi="Times New Roman" w:cs="Times New Roman"/>
          <w:sz w:val="22"/>
          <w:szCs w:val="22"/>
        </w:rPr>
      </w:pPr>
      <w:r>
        <w:rPr>
          <w:rFonts w:ascii="Times New Roman" w:hAnsi="Times New Roman" w:cs="Times New Roman"/>
          <w:sz w:val="22"/>
          <w:szCs w:val="22"/>
        </w:rPr>
        <w:t>(Heckman ML E</w:t>
      </w:r>
      <w:r w:rsidR="00050694" w:rsidRPr="008623C3">
        <w:rPr>
          <w:rFonts w:ascii="Times New Roman" w:hAnsi="Times New Roman" w:cs="Times New Roman"/>
          <w:sz w:val="22"/>
          <w:szCs w:val="22"/>
        </w:rPr>
        <w:t>stimates)</w:t>
      </w:r>
    </w:p>
    <w:tbl>
      <w:tblPr>
        <w:tblW w:w="0" w:type="auto"/>
        <w:tblBorders>
          <w:top w:val="single" w:sz="12" w:space="0" w:color="000000"/>
          <w:bottom w:val="single" w:sz="12" w:space="0" w:color="000000"/>
        </w:tblBorders>
        <w:tblLook w:val="04A0" w:firstRow="1" w:lastRow="0" w:firstColumn="1" w:lastColumn="0" w:noHBand="0" w:noVBand="1"/>
      </w:tblPr>
      <w:tblGrid>
        <w:gridCol w:w="2157"/>
        <w:gridCol w:w="1171"/>
        <w:gridCol w:w="1191"/>
        <w:gridCol w:w="1171"/>
        <w:gridCol w:w="1191"/>
        <w:gridCol w:w="1171"/>
        <w:gridCol w:w="1191"/>
      </w:tblGrid>
      <w:tr w:rsidR="00050694" w:rsidRPr="00050694" w:rsidTr="00912053">
        <w:tc>
          <w:tcPr>
            <w:tcW w:w="2303" w:type="dxa"/>
            <w:tcBorders>
              <w:top w:val="single" w:sz="4" w:space="0" w:color="auto"/>
              <w:bottom w:val="nil"/>
              <w:right w:val="nil"/>
            </w:tcBorders>
            <w:shd w:val="clear" w:color="auto" w:fill="auto"/>
          </w:tcPr>
          <w:p w:rsidR="00050694" w:rsidRPr="00B45A91" w:rsidRDefault="00050694" w:rsidP="005A2C59">
            <w:pPr>
              <w:pStyle w:val="PlainText"/>
              <w:tabs>
                <w:tab w:val="left" w:pos="284"/>
                <w:tab w:val="left" w:pos="426"/>
              </w:tabs>
              <w:spacing w:line="288" w:lineRule="auto"/>
              <w:rPr>
                <w:rFonts w:ascii="Times New Roman" w:hAnsi="Times New Roman" w:cs="Times New Roman"/>
                <w:i/>
                <w:iCs/>
              </w:rPr>
            </w:pPr>
          </w:p>
        </w:tc>
        <w:tc>
          <w:tcPr>
            <w:tcW w:w="2422" w:type="dxa"/>
            <w:gridSpan w:val="2"/>
            <w:tcBorders>
              <w:top w:val="single" w:sz="4" w:space="0" w:color="auto"/>
              <w:left w:val="nil"/>
              <w:bottom w:val="nil"/>
            </w:tcBorders>
            <w:shd w:val="clear" w:color="auto" w:fill="auto"/>
          </w:tcPr>
          <w:p w:rsidR="00050694" w:rsidRPr="00A22567" w:rsidRDefault="00050694" w:rsidP="005A2C59">
            <w:pPr>
              <w:pStyle w:val="PlainText"/>
              <w:tabs>
                <w:tab w:val="left" w:pos="284"/>
                <w:tab w:val="left" w:pos="426"/>
              </w:tabs>
              <w:spacing w:line="288" w:lineRule="auto"/>
              <w:jc w:val="center"/>
              <w:rPr>
                <w:rFonts w:ascii="Times New Roman" w:hAnsi="Times New Roman" w:cs="Times New Roman"/>
                <w:iCs/>
              </w:rPr>
            </w:pPr>
            <w:r w:rsidRPr="00A22567">
              <w:rPr>
                <w:rFonts w:ascii="Times New Roman" w:hAnsi="Times New Roman" w:cs="Times New Roman"/>
                <w:iCs/>
              </w:rPr>
              <w:t>2008/2010</w:t>
            </w:r>
          </w:p>
        </w:tc>
        <w:tc>
          <w:tcPr>
            <w:tcW w:w="2423" w:type="dxa"/>
            <w:gridSpan w:val="2"/>
            <w:tcBorders>
              <w:top w:val="single" w:sz="4" w:space="0" w:color="auto"/>
              <w:bottom w:val="nil"/>
            </w:tcBorders>
            <w:shd w:val="clear" w:color="auto" w:fill="auto"/>
          </w:tcPr>
          <w:p w:rsidR="00050694" w:rsidRPr="00A22567" w:rsidRDefault="00050694" w:rsidP="005A2C59">
            <w:pPr>
              <w:pStyle w:val="PlainText"/>
              <w:tabs>
                <w:tab w:val="left" w:pos="284"/>
                <w:tab w:val="left" w:pos="426"/>
              </w:tabs>
              <w:spacing w:line="288" w:lineRule="auto"/>
              <w:jc w:val="center"/>
              <w:rPr>
                <w:rFonts w:ascii="Times New Roman" w:hAnsi="Times New Roman" w:cs="Times New Roman"/>
                <w:iCs/>
              </w:rPr>
            </w:pPr>
            <w:r w:rsidRPr="00A22567">
              <w:rPr>
                <w:rFonts w:ascii="Times New Roman" w:hAnsi="Times New Roman" w:cs="Times New Roman"/>
                <w:iCs/>
              </w:rPr>
              <w:t>2010/2012</w:t>
            </w:r>
          </w:p>
        </w:tc>
        <w:tc>
          <w:tcPr>
            <w:tcW w:w="2423" w:type="dxa"/>
            <w:gridSpan w:val="2"/>
            <w:tcBorders>
              <w:top w:val="single" w:sz="4" w:space="0" w:color="auto"/>
              <w:bottom w:val="nil"/>
            </w:tcBorders>
            <w:shd w:val="clear" w:color="auto" w:fill="auto"/>
          </w:tcPr>
          <w:p w:rsidR="00050694" w:rsidRPr="00A22567" w:rsidRDefault="00050694" w:rsidP="005A2C59">
            <w:pPr>
              <w:pStyle w:val="PlainText"/>
              <w:tabs>
                <w:tab w:val="left" w:pos="284"/>
                <w:tab w:val="left" w:pos="426"/>
              </w:tabs>
              <w:spacing w:line="288" w:lineRule="auto"/>
              <w:jc w:val="center"/>
              <w:rPr>
                <w:rFonts w:ascii="Times New Roman" w:hAnsi="Times New Roman" w:cs="Times New Roman"/>
                <w:iCs/>
              </w:rPr>
            </w:pPr>
            <w:r w:rsidRPr="00A22567">
              <w:rPr>
                <w:rFonts w:ascii="Times New Roman" w:hAnsi="Times New Roman" w:cs="Times New Roman"/>
                <w:iCs/>
              </w:rPr>
              <w:t>2012/2014</w:t>
            </w:r>
          </w:p>
        </w:tc>
      </w:tr>
      <w:tr w:rsidR="00050694" w:rsidRPr="00050694" w:rsidTr="00912053">
        <w:tc>
          <w:tcPr>
            <w:tcW w:w="2303" w:type="dxa"/>
            <w:tcBorders>
              <w:top w:val="nil"/>
              <w:bottom w:val="single" w:sz="4" w:space="0" w:color="auto"/>
              <w:right w:val="nil"/>
            </w:tcBorders>
            <w:shd w:val="clear" w:color="auto" w:fill="auto"/>
          </w:tcPr>
          <w:p w:rsidR="00050694" w:rsidRPr="00B45A91" w:rsidRDefault="00050694" w:rsidP="005A2C59">
            <w:pPr>
              <w:pStyle w:val="PlainText"/>
              <w:tabs>
                <w:tab w:val="left" w:pos="284"/>
                <w:tab w:val="left" w:pos="426"/>
              </w:tabs>
              <w:spacing w:line="288" w:lineRule="auto"/>
              <w:rPr>
                <w:rFonts w:ascii="Times New Roman" w:hAnsi="Times New Roman" w:cs="Times New Roman"/>
              </w:rPr>
            </w:pPr>
          </w:p>
        </w:tc>
        <w:tc>
          <w:tcPr>
            <w:tcW w:w="1199" w:type="dxa"/>
            <w:tcBorders>
              <w:top w:val="nil"/>
              <w:left w:val="nil"/>
              <w:bottom w:val="single" w:sz="4" w:space="0" w:color="auto"/>
            </w:tcBorders>
            <w:shd w:val="clear" w:color="auto" w:fill="auto"/>
          </w:tcPr>
          <w:p w:rsidR="00050694" w:rsidRPr="00A22567" w:rsidRDefault="00050694" w:rsidP="005A2C59">
            <w:pPr>
              <w:pStyle w:val="PlainText"/>
              <w:tabs>
                <w:tab w:val="left" w:pos="284"/>
                <w:tab w:val="left" w:pos="426"/>
              </w:tabs>
              <w:spacing w:line="288" w:lineRule="auto"/>
              <w:jc w:val="center"/>
              <w:rPr>
                <w:rFonts w:ascii="Times New Roman" w:hAnsi="Times New Roman" w:cs="Times New Roman"/>
              </w:rPr>
            </w:pPr>
            <w:r w:rsidRPr="00A22567">
              <w:rPr>
                <w:rFonts w:ascii="Times New Roman" w:hAnsi="Times New Roman" w:cs="Times New Roman"/>
              </w:rPr>
              <w:t>wage</w:t>
            </w:r>
          </w:p>
        </w:tc>
        <w:tc>
          <w:tcPr>
            <w:tcW w:w="1223" w:type="dxa"/>
            <w:tcBorders>
              <w:top w:val="nil"/>
              <w:bottom w:val="single" w:sz="4" w:space="0" w:color="auto"/>
            </w:tcBorders>
            <w:shd w:val="clear" w:color="auto" w:fill="auto"/>
          </w:tcPr>
          <w:p w:rsidR="00050694" w:rsidRPr="00A22567" w:rsidRDefault="00050694" w:rsidP="005A2C59">
            <w:pPr>
              <w:pStyle w:val="PlainText"/>
              <w:tabs>
                <w:tab w:val="left" w:pos="284"/>
                <w:tab w:val="left" w:pos="426"/>
              </w:tabs>
              <w:spacing w:line="288" w:lineRule="auto"/>
              <w:jc w:val="center"/>
              <w:rPr>
                <w:rFonts w:ascii="Times New Roman" w:hAnsi="Times New Roman" w:cs="Times New Roman"/>
              </w:rPr>
            </w:pPr>
            <w:r w:rsidRPr="00A22567">
              <w:rPr>
                <w:rFonts w:ascii="Times New Roman" w:hAnsi="Times New Roman" w:cs="Times New Roman"/>
              </w:rPr>
              <w:t>selection</w:t>
            </w:r>
          </w:p>
        </w:tc>
        <w:tc>
          <w:tcPr>
            <w:tcW w:w="1200" w:type="dxa"/>
            <w:tcBorders>
              <w:top w:val="nil"/>
              <w:bottom w:val="single" w:sz="4" w:space="0" w:color="auto"/>
            </w:tcBorders>
            <w:shd w:val="clear" w:color="auto" w:fill="auto"/>
          </w:tcPr>
          <w:p w:rsidR="00050694" w:rsidRPr="00A22567" w:rsidRDefault="00050694" w:rsidP="005A2C59">
            <w:pPr>
              <w:pStyle w:val="PlainText"/>
              <w:tabs>
                <w:tab w:val="left" w:pos="284"/>
                <w:tab w:val="left" w:pos="426"/>
              </w:tabs>
              <w:spacing w:line="288" w:lineRule="auto"/>
              <w:jc w:val="center"/>
              <w:rPr>
                <w:rFonts w:ascii="Times New Roman" w:hAnsi="Times New Roman" w:cs="Times New Roman"/>
              </w:rPr>
            </w:pPr>
            <w:r w:rsidRPr="00A22567">
              <w:rPr>
                <w:rFonts w:ascii="Times New Roman" w:hAnsi="Times New Roman" w:cs="Times New Roman"/>
              </w:rPr>
              <w:t>wage</w:t>
            </w:r>
          </w:p>
        </w:tc>
        <w:tc>
          <w:tcPr>
            <w:tcW w:w="1223" w:type="dxa"/>
            <w:tcBorders>
              <w:top w:val="nil"/>
              <w:bottom w:val="single" w:sz="4" w:space="0" w:color="auto"/>
            </w:tcBorders>
            <w:shd w:val="clear" w:color="auto" w:fill="auto"/>
          </w:tcPr>
          <w:p w:rsidR="00050694" w:rsidRPr="00A22567" w:rsidRDefault="00050694" w:rsidP="005A2C59">
            <w:pPr>
              <w:pStyle w:val="PlainText"/>
              <w:tabs>
                <w:tab w:val="left" w:pos="284"/>
                <w:tab w:val="left" w:pos="426"/>
              </w:tabs>
              <w:spacing w:line="288" w:lineRule="auto"/>
              <w:jc w:val="center"/>
              <w:rPr>
                <w:rFonts w:ascii="Times New Roman" w:hAnsi="Times New Roman" w:cs="Times New Roman"/>
              </w:rPr>
            </w:pPr>
            <w:r w:rsidRPr="00A22567">
              <w:rPr>
                <w:rFonts w:ascii="Times New Roman" w:hAnsi="Times New Roman" w:cs="Times New Roman"/>
              </w:rPr>
              <w:t>selection</w:t>
            </w:r>
          </w:p>
        </w:tc>
        <w:tc>
          <w:tcPr>
            <w:tcW w:w="1200" w:type="dxa"/>
            <w:tcBorders>
              <w:top w:val="nil"/>
              <w:bottom w:val="single" w:sz="4" w:space="0" w:color="auto"/>
            </w:tcBorders>
            <w:shd w:val="clear" w:color="auto" w:fill="auto"/>
          </w:tcPr>
          <w:p w:rsidR="00050694" w:rsidRPr="00A22567" w:rsidRDefault="00050694" w:rsidP="005A2C59">
            <w:pPr>
              <w:pStyle w:val="PlainText"/>
              <w:tabs>
                <w:tab w:val="left" w:pos="284"/>
                <w:tab w:val="left" w:pos="426"/>
              </w:tabs>
              <w:spacing w:line="288" w:lineRule="auto"/>
              <w:jc w:val="center"/>
              <w:rPr>
                <w:rFonts w:ascii="Times New Roman" w:hAnsi="Times New Roman" w:cs="Times New Roman"/>
              </w:rPr>
            </w:pPr>
            <w:r w:rsidRPr="00A22567">
              <w:rPr>
                <w:rFonts w:ascii="Times New Roman" w:hAnsi="Times New Roman" w:cs="Times New Roman"/>
              </w:rPr>
              <w:t>wage</w:t>
            </w:r>
          </w:p>
        </w:tc>
        <w:tc>
          <w:tcPr>
            <w:tcW w:w="1223" w:type="dxa"/>
            <w:tcBorders>
              <w:top w:val="nil"/>
              <w:bottom w:val="single" w:sz="4" w:space="0" w:color="auto"/>
            </w:tcBorders>
            <w:shd w:val="clear" w:color="auto" w:fill="auto"/>
          </w:tcPr>
          <w:p w:rsidR="00050694" w:rsidRPr="00A22567" w:rsidRDefault="00050694" w:rsidP="005A2C59">
            <w:pPr>
              <w:pStyle w:val="PlainText"/>
              <w:tabs>
                <w:tab w:val="left" w:pos="284"/>
                <w:tab w:val="left" w:pos="426"/>
              </w:tabs>
              <w:spacing w:line="288" w:lineRule="auto"/>
              <w:jc w:val="center"/>
              <w:rPr>
                <w:rFonts w:ascii="Times New Roman" w:hAnsi="Times New Roman" w:cs="Times New Roman"/>
              </w:rPr>
            </w:pPr>
            <w:r w:rsidRPr="00A22567">
              <w:rPr>
                <w:rFonts w:ascii="Times New Roman" w:hAnsi="Times New Roman" w:cs="Times New Roman"/>
              </w:rPr>
              <w:t>selection</w:t>
            </w:r>
          </w:p>
        </w:tc>
      </w:tr>
      <w:tr w:rsidR="00050694" w:rsidRPr="00050694" w:rsidTr="00F2738B">
        <w:tc>
          <w:tcPr>
            <w:tcW w:w="2303" w:type="dxa"/>
            <w:tcBorders>
              <w:top w:val="single" w:sz="4" w:space="0" w:color="auto"/>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r w:rsidRPr="00B45A91">
              <w:rPr>
                <w:rFonts w:ascii="Times New Roman" w:hAnsi="Times New Roman" w:cs="Times New Roman"/>
              </w:rPr>
              <w:t>Second year dummy</w:t>
            </w:r>
          </w:p>
        </w:tc>
        <w:tc>
          <w:tcPr>
            <w:tcW w:w="1199" w:type="dxa"/>
            <w:tcBorders>
              <w:top w:val="single" w:sz="4" w:space="0" w:color="auto"/>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0.6895</w:t>
            </w:r>
          </w:p>
        </w:tc>
        <w:tc>
          <w:tcPr>
            <w:tcW w:w="1223" w:type="dxa"/>
            <w:tcBorders>
              <w:top w:val="single" w:sz="4" w:space="0" w:color="auto"/>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0.0892</w:t>
            </w:r>
          </w:p>
        </w:tc>
        <w:tc>
          <w:tcPr>
            <w:tcW w:w="1200" w:type="dxa"/>
            <w:tcBorders>
              <w:top w:val="single" w:sz="4" w:space="0" w:color="auto"/>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0.4904</w:t>
            </w:r>
          </w:p>
        </w:tc>
        <w:tc>
          <w:tcPr>
            <w:tcW w:w="1223" w:type="dxa"/>
            <w:tcBorders>
              <w:top w:val="single" w:sz="4" w:space="0" w:color="auto"/>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-0.2861</w:t>
            </w:r>
          </w:p>
        </w:tc>
        <w:tc>
          <w:tcPr>
            <w:tcW w:w="1200" w:type="dxa"/>
            <w:tcBorders>
              <w:top w:val="single" w:sz="4" w:space="0" w:color="auto"/>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0.1987</w:t>
            </w:r>
          </w:p>
        </w:tc>
        <w:tc>
          <w:tcPr>
            <w:tcW w:w="1223" w:type="dxa"/>
            <w:tcBorders>
              <w:top w:val="single" w:sz="4" w:space="0" w:color="auto"/>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0.1443</w:t>
            </w:r>
          </w:p>
        </w:tc>
      </w:tr>
      <w:tr w:rsidR="00050694" w:rsidRPr="00050694" w:rsidTr="00F2738B">
        <w:tc>
          <w:tcPr>
            <w:tcW w:w="2303" w:type="dxa"/>
            <w:tcBorders>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(13.71)**</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(1.08)</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(10.95)**</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(3.96)**</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(5.37)**</w:t>
            </w:r>
          </w:p>
        </w:tc>
        <w:tc>
          <w:tcPr>
            <w:tcW w:w="1223" w:type="dxa"/>
            <w:shd w:val="clear" w:color="auto" w:fill="auto"/>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(2.17)*</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F2738B">
        <w:tc>
          <w:tcPr>
            <w:tcW w:w="2303" w:type="dxa"/>
            <w:tcBorders>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r w:rsidRPr="00B45A91">
              <w:rPr>
                <w:rFonts w:ascii="Times New Roman" w:hAnsi="Times New Roman" w:cs="Times New Roman"/>
              </w:rPr>
              <w:t>School year</w:t>
            </w: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0.1042</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0.0873</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0.0839</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0.0922</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0.0682</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0.0901</w:t>
            </w:r>
          </w:p>
        </w:tc>
      </w:tr>
      <w:tr w:rsidR="00050694" w:rsidRPr="00050694" w:rsidTr="00F2738B">
        <w:tc>
          <w:tcPr>
            <w:tcW w:w="2303" w:type="dxa"/>
            <w:tcBorders>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(35.63)**</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(25.32)**</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(26.56)**</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(27.81)**</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(27.90)**</w:t>
            </w:r>
          </w:p>
        </w:tc>
        <w:tc>
          <w:tcPr>
            <w:tcW w:w="1223" w:type="dxa"/>
            <w:shd w:val="clear" w:color="auto" w:fill="auto"/>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(36.47)**</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F2738B">
        <w:tc>
          <w:tcPr>
            <w:tcW w:w="2303" w:type="dxa"/>
            <w:tcBorders>
              <w:right w:val="nil"/>
            </w:tcBorders>
            <w:shd w:val="clear" w:color="auto" w:fill="DBE5F1"/>
          </w:tcPr>
          <w:p w:rsidR="00050694" w:rsidRPr="00B45A91" w:rsidRDefault="001945B2" w:rsidP="00912053">
            <w:pPr>
              <w:pStyle w:val="PlainText"/>
              <w:tabs>
                <w:tab w:val="left" w:pos="284"/>
                <w:tab w:val="left" w:pos="426"/>
              </w:tabs>
              <w:rPr>
                <w:rFonts w:ascii="Times New Roman" w:hAnsi="Times New Roman" w:cs="Times New Roman"/>
              </w:rPr>
            </w:pPr>
            <w:r w:rsidRPr="00B45A91">
              <w:rPr>
                <w:rFonts w:ascii="Times New Roman" w:hAnsi="Times New Roman" w:cs="Times New Roman"/>
              </w:rPr>
              <w:t>S</w:t>
            </w:r>
            <w:r w:rsidR="00050694" w:rsidRPr="00B45A91">
              <w:rPr>
                <w:rFonts w:ascii="Times New Roman" w:hAnsi="Times New Roman" w:cs="Times New Roman"/>
              </w:rPr>
              <w:t xml:space="preserve">chool </w:t>
            </w:r>
            <w:r w:rsidRPr="00B45A91">
              <w:rPr>
                <w:rFonts w:ascii="Times New Roman" w:hAnsi="Times New Roman" w:cs="Times New Roman"/>
              </w:rPr>
              <w:t>year</w:t>
            </w:r>
            <w:r w:rsidR="00611A45" w:rsidRPr="00B45A91">
              <w:rPr>
                <w:rFonts w:ascii="Times New Roman" w:hAnsi="Times New Roman" w:cs="Times New Roman"/>
              </w:rPr>
              <w:t xml:space="preserve"> </w:t>
            </w:r>
          </w:p>
        </w:tc>
        <w:tc>
          <w:tcPr>
            <w:tcW w:w="1199" w:type="dxa"/>
            <w:tcBorders>
              <w:left w:val="nil"/>
            </w:tcBorders>
            <w:shd w:val="clear" w:color="auto" w:fill="DBE5F1"/>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-0.0210</w:t>
            </w:r>
          </w:p>
        </w:tc>
        <w:tc>
          <w:tcPr>
            <w:tcW w:w="1223" w:type="dxa"/>
            <w:shd w:val="clear" w:color="auto" w:fill="DBE5F1"/>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0.0037</w:t>
            </w:r>
          </w:p>
        </w:tc>
        <w:tc>
          <w:tcPr>
            <w:tcW w:w="1200" w:type="dxa"/>
            <w:shd w:val="clear" w:color="auto" w:fill="DBE5F1"/>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-0.0113</w:t>
            </w:r>
          </w:p>
        </w:tc>
        <w:tc>
          <w:tcPr>
            <w:tcW w:w="1223" w:type="dxa"/>
            <w:shd w:val="clear" w:color="auto" w:fill="DBE5F1"/>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-0.0020</w:t>
            </w:r>
          </w:p>
        </w:tc>
        <w:tc>
          <w:tcPr>
            <w:tcW w:w="1200" w:type="dxa"/>
            <w:shd w:val="clear" w:color="auto" w:fill="DBE5F1"/>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-0.0034</w:t>
            </w:r>
          </w:p>
        </w:tc>
        <w:tc>
          <w:tcPr>
            <w:tcW w:w="1223" w:type="dxa"/>
            <w:shd w:val="clear" w:color="auto" w:fill="DBE5F1"/>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0.0025</w:t>
            </w:r>
          </w:p>
        </w:tc>
      </w:tr>
      <w:tr w:rsidR="00050694" w:rsidRPr="00050694" w:rsidTr="00F2738B">
        <w:tc>
          <w:tcPr>
            <w:tcW w:w="2303" w:type="dxa"/>
            <w:tcBorders>
              <w:right w:val="nil"/>
            </w:tcBorders>
            <w:shd w:val="clear" w:color="auto" w:fill="DBE5F1"/>
          </w:tcPr>
          <w:p w:rsidR="00050694" w:rsidRPr="00B45A91" w:rsidRDefault="00215F7A" w:rsidP="00912053">
            <w:pPr>
              <w:pStyle w:val="PlainText"/>
              <w:tabs>
                <w:tab w:val="left" w:pos="284"/>
                <w:tab w:val="left" w:pos="426"/>
              </w:tabs>
              <w:rPr>
                <w:rFonts w:ascii="Times New Roman" w:hAnsi="Times New Roman" w:cs="Times New Roman"/>
              </w:rPr>
            </w:pPr>
            <w:r>
              <w:rPr>
                <w:rFonts w:ascii="Times New Roman" w:hAnsi="Times New Roman" w:cs="Times New Roman"/>
              </w:rPr>
              <w:t>*</w:t>
            </w:r>
            <w:r w:rsidRPr="00B45A91">
              <w:rPr>
                <w:rFonts w:ascii="Times New Roman" w:hAnsi="Times New Roman" w:cs="Times New Roman"/>
              </w:rPr>
              <w:t xml:space="preserve"> Second year</w:t>
            </w:r>
          </w:p>
        </w:tc>
        <w:tc>
          <w:tcPr>
            <w:tcW w:w="1199" w:type="dxa"/>
            <w:tcBorders>
              <w:left w:val="nil"/>
            </w:tcBorders>
            <w:shd w:val="clear" w:color="auto" w:fill="DBE5F1"/>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(6.31)**</w:t>
            </w:r>
          </w:p>
        </w:tc>
        <w:tc>
          <w:tcPr>
            <w:tcW w:w="1223" w:type="dxa"/>
            <w:shd w:val="clear" w:color="auto" w:fill="DBE5F1"/>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(0.79)</w:t>
            </w:r>
          </w:p>
        </w:tc>
        <w:tc>
          <w:tcPr>
            <w:tcW w:w="1200" w:type="dxa"/>
            <w:shd w:val="clear" w:color="auto" w:fill="DBE5F1"/>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(4.12)**</w:t>
            </w:r>
          </w:p>
        </w:tc>
        <w:tc>
          <w:tcPr>
            <w:tcW w:w="1223" w:type="dxa"/>
            <w:shd w:val="clear" w:color="auto" w:fill="DBE5F1"/>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(0.49)</w:t>
            </w:r>
          </w:p>
        </w:tc>
        <w:tc>
          <w:tcPr>
            <w:tcW w:w="1200" w:type="dxa"/>
            <w:shd w:val="clear" w:color="auto" w:fill="DBE5F1"/>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(1.57)</w:t>
            </w:r>
          </w:p>
        </w:tc>
        <w:tc>
          <w:tcPr>
            <w:tcW w:w="1223" w:type="dxa"/>
            <w:shd w:val="clear" w:color="auto" w:fill="DBE5F1"/>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(0.68)</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F2738B">
        <w:tc>
          <w:tcPr>
            <w:tcW w:w="2303" w:type="dxa"/>
            <w:tcBorders>
              <w:right w:val="nil"/>
            </w:tcBorders>
            <w:shd w:val="clear" w:color="auto" w:fill="auto"/>
          </w:tcPr>
          <w:p w:rsidR="00050694" w:rsidRPr="00B45A91" w:rsidRDefault="00611A45" w:rsidP="00912053">
            <w:pPr>
              <w:pStyle w:val="PlainText"/>
              <w:tabs>
                <w:tab w:val="left" w:pos="284"/>
                <w:tab w:val="left" w:pos="426"/>
              </w:tabs>
              <w:rPr>
                <w:rFonts w:ascii="Times New Roman" w:hAnsi="Times New Roman" w:cs="Times New Roman"/>
              </w:rPr>
            </w:pPr>
            <w:proofErr w:type="spellStart"/>
            <w:r w:rsidRPr="00B45A91">
              <w:rPr>
                <w:rFonts w:ascii="Times New Roman" w:hAnsi="Times New Roman" w:cs="Times New Roman"/>
              </w:rPr>
              <w:t>E</w:t>
            </w:r>
            <w:r w:rsidR="00050694" w:rsidRPr="00B45A91">
              <w:rPr>
                <w:rFonts w:ascii="Times New Roman" w:hAnsi="Times New Roman" w:cs="Times New Roman"/>
              </w:rPr>
              <w:t>xp</w:t>
            </w:r>
            <w:proofErr w:type="spellEnd"/>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0.0563</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0.1039</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0.0593</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0.0982</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0.0525</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0.1047</w:t>
            </w:r>
          </w:p>
        </w:tc>
      </w:tr>
      <w:tr w:rsidR="00050694" w:rsidRPr="00050694" w:rsidTr="00F2738B">
        <w:tc>
          <w:tcPr>
            <w:tcW w:w="2303" w:type="dxa"/>
            <w:tcBorders>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(15.60)**</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(33.34)**</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(13.44)**</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(28.92)**</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(16.39)**</w:t>
            </w:r>
          </w:p>
        </w:tc>
        <w:tc>
          <w:tcPr>
            <w:tcW w:w="1223" w:type="dxa"/>
            <w:shd w:val="clear" w:color="auto" w:fill="auto"/>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(29.77)**</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F2738B">
        <w:tc>
          <w:tcPr>
            <w:tcW w:w="2303" w:type="dxa"/>
            <w:tcBorders>
              <w:right w:val="nil"/>
            </w:tcBorders>
            <w:shd w:val="clear" w:color="auto" w:fill="auto"/>
          </w:tcPr>
          <w:p w:rsidR="00050694" w:rsidRPr="00B45A91" w:rsidRDefault="00611A45" w:rsidP="00912053">
            <w:pPr>
              <w:pStyle w:val="PlainText"/>
              <w:tabs>
                <w:tab w:val="left" w:pos="284"/>
                <w:tab w:val="left" w:pos="426"/>
              </w:tabs>
              <w:rPr>
                <w:rFonts w:ascii="Times New Roman" w:hAnsi="Times New Roman" w:cs="Times New Roman"/>
              </w:rPr>
            </w:pPr>
            <w:proofErr w:type="spellStart"/>
            <w:r w:rsidRPr="00B45A91">
              <w:rPr>
                <w:rFonts w:ascii="Times New Roman" w:hAnsi="Times New Roman" w:cs="Times New Roman"/>
              </w:rPr>
              <w:t>E</w:t>
            </w:r>
            <w:r w:rsidR="001945B2" w:rsidRPr="00B45A91">
              <w:rPr>
                <w:rFonts w:ascii="Times New Roman" w:hAnsi="Times New Roman" w:cs="Times New Roman"/>
              </w:rPr>
              <w:t>xp</w:t>
            </w:r>
            <w:proofErr w:type="spellEnd"/>
            <w:r w:rsidRPr="00B45A91">
              <w:rPr>
                <w:rFonts w:ascii="Times New Roman" w:hAnsi="Times New Roman" w:cs="Times New Roman"/>
              </w:rPr>
              <w:t xml:space="preserve"> </w:t>
            </w:r>
            <w:r w:rsidR="00215F7A">
              <w:rPr>
                <w:rFonts w:ascii="Times New Roman" w:hAnsi="Times New Roman" w:cs="Times New Roman"/>
              </w:rPr>
              <w:t>*</w:t>
            </w:r>
            <w:r w:rsidRPr="00B45A91">
              <w:rPr>
                <w:rFonts w:ascii="Times New Roman" w:hAnsi="Times New Roman" w:cs="Times New Roman"/>
              </w:rPr>
              <w:t xml:space="preserve"> </w:t>
            </w:r>
            <w:r w:rsidR="001945B2" w:rsidRPr="00B45A91">
              <w:rPr>
                <w:rFonts w:ascii="Times New Roman" w:hAnsi="Times New Roman" w:cs="Times New Roman"/>
              </w:rPr>
              <w:t>S</w:t>
            </w:r>
            <w:r w:rsidR="00050694" w:rsidRPr="00B45A91">
              <w:rPr>
                <w:rFonts w:ascii="Times New Roman" w:hAnsi="Times New Roman" w:cs="Times New Roman"/>
              </w:rPr>
              <w:t>econd</w:t>
            </w:r>
            <w:r w:rsidR="001945B2" w:rsidRPr="00B45A91">
              <w:rPr>
                <w:rFonts w:ascii="Times New Roman" w:hAnsi="Times New Roman" w:cs="Times New Roman"/>
              </w:rPr>
              <w:t xml:space="preserve"> </w:t>
            </w:r>
            <w:r w:rsidR="00050694" w:rsidRPr="00B45A91">
              <w:rPr>
                <w:rFonts w:ascii="Times New Roman" w:hAnsi="Times New Roman" w:cs="Times New Roman"/>
              </w:rPr>
              <w:t>year</w:t>
            </w: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0.0018</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-0.0060</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-0.0002</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0.0060</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0.0054</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0.0048</w:t>
            </w:r>
          </w:p>
        </w:tc>
      </w:tr>
      <w:tr w:rsidR="00050694" w:rsidRPr="00050694" w:rsidTr="00F2738B">
        <w:tc>
          <w:tcPr>
            <w:tcW w:w="2303" w:type="dxa"/>
            <w:tcBorders>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(0.45)</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(1.31)</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(0.06)</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(1.23)</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(1.69)+</w:t>
            </w:r>
          </w:p>
        </w:tc>
        <w:tc>
          <w:tcPr>
            <w:tcW w:w="1223" w:type="dxa"/>
            <w:shd w:val="clear" w:color="auto" w:fill="auto"/>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(0.96)</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F2738B">
        <w:tc>
          <w:tcPr>
            <w:tcW w:w="2303" w:type="dxa"/>
            <w:tcBorders>
              <w:right w:val="nil"/>
            </w:tcBorders>
            <w:shd w:val="clear" w:color="auto" w:fill="auto"/>
          </w:tcPr>
          <w:p w:rsidR="00050694" w:rsidRPr="00B45A91" w:rsidRDefault="00215F7A" w:rsidP="00912053">
            <w:pPr>
              <w:pStyle w:val="PlainText"/>
              <w:tabs>
                <w:tab w:val="left" w:pos="284"/>
                <w:tab w:val="left" w:pos="426"/>
              </w:tabs>
              <w:rPr>
                <w:rFonts w:ascii="Times New Roman" w:hAnsi="Times New Roman" w:cs="Times New Roman"/>
              </w:rPr>
            </w:pPr>
            <w:r>
              <w:rPr>
                <w:rFonts w:ascii="Times New Roman" w:hAnsi="Times New Roman" w:cs="Times New Roman"/>
              </w:rPr>
              <w:t>E</w:t>
            </w:r>
            <w:r w:rsidR="00050694" w:rsidRPr="00B45A91">
              <w:rPr>
                <w:rFonts w:ascii="Times New Roman" w:hAnsi="Times New Roman" w:cs="Times New Roman"/>
              </w:rPr>
              <w:t>xp2</w:t>
            </w: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-0.0014</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-0.0027</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-0.0014</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-0.0026</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-0.0011</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-0.0024</w:t>
            </w:r>
          </w:p>
        </w:tc>
      </w:tr>
      <w:tr w:rsidR="00050694" w:rsidRPr="00050694" w:rsidTr="00F2738B">
        <w:tc>
          <w:tcPr>
            <w:tcW w:w="2303" w:type="dxa"/>
            <w:tcBorders>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(14.13)**</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(32.18)**</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(11.75)**</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(28.51)**</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(14.73)**</w:t>
            </w:r>
          </w:p>
        </w:tc>
        <w:tc>
          <w:tcPr>
            <w:tcW w:w="1223" w:type="dxa"/>
            <w:shd w:val="clear" w:color="auto" w:fill="auto"/>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(25.09)**</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F2738B">
        <w:tc>
          <w:tcPr>
            <w:tcW w:w="2303" w:type="dxa"/>
            <w:tcBorders>
              <w:right w:val="nil"/>
            </w:tcBorders>
            <w:shd w:val="clear" w:color="auto" w:fill="auto"/>
          </w:tcPr>
          <w:p w:rsidR="00050694" w:rsidRPr="00B45A91" w:rsidRDefault="00611A45" w:rsidP="00912053">
            <w:pPr>
              <w:pStyle w:val="PlainText"/>
              <w:tabs>
                <w:tab w:val="left" w:pos="284"/>
                <w:tab w:val="left" w:pos="426"/>
              </w:tabs>
              <w:rPr>
                <w:rFonts w:ascii="Times New Roman" w:hAnsi="Times New Roman" w:cs="Times New Roman"/>
              </w:rPr>
            </w:pPr>
            <w:r w:rsidRPr="00B45A91">
              <w:rPr>
                <w:rFonts w:ascii="Times New Roman" w:hAnsi="Times New Roman" w:cs="Times New Roman"/>
              </w:rPr>
              <w:t>E</w:t>
            </w:r>
            <w:r w:rsidR="001945B2" w:rsidRPr="00B45A91">
              <w:rPr>
                <w:rFonts w:ascii="Times New Roman" w:hAnsi="Times New Roman" w:cs="Times New Roman"/>
              </w:rPr>
              <w:t>xp2</w:t>
            </w:r>
            <w:r w:rsidRPr="00B45A91">
              <w:rPr>
                <w:rFonts w:ascii="Times New Roman" w:hAnsi="Times New Roman" w:cs="Times New Roman"/>
              </w:rPr>
              <w:t xml:space="preserve"> </w:t>
            </w:r>
            <w:r w:rsidR="00215F7A">
              <w:rPr>
                <w:rFonts w:ascii="Times New Roman" w:hAnsi="Times New Roman" w:cs="Times New Roman"/>
              </w:rPr>
              <w:t>*</w:t>
            </w:r>
            <w:r w:rsidRPr="00B45A91">
              <w:rPr>
                <w:rFonts w:ascii="Times New Roman" w:hAnsi="Times New Roman" w:cs="Times New Roman"/>
              </w:rPr>
              <w:t xml:space="preserve"> </w:t>
            </w:r>
            <w:r w:rsidR="001945B2" w:rsidRPr="00B45A91">
              <w:rPr>
                <w:rFonts w:ascii="Times New Roman" w:hAnsi="Times New Roman" w:cs="Times New Roman"/>
              </w:rPr>
              <w:t>S</w:t>
            </w:r>
            <w:r w:rsidR="00050694" w:rsidRPr="00B45A91">
              <w:rPr>
                <w:rFonts w:ascii="Times New Roman" w:hAnsi="Times New Roman" w:cs="Times New Roman"/>
              </w:rPr>
              <w:t>econd</w:t>
            </w:r>
            <w:r w:rsidR="001945B2" w:rsidRPr="00B45A91">
              <w:rPr>
                <w:rFonts w:ascii="Times New Roman" w:hAnsi="Times New Roman" w:cs="Times New Roman"/>
              </w:rPr>
              <w:t xml:space="preserve"> </w:t>
            </w:r>
            <w:r w:rsidR="00050694" w:rsidRPr="00B45A91">
              <w:rPr>
                <w:rFonts w:ascii="Times New Roman" w:hAnsi="Times New Roman" w:cs="Times New Roman"/>
              </w:rPr>
              <w:t>year</w:t>
            </w: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0.0001</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0.0002</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0.0001</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0.0002</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-0.0001</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-0.0001</w:t>
            </w:r>
          </w:p>
        </w:tc>
      </w:tr>
      <w:tr w:rsidR="00050694" w:rsidRPr="00050694" w:rsidTr="00F2738B">
        <w:tc>
          <w:tcPr>
            <w:tcW w:w="2303" w:type="dxa"/>
            <w:tcBorders>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(0.52)</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(1.30)</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(0.72)</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(1.49)</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(1.22)</w:t>
            </w:r>
          </w:p>
        </w:tc>
        <w:tc>
          <w:tcPr>
            <w:tcW w:w="1223" w:type="dxa"/>
            <w:shd w:val="clear" w:color="auto" w:fill="auto"/>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(0.96)</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F2738B">
        <w:tc>
          <w:tcPr>
            <w:tcW w:w="2303" w:type="dxa"/>
            <w:tcBorders>
              <w:right w:val="nil"/>
            </w:tcBorders>
            <w:shd w:val="clear" w:color="auto" w:fill="auto"/>
          </w:tcPr>
          <w:p w:rsidR="00050694" w:rsidRPr="00B45A91" w:rsidRDefault="001945B2" w:rsidP="00912053">
            <w:pPr>
              <w:pStyle w:val="PlainText"/>
              <w:tabs>
                <w:tab w:val="left" w:pos="284"/>
                <w:tab w:val="left" w:pos="426"/>
              </w:tabs>
              <w:rPr>
                <w:rFonts w:ascii="Times New Roman" w:hAnsi="Times New Roman" w:cs="Times New Roman"/>
              </w:rPr>
            </w:pPr>
            <w:r w:rsidRPr="00B45A91">
              <w:rPr>
                <w:rFonts w:ascii="Times New Roman" w:hAnsi="Times New Roman" w:cs="Times New Roman"/>
              </w:rPr>
              <w:t>S</w:t>
            </w:r>
            <w:r w:rsidR="00050694" w:rsidRPr="00B45A91">
              <w:rPr>
                <w:rFonts w:ascii="Times New Roman" w:hAnsi="Times New Roman" w:cs="Times New Roman"/>
              </w:rPr>
              <w:t>ex</w:t>
            </w: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0.2466</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0.4342</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0.2371</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0.4184</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0.2175</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0.3641</w:t>
            </w:r>
          </w:p>
        </w:tc>
      </w:tr>
      <w:tr w:rsidR="00050694" w:rsidRPr="00050694" w:rsidTr="00F2738B">
        <w:tc>
          <w:tcPr>
            <w:tcW w:w="2303" w:type="dxa"/>
            <w:tcBorders>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(12.29)**</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(20.39)**</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(10.72)**</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(18.74)**</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(13.50)**</w:t>
            </w:r>
          </w:p>
        </w:tc>
        <w:tc>
          <w:tcPr>
            <w:tcW w:w="1223" w:type="dxa"/>
            <w:shd w:val="clear" w:color="auto" w:fill="auto"/>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(17.51)**</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F2738B">
        <w:tc>
          <w:tcPr>
            <w:tcW w:w="2303" w:type="dxa"/>
            <w:tcBorders>
              <w:right w:val="nil"/>
            </w:tcBorders>
            <w:shd w:val="clear" w:color="auto" w:fill="auto"/>
          </w:tcPr>
          <w:p w:rsidR="00050694" w:rsidRPr="00B45A91" w:rsidRDefault="001945B2" w:rsidP="00912053">
            <w:pPr>
              <w:pStyle w:val="PlainText"/>
              <w:tabs>
                <w:tab w:val="left" w:pos="284"/>
                <w:tab w:val="left" w:pos="426"/>
              </w:tabs>
              <w:rPr>
                <w:rFonts w:ascii="Times New Roman" w:hAnsi="Times New Roman" w:cs="Times New Roman"/>
              </w:rPr>
            </w:pPr>
            <w:r w:rsidRPr="00B45A91">
              <w:rPr>
                <w:rFonts w:ascii="Times New Roman" w:hAnsi="Times New Roman" w:cs="Times New Roman"/>
              </w:rPr>
              <w:t>S</w:t>
            </w:r>
            <w:r w:rsidR="00050694" w:rsidRPr="00B45A91">
              <w:rPr>
                <w:rFonts w:ascii="Times New Roman" w:hAnsi="Times New Roman" w:cs="Times New Roman"/>
              </w:rPr>
              <w:t>ex</w:t>
            </w:r>
            <w:r w:rsidRPr="00B45A91">
              <w:rPr>
                <w:rFonts w:ascii="Times New Roman" w:hAnsi="Times New Roman" w:cs="Times New Roman"/>
              </w:rPr>
              <w:t xml:space="preserve"> </w:t>
            </w:r>
            <w:r w:rsidR="00215F7A">
              <w:rPr>
                <w:rFonts w:ascii="Times New Roman" w:hAnsi="Times New Roman" w:cs="Times New Roman"/>
              </w:rPr>
              <w:t>*</w:t>
            </w:r>
            <w:r w:rsidRPr="00B45A91">
              <w:rPr>
                <w:rFonts w:ascii="Times New Roman" w:hAnsi="Times New Roman" w:cs="Times New Roman"/>
              </w:rPr>
              <w:t xml:space="preserve"> S</w:t>
            </w:r>
            <w:r w:rsidR="00050694" w:rsidRPr="00B45A91">
              <w:rPr>
                <w:rFonts w:ascii="Times New Roman" w:hAnsi="Times New Roman" w:cs="Times New Roman"/>
              </w:rPr>
              <w:t>econd</w:t>
            </w:r>
            <w:r w:rsidRPr="00B45A91">
              <w:rPr>
                <w:rFonts w:ascii="Times New Roman" w:hAnsi="Times New Roman" w:cs="Times New Roman"/>
              </w:rPr>
              <w:t xml:space="preserve"> </w:t>
            </w:r>
            <w:r w:rsidR="00050694" w:rsidRPr="00B45A91">
              <w:rPr>
                <w:rFonts w:ascii="Times New Roman" w:hAnsi="Times New Roman" w:cs="Times New Roman"/>
              </w:rPr>
              <w:t>year</w:t>
            </w: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-0.0144</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-0.0150</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0.0016</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-0.0564</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-0.0659</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-0.0066</w:t>
            </w:r>
          </w:p>
        </w:tc>
      </w:tr>
      <w:tr w:rsidR="00050694" w:rsidRPr="00050694" w:rsidTr="00F2738B">
        <w:tc>
          <w:tcPr>
            <w:tcW w:w="2303" w:type="dxa"/>
            <w:tcBorders>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(0.58)</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(0.49)</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(0.07)</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(1.86)+</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(3.29)**</w:t>
            </w:r>
          </w:p>
        </w:tc>
        <w:tc>
          <w:tcPr>
            <w:tcW w:w="1223" w:type="dxa"/>
            <w:shd w:val="clear" w:color="auto" w:fill="auto"/>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(0.22)</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F2738B">
        <w:tc>
          <w:tcPr>
            <w:tcW w:w="2303" w:type="dxa"/>
            <w:tcBorders>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r w:rsidRPr="00B45A91">
              <w:rPr>
                <w:rFonts w:ascii="Times New Roman" w:hAnsi="Times New Roman" w:cs="Times New Roman"/>
              </w:rPr>
              <w:t>Household size</w:t>
            </w: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0.0439</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0.0345</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0.0410</w:t>
            </w:r>
          </w:p>
        </w:tc>
      </w:tr>
      <w:tr w:rsidR="00050694" w:rsidRPr="00050694" w:rsidTr="00F2738B">
        <w:tc>
          <w:tcPr>
            <w:tcW w:w="2303" w:type="dxa"/>
            <w:tcBorders>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(5.86)**</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(4.20)**</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(4.54)**</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F2738B">
        <w:tc>
          <w:tcPr>
            <w:tcW w:w="2303" w:type="dxa"/>
            <w:tcBorders>
              <w:right w:val="nil"/>
            </w:tcBorders>
            <w:shd w:val="clear" w:color="auto" w:fill="auto"/>
          </w:tcPr>
          <w:p w:rsidR="00050694" w:rsidRPr="00B45A91" w:rsidRDefault="001945B2" w:rsidP="00912053">
            <w:pPr>
              <w:pStyle w:val="PlainText"/>
              <w:tabs>
                <w:tab w:val="left" w:pos="284"/>
                <w:tab w:val="left" w:pos="426"/>
              </w:tabs>
              <w:rPr>
                <w:rFonts w:ascii="Times New Roman" w:hAnsi="Times New Roman" w:cs="Times New Roman"/>
              </w:rPr>
            </w:pPr>
            <w:r w:rsidRPr="00B45A91">
              <w:rPr>
                <w:rFonts w:ascii="Times New Roman" w:hAnsi="Times New Roman" w:cs="Times New Roman"/>
              </w:rPr>
              <w:t xml:space="preserve">Household size </w:t>
            </w: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-0.0095</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0.0048</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-0.0095</w:t>
            </w:r>
          </w:p>
        </w:tc>
      </w:tr>
      <w:tr w:rsidR="00050694" w:rsidRPr="00050694" w:rsidTr="00F2738B">
        <w:tc>
          <w:tcPr>
            <w:tcW w:w="2303" w:type="dxa"/>
            <w:tcBorders>
              <w:right w:val="nil"/>
            </w:tcBorders>
            <w:shd w:val="clear" w:color="auto" w:fill="auto"/>
          </w:tcPr>
          <w:p w:rsidR="00050694" w:rsidRPr="00B45A91" w:rsidRDefault="00215F7A" w:rsidP="00912053">
            <w:pPr>
              <w:pStyle w:val="PlainText"/>
              <w:tabs>
                <w:tab w:val="left" w:pos="284"/>
                <w:tab w:val="left" w:pos="426"/>
              </w:tabs>
              <w:rPr>
                <w:rFonts w:ascii="Times New Roman" w:hAnsi="Times New Roman" w:cs="Times New Roman"/>
              </w:rPr>
            </w:pPr>
            <w:r>
              <w:rPr>
                <w:rFonts w:ascii="Times New Roman" w:hAnsi="Times New Roman" w:cs="Times New Roman"/>
              </w:rPr>
              <w:t>*</w:t>
            </w:r>
            <w:r w:rsidRPr="00B45A91">
              <w:rPr>
                <w:rFonts w:ascii="Times New Roman" w:hAnsi="Times New Roman" w:cs="Times New Roman"/>
              </w:rPr>
              <w:t xml:space="preserve"> Second year</w:t>
            </w: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(0.84)</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(0.40)</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(0.71)</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F2738B">
        <w:tc>
          <w:tcPr>
            <w:tcW w:w="2303" w:type="dxa"/>
            <w:tcBorders>
              <w:right w:val="nil"/>
            </w:tcBorders>
            <w:shd w:val="clear" w:color="auto" w:fill="auto"/>
          </w:tcPr>
          <w:p w:rsidR="00050694" w:rsidRPr="00B45A91" w:rsidRDefault="001945B2" w:rsidP="00912053">
            <w:pPr>
              <w:pStyle w:val="PlainText"/>
              <w:tabs>
                <w:tab w:val="left" w:pos="284"/>
                <w:tab w:val="left" w:pos="426"/>
              </w:tabs>
              <w:rPr>
                <w:rFonts w:ascii="Times New Roman" w:hAnsi="Times New Roman" w:cs="Times New Roman"/>
              </w:rPr>
            </w:pPr>
            <w:r w:rsidRPr="00B45A91">
              <w:rPr>
                <w:rFonts w:ascii="Times New Roman" w:hAnsi="Times New Roman" w:cs="Times New Roman"/>
              </w:rPr>
              <w:t>N</w:t>
            </w:r>
            <w:r w:rsidR="00FB744D">
              <w:rPr>
                <w:rFonts w:ascii="Times New Roman" w:hAnsi="Times New Roman" w:cs="Times New Roman"/>
              </w:rPr>
              <w:t>on-</w:t>
            </w:r>
            <w:r w:rsidR="00050694" w:rsidRPr="00B45A91">
              <w:rPr>
                <w:rFonts w:ascii="Times New Roman" w:hAnsi="Times New Roman" w:cs="Times New Roman"/>
              </w:rPr>
              <w:t>wage</w:t>
            </w:r>
            <w:r w:rsidR="00FB744D">
              <w:rPr>
                <w:rFonts w:ascii="Times New Roman" w:hAnsi="Times New Roman" w:cs="Times New Roman"/>
              </w:rPr>
              <w:t xml:space="preserve"> </w:t>
            </w:r>
            <w:r w:rsidR="00050694" w:rsidRPr="00B45A91">
              <w:rPr>
                <w:rFonts w:ascii="Times New Roman" w:hAnsi="Times New Roman" w:cs="Times New Roman"/>
              </w:rPr>
              <w:t>income</w:t>
            </w: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-0.0631</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-0.0761</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-0.0258</w:t>
            </w:r>
          </w:p>
        </w:tc>
      </w:tr>
      <w:tr w:rsidR="00050694" w:rsidRPr="00050694" w:rsidTr="00F2738B">
        <w:tc>
          <w:tcPr>
            <w:tcW w:w="2303" w:type="dxa"/>
            <w:tcBorders>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(10.52)**</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(11.35)**</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(3.10)**</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F2738B">
        <w:tc>
          <w:tcPr>
            <w:tcW w:w="2303" w:type="dxa"/>
            <w:tcBorders>
              <w:right w:val="nil"/>
            </w:tcBorders>
            <w:shd w:val="clear" w:color="auto" w:fill="auto"/>
          </w:tcPr>
          <w:p w:rsidR="00050694" w:rsidRPr="00B45A91" w:rsidRDefault="001945B2" w:rsidP="00912053">
            <w:pPr>
              <w:pStyle w:val="PlainText"/>
              <w:tabs>
                <w:tab w:val="left" w:pos="284"/>
                <w:tab w:val="left" w:pos="426"/>
              </w:tabs>
              <w:rPr>
                <w:rFonts w:ascii="Times New Roman" w:hAnsi="Times New Roman" w:cs="Times New Roman"/>
              </w:rPr>
            </w:pPr>
            <w:r w:rsidRPr="00B45A91">
              <w:rPr>
                <w:rFonts w:ascii="Times New Roman" w:hAnsi="Times New Roman" w:cs="Times New Roman"/>
              </w:rPr>
              <w:t>N</w:t>
            </w:r>
            <w:r w:rsidR="00FB744D">
              <w:rPr>
                <w:rFonts w:ascii="Times New Roman" w:hAnsi="Times New Roman" w:cs="Times New Roman"/>
              </w:rPr>
              <w:t>on-</w:t>
            </w:r>
            <w:r w:rsidR="00050694" w:rsidRPr="00B45A91">
              <w:rPr>
                <w:rFonts w:ascii="Times New Roman" w:hAnsi="Times New Roman" w:cs="Times New Roman"/>
              </w:rPr>
              <w:t>wage</w:t>
            </w:r>
            <w:r w:rsidR="00FB744D">
              <w:rPr>
                <w:rFonts w:ascii="Times New Roman" w:hAnsi="Times New Roman" w:cs="Times New Roman"/>
              </w:rPr>
              <w:t xml:space="preserve"> </w:t>
            </w:r>
            <w:r w:rsidR="00050694" w:rsidRPr="00B45A91">
              <w:rPr>
                <w:rFonts w:ascii="Times New Roman" w:hAnsi="Times New Roman" w:cs="Times New Roman"/>
              </w:rPr>
              <w:t>income</w:t>
            </w: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-0.0132</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0.0512</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-0.0227</w:t>
            </w:r>
          </w:p>
        </w:tc>
      </w:tr>
      <w:tr w:rsidR="00050694" w:rsidRPr="00050694" w:rsidTr="00F2738B">
        <w:tc>
          <w:tcPr>
            <w:tcW w:w="2303" w:type="dxa"/>
            <w:tcBorders>
              <w:right w:val="nil"/>
            </w:tcBorders>
            <w:shd w:val="clear" w:color="auto" w:fill="auto"/>
          </w:tcPr>
          <w:p w:rsidR="00050694" w:rsidRPr="00B45A91" w:rsidRDefault="00215F7A" w:rsidP="00912053">
            <w:pPr>
              <w:pStyle w:val="PlainText"/>
              <w:tabs>
                <w:tab w:val="left" w:pos="284"/>
                <w:tab w:val="left" w:pos="426"/>
              </w:tabs>
              <w:rPr>
                <w:rFonts w:ascii="Times New Roman" w:hAnsi="Times New Roman" w:cs="Times New Roman"/>
              </w:rPr>
            </w:pPr>
            <w:r>
              <w:rPr>
                <w:rFonts w:ascii="Times New Roman" w:hAnsi="Times New Roman" w:cs="Times New Roman"/>
              </w:rPr>
              <w:t>*</w:t>
            </w:r>
            <w:r w:rsidR="001945B2" w:rsidRPr="00B45A91">
              <w:rPr>
                <w:rFonts w:ascii="Times New Roman" w:hAnsi="Times New Roman" w:cs="Times New Roman"/>
              </w:rPr>
              <w:t>Second year</w:t>
            </w: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(1.50)</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(5.30)**</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shd w:val="clear" w:color="auto" w:fill="auto"/>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(1.92)+</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F2738B">
        <w:tc>
          <w:tcPr>
            <w:tcW w:w="2303" w:type="dxa"/>
            <w:tcBorders>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r w:rsidRPr="00B45A91">
              <w:rPr>
                <w:rFonts w:ascii="Times New Roman" w:hAnsi="Times New Roman" w:cs="Times New Roman"/>
              </w:rPr>
              <w:t>Constant</w:t>
            </w:r>
          </w:p>
        </w:tc>
        <w:tc>
          <w:tcPr>
            <w:tcW w:w="1199" w:type="dxa"/>
            <w:tcBorders>
              <w:left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0.2059</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-1.8917</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0.8645</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-1.8142</w:t>
            </w:r>
          </w:p>
        </w:tc>
        <w:tc>
          <w:tcPr>
            <w:tcW w:w="1200"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1.5378</w:t>
            </w:r>
          </w:p>
        </w:tc>
        <w:tc>
          <w:tcPr>
            <w:tcW w:w="1223" w:type="dxa"/>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-2.1052</w:t>
            </w:r>
          </w:p>
        </w:tc>
      </w:tr>
      <w:tr w:rsidR="00050694" w:rsidRPr="00050694" w:rsidTr="008B1867">
        <w:tc>
          <w:tcPr>
            <w:tcW w:w="2303" w:type="dxa"/>
            <w:tcBorders>
              <w:bottom w:val="nil"/>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p>
        </w:tc>
        <w:tc>
          <w:tcPr>
            <w:tcW w:w="1199" w:type="dxa"/>
            <w:tcBorders>
              <w:left w:val="nil"/>
              <w:bottom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(3.02)**</w:t>
            </w:r>
          </w:p>
        </w:tc>
        <w:tc>
          <w:tcPr>
            <w:tcW w:w="1223" w:type="dxa"/>
            <w:tcBorders>
              <w:bottom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(32.02)**</w:t>
            </w:r>
          </w:p>
        </w:tc>
        <w:tc>
          <w:tcPr>
            <w:tcW w:w="1200" w:type="dxa"/>
            <w:tcBorders>
              <w:bottom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(8.51)**</w:t>
            </w:r>
          </w:p>
        </w:tc>
        <w:tc>
          <w:tcPr>
            <w:tcW w:w="1223" w:type="dxa"/>
            <w:tcBorders>
              <w:bottom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(31.32)**</w:t>
            </w:r>
          </w:p>
        </w:tc>
        <w:tc>
          <w:tcPr>
            <w:tcW w:w="1200" w:type="dxa"/>
            <w:tcBorders>
              <w:bottom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(21.17)**</w:t>
            </w:r>
          </w:p>
        </w:tc>
        <w:tc>
          <w:tcPr>
            <w:tcW w:w="1223" w:type="dxa"/>
            <w:tcBorders>
              <w:bottom w:val="nil"/>
            </w:tcBorders>
            <w:shd w:val="clear" w:color="auto" w:fill="auto"/>
          </w:tcPr>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(47.76)**</w:t>
            </w:r>
          </w:p>
          <w:p w:rsidR="008B1867" w:rsidRPr="00B45A91" w:rsidRDefault="008B1867" w:rsidP="00912053">
            <w:pPr>
              <w:pStyle w:val="PlainText"/>
              <w:tabs>
                <w:tab w:val="left" w:pos="284"/>
                <w:tab w:val="left" w:pos="426"/>
              </w:tabs>
              <w:jc w:val="right"/>
              <w:rPr>
                <w:rFonts w:ascii="Times New Roman" w:hAnsi="Times New Roman" w:cs="Times New Roman"/>
              </w:rPr>
            </w:pPr>
          </w:p>
        </w:tc>
      </w:tr>
      <w:tr w:rsidR="00050694" w:rsidRPr="00050694" w:rsidTr="00912053">
        <w:tc>
          <w:tcPr>
            <w:tcW w:w="2303" w:type="dxa"/>
            <w:tcBorders>
              <w:top w:val="nil"/>
              <w:bottom w:val="nil"/>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r w:rsidRPr="00B45A91">
              <w:rPr>
                <w:rFonts w:ascii="Times New Roman" w:hAnsi="Times New Roman" w:cs="Times New Roman"/>
              </w:rPr>
              <w:t>Observations</w:t>
            </w:r>
          </w:p>
        </w:tc>
        <w:tc>
          <w:tcPr>
            <w:tcW w:w="1199" w:type="dxa"/>
            <w:tcBorders>
              <w:top w:val="nil"/>
              <w:left w:val="nil"/>
              <w:bottom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tcBorders>
              <w:top w:val="nil"/>
              <w:bottom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42,941</w:t>
            </w:r>
          </w:p>
        </w:tc>
        <w:tc>
          <w:tcPr>
            <w:tcW w:w="1200" w:type="dxa"/>
            <w:tcBorders>
              <w:top w:val="nil"/>
              <w:bottom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tcBorders>
              <w:top w:val="nil"/>
              <w:bottom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52,780</w:t>
            </w:r>
          </w:p>
        </w:tc>
        <w:tc>
          <w:tcPr>
            <w:tcW w:w="1200" w:type="dxa"/>
            <w:tcBorders>
              <w:top w:val="nil"/>
              <w:bottom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p>
        </w:tc>
        <w:tc>
          <w:tcPr>
            <w:tcW w:w="1223" w:type="dxa"/>
            <w:tcBorders>
              <w:top w:val="nil"/>
              <w:bottom w:val="nil"/>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61,871</w:t>
            </w:r>
          </w:p>
        </w:tc>
      </w:tr>
      <w:tr w:rsidR="00050694" w:rsidRPr="00050694" w:rsidTr="00912053">
        <w:tc>
          <w:tcPr>
            <w:tcW w:w="2303" w:type="dxa"/>
            <w:tcBorders>
              <w:top w:val="nil"/>
              <w:bottom w:val="single" w:sz="2" w:space="0" w:color="000000"/>
              <w:right w:val="nil"/>
            </w:tcBorders>
            <w:shd w:val="clear" w:color="auto" w:fill="auto"/>
          </w:tcPr>
          <w:p w:rsidR="00050694" w:rsidRPr="00B45A91" w:rsidRDefault="00050694" w:rsidP="00912053">
            <w:pPr>
              <w:pStyle w:val="PlainText"/>
              <w:tabs>
                <w:tab w:val="left" w:pos="284"/>
                <w:tab w:val="left" w:pos="426"/>
              </w:tabs>
              <w:rPr>
                <w:rFonts w:ascii="Times New Roman" w:hAnsi="Times New Roman" w:cs="Times New Roman"/>
              </w:rPr>
            </w:pPr>
            <w:r w:rsidRPr="00B45A91">
              <w:rPr>
                <w:rFonts w:ascii="Times New Roman" w:hAnsi="Times New Roman" w:cs="Times New Roman"/>
              </w:rPr>
              <w:t>Lambda</w:t>
            </w:r>
            <w:r w:rsidR="00DF6084" w:rsidRPr="00B45A91">
              <w:rPr>
                <w:rFonts w:ascii="Times New Roman" w:hAnsi="Times New Roman" w:cs="Times New Roman"/>
              </w:rPr>
              <w:t xml:space="preserve"> </w:t>
            </w:r>
            <w:r w:rsidRPr="00B45A91">
              <w:rPr>
                <w:rFonts w:ascii="Times New Roman" w:hAnsi="Times New Roman" w:cs="Times New Roman"/>
              </w:rPr>
              <w:t>(</w:t>
            </w:r>
            <w:r w:rsidRPr="00342489">
              <w:rPr>
                <w:rFonts w:ascii="Symbol" w:hAnsi="Symbol" w:cs="Times New Roman"/>
                <w:i/>
              </w:rPr>
              <w:t></w:t>
            </w:r>
            <w:r w:rsidRPr="00B45A91">
              <w:rPr>
                <w:rFonts w:ascii="Symbol" w:hAnsi="Symbol" w:cs="Times New Roman"/>
              </w:rPr>
              <w:t></w:t>
            </w:r>
            <w:r w:rsidRPr="00342489">
              <w:rPr>
                <w:rFonts w:ascii="Symbol" w:hAnsi="Symbol" w:cs="Times New Roman"/>
                <w:i/>
              </w:rPr>
              <w:t></w:t>
            </w:r>
            <w:r w:rsidRPr="00B45A91">
              <w:rPr>
                <w:rFonts w:ascii="Symbol" w:hAnsi="Symbol" w:cs="Times New Roman"/>
              </w:rPr>
              <w:t></w:t>
            </w:r>
            <w:r w:rsidRPr="00342489">
              <w:rPr>
                <w:rFonts w:ascii="Symbol" w:hAnsi="Symbol" w:cs="Times New Roman"/>
                <w:i/>
              </w:rPr>
              <w:t></w:t>
            </w:r>
            <w:r w:rsidRPr="00B45A91">
              <w:rPr>
                <w:rFonts w:ascii="Times New Roman" w:hAnsi="Times New Roman" w:cs="Times New Roman"/>
              </w:rPr>
              <w:t>)</w:t>
            </w:r>
          </w:p>
        </w:tc>
        <w:tc>
          <w:tcPr>
            <w:tcW w:w="2422" w:type="dxa"/>
            <w:gridSpan w:val="2"/>
            <w:tcBorders>
              <w:top w:val="nil"/>
              <w:left w:val="nil"/>
              <w:bottom w:val="single" w:sz="2" w:space="0" w:color="000000"/>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0.2294</w:t>
            </w:r>
          </w:p>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(0.0295)**</w:t>
            </w:r>
          </w:p>
        </w:tc>
        <w:tc>
          <w:tcPr>
            <w:tcW w:w="2423" w:type="dxa"/>
            <w:gridSpan w:val="2"/>
            <w:tcBorders>
              <w:top w:val="nil"/>
              <w:bottom w:val="single" w:sz="2" w:space="0" w:color="000000"/>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0.2452</w:t>
            </w:r>
          </w:p>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(0.0480)**</w:t>
            </w:r>
          </w:p>
        </w:tc>
        <w:tc>
          <w:tcPr>
            <w:tcW w:w="2423" w:type="dxa"/>
            <w:gridSpan w:val="2"/>
            <w:tcBorders>
              <w:top w:val="nil"/>
              <w:bottom w:val="single" w:sz="2" w:space="0" w:color="000000"/>
            </w:tcBorders>
            <w:shd w:val="clear" w:color="auto" w:fill="auto"/>
          </w:tcPr>
          <w:p w:rsidR="00050694" w:rsidRPr="00B45A91"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0.1582</w:t>
            </w:r>
          </w:p>
          <w:p w:rsidR="00050694" w:rsidRDefault="00050694" w:rsidP="00912053">
            <w:pPr>
              <w:pStyle w:val="PlainText"/>
              <w:tabs>
                <w:tab w:val="left" w:pos="284"/>
                <w:tab w:val="left" w:pos="426"/>
              </w:tabs>
              <w:jc w:val="right"/>
              <w:rPr>
                <w:rFonts w:ascii="Times New Roman" w:hAnsi="Times New Roman" w:cs="Times New Roman"/>
              </w:rPr>
            </w:pPr>
            <w:r w:rsidRPr="00B45A91">
              <w:rPr>
                <w:rFonts w:ascii="Times New Roman" w:hAnsi="Times New Roman" w:cs="Times New Roman"/>
              </w:rPr>
              <w:t>(0.0306)**</w:t>
            </w:r>
          </w:p>
          <w:p w:rsidR="00912053" w:rsidRPr="00B45A91" w:rsidRDefault="00912053" w:rsidP="00912053">
            <w:pPr>
              <w:pStyle w:val="PlainText"/>
              <w:tabs>
                <w:tab w:val="left" w:pos="284"/>
                <w:tab w:val="left" w:pos="426"/>
              </w:tabs>
              <w:jc w:val="right"/>
              <w:rPr>
                <w:rFonts w:ascii="Times New Roman" w:hAnsi="Times New Roman" w:cs="Times New Roman"/>
              </w:rPr>
            </w:pPr>
          </w:p>
        </w:tc>
      </w:tr>
    </w:tbl>
    <w:p w:rsidR="008623C3" w:rsidRDefault="008B1867" w:rsidP="00805177">
      <w:pPr>
        <w:widowControl w:val="0"/>
        <w:tabs>
          <w:tab w:val="left" w:pos="284"/>
          <w:tab w:val="left" w:pos="426"/>
        </w:tabs>
        <w:overflowPunct w:val="0"/>
        <w:autoSpaceDE w:val="0"/>
        <w:autoSpaceDN w:val="0"/>
        <w:adjustRightInd w:val="0"/>
        <w:jc w:val="both"/>
        <w:rPr>
          <w:i/>
          <w:sz w:val="20"/>
          <w:szCs w:val="20"/>
        </w:rPr>
      </w:pPr>
      <w:r>
        <w:rPr>
          <w:i/>
          <w:sz w:val="20"/>
          <w:szCs w:val="20"/>
        </w:rPr>
        <w:t>Notes</w:t>
      </w:r>
      <w:r w:rsidR="00F2738B">
        <w:rPr>
          <w:i/>
          <w:sz w:val="20"/>
          <w:szCs w:val="20"/>
        </w:rPr>
        <w:t xml:space="preserve"> </w:t>
      </w:r>
    </w:p>
    <w:p w:rsidR="00912053" w:rsidRDefault="00A22567" w:rsidP="00805177">
      <w:pPr>
        <w:widowControl w:val="0"/>
        <w:tabs>
          <w:tab w:val="left" w:pos="284"/>
          <w:tab w:val="left" w:pos="426"/>
        </w:tabs>
        <w:overflowPunct w:val="0"/>
        <w:autoSpaceDE w:val="0"/>
        <w:autoSpaceDN w:val="0"/>
        <w:adjustRightInd w:val="0"/>
        <w:jc w:val="both"/>
        <w:rPr>
          <w:sz w:val="20"/>
          <w:szCs w:val="20"/>
        </w:rPr>
      </w:pPr>
      <w:proofErr w:type="gramStart"/>
      <w:r w:rsidRPr="00F2738B">
        <w:rPr>
          <w:sz w:val="20"/>
          <w:szCs w:val="20"/>
        </w:rPr>
        <w:t>Robust</w:t>
      </w:r>
      <w:r w:rsidR="00F2738B">
        <w:rPr>
          <w:sz w:val="20"/>
          <w:szCs w:val="20"/>
        </w:rPr>
        <w:t xml:space="preserve"> standard errors in parentheses.</w:t>
      </w:r>
      <w:proofErr w:type="gramEnd"/>
      <w:r w:rsidRPr="00F2738B">
        <w:rPr>
          <w:sz w:val="20"/>
          <w:szCs w:val="20"/>
        </w:rPr>
        <w:t xml:space="preserve"> </w:t>
      </w:r>
    </w:p>
    <w:p w:rsidR="00912053" w:rsidRDefault="00912053" w:rsidP="00805177">
      <w:pPr>
        <w:widowControl w:val="0"/>
        <w:tabs>
          <w:tab w:val="left" w:pos="284"/>
          <w:tab w:val="left" w:pos="426"/>
        </w:tabs>
        <w:overflowPunct w:val="0"/>
        <w:autoSpaceDE w:val="0"/>
        <w:autoSpaceDN w:val="0"/>
        <w:adjustRightInd w:val="0"/>
        <w:jc w:val="both"/>
        <w:rPr>
          <w:sz w:val="20"/>
          <w:szCs w:val="20"/>
        </w:rPr>
      </w:pPr>
      <w:r>
        <w:rPr>
          <w:sz w:val="20"/>
          <w:szCs w:val="20"/>
        </w:rPr>
        <w:t xml:space="preserve">* </w:t>
      </w:r>
      <w:r w:rsidR="00720138">
        <w:rPr>
          <w:sz w:val="20"/>
          <w:szCs w:val="20"/>
        </w:rPr>
        <w:tab/>
      </w:r>
      <w:proofErr w:type="gramStart"/>
      <w:r>
        <w:rPr>
          <w:sz w:val="20"/>
          <w:szCs w:val="20"/>
        </w:rPr>
        <w:t>significant</w:t>
      </w:r>
      <w:proofErr w:type="gramEnd"/>
      <w:r>
        <w:rPr>
          <w:sz w:val="20"/>
          <w:szCs w:val="20"/>
        </w:rPr>
        <w:t xml:space="preserve"> at 5%</w:t>
      </w:r>
    </w:p>
    <w:p w:rsidR="00912053" w:rsidRDefault="00912053" w:rsidP="00805177">
      <w:pPr>
        <w:widowControl w:val="0"/>
        <w:tabs>
          <w:tab w:val="left" w:pos="284"/>
          <w:tab w:val="left" w:pos="426"/>
        </w:tabs>
        <w:overflowPunct w:val="0"/>
        <w:autoSpaceDE w:val="0"/>
        <w:autoSpaceDN w:val="0"/>
        <w:adjustRightInd w:val="0"/>
        <w:jc w:val="both"/>
        <w:rPr>
          <w:sz w:val="20"/>
          <w:szCs w:val="20"/>
        </w:rPr>
      </w:pPr>
      <w:r>
        <w:rPr>
          <w:sz w:val="20"/>
          <w:szCs w:val="20"/>
        </w:rPr>
        <w:t xml:space="preserve">** </w:t>
      </w:r>
      <w:r w:rsidR="00720138">
        <w:rPr>
          <w:sz w:val="20"/>
          <w:szCs w:val="20"/>
        </w:rPr>
        <w:tab/>
      </w:r>
      <w:proofErr w:type="gramStart"/>
      <w:r>
        <w:rPr>
          <w:sz w:val="20"/>
          <w:szCs w:val="20"/>
        </w:rPr>
        <w:t>significant</w:t>
      </w:r>
      <w:proofErr w:type="gramEnd"/>
      <w:r>
        <w:rPr>
          <w:sz w:val="20"/>
          <w:szCs w:val="20"/>
        </w:rPr>
        <w:t xml:space="preserve"> at 1%</w:t>
      </w:r>
    </w:p>
    <w:p w:rsidR="00050694" w:rsidRPr="00F2738B" w:rsidRDefault="00A22567" w:rsidP="00805177">
      <w:pPr>
        <w:widowControl w:val="0"/>
        <w:tabs>
          <w:tab w:val="left" w:pos="284"/>
          <w:tab w:val="left" w:pos="426"/>
        </w:tabs>
        <w:overflowPunct w:val="0"/>
        <w:autoSpaceDE w:val="0"/>
        <w:autoSpaceDN w:val="0"/>
        <w:adjustRightInd w:val="0"/>
        <w:jc w:val="both"/>
        <w:rPr>
          <w:sz w:val="20"/>
          <w:szCs w:val="20"/>
        </w:rPr>
      </w:pPr>
      <w:r w:rsidRPr="00F2738B">
        <w:rPr>
          <w:sz w:val="20"/>
          <w:szCs w:val="20"/>
          <w:vertAlign w:val="superscript"/>
        </w:rPr>
        <w:t>(a)</w:t>
      </w:r>
      <w:r w:rsidRPr="00F2738B">
        <w:rPr>
          <w:sz w:val="20"/>
          <w:szCs w:val="20"/>
        </w:rPr>
        <w:t xml:space="preserve"> </w:t>
      </w:r>
      <w:r w:rsidR="00720138">
        <w:rPr>
          <w:sz w:val="20"/>
          <w:szCs w:val="20"/>
        </w:rPr>
        <w:tab/>
      </w:r>
      <w:proofErr w:type="gramStart"/>
      <w:r w:rsidRPr="00F2738B">
        <w:rPr>
          <w:sz w:val="20"/>
          <w:szCs w:val="20"/>
        </w:rPr>
        <w:t>household</w:t>
      </w:r>
      <w:proofErr w:type="gramEnd"/>
      <w:r w:rsidRPr="00F2738B">
        <w:rPr>
          <w:sz w:val="20"/>
          <w:szCs w:val="20"/>
        </w:rPr>
        <w:t xml:space="preserve"> non-wage income is divided by 10,000.</w:t>
      </w:r>
      <w:r w:rsidRPr="00F2738B">
        <w:rPr>
          <w:sz w:val="20"/>
          <w:szCs w:val="20"/>
        </w:rPr>
        <w:tab/>
      </w:r>
    </w:p>
    <w:p w:rsidR="00933B5F" w:rsidRDefault="00933B5F" w:rsidP="005A2C59">
      <w:pPr>
        <w:widowControl w:val="0"/>
        <w:tabs>
          <w:tab w:val="left" w:pos="284"/>
          <w:tab w:val="left" w:pos="426"/>
        </w:tabs>
        <w:autoSpaceDE w:val="0"/>
        <w:autoSpaceDN w:val="0"/>
        <w:adjustRightInd w:val="0"/>
        <w:spacing w:line="288" w:lineRule="auto"/>
      </w:pPr>
    </w:p>
    <w:p w:rsidR="008623C3" w:rsidRDefault="008623C3" w:rsidP="005A2C59">
      <w:pPr>
        <w:widowControl w:val="0"/>
        <w:tabs>
          <w:tab w:val="left" w:pos="284"/>
          <w:tab w:val="left" w:pos="426"/>
        </w:tabs>
        <w:autoSpaceDE w:val="0"/>
        <w:autoSpaceDN w:val="0"/>
        <w:adjustRightInd w:val="0"/>
        <w:spacing w:line="288" w:lineRule="auto"/>
      </w:pPr>
    </w:p>
    <w:p w:rsidR="00912053" w:rsidRDefault="00912053">
      <w:pPr>
        <w:rPr>
          <w:b/>
        </w:rPr>
      </w:pPr>
      <w:r>
        <w:rPr>
          <w:b/>
        </w:rPr>
        <w:br w:type="page"/>
      </w:r>
    </w:p>
    <w:p w:rsidR="00933B5F" w:rsidRDefault="00FB744D" w:rsidP="005A2C59">
      <w:pPr>
        <w:widowControl w:val="0"/>
        <w:tabs>
          <w:tab w:val="left" w:pos="284"/>
          <w:tab w:val="left" w:pos="426"/>
        </w:tabs>
        <w:autoSpaceDE w:val="0"/>
        <w:autoSpaceDN w:val="0"/>
        <w:adjustRightInd w:val="0"/>
        <w:spacing w:line="288" w:lineRule="auto"/>
        <w:rPr>
          <w:b/>
        </w:rPr>
      </w:pPr>
      <w:r>
        <w:rPr>
          <w:b/>
        </w:rPr>
        <w:lastRenderedPageBreak/>
        <w:t>3.3 Who C</w:t>
      </w:r>
      <w:r w:rsidR="008623C3">
        <w:rPr>
          <w:b/>
        </w:rPr>
        <w:t xml:space="preserve">ontributed to </w:t>
      </w:r>
      <w:r>
        <w:rPr>
          <w:b/>
        </w:rPr>
        <w:t xml:space="preserve">the </w:t>
      </w:r>
      <w:proofErr w:type="gramStart"/>
      <w:r>
        <w:rPr>
          <w:b/>
        </w:rPr>
        <w:t>F</w:t>
      </w:r>
      <w:r w:rsidR="003E0C77">
        <w:rPr>
          <w:b/>
        </w:rPr>
        <w:t>a</w:t>
      </w:r>
      <w:r w:rsidR="004856C6" w:rsidRPr="004856C6">
        <w:rPr>
          <w:b/>
        </w:rPr>
        <w:t>ll</w:t>
      </w:r>
      <w:proofErr w:type="gramEnd"/>
      <w:r>
        <w:rPr>
          <w:b/>
        </w:rPr>
        <w:t xml:space="preserve"> in R</w:t>
      </w:r>
      <w:r w:rsidR="004856C6" w:rsidRPr="004856C6">
        <w:rPr>
          <w:b/>
        </w:rPr>
        <w:t>eturns?</w:t>
      </w:r>
    </w:p>
    <w:p w:rsidR="005F6ACA" w:rsidRPr="008623C3" w:rsidRDefault="005F6ACA" w:rsidP="005A2C59">
      <w:pPr>
        <w:widowControl w:val="0"/>
        <w:tabs>
          <w:tab w:val="left" w:pos="284"/>
          <w:tab w:val="left" w:pos="426"/>
        </w:tabs>
        <w:autoSpaceDE w:val="0"/>
        <w:autoSpaceDN w:val="0"/>
        <w:adjustRightInd w:val="0"/>
        <w:spacing w:line="288" w:lineRule="auto"/>
        <w:rPr>
          <w:b/>
          <w:sz w:val="8"/>
          <w:szCs w:val="8"/>
        </w:rPr>
      </w:pPr>
    </w:p>
    <w:p w:rsidR="00007D9D" w:rsidRDefault="00007D9D" w:rsidP="005A2C59">
      <w:pPr>
        <w:widowControl w:val="0"/>
        <w:tabs>
          <w:tab w:val="left" w:pos="284"/>
          <w:tab w:val="left" w:pos="426"/>
        </w:tabs>
        <w:autoSpaceDE w:val="0"/>
        <w:autoSpaceDN w:val="0"/>
        <w:adjustRightInd w:val="0"/>
        <w:spacing w:line="288" w:lineRule="auto"/>
        <w:jc w:val="both"/>
      </w:pPr>
      <w:r w:rsidRPr="00473DA2">
        <w:t>T</w:t>
      </w:r>
      <w:r w:rsidR="00A22567">
        <w:t xml:space="preserve">he above </w:t>
      </w:r>
      <w:r w:rsidR="0097310A">
        <w:t xml:space="preserve">estimates and the trend raise the </w:t>
      </w:r>
      <w:r w:rsidR="00A22567">
        <w:t xml:space="preserve">question </w:t>
      </w:r>
      <w:r w:rsidR="0097310A">
        <w:t>'</w:t>
      </w:r>
      <w:r w:rsidR="00A22567">
        <w:t>what drives the trend</w:t>
      </w:r>
      <w:r w:rsidR="0097310A">
        <w:t>?</w:t>
      </w:r>
      <w:proofErr w:type="gramStart"/>
      <w:r w:rsidR="0097310A">
        <w:t>'.</w:t>
      </w:r>
      <w:proofErr w:type="gramEnd"/>
      <w:r w:rsidR="0097310A">
        <w:t xml:space="preserve">  To </w:t>
      </w:r>
      <w:r w:rsidRPr="00473DA2">
        <w:t xml:space="preserve">see if the supply </w:t>
      </w:r>
      <w:r w:rsidR="00473DA2">
        <w:t xml:space="preserve">of higher education </w:t>
      </w:r>
      <w:r w:rsidRPr="00473DA2">
        <w:t xml:space="preserve">played a role in the decline </w:t>
      </w:r>
      <w:r w:rsidR="0097310A">
        <w:t>in</w:t>
      </w:r>
      <w:r w:rsidRPr="00473DA2">
        <w:t xml:space="preserve"> </w:t>
      </w:r>
      <w:r w:rsidR="003E0C77">
        <w:t>returns</w:t>
      </w:r>
      <w:r w:rsidRPr="00473DA2">
        <w:t xml:space="preserve">, we </w:t>
      </w:r>
      <w:r w:rsidR="0097310A">
        <w:t xml:space="preserve">examine </w:t>
      </w:r>
      <w:r w:rsidRPr="00473DA2">
        <w:t xml:space="preserve">how income </w:t>
      </w:r>
      <w:r w:rsidR="00A22567">
        <w:t xml:space="preserve">by educational level </w:t>
      </w:r>
      <w:r w:rsidRPr="00473DA2">
        <w:t>changed over time</w:t>
      </w:r>
      <w:r w:rsidR="00473DA2">
        <w:t xml:space="preserve"> in relation to </w:t>
      </w:r>
      <w:r w:rsidR="0097310A">
        <w:t xml:space="preserve">the income of </w:t>
      </w:r>
      <w:r w:rsidR="00473DA2">
        <w:t>other education group</w:t>
      </w:r>
      <w:r w:rsidR="0097310A">
        <w:t>s.</w:t>
      </w:r>
      <w:r w:rsidR="00473DA2">
        <w:t xml:space="preserve"> </w:t>
      </w:r>
      <w:r w:rsidR="0097310A">
        <w:t xml:space="preserve"> W</w:t>
      </w:r>
      <w:r w:rsidRPr="00473DA2">
        <w:t xml:space="preserve">e remove </w:t>
      </w:r>
      <w:r w:rsidR="00233125">
        <w:t xml:space="preserve">two rounds of </w:t>
      </w:r>
      <w:r w:rsidR="0090311C">
        <w:t xml:space="preserve">the </w:t>
      </w:r>
      <w:r w:rsidR="00233125">
        <w:t>survey, 2002 and 2008</w:t>
      </w:r>
      <w:r w:rsidR="0097310A">
        <w:t>.  T</w:t>
      </w:r>
      <w:r w:rsidR="00224E50">
        <w:t xml:space="preserve">he </w:t>
      </w:r>
      <w:r w:rsidR="00233125">
        <w:t xml:space="preserve">2002 </w:t>
      </w:r>
      <w:r w:rsidR="00224E50">
        <w:t xml:space="preserve">survey </w:t>
      </w:r>
      <w:r w:rsidR="00233125">
        <w:t xml:space="preserve">round has </w:t>
      </w:r>
      <w:r w:rsidR="0090311C">
        <w:t xml:space="preserve">a </w:t>
      </w:r>
      <w:r w:rsidR="00224E50">
        <w:t xml:space="preserve">much </w:t>
      </w:r>
      <w:r w:rsidRPr="00473DA2">
        <w:t>large</w:t>
      </w:r>
      <w:r w:rsidR="00224E50">
        <w:t>r</w:t>
      </w:r>
      <w:r w:rsidRPr="00473DA2">
        <w:t xml:space="preserve"> sample </w:t>
      </w:r>
      <w:r w:rsidR="00233125">
        <w:t xml:space="preserve">size </w:t>
      </w:r>
      <w:r w:rsidRPr="00473DA2">
        <w:t xml:space="preserve">which includes </w:t>
      </w:r>
      <w:proofErr w:type="gramStart"/>
      <w:r w:rsidRPr="00473DA2">
        <w:t>more poorer</w:t>
      </w:r>
      <w:proofErr w:type="gramEnd"/>
      <w:r w:rsidRPr="00473DA2">
        <w:t xml:space="preserve"> </w:t>
      </w:r>
      <w:r w:rsidR="00233125">
        <w:t>households</w:t>
      </w:r>
      <w:r w:rsidR="0097310A">
        <w:t xml:space="preserve"> (</w:t>
      </w:r>
      <w:r w:rsidRPr="00473DA2">
        <w:t>see Table</w:t>
      </w:r>
      <w:r w:rsidR="0090311C">
        <w:t xml:space="preserve"> 1</w:t>
      </w:r>
      <w:r w:rsidR="0097310A">
        <w:t xml:space="preserve">). </w:t>
      </w:r>
      <w:r w:rsidRPr="00473DA2">
        <w:t xml:space="preserve"> </w:t>
      </w:r>
      <w:r w:rsidR="0097310A">
        <w:t>T</w:t>
      </w:r>
      <w:r w:rsidR="00233125">
        <w:t xml:space="preserve">he </w:t>
      </w:r>
      <w:r w:rsidRPr="00233125">
        <w:t xml:space="preserve">2008 </w:t>
      </w:r>
      <w:r w:rsidR="00224E50">
        <w:t xml:space="preserve">survey </w:t>
      </w:r>
      <w:r w:rsidR="00233125">
        <w:t xml:space="preserve">round </w:t>
      </w:r>
      <w:r w:rsidR="00A22567">
        <w:t xml:space="preserve">was affected by </w:t>
      </w:r>
      <w:r w:rsidRPr="00233125">
        <w:t>the GFC</w:t>
      </w:r>
      <w:r w:rsidR="0090311C">
        <w:t xml:space="preserve">. </w:t>
      </w:r>
      <w:r w:rsidR="0097310A">
        <w:t xml:space="preserve"> </w:t>
      </w:r>
      <w:r w:rsidRPr="00473DA2">
        <w:t xml:space="preserve">In comparison with non-education group, </w:t>
      </w:r>
      <w:r w:rsidR="0090311C">
        <w:t xml:space="preserve">hourly </w:t>
      </w:r>
      <w:r w:rsidRPr="00473DA2">
        <w:t>income of primary and lower secondary groups has been fairly stable</w:t>
      </w:r>
      <w:r w:rsidR="00224E50">
        <w:t xml:space="preserve"> over the period</w:t>
      </w:r>
      <w:r w:rsidRPr="00473DA2">
        <w:t xml:space="preserve">, while hourly income </w:t>
      </w:r>
      <w:r w:rsidR="003E0C77">
        <w:t xml:space="preserve">of </w:t>
      </w:r>
      <w:r w:rsidRPr="00473DA2">
        <w:t xml:space="preserve">higher education groups has been declining. The sharp falls were observed in </w:t>
      </w:r>
      <w:r w:rsidR="0097310A">
        <w:t xml:space="preserve">the </w:t>
      </w:r>
      <w:r w:rsidRPr="00473DA2">
        <w:t xml:space="preserve">university group, from </w:t>
      </w:r>
      <w:r w:rsidR="0090311C">
        <w:t xml:space="preserve">eight </w:t>
      </w:r>
      <w:r w:rsidRPr="00473DA2">
        <w:t xml:space="preserve">times in 1998 to 2.4 times in 2014, then the vocational group, from </w:t>
      </w:r>
      <w:r w:rsidR="0090311C">
        <w:t xml:space="preserve">three </w:t>
      </w:r>
      <w:r w:rsidR="0097310A">
        <w:t>fold</w:t>
      </w:r>
      <w:r w:rsidRPr="00473DA2">
        <w:t xml:space="preserve"> to 1.6 times</w:t>
      </w:r>
      <w:r w:rsidR="00233125">
        <w:t xml:space="preserve"> (Tables 6 and 7)</w:t>
      </w:r>
      <w:r w:rsidRPr="00473DA2">
        <w:t>.</w:t>
      </w:r>
    </w:p>
    <w:p w:rsidR="008623C3" w:rsidRDefault="008623C3" w:rsidP="005A2C59">
      <w:pPr>
        <w:widowControl w:val="0"/>
        <w:tabs>
          <w:tab w:val="left" w:pos="284"/>
          <w:tab w:val="left" w:pos="426"/>
        </w:tabs>
        <w:autoSpaceDE w:val="0"/>
        <w:autoSpaceDN w:val="0"/>
        <w:adjustRightInd w:val="0"/>
        <w:spacing w:line="288" w:lineRule="auto"/>
        <w:jc w:val="both"/>
      </w:pPr>
    </w:p>
    <w:p w:rsidR="00430240" w:rsidRPr="00A070F5" w:rsidRDefault="00430240" w:rsidP="00912053">
      <w:pPr>
        <w:pStyle w:val="PlainText"/>
        <w:tabs>
          <w:tab w:val="left" w:pos="284"/>
          <w:tab w:val="left" w:pos="426"/>
        </w:tabs>
        <w:jc w:val="center"/>
        <w:rPr>
          <w:rFonts w:ascii="Times New Roman" w:hAnsi="Times New Roman" w:cs="Times New Roman"/>
          <w:b/>
          <w:sz w:val="22"/>
          <w:szCs w:val="22"/>
        </w:rPr>
      </w:pPr>
      <w:r w:rsidRPr="00A070F5">
        <w:rPr>
          <w:rFonts w:ascii="Times New Roman" w:hAnsi="Times New Roman" w:cs="Times New Roman"/>
          <w:b/>
          <w:sz w:val="22"/>
          <w:szCs w:val="22"/>
        </w:rPr>
        <w:t>Table 6: Mean H</w:t>
      </w:r>
      <w:r w:rsidR="00007D9D" w:rsidRPr="00A070F5">
        <w:rPr>
          <w:rFonts w:ascii="Times New Roman" w:hAnsi="Times New Roman" w:cs="Times New Roman"/>
          <w:b/>
          <w:sz w:val="22"/>
          <w:szCs w:val="22"/>
        </w:rPr>
        <w:t>our</w:t>
      </w:r>
      <w:r w:rsidR="00B36805" w:rsidRPr="00A070F5">
        <w:rPr>
          <w:rFonts w:ascii="Times New Roman" w:hAnsi="Times New Roman" w:cs="Times New Roman"/>
          <w:b/>
          <w:sz w:val="22"/>
          <w:szCs w:val="22"/>
        </w:rPr>
        <w:t>ly</w:t>
      </w:r>
      <w:r w:rsidRPr="00A070F5">
        <w:rPr>
          <w:rFonts w:ascii="Times New Roman" w:hAnsi="Times New Roman" w:cs="Times New Roman"/>
          <w:b/>
          <w:sz w:val="22"/>
          <w:szCs w:val="22"/>
        </w:rPr>
        <w:t xml:space="preserve"> Income by Education L</w:t>
      </w:r>
      <w:r w:rsidR="00007D9D" w:rsidRPr="00A070F5">
        <w:rPr>
          <w:rFonts w:ascii="Times New Roman" w:hAnsi="Times New Roman" w:cs="Times New Roman"/>
          <w:b/>
          <w:sz w:val="22"/>
          <w:szCs w:val="22"/>
        </w:rPr>
        <w:t>evel</w:t>
      </w:r>
      <w:r w:rsidR="0090311C" w:rsidRPr="00A070F5">
        <w:rPr>
          <w:rFonts w:ascii="Times New Roman" w:hAnsi="Times New Roman" w:cs="Times New Roman"/>
          <w:b/>
          <w:sz w:val="22"/>
          <w:szCs w:val="22"/>
        </w:rPr>
        <w:t xml:space="preserve"> </w:t>
      </w:r>
      <w:r w:rsidRPr="00A070F5">
        <w:rPr>
          <w:rFonts w:ascii="Times New Roman" w:hAnsi="Times New Roman" w:cs="Times New Roman"/>
          <w:b/>
          <w:sz w:val="22"/>
          <w:szCs w:val="22"/>
        </w:rPr>
        <w:t>for W</w:t>
      </w:r>
      <w:r w:rsidR="00233125" w:rsidRPr="00A070F5">
        <w:rPr>
          <w:rFonts w:ascii="Times New Roman" w:hAnsi="Times New Roman" w:cs="Times New Roman"/>
          <w:b/>
          <w:sz w:val="22"/>
          <w:szCs w:val="22"/>
        </w:rPr>
        <w:t>hole</w:t>
      </w:r>
      <w:r w:rsidRPr="00A070F5">
        <w:rPr>
          <w:rFonts w:ascii="Times New Roman" w:hAnsi="Times New Roman" w:cs="Times New Roman"/>
          <w:b/>
          <w:sz w:val="22"/>
          <w:szCs w:val="22"/>
        </w:rPr>
        <w:t xml:space="preserve"> S</w:t>
      </w:r>
      <w:r w:rsidR="0090311C" w:rsidRPr="00A070F5">
        <w:rPr>
          <w:rFonts w:ascii="Times New Roman" w:hAnsi="Times New Roman" w:cs="Times New Roman"/>
          <w:b/>
          <w:sz w:val="22"/>
          <w:szCs w:val="22"/>
        </w:rPr>
        <w:t>ubsample</w:t>
      </w:r>
    </w:p>
    <w:p w:rsidR="00007D9D" w:rsidRPr="00A070F5" w:rsidRDefault="00430240" w:rsidP="00912053">
      <w:pPr>
        <w:pStyle w:val="PlainText"/>
        <w:tabs>
          <w:tab w:val="left" w:pos="284"/>
          <w:tab w:val="left" w:pos="426"/>
        </w:tabs>
        <w:jc w:val="center"/>
        <w:rPr>
          <w:rFonts w:ascii="Times New Roman" w:hAnsi="Times New Roman" w:cs="Times New Roman"/>
          <w:sz w:val="22"/>
          <w:szCs w:val="22"/>
        </w:rPr>
      </w:pPr>
      <w:r w:rsidRPr="00A070F5">
        <w:rPr>
          <w:rFonts w:ascii="Times New Roman" w:hAnsi="Times New Roman" w:cs="Times New Roman"/>
          <w:sz w:val="22"/>
          <w:szCs w:val="22"/>
        </w:rPr>
        <w:t>(Corrected For Sampling W</w:t>
      </w:r>
      <w:r w:rsidR="00007D9D" w:rsidRPr="00A070F5">
        <w:rPr>
          <w:rFonts w:ascii="Times New Roman" w:hAnsi="Times New Roman" w:cs="Times New Roman"/>
          <w:sz w:val="22"/>
          <w:szCs w:val="22"/>
        </w:rPr>
        <w:t>eight (VND1,000)</w:t>
      </w:r>
      <w:r w:rsidRPr="00A070F5">
        <w:rPr>
          <w:rFonts w:ascii="Times New Roman" w:hAnsi="Times New Roman" w:cs="Times New Roman"/>
          <w:sz w:val="22"/>
          <w:szCs w:val="22"/>
        </w:rPr>
        <w:t>)</w:t>
      </w:r>
    </w:p>
    <w:tbl>
      <w:tblPr>
        <w:tblW w:w="9962" w:type="dxa"/>
        <w:tblBorders>
          <w:top w:val="single" w:sz="8" w:space="0" w:color="4F81BD"/>
          <w:bottom w:val="single" w:sz="8" w:space="0" w:color="4F81BD"/>
        </w:tblBorders>
        <w:tblLook w:val="04A0" w:firstRow="1" w:lastRow="0" w:firstColumn="1" w:lastColumn="0" w:noHBand="0" w:noVBand="1"/>
      </w:tblPr>
      <w:tblGrid>
        <w:gridCol w:w="738"/>
        <w:gridCol w:w="983"/>
        <w:gridCol w:w="666"/>
        <w:gridCol w:w="1038"/>
        <w:gridCol w:w="666"/>
        <w:gridCol w:w="805"/>
        <w:gridCol w:w="653"/>
        <w:gridCol w:w="805"/>
        <w:gridCol w:w="666"/>
        <w:gridCol w:w="805"/>
        <w:gridCol w:w="666"/>
        <w:gridCol w:w="805"/>
        <w:gridCol w:w="666"/>
      </w:tblGrid>
      <w:tr w:rsidR="00BA640F" w:rsidRPr="00A070F5" w:rsidTr="006137B4">
        <w:trPr>
          <w:trHeight w:val="300"/>
        </w:trPr>
        <w:tc>
          <w:tcPr>
            <w:tcW w:w="738" w:type="dxa"/>
            <w:vMerge w:val="restart"/>
            <w:tcBorders>
              <w:top w:val="single" w:sz="8" w:space="0" w:color="4F81BD"/>
              <w:left w:val="nil"/>
              <w:bottom w:val="single" w:sz="8" w:space="0" w:color="4F81BD"/>
              <w:right w:val="nil"/>
            </w:tcBorders>
            <w:shd w:val="clear" w:color="auto" w:fill="auto"/>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Year</w:t>
            </w:r>
          </w:p>
        </w:tc>
        <w:tc>
          <w:tcPr>
            <w:tcW w:w="1649" w:type="dxa"/>
            <w:gridSpan w:val="2"/>
            <w:tcBorders>
              <w:top w:val="single" w:sz="8" w:space="0" w:color="4F81BD"/>
              <w:left w:val="nil"/>
              <w:bottom w:val="single" w:sz="8" w:space="0" w:color="4F81BD"/>
              <w:right w:val="nil"/>
            </w:tcBorders>
            <w:shd w:val="clear" w:color="auto" w:fill="auto"/>
            <w:noWrap/>
            <w:hideMark/>
          </w:tcPr>
          <w:p w:rsidR="00BA640F" w:rsidRPr="00A070F5" w:rsidRDefault="00696FF4" w:rsidP="005A2C59">
            <w:pPr>
              <w:tabs>
                <w:tab w:val="left" w:pos="284"/>
                <w:tab w:val="left" w:pos="426"/>
              </w:tabs>
              <w:spacing w:line="288" w:lineRule="auto"/>
              <w:jc w:val="center"/>
              <w:rPr>
                <w:bCs/>
                <w:color w:val="000000"/>
                <w:sz w:val="22"/>
                <w:szCs w:val="22"/>
                <w:lang w:eastAsia="en-NZ"/>
              </w:rPr>
            </w:pPr>
            <w:r>
              <w:rPr>
                <w:bCs/>
                <w:color w:val="000000"/>
                <w:sz w:val="22"/>
                <w:szCs w:val="22"/>
                <w:lang w:eastAsia="en-NZ"/>
              </w:rPr>
              <w:t>No E</w:t>
            </w:r>
            <w:r w:rsidR="00BA640F" w:rsidRPr="00A070F5">
              <w:rPr>
                <w:bCs/>
                <w:color w:val="000000"/>
                <w:sz w:val="22"/>
                <w:szCs w:val="22"/>
                <w:lang w:eastAsia="en-NZ"/>
              </w:rPr>
              <w:t>d</w:t>
            </w:r>
          </w:p>
        </w:tc>
        <w:tc>
          <w:tcPr>
            <w:tcW w:w="1704" w:type="dxa"/>
            <w:gridSpan w:val="2"/>
            <w:tcBorders>
              <w:top w:val="single" w:sz="8" w:space="0" w:color="4F81BD"/>
              <w:left w:val="nil"/>
              <w:bottom w:val="single" w:sz="8" w:space="0" w:color="4F81BD"/>
              <w:right w:val="nil"/>
            </w:tcBorders>
            <w:shd w:val="clear" w:color="auto" w:fill="auto"/>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Primary</w:t>
            </w:r>
          </w:p>
        </w:tc>
        <w:tc>
          <w:tcPr>
            <w:tcW w:w="1458" w:type="dxa"/>
            <w:gridSpan w:val="2"/>
            <w:tcBorders>
              <w:top w:val="single" w:sz="8" w:space="0" w:color="4F81BD"/>
              <w:left w:val="nil"/>
              <w:bottom w:val="single" w:sz="8" w:space="0" w:color="4F81BD"/>
              <w:right w:val="nil"/>
            </w:tcBorders>
            <w:shd w:val="clear" w:color="auto" w:fill="auto"/>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Lower second</w:t>
            </w:r>
          </w:p>
        </w:tc>
        <w:tc>
          <w:tcPr>
            <w:tcW w:w="1471" w:type="dxa"/>
            <w:gridSpan w:val="2"/>
            <w:tcBorders>
              <w:top w:val="single" w:sz="8" w:space="0" w:color="4F81BD"/>
              <w:left w:val="nil"/>
              <w:bottom w:val="single" w:sz="8" w:space="0" w:color="4F81BD"/>
              <w:right w:val="nil"/>
            </w:tcBorders>
            <w:shd w:val="clear" w:color="auto" w:fill="auto"/>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Upper second</w:t>
            </w:r>
          </w:p>
        </w:tc>
        <w:tc>
          <w:tcPr>
            <w:tcW w:w="1471" w:type="dxa"/>
            <w:gridSpan w:val="2"/>
            <w:tcBorders>
              <w:top w:val="single" w:sz="8" w:space="0" w:color="4F81BD"/>
              <w:left w:val="nil"/>
              <w:bottom w:val="single" w:sz="8" w:space="0" w:color="4F81BD"/>
              <w:right w:val="nil"/>
            </w:tcBorders>
            <w:shd w:val="clear" w:color="auto" w:fill="auto"/>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Vocational</w:t>
            </w:r>
          </w:p>
        </w:tc>
        <w:tc>
          <w:tcPr>
            <w:tcW w:w="1471" w:type="dxa"/>
            <w:gridSpan w:val="2"/>
            <w:tcBorders>
              <w:top w:val="single" w:sz="8" w:space="0" w:color="4F81BD"/>
              <w:left w:val="nil"/>
              <w:bottom w:val="single" w:sz="8" w:space="0" w:color="4F81BD"/>
              <w:right w:val="nil"/>
            </w:tcBorders>
            <w:shd w:val="clear" w:color="auto" w:fill="auto"/>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University</w:t>
            </w:r>
          </w:p>
        </w:tc>
      </w:tr>
      <w:tr w:rsidR="00BA640F" w:rsidRPr="00A070F5" w:rsidTr="006137B4">
        <w:trPr>
          <w:trHeight w:val="300"/>
        </w:trPr>
        <w:tc>
          <w:tcPr>
            <w:tcW w:w="738" w:type="dxa"/>
            <w:vMerge/>
            <w:tcBorders>
              <w:left w:val="nil"/>
              <w:bottom w:val="single" w:sz="4" w:space="0" w:color="auto"/>
              <w:right w:val="nil"/>
            </w:tcBorders>
            <w:shd w:val="clear" w:color="auto" w:fill="D3DFEE"/>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p>
        </w:tc>
        <w:tc>
          <w:tcPr>
            <w:tcW w:w="983" w:type="dxa"/>
            <w:tcBorders>
              <w:left w:val="nil"/>
              <w:bottom w:val="single" w:sz="4" w:space="0" w:color="auto"/>
              <w:right w:val="nil"/>
            </w:tcBorders>
            <w:shd w:val="clear" w:color="auto" w:fill="D3DFEE"/>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Mean</w:t>
            </w:r>
          </w:p>
        </w:tc>
        <w:tc>
          <w:tcPr>
            <w:tcW w:w="666" w:type="dxa"/>
            <w:tcBorders>
              <w:left w:val="nil"/>
              <w:bottom w:val="single" w:sz="4" w:space="0" w:color="auto"/>
              <w:right w:val="nil"/>
            </w:tcBorders>
            <w:shd w:val="clear" w:color="auto" w:fill="D3DFEE"/>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SE</w:t>
            </w:r>
          </w:p>
        </w:tc>
        <w:tc>
          <w:tcPr>
            <w:tcW w:w="1038" w:type="dxa"/>
            <w:tcBorders>
              <w:left w:val="nil"/>
              <w:bottom w:val="single" w:sz="4" w:space="0" w:color="auto"/>
              <w:right w:val="nil"/>
            </w:tcBorders>
            <w:shd w:val="clear" w:color="auto" w:fill="D3DFEE"/>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Mean</w:t>
            </w:r>
          </w:p>
        </w:tc>
        <w:tc>
          <w:tcPr>
            <w:tcW w:w="666" w:type="dxa"/>
            <w:tcBorders>
              <w:left w:val="nil"/>
              <w:bottom w:val="single" w:sz="4" w:space="0" w:color="auto"/>
              <w:right w:val="nil"/>
            </w:tcBorders>
            <w:shd w:val="clear" w:color="auto" w:fill="D3DFEE"/>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SE</w:t>
            </w:r>
          </w:p>
        </w:tc>
        <w:tc>
          <w:tcPr>
            <w:tcW w:w="805" w:type="dxa"/>
            <w:tcBorders>
              <w:left w:val="nil"/>
              <w:bottom w:val="single" w:sz="4" w:space="0" w:color="auto"/>
              <w:right w:val="nil"/>
            </w:tcBorders>
            <w:shd w:val="clear" w:color="auto" w:fill="D3DFEE"/>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Mean</w:t>
            </w:r>
          </w:p>
        </w:tc>
        <w:tc>
          <w:tcPr>
            <w:tcW w:w="0" w:type="auto"/>
            <w:tcBorders>
              <w:left w:val="nil"/>
              <w:bottom w:val="single" w:sz="4" w:space="0" w:color="auto"/>
              <w:right w:val="nil"/>
            </w:tcBorders>
            <w:shd w:val="clear" w:color="auto" w:fill="D3DFEE"/>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SE</w:t>
            </w:r>
          </w:p>
        </w:tc>
        <w:tc>
          <w:tcPr>
            <w:tcW w:w="805" w:type="dxa"/>
            <w:tcBorders>
              <w:left w:val="nil"/>
              <w:bottom w:val="single" w:sz="4" w:space="0" w:color="auto"/>
              <w:right w:val="nil"/>
            </w:tcBorders>
            <w:shd w:val="clear" w:color="auto" w:fill="D3DFEE"/>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Mean</w:t>
            </w:r>
          </w:p>
        </w:tc>
        <w:tc>
          <w:tcPr>
            <w:tcW w:w="666" w:type="dxa"/>
            <w:tcBorders>
              <w:left w:val="nil"/>
              <w:bottom w:val="single" w:sz="4" w:space="0" w:color="auto"/>
              <w:right w:val="nil"/>
            </w:tcBorders>
            <w:shd w:val="clear" w:color="auto" w:fill="D3DFEE"/>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SE</w:t>
            </w:r>
          </w:p>
        </w:tc>
        <w:tc>
          <w:tcPr>
            <w:tcW w:w="805" w:type="dxa"/>
            <w:tcBorders>
              <w:left w:val="nil"/>
              <w:bottom w:val="single" w:sz="4" w:space="0" w:color="auto"/>
              <w:right w:val="nil"/>
            </w:tcBorders>
            <w:shd w:val="clear" w:color="auto" w:fill="D3DFEE"/>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Mean</w:t>
            </w:r>
          </w:p>
        </w:tc>
        <w:tc>
          <w:tcPr>
            <w:tcW w:w="666" w:type="dxa"/>
            <w:tcBorders>
              <w:left w:val="nil"/>
              <w:bottom w:val="single" w:sz="4" w:space="0" w:color="auto"/>
              <w:right w:val="nil"/>
            </w:tcBorders>
            <w:shd w:val="clear" w:color="auto" w:fill="D3DFEE"/>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SE</w:t>
            </w:r>
          </w:p>
        </w:tc>
        <w:tc>
          <w:tcPr>
            <w:tcW w:w="805" w:type="dxa"/>
            <w:tcBorders>
              <w:left w:val="nil"/>
              <w:bottom w:val="single" w:sz="4" w:space="0" w:color="auto"/>
              <w:right w:val="nil"/>
            </w:tcBorders>
            <w:shd w:val="clear" w:color="auto" w:fill="D3DFEE"/>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Mean</w:t>
            </w:r>
          </w:p>
        </w:tc>
        <w:tc>
          <w:tcPr>
            <w:tcW w:w="666" w:type="dxa"/>
            <w:tcBorders>
              <w:left w:val="nil"/>
              <w:bottom w:val="single" w:sz="4" w:space="0" w:color="auto"/>
              <w:right w:val="nil"/>
            </w:tcBorders>
            <w:shd w:val="clear" w:color="auto" w:fill="D3DFEE"/>
            <w:noWrap/>
            <w:hideMark/>
          </w:tcPr>
          <w:p w:rsidR="00BA640F" w:rsidRPr="00A070F5" w:rsidRDefault="00BA640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SE</w:t>
            </w:r>
          </w:p>
        </w:tc>
      </w:tr>
      <w:tr w:rsidR="00233125" w:rsidRPr="00A070F5" w:rsidTr="006137B4">
        <w:trPr>
          <w:trHeight w:val="300"/>
        </w:trPr>
        <w:tc>
          <w:tcPr>
            <w:tcW w:w="738" w:type="dxa"/>
            <w:tcBorders>
              <w:top w:val="single" w:sz="4" w:space="0" w:color="auto"/>
            </w:tcBorders>
            <w:shd w:val="clear" w:color="auto" w:fill="auto"/>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1998</w:t>
            </w:r>
          </w:p>
        </w:tc>
        <w:tc>
          <w:tcPr>
            <w:tcW w:w="983" w:type="dxa"/>
            <w:tcBorders>
              <w:top w:val="single" w:sz="4" w:space="0" w:color="auto"/>
            </w:tcBorders>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0.45</w:t>
            </w:r>
          </w:p>
        </w:tc>
        <w:tc>
          <w:tcPr>
            <w:tcW w:w="666" w:type="dxa"/>
            <w:tcBorders>
              <w:top w:val="single" w:sz="4" w:space="0" w:color="auto"/>
            </w:tcBorders>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0.03</w:t>
            </w:r>
          </w:p>
        </w:tc>
        <w:tc>
          <w:tcPr>
            <w:tcW w:w="1038" w:type="dxa"/>
            <w:tcBorders>
              <w:top w:val="single" w:sz="4" w:space="0" w:color="auto"/>
            </w:tcBorders>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0.45</w:t>
            </w:r>
          </w:p>
        </w:tc>
        <w:tc>
          <w:tcPr>
            <w:tcW w:w="666" w:type="dxa"/>
            <w:tcBorders>
              <w:top w:val="single" w:sz="4" w:space="0" w:color="auto"/>
            </w:tcBorders>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0.01</w:t>
            </w:r>
          </w:p>
        </w:tc>
        <w:tc>
          <w:tcPr>
            <w:tcW w:w="805" w:type="dxa"/>
            <w:tcBorders>
              <w:top w:val="single" w:sz="4" w:space="0" w:color="auto"/>
            </w:tcBorders>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0.56</w:t>
            </w:r>
          </w:p>
        </w:tc>
        <w:tc>
          <w:tcPr>
            <w:tcW w:w="0" w:type="auto"/>
            <w:tcBorders>
              <w:top w:val="single" w:sz="4" w:space="0" w:color="auto"/>
            </w:tcBorders>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0.01</w:t>
            </w:r>
          </w:p>
        </w:tc>
        <w:tc>
          <w:tcPr>
            <w:tcW w:w="805" w:type="dxa"/>
            <w:tcBorders>
              <w:top w:val="single" w:sz="4" w:space="0" w:color="auto"/>
            </w:tcBorders>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1.13</w:t>
            </w:r>
          </w:p>
        </w:tc>
        <w:tc>
          <w:tcPr>
            <w:tcW w:w="666" w:type="dxa"/>
            <w:tcBorders>
              <w:top w:val="single" w:sz="4" w:space="0" w:color="auto"/>
            </w:tcBorders>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0.04</w:t>
            </w:r>
          </w:p>
        </w:tc>
        <w:tc>
          <w:tcPr>
            <w:tcW w:w="805" w:type="dxa"/>
            <w:tcBorders>
              <w:top w:val="single" w:sz="4" w:space="0" w:color="auto"/>
            </w:tcBorders>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1.35</w:t>
            </w:r>
          </w:p>
        </w:tc>
        <w:tc>
          <w:tcPr>
            <w:tcW w:w="666" w:type="dxa"/>
            <w:tcBorders>
              <w:top w:val="single" w:sz="4" w:space="0" w:color="auto"/>
            </w:tcBorders>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0.07</w:t>
            </w:r>
          </w:p>
        </w:tc>
        <w:tc>
          <w:tcPr>
            <w:tcW w:w="805" w:type="dxa"/>
            <w:tcBorders>
              <w:top w:val="single" w:sz="4" w:space="0" w:color="auto"/>
            </w:tcBorders>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3.56</w:t>
            </w:r>
          </w:p>
        </w:tc>
        <w:tc>
          <w:tcPr>
            <w:tcW w:w="666" w:type="dxa"/>
            <w:tcBorders>
              <w:top w:val="single" w:sz="4" w:space="0" w:color="auto"/>
            </w:tcBorders>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0.22</w:t>
            </w:r>
          </w:p>
        </w:tc>
      </w:tr>
      <w:tr w:rsidR="00233125" w:rsidRPr="00A070F5" w:rsidTr="006137B4">
        <w:trPr>
          <w:trHeight w:val="300"/>
        </w:trPr>
        <w:tc>
          <w:tcPr>
            <w:tcW w:w="738"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2002</w:t>
            </w:r>
          </w:p>
        </w:tc>
        <w:tc>
          <w:tcPr>
            <w:tcW w:w="983"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0.76</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0.04</w:t>
            </w:r>
          </w:p>
        </w:tc>
        <w:tc>
          <w:tcPr>
            <w:tcW w:w="1038"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0.96</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0.03</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0.94</w:t>
            </w:r>
          </w:p>
        </w:tc>
        <w:tc>
          <w:tcPr>
            <w:tcW w:w="0" w:type="auto"/>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0.02</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1.10</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0.03</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4.28</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0.25</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7.70</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0.34</w:t>
            </w:r>
          </w:p>
        </w:tc>
      </w:tr>
      <w:tr w:rsidR="00233125" w:rsidRPr="00A070F5" w:rsidTr="006137B4">
        <w:trPr>
          <w:trHeight w:val="300"/>
        </w:trPr>
        <w:tc>
          <w:tcPr>
            <w:tcW w:w="738" w:type="dxa"/>
            <w:shd w:val="clear" w:color="auto" w:fill="auto"/>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2004</w:t>
            </w:r>
          </w:p>
        </w:tc>
        <w:tc>
          <w:tcPr>
            <w:tcW w:w="983"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3.06</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0.27</w:t>
            </w:r>
          </w:p>
        </w:tc>
        <w:tc>
          <w:tcPr>
            <w:tcW w:w="1038"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3.37</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0.08</w:t>
            </w:r>
          </w:p>
        </w:tc>
        <w:tc>
          <w:tcPr>
            <w:tcW w:w="805"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3.37</w:t>
            </w:r>
          </w:p>
        </w:tc>
        <w:tc>
          <w:tcPr>
            <w:tcW w:w="0" w:type="auto"/>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0.07</w:t>
            </w:r>
          </w:p>
        </w:tc>
        <w:tc>
          <w:tcPr>
            <w:tcW w:w="805"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5.27</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0.20</w:t>
            </w:r>
          </w:p>
        </w:tc>
        <w:tc>
          <w:tcPr>
            <w:tcW w:w="805"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6.36</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0.13</w:t>
            </w:r>
          </w:p>
        </w:tc>
        <w:tc>
          <w:tcPr>
            <w:tcW w:w="805"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10.38</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0.34</w:t>
            </w:r>
          </w:p>
        </w:tc>
      </w:tr>
      <w:tr w:rsidR="00233125" w:rsidRPr="00A070F5" w:rsidTr="006137B4">
        <w:trPr>
          <w:trHeight w:val="300"/>
        </w:trPr>
        <w:tc>
          <w:tcPr>
            <w:tcW w:w="738"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2006</w:t>
            </w:r>
          </w:p>
        </w:tc>
        <w:tc>
          <w:tcPr>
            <w:tcW w:w="983"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3.89</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0.40</w:t>
            </w:r>
          </w:p>
        </w:tc>
        <w:tc>
          <w:tcPr>
            <w:tcW w:w="1038"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4.27</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0.08</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4.46</w:t>
            </w:r>
          </w:p>
        </w:tc>
        <w:tc>
          <w:tcPr>
            <w:tcW w:w="0" w:type="auto"/>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0.08</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6.37</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0.21</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8.22</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0.18</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13.83</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0.37</w:t>
            </w:r>
          </w:p>
        </w:tc>
      </w:tr>
      <w:tr w:rsidR="00233125" w:rsidRPr="00A070F5" w:rsidTr="006137B4">
        <w:trPr>
          <w:trHeight w:val="300"/>
        </w:trPr>
        <w:tc>
          <w:tcPr>
            <w:tcW w:w="738" w:type="dxa"/>
            <w:shd w:val="clear" w:color="auto" w:fill="auto"/>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2008</w:t>
            </w:r>
          </w:p>
        </w:tc>
        <w:tc>
          <w:tcPr>
            <w:tcW w:w="983"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8.29</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0.82</w:t>
            </w:r>
          </w:p>
        </w:tc>
        <w:tc>
          <w:tcPr>
            <w:tcW w:w="1038"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6.29</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0.13</w:t>
            </w:r>
          </w:p>
        </w:tc>
        <w:tc>
          <w:tcPr>
            <w:tcW w:w="805"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6.54</w:t>
            </w:r>
          </w:p>
        </w:tc>
        <w:tc>
          <w:tcPr>
            <w:tcW w:w="0" w:type="auto"/>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0.12</w:t>
            </w:r>
          </w:p>
        </w:tc>
        <w:tc>
          <w:tcPr>
            <w:tcW w:w="805"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9.25</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0.33</w:t>
            </w:r>
          </w:p>
        </w:tc>
        <w:tc>
          <w:tcPr>
            <w:tcW w:w="805"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11.13</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0.24</w:t>
            </w:r>
          </w:p>
        </w:tc>
        <w:tc>
          <w:tcPr>
            <w:tcW w:w="805"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21.01</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0.61</w:t>
            </w:r>
          </w:p>
        </w:tc>
      </w:tr>
      <w:tr w:rsidR="00233125" w:rsidRPr="00A070F5" w:rsidTr="006137B4">
        <w:trPr>
          <w:trHeight w:val="300"/>
        </w:trPr>
        <w:tc>
          <w:tcPr>
            <w:tcW w:w="738"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2010</w:t>
            </w:r>
          </w:p>
        </w:tc>
        <w:tc>
          <w:tcPr>
            <w:tcW w:w="983"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10.66</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0.59</w:t>
            </w:r>
          </w:p>
        </w:tc>
        <w:tc>
          <w:tcPr>
            <w:tcW w:w="1038"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10.85</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0.24</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11.26</w:t>
            </w:r>
          </w:p>
        </w:tc>
        <w:tc>
          <w:tcPr>
            <w:tcW w:w="0" w:type="auto"/>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0.21</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12.80</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0.38</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16.97</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0.57</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30.29</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1.32</w:t>
            </w:r>
          </w:p>
        </w:tc>
      </w:tr>
      <w:tr w:rsidR="00233125" w:rsidRPr="00A070F5" w:rsidTr="006137B4">
        <w:trPr>
          <w:trHeight w:val="300"/>
        </w:trPr>
        <w:tc>
          <w:tcPr>
            <w:tcW w:w="738" w:type="dxa"/>
            <w:shd w:val="clear" w:color="auto" w:fill="auto"/>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2012</w:t>
            </w:r>
          </w:p>
        </w:tc>
        <w:tc>
          <w:tcPr>
            <w:tcW w:w="983"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14.03</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0.34</w:t>
            </w:r>
          </w:p>
        </w:tc>
        <w:tc>
          <w:tcPr>
            <w:tcW w:w="1038"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15.43</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0.19</w:t>
            </w:r>
          </w:p>
        </w:tc>
        <w:tc>
          <w:tcPr>
            <w:tcW w:w="805"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16.69</w:t>
            </w:r>
          </w:p>
        </w:tc>
        <w:tc>
          <w:tcPr>
            <w:tcW w:w="0" w:type="auto"/>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0.24</w:t>
            </w:r>
          </w:p>
        </w:tc>
        <w:tc>
          <w:tcPr>
            <w:tcW w:w="805"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19.83</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0.53</w:t>
            </w:r>
          </w:p>
        </w:tc>
        <w:tc>
          <w:tcPr>
            <w:tcW w:w="805"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23.17</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0.46</w:t>
            </w:r>
          </w:p>
        </w:tc>
        <w:tc>
          <w:tcPr>
            <w:tcW w:w="805"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36.40</w:t>
            </w:r>
          </w:p>
        </w:tc>
        <w:tc>
          <w:tcPr>
            <w:tcW w:w="666" w:type="dxa"/>
            <w:shd w:val="clear" w:color="auto" w:fill="auto"/>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1.01</w:t>
            </w:r>
          </w:p>
        </w:tc>
      </w:tr>
      <w:tr w:rsidR="00233125" w:rsidRPr="00A070F5" w:rsidTr="006137B4">
        <w:trPr>
          <w:trHeight w:val="300"/>
        </w:trPr>
        <w:tc>
          <w:tcPr>
            <w:tcW w:w="738"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2014</w:t>
            </w:r>
          </w:p>
        </w:tc>
        <w:tc>
          <w:tcPr>
            <w:tcW w:w="983"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17.25</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0.34</w:t>
            </w:r>
          </w:p>
        </w:tc>
        <w:tc>
          <w:tcPr>
            <w:tcW w:w="1038"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19.29</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0.32</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20.63</w:t>
            </w:r>
          </w:p>
        </w:tc>
        <w:tc>
          <w:tcPr>
            <w:tcW w:w="0" w:type="auto"/>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0.47</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23.98</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0.62</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28.31</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0.62</w:t>
            </w:r>
          </w:p>
        </w:tc>
        <w:tc>
          <w:tcPr>
            <w:tcW w:w="805"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41.32</w:t>
            </w:r>
          </w:p>
        </w:tc>
        <w:tc>
          <w:tcPr>
            <w:tcW w:w="666" w:type="dxa"/>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right"/>
              <w:rPr>
                <w:color w:val="000000"/>
                <w:sz w:val="22"/>
                <w:szCs w:val="22"/>
              </w:rPr>
            </w:pPr>
            <w:r w:rsidRPr="00A070F5">
              <w:rPr>
                <w:color w:val="000000"/>
                <w:sz w:val="22"/>
                <w:szCs w:val="22"/>
              </w:rPr>
              <w:t>0.74</w:t>
            </w:r>
          </w:p>
        </w:tc>
      </w:tr>
    </w:tbl>
    <w:p w:rsidR="00007D9D" w:rsidRPr="00F2738B" w:rsidRDefault="00B36805" w:rsidP="005A2C59">
      <w:pPr>
        <w:widowControl w:val="0"/>
        <w:tabs>
          <w:tab w:val="left" w:pos="284"/>
          <w:tab w:val="left" w:pos="426"/>
        </w:tabs>
        <w:autoSpaceDE w:val="0"/>
        <w:autoSpaceDN w:val="0"/>
        <w:adjustRightInd w:val="0"/>
        <w:spacing w:line="288" w:lineRule="auto"/>
        <w:rPr>
          <w:i/>
          <w:sz w:val="20"/>
          <w:szCs w:val="20"/>
        </w:rPr>
      </w:pPr>
      <w:r w:rsidRPr="00F2738B">
        <w:rPr>
          <w:i/>
          <w:sz w:val="20"/>
          <w:szCs w:val="20"/>
        </w:rPr>
        <w:t xml:space="preserve">Source: </w:t>
      </w:r>
      <w:r w:rsidRPr="00F2738B">
        <w:rPr>
          <w:sz w:val="20"/>
          <w:szCs w:val="20"/>
        </w:rPr>
        <w:t>VHLSS1998-2014</w:t>
      </w:r>
      <w:r w:rsidR="00721FC4" w:rsidRPr="00F2738B">
        <w:rPr>
          <w:sz w:val="20"/>
          <w:szCs w:val="20"/>
        </w:rPr>
        <w:t>, income is in nominal terms</w:t>
      </w:r>
      <w:r w:rsidR="00A070F5" w:rsidRPr="00F2738B">
        <w:rPr>
          <w:sz w:val="20"/>
          <w:szCs w:val="20"/>
        </w:rPr>
        <w:t>.</w:t>
      </w:r>
    </w:p>
    <w:p w:rsidR="00805177" w:rsidRPr="001B5A6F" w:rsidRDefault="00805177" w:rsidP="005A2C59">
      <w:pPr>
        <w:widowControl w:val="0"/>
        <w:tabs>
          <w:tab w:val="left" w:pos="284"/>
          <w:tab w:val="left" w:pos="426"/>
        </w:tabs>
        <w:autoSpaceDE w:val="0"/>
        <w:autoSpaceDN w:val="0"/>
        <w:adjustRightInd w:val="0"/>
        <w:spacing w:line="288" w:lineRule="auto"/>
        <w:rPr>
          <w:i/>
        </w:rPr>
      </w:pPr>
    </w:p>
    <w:p w:rsidR="00430240" w:rsidRPr="00A070F5" w:rsidRDefault="00F2738B" w:rsidP="00A070F5">
      <w:pPr>
        <w:widowControl w:val="0"/>
        <w:tabs>
          <w:tab w:val="left" w:pos="284"/>
          <w:tab w:val="left" w:pos="426"/>
        </w:tabs>
        <w:autoSpaceDE w:val="0"/>
        <w:autoSpaceDN w:val="0"/>
        <w:adjustRightInd w:val="0"/>
        <w:jc w:val="center"/>
        <w:rPr>
          <w:b/>
          <w:sz w:val="22"/>
          <w:szCs w:val="22"/>
        </w:rPr>
      </w:pPr>
      <w:r>
        <w:rPr>
          <w:b/>
          <w:sz w:val="22"/>
          <w:szCs w:val="22"/>
        </w:rPr>
        <w:t>Table 7: Mean Hourly Income Relative to Non-education Group</w:t>
      </w:r>
      <w:r w:rsidR="00B36805" w:rsidRPr="00A070F5">
        <w:rPr>
          <w:b/>
          <w:sz w:val="22"/>
          <w:szCs w:val="22"/>
        </w:rPr>
        <w:t xml:space="preserve"> </w:t>
      </w:r>
    </w:p>
    <w:p w:rsidR="00007D9D" w:rsidRPr="00F2738B" w:rsidRDefault="00430240" w:rsidP="00A070F5">
      <w:pPr>
        <w:widowControl w:val="0"/>
        <w:tabs>
          <w:tab w:val="left" w:pos="284"/>
          <w:tab w:val="left" w:pos="426"/>
        </w:tabs>
        <w:autoSpaceDE w:val="0"/>
        <w:autoSpaceDN w:val="0"/>
        <w:adjustRightInd w:val="0"/>
        <w:jc w:val="center"/>
        <w:rPr>
          <w:sz w:val="22"/>
          <w:szCs w:val="22"/>
        </w:rPr>
      </w:pPr>
      <w:r w:rsidRPr="00F2738B">
        <w:rPr>
          <w:sz w:val="22"/>
          <w:szCs w:val="22"/>
        </w:rPr>
        <w:t>(B</w:t>
      </w:r>
      <w:r w:rsidR="00F2738B">
        <w:rPr>
          <w:sz w:val="22"/>
          <w:szCs w:val="22"/>
        </w:rPr>
        <w:t>y Education L</w:t>
      </w:r>
      <w:r w:rsidR="00B36805" w:rsidRPr="00F2738B">
        <w:rPr>
          <w:sz w:val="22"/>
          <w:szCs w:val="22"/>
        </w:rPr>
        <w:t xml:space="preserve">evel </w:t>
      </w:r>
      <w:r w:rsidR="00F2738B">
        <w:rPr>
          <w:sz w:val="22"/>
          <w:szCs w:val="22"/>
        </w:rPr>
        <w:t>for W</w:t>
      </w:r>
      <w:r w:rsidR="00233125" w:rsidRPr="00F2738B">
        <w:rPr>
          <w:sz w:val="22"/>
          <w:szCs w:val="22"/>
        </w:rPr>
        <w:t xml:space="preserve">hole </w:t>
      </w:r>
      <w:r w:rsidR="00F2738B">
        <w:rPr>
          <w:sz w:val="22"/>
          <w:szCs w:val="22"/>
        </w:rPr>
        <w:t>S</w:t>
      </w:r>
      <w:r w:rsidR="00B36805" w:rsidRPr="00F2738B">
        <w:rPr>
          <w:sz w:val="22"/>
          <w:szCs w:val="22"/>
        </w:rPr>
        <w:t>ubsample</w:t>
      </w:r>
      <w:r w:rsidR="00F2738B" w:rsidRPr="00F2738B">
        <w:rPr>
          <w:sz w:val="22"/>
          <w:szCs w:val="22"/>
        </w:rPr>
        <w:t>)</w:t>
      </w:r>
    </w:p>
    <w:tbl>
      <w:tblPr>
        <w:tblW w:w="5000" w:type="pct"/>
        <w:tblBorders>
          <w:top w:val="single" w:sz="8" w:space="0" w:color="4F81BD"/>
          <w:bottom w:val="single" w:sz="8" w:space="0" w:color="4F81BD"/>
        </w:tblBorders>
        <w:tblLook w:val="04A0" w:firstRow="1" w:lastRow="0" w:firstColumn="1" w:lastColumn="0" w:noHBand="0" w:noVBand="1"/>
      </w:tblPr>
      <w:tblGrid>
        <w:gridCol w:w="746"/>
        <w:gridCol w:w="1804"/>
        <w:gridCol w:w="996"/>
        <w:gridCol w:w="1586"/>
        <w:gridCol w:w="1593"/>
        <w:gridCol w:w="1283"/>
        <w:gridCol w:w="1235"/>
      </w:tblGrid>
      <w:tr w:rsidR="00007D9D" w:rsidRPr="00A070F5" w:rsidTr="000D48AD">
        <w:trPr>
          <w:trHeight w:val="300"/>
        </w:trPr>
        <w:tc>
          <w:tcPr>
            <w:tcW w:w="403" w:type="pct"/>
            <w:tcBorders>
              <w:top w:val="single" w:sz="8" w:space="0" w:color="4F81BD"/>
              <w:bottom w:val="single" w:sz="8" w:space="0" w:color="4F81BD"/>
            </w:tcBorders>
            <w:shd w:val="clear" w:color="auto" w:fill="auto"/>
            <w:noWrap/>
            <w:hideMark/>
          </w:tcPr>
          <w:p w:rsidR="00007D9D" w:rsidRPr="00A070F5" w:rsidRDefault="001B5A6F"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Year</w:t>
            </w:r>
            <w:r w:rsidR="00007D9D" w:rsidRPr="00A070F5">
              <w:rPr>
                <w:bCs/>
                <w:color w:val="000000"/>
                <w:sz w:val="22"/>
                <w:szCs w:val="22"/>
                <w:lang w:eastAsia="en-NZ"/>
              </w:rPr>
              <w:t> </w:t>
            </w:r>
          </w:p>
        </w:tc>
        <w:tc>
          <w:tcPr>
            <w:tcW w:w="976" w:type="pct"/>
            <w:tcBorders>
              <w:top w:val="single" w:sz="8" w:space="0" w:color="4F81BD"/>
              <w:bottom w:val="single" w:sz="8" w:space="0" w:color="4F81BD"/>
            </w:tcBorders>
            <w:shd w:val="clear" w:color="auto" w:fill="auto"/>
            <w:noWrap/>
            <w:hideMark/>
          </w:tcPr>
          <w:p w:rsidR="00007D9D" w:rsidRPr="00A070F5" w:rsidRDefault="005E24DF" w:rsidP="005A2C59">
            <w:pPr>
              <w:tabs>
                <w:tab w:val="left" w:pos="284"/>
                <w:tab w:val="left" w:pos="426"/>
              </w:tabs>
              <w:spacing w:line="288" w:lineRule="auto"/>
              <w:jc w:val="center"/>
              <w:rPr>
                <w:bCs/>
                <w:color w:val="000000"/>
                <w:sz w:val="22"/>
                <w:szCs w:val="22"/>
                <w:lang w:eastAsia="en-NZ"/>
              </w:rPr>
            </w:pPr>
            <w:r>
              <w:rPr>
                <w:bCs/>
                <w:color w:val="000000"/>
                <w:sz w:val="22"/>
                <w:szCs w:val="22"/>
                <w:lang w:eastAsia="en-NZ"/>
              </w:rPr>
              <w:t>No</w:t>
            </w:r>
            <w:r w:rsidR="00B36805" w:rsidRPr="00A070F5">
              <w:rPr>
                <w:bCs/>
                <w:color w:val="000000"/>
                <w:sz w:val="22"/>
                <w:szCs w:val="22"/>
                <w:lang w:eastAsia="en-NZ"/>
              </w:rPr>
              <w:t xml:space="preserve"> </w:t>
            </w:r>
            <w:r>
              <w:rPr>
                <w:bCs/>
                <w:color w:val="000000"/>
                <w:sz w:val="22"/>
                <w:szCs w:val="22"/>
                <w:lang w:eastAsia="en-NZ"/>
              </w:rPr>
              <w:t>E</w:t>
            </w:r>
            <w:r w:rsidR="00007D9D" w:rsidRPr="00A070F5">
              <w:rPr>
                <w:bCs/>
                <w:color w:val="000000"/>
                <w:sz w:val="22"/>
                <w:szCs w:val="22"/>
                <w:lang w:eastAsia="en-NZ"/>
              </w:rPr>
              <w:t>du</w:t>
            </w:r>
            <w:r w:rsidR="00B36805" w:rsidRPr="00A070F5">
              <w:rPr>
                <w:bCs/>
                <w:color w:val="000000"/>
                <w:sz w:val="22"/>
                <w:szCs w:val="22"/>
                <w:lang w:eastAsia="en-NZ"/>
              </w:rPr>
              <w:t>cation</w:t>
            </w:r>
          </w:p>
        </w:tc>
        <w:tc>
          <w:tcPr>
            <w:tcW w:w="539" w:type="pct"/>
            <w:tcBorders>
              <w:top w:val="single" w:sz="8" w:space="0" w:color="4F81BD"/>
              <w:bottom w:val="single" w:sz="8" w:space="0" w:color="4F81BD"/>
            </w:tcBorders>
            <w:shd w:val="clear" w:color="auto" w:fill="auto"/>
            <w:noWrap/>
            <w:hideMark/>
          </w:tcPr>
          <w:p w:rsidR="00007D9D" w:rsidRPr="00A070F5" w:rsidRDefault="00007D9D"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Primary</w:t>
            </w:r>
          </w:p>
        </w:tc>
        <w:tc>
          <w:tcPr>
            <w:tcW w:w="858" w:type="pct"/>
            <w:tcBorders>
              <w:top w:val="single" w:sz="8" w:space="0" w:color="4F81BD"/>
              <w:bottom w:val="single" w:sz="8" w:space="0" w:color="4F81BD"/>
            </w:tcBorders>
            <w:shd w:val="clear" w:color="auto" w:fill="auto"/>
            <w:noWrap/>
            <w:hideMark/>
          </w:tcPr>
          <w:p w:rsidR="00007D9D" w:rsidRPr="00A070F5" w:rsidRDefault="005E24DF" w:rsidP="005A2C59">
            <w:pPr>
              <w:tabs>
                <w:tab w:val="left" w:pos="284"/>
                <w:tab w:val="left" w:pos="426"/>
              </w:tabs>
              <w:spacing w:line="288" w:lineRule="auto"/>
              <w:rPr>
                <w:bCs/>
                <w:color w:val="000000"/>
                <w:sz w:val="22"/>
                <w:szCs w:val="22"/>
                <w:lang w:eastAsia="en-NZ"/>
              </w:rPr>
            </w:pPr>
            <w:r>
              <w:rPr>
                <w:bCs/>
                <w:color w:val="000000"/>
                <w:sz w:val="22"/>
                <w:szCs w:val="22"/>
                <w:lang w:eastAsia="en-NZ"/>
              </w:rPr>
              <w:t>Lower S</w:t>
            </w:r>
            <w:r w:rsidR="00007D9D" w:rsidRPr="00A070F5">
              <w:rPr>
                <w:bCs/>
                <w:color w:val="000000"/>
                <w:sz w:val="22"/>
                <w:szCs w:val="22"/>
                <w:lang w:eastAsia="en-NZ"/>
              </w:rPr>
              <w:t>econd</w:t>
            </w:r>
          </w:p>
        </w:tc>
        <w:tc>
          <w:tcPr>
            <w:tcW w:w="862" w:type="pct"/>
            <w:tcBorders>
              <w:top w:val="single" w:sz="8" w:space="0" w:color="4F81BD"/>
              <w:bottom w:val="single" w:sz="8" w:space="0" w:color="4F81BD"/>
            </w:tcBorders>
            <w:shd w:val="clear" w:color="auto" w:fill="auto"/>
            <w:noWrap/>
            <w:hideMark/>
          </w:tcPr>
          <w:p w:rsidR="00007D9D" w:rsidRPr="00A070F5" w:rsidRDefault="005E24DF" w:rsidP="005A2C59">
            <w:pPr>
              <w:tabs>
                <w:tab w:val="left" w:pos="284"/>
                <w:tab w:val="left" w:pos="426"/>
              </w:tabs>
              <w:spacing w:line="288" w:lineRule="auto"/>
              <w:rPr>
                <w:bCs/>
                <w:color w:val="000000"/>
                <w:sz w:val="22"/>
                <w:szCs w:val="22"/>
                <w:lang w:eastAsia="en-NZ"/>
              </w:rPr>
            </w:pPr>
            <w:r>
              <w:rPr>
                <w:bCs/>
                <w:color w:val="000000"/>
                <w:sz w:val="22"/>
                <w:szCs w:val="22"/>
                <w:lang w:eastAsia="en-NZ"/>
              </w:rPr>
              <w:t>Upper S</w:t>
            </w:r>
            <w:r w:rsidR="00007D9D" w:rsidRPr="00A070F5">
              <w:rPr>
                <w:bCs/>
                <w:color w:val="000000"/>
                <w:sz w:val="22"/>
                <w:szCs w:val="22"/>
                <w:lang w:eastAsia="en-NZ"/>
              </w:rPr>
              <w:t>econd</w:t>
            </w:r>
          </w:p>
        </w:tc>
        <w:tc>
          <w:tcPr>
            <w:tcW w:w="694" w:type="pct"/>
            <w:tcBorders>
              <w:top w:val="single" w:sz="8" w:space="0" w:color="4F81BD"/>
              <w:bottom w:val="single" w:sz="8" w:space="0" w:color="4F81BD"/>
            </w:tcBorders>
            <w:shd w:val="clear" w:color="auto" w:fill="auto"/>
            <w:noWrap/>
            <w:hideMark/>
          </w:tcPr>
          <w:p w:rsidR="00007D9D" w:rsidRPr="00A070F5" w:rsidRDefault="00007D9D" w:rsidP="005A2C59">
            <w:pPr>
              <w:tabs>
                <w:tab w:val="left" w:pos="284"/>
                <w:tab w:val="left" w:pos="426"/>
              </w:tabs>
              <w:spacing w:line="288" w:lineRule="auto"/>
              <w:rPr>
                <w:bCs/>
                <w:color w:val="000000"/>
                <w:sz w:val="22"/>
                <w:szCs w:val="22"/>
                <w:lang w:eastAsia="en-NZ"/>
              </w:rPr>
            </w:pPr>
            <w:r w:rsidRPr="00A070F5">
              <w:rPr>
                <w:bCs/>
                <w:color w:val="000000"/>
                <w:sz w:val="22"/>
                <w:szCs w:val="22"/>
                <w:lang w:eastAsia="en-NZ"/>
              </w:rPr>
              <w:t>Vocational</w:t>
            </w:r>
          </w:p>
        </w:tc>
        <w:tc>
          <w:tcPr>
            <w:tcW w:w="668" w:type="pct"/>
            <w:tcBorders>
              <w:top w:val="single" w:sz="8" w:space="0" w:color="4F81BD"/>
              <w:bottom w:val="single" w:sz="8" w:space="0" w:color="4F81BD"/>
            </w:tcBorders>
            <w:shd w:val="clear" w:color="auto" w:fill="auto"/>
            <w:noWrap/>
            <w:hideMark/>
          </w:tcPr>
          <w:p w:rsidR="00007D9D" w:rsidRPr="00A070F5" w:rsidRDefault="00007D9D"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University</w:t>
            </w:r>
          </w:p>
        </w:tc>
      </w:tr>
      <w:tr w:rsidR="00233125" w:rsidRPr="00A070F5" w:rsidTr="000D48AD">
        <w:trPr>
          <w:trHeight w:val="300"/>
        </w:trPr>
        <w:tc>
          <w:tcPr>
            <w:tcW w:w="403" w:type="pct"/>
            <w:shd w:val="clear" w:color="auto" w:fill="D3DFEE"/>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1998</w:t>
            </w:r>
          </w:p>
        </w:tc>
        <w:tc>
          <w:tcPr>
            <w:tcW w:w="976" w:type="pct"/>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1.0</w:t>
            </w:r>
          </w:p>
        </w:tc>
        <w:tc>
          <w:tcPr>
            <w:tcW w:w="539" w:type="pct"/>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1.0</w:t>
            </w:r>
          </w:p>
        </w:tc>
        <w:tc>
          <w:tcPr>
            <w:tcW w:w="858" w:type="pct"/>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1.2</w:t>
            </w:r>
          </w:p>
        </w:tc>
        <w:tc>
          <w:tcPr>
            <w:tcW w:w="862" w:type="pct"/>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2.5</w:t>
            </w:r>
          </w:p>
        </w:tc>
        <w:tc>
          <w:tcPr>
            <w:tcW w:w="694" w:type="pct"/>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3.0</w:t>
            </w:r>
          </w:p>
        </w:tc>
        <w:tc>
          <w:tcPr>
            <w:tcW w:w="668" w:type="pct"/>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8.0</w:t>
            </w:r>
          </w:p>
        </w:tc>
      </w:tr>
      <w:tr w:rsidR="00233125" w:rsidRPr="00A070F5" w:rsidTr="000D48AD">
        <w:trPr>
          <w:trHeight w:val="300"/>
        </w:trPr>
        <w:tc>
          <w:tcPr>
            <w:tcW w:w="403" w:type="pct"/>
            <w:shd w:val="clear" w:color="auto" w:fill="auto"/>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2002</w:t>
            </w:r>
          </w:p>
        </w:tc>
        <w:tc>
          <w:tcPr>
            <w:tcW w:w="976"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1.0</w:t>
            </w:r>
          </w:p>
        </w:tc>
        <w:tc>
          <w:tcPr>
            <w:tcW w:w="539"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1.3</w:t>
            </w:r>
          </w:p>
        </w:tc>
        <w:tc>
          <w:tcPr>
            <w:tcW w:w="858"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1.2</w:t>
            </w:r>
          </w:p>
        </w:tc>
        <w:tc>
          <w:tcPr>
            <w:tcW w:w="862"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1.5</w:t>
            </w:r>
          </w:p>
        </w:tc>
        <w:tc>
          <w:tcPr>
            <w:tcW w:w="694"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5.6</w:t>
            </w:r>
          </w:p>
        </w:tc>
        <w:tc>
          <w:tcPr>
            <w:tcW w:w="668"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10.1</w:t>
            </w:r>
          </w:p>
        </w:tc>
      </w:tr>
      <w:tr w:rsidR="00233125" w:rsidRPr="00A070F5" w:rsidTr="000D48AD">
        <w:trPr>
          <w:trHeight w:val="300"/>
        </w:trPr>
        <w:tc>
          <w:tcPr>
            <w:tcW w:w="403" w:type="pct"/>
            <w:shd w:val="clear" w:color="auto" w:fill="D3DFEE"/>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2004</w:t>
            </w:r>
          </w:p>
        </w:tc>
        <w:tc>
          <w:tcPr>
            <w:tcW w:w="976" w:type="pct"/>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1.0</w:t>
            </w:r>
          </w:p>
        </w:tc>
        <w:tc>
          <w:tcPr>
            <w:tcW w:w="539" w:type="pct"/>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1.1</w:t>
            </w:r>
          </w:p>
        </w:tc>
        <w:tc>
          <w:tcPr>
            <w:tcW w:w="858" w:type="pct"/>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1.1</w:t>
            </w:r>
          </w:p>
        </w:tc>
        <w:tc>
          <w:tcPr>
            <w:tcW w:w="862" w:type="pct"/>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1.7</w:t>
            </w:r>
          </w:p>
        </w:tc>
        <w:tc>
          <w:tcPr>
            <w:tcW w:w="694" w:type="pct"/>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2.1</w:t>
            </w:r>
          </w:p>
        </w:tc>
        <w:tc>
          <w:tcPr>
            <w:tcW w:w="668" w:type="pct"/>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3.4</w:t>
            </w:r>
          </w:p>
        </w:tc>
      </w:tr>
      <w:tr w:rsidR="00233125" w:rsidRPr="00A070F5" w:rsidTr="000D48AD">
        <w:trPr>
          <w:trHeight w:val="300"/>
        </w:trPr>
        <w:tc>
          <w:tcPr>
            <w:tcW w:w="403" w:type="pct"/>
            <w:shd w:val="clear" w:color="auto" w:fill="auto"/>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2006</w:t>
            </w:r>
          </w:p>
        </w:tc>
        <w:tc>
          <w:tcPr>
            <w:tcW w:w="976"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1.0</w:t>
            </w:r>
          </w:p>
        </w:tc>
        <w:tc>
          <w:tcPr>
            <w:tcW w:w="539"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1.1</w:t>
            </w:r>
          </w:p>
        </w:tc>
        <w:tc>
          <w:tcPr>
            <w:tcW w:w="858"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1.1</w:t>
            </w:r>
          </w:p>
        </w:tc>
        <w:tc>
          <w:tcPr>
            <w:tcW w:w="862"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1.6</w:t>
            </w:r>
          </w:p>
        </w:tc>
        <w:tc>
          <w:tcPr>
            <w:tcW w:w="694"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2.1</w:t>
            </w:r>
          </w:p>
        </w:tc>
        <w:tc>
          <w:tcPr>
            <w:tcW w:w="668"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3.6</w:t>
            </w:r>
          </w:p>
        </w:tc>
      </w:tr>
      <w:tr w:rsidR="00233125" w:rsidRPr="00A070F5" w:rsidTr="000D48AD">
        <w:trPr>
          <w:trHeight w:val="300"/>
        </w:trPr>
        <w:tc>
          <w:tcPr>
            <w:tcW w:w="403" w:type="pct"/>
            <w:shd w:val="clear" w:color="auto" w:fill="D3DFEE"/>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2008</w:t>
            </w:r>
          </w:p>
        </w:tc>
        <w:tc>
          <w:tcPr>
            <w:tcW w:w="976" w:type="pct"/>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1.0</w:t>
            </w:r>
          </w:p>
        </w:tc>
        <w:tc>
          <w:tcPr>
            <w:tcW w:w="539" w:type="pct"/>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0.8</w:t>
            </w:r>
          </w:p>
        </w:tc>
        <w:tc>
          <w:tcPr>
            <w:tcW w:w="858" w:type="pct"/>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0.8</w:t>
            </w:r>
          </w:p>
        </w:tc>
        <w:tc>
          <w:tcPr>
            <w:tcW w:w="862" w:type="pct"/>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1.1</w:t>
            </w:r>
          </w:p>
        </w:tc>
        <w:tc>
          <w:tcPr>
            <w:tcW w:w="694" w:type="pct"/>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1.3</w:t>
            </w:r>
          </w:p>
        </w:tc>
        <w:tc>
          <w:tcPr>
            <w:tcW w:w="668" w:type="pct"/>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2.5</w:t>
            </w:r>
          </w:p>
        </w:tc>
      </w:tr>
      <w:tr w:rsidR="00233125" w:rsidRPr="00A070F5" w:rsidTr="000D48AD">
        <w:trPr>
          <w:trHeight w:val="300"/>
        </w:trPr>
        <w:tc>
          <w:tcPr>
            <w:tcW w:w="403" w:type="pct"/>
            <w:shd w:val="clear" w:color="auto" w:fill="auto"/>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2010</w:t>
            </w:r>
          </w:p>
        </w:tc>
        <w:tc>
          <w:tcPr>
            <w:tcW w:w="976"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1.0</w:t>
            </w:r>
          </w:p>
        </w:tc>
        <w:tc>
          <w:tcPr>
            <w:tcW w:w="539"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1.0</w:t>
            </w:r>
          </w:p>
        </w:tc>
        <w:tc>
          <w:tcPr>
            <w:tcW w:w="858"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1.1</w:t>
            </w:r>
          </w:p>
        </w:tc>
        <w:tc>
          <w:tcPr>
            <w:tcW w:w="862"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1.2</w:t>
            </w:r>
          </w:p>
        </w:tc>
        <w:tc>
          <w:tcPr>
            <w:tcW w:w="694"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1.6</w:t>
            </w:r>
          </w:p>
        </w:tc>
        <w:tc>
          <w:tcPr>
            <w:tcW w:w="668"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2.8</w:t>
            </w:r>
          </w:p>
        </w:tc>
      </w:tr>
      <w:tr w:rsidR="00233125" w:rsidRPr="00A070F5" w:rsidTr="000D48AD">
        <w:trPr>
          <w:trHeight w:val="300"/>
        </w:trPr>
        <w:tc>
          <w:tcPr>
            <w:tcW w:w="403" w:type="pct"/>
            <w:shd w:val="clear" w:color="auto" w:fill="D3DFEE"/>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2012</w:t>
            </w:r>
          </w:p>
        </w:tc>
        <w:tc>
          <w:tcPr>
            <w:tcW w:w="976" w:type="pct"/>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1.0</w:t>
            </w:r>
          </w:p>
        </w:tc>
        <w:tc>
          <w:tcPr>
            <w:tcW w:w="539" w:type="pct"/>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1.1</w:t>
            </w:r>
          </w:p>
        </w:tc>
        <w:tc>
          <w:tcPr>
            <w:tcW w:w="858" w:type="pct"/>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1.2</w:t>
            </w:r>
          </w:p>
        </w:tc>
        <w:tc>
          <w:tcPr>
            <w:tcW w:w="862" w:type="pct"/>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1.4</w:t>
            </w:r>
          </w:p>
        </w:tc>
        <w:tc>
          <w:tcPr>
            <w:tcW w:w="694" w:type="pct"/>
            <w:tcBorders>
              <w:left w:val="nil"/>
              <w:right w:val="nil"/>
            </w:tcBorders>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1.7</w:t>
            </w:r>
          </w:p>
        </w:tc>
        <w:tc>
          <w:tcPr>
            <w:tcW w:w="668" w:type="pct"/>
            <w:shd w:val="clear" w:color="auto" w:fill="D3DFEE"/>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2.6</w:t>
            </w:r>
          </w:p>
        </w:tc>
      </w:tr>
      <w:tr w:rsidR="00233125" w:rsidRPr="00A070F5" w:rsidTr="000D48AD">
        <w:trPr>
          <w:trHeight w:val="300"/>
        </w:trPr>
        <w:tc>
          <w:tcPr>
            <w:tcW w:w="403" w:type="pct"/>
            <w:shd w:val="clear" w:color="auto" w:fill="auto"/>
            <w:noWrap/>
            <w:hideMark/>
          </w:tcPr>
          <w:p w:rsidR="00233125" w:rsidRPr="00A070F5" w:rsidRDefault="00233125" w:rsidP="005A2C59">
            <w:pPr>
              <w:tabs>
                <w:tab w:val="left" w:pos="284"/>
                <w:tab w:val="left" w:pos="426"/>
              </w:tabs>
              <w:spacing w:line="288" w:lineRule="auto"/>
              <w:jc w:val="center"/>
              <w:rPr>
                <w:bCs/>
                <w:color w:val="000000"/>
                <w:sz w:val="22"/>
                <w:szCs w:val="22"/>
                <w:lang w:eastAsia="en-NZ"/>
              </w:rPr>
            </w:pPr>
            <w:r w:rsidRPr="00A070F5">
              <w:rPr>
                <w:bCs/>
                <w:color w:val="000000"/>
                <w:sz w:val="22"/>
                <w:szCs w:val="22"/>
                <w:lang w:eastAsia="en-NZ"/>
              </w:rPr>
              <w:t>2014</w:t>
            </w:r>
          </w:p>
        </w:tc>
        <w:tc>
          <w:tcPr>
            <w:tcW w:w="976"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1.0</w:t>
            </w:r>
          </w:p>
        </w:tc>
        <w:tc>
          <w:tcPr>
            <w:tcW w:w="539"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1.1</w:t>
            </w:r>
          </w:p>
        </w:tc>
        <w:tc>
          <w:tcPr>
            <w:tcW w:w="858"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1.2</w:t>
            </w:r>
          </w:p>
        </w:tc>
        <w:tc>
          <w:tcPr>
            <w:tcW w:w="862"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1.4</w:t>
            </w:r>
          </w:p>
        </w:tc>
        <w:tc>
          <w:tcPr>
            <w:tcW w:w="694"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1.6</w:t>
            </w:r>
          </w:p>
        </w:tc>
        <w:tc>
          <w:tcPr>
            <w:tcW w:w="668" w:type="pct"/>
            <w:shd w:val="clear" w:color="auto" w:fill="auto"/>
            <w:noWrap/>
            <w:hideMark/>
          </w:tcPr>
          <w:p w:rsidR="00233125" w:rsidRPr="00A070F5" w:rsidRDefault="00233125" w:rsidP="005A2C59">
            <w:pPr>
              <w:tabs>
                <w:tab w:val="left" w:pos="284"/>
                <w:tab w:val="left" w:pos="426"/>
              </w:tabs>
              <w:spacing w:line="288" w:lineRule="auto"/>
              <w:jc w:val="center"/>
              <w:rPr>
                <w:color w:val="000000"/>
                <w:sz w:val="22"/>
                <w:szCs w:val="22"/>
              </w:rPr>
            </w:pPr>
            <w:r w:rsidRPr="00A070F5">
              <w:rPr>
                <w:color w:val="000000"/>
                <w:sz w:val="22"/>
                <w:szCs w:val="22"/>
              </w:rPr>
              <w:t>2.4</w:t>
            </w:r>
          </w:p>
        </w:tc>
      </w:tr>
    </w:tbl>
    <w:p w:rsidR="00007D9D" w:rsidRPr="00F2738B" w:rsidRDefault="00A070F5" w:rsidP="005A2C59">
      <w:pPr>
        <w:widowControl w:val="0"/>
        <w:tabs>
          <w:tab w:val="left" w:pos="284"/>
          <w:tab w:val="left" w:pos="426"/>
        </w:tabs>
        <w:autoSpaceDE w:val="0"/>
        <w:autoSpaceDN w:val="0"/>
        <w:adjustRightInd w:val="0"/>
        <w:spacing w:line="288" w:lineRule="auto"/>
        <w:rPr>
          <w:i/>
          <w:sz w:val="20"/>
          <w:szCs w:val="20"/>
        </w:rPr>
      </w:pPr>
      <w:r w:rsidRPr="00F2738B">
        <w:rPr>
          <w:i/>
          <w:sz w:val="20"/>
          <w:szCs w:val="20"/>
        </w:rPr>
        <w:t xml:space="preserve">Source: </w:t>
      </w:r>
      <w:r w:rsidRPr="00F2738B">
        <w:rPr>
          <w:sz w:val="20"/>
          <w:szCs w:val="20"/>
        </w:rPr>
        <w:t>C</w:t>
      </w:r>
      <w:r w:rsidR="007A359B" w:rsidRPr="00F2738B">
        <w:rPr>
          <w:sz w:val="20"/>
          <w:szCs w:val="20"/>
        </w:rPr>
        <w:t>alculation from Table 6</w:t>
      </w:r>
      <w:r w:rsidRPr="00F2738B">
        <w:rPr>
          <w:sz w:val="20"/>
          <w:szCs w:val="20"/>
        </w:rPr>
        <w:t>.</w:t>
      </w:r>
    </w:p>
    <w:p w:rsidR="00805177" w:rsidRPr="007A359B" w:rsidRDefault="00805177" w:rsidP="005A2C59">
      <w:pPr>
        <w:widowControl w:val="0"/>
        <w:tabs>
          <w:tab w:val="left" w:pos="284"/>
          <w:tab w:val="left" w:pos="426"/>
        </w:tabs>
        <w:autoSpaceDE w:val="0"/>
        <w:autoSpaceDN w:val="0"/>
        <w:adjustRightInd w:val="0"/>
        <w:spacing w:line="288" w:lineRule="auto"/>
        <w:rPr>
          <w:i/>
        </w:rPr>
      </w:pPr>
    </w:p>
    <w:p w:rsidR="00007D9D" w:rsidRDefault="00805177" w:rsidP="005A2C59">
      <w:pPr>
        <w:widowControl w:val="0"/>
        <w:tabs>
          <w:tab w:val="left" w:pos="284"/>
          <w:tab w:val="left" w:pos="426"/>
        </w:tabs>
        <w:autoSpaceDE w:val="0"/>
        <w:autoSpaceDN w:val="0"/>
        <w:adjustRightInd w:val="0"/>
        <w:spacing w:line="288" w:lineRule="auto"/>
        <w:jc w:val="both"/>
      </w:pPr>
      <w:r>
        <w:tab/>
      </w:r>
      <w:r w:rsidR="001B5A6F" w:rsidRPr="00473DA2">
        <w:t xml:space="preserve">The common trend </w:t>
      </w:r>
      <w:r w:rsidR="001B5A6F">
        <w:t xml:space="preserve">found here </w:t>
      </w:r>
      <w:r w:rsidR="001B5A6F" w:rsidRPr="00473DA2">
        <w:t xml:space="preserve">is that higher education’s reward is lowering </w:t>
      </w:r>
      <w:r w:rsidR="0097310A">
        <w:t xml:space="preserve">in </w:t>
      </w:r>
      <w:r w:rsidR="001B5A6F" w:rsidRPr="00473DA2">
        <w:t>relative terms</w:t>
      </w:r>
      <w:r w:rsidR="00224E50">
        <w:t xml:space="preserve"> for </w:t>
      </w:r>
      <w:r w:rsidR="0097310A">
        <w:t xml:space="preserve">the </w:t>
      </w:r>
      <w:r w:rsidR="00224E50">
        <w:t>whole sample</w:t>
      </w:r>
      <w:r w:rsidR="001B5A6F">
        <w:t xml:space="preserve">. </w:t>
      </w:r>
      <w:r w:rsidR="00233125" w:rsidRPr="001B5A6F">
        <w:t xml:space="preserve">For </w:t>
      </w:r>
      <w:r w:rsidR="00224E50">
        <w:t xml:space="preserve">the </w:t>
      </w:r>
      <w:r w:rsidR="00233125" w:rsidRPr="001B5A6F">
        <w:t xml:space="preserve">wage earner subsample, the </w:t>
      </w:r>
      <w:r w:rsidR="00007D9D" w:rsidRPr="001B5A6F">
        <w:t xml:space="preserve">gaps between hourly income of higher education groups and non-education group have been </w:t>
      </w:r>
      <w:r w:rsidR="00233125" w:rsidRPr="001B5A6F">
        <w:t xml:space="preserve">also </w:t>
      </w:r>
      <w:r w:rsidR="00007D9D" w:rsidRPr="001B5A6F">
        <w:t xml:space="preserve">narrowed in all educational groups but the decline has been </w:t>
      </w:r>
      <w:r w:rsidR="001B5A6F">
        <w:t xml:space="preserve">the </w:t>
      </w:r>
      <w:r w:rsidR="00007D9D" w:rsidRPr="001B5A6F">
        <w:t>large</w:t>
      </w:r>
      <w:r w:rsidR="001B5A6F">
        <w:t>st</w:t>
      </w:r>
      <w:r w:rsidR="00007D9D" w:rsidRPr="001B5A6F">
        <w:t xml:space="preserve"> for university and vocational than lower educational groups. </w:t>
      </w:r>
    </w:p>
    <w:p w:rsidR="00A070F5" w:rsidRDefault="00805177" w:rsidP="008623C3">
      <w:pPr>
        <w:pStyle w:val="PlainText"/>
        <w:tabs>
          <w:tab w:val="left" w:pos="284"/>
          <w:tab w:val="left" w:pos="426"/>
        </w:tabs>
        <w:spacing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12053">
        <w:rPr>
          <w:rFonts w:ascii="Times New Roman" w:hAnsi="Times New Roman" w:cs="Times New Roman"/>
          <w:sz w:val="24"/>
          <w:szCs w:val="24"/>
        </w:rPr>
        <w:tab/>
      </w:r>
      <w:r w:rsidR="00007D9D" w:rsidRPr="001B5A6F">
        <w:rPr>
          <w:rFonts w:ascii="Times New Roman" w:hAnsi="Times New Roman" w:cs="Times New Roman"/>
          <w:sz w:val="24"/>
          <w:szCs w:val="24"/>
        </w:rPr>
        <w:t xml:space="preserve">All these </w:t>
      </w:r>
      <w:r w:rsidR="0097310A">
        <w:rPr>
          <w:rFonts w:ascii="Times New Roman" w:hAnsi="Times New Roman" w:cs="Times New Roman"/>
          <w:sz w:val="24"/>
          <w:szCs w:val="24"/>
        </w:rPr>
        <w:t xml:space="preserve">outcomes </w:t>
      </w:r>
      <w:r w:rsidR="000411AC">
        <w:rPr>
          <w:rFonts w:ascii="Times New Roman" w:hAnsi="Times New Roman" w:cs="Times New Roman"/>
          <w:sz w:val="24"/>
          <w:szCs w:val="24"/>
        </w:rPr>
        <w:t xml:space="preserve">together </w:t>
      </w:r>
      <w:r w:rsidR="001B5A6F">
        <w:rPr>
          <w:rFonts w:ascii="Times New Roman" w:hAnsi="Times New Roman" w:cs="Times New Roman"/>
          <w:sz w:val="24"/>
          <w:szCs w:val="24"/>
        </w:rPr>
        <w:t xml:space="preserve">imply that </w:t>
      </w:r>
      <w:r w:rsidR="0097310A">
        <w:rPr>
          <w:rFonts w:ascii="Times New Roman" w:hAnsi="Times New Roman" w:cs="Times New Roman"/>
          <w:sz w:val="24"/>
          <w:szCs w:val="24"/>
        </w:rPr>
        <w:t xml:space="preserve">the </w:t>
      </w:r>
      <w:r w:rsidR="001B5A6F">
        <w:rPr>
          <w:rFonts w:ascii="Times New Roman" w:hAnsi="Times New Roman" w:cs="Times New Roman"/>
          <w:sz w:val="24"/>
          <w:szCs w:val="24"/>
        </w:rPr>
        <w:t xml:space="preserve">expanded </w:t>
      </w:r>
      <w:r w:rsidR="00007D9D" w:rsidRPr="001B5A6F">
        <w:rPr>
          <w:rFonts w:ascii="Times New Roman" w:hAnsi="Times New Roman" w:cs="Times New Roman"/>
          <w:sz w:val="24"/>
          <w:szCs w:val="24"/>
        </w:rPr>
        <w:t xml:space="preserve">supply of higher graduated workers in recent years and/or more job mismatching jobs for higher graduated workers </w:t>
      </w:r>
      <w:r w:rsidR="001B5A6F">
        <w:rPr>
          <w:rFonts w:ascii="Times New Roman" w:hAnsi="Times New Roman" w:cs="Times New Roman"/>
          <w:sz w:val="24"/>
          <w:szCs w:val="24"/>
        </w:rPr>
        <w:t>may explain t</w:t>
      </w:r>
      <w:r w:rsidR="001B5A6F" w:rsidRPr="001B5A6F">
        <w:rPr>
          <w:rFonts w:ascii="Times New Roman" w:hAnsi="Times New Roman" w:cs="Times New Roman"/>
          <w:sz w:val="24"/>
          <w:szCs w:val="24"/>
        </w:rPr>
        <w:t xml:space="preserve">he </w:t>
      </w:r>
      <w:r w:rsidR="001B5A6F">
        <w:rPr>
          <w:rFonts w:ascii="Times New Roman" w:hAnsi="Times New Roman" w:cs="Times New Roman"/>
          <w:sz w:val="24"/>
          <w:szCs w:val="24"/>
        </w:rPr>
        <w:t xml:space="preserve">declining </w:t>
      </w:r>
      <w:r w:rsidR="001B5A6F" w:rsidRPr="001B5A6F">
        <w:rPr>
          <w:rFonts w:ascii="Times New Roman" w:hAnsi="Times New Roman" w:cs="Times New Roman"/>
          <w:sz w:val="24"/>
          <w:szCs w:val="24"/>
        </w:rPr>
        <w:t>return</w:t>
      </w:r>
      <w:r w:rsidR="00721FC4">
        <w:rPr>
          <w:rFonts w:ascii="Times New Roman" w:hAnsi="Times New Roman" w:cs="Times New Roman"/>
          <w:sz w:val="24"/>
          <w:szCs w:val="24"/>
        </w:rPr>
        <w:t>s</w:t>
      </w:r>
      <w:r w:rsidR="001B5A6F" w:rsidRPr="001B5A6F">
        <w:rPr>
          <w:rFonts w:ascii="Times New Roman" w:hAnsi="Times New Roman" w:cs="Times New Roman"/>
          <w:sz w:val="24"/>
          <w:szCs w:val="24"/>
        </w:rPr>
        <w:t xml:space="preserve"> of higher education </w:t>
      </w:r>
      <w:r w:rsidR="00721FC4">
        <w:rPr>
          <w:rFonts w:ascii="Times New Roman" w:hAnsi="Times New Roman" w:cs="Times New Roman"/>
          <w:sz w:val="24"/>
          <w:szCs w:val="24"/>
        </w:rPr>
        <w:t xml:space="preserve">and then </w:t>
      </w:r>
      <w:r w:rsidR="001B5A6F" w:rsidRPr="001B5A6F">
        <w:rPr>
          <w:rFonts w:ascii="Times New Roman" w:hAnsi="Times New Roman" w:cs="Times New Roman"/>
          <w:sz w:val="24"/>
          <w:szCs w:val="24"/>
        </w:rPr>
        <w:t xml:space="preserve">lowering </w:t>
      </w:r>
      <w:r w:rsidR="000411AC">
        <w:rPr>
          <w:rFonts w:ascii="Times New Roman" w:hAnsi="Times New Roman" w:cs="Times New Roman"/>
          <w:sz w:val="24"/>
          <w:szCs w:val="24"/>
        </w:rPr>
        <w:t xml:space="preserve">the </w:t>
      </w:r>
      <w:r w:rsidR="00721FC4">
        <w:rPr>
          <w:rFonts w:ascii="Times New Roman" w:hAnsi="Times New Roman" w:cs="Times New Roman"/>
          <w:sz w:val="24"/>
          <w:szCs w:val="24"/>
        </w:rPr>
        <w:t xml:space="preserve">overall returns to schooling in Vietnam. </w:t>
      </w:r>
      <w:r w:rsidR="000411AC">
        <w:rPr>
          <w:rFonts w:ascii="Times New Roman" w:hAnsi="Times New Roman" w:cs="Times New Roman"/>
          <w:sz w:val="24"/>
          <w:szCs w:val="24"/>
        </w:rPr>
        <w:t xml:space="preserve">Evidence from Tables 8 and 9 show this downward trend </w:t>
      </w:r>
      <w:r w:rsidR="0097310A">
        <w:rPr>
          <w:rFonts w:ascii="Times New Roman" w:hAnsi="Times New Roman" w:cs="Times New Roman"/>
          <w:sz w:val="24"/>
          <w:szCs w:val="24"/>
        </w:rPr>
        <w:t xml:space="preserve">in </w:t>
      </w:r>
      <w:r w:rsidR="000411AC">
        <w:rPr>
          <w:rFonts w:ascii="Times New Roman" w:hAnsi="Times New Roman" w:cs="Times New Roman"/>
          <w:sz w:val="24"/>
          <w:szCs w:val="24"/>
        </w:rPr>
        <w:t xml:space="preserve">the returns to post-high school education levels. </w:t>
      </w:r>
      <w:r w:rsidR="007C52B3">
        <w:rPr>
          <w:rFonts w:ascii="Times New Roman" w:hAnsi="Times New Roman" w:cs="Times New Roman"/>
          <w:sz w:val="24"/>
          <w:szCs w:val="24"/>
        </w:rPr>
        <w:t xml:space="preserve">Except </w:t>
      </w:r>
      <w:r w:rsidR="0097310A">
        <w:rPr>
          <w:rFonts w:ascii="Times New Roman" w:hAnsi="Times New Roman" w:cs="Times New Roman"/>
          <w:sz w:val="24"/>
          <w:szCs w:val="24"/>
        </w:rPr>
        <w:t xml:space="preserve">for </w:t>
      </w:r>
      <w:r w:rsidR="00224E50">
        <w:rPr>
          <w:rFonts w:ascii="Times New Roman" w:hAnsi="Times New Roman" w:cs="Times New Roman"/>
          <w:sz w:val="24"/>
          <w:szCs w:val="24"/>
        </w:rPr>
        <w:t xml:space="preserve">the </w:t>
      </w:r>
      <w:r w:rsidR="007C52B3">
        <w:rPr>
          <w:rFonts w:ascii="Times New Roman" w:hAnsi="Times New Roman" w:cs="Times New Roman"/>
          <w:sz w:val="24"/>
          <w:szCs w:val="24"/>
        </w:rPr>
        <w:t>two GFC years of 1998 and 2008, t</w:t>
      </w:r>
      <w:r w:rsidR="000411AC">
        <w:rPr>
          <w:rFonts w:ascii="Times New Roman" w:hAnsi="Times New Roman" w:cs="Times New Roman"/>
          <w:sz w:val="24"/>
          <w:szCs w:val="24"/>
        </w:rPr>
        <w:t xml:space="preserve">he returns to vocational and university level </w:t>
      </w:r>
      <w:r w:rsidR="007C52B3">
        <w:rPr>
          <w:rFonts w:ascii="Times New Roman" w:hAnsi="Times New Roman" w:cs="Times New Roman"/>
          <w:sz w:val="24"/>
          <w:szCs w:val="24"/>
        </w:rPr>
        <w:t xml:space="preserve">in relation to </w:t>
      </w:r>
      <w:r w:rsidR="0097310A">
        <w:rPr>
          <w:rFonts w:ascii="Times New Roman" w:hAnsi="Times New Roman" w:cs="Times New Roman"/>
          <w:sz w:val="24"/>
          <w:szCs w:val="24"/>
        </w:rPr>
        <w:t xml:space="preserve">the </w:t>
      </w:r>
      <w:r w:rsidR="007C52B3">
        <w:rPr>
          <w:rFonts w:ascii="Times New Roman" w:hAnsi="Times New Roman" w:cs="Times New Roman"/>
          <w:sz w:val="24"/>
          <w:szCs w:val="24"/>
        </w:rPr>
        <w:t xml:space="preserve">none-education group have been declining since early 2000s. </w:t>
      </w:r>
    </w:p>
    <w:p w:rsidR="00912053" w:rsidRDefault="00912053" w:rsidP="008623C3">
      <w:pPr>
        <w:pStyle w:val="PlainText"/>
        <w:tabs>
          <w:tab w:val="left" w:pos="284"/>
          <w:tab w:val="left" w:pos="426"/>
        </w:tabs>
        <w:spacing w:line="288" w:lineRule="auto"/>
        <w:jc w:val="both"/>
      </w:pPr>
    </w:p>
    <w:p w:rsidR="00F2738B" w:rsidRDefault="00F2738B" w:rsidP="00F2738B">
      <w:pPr>
        <w:pStyle w:val="PlainText"/>
        <w:tabs>
          <w:tab w:val="left" w:pos="284"/>
          <w:tab w:val="left" w:pos="426"/>
        </w:tabs>
        <w:jc w:val="center"/>
        <w:rPr>
          <w:rFonts w:ascii="Times New Roman" w:hAnsi="Times New Roman" w:cs="Times New Roman"/>
          <w:b/>
          <w:sz w:val="22"/>
          <w:szCs w:val="22"/>
        </w:rPr>
      </w:pPr>
      <w:r>
        <w:rPr>
          <w:rFonts w:ascii="Times New Roman" w:hAnsi="Times New Roman" w:cs="Times New Roman"/>
          <w:b/>
          <w:sz w:val="22"/>
          <w:szCs w:val="22"/>
        </w:rPr>
        <w:t>Table 8: Returns to Schooling by Educational Level</w:t>
      </w:r>
    </w:p>
    <w:p w:rsidR="001B564D" w:rsidRPr="00F2738B" w:rsidRDefault="00912053" w:rsidP="00F2738B">
      <w:pPr>
        <w:pStyle w:val="PlainText"/>
        <w:tabs>
          <w:tab w:val="left" w:pos="284"/>
          <w:tab w:val="left" w:pos="426"/>
        </w:tabs>
        <w:jc w:val="center"/>
        <w:rPr>
          <w:rFonts w:ascii="Times New Roman" w:hAnsi="Times New Roman" w:cs="Times New Roman"/>
          <w:sz w:val="22"/>
          <w:szCs w:val="22"/>
        </w:rPr>
      </w:pPr>
      <w:r>
        <w:rPr>
          <w:rFonts w:ascii="Times New Roman" w:hAnsi="Times New Roman" w:cs="Times New Roman"/>
          <w:sz w:val="22"/>
          <w:szCs w:val="22"/>
        </w:rPr>
        <w:t xml:space="preserve">1998-2014, </w:t>
      </w:r>
      <w:r w:rsidR="00F2738B">
        <w:rPr>
          <w:rFonts w:ascii="Times New Roman" w:hAnsi="Times New Roman" w:cs="Times New Roman"/>
          <w:sz w:val="22"/>
          <w:szCs w:val="22"/>
        </w:rPr>
        <w:t>OLS E</w:t>
      </w:r>
      <w:r w:rsidR="001B564D" w:rsidRPr="00F2738B">
        <w:rPr>
          <w:rFonts w:ascii="Times New Roman" w:hAnsi="Times New Roman" w:cs="Times New Roman"/>
          <w:sz w:val="22"/>
          <w:szCs w:val="22"/>
        </w:rPr>
        <w:t>stimates</w:t>
      </w:r>
    </w:p>
    <w:tbl>
      <w:tblPr>
        <w:tblW w:w="9544" w:type="dxa"/>
        <w:tblBorders>
          <w:top w:val="single" w:sz="8" w:space="0" w:color="4BACC6"/>
          <w:bottom w:val="single" w:sz="8" w:space="0" w:color="4BACC6"/>
        </w:tblBorders>
        <w:tblLook w:val="04A0" w:firstRow="1" w:lastRow="0" w:firstColumn="1" w:lastColumn="0" w:noHBand="0" w:noVBand="1"/>
      </w:tblPr>
      <w:tblGrid>
        <w:gridCol w:w="1237"/>
        <w:gridCol w:w="1039"/>
        <w:gridCol w:w="1039"/>
        <w:gridCol w:w="1039"/>
        <w:gridCol w:w="1038"/>
        <w:gridCol w:w="1038"/>
        <w:gridCol w:w="1038"/>
        <w:gridCol w:w="1038"/>
        <w:gridCol w:w="1038"/>
      </w:tblGrid>
      <w:tr w:rsidR="000411AC" w:rsidRPr="008922C6" w:rsidTr="000D48AD">
        <w:tc>
          <w:tcPr>
            <w:tcW w:w="1237" w:type="dxa"/>
            <w:tcBorders>
              <w:top w:val="single" w:sz="8" w:space="0" w:color="4BACC6"/>
              <w:bottom w:val="single" w:sz="8" w:space="0" w:color="4BACC6"/>
            </w:tcBorders>
            <w:shd w:val="clear" w:color="auto" w:fill="auto"/>
          </w:tcPr>
          <w:p w:rsidR="001B564D" w:rsidRPr="008922C6" w:rsidRDefault="00BA64AC"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 xml:space="preserve">Edu level </w:t>
            </w:r>
          </w:p>
        </w:tc>
        <w:tc>
          <w:tcPr>
            <w:tcW w:w="1039" w:type="dxa"/>
            <w:tcBorders>
              <w:top w:val="single" w:sz="8" w:space="0" w:color="4BACC6"/>
              <w:bottom w:val="single" w:sz="8" w:space="0" w:color="4BACC6"/>
            </w:tcBorders>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1998</w:t>
            </w:r>
          </w:p>
        </w:tc>
        <w:tc>
          <w:tcPr>
            <w:tcW w:w="1039" w:type="dxa"/>
            <w:tcBorders>
              <w:top w:val="single" w:sz="8" w:space="0" w:color="4BACC6"/>
              <w:bottom w:val="single" w:sz="8" w:space="0" w:color="4BACC6"/>
            </w:tcBorders>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2002</w:t>
            </w:r>
          </w:p>
        </w:tc>
        <w:tc>
          <w:tcPr>
            <w:tcW w:w="1039" w:type="dxa"/>
            <w:tcBorders>
              <w:top w:val="single" w:sz="8" w:space="0" w:color="4BACC6"/>
              <w:bottom w:val="single" w:sz="8" w:space="0" w:color="4BACC6"/>
            </w:tcBorders>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2004</w:t>
            </w:r>
          </w:p>
        </w:tc>
        <w:tc>
          <w:tcPr>
            <w:tcW w:w="1038" w:type="dxa"/>
            <w:tcBorders>
              <w:top w:val="single" w:sz="8" w:space="0" w:color="4BACC6"/>
              <w:bottom w:val="single" w:sz="8" w:space="0" w:color="4BACC6"/>
            </w:tcBorders>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2006</w:t>
            </w:r>
          </w:p>
        </w:tc>
        <w:tc>
          <w:tcPr>
            <w:tcW w:w="1038" w:type="dxa"/>
            <w:tcBorders>
              <w:top w:val="single" w:sz="8" w:space="0" w:color="4BACC6"/>
              <w:bottom w:val="single" w:sz="8" w:space="0" w:color="4BACC6"/>
            </w:tcBorders>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2008</w:t>
            </w:r>
          </w:p>
        </w:tc>
        <w:tc>
          <w:tcPr>
            <w:tcW w:w="1038" w:type="dxa"/>
            <w:tcBorders>
              <w:top w:val="single" w:sz="8" w:space="0" w:color="4BACC6"/>
              <w:bottom w:val="single" w:sz="8" w:space="0" w:color="4BACC6"/>
            </w:tcBorders>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2010</w:t>
            </w:r>
          </w:p>
        </w:tc>
        <w:tc>
          <w:tcPr>
            <w:tcW w:w="1038" w:type="dxa"/>
            <w:tcBorders>
              <w:top w:val="single" w:sz="8" w:space="0" w:color="4BACC6"/>
              <w:bottom w:val="single" w:sz="8" w:space="0" w:color="4BACC6"/>
            </w:tcBorders>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2012</w:t>
            </w:r>
          </w:p>
        </w:tc>
        <w:tc>
          <w:tcPr>
            <w:tcW w:w="1038" w:type="dxa"/>
            <w:tcBorders>
              <w:top w:val="single" w:sz="8" w:space="0" w:color="4BACC6"/>
              <w:bottom w:val="single" w:sz="8" w:space="0" w:color="4BACC6"/>
            </w:tcBorders>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2014</w:t>
            </w:r>
          </w:p>
        </w:tc>
      </w:tr>
      <w:tr w:rsidR="000411AC" w:rsidRPr="008922C6" w:rsidTr="000D48AD">
        <w:tc>
          <w:tcPr>
            <w:tcW w:w="1237" w:type="dxa"/>
            <w:shd w:val="clear" w:color="auto" w:fill="D2EAF1"/>
          </w:tcPr>
          <w:p w:rsidR="001B564D"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P</w:t>
            </w:r>
            <w:r w:rsidR="001B564D" w:rsidRPr="008922C6">
              <w:rPr>
                <w:rFonts w:ascii="Times New Roman" w:hAnsi="Times New Roman" w:cs="Times New Roman"/>
                <w:bCs/>
                <w:sz w:val="18"/>
                <w:szCs w:val="18"/>
              </w:rPr>
              <w:t>rim</w:t>
            </w:r>
            <w:r w:rsidRPr="008922C6">
              <w:rPr>
                <w:rFonts w:ascii="Times New Roman" w:hAnsi="Times New Roman" w:cs="Times New Roman"/>
                <w:bCs/>
                <w:sz w:val="18"/>
                <w:szCs w:val="18"/>
              </w:rPr>
              <w:t>ary</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0.109+</w:t>
            </w:r>
          </w:p>
        </w:tc>
        <w:tc>
          <w:tcPr>
            <w:tcW w:w="1039"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0.1541**</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0.1209</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0.0319</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-0.3367**</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0.0900**</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0.1808**</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0.1432**</w:t>
            </w:r>
          </w:p>
        </w:tc>
      </w:tr>
      <w:tr w:rsidR="000411AC" w:rsidRPr="008922C6" w:rsidTr="000D48AD">
        <w:tc>
          <w:tcPr>
            <w:tcW w:w="1237" w:type="dxa"/>
            <w:shd w:val="clear" w:color="auto" w:fill="auto"/>
          </w:tcPr>
          <w:p w:rsidR="001B564D" w:rsidRPr="008922C6" w:rsidRDefault="001B564D" w:rsidP="005A2C59">
            <w:pPr>
              <w:pStyle w:val="PlainText"/>
              <w:tabs>
                <w:tab w:val="left" w:pos="284"/>
                <w:tab w:val="left" w:pos="426"/>
              </w:tabs>
              <w:spacing w:line="288" w:lineRule="auto"/>
              <w:rPr>
                <w:rFonts w:ascii="Times New Roman" w:hAnsi="Times New Roman" w:cs="Times New Roman"/>
                <w:bCs/>
                <w:sz w:val="18"/>
                <w:szCs w:val="18"/>
              </w:rPr>
            </w:pP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(0.0653)</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(0.0361)</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(0.0891)</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(0.0850)</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(0.1152)</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(0.0312)</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(0.0260)</w:t>
            </w:r>
          </w:p>
        </w:tc>
        <w:tc>
          <w:tcPr>
            <w:tcW w:w="1038" w:type="dxa"/>
            <w:shd w:val="clear" w:color="auto" w:fill="auto"/>
          </w:tcPr>
          <w:p w:rsidR="001B564D"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(0.0257)</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0411AC" w:rsidRPr="008922C6" w:rsidTr="000D48AD">
        <w:tc>
          <w:tcPr>
            <w:tcW w:w="1237" w:type="dxa"/>
            <w:shd w:val="clear" w:color="auto" w:fill="D2EAF1"/>
          </w:tcPr>
          <w:p w:rsidR="001B564D"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L</w:t>
            </w:r>
            <w:r w:rsidR="001B564D" w:rsidRPr="008922C6">
              <w:rPr>
                <w:rFonts w:ascii="Times New Roman" w:hAnsi="Times New Roman" w:cs="Times New Roman"/>
                <w:bCs/>
                <w:sz w:val="18"/>
                <w:szCs w:val="18"/>
              </w:rPr>
              <w:t>ow</w:t>
            </w:r>
            <w:r w:rsidRPr="008922C6">
              <w:rPr>
                <w:rFonts w:ascii="Times New Roman" w:hAnsi="Times New Roman" w:cs="Times New Roman"/>
                <w:bCs/>
                <w:sz w:val="18"/>
                <w:szCs w:val="18"/>
              </w:rPr>
              <w:t>er</w:t>
            </w:r>
            <w:r w:rsidR="0097310A">
              <w:rPr>
                <w:rFonts w:ascii="Times New Roman" w:hAnsi="Times New Roman" w:cs="Times New Roman"/>
                <w:bCs/>
                <w:sz w:val="18"/>
                <w:szCs w:val="18"/>
              </w:rPr>
              <w:t xml:space="preserve"> </w:t>
            </w:r>
            <w:r w:rsidR="001B564D" w:rsidRPr="008922C6">
              <w:rPr>
                <w:rFonts w:ascii="Times New Roman" w:hAnsi="Times New Roman" w:cs="Times New Roman"/>
                <w:bCs/>
                <w:sz w:val="18"/>
                <w:szCs w:val="18"/>
              </w:rPr>
              <w:t>second</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0.045</w:t>
            </w:r>
          </w:p>
        </w:tc>
        <w:tc>
          <w:tcPr>
            <w:tcW w:w="1039"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0.2345**</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0.0596</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0.0334</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-0.2990**</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0.1151**</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0.2540**</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0.2262**</w:t>
            </w:r>
          </w:p>
        </w:tc>
      </w:tr>
      <w:tr w:rsidR="000411AC" w:rsidRPr="008922C6" w:rsidTr="000D48AD">
        <w:tc>
          <w:tcPr>
            <w:tcW w:w="1237" w:type="dxa"/>
            <w:shd w:val="clear" w:color="auto" w:fill="auto"/>
          </w:tcPr>
          <w:p w:rsidR="001B564D" w:rsidRPr="008922C6" w:rsidRDefault="001B564D" w:rsidP="005A2C59">
            <w:pPr>
              <w:pStyle w:val="PlainText"/>
              <w:tabs>
                <w:tab w:val="left" w:pos="284"/>
                <w:tab w:val="left" w:pos="426"/>
              </w:tabs>
              <w:spacing w:line="288" w:lineRule="auto"/>
              <w:rPr>
                <w:rFonts w:ascii="Times New Roman" w:hAnsi="Times New Roman" w:cs="Times New Roman"/>
                <w:bCs/>
                <w:sz w:val="18"/>
                <w:szCs w:val="18"/>
              </w:rPr>
            </w:pP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(0.0644)</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(0.0347)</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(0.0894)</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(0.0852)</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(0.1151)</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(0.0310)</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(0.0274)</w:t>
            </w:r>
          </w:p>
        </w:tc>
        <w:tc>
          <w:tcPr>
            <w:tcW w:w="1038" w:type="dxa"/>
            <w:shd w:val="clear" w:color="auto" w:fill="auto"/>
          </w:tcPr>
          <w:p w:rsidR="001B564D"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(0.0259)</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0411AC" w:rsidRPr="008922C6" w:rsidTr="000D48AD">
        <w:tc>
          <w:tcPr>
            <w:tcW w:w="1237" w:type="dxa"/>
            <w:shd w:val="clear" w:color="auto" w:fill="D2EAF1"/>
          </w:tcPr>
          <w:p w:rsidR="001B564D"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U</w:t>
            </w:r>
            <w:r w:rsidR="001B564D" w:rsidRPr="008922C6">
              <w:rPr>
                <w:rFonts w:ascii="Times New Roman" w:hAnsi="Times New Roman" w:cs="Times New Roman"/>
                <w:bCs/>
                <w:sz w:val="18"/>
                <w:szCs w:val="18"/>
              </w:rPr>
              <w:t>pper</w:t>
            </w:r>
            <w:r w:rsidR="0097310A">
              <w:rPr>
                <w:rFonts w:ascii="Times New Roman" w:hAnsi="Times New Roman" w:cs="Times New Roman"/>
                <w:bCs/>
                <w:sz w:val="18"/>
                <w:szCs w:val="18"/>
              </w:rPr>
              <w:t xml:space="preserve"> </w:t>
            </w:r>
            <w:r w:rsidR="001B564D" w:rsidRPr="008922C6">
              <w:rPr>
                <w:rFonts w:ascii="Times New Roman" w:hAnsi="Times New Roman" w:cs="Times New Roman"/>
                <w:bCs/>
                <w:sz w:val="18"/>
                <w:szCs w:val="18"/>
              </w:rPr>
              <w:t>second</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0.305**</w:t>
            </w:r>
          </w:p>
        </w:tc>
        <w:tc>
          <w:tcPr>
            <w:tcW w:w="1039"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0.5808**</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0.4949**</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0.3639**</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0.0034</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0.2634**</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0.4233**</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0.4452**</w:t>
            </w:r>
          </w:p>
        </w:tc>
      </w:tr>
      <w:tr w:rsidR="000411AC" w:rsidRPr="008922C6" w:rsidTr="000D48AD">
        <w:tc>
          <w:tcPr>
            <w:tcW w:w="1237" w:type="dxa"/>
            <w:shd w:val="clear" w:color="auto" w:fill="auto"/>
          </w:tcPr>
          <w:p w:rsidR="001B564D" w:rsidRPr="008922C6" w:rsidRDefault="001B564D" w:rsidP="005A2C59">
            <w:pPr>
              <w:pStyle w:val="PlainText"/>
              <w:tabs>
                <w:tab w:val="left" w:pos="284"/>
                <w:tab w:val="left" w:pos="426"/>
              </w:tabs>
              <w:spacing w:line="288" w:lineRule="auto"/>
              <w:rPr>
                <w:rFonts w:ascii="Times New Roman" w:hAnsi="Times New Roman" w:cs="Times New Roman"/>
                <w:bCs/>
                <w:sz w:val="18"/>
                <w:szCs w:val="18"/>
              </w:rPr>
            </w:pP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(0.0689)</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(0.0375)</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(0.0926)</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(0.0879)</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(0.1173)</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(0.0371)</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(0.0325)</w:t>
            </w:r>
          </w:p>
        </w:tc>
        <w:tc>
          <w:tcPr>
            <w:tcW w:w="1038" w:type="dxa"/>
            <w:shd w:val="clear" w:color="auto" w:fill="auto"/>
          </w:tcPr>
          <w:p w:rsidR="001B564D"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(0.0312)</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0411AC" w:rsidRPr="008922C6" w:rsidTr="000D48AD">
        <w:tc>
          <w:tcPr>
            <w:tcW w:w="1237" w:type="dxa"/>
            <w:shd w:val="clear" w:color="auto" w:fill="D2EAF1"/>
          </w:tcPr>
          <w:p w:rsidR="001B564D"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proofErr w:type="spellStart"/>
            <w:r w:rsidRPr="008922C6">
              <w:rPr>
                <w:rFonts w:ascii="Times New Roman" w:hAnsi="Times New Roman" w:cs="Times New Roman"/>
                <w:bCs/>
                <w:sz w:val="18"/>
                <w:szCs w:val="18"/>
              </w:rPr>
              <w:t>V</w:t>
            </w:r>
            <w:r w:rsidR="001B564D" w:rsidRPr="008922C6">
              <w:rPr>
                <w:rFonts w:ascii="Times New Roman" w:hAnsi="Times New Roman" w:cs="Times New Roman"/>
                <w:bCs/>
                <w:sz w:val="18"/>
                <w:szCs w:val="18"/>
              </w:rPr>
              <w:t>oc</w:t>
            </w:r>
            <w:proofErr w:type="spellEnd"/>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0.251**</w:t>
            </w:r>
          </w:p>
        </w:tc>
        <w:tc>
          <w:tcPr>
            <w:tcW w:w="1039"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1.0177**</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0.7888**</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0.7172**</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0.2933*</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0.6258**</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0.6501**</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0.5850**</w:t>
            </w:r>
          </w:p>
        </w:tc>
      </w:tr>
      <w:tr w:rsidR="000411AC" w:rsidRPr="008922C6" w:rsidTr="000D48AD">
        <w:tc>
          <w:tcPr>
            <w:tcW w:w="1237" w:type="dxa"/>
            <w:shd w:val="clear" w:color="auto" w:fill="auto"/>
          </w:tcPr>
          <w:p w:rsidR="001B564D" w:rsidRPr="008922C6" w:rsidRDefault="001B564D" w:rsidP="005A2C59">
            <w:pPr>
              <w:pStyle w:val="PlainText"/>
              <w:tabs>
                <w:tab w:val="left" w:pos="284"/>
                <w:tab w:val="left" w:pos="426"/>
              </w:tabs>
              <w:spacing w:line="288" w:lineRule="auto"/>
              <w:rPr>
                <w:rFonts w:ascii="Times New Roman" w:hAnsi="Times New Roman" w:cs="Times New Roman"/>
                <w:bCs/>
                <w:sz w:val="18"/>
                <w:szCs w:val="18"/>
              </w:rPr>
            </w:pP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(0.0879)</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(0.0415)</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(0.0913)</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(0.0870)</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(0.1162)</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(0.0379)</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(0.0510)</w:t>
            </w:r>
          </w:p>
        </w:tc>
        <w:tc>
          <w:tcPr>
            <w:tcW w:w="1038" w:type="dxa"/>
            <w:shd w:val="clear" w:color="auto" w:fill="auto"/>
          </w:tcPr>
          <w:p w:rsidR="001B564D"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(0.0307)</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0411AC" w:rsidRPr="008922C6" w:rsidTr="000D48AD">
        <w:tc>
          <w:tcPr>
            <w:tcW w:w="1237" w:type="dxa"/>
            <w:shd w:val="clear" w:color="auto" w:fill="D2EAF1"/>
          </w:tcPr>
          <w:p w:rsidR="001B564D"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proofErr w:type="spellStart"/>
            <w:r w:rsidRPr="008922C6">
              <w:rPr>
                <w:rFonts w:ascii="Times New Roman" w:hAnsi="Times New Roman" w:cs="Times New Roman"/>
                <w:bCs/>
                <w:sz w:val="18"/>
                <w:szCs w:val="18"/>
              </w:rPr>
              <w:t>U</w:t>
            </w:r>
            <w:r w:rsidR="001B564D" w:rsidRPr="008922C6">
              <w:rPr>
                <w:rFonts w:ascii="Times New Roman" w:hAnsi="Times New Roman" w:cs="Times New Roman"/>
                <w:bCs/>
                <w:sz w:val="18"/>
                <w:szCs w:val="18"/>
              </w:rPr>
              <w:t>niv</w:t>
            </w:r>
            <w:proofErr w:type="spellEnd"/>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0.857**</w:t>
            </w:r>
          </w:p>
        </w:tc>
        <w:tc>
          <w:tcPr>
            <w:tcW w:w="1039"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1.4153**</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1.3398**</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1.3179**</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0.9783**</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1.2225**</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1.1636**</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1.0069**</w:t>
            </w:r>
          </w:p>
        </w:tc>
      </w:tr>
      <w:tr w:rsidR="000411AC" w:rsidRPr="008922C6" w:rsidTr="000D48AD">
        <w:tc>
          <w:tcPr>
            <w:tcW w:w="1237" w:type="dxa"/>
            <w:shd w:val="clear" w:color="auto" w:fill="auto"/>
          </w:tcPr>
          <w:p w:rsidR="001B564D" w:rsidRPr="008922C6" w:rsidRDefault="001B564D" w:rsidP="005A2C59">
            <w:pPr>
              <w:pStyle w:val="PlainText"/>
              <w:tabs>
                <w:tab w:val="left" w:pos="284"/>
                <w:tab w:val="left" w:pos="426"/>
              </w:tabs>
              <w:spacing w:line="288" w:lineRule="auto"/>
              <w:rPr>
                <w:rFonts w:ascii="Times New Roman" w:hAnsi="Times New Roman" w:cs="Times New Roman"/>
                <w:bCs/>
                <w:sz w:val="18"/>
                <w:szCs w:val="18"/>
              </w:rPr>
            </w:pP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(0.0797)</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(0.0452)</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(0.0948)</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(0.0900)</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(0.1186)</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(0.0485)</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(0.0696)</w:t>
            </w:r>
          </w:p>
        </w:tc>
        <w:tc>
          <w:tcPr>
            <w:tcW w:w="1038" w:type="dxa"/>
            <w:shd w:val="clear" w:color="auto" w:fill="auto"/>
          </w:tcPr>
          <w:p w:rsidR="001B564D"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(0.0324)</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0411AC" w:rsidRPr="008922C6" w:rsidTr="000D48AD">
        <w:tc>
          <w:tcPr>
            <w:tcW w:w="1237" w:type="dxa"/>
            <w:shd w:val="clear" w:color="auto" w:fill="D2EAF1"/>
          </w:tcPr>
          <w:p w:rsidR="001B564D"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proofErr w:type="spellStart"/>
            <w:r w:rsidRPr="008922C6">
              <w:rPr>
                <w:rFonts w:ascii="Times New Roman" w:hAnsi="Times New Roman" w:cs="Times New Roman"/>
                <w:bCs/>
                <w:sz w:val="18"/>
                <w:szCs w:val="18"/>
              </w:rPr>
              <w:t>E</w:t>
            </w:r>
            <w:r w:rsidR="001B564D" w:rsidRPr="008922C6">
              <w:rPr>
                <w:rFonts w:ascii="Times New Roman" w:hAnsi="Times New Roman" w:cs="Times New Roman"/>
                <w:bCs/>
                <w:sz w:val="18"/>
                <w:szCs w:val="18"/>
              </w:rPr>
              <w:t>xp</w:t>
            </w:r>
            <w:proofErr w:type="spellEnd"/>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0.017**</w:t>
            </w:r>
          </w:p>
        </w:tc>
        <w:tc>
          <w:tcPr>
            <w:tcW w:w="1039"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0.0230**</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0.0362**</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0.0348**</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0.0448**</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0.0521**</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0.0555**</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0.0500**</w:t>
            </w:r>
          </w:p>
        </w:tc>
      </w:tr>
      <w:tr w:rsidR="000411AC" w:rsidRPr="008922C6" w:rsidTr="000D48AD">
        <w:tc>
          <w:tcPr>
            <w:tcW w:w="1237" w:type="dxa"/>
            <w:shd w:val="clear" w:color="auto" w:fill="auto"/>
          </w:tcPr>
          <w:p w:rsidR="001B564D" w:rsidRPr="008922C6" w:rsidRDefault="001B564D" w:rsidP="005A2C59">
            <w:pPr>
              <w:pStyle w:val="PlainText"/>
              <w:tabs>
                <w:tab w:val="left" w:pos="284"/>
                <w:tab w:val="left" w:pos="426"/>
              </w:tabs>
              <w:spacing w:line="288" w:lineRule="auto"/>
              <w:rPr>
                <w:rFonts w:ascii="Times New Roman" w:hAnsi="Times New Roman" w:cs="Times New Roman"/>
                <w:bCs/>
                <w:sz w:val="18"/>
                <w:szCs w:val="18"/>
              </w:rPr>
            </w:pP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(0.0051)</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(0.0026)</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(0.0036)</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(0.0032)</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(0.0034)</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(0.0035)</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(0.0047)</w:t>
            </w:r>
          </w:p>
        </w:tc>
        <w:tc>
          <w:tcPr>
            <w:tcW w:w="1038" w:type="dxa"/>
            <w:shd w:val="clear" w:color="auto" w:fill="auto"/>
          </w:tcPr>
          <w:p w:rsidR="001B564D"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(0.0024)</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0411AC" w:rsidRPr="008922C6" w:rsidTr="000D48AD">
        <w:tc>
          <w:tcPr>
            <w:tcW w:w="1237" w:type="dxa"/>
            <w:shd w:val="clear" w:color="auto" w:fill="D2EAF1"/>
          </w:tcPr>
          <w:p w:rsidR="001B564D"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E</w:t>
            </w:r>
            <w:r w:rsidR="001B564D" w:rsidRPr="008922C6">
              <w:rPr>
                <w:rFonts w:ascii="Times New Roman" w:hAnsi="Times New Roman" w:cs="Times New Roman"/>
                <w:bCs/>
                <w:sz w:val="18"/>
                <w:szCs w:val="18"/>
              </w:rPr>
              <w:t>xp2</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-0.0007**</w:t>
            </w:r>
          </w:p>
        </w:tc>
        <w:tc>
          <w:tcPr>
            <w:tcW w:w="1039"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-0.0006**</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-0.0008**</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-0.0008**</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-0.0011**</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-0.0012**</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-0.0012**</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-0.0011**</w:t>
            </w:r>
          </w:p>
        </w:tc>
      </w:tr>
      <w:tr w:rsidR="000411AC" w:rsidRPr="008922C6" w:rsidTr="000D48AD">
        <w:tc>
          <w:tcPr>
            <w:tcW w:w="1237" w:type="dxa"/>
            <w:shd w:val="clear" w:color="auto" w:fill="auto"/>
          </w:tcPr>
          <w:p w:rsidR="001B564D" w:rsidRPr="008922C6" w:rsidRDefault="001B564D" w:rsidP="005A2C59">
            <w:pPr>
              <w:pStyle w:val="PlainText"/>
              <w:tabs>
                <w:tab w:val="left" w:pos="284"/>
                <w:tab w:val="left" w:pos="426"/>
              </w:tabs>
              <w:spacing w:line="288" w:lineRule="auto"/>
              <w:rPr>
                <w:rFonts w:ascii="Times New Roman" w:hAnsi="Times New Roman" w:cs="Times New Roman"/>
                <w:bCs/>
                <w:sz w:val="18"/>
                <w:szCs w:val="18"/>
              </w:rPr>
            </w:pP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1038" w:type="dxa"/>
            <w:shd w:val="clear" w:color="auto" w:fill="auto"/>
          </w:tcPr>
          <w:p w:rsidR="001B564D"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0411AC" w:rsidRPr="008922C6" w:rsidTr="000D48AD">
        <w:tc>
          <w:tcPr>
            <w:tcW w:w="1237" w:type="dxa"/>
            <w:shd w:val="clear" w:color="auto" w:fill="D2EAF1"/>
          </w:tcPr>
          <w:p w:rsidR="001B564D"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S</w:t>
            </w:r>
            <w:r w:rsidR="001B564D" w:rsidRPr="008922C6">
              <w:rPr>
                <w:rFonts w:ascii="Times New Roman" w:hAnsi="Times New Roman" w:cs="Times New Roman"/>
                <w:bCs/>
                <w:sz w:val="18"/>
                <w:szCs w:val="18"/>
              </w:rPr>
              <w:t>ex</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0.2427**</w:t>
            </w:r>
          </w:p>
        </w:tc>
        <w:tc>
          <w:tcPr>
            <w:tcW w:w="1039"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0.2177**</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0.1702**</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0.1735**</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0.2408**</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0.2480**</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0.2340**</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0.1510**</w:t>
            </w:r>
          </w:p>
        </w:tc>
      </w:tr>
      <w:tr w:rsidR="000411AC" w:rsidRPr="008922C6" w:rsidTr="000D48AD">
        <w:tc>
          <w:tcPr>
            <w:tcW w:w="1237" w:type="dxa"/>
            <w:shd w:val="clear" w:color="auto" w:fill="auto"/>
          </w:tcPr>
          <w:p w:rsidR="001B564D" w:rsidRPr="008922C6" w:rsidRDefault="001B564D" w:rsidP="005A2C59">
            <w:pPr>
              <w:pStyle w:val="PlainText"/>
              <w:tabs>
                <w:tab w:val="left" w:pos="284"/>
                <w:tab w:val="left" w:pos="426"/>
              </w:tabs>
              <w:spacing w:line="288" w:lineRule="auto"/>
              <w:rPr>
                <w:rFonts w:ascii="Times New Roman" w:hAnsi="Times New Roman" w:cs="Times New Roman"/>
                <w:bCs/>
                <w:sz w:val="18"/>
                <w:szCs w:val="18"/>
              </w:rPr>
            </w:pP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(0.0338)</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(0.0164)</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(0.0218)</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(0.0189)</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(0.0196)</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(0.0200)</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(0.0190)</w:t>
            </w:r>
          </w:p>
        </w:tc>
        <w:tc>
          <w:tcPr>
            <w:tcW w:w="1038" w:type="dxa"/>
            <w:shd w:val="clear" w:color="auto" w:fill="auto"/>
          </w:tcPr>
          <w:p w:rsidR="001B564D"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(0.0144)</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0411AC" w:rsidRPr="008922C6" w:rsidTr="000D48AD">
        <w:tc>
          <w:tcPr>
            <w:tcW w:w="1237" w:type="dxa"/>
            <w:shd w:val="clear" w:color="auto" w:fill="D2EAF1"/>
          </w:tcPr>
          <w:p w:rsidR="001B564D" w:rsidRPr="008922C6" w:rsidRDefault="001B564D"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Constant</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-0.0575</w:t>
            </w:r>
          </w:p>
        </w:tc>
        <w:tc>
          <w:tcPr>
            <w:tcW w:w="1039"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0.2129**</w:t>
            </w:r>
          </w:p>
        </w:tc>
        <w:tc>
          <w:tcPr>
            <w:tcW w:w="1039"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0.4092**</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0.7661**</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1.3892**</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1.3704**</w:t>
            </w:r>
          </w:p>
        </w:tc>
        <w:tc>
          <w:tcPr>
            <w:tcW w:w="1038" w:type="dxa"/>
            <w:tcBorders>
              <w:left w:val="nil"/>
              <w:right w:val="nil"/>
            </w:tcBorders>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1.6398**</w:t>
            </w:r>
          </w:p>
        </w:tc>
        <w:tc>
          <w:tcPr>
            <w:tcW w:w="1038" w:type="dxa"/>
            <w:shd w:val="clear" w:color="auto" w:fill="D2EAF1"/>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2.0798**</w:t>
            </w:r>
          </w:p>
        </w:tc>
      </w:tr>
      <w:tr w:rsidR="000411AC" w:rsidRPr="008922C6" w:rsidTr="000D48AD">
        <w:tc>
          <w:tcPr>
            <w:tcW w:w="1237" w:type="dxa"/>
            <w:shd w:val="clear" w:color="auto" w:fill="auto"/>
          </w:tcPr>
          <w:p w:rsidR="001B564D" w:rsidRPr="008922C6" w:rsidRDefault="001B564D" w:rsidP="005A2C59">
            <w:pPr>
              <w:pStyle w:val="PlainText"/>
              <w:tabs>
                <w:tab w:val="left" w:pos="284"/>
                <w:tab w:val="left" w:pos="426"/>
              </w:tabs>
              <w:spacing w:line="288" w:lineRule="auto"/>
              <w:rPr>
                <w:rFonts w:ascii="Times New Roman" w:hAnsi="Times New Roman" w:cs="Times New Roman"/>
                <w:bCs/>
                <w:sz w:val="18"/>
                <w:szCs w:val="18"/>
              </w:rPr>
            </w:pP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(0.0959)</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(0.0495)</w:t>
            </w:r>
          </w:p>
        </w:tc>
        <w:tc>
          <w:tcPr>
            <w:tcW w:w="1039"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(0.1007)</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(0.0955)</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(0.1242)</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(0.0707)</w:t>
            </w:r>
          </w:p>
        </w:tc>
        <w:tc>
          <w:tcPr>
            <w:tcW w:w="1038" w:type="dxa"/>
            <w:shd w:val="clear" w:color="auto" w:fill="auto"/>
          </w:tcPr>
          <w:p w:rsidR="001B564D" w:rsidRPr="008922C6"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(0.1185)</w:t>
            </w:r>
          </w:p>
        </w:tc>
        <w:tc>
          <w:tcPr>
            <w:tcW w:w="1038" w:type="dxa"/>
            <w:shd w:val="clear" w:color="auto" w:fill="auto"/>
          </w:tcPr>
          <w:p w:rsidR="001B564D" w:rsidRDefault="001B564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(0.0460)</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0411AC" w:rsidRPr="008922C6" w:rsidTr="000D48AD">
        <w:tc>
          <w:tcPr>
            <w:tcW w:w="1237" w:type="dxa"/>
            <w:shd w:val="clear" w:color="auto" w:fill="D2EAF1"/>
          </w:tcPr>
          <w:p w:rsidR="008C08DD"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 xml:space="preserve"> </w:t>
            </w:r>
            <w:proofErr w:type="spellStart"/>
            <w:r w:rsidRPr="008922C6">
              <w:rPr>
                <w:rFonts w:ascii="Times New Roman" w:hAnsi="Times New Roman" w:cs="Times New Roman"/>
                <w:bCs/>
                <w:sz w:val="18"/>
                <w:szCs w:val="18"/>
              </w:rPr>
              <w:t>Prob</w:t>
            </w:r>
            <w:proofErr w:type="spellEnd"/>
            <w:r w:rsidRPr="008922C6">
              <w:rPr>
                <w:rFonts w:ascii="Times New Roman" w:hAnsi="Times New Roman" w:cs="Times New Roman"/>
                <w:bCs/>
                <w:sz w:val="18"/>
                <w:szCs w:val="18"/>
              </w:rPr>
              <w:t xml:space="preserve"> &gt; F</w:t>
            </w:r>
          </w:p>
        </w:tc>
        <w:tc>
          <w:tcPr>
            <w:tcW w:w="1039" w:type="dxa"/>
            <w:tcBorders>
              <w:left w:val="nil"/>
              <w:right w:val="nil"/>
            </w:tcBorders>
            <w:shd w:val="clear" w:color="auto" w:fill="D2EAF1"/>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0.0000</w:t>
            </w:r>
          </w:p>
        </w:tc>
        <w:tc>
          <w:tcPr>
            <w:tcW w:w="1039" w:type="dxa"/>
            <w:shd w:val="clear" w:color="auto" w:fill="D2EAF1"/>
          </w:tcPr>
          <w:p w:rsidR="008C08DD" w:rsidRPr="008922C6" w:rsidRDefault="008C08DD" w:rsidP="005A2C59">
            <w:pPr>
              <w:tabs>
                <w:tab w:val="left" w:pos="284"/>
                <w:tab w:val="left" w:pos="426"/>
              </w:tabs>
              <w:spacing w:line="288" w:lineRule="auto"/>
              <w:jc w:val="right"/>
            </w:pPr>
            <w:r w:rsidRPr="008922C6">
              <w:rPr>
                <w:sz w:val="18"/>
                <w:szCs w:val="18"/>
              </w:rPr>
              <w:t>0.0000</w:t>
            </w:r>
          </w:p>
        </w:tc>
        <w:tc>
          <w:tcPr>
            <w:tcW w:w="1039" w:type="dxa"/>
            <w:tcBorders>
              <w:left w:val="nil"/>
              <w:right w:val="nil"/>
            </w:tcBorders>
            <w:shd w:val="clear" w:color="auto" w:fill="D2EAF1"/>
          </w:tcPr>
          <w:p w:rsidR="008C08DD" w:rsidRPr="008922C6" w:rsidRDefault="008C08DD" w:rsidP="005A2C59">
            <w:pPr>
              <w:tabs>
                <w:tab w:val="left" w:pos="284"/>
                <w:tab w:val="left" w:pos="426"/>
              </w:tabs>
              <w:spacing w:line="288" w:lineRule="auto"/>
              <w:jc w:val="right"/>
            </w:pPr>
            <w:r w:rsidRPr="008922C6">
              <w:rPr>
                <w:sz w:val="18"/>
                <w:szCs w:val="18"/>
              </w:rPr>
              <w:t>0.0000</w:t>
            </w:r>
          </w:p>
        </w:tc>
        <w:tc>
          <w:tcPr>
            <w:tcW w:w="1038" w:type="dxa"/>
            <w:shd w:val="clear" w:color="auto" w:fill="D2EAF1"/>
          </w:tcPr>
          <w:p w:rsidR="008C08DD" w:rsidRPr="008922C6" w:rsidRDefault="008C08DD" w:rsidP="005A2C59">
            <w:pPr>
              <w:tabs>
                <w:tab w:val="left" w:pos="284"/>
                <w:tab w:val="left" w:pos="426"/>
              </w:tabs>
              <w:spacing w:line="288" w:lineRule="auto"/>
              <w:jc w:val="right"/>
            </w:pPr>
            <w:r w:rsidRPr="008922C6">
              <w:rPr>
                <w:sz w:val="18"/>
                <w:szCs w:val="18"/>
              </w:rPr>
              <w:t>0.0000</w:t>
            </w:r>
          </w:p>
        </w:tc>
        <w:tc>
          <w:tcPr>
            <w:tcW w:w="1038" w:type="dxa"/>
            <w:tcBorders>
              <w:left w:val="nil"/>
              <w:right w:val="nil"/>
            </w:tcBorders>
            <w:shd w:val="clear" w:color="auto" w:fill="D2EAF1"/>
          </w:tcPr>
          <w:p w:rsidR="008C08DD" w:rsidRPr="008922C6" w:rsidRDefault="008C08DD" w:rsidP="005A2C59">
            <w:pPr>
              <w:tabs>
                <w:tab w:val="left" w:pos="284"/>
                <w:tab w:val="left" w:pos="426"/>
              </w:tabs>
              <w:spacing w:line="288" w:lineRule="auto"/>
              <w:jc w:val="right"/>
            </w:pPr>
            <w:r w:rsidRPr="008922C6">
              <w:rPr>
                <w:sz w:val="18"/>
                <w:szCs w:val="18"/>
              </w:rPr>
              <w:t>0.0000</w:t>
            </w:r>
          </w:p>
        </w:tc>
        <w:tc>
          <w:tcPr>
            <w:tcW w:w="1038" w:type="dxa"/>
            <w:shd w:val="clear" w:color="auto" w:fill="D2EAF1"/>
          </w:tcPr>
          <w:p w:rsidR="008C08DD" w:rsidRPr="008922C6" w:rsidRDefault="008C08DD" w:rsidP="005A2C59">
            <w:pPr>
              <w:tabs>
                <w:tab w:val="left" w:pos="284"/>
                <w:tab w:val="left" w:pos="426"/>
              </w:tabs>
              <w:spacing w:line="288" w:lineRule="auto"/>
              <w:jc w:val="right"/>
            </w:pPr>
            <w:r w:rsidRPr="008922C6">
              <w:rPr>
                <w:sz w:val="18"/>
                <w:szCs w:val="18"/>
              </w:rPr>
              <w:t>0.0000</w:t>
            </w:r>
          </w:p>
        </w:tc>
        <w:tc>
          <w:tcPr>
            <w:tcW w:w="1038" w:type="dxa"/>
            <w:tcBorders>
              <w:left w:val="nil"/>
              <w:right w:val="nil"/>
            </w:tcBorders>
            <w:shd w:val="clear" w:color="auto" w:fill="D2EAF1"/>
          </w:tcPr>
          <w:p w:rsidR="008C08DD" w:rsidRPr="008922C6" w:rsidRDefault="008C08DD" w:rsidP="005A2C59">
            <w:pPr>
              <w:tabs>
                <w:tab w:val="left" w:pos="284"/>
                <w:tab w:val="left" w:pos="426"/>
              </w:tabs>
              <w:spacing w:line="288" w:lineRule="auto"/>
              <w:jc w:val="right"/>
            </w:pPr>
            <w:r w:rsidRPr="008922C6">
              <w:rPr>
                <w:sz w:val="18"/>
                <w:szCs w:val="18"/>
              </w:rPr>
              <w:t>0.0000</w:t>
            </w:r>
          </w:p>
        </w:tc>
        <w:tc>
          <w:tcPr>
            <w:tcW w:w="1038" w:type="dxa"/>
            <w:shd w:val="clear" w:color="auto" w:fill="D2EAF1"/>
          </w:tcPr>
          <w:p w:rsidR="008C08DD" w:rsidRPr="008922C6" w:rsidRDefault="008C08DD" w:rsidP="005A2C59">
            <w:pPr>
              <w:tabs>
                <w:tab w:val="left" w:pos="284"/>
                <w:tab w:val="left" w:pos="426"/>
              </w:tabs>
              <w:spacing w:line="288" w:lineRule="auto"/>
              <w:jc w:val="right"/>
            </w:pPr>
            <w:r w:rsidRPr="008922C6">
              <w:rPr>
                <w:sz w:val="18"/>
                <w:szCs w:val="18"/>
              </w:rPr>
              <w:t>0.0000</w:t>
            </w:r>
          </w:p>
        </w:tc>
      </w:tr>
      <w:tr w:rsidR="000411AC" w:rsidRPr="008922C6" w:rsidTr="000D48AD">
        <w:tc>
          <w:tcPr>
            <w:tcW w:w="1237" w:type="dxa"/>
            <w:shd w:val="clear" w:color="auto" w:fill="auto"/>
          </w:tcPr>
          <w:p w:rsidR="00BA640F" w:rsidRPr="008922C6" w:rsidRDefault="00BA640F"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Observations</w:t>
            </w:r>
          </w:p>
        </w:tc>
        <w:tc>
          <w:tcPr>
            <w:tcW w:w="1039" w:type="dxa"/>
            <w:shd w:val="clear" w:color="auto" w:fill="auto"/>
          </w:tcPr>
          <w:p w:rsidR="00BA640F" w:rsidRPr="008922C6" w:rsidRDefault="00BA640F"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3,244</w:t>
            </w:r>
          </w:p>
        </w:tc>
        <w:tc>
          <w:tcPr>
            <w:tcW w:w="1039" w:type="dxa"/>
            <w:shd w:val="clear" w:color="auto" w:fill="auto"/>
          </w:tcPr>
          <w:p w:rsidR="00BA640F" w:rsidRPr="008922C6" w:rsidRDefault="00BA640F"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26,268</w:t>
            </w:r>
          </w:p>
        </w:tc>
        <w:tc>
          <w:tcPr>
            <w:tcW w:w="1039" w:type="dxa"/>
            <w:shd w:val="clear" w:color="auto" w:fill="auto"/>
          </w:tcPr>
          <w:p w:rsidR="00BA640F" w:rsidRPr="008922C6" w:rsidRDefault="00BA640F"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7,177</w:t>
            </w:r>
          </w:p>
        </w:tc>
        <w:tc>
          <w:tcPr>
            <w:tcW w:w="1038" w:type="dxa"/>
            <w:shd w:val="clear" w:color="auto" w:fill="auto"/>
          </w:tcPr>
          <w:p w:rsidR="00BA640F" w:rsidRPr="008922C6" w:rsidRDefault="00BA640F"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7,436</w:t>
            </w:r>
          </w:p>
        </w:tc>
        <w:tc>
          <w:tcPr>
            <w:tcW w:w="1038" w:type="dxa"/>
            <w:shd w:val="clear" w:color="auto" w:fill="auto"/>
          </w:tcPr>
          <w:p w:rsidR="00BA640F" w:rsidRPr="008922C6" w:rsidRDefault="00BA640F"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7,532</w:t>
            </w:r>
          </w:p>
        </w:tc>
        <w:tc>
          <w:tcPr>
            <w:tcW w:w="1038" w:type="dxa"/>
            <w:shd w:val="clear" w:color="auto" w:fill="auto"/>
          </w:tcPr>
          <w:p w:rsidR="00BA640F" w:rsidRPr="008922C6" w:rsidRDefault="00BA640F"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7,166</w:t>
            </w:r>
          </w:p>
        </w:tc>
        <w:tc>
          <w:tcPr>
            <w:tcW w:w="1038" w:type="dxa"/>
            <w:shd w:val="clear" w:color="auto" w:fill="auto"/>
          </w:tcPr>
          <w:p w:rsidR="00BA640F" w:rsidRPr="008922C6" w:rsidRDefault="00BA640F"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7,758</w:t>
            </w:r>
          </w:p>
        </w:tc>
        <w:tc>
          <w:tcPr>
            <w:tcW w:w="1038" w:type="dxa"/>
            <w:shd w:val="clear" w:color="auto" w:fill="auto"/>
          </w:tcPr>
          <w:p w:rsidR="00BA640F" w:rsidRPr="008922C6" w:rsidRDefault="00BA640F"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7,868</w:t>
            </w:r>
          </w:p>
        </w:tc>
      </w:tr>
    </w:tbl>
    <w:p w:rsidR="00912053" w:rsidRDefault="008C08DD" w:rsidP="00805177">
      <w:pPr>
        <w:pStyle w:val="PlainText"/>
        <w:tabs>
          <w:tab w:val="left" w:pos="284"/>
          <w:tab w:val="left" w:pos="426"/>
        </w:tabs>
        <w:jc w:val="both"/>
        <w:rPr>
          <w:rFonts w:ascii="Times New Roman" w:hAnsi="Times New Roman" w:cs="Times New Roman"/>
        </w:rPr>
      </w:pPr>
      <w:r w:rsidRPr="00F2738B">
        <w:rPr>
          <w:rFonts w:ascii="Times New Roman" w:hAnsi="Times New Roman" w:cs="Times New Roman"/>
          <w:i/>
        </w:rPr>
        <w:t>Notes:</w:t>
      </w:r>
      <w:r w:rsidRPr="00805177">
        <w:rPr>
          <w:rFonts w:ascii="Times New Roman" w:hAnsi="Times New Roman" w:cs="Times New Roman"/>
        </w:rPr>
        <w:t xml:space="preserve"> </w:t>
      </w:r>
    </w:p>
    <w:p w:rsidR="00912053" w:rsidRDefault="008C08DD" w:rsidP="00805177">
      <w:pPr>
        <w:pStyle w:val="PlainText"/>
        <w:tabs>
          <w:tab w:val="left" w:pos="284"/>
          <w:tab w:val="left" w:pos="426"/>
        </w:tabs>
        <w:jc w:val="both"/>
        <w:rPr>
          <w:rFonts w:ascii="Times New Roman" w:hAnsi="Times New Roman" w:cs="Times New Roman"/>
        </w:rPr>
      </w:pPr>
      <w:r w:rsidRPr="00805177">
        <w:rPr>
          <w:rFonts w:ascii="Times New Roman" w:hAnsi="Times New Roman" w:cs="Times New Roman"/>
        </w:rPr>
        <w:t>Robust standard errors in parentheses,</w:t>
      </w:r>
      <w:r w:rsidR="008B4FC5">
        <w:rPr>
          <w:rFonts w:ascii="Times New Roman" w:hAnsi="Times New Roman" w:cs="Times New Roman"/>
        </w:rPr>
        <w:t xml:space="preserve"> corrected for sampling weights.</w:t>
      </w:r>
      <w:r w:rsidRPr="00805177">
        <w:rPr>
          <w:rFonts w:ascii="Times New Roman" w:hAnsi="Times New Roman" w:cs="Times New Roman"/>
        </w:rPr>
        <w:t xml:space="preserve"> </w:t>
      </w:r>
    </w:p>
    <w:p w:rsidR="00912053" w:rsidRDefault="00912053" w:rsidP="00805177">
      <w:pPr>
        <w:pStyle w:val="PlainText"/>
        <w:tabs>
          <w:tab w:val="left" w:pos="284"/>
          <w:tab w:val="left" w:pos="426"/>
        </w:tabs>
        <w:jc w:val="both"/>
        <w:rPr>
          <w:rFonts w:ascii="Times New Roman" w:hAnsi="Times New Roman" w:cs="Times New Roman"/>
        </w:rPr>
      </w:pPr>
      <w:r>
        <w:rPr>
          <w:rFonts w:ascii="Times New Roman" w:hAnsi="Times New Roman" w:cs="Times New Roman"/>
        </w:rPr>
        <w:t xml:space="preserve">+ </w:t>
      </w:r>
      <w:r w:rsidR="00720138">
        <w:rPr>
          <w:rFonts w:ascii="Times New Roman" w:hAnsi="Times New Roman" w:cs="Times New Roman"/>
        </w:rPr>
        <w:tab/>
      </w:r>
      <w:proofErr w:type="gramStart"/>
      <w:r>
        <w:rPr>
          <w:rFonts w:ascii="Times New Roman" w:hAnsi="Times New Roman" w:cs="Times New Roman"/>
        </w:rPr>
        <w:t>significant</w:t>
      </w:r>
      <w:proofErr w:type="gramEnd"/>
      <w:r>
        <w:rPr>
          <w:rFonts w:ascii="Times New Roman" w:hAnsi="Times New Roman" w:cs="Times New Roman"/>
        </w:rPr>
        <w:t xml:space="preserve"> at 10%</w:t>
      </w:r>
    </w:p>
    <w:p w:rsidR="00912053" w:rsidRDefault="00912053" w:rsidP="00805177">
      <w:pPr>
        <w:pStyle w:val="PlainText"/>
        <w:tabs>
          <w:tab w:val="left" w:pos="284"/>
          <w:tab w:val="left" w:pos="426"/>
        </w:tabs>
        <w:jc w:val="both"/>
        <w:rPr>
          <w:rFonts w:ascii="Times New Roman" w:hAnsi="Times New Roman" w:cs="Times New Roman"/>
        </w:rPr>
      </w:pPr>
      <w:r>
        <w:rPr>
          <w:rFonts w:ascii="Times New Roman" w:hAnsi="Times New Roman" w:cs="Times New Roman"/>
        </w:rPr>
        <w:t xml:space="preserve">* </w:t>
      </w:r>
      <w:r w:rsidR="00720138">
        <w:rPr>
          <w:rFonts w:ascii="Times New Roman" w:hAnsi="Times New Roman" w:cs="Times New Roman"/>
        </w:rPr>
        <w:tab/>
      </w:r>
      <w:proofErr w:type="gramStart"/>
      <w:r>
        <w:rPr>
          <w:rFonts w:ascii="Times New Roman" w:hAnsi="Times New Roman" w:cs="Times New Roman"/>
        </w:rPr>
        <w:t>significant</w:t>
      </w:r>
      <w:proofErr w:type="gramEnd"/>
      <w:r>
        <w:rPr>
          <w:rFonts w:ascii="Times New Roman" w:hAnsi="Times New Roman" w:cs="Times New Roman"/>
        </w:rPr>
        <w:t xml:space="preserve"> at 5%</w:t>
      </w:r>
    </w:p>
    <w:p w:rsidR="00912053" w:rsidRDefault="00912053" w:rsidP="00805177">
      <w:pPr>
        <w:pStyle w:val="PlainText"/>
        <w:tabs>
          <w:tab w:val="left" w:pos="284"/>
          <w:tab w:val="left" w:pos="426"/>
        </w:tabs>
        <w:jc w:val="both"/>
        <w:rPr>
          <w:rFonts w:ascii="Times New Roman" w:hAnsi="Times New Roman" w:cs="Times New Roman"/>
        </w:rPr>
      </w:pPr>
      <w:r>
        <w:rPr>
          <w:rFonts w:ascii="Times New Roman" w:hAnsi="Times New Roman" w:cs="Times New Roman"/>
        </w:rPr>
        <w:t xml:space="preserve">** </w:t>
      </w:r>
      <w:r w:rsidR="00720138">
        <w:rPr>
          <w:rFonts w:ascii="Times New Roman" w:hAnsi="Times New Roman" w:cs="Times New Roman"/>
        </w:rPr>
        <w:tab/>
      </w:r>
      <w:proofErr w:type="gramStart"/>
      <w:r>
        <w:rPr>
          <w:rFonts w:ascii="Times New Roman" w:hAnsi="Times New Roman" w:cs="Times New Roman"/>
        </w:rPr>
        <w:t>significant</w:t>
      </w:r>
      <w:proofErr w:type="gramEnd"/>
      <w:r>
        <w:rPr>
          <w:rFonts w:ascii="Times New Roman" w:hAnsi="Times New Roman" w:cs="Times New Roman"/>
        </w:rPr>
        <w:t xml:space="preserve"> at 1%</w:t>
      </w:r>
    </w:p>
    <w:p w:rsidR="001B564D" w:rsidRPr="00805177" w:rsidRDefault="00224E50" w:rsidP="00805177">
      <w:pPr>
        <w:pStyle w:val="PlainText"/>
        <w:tabs>
          <w:tab w:val="left" w:pos="284"/>
          <w:tab w:val="left" w:pos="426"/>
        </w:tabs>
        <w:jc w:val="both"/>
        <w:rPr>
          <w:rFonts w:ascii="Times New Roman" w:hAnsi="Times New Roman" w:cs="Times New Roman"/>
        </w:rPr>
      </w:pPr>
      <w:r w:rsidRPr="00805177">
        <w:rPr>
          <w:rFonts w:ascii="Times New Roman" w:hAnsi="Times New Roman" w:cs="Times New Roman"/>
        </w:rPr>
        <w:t>The reference group is non-education.</w:t>
      </w:r>
    </w:p>
    <w:p w:rsidR="008C08DD" w:rsidRDefault="008C08DD" w:rsidP="005A2C59">
      <w:pPr>
        <w:pStyle w:val="PlainText"/>
        <w:tabs>
          <w:tab w:val="left" w:pos="284"/>
          <w:tab w:val="left" w:pos="426"/>
        </w:tabs>
        <w:spacing w:line="288" w:lineRule="auto"/>
        <w:jc w:val="both"/>
        <w:rPr>
          <w:rFonts w:ascii="Times New Roman" w:hAnsi="Times New Roman" w:cs="Times New Roman"/>
          <w:sz w:val="24"/>
          <w:szCs w:val="24"/>
        </w:rPr>
      </w:pPr>
    </w:p>
    <w:p w:rsidR="00912053" w:rsidRDefault="00912053" w:rsidP="00912053">
      <w:pPr>
        <w:pStyle w:val="PlainText"/>
        <w:tabs>
          <w:tab w:val="left" w:pos="284"/>
          <w:tab w:val="left" w:pos="426"/>
        </w:tabs>
        <w:spacing w:line="28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12053" w:rsidRDefault="00912053">
      <w:pPr>
        <w:rPr>
          <w:rFonts w:eastAsia="SimSun"/>
          <w:lang w:eastAsia="zh-CN"/>
        </w:rPr>
      </w:pPr>
      <w:r>
        <w:br w:type="page"/>
      </w:r>
    </w:p>
    <w:p w:rsidR="00912053" w:rsidRDefault="00912053" w:rsidP="00912053">
      <w:pPr>
        <w:pStyle w:val="PlainText"/>
        <w:tabs>
          <w:tab w:val="left" w:pos="284"/>
          <w:tab w:val="left" w:pos="426"/>
        </w:tabs>
        <w:spacing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0F3DF4">
        <w:rPr>
          <w:rFonts w:ascii="Times New Roman" w:hAnsi="Times New Roman" w:cs="Times New Roman"/>
          <w:sz w:val="24"/>
          <w:szCs w:val="24"/>
        </w:rPr>
        <w:t>The returns</w:t>
      </w:r>
      <w:r w:rsidR="00EC0185">
        <w:rPr>
          <w:rFonts w:ascii="Times New Roman" w:hAnsi="Times New Roman" w:cs="Times New Roman"/>
          <w:sz w:val="24"/>
          <w:szCs w:val="24"/>
        </w:rPr>
        <w:t xml:space="preserve"> to education level - </w:t>
      </w:r>
      <w:r>
        <w:rPr>
          <w:rFonts w:ascii="Times New Roman" w:hAnsi="Times New Roman" w:cs="Times New Roman"/>
          <w:sz w:val="24"/>
          <w:szCs w:val="24"/>
        </w:rPr>
        <w:t xml:space="preserve">the reference group </w:t>
      </w:r>
      <w:r w:rsidR="00EC0185">
        <w:rPr>
          <w:rFonts w:ascii="Times New Roman" w:hAnsi="Times New Roman" w:cs="Times New Roman"/>
          <w:sz w:val="24"/>
          <w:szCs w:val="24"/>
        </w:rPr>
        <w:t xml:space="preserve">is no education - </w:t>
      </w:r>
      <w:r w:rsidRPr="000F3DF4">
        <w:rPr>
          <w:rFonts w:ascii="Times New Roman" w:hAnsi="Times New Roman" w:cs="Times New Roman"/>
          <w:sz w:val="24"/>
          <w:szCs w:val="24"/>
        </w:rPr>
        <w:t xml:space="preserve">and </w:t>
      </w:r>
      <w:r w:rsidR="00EC0185">
        <w:rPr>
          <w:rFonts w:ascii="Times New Roman" w:hAnsi="Times New Roman" w:cs="Times New Roman"/>
          <w:sz w:val="24"/>
          <w:szCs w:val="24"/>
        </w:rPr>
        <w:t xml:space="preserve">the </w:t>
      </w:r>
      <w:r w:rsidRPr="000F3DF4">
        <w:rPr>
          <w:rFonts w:ascii="Times New Roman" w:hAnsi="Times New Roman" w:cs="Times New Roman"/>
          <w:sz w:val="24"/>
          <w:szCs w:val="24"/>
        </w:rPr>
        <w:t xml:space="preserve">returns to an additional year of schooling using the Heckman maximum likelihood estimator are </w:t>
      </w:r>
      <w:r w:rsidR="00EC0185">
        <w:rPr>
          <w:rFonts w:ascii="Times New Roman" w:hAnsi="Times New Roman" w:cs="Times New Roman"/>
          <w:sz w:val="24"/>
          <w:szCs w:val="24"/>
        </w:rPr>
        <w:t>shown</w:t>
      </w:r>
      <w:r w:rsidRPr="000F3DF4">
        <w:rPr>
          <w:rFonts w:ascii="Times New Roman" w:hAnsi="Times New Roman" w:cs="Times New Roman"/>
          <w:sz w:val="24"/>
          <w:szCs w:val="24"/>
        </w:rPr>
        <w:t xml:space="preserve"> in Figure 2. If we remove two special years </w:t>
      </w:r>
      <w:r>
        <w:rPr>
          <w:rFonts w:ascii="Times New Roman" w:hAnsi="Times New Roman" w:cs="Times New Roman"/>
          <w:sz w:val="24"/>
          <w:szCs w:val="24"/>
        </w:rPr>
        <w:t xml:space="preserve">which were </w:t>
      </w:r>
      <w:r w:rsidRPr="000F3DF4">
        <w:rPr>
          <w:rFonts w:ascii="Times New Roman" w:hAnsi="Times New Roman" w:cs="Times New Roman"/>
          <w:sz w:val="24"/>
          <w:szCs w:val="24"/>
        </w:rPr>
        <w:t xml:space="preserve">affected by the </w:t>
      </w:r>
      <w:r>
        <w:rPr>
          <w:rFonts w:ascii="Times New Roman" w:hAnsi="Times New Roman" w:cs="Times New Roman"/>
          <w:sz w:val="24"/>
          <w:szCs w:val="24"/>
        </w:rPr>
        <w:t xml:space="preserve">two </w:t>
      </w:r>
      <w:r w:rsidRPr="000F3DF4">
        <w:rPr>
          <w:rFonts w:ascii="Times New Roman" w:hAnsi="Times New Roman" w:cs="Times New Roman"/>
          <w:sz w:val="24"/>
          <w:szCs w:val="24"/>
        </w:rPr>
        <w:t>GFC</w:t>
      </w:r>
      <w:r w:rsidR="00EC0185">
        <w:rPr>
          <w:rFonts w:ascii="Times New Roman" w:hAnsi="Times New Roman" w:cs="Times New Roman"/>
          <w:sz w:val="24"/>
          <w:szCs w:val="24"/>
        </w:rPr>
        <w:t>s</w:t>
      </w:r>
      <w:r w:rsidRPr="000F3DF4">
        <w:rPr>
          <w:rFonts w:ascii="Times New Roman" w:hAnsi="Times New Roman" w:cs="Times New Roman"/>
          <w:sz w:val="24"/>
          <w:szCs w:val="24"/>
        </w:rPr>
        <w:t xml:space="preserve"> </w:t>
      </w:r>
      <w:r w:rsidR="00EC0185">
        <w:rPr>
          <w:rFonts w:ascii="Times New Roman" w:hAnsi="Times New Roman" w:cs="Times New Roman"/>
          <w:sz w:val="24"/>
          <w:szCs w:val="24"/>
        </w:rPr>
        <w:t>(</w:t>
      </w:r>
      <w:r w:rsidRPr="000F3DF4">
        <w:rPr>
          <w:rFonts w:ascii="Times New Roman" w:hAnsi="Times New Roman" w:cs="Times New Roman"/>
          <w:sz w:val="24"/>
          <w:szCs w:val="24"/>
        </w:rPr>
        <w:t>1998 and 2008</w:t>
      </w:r>
      <w:r w:rsidR="00EC0185">
        <w:rPr>
          <w:rFonts w:ascii="Times New Roman" w:hAnsi="Times New Roman" w:cs="Times New Roman"/>
          <w:sz w:val="24"/>
          <w:szCs w:val="24"/>
        </w:rPr>
        <w:t>)</w:t>
      </w:r>
      <w:r w:rsidRPr="000F3DF4">
        <w:rPr>
          <w:rFonts w:ascii="Times New Roman" w:hAnsi="Times New Roman" w:cs="Times New Roman"/>
          <w:sz w:val="24"/>
          <w:szCs w:val="24"/>
        </w:rPr>
        <w:t>, the visualization of the trend for returns to post-high school levels or higher education have been falling since</w:t>
      </w:r>
      <w:r>
        <w:rPr>
          <w:rFonts w:ascii="Times New Roman" w:hAnsi="Times New Roman" w:cs="Times New Roman"/>
          <w:sz w:val="24"/>
          <w:szCs w:val="24"/>
        </w:rPr>
        <w:t xml:space="preserve"> </w:t>
      </w:r>
      <w:r w:rsidR="00EC0185">
        <w:rPr>
          <w:rFonts w:ascii="Times New Roman" w:hAnsi="Times New Roman" w:cs="Times New Roman"/>
          <w:sz w:val="24"/>
          <w:szCs w:val="24"/>
        </w:rPr>
        <w:t xml:space="preserve">the </w:t>
      </w:r>
      <w:r>
        <w:rPr>
          <w:rFonts w:ascii="Times New Roman" w:hAnsi="Times New Roman" w:cs="Times New Roman"/>
          <w:sz w:val="24"/>
          <w:szCs w:val="24"/>
        </w:rPr>
        <w:t>early 2000s (see the bar chart</w:t>
      </w:r>
      <w:r w:rsidRPr="000F3DF4">
        <w:rPr>
          <w:rFonts w:ascii="Times New Roman" w:hAnsi="Times New Roman" w:cs="Times New Roman"/>
          <w:sz w:val="24"/>
          <w:szCs w:val="24"/>
        </w:rPr>
        <w:t xml:space="preserve"> in Figure 2). The average rate of returns to an additional year of schooling increased to 2008 then declined gradually </w:t>
      </w:r>
      <w:r w:rsidR="00EC0185">
        <w:rPr>
          <w:rFonts w:ascii="Times New Roman" w:hAnsi="Times New Roman" w:cs="Times New Roman"/>
          <w:sz w:val="24"/>
          <w:szCs w:val="24"/>
        </w:rPr>
        <w:t xml:space="preserve">thereafter </w:t>
      </w:r>
      <w:r w:rsidRPr="000F3DF4">
        <w:rPr>
          <w:rFonts w:ascii="Times New Roman" w:hAnsi="Times New Roman" w:cs="Times New Roman"/>
          <w:sz w:val="24"/>
          <w:szCs w:val="24"/>
        </w:rPr>
        <w:t>(the line graph, RHS axis).</w:t>
      </w:r>
    </w:p>
    <w:p w:rsidR="00912053" w:rsidRPr="000F3DF4" w:rsidRDefault="00912053" w:rsidP="00912053">
      <w:pPr>
        <w:pStyle w:val="PlainText"/>
        <w:tabs>
          <w:tab w:val="left" w:pos="284"/>
          <w:tab w:val="left" w:pos="426"/>
        </w:tabs>
        <w:spacing w:line="288" w:lineRule="auto"/>
        <w:jc w:val="both"/>
        <w:rPr>
          <w:rFonts w:ascii="Times New Roman" w:hAnsi="Times New Roman" w:cs="Times New Roman"/>
          <w:sz w:val="24"/>
          <w:szCs w:val="24"/>
        </w:rPr>
      </w:pPr>
    </w:p>
    <w:p w:rsidR="00F2738B" w:rsidRDefault="001B564D" w:rsidP="00F2738B">
      <w:pPr>
        <w:pStyle w:val="PlainText"/>
        <w:tabs>
          <w:tab w:val="left" w:pos="284"/>
          <w:tab w:val="left" w:pos="426"/>
        </w:tabs>
        <w:jc w:val="center"/>
        <w:rPr>
          <w:rFonts w:ascii="Times New Roman" w:hAnsi="Times New Roman" w:cs="Times New Roman"/>
          <w:b/>
          <w:sz w:val="22"/>
          <w:szCs w:val="22"/>
        </w:rPr>
      </w:pPr>
      <w:r w:rsidRPr="00805177">
        <w:rPr>
          <w:rFonts w:ascii="Times New Roman" w:hAnsi="Times New Roman" w:cs="Times New Roman"/>
          <w:b/>
          <w:sz w:val="22"/>
          <w:szCs w:val="22"/>
        </w:rPr>
        <w:t xml:space="preserve">Table 9: </w:t>
      </w:r>
      <w:r w:rsidR="00912053">
        <w:rPr>
          <w:rFonts w:ascii="Times New Roman" w:hAnsi="Times New Roman" w:cs="Times New Roman"/>
          <w:b/>
          <w:sz w:val="22"/>
          <w:szCs w:val="22"/>
        </w:rPr>
        <w:t>Heckman Selection M</w:t>
      </w:r>
      <w:r w:rsidR="00F2738B">
        <w:rPr>
          <w:rFonts w:ascii="Times New Roman" w:hAnsi="Times New Roman" w:cs="Times New Roman"/>
          <w:b/>
          <w:sz w:val="22"/>
          <w:szCs w:val="22"/>
        </w:rPr>
        <w:t>odel</w:t>
      </w:r>
    </w:p>
    <w:p w:rsidR="00007D9D" w:rsidRPr="00F2738B" w:rsidRDefault="00912053" w:rsidP="00912053">
      <w:pPr>
        <w:pStyle w:val="PlainText"/>
        <w:tabs>
          <w:tab w:val="left" w:pos="284"/>
          <w:tab w:val="left" w:pos="426"/>
        </w:tabs>
        <w:spacing w:after="100"/>
        <w:jc w:val="center"/>
        <w:rPr>
          <w:rFonts w:ascii="Times New Roman" w:hAnsi="Times New Roman" w:cs="Times New Roman"/>
          <w:sz w:val="22"/>
          <w:szCs w:val="22"/>
        </w:rPr>
      </w:pPr>
      <w:r>
        <w:rPr>
          <w:rFonts w:ascii="Times New Roman" w:hAnsi="Times New Roman" w:cs="Times New Roman"/>
          <w:sz w:val="22"/>
          <w:szCs w:val="22"/>
        </w:rPr>
        <w:t xml:space="preserve">1998-2014, </w:t>
      </w:r>
      <w:r w:rsidR="00007D9D" w:rsidRPr="00F2738B">
        <w:rPr>
          <w:rFonts w:ascii="Times New Roman" w:hAnsi="Times New Roman" w:cs="Times New Roman"/>
          <w:sz w:val="22"/>
          <w:szCs w:val="22"/>
        </w:rPr>
        <w:t>M</w:t>
      </w:r>
      <w:r w:rsidR="00F2738B" w:rsidRPr="00F2738B">
        <w:rPr>
          <w:rFonts w:ascii="Times New Roman" w:hAnsi="Times New Roman" w:cs="Times New Roman"/>
          <w:sz w:val="22"/>
          <w:szCs w:val="22"/>
        </w:rPr>
        <w:t>aximum L</w:t>
      </w:r>
      <w:r w:rsidR="00BA64AC" w:rsidRPr="00F2738B">
        <w:rPr>
          <w:rFonts w:ascii="Times New Roman" w:hAnsi="Times New Roman" w:cs="Times New Roman"/>
          <w:sz w:val="22"/>
          <w:szCs w:val="22"/>
        </w:rPr>
        <w:t xml:space="preserve">ikelihood </w:t>
      </w:r>
      <w:r w:rsidR="00F2738B" w:rsidRPr="00F2738B">
        <w:rPr>
          <w:rFonts w:ascii="Times New Roman" w:hAnsi="Times New Roman" w:cs="Times New Roman"/>
          <w:sz w:val="22"/>
          <w:szCs w:val="22"/>
        </w:rPr>
        <w:t>Estimates for Educational L</w:t>
      </w:r>
      <w:r w:rsidR="00007D9D" w:rsidRPr="00F2738B">
        <w:rPr>
          <w:rFonts w:ascii="Times New Roman" w:hAnsi="Times New Roman" w:cs="Times New Roman"/>
          <w:sz w:val="22"/>
          <w:szCs w:val="22"/>
        </w:rPr>
        <w:t>evel</w:t>
      </w:r>
    </w:p>
    <w:tbl>
      <w:tblPr>
        <w:tblW w:w="5000" w:type="pct"/>
        <w:tblBorders>
          <w:top w:val="single" w:sz="8" w:space="0" w:color="4F81BD"/>
          <w:bottom w:val="single" w:sz="8" w:space="0" w:color="4F81BD"/>
        </w:tblBorders>
        <w:tblLook w:val="04A0" w:firstRow="1" w:lastRow="0" w:firstColumn="1" w:lastColumn="0" w:noHBand="0" w:noVBand="1"/>
      </w:tblPr>
      <w:tblGrid>
        <w:gridCol w:w="1595"/>
        <w:gridCol w:w="956"/>
        <w:gridCol w:w="956"/>
        <w:gridCol w:w="956"/>
        <w:gridCol w:w="956"/>
        <w:gridCol w:w="956"/>
        <w:gridCol w:w="956"/>
        <w:gridCol w:w="956"/>
        <w:gridCol w:w="956"/>
      </w:tblGrid>
      <w:tr w:rsidR="007A359B" w:rsidRPr="008922C6" w:rsidTr="000D48AD">
        <w:tc>
          <w:tcPr>
            <w:tcW w:w="863" w:type="pct"/>
            <w:tcBorders>
              <w:top w:val="single" w:sz="8" w:space="0" w:color="4F81BD"/>
              <w:bottom w:val="single" w:sz="8" w:space="0" w:color="4F81BD"/>
            </w:tcBorders>
            <w:shd w:val="clear" w:color="auto" w:fill="auto"/>
          </w:tcPr>
          <w:p w:rsidR="00E21CB2" w:rsidRPr="008922C6" w:rsidRDefault="00E21CB2" w:rsidP="005A2C59">
            <w:pPr>
              <w:pStyle w:val="PlainText"/>
              <w:tabs>
                <w:tab w:val="left" w:pos="284"/>
                <w:tab w:val="left" w:pos="426"/>
              </w:tabs>
              <w:spacing w:line="288" w:lineRule="auto"/>
              <w:rPr>
                <w:rFonts w:ascii="Times New Roman" w:hAnsi="Times New Roman" w:cs="Times New Roman"/>
                <w:bCs/>
                <w:sz w:val="18"/>
                <w:szCs w:val="18"/>
              </w:rPr>
            </w:pPr>
          </w:p>
        </w:tc>
        <w:tc>
          <w:tcPr>
            <w:tcW w:w="517" w:type="pct"/>
            <w:tcBorders>
              <w:top w:val="single" w:sz="8" w:space="0" w:color="4F81BD"/>
              <w:bottom w:val="single" w:sz="8" w:space="0" w:color="4F81BD"/>
            </w:tcBorders>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1998</w:t>
            </w:r>
          </w:p>
        </w:tc>
        <w:tc>
          <w:tcPr>
            <w:tcW w:w="517" w:type="pct"/>
            <w:tcBorders>
              <w:top w:val="single" w:sz="8" w:space="0" w:color="4F81BD"/>
              <w:bottom w:val="single" w:sz="8" w:space="0" w:color="4F81BD"/>
            </w:tcBorders>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2002</w:t>
            </w:r>
          </w:p>
        </w:tc>
        <w:tc>
          <w:tcPr>
            <w:tcW w:w="517" w:type="pct"/>
            <w:tcBorders>
              <w:top w:val="single" w:sz="8" w:space="0" w:color="4F81BD"/>
              <w:bottom w:val="single" w:sz="8" w:space="0" w:color="4F81BD"/>
            </w:tcBorders>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2004</w:t>
            </w:r>
          </w:p>
        </w:tc>
        <w:tc>
          <w:tcPr>
            <w:tcW w:w="517" w:type="pct"/>
            <w:tcBorders>
              <w:top w:val="single" w:sz="8" w:space="0" w:color="4F81BD"/>
              <w:bottom w:val="single" w:sz="8" w:space="0" w:color="4F81BD"/>
            </w:tcBorders>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2006</w:t>
            </w:r>
          </w:p>
        </w:tc>
        <w:tc>
          <w:tcPr>
            <w:tcW w:w="517" w:type="pct"/>
            <w:tcBorders>
              <w:top w:val="single" w:sz="8" w:space="0" w:color="4F81BD"/>
              <w:bottom w:val="single" w:sz="8" w:space="0" w:color="4F81BD"/>
            </w:tcBorders>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2008</w:t>
            </w:r>
          </w:p>
        </w:tc>
        <w:tc>
          <w:tcPr>
            <w:tcW w:w="517" w:type="pct"/>
            <w:tcBorders>
              <w:top w:val="single" w:sz="8" w:space="0" w:color="4F81BD"/>
              <w:bottom w:val="single" w:sz="8" w:space="0" w:color="4F81BD"/>
            </w:tcBorders>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2010</w:t>
            </w:r>
          </w:p>
        </w:tc>
        <w:tc>
          <w:tcPr>
            <w:tcW w:w="517" w:type="pct"/>
            <w:tcBorders>
              <w:top w:val="single" w:sz="8" w:space="0" w:color="4F81BD"/>
              <w:bottom w:val="single" w:sz="8" w:space="0" w:color="4F81BD"/>
            </w:tcBorders>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2012</w:t>
            </w:r>
          </w:p>
        </w:tc>
        <w:tc>
          <w:tcPr>
            <w:tcW w:w="517" w:type="pct"/>
            <w:tcBorders>
              <w:top w:val="single" w:sz="8" w:space="0" w:color="4F81BD"/>
              <w:bottom w:val="single" w:sz="8" w:space="0" w:color="4F81BD"/>
            </w:tcBorders>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bCs/>
                <w:sz w:val="18"/>
                <w:szCs w:val="18"/>
              </w:rPr>
            </w:pPr>
            <w:r w:rsidRPr="008922C6">
              <w:rPr>
                <w:rFonts w:ascii="Times New Roman" w:hAnsi="Times New Roman" w:cs="Times New Roman"/>
                <w:bCs/>
                <w:sz w:val="18"/>
                <w:szCs w:val="18"/>
              </w:rPr>
              <w:t>2014</w:t>
            </w:r>
          </w:p>
        </w:tc>
      </w:tr>
      <w:tr w:rsidR="007A359B" w:rsidRPr="008922C6" w:rsidTr="000D48AD">
        <w:tc>
          <w:tcPr>
            <w:tcW w:w="863" w:type="pct"/>
            <w:shd w:val="clear" w:color="auto" w:fill="D3DFEE"/>
          </w:tcPr>
          <w:p w:rsidR="00E21CB2"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P</w:t>
            </w:r>
            <w:r w:rsidR="00E21CB2" w:rsidRPr="008922C6">
              <w:rPr>
                <w:rFonts w:ascii="Times New Roman" w:hAnsi="Times New Roman" w:cs="Times New Roman"/>
                <w:bCs/>
                <w:sz w:val="18"/>
                <w:szCs w:val="18"/>
              </w:rPr>
              <w:t>rim</w:t>
            </w:r>
            <w:r w:rsidRPr="008922C6">
              <w:rPr>
                <w:rFonts w:ascii="Times New Roman" w:hAnsi="Times New Roman" w:cs="Times New Roman"/>
                <w:bCs/>
                <w:sz w:val="18"/>
                <w:szCs w:val="18"/>
              </w:rPr>
              <w:t xml:space="preserve">ary </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0.109+</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0.1541**</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0.1209</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0.0319</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-0.3367**</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0.0900**</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0.1808**</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0.1432**</w:t>
            </w:r>
          </w:p>
        </w:tc>
      </w:tr>
      <w:tr w:rsidR="007A359B" w:rsidRPr="008922C6" w:rsidTr="000D48AD">
        <w:tc>
          <w:tcPr>
            <w:tcW w:w="863" w:type="pct"/>
            <w:shd w:val="clear" w:color="auto" w:fill="auto"/>
          </w:tcPr>
          <w:p w:rsidR="00E21CB2" w:rsidRPr="008922C6" w:rsidRDefault="00E21CB2" w:rsidP="005A2C59">
            <w:pPr>
              <w:pStyle w:val="PlainText"/>
              <w:tabs>
                <w:tab w:val="left" w:pos="284"/>
                <w:tab w:val="left" w:pos="426"/>
              </w:tabs>
              <w:spacing w:line="288" w:lineRule="auto"/>
              <w:rPr>
                <w:rFonts w:ascii="Times New Roman" w:hAnsi="Times New Roman" w:cs="Times New Roman"/>
                <w:bCs/>
                <w:sz w:val="18"/>
                <w:szCs w:val="18"/>
              </w:rPr>
            </w:pP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(0.0653)</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(0.0361)</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(0.0891)</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(0.0850)</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(0.1152)</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(0.0312)</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(0.0260)</w:t>
            </w:r>
          </w:p>
        </w:tc>
        <w:tc>
          <w:tcPr>
            <w:tcW w:w="517" w:type="pct"/>
            <w:shd w:val="clear" w:color="auto" w:fill="auto"/>
          </w:tcPr>
          <w:p w:rsidR="00E21CB2"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(0.0257)</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7A359B" w:rsidRPr="008922C6" w:rsidTr="000D48AD">
        <w:tc>
          <w:tcPr>
            <w:tcW w:w="863" w:type="pct"/>
            <w:shd w:val="clear" w:color="auto" w:fill="D3DFEE"/>
          </w:tcPr>
          <w:p w:rsidR="00E21CB2"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L</w:t>
            </w:r>
            <w:r w:rsidR="00E21CB2" w:rsidRPr="008922C6">
              <w:rPr>
                <w:rFonts w:ascii="Times New Roman" w:hAnsi="Times New Roman" w:cs="Times New Roman"/>
                <w:bCs/>
                <w:sz w:val="18"/>
                <w:szCs w:val="18"/>
              </w:rPr>
              <w:t>ow</w:t>
            </w:r>
            <w:r w:rsidRPr="008922C6">
              <w:rPr>
                <w:rFonts w:ascii="Times New Roman" w:hAnsi="Times New Roman" w:cs="Times New Roman"/>
                <w:bCs/>
                <w:sz w:val="18"/>
                <w:szCs w:val="18"/>
              </w:rPr>
              <w:t>er</w:t>
            </w:r>
            <w:r w:rsidR="00912053">
              <w:rPr>
                <w:rFonts w:ascii="Times New Roman" w:hAnsi="Times New Roman" w:cs="Times New Roman"/>
                <w:bCs/>
                <w:sz w:val="18"/>
                <w:szCs w:val="18"/>
              </w:rPr>
              <w:t xml:space="preserve"> </w:t>
            </w:r>
            <w:r w:rsidR="00E21CB2" w:rsidRPr="008922C6">
              <w:rPr>
                <w:rFonts w:ascii="Times New Roman" w:hAnsi="Times New Roman" w:cs="Times New Roman"/>
                <w:bCs/>
                <w:sz w:val="18"/>
                <w:szCs w:val="18"/>
              </w:rPr>
              <w:t>second</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0.045</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0.2345**</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0.0596</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0.0334</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-0.2990**</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0.1151**</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0.2540**</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0.2262**</w:t>
            </w:r>
          </w:p>
        </w:tc>
      </w:tr>
      <w:tr w:rsidR="007A359B" w:rsidRPr="008922C6" w:rsidTr="000D48AD">
        <w:tc>
          <w:tcPr>
            <w:tcW w:w="863" w:type="pct"/>
            <w:shd w:val="clear" w:color="auto" w:fill="auto"/>
          </w:tcPr>
          <w:p w:rsidR="00E21CB2" w:rsidRPr="008922C6" w:rsidRDefault="00E21CB2" w:rsidP="005A2C59">
            <w:pPr>
              <w:pStyle w:val="PlainText"/>
              <w:tabs>
                <w:tab w:val="left" w:pos="284"/>
                <w:tab w:val="left" w:pos="426"/>
              </w:tabs>
              <w:spacing w:line="288" w:lineRule="auto"/>
              <w:rPr>
                <w:rFonts w:ascii="Times New Roman" w:hAnsi="Times New Roman" w:cs="Times New Roman"/>
                <w:bCs/>
                <w:sz w:val="18"/>
                <w:szCs w:val="18"/>
              </w:rPr>
            </w:pP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(0.0644)</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(0.0347)</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(0.0894)</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(0.0852)</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(0.1151)</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(0.0310)</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(0.0274)</w:t>
            </w:r>
          </w:p>
        </w:tc>
        <w:tc>
          <w:tcPr>
            <w:tcW w:w="517" w:type="pct"/>
            <w:shd w:val="clear" w:color="auto" w:fill="auto"/>
          </w:tcPr>
          <w:p w:rsidR="00E21CB2"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(0.0259)</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7A359B" w:rsidRPr="008922C6" w:rsidTr="000D48AD">
        <w:tc>
          <w:tcPr>
            <w:tcW w:w="863" w:type="pct"/>
            <w:shd w:val="clear" w:color="auto" w:fill="D3DFEE"/>
          </w:tcPr>
          <w:p w:rsidR="00E21CB2"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U</w:t>
            </w:r>
            <w:r w:rsidR="00E21CB2" w:rsidRPr="008922C6">
              <w:rPr>
                <w:rFonts w:ascii="Times New Roman" w:hAnsi="Times New Roman" w:cs="Times New Roman"/>
                <w:bCs/>
                <w:sz w:val="18"/>
                <w:szCs w:val="18"/>
              </w:rPr>
              <w:t>pper</w:t>
            </w:r>
            <w:r w:rsidR="00912053">
              <w:rPr>
                <w:rFonts w:ascii="Times New Roman" w:hAnsi="Times New Roman" w:cs="Times New Roman"/>
                <w:bCs/>
                <w:sz w:val="18"/>
                <w:szCs w:val="18"/>
              </w:rPr>
              <w:t xml:space="preserve"> </w:t>
            </w:r>
            <w:r w:rsidR="00E21CB2" w:rsidRPr="008922C6">
              <w:rPr>
                <w:rFonts w:ascii="Times New Roman" w:hAnsi="Times New Roman" w:cs="Times New Roman"/>
                <w:bCs/>
                <w:sz w:val="18"/>
                <w:szCs w:val="18"/>
              </w:rPr>
              <w:t>second</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0.305**</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0.5808**</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0.4949**</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0.3639**</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0.0034</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0.2634**</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0.4233**</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0.4452**</w:t>
            </w:r>
          </w:p>
        </w:tc>
      </w:tr>
      <w:tr w:rsidR="007A359B" w:rsidRPr="008922C6" w:rsidTr="000D48AD">
        <w:tc>
          <w:tcPr>
            <w:tcW w:w="863" w:type="pct"/>
            <w:shd w:val="clear" w:color="auto" w:fill="auto"/>
          </w:tcPr>
          <w:p w:rsidR="00E21CB2" w:rsidRPr="008922C6" w:rsidRDefault="00E21CB2" w:rsidP="005A2C59">
            <w:pPr>
              <w:pStyle w:val="PlainText"/>
              <w:tabs>
                <w:tab w:val="left" w:pos="284"/>
                <w:tab w:val="left" w:pos="426"/>
              </w:tabs>
              <w:spacing w:line="288" w:lineRule="auto"/>
              <w:rPr>
                <w:rFonts w:ascii="Times New Roman" w:hAnsi="Times New Roman" w:cs="Times New Roman"/>
                <w:bCs/>
                <w:sz w:val="18"/>
                <w:szCs w:val="18"/>
              </w:rPr>
            </w:pP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(0.0689)</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(0.0375)</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(0.0926)</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(0.0879)</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(0.1173)</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(0.0371)</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(0.0325)</w:t>
            </w:r>
          </w:p>
        </w:tc>
        <w:tc>
          <w:tcPr>
            <w:tcW w:w="517" w:type="pct"/>
            <w:shd w:val="clear" w:color="auto" w:fill="auto"/>
          </w:tcPr>
          <w:p w:rsidR="00E21CB2"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(0.0312)</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7A359B" w:rsidRPr="008922C6" w:rsidTr="000D48AD">
        <w:tc>
          <w:tcPr>
            <w:tcW w:w="863" w:type="pct"/>
            <w:shd w:val="clear" w:color="auto" w:fill="D3DFEE"/>
          </w:tcPr>
          <w:p w:rsidR="00E21CB2"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proofErr w:type="spellStart"/>
            <w:r w:rsidRPr="008922C6">
              <w:rPr>
                <w:rFonts w:ascii="Times New Roman" w:hAnsi="Times New Roman" w:cs="Times New Roman"/>
                <w:bCs/>
                <w:sz w:val="18"/>
                <w:szCs w:val="18"/>
              </w:rPr>
              <w:t>V</w:t>
            </w:r>
            <w:r w:rsidR="00E21CB2" w:rsidRPr="008922C6">
              <w:rPr>
                <w:rFonts w:ascii="Times New Roman" w:hAnsi="Times New Roman" w:cs="Times New Roman"/>
                <w:bCs/>
                <w:sz w:val="18"/>
                <w:szCs w:val="18"/>
              </w:rPr>
              <w:t>oc</w:t>
            </w:r>
            <w:proofErr w:type="spellEnd"/>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0.251**</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1.0177**</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0.7888**</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0.7172**</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0.2933*</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0.6258**</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0.6501**</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0.5850**</w:t>
            </w:r>
          </w:p>
        </w:tc>
      </w:tr>
      <w:tr w:rsidR="007A359B" w:rsidRPr="008922C6" w:rsidTr="000D48AD">
        <w:tc>
          <w:tcPr>
            <w:tcW w:w="863" w:type="pct"/>
            <w:shd w:val="clear" w:color="auto" w:fill="auto"/>
          </w:tcPr>
          <w:p w:rsidR="00E21CB2" w:rsidRPr="008922C6" w:rsidRDefault="00E21CB2" w:rsidP="005A2C59">
            <w:pPr>
              <w:pStyle w:val="PlainText"/>
              <w:tabs>
                <w:tab w:val="left" w:pos="284"/>
                <w:tab w:val="left" w:pos="426"/>
              </w:tabs>
              <w:spacing w:line="288" w:lineRule="auto"/>
              <w:rPr>
                <w:rFonts w:ascii="Times New Roman" w:hAnsi="Times New Roman" w:cs="Times New Roman"/>
                <w:bCs/>
                <w:sz w:val="18"/>
                <w:szCs w:val="18"/>
              </w:rPr>
            </w:pP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(0.0879)</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(0.0415)</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(0.0913)</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(0.0870)</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(0.1162)</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(0.0379)</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(0.0510)</w:t>
            </w:r>
          </w:p>
        </w:tc>
        <w:tc>
          <w:tcPr>
            <w:tcW w:w="517" w:type="pct"/>
            <w:shd w:val="clear" w:color="auto" w:fill="auto"/>
          </w:tcPr>
          <w:p w:rsidR="00E21CB2"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(0.0307)</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7A359B" w:rsidRPr="008922C6" w:rsidTr="000D48AD">
        <w:tc>
          <w:tcPr>
            <w:tcW w:w="863" w:type="pct"/>
            <w:shd w:val="clear" w:color="auto" w:fill="D3DFEE"/>
          </w:tcPr>
          <w:p w:rsidR="00E21CB2"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proofErr w:type="spellStart"/>
            <w:r w:rsidRPr="008922C6">
              <w:rPr>
                <w:rFonts w:ascii="Times New Roman" w:hAnsi="Times New Roman" w:cs="Times New Roman"/>
                <w:bCs/>
                <w:sz w:val="18"/>
                <w:szCs w:val="18"/>
              </w:rPr>
              <w:t>U</w:t>
            </w:r>
            <w:r w:rsidR="00E21CB2" w:rsidRPr="008922C6">
              <w:rPr>
                <w:rFonts w:ascii="Times New Roman" w:hAnsi="Times New Roman" w:cs="Times New Roman"/>
                <w:bCs/>
                <w:sz w:val="18"/>
                <w:szCs w:val="18"/>
              </w:rPr>
              <w:t>niv</w:t>
            </w:r>
            <w:proofErr w:type="spellEnd"/>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0.857**</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1.4153**</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1.3398**</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1.3179**</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0.9783**</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1.2225**</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1.1636**</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1.0069**</w:t>
            </w:r>
          </w:p>
        </w:tc>
      </w:tr>
      <w:tr w:rsidR="007A359B" w:rsidRPr="008922C6" w:rsidTr="000D48AD">
        <w:tc>
          <w:tcPr>
            <w:tcW w:w="863" w:type="pct"/>
            <w:shd w:val="clear" w:color="auto" w:fill="auto"/>
          </w:tcPr>
          <w:p w:rsidR="00E21CB2" w:rsidRPr="008922C6" w:rsidRDefault="00E21CB2" w:rsidP="005A2C59">
            <w:pPr>
              <w:pStyle w:val="PlainText"/>
              <w:tabs>
                <w:tab w:val="left" w:pos="284"/>
                <w:tab w:val="left" w:pos="426"/>
              </w:tabs>
              <w:spacing w:line="288" w:lineRule="auto"/>
              <w:rPr>
                <w:rFonts w:ascii="Times New Roman" w:hAnsi="Times New Roman" w:cs="Times New Roman"/>
                <w:bCs/>
                <w:sz w:val="18"/>
                <w:szCs w:val="18"/>
              </w:rPr>
            </w:pP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(0.0797)</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(0.0452)</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(0.0948)</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(0.0900)</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(0.1186)</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(0.0485)</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(0.0696)</w:t>
            </w:r>
          </w:p>
        </w:tc>
        <w:tc>
          <w:tcPr>
            <w:tcW w:w="517" w:type="pct"/>
            <w:shd w:val="clear" w:color="auto" w:fill="auto"/>
          </w:tcPr>
          <w:p w:rsidR="00E21CB2"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(0.0324)</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7A359B" w:rsidRPr="008922C6" w:rsidTr="000D48AD">
        <w:tc>
          <w:tcPr>
            <w:tcW w:w="863" w:type="pct"/>
            <w:shd w:val="clear" w:color="auto" w:fill="D3DFEE"/>
          </w:tcPr>
          <w:p w:rsidR="00E21CB2"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proofErr w:type="spellStart"/>
            <w:r w:rsidRPr="008922C6">
              <w:rPr>
                <w:rFonts w:ascii="Times New Roman" w:hAnsi="Times New Roman" w:cs="Times New Roman"/>
                <w:bCs/>
                <w:sz w:val="18"/>
                <w:szCs w:val="18"/>
              </w:rPr>
              <w:t>E</w:t>
            </w:r>
            <w:r w:rsidR="00E21CB2" w:rsidRPr="008922C6">
              <w:rPr>
                <w:rFonts w:ascii="Times New Roman" w:hAnsi="Times New Roman" w:cs="Times New Roman"/>
                <w:bCs/>
                <w:sz w:val="18"/>
                <w:szCs w:val="18"/>
              </w:rPr>
              <w:t>xp</w:t>
            </w:r>
            <w:proofErr w:type="spellEnd"/>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0.017**</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0.0230**</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0.0362**</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0.0348**</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0.0448**</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0.0521**</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0.0555**</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0.0500**</w:t>
            </w:r>
          </w:p>
        </w:tc>
      </w:tr>
      <w:tr w:rsidR="007A359B" w:rsidRPr="008922C6" w:rsidTr="000D48AD">
        <w:tc>
          <w:tcPr>
            <w:tcW w:w="863" w:type="pct"/>
            <w:shd w:val="clear" w:color="auto" w:fill="auto"/>
          </w:tcPr>
          <w:p w:rsidR="00E21CB2" w:rsidRPr="008922C6" w:rsidRDefault="00E21CB2" w:rsidP="005A2C59">
            <w:pPr>
              <w:pStyle w:val="PlainText"/>
              <w:tabs>
                <w:tab w:val="left" w:pos="284"/>
                <w:tab w:val="left" w:pos="426"/>
              </w:tabs>
              <w:spacing w:line="288" w:lineRule="auto"/>
              <w:rPr>
                <w:rFonts w:ascii="Times New Roman" w:hAnsi="Times New Roman" w:cs="Times New Roman"/>
                <w:bCs/>
                <w:sz w:val="18"/>
                <w:szCs w:val="18"/>
              </w:rPr>
            </w:pP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(0.0051)</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(0.0026)</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(0.0036)</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(0.0032)</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(0.0034)</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(0.0035)</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(0.0047)</w:t>
            </w:r>
          </w:p>
        </w:tc>
        <w:tc>
          <w:tcPr>
            <w:tcW w:w="517" w:type="pct"/>
            <w:shd w:val="clear" w:color="auto" w:fill="auto"/>
          </w:tcPr>
          <w:p w:rsidR="00E21CB2"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(0.0024)</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7A359B" w:rsidRPr="008922C6" w:rsidTr="000D48AD">
        <w:tc>
          <w:tcPr>
            <w:tcW w:w="863" w:type="pct"/>
            <w:shd w:val="clear" w:color="auto" w:fill="D3DFEE"/>
          </w:tcPr>
          <w:p w:rsidR="00E21CB2"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E</w:t>
            </w:r>
            <w:r w:rsidR="00E21CB2" w:rsidRPr="008922C6">
              <w:rPr>
                <w:rFonts w:ascii="Times New Roman" w:hAnsi="Times New Roman" w:cs="Times New Roman"/>
                <w:bCs/>
                <w:sz w:val="18"/>
                <w:szCs w:val="18"/>
              </w:rPr>
              <w:t>xp2</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-0.0007**</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-0.0006**</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-0.0008**</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-0.0008**</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-0.0011**</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-0.0012**</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-0.0012**</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-0.0011**</w:t>
            </w:r>
          </w:p>
        </w:tc>
      </w:tr>
      <w:tr w:rsidR="007A359B" w:rsidRPr="008922C6" w:rsidTr="000D48AD">
        <w:tc>
          <w:tcPr>
            <w:tcW w:w="863" w:type="pct"/>
            <w:shd w:val="clear" w:color="auto" w:fill="auto"/>
          </w:tcPr>
          <w:p w:rsidR="00E21CB2" w:rsidRPr="008922C6" w:rsidRDefault="00E21CB2" w:rsidP="005A2C59">
            <w:pPr>
              <w:pStyle w:val="PlainText"/>
              <w:tabs>
                <w:tab w:val="left" w:pos="284"/>
                <w:tab w:val="left" w:pos="426"/>
              </w:tabs>
              <w:spacing w:line="288" w:lineRule="auto"/>
              <w:rPr>
                <w:rFonts w:ascii="Times New Roman" w:hAnsi="Times New Roman" w:cs="Times New Roman"/>
                <w:bCs/>
                <w:sz w:val="18"/>
                <w:szCs w:val="18"/>
              </w:rPr>
            </w:pP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tc>
        <w:tc>
          <w:tcPr>
            <w:tcW w:w="517" w:type="pct"/>
            <w:shd w:val="clear" w:color="auto" w:fill="auto"/>
          </w:tcPr>
          <w:p w:rsidR="00E21CB2"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(0.0001)</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7A359B" w:rsidRPr="008922C6" w:rsidTr="000D48AD">
        <w:tc>
          <w:tcPr>
            <w:tcW w:w="863" w:type="pct"/>
            <w:shd w:val="clear" w:color="auto" w:fill="D3DFEE"/>
          </w:tcPr>
          <w:p w:rsidR="00E21CB2"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S</w:t>
            </w:r>
            <w:r w:rsidR="00E21CB2" w:rsidRPr="008922C6">
              <w:rPr>
                <w:rFonts w:ascii="Times New Roman" w:hAnsi="Times New Roman" w:cs="Times New Roman"/>
                <w:bCs/>
                <w:sz w:val="18"/>
                <w:szCs w:val="18"/>
              </w:rPr>
              <w:t>ex</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0.2427**</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0.2177**</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0.1702**</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0.1735**</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0.2408**</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0.2480**</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0.2340**</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0.1510**</w:t>
            </w:r>
          </w:p>
        </w:tc>
      </w:tr>
      <w:tr w:rsidR="007A359B" w:rsidRPr="008922C6" w:rsidTr="000D48AD">
        <w:tc>
          <w:tcPr>
            <w:tcW w:w="863" w:type="pct"/>
            <w:shd w:val="clear" w:color="auto" w:fill="auto"/>
          </w:tcPr>
          <w:p w:rsidR="00E21CB2" w:rsidRPr="008922C6" w:rsidRDefault="00E21CB2" w:rsidP="005A2C59">
            <w:pPr>
              <w:pStyle w:val="PlainText"/>
              <w:tabs>
                <w:tab w:val="left" w:pos="284"/>
                <w:tab w:val="left" w:pos="426"/>
              </w:tabs>
              <w:spacing w:line="288" w:lineRule="auto"/>
              <w:rPr>
                <w:rFonts w:ascii="Times New Roman" w:hAnsi="Times New Roman" w:cs="Times New Roman"/>
                <w:bCs/>
                <w:sz w:val="18"/>
                <w:szCs w:val="18"/>
              </w:rPr>
            </w:pP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(0.0338)</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(0.0164)</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(0.0218)</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(0.0189)</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(0.0196)</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(0.0200)</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(0.0190)</w:t>
            </w:r>
          </w:p>
        </w:tc>
        <w:tc>
          <w:tcPr>
            <w:tcW w:w="517" w:type="pct"/>
            <w:shd w:val="clear" w:color="auto" w:fill="auto"/>
          </w:tcPr>
          <w:p w:rsidR="00E21CB2"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(0.0144)</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7A359B" w:rsidRPr="008922C6" w:rsidTr="000D48AD">
        <w:tc>
          <w:tcPr>
            <w:tcW w:w="863" w:type="pct"/>
            <w:shd w:val="clear" w:color="auto" w:fill="D3DFEE"/>
          </w:tcPr>
          <w:p w:rsidR="00E21CB2" w:rsidRPr="008922C6" w:rsidRDefault="00E21CB2"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Constant</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-0.0575</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0.2129**</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0.4092**</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0.7661**</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1.3892**</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1.3704**</w:t>
            </w:r>
          </w:p>
        </w:tc>
        <w:tc>
          <w:tcPr>
            <w:tcW w:w="517" w:type="pct"/>
            <w:tcBorders>
              <w:left w:val="nil"/>
              <w:right w:val="nil"/>
            </w:tcBorders>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1.6398**</w:t>
            </w:r>
          </w:p>
        </w:tc>
        <w:tc>
          <w:tcPr>
            <w:tcW w:w="517" w:type="pct"/>
            <w:shd w:val="clear" w:color="auto" w:fill="D3DFEE"/>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2.0798**</w:t>
            </w:r>
          </w:p>
        </w:tc>
      </w:tr>
      <w:tr w:rsidR="007A359B" w:rsidRPr="008922C6" w:rsidTr="000D48AD">
        <w:tc>
          <w:tcPr>
            <w:tcW w:w="863" w:type="pct"/>
            <w:shd w:val="clear" w:color="auto" w:fill="auto"/>
          </w:tcPr>
          <w:p w:rsidR="00E21CB2" w:rsidRPr="008922C6" w:rsidRDefault="00E21CB2" w:rsidP="005A2C59">
            <w:pPr>
              <w:pStyle w:val="PlainText"/>
              <w:tabs>
                <w:tab w:val="left" w:pos="284"/>
                <w:tab w:val="left" w:pos="426"/>
              </w:tabs>
              <w:spacing w:line="288" w:lineRule="auto"/>
              <w:rPr>
                <w:rFonts w:ascii="Times New Roman" w:hAnsi="Times New Roman" w:cs="Times New Roman"/>
                <w:bCs/>
                <w:sz w:val="18"/>
                <w:szCs w:val="18"/>
              </w:rPr>
            </w:pP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(0.0959)</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(0.0495)</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(0.1007)</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(0.0955)</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(0.1242)</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(0.0707)</w:t>
            </w:r>
          </w:p>
        </w:tc>
        <w:tc>
          <w:tcPr>
            <w:tcW w:w="517" w:type="pct"/>
            <w:shd w:val="clear" w:color="auto" w:fill="auto"/>
          </w:tcPr>
          <w:p w:rsidR="00E21CB2" w:rsidRPr="008922C6"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(0.1185)</w:t>
            </w:r>
          </w:p>
        </w:tc>
        <w:tc>
          <w:tcPr>
            <w:tcW w:w="517" w:type="pct"/>
            <w:shd w:val="clear" w:color="auto" w:fill="auto"/>
          </w:tcPr>
          <w:p w:rsidR="00E21CB2" w:rsidRDefault="00E21CB2"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(0.0460)</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7A359B" w:rsidRPr="008922C6" w:rsidTr="000D48AD">
        <w:tc>
          <w:tcPr>
            <w:tcW w:w="863" w:type="pct"/>
            <w:shd w:val="clear" w:color="auto" w:fill="D3DFEE"/>
          </w:tcPr>
          <w:p w:rsidR="008C08DD"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r w:rsidRPr="008922C6">
              <w:rPr>
                <w:rFonts w:ascii="Times New Roman" w:hAnsi="Times New Roman" w:cs="Times New Roman"/>
                <w:bCs/>
                <w:sz w:val="18"/>
                <w:szCs w:val="18"/>
              </w:rPr>
              <w:t>Lambda</w:t>
            </w:r>
          </w:p>
        </w:tc>
        <w:tc>
          <w:tcPr>
            <w:tcW w:w="517" w:type="pct"/>
            <w:tcBorders>
              <w:left w:val="nil"/>
              <w:right w:val="nil"/>
            </w:tcBorders>
            <w:shd w:val="clear" w:color="auto" w:fill="D3DFEE"/>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0.2529**   (0.0395)</w:t>
            </w:r>
          </w:p>
        </w:tc>
        <w:tc>
          <w:tcPr>
            <w:tcW w:w="517" w:type="pct"/>
            <w:shd w:val="clear" w:color="auto" w:fill="D3DFEE"/>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0.0832**   (0.0227)</w:t>
            </w:r>
          </w:p>
        </w:tc>
        <w:tc>
          <w:tcPr>
            <w:tcW w:w="517" w:type="pct"/>
            <w:tcBorders>
              <w:left w:val="nil"/>
              <w:right w:val="nil"/>
            </w:tcBorders>
            <w:shd w:val="clear" w:color="auto" w:fill="D3DFEE"/>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0.1613**   (0.0326)</w:t>
            </w:r>
          </w:p>
        </w:tc>
        <w:tc>
          <w:tcPr>
            <w:tcW w:w="517" w:type="pct"/>
            <w:shd w:val="clear" w:color="auto" w:fill="D3DFEE"/>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0.131**    (0.0283)</w:t>
            </w:r>
          </w:p>
        </w:tc>
        <w:tc>
          <w:tcPr>
            <w:tcW w:w="517" w:type="pct"/>
            <w:tcBorders>
              <w:left w:val="nil"/>
              <w:right w:val="nil"/>
            </w:tcBorders>
            <w:shd w:val="clear" w:color="auto" w:fill="D3DFEE"/>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0.1453**   (0.0340)</w:t>
            </w:r>
          </w:p>
        </w:tc>
        <w:tc>
          <w:tcPr>
            <w:tcW w:w="517" w:type="pct"/>
            <w:shd w:val="clear" w:color="auto" w:fill="D3DFEE"/>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0.2292**   (0.0403)</w:t>
            </w:r>
          </w:p>
        </w:tc>
        <w:tc>
          <w:tcPr>
            <w:tcW w:w="517" w:type="pct"/>
            <w:tcBorders>
              <w:left w:val="nil"/>
              <w:right w:val="nil"/>
            </w:tcBorders>
            <w:shd w:val="clear" w:color="auto" w:fill="D3DFEE"/>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0.1957**   (0.0569)</w:t>
            </w:r>
          </w:p>
        </w:tc>
        <w:tc>
          <w:tcPr>
            <w:tcW w:w="517" w:type="pct"/>
            <w:shd w:val="clear" w:color="auto" w:fill="D3DFEE"/>
          </w:tcPr>
          <w:p w:rsidR="008C08DD"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0.0767**   (0.0188)</w:t>
            </w:r>
          </w:p>
          <w:p w:rsidR="00912053" w:rsidRPr="008922C6" w:rsidRDefault="00912053" w:rsidP="005A2C59">
            <w:pPr>
              <w:pStyle w:val="PlainText"/>
              <w:tabs>
                <w:tab w:val="left" w:pos="284"/>
                <w:tab w:val="left" w:pos="426"/>
              </w:tabs>
              <w:spacing w:line="288" w:lineRule="auto"/>
              <w:jc w:val="right"/>
              <w:rPr>
                <w:rFonts w:ascii="Times New Roman" w:hAnsi="Times New Roman" w:cs="Times New Roman"/>
                <w:sz w:val="18"/>
                <w:szCs w:val="18"/>
              </w:rPr>
            </w:pPr>
          </w:p>
        </w:tc>
      </w:tr>
      <w:tr w:rsidR="007A359B" w:rsidRPr="008922C6" w:rsidTr="000D48AD">
        <w:tc>
          <w:tcPr>
            <w:tcW w:w="863" w:type="pct"/>
            <w:shd w:val="clear" w:color="auto" w:fill="auto"/>
          </w:tcPr>
          <w:p w:rsidR="008C08DD"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proofErr w:type="spellStart"/>
            <w:r w:rsidRPr="008922C6">
              <w:rPr>
                <w:rFonts w:ascii="Times New Roman" w:hAnsi="Times New Roman" w:cs="Times New Roman"/>
                <w:bCs/>
                <w:sz w:val="18"/>
                <w:szCs w:val="18"/>
              </w:rPr>
              <w:t>Obs</w:t>
            </w:r>
            <w:proofErr w:type="spellEnd"/>
          </w:p>
        </w:tc>
        <w:tc>
          <w:tcPr>
            <w:tcW w:w="517" w:type="pct"/>
            <w:shd w:val="clear" w:color="auto" w:fill="auto"/>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20,627</w:t>
            </w:r>
          </w:p>
        </w:tc>
        <w:tc>
          <w:tcPr>
            <w:tcW w:w="517" w:type="pct"/>
            <w:shd w:val="clear" w:color="auto" w:fill="auto"/>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80,750</w:t>
            </w:r>
          </w:p>
        </w:tc>
        <w:tc>
          <w:tcPr>
            <w:tcW w:w="517" w:type="pct"/>
            <w:shd w:val="clear" w:color="auto" w:fill="auto"/>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20,866</w:t>
            </w:r>
          </w:p>
        </w:tc>
        <w:tc>
          <w:tcPr>
            <w:tcW w:w="517" w:type="pct"/>
            <w:shd w:val="clear" w:color="auto" w:fill="auto"/>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21,209</w:t>
            </w:r>
          </w:p>
        </w:tc>
        <w:tc>
          <w:tcPr>
            <w:tcW w:w="517" w:type="pct"/>
            <w:shd w:val="clear" w:color="auto" w:fill="auto"/>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21,311</w:t>
            </w:r>
          </w:p>
        </w:tc>
        <w:tc>
          <w:tcPr>
            <w:tcW w:w="517" w:type="pct"/>
            <w:shd w:val="clear" w:color="auto" w:fill="auto"/>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21,630</w:t>
            </w:r>
          </w:p>
        </w:tc>
        <w:tc>
          <w:tcPr>
            <w:tcW w:w="517" w:type="pct"/>
            <w:shd w:val="clear" w:color="auto" w:fill="auto"/>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31,150</w:t>
            </w:r>
          </w:p>
        </w:tc>
        <w:tc>
          <w:tcPr>
            <w:tcW w:w="517" w:type="pct"/>
            <w:shd w:val="clear" w:color="auto" w:fill="auto"/>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30,721</w:t>
            </w:r>
          </w:p>
        </w:tc>
      </w:tr>
      <w:tr w:rsidR="007A359B" w:rsidRPr="008922C6" w:rsidTr="000D48AD">
        <w:tc>
          <w:tcPr>
            <w:tcW w:w="863" w:type="pct"/>
            <w:shd w:val="clear" w:color="auto" w:fill="D3DFEE"/>
          </w:tcPr>
          <w:p w:rsidR="008C08DD" w:rsidRPr="008922C6" w:rsidRDefault="008C08DD" w:rsidP="005A2C59">
            <w:pPr>
              <w:pStyle w:val="PlainText"/>
              <w:tabs>
                <w:tab w:val="left" w:pos="284"/>
                <w:tab w:val="left" w:pos="426"/>
              </w:tabs>
              <w:spacing w:line="288" w:lineRule="auto"/>
              <w:rPr>
                <w:rFonts w:ascii="Times New Roman" w:hAnsi="Times New Roman" w:cs="Times New Roman"/>
                <w:bCs/>
                <w:sz w:val="18"/>
                <w:szCs w:val="18"/>
              </w:rPr>
            </w:pPr>
            <w:proofErr w:type="spellStart"/>
            <w:r w:rsidRPr="008922C6">
              <w:rPr>
                <w:rFonts w:ascii="Times New Roman" w:hAnsi="Times New Roman" w:cs="Times New Roman"/>
                <w:bCs/>
                <w:sz w:val="18"/>
                <w:szCs w:val="18"/>
              </w:rPr>
              <w:t>Prob</w:t>
            </w:r>
            <w:proofErr w:type="spellEnd"/>
            <w:r w:rsidRPr="008922C6">
              <w:rPr>
                <w:rFonts w:ascii="Times New Roman" w:hAnsi="Times New Roman" w:cs="Times New Roman"/>
                <w:bCs/>
                <w:sz w:val="18"/>
                <w:szCs w:val="18"/>
              </w:rPr>
              <w:t xml:space="preserve"> &gt; F</w:t>
            </w:r>
          </w:p>
        </w:tc>
        <w:tc>
          <w:tcPr>
            <w:tcW w:w="517" w:type="pct"/>
            <w:tcBorders>
              <w:left w:val="nil"/>
              <w:right w:val="nil"/>
            </w:tcBorders>
            <w:shd w:val="clear" w:color="auto" w:fill="D3DFEE"/>
          </w:tcPr>
          <w:p w:rsidR="008C08DD" w:rsidRPr="008922C6" w:rsidRDefault="008C08DD" w:rsidP="005A2C59">
            <w:pPr>
              <w:pStyle w:val="PlainText"/>
              <w:tabs>
                <w:tab w:val="left" w:pos="284"/>
                <w:tab w:val="left" w:pos="426"/>
              </w:tabs>
              <w:spacing w:line="288" w:lineRule="auto"/>
              <w:jc w:val="right"/>
              <w:rPr>
                <w:rFonts w:ascii="Times New Roman" w:hAnsi="Times New Roman" w:cs="Times New Roman"/>
                <w:sz w:val="18"/>
                <w:szCs w:val="18"/>
              </w:rPr>
            </w:pPr>
            <w:r w:rsidRPr="008922C6">
              <w:rPr>
                <w:rFonts w:ascii="Times New Roman" w:hAnsi="Times New Roman" w:cs="Times New Roman"/>
                <w:sz w:val="18"/>
                <w:szCs w:val="18"/>
              </w:rPr>
              <w:t>0.0000</w:t>
            </w:r>
          </w:p>
        </w:tc>
        <w:tc>
          <w:tcPr>
            <w:tcW w:w="517" w:type="pct"/>
            <w:shd w:val="clear" w:color="auto" w:fill="D3DFEE"/>
          </w:tcPr>
          <w:p w:rsidR="008C08DD" w:rsidRPr="008922C6" w:rsidRDefault="008C08DD" w:rsidP="005A2C59">
            <w:pPr>
              <w:tabs>
                <w:tab w:val="left" w:pos="284"/>
                <w:tab w:val="left" w:pos="426"/>
              </w:tabs>
              <w:spacing w:line="288" w:lineRule="auto"/>
              <w:jc w:val="right"/>
            </w:pPr>
            <w:r w:rsidRPr="008922C6">
              <w:rPr>
                <w:sz w:val="18"/>
                <w:szCs w:val="18"/>
              </w:rPr>
              <w:t>0.0000</w:t>
            </w:r>
          </w:p>
        </w:tc>
        <w:tc>
          <w:tcPr>
            <w:tcW w:w="517" w:type="pct"/>
            <w:tcBorders>
              <w:left w:val="nil"/>
              <w:right w:val="nil"/>
            </w:tcBorders>
            <w:shd w:val="clear" w:color="auto" w:fill="D3DFEE"/>
          </w:tcPr>
          <w:p w:rsidR="008C08DD" w:rsidRPr="008922C6" w:rsidRDefault="008C08DD" w:rsidP="005A2C59">
            <w:pPr>
              <w:tabs>
                <w:tab w:val="left" w:pos="284"/>
                <w:tab w:val="left" w:pos="426"/>
              </w:tabs>
              <w:spacing w:line="288" w:lineRule="auto"/>
              <w:jc w:val="right"/>
            </w:pPr>
            <w:r w:rsidRPr="008922C6">
              <w:rPr>
                <w:sz w:val="18"/>
                <w:szCs w:val="18"/>
              </w:rPr>
              <w:t>0.0000</w:t>
            </w:r>
          </w:p>
        </w:tc>
        <w:tc>
          <w:tcPr>
            <w:tcW w:w="517" w:type="pct"/>
            <w:shd w:val="clear" w:color="auto" w:fill="D3DFEE"/>
          </w:tcPr>
          <w:p w:rsidR="008C08DD" w:rsidRPr="008922C6" w:rsidRDefault="008C08DD" w:rsidP="005A2C59">
            <w:pPr>
              <w:tabs>
                <w:tab w:val="left" w:pos="284"/>
                <w:tab w:val="left" w:pos="426"/>
              </w:tabs>
              <w:spacing w:line="288" w:lineRule="auto"/>
              <w:jc w:val="right"/>
            </w:pPr>
            <w:r w:rsidRPr="008922C6">
              <w:rPr>
                <w:sz w:val="18"/>
                <w:szCs w:val="18"/>
              </w:rPr>
              <w:t>0.0000</w:t>
            </w:r>
          </w:p>
        </w:tc>
        <w:tc>
          <w:tcPr>
            <w:tcW w:w="517" w:type="pct"/>
            <w:tcBorders>
              <w:left w:val="nil"/>
              <w:right w:val="nil"/>
            </w:tcBorders>
            <w:shd w:val="clear" w:color="auto" w:fill="D3DFEE"/>
          </w:tcPr>
          <w:p w:rsidR="008C08DD" w:rsidRPr="008922C6" w:rsidRDefault="008C08DD" w:rsidP="005A2C59">
            <w:pPr>
              <w:tabs>
                <w:tab w:val="left" w:pos="284"/>
                <w:tab w:val="left" w:pos="426"/>
              </w:tabs>
              <w:spacing w:line="288" w:lineRule="auto"/>
              <w:jc w:val="right"/>
            </w:pPr>
            <w:r w:rsidRPr="008922C6">
              <w:rPr>
                <w:sz w:val="18"/>
                <w:szCs w:val="18"/>
              </w:rPr>
              <w:t>0.0000</w:t>
            </w:r>
          </w:p>
        </w:tc>
        <w:tc>
          <w:tcPr>
            <w:tcW w:w="517" w:type="pct"/>
            <w:shd w:val="clear" w:color="auto" w:fill="D3DFEE"/>
          </w:tcPr>
          <w:p w:rsidR="008C08DD" w:rsidRPr="008922C6" w:rsidRDefault="008C08DD" w:rsidP="005A2C59">
            <w:pPr>
              <w:tabs>
                <w:tab w:val="left" w:pos="284"/>
                <w:tab w:val="left" w:pos="426"/>
              </w:tabs>
              <w:spacing w:line="288" w:lineRule="auto"/>
              <w:jc w:val="right"/>
            </w:pPr>
            <w:r w:rsidRPr="008922C6">
              <w:rPr>
                <w:sz w:val="18"/>
                <w:szCs w:val="18"/>
              </w:rPr>
              <w:t>0.0000</w:t>
            </w:r>
          </w:p>
        </w:tc>
        <w:tc>
          <w:tcPr>
            <w:tcW w:w="517" w:type="pct"/>
            <w:tcBorders>
              <w:left w:val="nil"/>
              <w:right w:val="nil"/>
            </w:tcBorders>
            <w:shd w:val="clear" w:color="auto" w:fill="D3DFEE"/>
          </w:tcPr>
          <w:p w:rsidR="008C08DD" w:rsidRPr="008922C6" w:rsidRDefault="008C08DD" w:rsidP="005A2C59">
            <w:pPr>
              <w:tabs>
                <w:tab w:val="left" w:pos="284"/>
                <w:tab w:val="left" w:pos="426"/>
              </w:tabs>
              <w:spacing w:line="288" w:lineRule="auto"/>
              <w:jc w:val="right"/>
            </w:pPr>
            <w:r w:rsidRPr="008922C6">
              <w:rPr>
                <w:sz w:val="18"/>
                <w:szCs w:val="18"/>
              </w:rPr>
              <w:t>0.0000</w:t>
            </w:r>
          </w:p>
        </w:tc>
        <w:tc>
          <w:tcPr>
            <w:tcW w:w="517" w:type="pct"/>
            <w:shd w:val="clear" w:color="auto" w:fill="D3DFEE"/>
          </w:tcPr>
          <w:p w:rsidR="008C08DD" w:rsidRPr="008922C6" w:rsidRDefault="008C08DD" w:rsidP="005A2C59">
            <w:pPr>
              <w:tabs>
                <w:tab w:val="left" w:pos="284"/>
                <w:tab w:val="left" w:pos="426"/>
              </w:tabs>
              <w:spacing w:line="288" w:lineRule="auto"/>
              <w:jc w:val="right"/>
            </w:pPr>
            <w:r w:rsidRPr="008922C6">
              <w:rPr>
                <w:sz w:val="18"/>
                <w:szCs w:val="18"/>
              </w:rPr>
              <w:t>0.0000</w:t>
            </w:r>
          </w:p>
        </w:tc>
      </w:tr>
    </w:tbl>
    <w:p w:rsidR="00912053" w:rsidRDefault="008C08DD" w:rsidP="00805177">
      <w:pPr>
        <w:pStyle w:val="PlainText"/>
        <w:tabs>
          <w:tab w:val="left" w:pos="284"/>
          <w:tab w:val="left" w:pos="426"/>
        </w:tabs>
        <w:jc w:val="both"/>
        <w:rPr>
          <w:rFonts w:ascii="Times New Roman" w:hAnsi="Times New Roman" w:cs="Times New Roman"/>
        </w:rPr>
      </w:pPr>
      <w:r w:rsidRPr="00F2738B">
        <w:rPr>
          <w:rFonts w:ascii="Times New Roman" w:hAnsi="Times New Roman" w:cs="Times New Roman"/>
          <w:i/>
        </w:rPr>
        <w:t>Notes</w:t>
      </w:r>
      <w:r w:rsidRPr="00805177">
        <w:rPr>
          <w:rFonts w:ascii="Times New Roman" w:hAnsi="Times New Roman" w:cs="Times New Roman"/>
        </w:rPr>
        <w:t xml:space="preserve"> </w:t>
      </w:r>
    </w:p>
    <w:p w:rsidR="00912053" w:rsidRDefault="008C3278" w:rsidP="00805177">
      <w:pPr>
        <w:pStyle w:val="PlainText"/>
        <w:tabs>
          <w:tab w:val="left" w:pos="284"/>
          <w:tab w:val="left" w:pos="426"/>
        </w:tabs>
        <w:jc w:val="both"/>
        <w:rPr>
          <w:rFonts w:ascii="Times New Roman" w:hAnsi="Times New Roman" w:cs="Times New Roman"/>
        </w:rPr>
      </w:pPr>
      <w:r w:rsidRPr="00805177">
        <w:rPr>
          <w:rFonts w:ascii="Times New Roman" w:hAnsi="Times New Roman" w:cs="Times New Roman"/>
        </w:rPr>
        <w:t xml:space="preserve">Robust standard errors in </w:t>
      </w:r>
      <w:r w:rsidR="00007D9D" w:rsidRPr="00805177">
        <w:rPr>
          <w:rFonts w:ascii="Times New Roman" w:hAnsi="Times New Roman" w:cs="Times New Roman"/>
        </w:rPr>
        <w:t>parentheses,</w:t>
      </w:r>
      <w:r w:rsidR="008B4FC5">
        <w:rPr>
          <w:rFonts w:ascii="Times New Roman" w:hAnsi="Times New Roman" w:cs="Times New Roman"/>
        </w:rPr>
        <w:t xml:space="preserve"> corrected for sampling weights.</w:t>
      </w:r>
      <w:r w:rsidRPr="00805177">
        <w:rPr>
          <w:rFonts w:ascii="Times New Roman" w:hAnsi="Times New Roman" w:cs="Times New Roman"/>
        </w:rPr>
        <w:t xml:space="preserve"> </w:t>
      </w:r>
    </w:p>
    <w:p w:rsidR="00912053" w:rsidRDefault="00912053" w:rsidP="00912053">
      <w:pPr>
        <w:pStyle w:val="PlainText"/>
        <w:tabs>
          <w:tab w:val="left" w:pos="284"/>
          <w:tab w:val="left" w:pos="426"/>
        </w:tabs>
        <w:jc w:val="both"/>
        <w:rPr>
          <w:rFonts w:ascii="Times New Roman" w:hAnsi="Times New Roman" w:cs="Times New Roman"/>
        </w:rPr>
      </w:pPr>
      <w:r>
        <w:rPr>
          <w:rFonts w:ascii="Times New Roman" w:hAnsi="Times New Roman" w:cs="Times New Roman"/>
        </w:rPr>
        <w:t>For briefness</w:t>
      </w:r>
      <w:r w:rsidRPr="00805177">
        <w:rPr>
          <w:rFonts w:ascii="Times New Roman" w:hAnsi="Times New Roman" w:cs="Times New Roman"/>
        </w:rPr>
        <w:t>, we do not report s</w:t>
      </w:r>
      <w:r>
        <w:rPr>
          <w:rFonts w:ascii="Times New Roman" w:hAnsi="Times New Roman" w:cs="Times New Roman"/>
        </w:rPr>
        <w:t>election equation estimates. T</w:t>
      </w:r>
      <w:r w:rsidRPr="00805177">
        <w:rPr>
          <w:rFonts w:ascii="Times New Roman" w:hAnsi="Times New Roman" w:cs="Times New Roman"/>
        </w:rPr>
        <w:t xml:space="preserve">he selection equation includes all variables in </w:t>
      </w:r>
      <w:r>
        <w:rPr>
          <w:rFonts w:ascii="Times New Roman" w:hAnsi="Times New Roman" w:cs="Times New Roman"/>
        </w:rPr>
        <w:t xml:space="preserve">the </w:t>
      </w:r>
      <w:r w:rsidRPr="00805177">
        <w:rPr>
          <w:rFonts w:ascii="Times New Roman" w:hAnsi="Times New Roman" w:cs="Times New Roman"/>
        </w:rPr>
        <w:t xml:space="preserve">wage equation, </w:t>
      </w:r>
      <w:r w:rsidRPr="00B21FF0">
        <w:rPr>
          <w:rFonts w:ascii="Times New Roman" w:hAnsi="Times New Roman" w:cs="Times New Roman"/>
          <w:i/>
        </w:rPr>
        <w:t>plus</w:t>
      </w:r>
      <w:r>
        <w:rPr>
          <w:rFonts w:ascii="Times New Roman" w:hAnsi="Times New Roman" w:cs="Times New Roman"/>
        </w:rPr>
        <w:t xml:space="preserve"> </w:t>
      </w:r>
      <w:r w:rsidRPr="00805177">
        <w:rPr>
          <w:rFonts w:ascii="Times New Roman" w:hAnsi="Times New Roman" w:cs="Times New Roman"/>
        </w:rPr>
        <w:t>household size and household non-wage income. The reference group is non-education.</w:t>
      </w:r>
    </w:p>
    <w:p w:rsidR="00912053" w:rsidRDefault="008C3278" w:rsidP="00805177">
      <w:pPr>
        <w:pStyle w:val="PlainText"/>
        <w:tabs>
          <w:tab w:val="left" w:pos="284"/>
          <w:tab w:val="left" w:pos="426"/>
        </w:tabs>
        <w:jc w:val="both"/>
        <w:rPr>
          <w:rFonts w:ascii="Times New Roman" w:hAnsi="Times New Roman" w:cs="Times New Roman"/>
        </w:rPr>
      </w:pPr>
      <w:r w:rsidRPr="00805177">
        <w:rPr>
          <w:rFonts w:ascii="Times New Roman" w:hAnsi="Times New Roman" w:cs="Times New Roman"/>
        </w:rPr>
        <w:t>+</w:t>
      </w:r>
      <w:r w:rsidR="00912053">
        <w:rPr>
          <w:rFonts w:ascii="Times New Roman" w:hAnsi="Times New Roman" w:cs="Times New Roman"/>
        </w:rPr>
        <w:t xml:space="preserve"> </w:t>
      </w:r>
      <w:r w:rsidR="00720138">
        <w:rPr>
          <w:rFonts w:ascii="Times New Roman" w:hAnsi="Times New Roman" w:cs="Times New Roman"/>
        </w:rPr>
        <w:tab/>
      </w:r>
      <w:proofErr w:type="gramStart"/>
      <w:r w:rsidR="00912053">
        <w:rPr>
          <w:rFonts w:ascii="Times New Roman" w:hAnsi="Times New Roman" w:cs="Times New Roman"/>
        </w:rPr>
        <w:t>significant</w:t>
      </w:r>
      <w:proofErr w:type="gramEnd"/>
      <w:r w:rsidR="00912053">
        <w:rPr>
          <w:rFonts w:ascii="Times New Roman" w:hAnsi="Times New Roman" w:cs="Times New Roman"/>
        </w:rPr>
        <w:t xml:space="preserve"> at 10%</w:t>
      </w:r>
    </w:p>
    <w:p w:rsidR="00912053" w:rsidRDefault="00007D9D" w:rsidP="00805177">
      <w:pPr>
        <w:pStyle w:val="PlainText"/>
        <w:tabs>
          <w:tab w:val="left" w:pos="284"/>
          <w:tab w:val="left" w:pos="426"/>
        </w:tabs>
        <w:jc w:val="both"/>
        <w:rPr>
          <w:rFonts w:ascii="Times New Roman" w:hAnsi="Times New Roman" w:cs="Times New Roman"/>
        </w:rPr>
      </w:pPr>
      <w:r w:rsidRPr="00805177">
        <w:rPr>
          <w:rFonts w:ascii="Times New Roman" w:hAnsi="Times New Roman" w:cs="Times New Roman"/>
        </w:rPr>
        <w:t xml:space="preserve">* </w:t>
      </w:r>
      <w:r w:rsidR="00720138">
        <w:rPr>
          <w:rFonts w:ascii="Times New Roman" w:hAnsi="Times New Roman" w:cs="Times New Roman"/>
        </w:rPr>
        <w:tab/>
      </w:r>
      <w:proofErr w:type="gramStart"/>
      <w:r w:rsidRPr="00805177">
        <w:rPr>
          <w:rFonts w:ascii="Times New Roman" w:hAnsi="Times New Roman" w:cs="Times New Roman"/>
        </w:rPr>
        <w:t>signific</w:t>
      </w:r>
      <w:r w:rsidR="00912053">
        <w:rPr>
          <w:rFonts w:ascii="Times New Roman" w:hAnsi="Times New Roman" w:cs="Times New Roman"/>
        </w:rPr>
        <w:t>ant</w:t>
      </w:r>
      <w:proofErr w:type="gramEnd"/>
      <w:r w:rsidR="00912053">
        <w:rPr>
          <w:rFonts w:ascii="Times New Roman" w:hAnsi="Times New Roman" w:cs="Times New Roman"/>
        </w:rPr>
        <w:t xml:space="preserve"> at 5%</w:t>
      </w:r>
    </w:p>
    <w:p w:rsidR="00912053" w:rsidRDefault="008C3278" w:rsidP="00805177">
      <w:pPr>
        <w:pStyle w:val="PlainText"/>
        <w:tabs>
          <w:tab w:val="left" w:pos="284"/>
          <w:tab w:val="left" w:pos="426"/>
        </w:tabs>
        <w:jc w:val="both"/>
        <w:rPr>
          <w:rFonts w:ascii="Times New Roman" w:hAnsi="Times New Roman" w:cs="Times New Roman"/>
        </w:rPr>
      </w:pPr>
      <w:r w:rsidRPr="00805177">
        <w:rPr>
          <w:rFonts w:ascii="Times New Roman" w:hAnsi="Times New Roman" w:cs="Times New Roman"/>
        </w:rPr>
        <w:t xml:space="preserve">** </w:t>
      </w:r>
      <w:r w:rsidR="00720138">
        <w:rPr>
          <w:rFonts w:ascii="Times New Roman" w:hAnsi="Times New Roman" w:cs="Times New Roman"/>
        </w:rPr>
        <w:tab/>
      </w:r>
      <w:proofErr w:type="gramStart"/>
      <w:r w:rsidRPr="00805177">
        <w:rPr>
          <w:rFonts w:ascii="Times New Roman" w:hAnsi="Times New Roman" w:cs="Times New Roman"/>
        </w:rPr>
        <w:t>significant</w:t>
      </w:r>
      <w:proofErr w:type="gramEnd"/>
      <w:r w:rsidRPr="00805177">
        <w:rPr>
          <w:rFonts w:ascii="Times New Roman" w:hAnsi="Times New Roman" w:cs="Times New Roman"/>
        </w:rPr>
        <w:t xml:space="preserve"> at 1%. </w:t>
      </w:r>
    </w:p>
    <w:p w:rsidR="00912053" w:rsidRPr="00805177" w:rsidRDefault="00912053" w:rsidP="00805177">
      <w:pPr>
        <w:pStyle w:val="PlainText"/>
        <w:tabs>
          <w:tab w:val="left" w:pos="284"/>
          <w:tab w:val="left" w:pos="426"/>
        </w:tabs>
        <w:jc w:val="both"/>
        <w:rPr>
          <w:rFonts w:ascii="Times New Roman" w:hAnsi="Times New Roman" w:cs="Times New Roman"/>
        </w:rPr>
      </w:pPr>
    </w:p>
    <w:p w:rsidR="00B2783E" w:rsidRDefault="00805177" w:rsidP="005A2C59">
      <w:pPr>
        <w:pStyle w:val="PlainText"/>
        <w:tabs>
          <w:tab w:val="left" w:pos="284"/>
          <w:tab w:val="left" w:pos="426"/>
        </w:tabs>
        <w:spacing w:line="288" w:lineRule="auto"/>
        <w:jc w:val="both"/>
        <w:rPr>
          <w:rFonts w:ascii="Arial" w:hAnsi="Arial" w:cs="Arial"/>
          <w:b/>
        </w:rPr>
      </w:pPr>
      <w:r>
        <w:rPr>
          <w:rFonts w:ascii="Times New Roman" w:hAnsi="Times New Roman" w:cs="Times New Roman"/>
          <w:sz w:val="24"/>
          <w:szCs w:val="24"/>
        </w:rPr>
        <w:tab/>
      </w:r>
      <w:r w:rsidR="008B4FC5">
        <w:rPr>
          <w:rFonts w:ascii="Times New Roman" w:hAnsi="Times New Roman" w:cs="Times New Roman"/>
          <w:sz w:val="24"/>
          <w:szCs w:val="24"/>
        </w:rPr>
        <w:tab/>
      </w:r>
    </w:p>
    <w:p w:rsidR="008623C3" w:rsidRDefault="008623C3" w:rsidP="005A2C59">
      <w:pPr>
        <w:pStyle w:val="PlainText"/>
        <w:tabs>
          <w:tab w:val="left" w:pos="284"/>
          <w:tab w:val="left" w:pos="426"/>
        </w:tabs>
        <w:spacing w:line="288" w:lineRule="auto"/>
        <w:jc w:val="both"/>
        <w:rPr>
          <w:rFonts w:ascii="Arial" w:hAnsi="Arial" w:cs="Arial"/>
          <w:b/>
        </w:rPr>
      </w:pPr>
    </w:p>
    <w:p w:rsidR="006F3ED6" w:rsidRPr="006A7D38" w:rsidRDefault="006F3ED6" w:rsidP="00805177">
      <w:pPr>
        <w:pStyle w:val="PlainText"/>
        <w:tabs>
          <w:tab w:val="left" w:pos="284"/>
          <w:tab w:val="left" w:pos="426"/>
        </w:tabs>
        <w:spacing w:line="288" w:lineRule="auto"/>
        <w:jc w:val="center"/>
        <w:rPr>
          <w:rFonts w:ascii="Times New Roman" w:hAnsi="Times New Roman" w:cs="Times New Roman"/>
          <w:b/>
          <w:sz w:val="22"/>
          <w:szCs w:val="22"/>
        </w:rPr>
      </w:pPr>
      <w:r w:rsidRPr="006A7D38">
        <w:rPr>
          <w:rFonts w:ascii="Times New Roman" w:hAnsi="Times New Roman" w:cs="Times New Roman"/>
          <w:b/>
          <w:sz w:val="22"/>
          <w:szCs w:val="22"/>
        </w:rPr>
        <w:lastRenderedPageBreak/>
        <w:t>Figure 2: Changing</w:t>
      </w:r>
      <w:r w:rsidR="006A7D38">
        <w:rPr>
          <w:rFonts w:ascii="Times New Roman" w:hAnsi="Times New Roman" w:cs="Times New Roman"/>
          <w:b/>
          <w:sz w:val="22"/>
          <w:szCs w:val="22"/>
        </w:rPr>
        <w:t xml:space="preserve"> Returns to Education </w:t>
      </w:r>
      <w:r w:rsidR="0075584E">
        <w:rPr>
          <w:rFonts w:ascii="Times New Roman" w:hAnsi="Times New Roman" w:cs="Times New Roman"/>
          <w:b/>
          <w:sz w:val="22"/>
          <w:szCs w:val="22"/>
        </w:rPr>
        <w:t>1998-2014</w:t>
      </w:r>
    </w:p>
    <w:p w:rsidR="00007D9D" w:rsidRPr="007E7303" w:rsidRDefault="004118E2" w:rsidP="008623C3">
      <w:pPr>
        <w:pStyle w:val="PlainText"/>
        <w:tabs>
          <w:tab w:val="left" w:pos="284"/>
          <w:tab w:val="left" w:pos="426"/>
        </w:tabs>
        <w:spacing w:line="288" w:lineRule="auto"/>
        <w:ind w:left="-426"/>
        <w:rPr>
          <w:rFonts w:ascii="Arial" w:hAnsi="Arial" w:cs="Arial"/>
        </w:rPr>
      </w:pPr>
      <w:r>
        <w:rPr>
          <w:noProof/>
          <w:lang w:val="en-NZ" w:eastAsia="en-NZ"/>
        </w:rPr>
        <w:drawing>
          <wp:inline distT="0" distB="0" distL="0" distR="0" wp14:anchorId="609AC1BE" wp14:editId="2C078C69">
            <wp:extent cx="6332855" cy="2553970"/>
            <wp:effectExtent l="0" t="0" r="10795" b="1778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07D9D" w:rsidRDefault="00007D9D" w:rsidP="005A2C59">
      <w:pPr>
        <w:widowControl w:val="0"/>
        <w:tabs>
          <w:tab w:val="left" w:pos="284"/>
          <w:tab w:val="left" w:pos="426"/>
        </w:tabs>
        <w:autoSpaceDE w:val="0"/>
        <w:autoSpaceDN w:val="0"/>
        <w:adjustRightInd w:val="0"/>
        <w:spacing w:line="288" w:lineRule="auto"/>
      </w:pPr>
    </w:p>
    <w:p w:rsidR="00933B5F" w:rsidRDefault="00BE30EF" w:rsidP="005A2C59">
      <w:pPr>
        <w:widowControl w:val="0"/>
        <w:tabs>
          <w:tab w:val="left" w:pos="284"/>
          <w:tab w:val="left" w:pos="426"/>
        </w:tabs>
        <w:autoSpaceDE w:val="0"/>
        <w:autoSpaceDN w:val="0"/>
        <w:adjustRightInd w:val="0"/>
        <w:spacing w:line="288" w:lineRule="auto"/>
      </w:pPr>
      <w:r>
        <w:rPr>
          <w:b/>
          <w:bCs/>
        </w:rPr>
        <w:t>4</w:t>
      </w:r>
      <w:r w:rsidR="00CD7A2B">
        <w:rPr>
          <w:b/>
          <w:bCs/>
        </w:rPr>
        <w:t>. Discussion and C</w:t>
      </w:r>
      <w:r w:rsidR="00933B5F">
        <w:rPr>
          <w:b/>
          <w:bCs/>
        </w:rPr>
        <w:t>onclusions</w:t>
      </w:r>
    </w:p>
    <w:p w:rsidR="006A7D38" w:rsidRPr="00EC0185" w:rsidRDefault="006A7D38" w:rsidP="005A2C59">
      <w:pPr>
        <w:widowControl w:val="0"/>
        <w:tabs>
          <w:tab w:val="left" w:pos="284"/>
          <w:tab w:val="left" w:pos="426"/>
        </w:tabs>
        <w:overflowPunct w:val="0"/>
        <w:autoSpaceDE w:val="0"/>
        <w:autoSpaceDN w:val="0"/>
        <w:adjustRightInd w:val="0"/>
        <w:spacing w:line="288" w:lineRule="auto"/>
        <w:jc w:val="both"/>
        <w:rPr>
          <w:sz w:val="8"/>
          <w:szCs w:val="8"/>
        </w:rPr>
      </w:pPr>
    </w:p>
    <w:p w:rsidR="00933B5F" w:rsidRDefault="00D85A51" w:rsidP="005A2C59">
      <w:pPr>
        <w:widowControl w:val="0"/>
        <w:tabs>
          <w:tab w:val="left" w:pos="284"/>
          <w:tab w:val="left" w:pos="426"/>
        </w:tabs>
        <w:overflowPunct w:val="0"/>
        <w:autoSpaceDE w:val="0"/>
        <w:autoSpaceDN w:val="0"/>
        <w:adjustRightInd w:val="0"/>
        <w:spacing w:line="288" w:lineRule="auto"/>
        <w:jc w:val="both"/>
      </w:pPr>
      <w:r>
        <w:t>In this paper</w:t>
      </w:r>
      <w:r w:rsidR="00EC0185">
        <w:t>,</w:t>
      </w:r>
      <w:r>
        <w:t xml:space="preserve"> we </w:t>
      </w:r>
      <w:r w:rsidR="00933B5F">
        <w:t xml:space="preserve">report returns to schooling in Vietnam using </w:t>
      </w:r>
      <w:r w:rsidR="00EC0185">
        <w:t>updated and large scale</w:t>
      </w:r>
      <w:r>
        <w:t xml:space="preserve"> nationally representative data of eight round</w:t>
      </w:r>
      <w:r w:rsidR="00C73F0F">
        <w:t>s</w:t>
      </w:r>
      <w:r>
        <w:t xml:space="preserve"> of the Vietnam Household Living Standards Survey</w:t>
      </w:r>
      <w:r w:rsidR="00EC0185">
        <w:t>s</w:t>
      </w:r>
      <w:r>
        <w:t xml:space="preserve"> of </w:t>
      </w:r>
      <w:r w:rsidR="00933B5F">
        <w:t>1998, 2002, 2004, 2006</w:t>
      </w:r>
      <w:r w:rsidR="00C73F0F">
        <w:t xml:space="preserve">, </w:t>
      </w:r>
      <w:r w:rsidR="00933B5F">
        <w:t>2008</w:t>
      </w:r>
      <w:r w:rsidR="00C73F0F">
        <w:t>, 2010, 2012 and 2014</w:t>
      </w:r>
      <w:r w:rsidR="00933B5F">
        <w:t>. The return</w:t>
      </w:r>
      <w:r w:rsidR="00C73F0F">
        <w:t>s increased signifi</w:t>
      </w:r>
      <w:r w:rsidR="00EC0185">
        <w:t>cantly during 1998 to 2008. T</w:t>
      </w:r>
      <w:r w:rsidR="00E24A66">
        <w:t xml:space="preserve">he rise was </w:t>
      </w:r>
      <w:r w:rsidR="00933B5F">
        <w:t xml:space="preserve">much higher than estimates for </w:t>
      </w:r>
      <w:r w:rsidR="00E24A66">
        <w:t xml:space="preserve">period between </w:t>
      </w:r>
      <w:r w:rsidR="00933B5F">
        <w:t xml:space="preserve">1992 </w:t>
      </w:r>
      <w:r w:rsidR="00E24A66">
        <w:t xml:space="preserve">and 1998 </w:t>
      </w:r>
      <w:r w:rsidR="00C73F0F">
        <w:t xml:space="preserve">by </w:t>
      </w:r>
      <w:proofErr w:type="spellStart"/>
      <w:r w:rsidR="00B21FF0">
        <w:t>Glewwe</w:t>
      </w:r>
      <w:proofErr w:type="spellEnd"/>
      <w:r w:rsidR="00B21FF0">
        <w:t xml:space="preserve"> and </w:t>
      </w:r>
      <w:proofErr w:type="spellStart"/>
      <w:r w:rsidR="00B21FF0">
        <w:t>Patrios</w:t>
      </w:r>
      <w:proofErr w:type="spellEnd"/>
      <w:r w:rsidR="00B21FF0">
        <w:t xml:space="preserve"> (1998), </w:t>
      </w:r>
      <w:r w:rsidR="00933B5F">
        <w:t xml:space="preserve">Gallup (2002), and </w:t>
      </w:r>
      <w:proofErr w:type="spellStart"/>
      <w:r w:rsidR="00933B5F">
        <w:t>Moock</w:t>
      </w:r>
      <w:proofErr w:type="spellEnd"/>
      <w:r w:rsidR="00933B5F">
        <w:t xml:space="preserve">, </w:t>
      </w:r>
      <w:proofErr w:type="spellStart"/>
      <w:r w:rsidR="00933B5F">
        <w:t>Patrinos</w:t>
      </w:r>
      <w:proofErr w:type="spellEnd"/>
      <w:r w:rsidR="00933B5F">
        <w:t xml:space="preserve"> and </w:t>
      </w:r>
      <w:proofErr w:type="spellStart"/>
      <w:r w:rsidR="00933B5F">
        <w:t>Venkataraman</w:t>
      </w:r>
      <w:proofErr w:type="spellEnd"/>
      <w:r w:rsidR="00933B5F">
        <w:t xml:space="preserve"> (2003). </w:t>
      </w:r>
      <w:r w:rsidR="00EC0185">
        <w:t xml:space="preserve"> </w:t>
      </w:r>
      <w:r w:rsidR="00E24A66">
        <w:t xml:space="preserve">However, the </w:t>
      </w:r>
      <w:r w:rsidR="00933B5F">
        <w:t>return</w:t>
      </w:r>
      <w:r w:rsidR="00E24A66">
        <w:t>s</w:t>
      </w:r>
      <w:r w:rsidR="00933B5F">
        <w:t xml:space="preserve"> </w:t>
      </w:r>
      <w:r w:rsidR="00E24A66">
        <w:t xml:space="preserve">appeared to fall from </w:t>
      </w:r>
      <w:r w:rsidR="00B21FF0">
        <w:t>200</w:t>
      </w:r>
      <w:r w:rsidR="00933B5F">
        <w:t xml:space="preserve">8 </w:t>
      </w:r>
      <w:r w:rsidR="00E24A66">
        <w:t xml:space="preserve">to 2014 </w:t>
      </w:r>
      <w:r w:rsidR="00EC0185">
        <w:t xml:space="preserve">using </w:t>
      </w:r>
      <w:r w:rsidR="00E24A66">
        <w:t>the latest data available</w:t>
      </w:r>
      <w:r w:rsidR="00933B5F">
        <w:t xml:space="preserve">. The </w:t>
      </w:r>
      <w:r w:rsidR="00E24A66">
        <w:t xml:space="preserve">falling returns seem </w:t>
      </w:r>
      <w:r w:rsidR="00933B5F">
        <w:t xml:space="preserve">to be robust to </w:t>
      </w:r>
      <w:r w:rsidR="00E24A66">
        <w:t xml:space="preserve">different model specifications and </w:t>
      </w:r>
      <w:r w:rsidR="00933B5F">
        <w:t>self-selection</w:t>
      </w:r>
      <w:r w:rsidR="00E24A66">
        <w:t xml:space="preserve"> consideration</w:t>
      </w:r>
      <w:r w:rsidR="00EC0185">
        <w:t>s</w:t>
      </w:r>
      <w:r w:rsidR="005E24DF">
        <w:t xml:space="preserve">, that is, </w:t>
      </w:r>
      <w:r w:rsidR="00E24A66">
        <w:t xml:space="preserve">self-selection </w:t>
      </w:r>
      <w:r w:rsidR="00933B5F">
        <w:t xml:space="preserve">into the wage </w:t>
      </w:r>
      <w:r w:rsidR="00E24A66">
        <w:t>labour market participation</w:t>
      </w:r>
      <w:r w:rsidR="00933B5F">
        <w:t>.</w:t>
      </w:r>
    </w:p>
    <w:p w:rsidR="00933B5F" w:rsidRPr="009F619B" w:rsidRDefault="00933B5F" w:rsidP="005A2C59">
      <w:pPr>
        <w:widowControl w:val="0"/>
        <w:tabs>
          <w:tab w:val="left" w:pos="284"/>
          <w:tab w:val="left" w:pos="426"/>
        </w:tabs>
        <w:autoSpaceDE w:val="0"/>
        <w:autoSpaceDN w:val="0"/>
        <w:adjustRightInd w:val="0"/>
        <w:spacing w:line="288" w:lineRule="auto"/>
        <w:rPr>
          <w:sz w:val="20"/>
          <w:szCs w:val="20"/>
        </w:rPr>
      </w:pPr>
    </w:p>
    <w:p w:rsidR="00775725" w:rsidRDefault="00805177" w:rsidP="005A2C59">
      <w:pPr>
        <w:widowControl w:val="0"/>
        <w:tabs>
          <w:tab w:val="left" w:pos="284"/>
          <w:tab w:val="left" w:pos="426"/>
        </w:tabs>
        <w:overflowPunct w:val="0"/>
        <w:autoSpaceDE w:val="0"/>
        <w:autoSpaceDN w:val="0"/>
        <w:adjustRightInd w:val="0"/>
        <w:spacing w:line="288" w:lineRule="auto"/>
        <w:jc w:val="both"/>
      </w:pPr>
      <w:r>
        <w:tab/>
      </w:r>
      <w:r w:rsidR="00224196">
        <w:t xml:space="preserve">The rise of the returns </w:t>
      </w:r>
      <w:r w:rsidR="00775725">
        <w:t xml:space="preserve">during </w:t>
      </w:r>
      <w:r w:rsidR="00EC0185">
        <w:t xml:space="preserve">the </w:t>
      </w:r>
      <w:r w:rsidR="00775725">
        <w:t xml:space="preserve">2000s </w:t>
      </w:r>
      <w:r w:rsidR="00224196">
        <w:t>was attributed to m</w:t>
      </w:r>
      <w:r w:rsidR="00933B5F">
        <w:t>arket opening and integration into the global economy</w:t>
      </w:r>
      <w:r w:rsidR="00224196">
        <w:t xml:space="preserve"> such as accessing to </w:t>
      </w:r>
      <w:r w:rsidR="00B21FF0">
        <w:t>the World Trade Organization (</w:t>
      </w:r>
      <w:r w:rsidR="00224196">
        <w:t>W</w:t>
      </w:r>
      <w:r w:rsidR="00B21FF0">
        <w:t>T</w:t>
      </w:r>
      <w:r w:rsidR="00224196">
        <w:t>O</w:t>
      </w:r>
      <w:r w:rsidR="00B21FF0">
        <w:t>)</w:t>
      </w:r>
      <w:r w:rsidR="00224196">
        <w:t xml:space="preserve"> in 2006</w:t>
      </w:r>
      <w:r w:rsidR="00933B5F">
        <w:t>, deeper reforms</w:t>
      </w:r>
      <w:r w:rsidR="00EC0185">
        <w:t>,</w:t>
      </w:r>
      <w:r w:rsidR="00224196">
        <w:t xml:space="preserve"> including introduction of Enterprise Law in late 1999 and a Unified Enterprise Law in 2005</w:t>
      </w:r>
      <w:r w:rsidR="00933B5F">
        <w:t xml:space="preserve">, and a consequent investment boom </w:t>
      </w:r>
      <w:r w:rsidR="009E185E">
        <w:t>especially for</w:t>
      </w:r>
      <w:r w:rsidR="00694193">
        <w:t xml:space="preserve">eign direct investment </w:t>
      </w:r>
      <w:r>
        <w:t>(Doan and Gibson</w:t>
      </w:r>
      <w:r w:rsidR="001D3F21">
        <w:t xml:space="preserve"> 2012)</w:t>
      </w:r>
      <w:r w:rsidR="00933B5F">
        <w:t>.</w:t>
      </w:r>
      <w:r w:rsidR="001D3F21">
        <w:t xml:space="preserve"> </w:t>
      </w:r>
    </w:p>
    <w:p w:rsidR="00775725" w:rsidRPr="009F619B" w:rsidRDefault="00775725" w:rsidP="005A2C59">
      <w:pPr>
        <w:widowControl w:val="0"/>
        <w:tabs>
          <w:tab w:val="left" w:pos="284"/>
          <w:tab w:val="left" w:pos="426"/>
        </w:tabs>
        <w:overflowPunct w:val="0"/>
        <w:autoSpaceDE w:val="0"/>
        <w:autoSpaceDN w:val="0"/>
        <w:adjustRightInd w:val="0"/>
        <w:spacing w:line="288" w:lineRule="auto"/>
        <w:jc w:val="both"/>
        <w:rPr>
          <w:sz w:val="20"/>
          <w:szCs w:val="20"/>
        </w:rPr>
      </w:pPr>
    </w:p>
    <w:p w:rsidR="000C3D0C" w:rsidRDefault="008B4FC5" w:rsidP="005A2C59">
      <w:pPr>
        <w:widowControl w:val="0"/>
        <w:tabs>
          <w:tab w:val="left" w:pos="284"/>
          <w:tab w:val="left" w:pos="426"/>
        </w:tabs>
        <w:overflowPunct w:val="0"/>
        <w:autoSpaceDE w:val="0"/>
        <w:autoSpaceDN w:val="0"/>
        <w:adjustRightInd w:val="0"/>
        <w:spacing w:line="288" w:lineRule="auto"/>
        <w:jc w:val="both"/>
      </w:pPr>
      <w:r>
        <w:tab/>
      </w:r>
      <w:r>
        <w:tab/>
      </w:r>
      <w:r w:rsidR="00775725">
        <w:t>However, the returns to significantly have declined since 2008</w:t>
      </w:r>
      <w:r w:rsidR="00B14484">
        <w:t>, t</w:t>
      </w:r>
      <w:r w:rsidR="00006A48" w:rsidRPr="008922C6">
        <w:t>he decline seems to be larger than existing evidence for some Eastern European transition economies</w:t>
      </w:r>
      <w:r w:rsidR="008922C6" w:rsidRPr="008922C6">
        <w:t xml:space="preserve"> </w:t>
      </w:r>
      <w:r w:rsidR="008922C6" w:rsidRPr="00224E50">
        <w:t>(</w:t>
      </w:r>
      <w:proofErr w:type="spellStart"/>
      <w:r w:rsidR="00805177">
        <w:rPr>
          <w:color w:val="1D1D1D"/>
          <w:lang w:eastAsia="en-NZ"/>
        </w:rPr>
        <w:t>Mysíková</w:t>
      </w:r>
      <w:proofErr w:type="spellEnd"/>
      <w:r w:rsidR="008922C6" w:rsidRPr="00224E50">
        <w:rPr>
          <w:color w:val="1D1D1D"/>
          <w:lang w:eastAsia="en-NZ"/>
        </w:rPr>
        <w:t xml:space="preserve"> </w:t>
      </w:r>
      <w:r w:rsidR="003C53BC">
        <w:rPr>
          <w:color w:val="1D1D1D"/>
          <w:lang w:eastAsia="en-NZ"/>
        </w:rPr>
        <w:t>and</w:t>
      </w:r>
      <w:r w:rsidR="00805177">
        <w:rPr>
          <w:color w:val="1D1D1D"/>
          <w:lang w:eastAsia="en-NZ"/>
        </w:rPr>
        <w:t xml:space="preserve"> </w:t>
      </w:r>
      <w:proofErr w:type="spellStart"/>
      <w:r w:rsidR="00805177">
        <w:rPr>
          <w:color w:val="1D1D1D"/>
          <w:lang w:eastAsia="en-NZ"/>
        </w:rPr>
        <w:t>Večerník</w:t>
      </w:r>
      <w:proofErr w:type="spellEnd"/>
      <w:r w:rsidR="008922C6" w:rsidRPr="00224E50">
        <w:rPr>
          <w:color w:val="1D1D1D"/>
          <w:lang w:eastAsia="en-NZ"/>
        </w:rPr>
        <w:t xml:space="preserve"> 2014)</w:t>
      </w:r>
      <w:r w:rsidR="00006A48" w:rsidRPr="00224E50">
        <w:t>.</w:t>
      </w:r>
      <w:r w:rsidR="00006A48" w:rsidRPr="008922C6">
        <w:t xml:space="preserve"> </w:t>
      </w:r>
      <w:r w:rsidR="00775725" w:rsidRPr="008922C6">
        <w:t>The decline in the returns is more likely a</w:t>
      </w:r>
      <w:r w:rsidR="00775725">
        <w:t xml:space="preserve">ttributed to </w:t>
      </w:r>
      <w:r w:rsidR="00EC0185">
        <w:t xml:space="preserve">the </w:t>
      </w:r>
      <w:r w:rsidR="00775725">
        <w:t>expansion of education</w:t>
      </w:r>
      <w:r w:rsidR="00EC0185">
        <w:t>,</w:t>
      </w:r>
      <w:r w:rsidR="00775725">
        <w:t xml:space="preserve"> particularly post-high school education</w:t>
      </w:r>
      <w:r w:rsidR="00EC0185">
        <w:t>,</w:t>
      </w:r>
      <w:r w:rsidR="00775725">
        <w:t xml:space="preserve"> and </w:t>
      </w:r>
      <w:r w:rsidR="00EC0185">
        <w:t xml:space="preserve">a </w:t>
      </w:r>
      <w:r w:rsidR="00775725">
        <w:t xml:space="preserve">slowdown </w:t>
      </w:r>
      <w:r w:rsidR="00EC0185">
        <w:t>in</w:t>
      </w:r>
      <w:r w:rsidR="00775725">
        <w:t xml:space="preserve"> economic growth after the GFC</w:t>
      </w:r>
      <w:r w:rsidR="00B21FF0">
        <w:t xml:space="preserve"> in 2008</w:t>
      </w:r>
      <w:r w:rsidR="00775725">
        <w:t xml:space="preserve">. </w:t>
      </w:r>
      <w:r w:rsidR="0037442A">
        <w:t>As discussed earlier, higher education expanded rapidly by 144% during 200</w:t>
      </w:r>
      <w:r w:rsidR="00D63C1F">
        <w:t>3</w:t>
      </w:r>
      <w:r w:rsidR="0037442A">
        <w:t>-2011</w:t>
      </w:r>
      <w:r w:rsidR="00EC0185">
        <w:t xml:space="preserve"> </w:t>
      </w:r>
      <w:r w:rsidR="009C7DA4">
        <w:t>result</w:t>
      </w:r>
      <w:r w:rsidR="00EC0185">
        <w:t>ing</w:t>
      </w:r>
      <w:r w:rsidR="009C7DA4">
        <w:t xml:space="preserve"> in </w:t>
      </w:r>
      <w:r w:rsidR="00EC0185">
        <w:t>an oversupply of higher-</w:t>
      </w:r>
      <w:r w:rsidR="009C7DA4">
        <w:t xml:space="preserve">educated graduates, </w:t>
      </w:r>
      <w:r w:rsidR="00EC0185">
        <w:t xml:space="preserve">a </w:t>
      </w:r>
      <w:r w:rsidR="009C7DA4">
        <w:t xml:space="preserve">higher unemployment rate amongst this group of workers, </w:t>
      </w:r>
      <w:r w:rsidR="00EC0185">
        <w:t xml:space="preserve">a </w:t>
      </w:r>
      <w:r w:rsidR="009C7DA4">
        <w:t>lowering wage rates and then declining returns. Moreover, on the demand side, economic growth</w:t>
      </w:r>
      <w:r w:rsidR="00EC0185">
        <w:t xml:space="preserve"> and </w:t>
      </w:r>
      <w:r w:rsidR="00224E50">
        <w:t>economic transformation</w:t>
      </w:r>
      <w:r w:rsidR="009C7DA4">
        <w:t xml:space="preserve"> during this period (2008-2014) is significantly lower than prior to the GFC</w:t>
      </w:r>
      <w:r w:rsidR="00C13681">
        <w:t xml:space="preserve"> in </w:t>
      </w:r>
      <w:r w:rsidR="009C7DA4">
        <w:t>2008</w:t>
      </w:r>
      <w:r w:rsidR="00F61DD4">
        <w:t xml:space="preserve"> except for the first GFC (1998-1999)</w:t>
      </w:r>
      <w:r w:rsidR="00B21FF0">
        <w:t xml:space="preserve"> period</w:t>
      </w:r>
      <w:r w:rsidR="009C7DA4">
        <w:t xml:space="preserve">. </w:t>
      </w:r>
      <w:r w:rsidR="00B21FF0">
        <w:t>Specifically, t</w:t>
      </w:r>
      <w:r w:rsidR="000C3D0C">
        <w:t xml:space="preserve">he </w:t>
      </w:r>
      <w:r w:rsidR="00C13681">
        <w:t xml:space="preserve">economic </w:t>
      </w:r>
      <w:r w:rsidR="000C3D0C">
        <w:t>g</w:t>
      </w:r>
      <w:r w:rsidR="00C13681">
        <w:t xml:space="preserve">rowth rate on average was 8.8% for </w:t>
      </w:r>
      <w:r w:rsidR="00C13681">
        <w:lastRenderedPageBreak/>
        <w:t>1992-1997, 5.3% for 1998-1999, 6.9% for 200</w:t>
      </w:r>
      <w:r w:rsidR="00EC0185">
        <w:t>0-2007</w:t>
      </w:r>
      <w:r w:rsidR="00C13681">
        <w:t xml:space="preserve"> but only 5.8% for 2008-2014</w:t>
      </w:r>
      <w:r w:rsidR="007A3AF7">
        <w:t>.</w:t>
      </w:r>
      <w:r w:rsidR="00E32249">
        <w:rPr>
          <w:rStyle w:val="FootnoteReference"/>
        </w:rPr>
        <w:footnoteReference w:id="6"/>
      </w:r>
      <w:r w:rsidR="006A0913">
        <w:rPr>
          <w:b/>
        </w:rPr>
        <w:t xml:space="preserve"> </w:t>
      </w:r>
      <w:r w:rsidR="00F61DD4">
        <w:rPr>
          <w:b/>
        </w:rPr>
        <w:t xml:space="preserve"> </w:t>
      </w:r>
      <w:r w:rsidR="00EC0185" w:rsidRPr="00684D0D">
        <w:t>A</w:t>
      </w:r>
      <w:r w:rsidR="00EC0185">
        <w:rPr>
          <w:b/>
        </w:rPr>
        <w:t xml:space="preserve"> </w:t>
      </w:r>
      <w:r w:rsidR="00EC0185">
        <w:t>l</w:t>
      </w:r>
      <w:r w:rsidR="006A0913" w:rsidRPr="006A0913">
        <w:t xml:space="preserve">ower demand of </w:t>
      </w:r>
      <w:r w:rsidR="006A0913">
        <w:t xml:space="preserve">higher skilled workers </w:t>
      </w:r>
      <w:r w:rsidR="00B21FF0">
        <w:t xml:space="preserve">therefore </w:t>
      </w:r>
      <w:r w:rsidR="006A0913">
        <w:t xml:space="preserve">may </w:t>
      </w:r>
      <w:r w:rsidR="00B21FF0">
        <w:t xml:space="preserve">also </w:t>
      </w:r>
      <w:r w:rsidR="006A0913">
        <w:t>explain the fall in the returns.</w:t>
      </w:r>
      <w:r w:rsidR="007A3AF7">
        <w:t xml:space="preserve"> </w:t>
      </w:r>
    </w:p>
    <w:p w:rsidR="00805177" w:rsidRPr="009F619B" w:rsidRDefault="00805177" w:rsidP="005A2C59">
      <w:pPr>
        <w:widowControl w:val="0"/>
        <w:tabs>
          <w:tab w:val="left" w:pos="284"/>
          <w:tab w:val="left" w:pos="426"/>
        </w:tabs>
        <w:overflowPunct w:val="0"/>
        <w:autoSpaceDE w:val="0"/>
        <w:autoSpaceDN w:val="0"/>
        <w:adjustRightInd w:val="0"/>
        <w:spacing w:line="288" w:lineRule="auto"/>
        <w:jc w:val="both"/>
        <w:rPr>
          <w:sz w:val="20"/>
          <w:szCs w:val="20"/>
        </w:rPr>
      </w:pPr>
    </w:p>
    <w:p w:rsidR="003E2CE9" w:rsidRDefault="00805177" w:rsidP="005A2C59">
      <w:pPr>
        <w:tabs>
          <w:tab w:val="left" w:pos="284"/>
          <w:tab w:val="left" w:pos="426"/>
        </w:tabs>
        <w:spacing w:line="288" w:lineRule="auto"/>
        <w:jc w:val="both"/>
      </w:pPr>
      <w:r>
        <w:tab/>
      </w:r>
      <w:r w:rsidR="009F619B">
        <w:tab/>
      </w:r>
      <w:r w:rsidR="008B4FC5">
        <w:t xml:space="preserve">The </w:t>
      </w:r>
      <w:r w:rsidR="00933B5F">
        <w:t>return</w:t>
      </w:r>
      <w:r w:rsidR="008B4FC5">
        <w:t xml:space="preserve">s in this paper are </w:t>
      </w:r>
      <w:r w:rsidR="00933B5F">
        <w:t xml:space="preserve">implicitly assumed to be not affected by </w:t>
      </w:r>
      <w:proofErr w:type="spellStart"/>
      <w:r w:rsidR="00933B5F">
        <w:t>unobservables</w:t>
      </w:r>
      <w:proofErr w:type="spellEnd"/>
      <w:r w:rsidR="00933B5F">
        <w:t xml:space="preserve"> </w:t>
      </w:r>
      <w:r w:rsidR="00394F09">
        <w:t>(</w:t>
      </w:r>
      <w:r w:rsidR="008B4FC5">
        <w:t xml:space="preserve">for example, </w:t>
      </w:r>
      <w:r w:rsidR="00933B5F">
        <w:t>individual ability and motivation</w:t>
      </w:r>
      <w:r w:rsidR="00394F09">
        <w:t>)</w:t>
      </w:r>
      <w:r w:rsidR="00933B5F">
        <w:t xml:space="preserve"> </w:t>
      </w:r>
      <w:r w:rsidR="00394F09">
        <w:t>over time</w:t>
      </w:r>
      <w:r w:rsidR="00933B5F">
        <w:t xml:space="preserve">. </w:t>
      </w:r>
      <w:r w:rsidR="00F61DD4">
        <w:t xml:space="preserve">It is assumed that </w:t>
      </w:r>
      <w:r w:rsidR="00933B5F">
        <w:t xml:space="preserve">the </w:t>
      </w:r>
      <w:proofErr w:type="spellStart"/>
      <w:r w:rsidR="00933B5F">
        <w:t>unobservables</w:t>
      </w:r>
      <w:proofErr w:type="spellEnd"/>
      <w:r w:rsidR="00933B5F">
        <w:t xml:space="preserve"> may affect the return in the same direction across years but </w:t>
      </w:r>
      <w:r w:rsidR="00C34936">
        <w:t xml:space="preserve">they </w:t>
      </w:r>
      <w:r w:rsidR="008B4FC5">
        <w:t>are constant over time.   T</w:t>
      </w:r>
      <w:r w:rsidR="005A506B">
        <w:t>he trend of return</w:t>
      </w:r>
      <w:r w:rsidR="006A0913">
        <w:t>s</w:t>
      </w:r>
      <w:r w:rsidR="005A506B">
        <w:t xml:space="preserve"> </w:t>
      </w:r>
      <w:r w:rsidR="00394F09">
        <w:t xml:space="preserve">is </w:t>
      </w:r>
      <w:r w:rsidR="005A506B">
        <w:t xml:space="preserve">then </w:t>
      </w:r>
      <w:r w:rsidR="00F61DD4">
        <w:t xml:space="preserve">believed </w:t>
      </w:r>
      <w:r w:rsidR="005A506B">
        <w:t xml:space="preserve">to be </w:t>
      </w:r>
      <w:r w:rsidR="00394F09">
        <w:t xml:space="preserve">unchanged </w:t>
      </w:r>
      <w:r w:rsidR="005A506B">
        <w:t xml:space="preserve">in </w:t>
      </w:r>
      <w:r w:rsidR="008B4FC5">
        <w:t xml:space="preserve">the </w:t>
      </w:r>
      <w:r w:rsidR="00394F09">
        <w:t xml:space="preserve">presence of endogeneity of </w:t>
      </w:r>
      <w:r w:rsidR="00F61DD4">
        <w:t>schooling</w:t>
      </w:r>
      <w:r w:rsidR="00394F09">
        <w:t xml:space="preserve">. </w:t>
      </w:r>
      <w:r w:rsidR="006A0913">
        <w:t>Fixed effect</w:t>
      </w:r>
      <w:r w:rsidR="008B4FC5">
        <w:t>s modelling c</w:t>
      </w:r>
      <w:r w:rsidR="0053485B">
        <w:t>ould address this issue. U</w:t>
      </w:r>
      <w:r w:rsidR="006A0913">
        <w:t>nfortunately</w:t>
      </w:r>
      <w:r w:rsidR="008B4FC5">
        <w:t>,</w:t>
      </w:r>
      <w:r w:rsidR="006A0913">
        <w:t xml:space="preserve"> we do not have </w:t>
      </w:r>
      <w:r w:rsidR="0053485B">
        <w:t>a large overlapped proportion of the sample across surveys to set up a panel data for the fixed effect</w:t>
      </w:r>
      <w:r w:rsidR="008B4FC5">
        <w:t>s model.  W</w:t>
      </w:r>
      <w:r w:rsidR="00F61DD4">
        <w:t>e believe</w:t>
      </w:r>
      <w:r w:rsidR="008B4FC5">
        <w:t>, however,</w:t>
      </w:r>
      <w:r w:rsidR="00F61DD4">
        <w:t xml:space="preserve"> </w:t>
      </w:r>
      <w:r w:rsidR="008B4FC5">
        <w:t xml:space="preserve">that our trend analysis follows </w:t>
      </w:r>
      <w:r w:rsidR="00F61DD4">
        <w:t xml:space="preserve">common </w:t>
      </w:r>
      <w:r w:rsidR="00224E50">
        <w:t xml:space="preserve">analytical </w:t>
      </w:r>
      <w:r w:rsidR="00F61DD4">
        <w:t xml:space="preserve">practice in this field of the research. </w:t>
      </w:r>
    </w:p>
    <w:p w:rsidR="00805177" w:rsidRPr="009F619B" w:rsidRDefault="00805177" w:rsidP="005A2C59">
      <w:pPr>
        <w:tabs>
          <w:tab w:val="left" w:pos="284"/>
          <w:tab w:val="left" w:pos="426"/>
        </w:tabs>
        <w:spacing w:line="288" w:lineRule="auto"/>
        <w:jc w:val="both"/>
        <w:rPr>
          <w:sz w:val="20"/>
          <w:szCs w:val="20"/>
        </w:rPr>
      </w:pPr>
    </w:p>
    <w:p w:rsidR="00DA4CA8" w:rsidRPr="00224E50" w:rsidRDefault="00805177" w:rsidP="005A2C59">
      <w:pPr>
        <w:pStyle w:val="PlainText"/>
        <w:tabs>
          <w:tab w:val="left" w:pos="284"/>
          <w:tab w:val="left" w:pos="426"/>
        </w:tabs>
        <w:spacing w:line="288" w:lineRule="auto"/>
        <w:jc w:val="both"/>
        <w:rPr>
          <w:rFonts w:ascii="Times New Roman" w:hAnsi="Times New Roman" w:cs="Times New Roman"/>
          <w:sz w:val="24"/>
          <w:szCs w:val="22"/>
        </w:rPr>
      </w:pPr>
      <w:r>
        <w:rPr>
          <w:rFonts w:ascii="Times New Roman" w:hAnsi="Times New Roman" w:cs="Times New Roman"/>
          <w:sz w:val="24"/>
          <w:szCs w:val="22"/>
        </w:rPr>
        <w:tab/>
      </w:r>
      <w:r w:rsidR="009F619B">
        <w:rPr>
          <w:rFonts w:ascii="Times New Roman" w:hAnsi="Times New Roman" w:cs="Times New Roman"/>
          <w:sz w:val="24"/>
          <w:szCs w:val="22"/>
        </w:rPr>
        <w:tab/>
      </w:r>
      <w:r w:rsidR="00224E50" w:rsidRPr="00224E50">
        <w:rPr>
          <w:rFonts w:ascii="Times New Roman" w:hAnsi="Times New Roman" w:cs="Times New Roman"/>
          <w:sz w:val="24"/>
          <w:szCs w:val="22"/>
        </w:rPr>
        <w:t xml:space="preserve">The </w:t>
      </w:r>
      <w:r w:rsidR="00970E52" w:rsidRPr="00224E50">
        <w:rPr>
          <w:rFonts w:ascii="Times New Roman" w:hAnsi="Times New Roman" w:cs="Times New Roman"/>
          <w:sz w:val="24"/>
          <w:szCs w:val="22"/>
        </w:rPr>
        <w:t xml:space="preserve">returns may be also driven by </w:t>
      </w:r>
      <w:r w:rsidR="00EC0185">
        <w:rPr>
          <w:rFonts w:ascii="Times New Roman" w:hAnsi="Times New Roman" w:cs="Times New Roman"/>
          <w:sz w:val="24"/>
          <w:szCs w:val="22"/>
        </w:rPr>
        <w:t xml:space="preserve">the </w:t>
      </w:r>
      <w:r w:rsidR="00970E52" w:rsidRPr="00224E50">
        <w:rPr>
          <w:rFonts w:ascii="Times New Roman" w:hAnsi="Times New Roman" w:cs="Times New Roman"/>
          <w:sz w:val="24"/>
          <w:szCs w:val="22"/>
        </w:rPr>
        <w:t>quality of training and distortion in the labour market</w:t>
      </w:r>
      <w:r w:rsidR="00EC0185">
        <w:rPr>
          <w:rFonts w:ascii="Times New Roman" w:hAnsi="Times New Roman" w:cs="Times New Roman"/>
          <w:sz w:val="24"/>
          <w:szCs w:val="22"/>
        </w:rPr>
        <w:t xml:space="preserve"> as we discussed</w:t>
      </w:r>
      <w:r w:rsidR="00970E52">
        <w:rPr>
          <w:rFonts w:ascii="Times New Roman" w:hAnsi="Times New Roman" w:cs="Times New Roman"/>
          <w:sz w:val="24"/>
          <w:szCs w:val="22"/>
        </w:rPr>
        <w:t xml:space="preserve">. In future research we should </w:t>
      </w:r>
      <w:r w:rsidR="00EC0185">
        <w:rPr>
          <w:rFonts w:ascii="Times New Roman" w:hAnsi="Times New Roman" w:cs="Times New Roman"/>
          <w:sz w:val="24"/>
          <w:szCs w:val="22"/>
        </w:rPr>
        <w:t xml:space="preserve">examine </w:t>
      </w:r>
      <w:r w:rsidR="00970E52">
        <w:rPr>
          <w:rFonts w:ascii="Times New Roman" w:hAnsi="Times New Roman" w:cs="Times New Roman"/>
          <w:sz w:val="24"/>
          <w:szCs w:val="22"/>
        </w:rPr>
        <w:t>returns by age cohorts, by type of schools, (</w:t>
      </w:r>
      <w:r w:rsidR="00B3415B">
        <w:rPr>
          <w:rFonts w:ascii="Times New Roman" w:hAnsi="Times New Roman" w:cs="Times New Roman"/>
          <w:sz w:val="24"/>
          <w:szCs w:val="22"/>
        </w:rPr>
        <w:t>that is,</w:t>
      </w:r>
      <w:r w:rsidR="00970E52">
        <w:rPr>
          <w:rFonts w:ascii="Times New Roman" w:hAnsi="Times New Roman" w:cs="Times New Roman"/>
          <w:sz w:val="24"/>
          <w:szCs w:val="22"/>
        </w:rPr>
        <w:t xml:space="preserve"> proxies for quality of training) and also </w:t>
      </w:r>
      <w:r w:rsidR="00EC0185">
        <w:rPr>
          <w:rFonts w:ascii="Times New Roman" w:hAnsi="Times New Roman" w:cs="Times New Roman"/>
          <w:sz w:val="24"/>
          <w:szCs w:val="22"/>
        </w:rPr>
        <w:t>examine how</w:t>
      </w:r>
      <w:r w:rsidR="00970E52">
        <w:rPr>
          <w:rFonts w:ascii="Times New Roman" w:hAnsi="Times New Roman" w:cs="Times New Roman"/>
          <w:sz w:val="24"/>
          <w:szCs w:val="22"/>
        </w:rPr>
        <w:t xml:space="preserve"> distortion</w:t>
      </w:r>
      <w:r w:rsidR="00EC0185">
        <w:rPr>
          <w:rFonts w:ascii="Times New Roman" w:hAnsi="Times New Roman" w:cs="Times New Roman"/>
          <w:sz w:val="24"/>
          <w:szCs w:val="22"/>
        </w:rPr>
        <w:t>s affect</w:t>
      </w:r>
      <w:r w:rsidR="00970E52">
        <w:rPr>
          <w:rFonts w:ascii="Times New Roman" w:hAnsi="Times New Roman" w:cs="Times New Roman"/>
          <w:sz w:val="24"/>
          <w:szCs w:val="22"/>
        </w:rPr>
        <w:t xml:space="preserve"> t</w:t>
      </w:r>
      <w:r w:rsidR="00684D0D">
        <w:rPr>
          <w:rFonts w:ascii="Times New Roman" w:hAnsi="Times New Roman" w:cs="Times New Roman"/>
          <w:sz w:val="24"/>
          <w:szCs w:val="22"/>
        </w:rPr>
        <w:t>he</w:t>
      </w:r>
      <w:r w:rsidR="00970E52">
        <w:rPr>
          <w:rFonts w:ascii="Times New Roman" w:hAnsi="Times New Roman" w:cs="Times New Roman"/>
          <w:sz w:val="24"/>
          <w:szCs w:val="22"/>
        </w:rPr>
        <w:t xml:space="preserve"> returns (</w:t>
      </w:r>
      <w:r w:rsidR="00B3415B">
        <w:rPr>
          <w:rFonts w:ascii="Times New Roman" w:hAnsi="Times New Roman" w:cs="Times New Roman"/>
          <w:sz w:val="24"/>
          <w:szCs w:val="22"/>
        </w:rPr>
        <w:t xml:space="preserve">for example, </w:t>
      </w:r>
      <w:r w:rsidR="00970E52">
        <w:rPr>
          <w:rFonts w:ascii="Times New Roman" w:hAnsi="Times New Roman" w:cs="Times New Roman"/>
          <w:sz w:val="24"/>
          <w:szCs w:val="22"/>
        </w:rPr>
        <w:t>we c</w:t>
      </w:r>
      <w:r w:rsidR="00EC0185">
        <w:rPr>
          <w:rFonts w:ascii="Times New Roman" w:hAnsi="Times New Roman" w:cs="Times New Roman"/>
          <w:sz w:val="24"/>
          <w:szCs w:val="22"/>
        </w:rPr>
        <w:t>ould</w:t>
      </w:r>
      <w:r w:rsidR="00970E52">
        <w:rPr>
          <w:rFonts w:ascii="Times New Roman" w:hAnsi="Times New Roman" w:cs="Times New Roman"/>
          <w:sz w:val="24"/>
          <w:szCs w:val="22"/>
        </w:rPr>
        <w:t xml:space="preserve"> </w:t>
      </w:r>
      <w:r w:rsidR="00EC0185">
        <w:rPr>
          <w:rFonts w:ascii="Times New Roman" w:hAnsi="Times New Roman" w:cs="Times New Roman"/>
          <w:sz w:val="24"/>
          <w:szCs w:val="22"/>
        </w:rPr>
        <w:t xml:space="preserve">examine </w:t>
      </w:r>
      <w:r w:rsidR="00970E52">
        <w:rPr>
          <w:rFonts w:ascii="Times New Roman" w:hAnsi="Times New Roman" w:cs="Times New Roman"/>
          <w:sz w:val="24"/>
          <w:szCs w:val="22"/>
        </w:rPr>
        <w:t>the relationship between return</w:t>
      </w:r>
      <w:r w:rsidR="00EC0185">
        <w:rPr>
          <w:rFonts w:ascii="Times New Roman" w:hAnsi="Times New Roman" w:cs="Times New Roman"/>
          <w:sz w:val="24"/>
          <w:szCs w:val="22"/>
        </w:rPr>
        <w:t>s</w:t>
      </w:r>
      <w:r w:rsidR="00970E52">
        <w:rPr>
          <w:rFonts w:ascii="Times New Roman" w:hAnsi="Times New Roman" w:cs="Times New Roman"/>
          <w:sz w:val="24"/>
          <w:szCs w:val="22"/>
        </w:rPr>
        <w:t xml:space="preserve"> to education and corruption or institutional indices across sectors and across geographic regions).</w:t>
      </w:r>
    </w:p>
    <w:p w:rsidR="00DA4CA8" w:rsidRPr="00CD7A2B" w:rsidRDefault="00DA4CA8" w:rsidP="005A2C59">
      <w:pPr>
        <w:tabs>
          <w:tab w:val="left" w:pos="284"/>
          <w:tab w:val="left" w:pos="426"/>
        </w:tabs>
        <w:spacing w:line="288" w:lineRule="auto"/>
        <w:jc w:val="both"/>
        <w:rPr>
          <w:i/>
        </w:rPr>
      </w:pPr>
    </w:p>
    <w:p w:rsidR="00933B5F" w:rsidRPr="00CD7A2B" w:rsidRDefault="00933B5F" w:rsidP="0075584E">
      <w:pPr>
        <w:spacing w:afterLines="40" w:after="96"/>
        <w:rPr>
          <w:b/>
          <w:bCs/>
        </w:rPr>
      </w:pPr>
      <w:r w:rsidRPr="00CD7A2B">
        <w:rPr>
          <w:b/>
          <w:bCs/>
        </w:rPr>
        <w:t>References</w:t>
      </w:r>
    </w:p>
    <w:p w:rsidR="002A1E68" w:rsidRPr="00CD7A2B" w:rsidRDefault="002A1E68" w:rsidP="0075584E">
      <w:pPr>
        <w:spacing w:afterLines="40" w:after="96"/>
        <w:ind w:left="425" w:hanging="425"/>
        <w:jc w:val="both"/>
        <w:rPr>
          <w:sz w:val="22"/>
          <w:szCs w:val="22"/>
        </w:rPr>
      </w:pPr>
      <w:r w:rsidRPr="00CD7A2B">
        <w:rPr>
          <w:sz w:val="22"/>
          <w:szCs w:val="22"/>
        </w:rPr>
        <w:t xml:space="preserve">Becker, G. (1975). </w:t>
      </w:r>
      <w:r w:rsidRPr="00CD7A2B">
        <w:rPr>
          <w:i/>
          <w:sz w:val="22"/>
          <w:szCs w:val="22"/>
        </w:rPr>
        <w:t>Human capital: A theoretical and empirical analysis with special reference to education</w:t>
      </w:r>
      <w:r w:rsidRPr="00CD7A2B">
        <w:rPr>
          <w:sz w:val="22"/>
          <w:szCs w:val="22"/>
        </w:rPr>
        <w:t>, 2</w:t>
      </w:r>
      <w:r w:rsidRPr="00CD7A2B">
        <w:rPr>
          <w:sz w:val="22"/>
          <w:szCs w:val="22"/>
          <w:vertAlign w:val="superscript"/>
        </w:rPr>
        <w:t>nd</w:t>
      </w:r>
      <w:r w:rsidRPr="00CD7A2B">
        <w:rPr>
          <w:sz w:val="22"/>
          <w:szCs w:val="22"/>
        </w:rPr>
        <w:t xml:space="preserve"> edition. NBER, New York.</w:t>
      </w:r>
    </w:p>
    <w:p w:rsidR="002A1E68" w:rsidRPr="00CD7A2B" w:rsidRDefault="002A1E68" w:rsidP="0075584E">
      <w:pPr>
        <w:spacing w:afterLines="40" w:after="96"/>
        <w:ind w:left="425" w:hanging="425"/>
        <w:jc w:val="both"/>
        <w:rPr>
          <w:sz w:val="22"/>
          <w:szCs w:val="22"/>
        </w:rPr>
      </w:pPr>
      <w:r w:rsidRPr="00CD7A2B">
        <w:rPr>
          <w:sz w:val="22"/>
          <w:szCs w:val="22"/>
        </w:rPr>
        <w:t xml:space="preserve">Booth, A, (2003) – </w:t>
      </w:r>
      <w:r w:rsidRPr="00CD7A2B">
        <w:rPr>
          <w:i/>
          <w:sz w:val="22"/>
          <w:szCs w:val="22"/>
        </w:rPr>
        <w:t>Education and economic development in Southeast Asia: Myths and Realities</w:t>
      </w:r>
      <w:r w:rsidRPr="00CD7A2B">
        <w:rPr>
          <w:sz w:val="22"/>
          <w:szCs w:val="22"/>
        </w:rPr>
        <w:t xml:space="preserve">. In </w:t>
      </w:r>
      <w:proofErr w:type="spellStart"/>
      <w:r w:rsidRPr="00CD7A2B">
        <w:rPr>
          <w:sz w:val="22"/>
          <w:szCs w:val="22"/>
        </w:rPr>
        <w:t>Kwama</w:t>
      </w:r>
      <w:proofErr w:type="spellEnd"/>
      <w:r w:rsidRPr="00CD7A2B">
        <w:rPr>
          <w:sz w:val="22"/>
          <w:szCs w:val="22"/>
        </w:rPr>
        <w:t xml:space="preserve"> </w:t>
      </w:r>
      <w:proofErr w:type="spellStart"/>
      <w:r w:rsidRPr="00CD7A2B">
        <w:rPr>
          <w:sz w:val="22"/>
          <w:szCs w:val="22"/>
        </w:rPr>
        <w:t>Sundarman</w:t>
      </w:r>
      <w:proofErr w:type="spellEnd"/>
      <w:r w:rsidRPr="00CD7A2B">
        <w:rPr>
          <w:sz w:val="22"/>
          <w:szCs w:val="22"/>
        </w:rPr>
        <w:t xml:space="preserve"> </w:t>
      </w:r>
      <w:proofErr w:type="spellStart"/>
      <w:r w:rsidRPr="00CD7A2B">
        <w:rPr>
          <w:sz w:val="22"/>
          <w:szCs w:val="22"/>
        </w:rPr>
        <w:t>Jomo</w:t>
      </w:r>
      <w:proofErr w:type="spellEnd"/>
      <w:r w:rsidRPr="00CD7A2B">
        <w:rPr>
          <w:sz w:val="22"/>
          <w:szCs w:val="22"/>
        </w:rPr>
        <w:t xml:space="preserve">, eds. </w:t>
      </w:r>
      <w:r w:rsidRPr="00CD7A2B">
        <w:rPr>
          <w:i/>
          <w:sz w:val="22"/>
          <w:szCs w:val="22"/>
        </w:rPr>
        <w:t xml:space="preserve">Southeast Asian Tigers? From miracle to debacle and beyond. </w:t>
      </w:r>
      <w:r w:rsidRPr="00CD7A2B">
        <w:rPr>
          <w:sz w:val="22"/>
          <w:szCs w:val="22"/>
        </w:rPr>
        <w:t>London: Routledge Curzon.</w:t>
      </w:r>
    </w:p>
    <w:p w:rsidR="002A1E68" w:rsidRPr="00CD7A2B" w:rsidRDefault="002A1E68" w:rsidP="0075584E">
      <w:pPr>
        <w:spacing w:afterLines="40" w:after="96"/>
        <w:ind w:left="425" w:hanging="425"/>
        <w:jc w:val="both"/>
        <w:rPr>
          <w:i/>
          <w:sz w:val="22"/>
          <w:szCs w:val="22"/>
        </w:rPr>
      </w:pPr>
      <w:r w:rsidRPr="00CD7A2B">
        <w:rPr>
          <w:sz w:val="22"/>
          <w:szCs w:val="22"/>
        </w:rPr>
        <w:t xml:space="preserve">Campos, N., </w:t>
      </w:r>
      <w:r w:rsidR="003C53BC">
        <w:rPr>
          <w:sz w:val="22"/>
          <w:szCs w:val="22"/>
        </w:rPr>
        <w:t>and</w:t>
      </w:r>
      <w:r w:rsidRPr="00CD7A2B">
        <w:rPr>
          <w:sz w:val="22"/>
          <w:szCs w:val="22"/>
        </w:rPr>
        <w:t xml:space="preserve"> </w:t>
      </w:r>
      <w:proofErr w:type="spellStart"/>
      <w:r w:rsidRPr="00CD7A2B">
        <w:rPr>
          <w:sz w:val="22"/>
          <w:szCs w:val="22"/>
        </w:rPr>
        <w:t>Jolliffe</w:t>
      </w:r>
      <w:proofErr w:type="spellEnd"/>
      <w:r w:rsidRPr="00CD7A2B">
        <w:rPr>
          <w:sz w:val="22"/>
          <w:szCs w:val="22"/>
        </w:rPr>
        <w:t xml:space="preserve">, D. (2003). After, before and during: Returns to education in Hungary (1986-1998). </w:t>
      </w:r>
      <w:r w:rsidR="007F0583">
        <w:rPr>
          <w:i/>
          <w:sz w:val="22"/>
          <w:szCs w:val="22"/>
        </w:rPr>
        <w:t>Economic S</w:t>
      </w:r>
      <w:r w:rsidRPr="00CD7A2B">
        <w:rPr>
          <w:i/>
          <w:sz w:val="22"/>
          <w:szCs w:val="22"/>
        </w:rPr>
        <w:t>ystems, 27</w:t>
      </w:r>
      <w:r w:rsidRPr="00CD7A2B">
        <w:rPr>
          <w:sz w:val="22"/>
          <w:szCs w:val="22"/>
        </w:rPr>
        <w:t>(4), 377-390.</w:t>
      </w:r>
    </w:p>
    <w:p w:rsidR="002A1E68" w:rsidRPr="00CD7A2B" w:rsidRDefault="002A1E68" w:rsidP="0075584E">
      <w:pPr>
        <w:spacing w:afterLines="40" w:after="96"/>
        <w:ind w:left="425" w:hanging="425"/>
        <w:jc w:val="both"/>
        <w:rPr>
          <w:sz w:val="22"/>
          <w:szCs w:val="22"/>
        </w:rPr>
      </w:pPr>
      <w:r w:rsidRPr="00CD7A2B">
        <w:rPr>
          <w:sz w:val="22"/>
          <w:szCs w:val="22"/>
        </w:rPr>
        <w:t xml:space="preserve">Christian, B. (2014). </w:t>
      </w:r>
      <w:r w:rsidRPr="00CD7A2B">
        <w:rPr>
          <w:i/>
          <w:sz w:val="22"/>
          <w:szCs w:val="22"/>
        </w:rPr>
        <w:t>Skilling up Vietnam: Preparing the workforce for a modern market economy</w:t>
      </w:r>
      <w:r w:rsidRPr="00CD7A2B">
        <w:rPr>
          <w:sz w:val="22"/>
          <w:szCs w:val="22"/>
        </w:rPr>
        <w:t xml:space="preserve">. The World Bank, Washington DC. </w:t>
      </w:r>
    </w:p>
    <w:p w:rsidR="002A1E68" w:rsidRPr="00CD7A2B" w:rsidRDefault="002A1E68" w:rsidP="0075584E">
      <w:pPr>
        <w:spacing w:afterLines="40" w:after="96"/>
        <w:ind w:left="425" w:hanging="425"/>
        <w:jc w:val="both"/>
        <w:rPr>
          <w:sz w:val="22"/>
          <w:szCs w:val="22"/>
        </w:rPr>
      </w:pPr>
      <w:r w:rsidRPr="00CD7A2B">
        <w:rPr>
          <w:sz w:val="22"/>
          <w:szCs w:val="22"/>
        </w:rPr>
        <w:t xml:space="preserve">Colclough, C., </w:t>
      </w:r>
      <w:proofErr w:type="spellStart"/>
      <w:r w:rsidRPr="00CD7A2B">
        <w:rPr>
          <w:sz w:val="22"/>
          <w:szCs w:val="22"/>
        </w:rPr>
        <w:t>Kingdon</w:t>
      </w:r>
      <w:proofErr w:type="spellEnd"/>
      <w:r w:rsidRPr="00CD7A2B">
        <w:rPr>
          <w:sz w:val="22"/>
          <w:szCs w:val="22"/>
        </w:rPr>
        <w:t xml:space="preserve">, G., </w:t>
      </w:r>
      <w:r w:rsidR="003C53BC">
        <w:rPr>
          <w:sz w:val="22"/>
          <w:szCs w:val="22"/>
        </w:rPr>
        <w:t>and</w:t>
      </w:r>
      <w:r w:rsidRPr="00CD7A2B">
        <w:rPr>
          <w:sz w:val="22"/>
          <w:szCs w:val="22"/>
        </w:rPr>
        <w:t xml:space="preserve"> </w:t>
      </w:r>
      <w:proofErr w:type="spellStart"/>
      <w:r w:rsidRPr="00CD7A2B">
        <w:rPr>
          <w:sz w:val="22"/>
          <w:szCs w:val="22"/>
        </w:rPr>
        <w:t>Patrinos</w:t>
      </w:r>
      <w:proofErr w:type="spellEnd"/>
      <w:r w:rsidRPr="00CD7A2B">
        <w:rPr>
          <w:sz w:val="22"/>
          <w:szCs w:val="22"/>
        </w:rPr>
        <w:t xml:space="preserve">, H. (2010). The changing pattern of wage returns to education and its implications. </w:t>
      </w:r>
      <w:r w:rsidRPr="00CD7A2B">
        <w:rPr>
          <w:i/>
          <w:sz w:val="22"/>
          <w:szCs w:val="22"/>
        </w:rPr>
        <w:t>Development Policy Review, 28</w:t>
      </w:r>
      <w:r w:rsidRPr="00CD7A2B">
        <w:rPr>
          <w:sz w:val="22"/>
          <w:szCs w:val="22"/>
        </w:rPr>
        <w:t>(6), 733–747.</w:t>
      </w:r>
    </w:p>
    <w:p w:rsidR="002A1E68" w:rsidRPr="00CD7A2B" w:rsidRDefault="002A1E68" w:rsidP="0075584E">
      <w:pPr>
        <w:spacing w:afterLines="40" w:after="96"/>
        <w:ind w:left="425" w:hanging="425"/>
        <w:jc w:val="both"/>
        <w:rPr>
          <w:sz w:val="22"/>
          <w:szCs w:val="22"/>
        </w:rPr>
      </w:pPr>
      <w:r w:rsidRPr="00CD7A2B">
        <w:rPr>
          <w:sz w:val="22"/>
          <w:szCs w:val="22"/>
        </w:rPr>
        <w:t>Coxhead, I</w:t>
      </w:r>
      <w:r w:rsidR="00805177">
        <w:rPr>
          <w:sz w:val="22"/>
          <w:szCs w:val="22"/>
        </w:rPr>
        <w:t xml:space="preserve">. </w:t>
      </w:r>
      <w:r w:rsidR="003C53BC">
        <w:rPr>
          <w:sz w:val="22"/>
          <w:szCs w:val="22"/>
        </w:rPr>
        <w:t>and</w:t>
      </w:r>
      <w:r w:rsidR="00805177">
        <w:rPr>
          <w:sz w:val="22"/>
          <w:szCs w:val="22"/>
        </w:rPr>
        <w:t xml:space="preserve"> Phan, D. (2013)</w:t>
      </w:r>
      <w:r w:rsidRPr="00CD7A2B">
        <w:rPr>
          <w:sz w:val="22"/>
          <w:szCs w:val="22"/>
        </w:rPr>
        <w:t xml:space="preserve">. Princelings and Paupers? State employment and the distribution of human capital investments among households in Vietnam. </w:t>
      </w:r>
      <w:r w:rsidRPr="00CD7A2B">
        <w:rPr>
          <w:i/>
          <w:sz w:val="22"/>
          <w:szCs w:val="22"/>
        </w:rPr>
        <w:t>Asian Development Review, 30</w:t>
      </w:r>
      <w:r w:rsidR="00805177">
        <w:rPr>
          <w:sz w:val="22"/>
          <w:szCs w:val="22"/>
        </w:rPr>
        <w:t>(2)</w:t>
      </w:r>
      <w:r w:rsidRPr="00CD7A2B">
        <w:rPr>
          <w:sz w:val="22"/>
          <w:szCs w:val="22"/>
        </w:rPr>
        <w:t xml:space="preserve"> </w:t>
      </w:r>
      <w:r w:rsidR="008623C3">
        <w:rPr>
          <w:sz w:val="22"/>
          <w:szCs w:val="22"/>
        </w:rPr>
        <w:br/>
      </w:r>
      <w:r w:rsidRPr="00CD7A2B">
        <w:rPr>
          <w:sz w:val="22"/>
          <w:szCs w:val="22"/>
        </w:rPr>
        <w:t>26-48.</w:t>
      </w:r>
    </w:p>
    <w:p w:rsidR="002A1E68" w:rsidRPr="00CD7A2B" w:rsidRDefault="002A1E68" w:rsidP="0075584E">
      <w:pPr>
        <w:pStyle w:val="NormalWeb"/>
        <w:spacing w:before="0" w:beforeAutospacing="0" w:afterLines="40" w:after="96" w:afterAutospacing="0"/>
        <w:ind w:left="425" w:hanging="425"/>
        <w:jc w:val="both"/>
        <w:rPr>
          <w:sz w:val="22"/>
          <w:szCs w:val="22"/>
        </w:rPr>
      </w:pPr>
      <w:r w:rsidRPr="00CD7A2B">
        <w:rPr>
          <w:sz w:val="22"/>
          <w:szCs w:val="22"/>
        </w:rPr>
        <w:t xml:space="preserve">Doan, T., </w:t>
      </w:r>
      <w:r w:rsidR="003C53BC">
        <w:rPr>
          <w:sz w:val="22"/>
          <w:szCs w:val="22"/>
        </w:rPr>
        <w:t>and</w:t>
      </w:r>
      <w:r w:rsidRPr="00CD7A2B">
        <w:rPr>
          <w:sz w:val="22"/>
          <w:szCs w:val="22"/>
        </w:rPr>
        <w:t xml:space="preserve"> Gibson, J. (2012). </w:t>
      </w:r>
      <w:hyperlink r:id="rId14" w:history="1">
        <w:proofErr w:type="gramStart"/>
        <w:r w:rsidRPr="00CD7A2B">
          <w:rPr>
            <w:bCs/>
            <w:sz w:val="22"/>
            <w:szCs w:val="22"/>
          </w:rPr>
          <w:t>Return</w:t>
        </w:r>
        <w:r w:rsidR="009F619B">
          <w:rPr>
            <w:bCs/>
            <w:sz w:val="22"/>
            <w:szCs w:val="22"/>
          </w:rPr>
          <w:t>s</w:t>
        </w:r>
        <w:r w:rsidRPr="00CD7A2B">
          <w:rPr>
            <w:bCs/>
            <w:sz w:val="22"/>
            <w:szCs w:val="22"/>
          </w:rPr>
          <w:t xml:space="preserve"> to education in Vietnam during the recent transformation</w:t>
        </w:r>
      </w:hyperlink>
      <w:r w:rsidRPr="00CD7A2B">
        <w:rPr>
          <w:bCs/>
          <w:sz w:val="22"/>
          <w:szCs w:val="22"/>
        </w:rPr>
        <w:t>.</w:t>
      </w:r>
      <w:proofErr w:type="gramEnd"/>
      <w:r w:rsidRPr="00CD7A2B">
        <w:rPr>
          <w:bCs/>
          <w:sz w:val="22"/>
          <w:szCs w:val="22"/>
        </w:rPr>
        <w:t xml:space="preserve"> </w:t>
      </w:r>
      <w:hyperlink r:id="rId15" w:history="1">
        <w:r w:rsidRPr="00CD7A2B">
          <w:rPr>
            <w:i/>
            <w:iCs/>
            <w:sz w:val="22"/>
            <w:szCs w:val="22"/>
          </w:rPr>
          <w:t>International Journal of Education Economics and Development</w:t>
        </w:r>
      </w:hyperlink>
      <w:r w:rsidRPr="00CD7A2B">
        <w:rPr>
          <w:iCs/>
          <w:sz w:val="22"/>
          <w:szCs w:val="22"/>
        </w:rPr>
        <w:t xml:space="preserve">, </w:t>
      </w:r>
      <w:hyperlink r:id="rId16" w:history="1">
        <w:r w:rsidRPr="00CD7A2B">
          <w:rPr>
            <w:i/>
            <w:iCs/>
            <w:sz w:val="22"/>
            <w:szCs w:val="22"/>
          </w:rPr>
          <w:t>3</w:t>
        </w:r>
        <w:r w:rsidRPr="00CD7A2B">
          <w:rPr>
            <w:iCs/>
            <w:sz w:val="22"/>
            <w:szCs w:val="22"/>
          </w:rPr>
          <w:t xml:space="preserve">(4), </w:t>
        </w:r>
        <w:r w:rsidRPr="00CD7A2B">
          <w:rPr>
            <w:sz w:val="22"/>
            <w:szCs w:val="22"/>
          </w:rPr>
          <w:t>314 - 329</w:t>
        </w:r>
        <w:r w:rsidRPr="00CD7A2B">
          <w:rPr>
            <w:iCs/>
            <w:sz w:val="22"/>
            <w:szCs w:val="22"/>
          </w:rPr>
          <w:t xml:space="preserve"> </w:t>
        </w:r>
      </w:hyperlink>
    </w:p>
    <w:p w:rsidR="002A1E68" w:rsidRPr="00CD7A2B" w:rsidRDefault="00805177" w:rsidP="0075584E">
      <w:pPr>
        <w:spacing w:afterLines="40" w:after="96"/>
        <w:ind w:left="425" w:hanging="425"/>
        <w:jc w:val="both"/>
        <w:rPr>
          <w:sz w:val="22"/>
          <w:szCs w:val="22"/>
        </w:rPr>
      </w:pPr>
      <w:proofErr w:type="spellStart"/>
      <w:r>
        <w:rPr>
          <w:sz w:val="22"/>
          <w:szCs w:val="22"/>
        </w:rPr>
        <w:t>Flabbi</w:t>
      </w:r>
      <w:proofErr w:type="spellEnd"/>
      <w:r>
        <w:rPr>
          <w:sz w:val="22"/>
          <w:szCs w:val="22"/>
        </w:rPr>
        <w:t xml:space="preserve">, L., </w:t>
      </w:r>
      <w:proofErr w:type="spellStart"/>
      <w:r>
        <w:rPr>
          <w:sz w:val="22"/>
          <w:szCs w:val="22"/>
        </w:rPr>
        <w:t>Paternostro</w:t>
      </w:r>
      <w:proofErr w:type="spellEnd"/>
      <w:r>
        <w:rPr>
          <w:sz w:val="22"/>
          <w:szCs w:val="22"/>
        </w:rPr>
        <w:t>, S.</w:t>
      </w:r>
      <w:r w:rsidR="002A1E68" w:rsidRPr="00CD7A2B">
        <w:rPr>
          <w:sz w:val="22"/>
          <w:szCs w:val="22"/>
        </w:rPr>
        <w:t xml:space="preserve"> </w:t>
      </w:r>
      <w:r w:rsidR="003C53BC">
        <w:rPr>
          <w:sz w:val="22"/>
          <w:szCs w:val="22"/>
        </w:rPr>
        <w:t>and</w:t>
      </w:r>
      <w:r w:rsidR="002A1E68" w:rsidRPr="00CD7A2B">
        <w:rPr>
          <w:sz w:val="22"/>
          <w:szCs w:val="22"/>
        </w:rPr>
        <w:t xml:space="preserve"> </w:t>
      </w:r>
      <w:proofErr w:type="spellStart"/>
      <w:r w:rsidR="002A1E68" w:rsidRPr="00CD7A2B">
        <w:rPr>
          <w:sz w:val="22"/>
          <w:szCs w:val="22"/>
        </w:rPr>
        <w:t>Tiongson</w:t>
      </w:r>
      <w:proofErr w:type="spellEnd"/>
      <w:r w:rsidR="002A1E68" w:rsidRPr="00CD7A2B">
        <w:rPr>
          <w:sz w:val="22"/>
          <w:szCs w:val="22"/>
        </w:rPr>
        <w:t xml:space="preserve">, E. (2008). Returns to education in the economic transition: A systematic assessment using comparable data. </w:t>
      </w:r>
      <w:r w:rsidR="002A1E68" w:rsidRPr="00CD7A2B">
        <w:rPr>
          <w:i/>
          <w:sz w:val="22"/>
          <w:szCs w:val="22"/>
        </w:rPr>
        <w:t>Economics of Education Review, 27</w:t>
      </w:r>
      <w:r>
        <w:rPr>
          <w:sz w:val="22"/>
          <w:szCs w:val="22"/>
        </w:rPr>
        <w:t>(2008)</w:t>
      </w:r>
      <w:r w:rsidR="002A1E68" w:rsidRPr="00CD7A2B">
        <w:rPr>
          <w:sz w:val="22"/>
          <w:szCs w:val="22"/>
        </w:rPr>
        <w:t xml:space="preserve"> </w:t>
      </w:r>
      <w:r w:rsidR="009F619B">
        <w:rPr>
          <w:sz w:val="22"/>
          <w:szCs w:val="22"/>
        </w:rPr>
        <w:br/>
      </w:r>
      <w:r w:rsidR="002A1E68" w:rsidRPr="00CD7A2B">
        <w:rPr>
          <w:sz w:val="22"/>
          <w:szCs w:val="22"/>
        </w:rPr>
        <w:t>724-740.</w:t>
      </w:r>
    </w:p>
    <w:p w:rsidR="002A1E68" w:rsidRPr="00CD7A2B" w:rsidRDefault="002A1E68" w:rsidP="0075584E">
      <w:pPr>
        <w:spacing w:afterLines="40" w:after="96"/>
        <w:ind w:left="425" w:hanging="425"/>
        <w:jc w:val="both"/>
        <w:rPr>
          <w:sz w:val="22"/>
          <w:szCs w:val="22"/>
        </w:rPr>
      </w:pPr>
      <w:r w:rsidRPr="00CD7A2B">
        <w:rPr>
          <w:sz w:val="22"/>
          <w:szCs w:val="22"/>
        </w:rPr>
        <w:t xml:space="preserve">Fleisher, B., </w:t>
      </w:r>
      <w:proofErr w:type="spellStart"/>
      <w:r w:rsidRPr="00CD7A2B">
        <w:rPr>
          <w:sz w:val="22"/>
          <w:szCs w:val="22"/>
        </w:rPr>
        <w:t>Sabirianova</w:t>
      </w:r>
      <w:proofErr w:type="spellEnd"/>
      <w:r w:rsidRPr="00CD7A2B">
        <w:rPr>
          <w:sz w:val="22"/>
          <w:szCs w:val="22"/>
        </w:rPr>
        <w:t xml:space="preserve">, K., </w:t>
      </w:r>
      <w:r w:rsidR="003C53BC">
        <w:rPr>
          <w:sz w:val="22"/>
          <w:szCs w:val="22"/>
        </w:rPr>
        <w:t>and</w:t>
      </w:r>
      <w:r w:rsidRPr="00CD7A2B">
        <w:rPr>
          <w:sz w:val="22"/>
          <w:szCs w:val="22"/>
        </w:rPr>
        <w:t xml:space="preserve"> Wang, X. (2005). Returns to skills and the speed of reforms: Evidence from Central and Eastern Europe, China, and Russia. </w:t>
      </w:r>
      <w:r w:rsidRPr="00CD7A2B">
        <w:rPr>
          <w:i/>
          <w:sz w:val="22"/>
          <w:szCs w:val="22"/>
        </w:rPr>
        <w:t>Journal of Comparative Economics, 33</w:t>
      </w:r>
      <w:r w:rsidRPr="00CD7A2B">
        <w:rPr>
          <w:sz w:val="22"/>
          <w:szCs w:val="22"/>
        </w:rPr>
        <w:t>, 351-370.</w:t>
      </w:r>
    </w:p>
    <w:p w:rsidR="002A1E68" w:rsidRPr="00CD7A2B" w:rsidRDefault="002A1E68" w:rsidP="009F619B">
      <w:pPr>
        <w:widowControl w:val="0"/>
        <w:overflowPunct w:val="0"/>
        <w:autoSpaceDE w:val="0"/>
        <w:autoSpaceDN w:val="0"/>
        <w:adjustRightInd w:val="0"/>
        <w:spacing w:afterLines="40" w:after="96"/>
        <w:ind w:left="425" w:right="23" w:hanging="425"/>
        <w:jc w:val="both"/>
        <w:rPr>
          <w:sz w:val="22"/>
          <w:szCs w:val="22"/>
        </w:rPr>
      </w:pPr>
      <w:r w:rsidRPr="00CD7A2B">
        <w:rPr>
          <w:sz w:val="22"/>
          <w:szCs w:val="22"/>
        </w:rPr>
        <w:t xml:space="preserve">Gallup, J. (2002). </w:t>
      </w:r>
      <w:r w:rsidRPr="00CD7A2B">
        <w:rPr>
          <w:i/>
          <w:iCs/>
          <w:sz w:val="22"/>
          <w:szCs w:val="22"/>
        </w:rPr>
        <w:t>The wage l</w:t>
      </w:r>
      <w:r w:rsidR="009F619B">
        <w:rPr>
          <w:i/>
          <w:iCs/>
          <w:sz w:val="22"/>
          <w:szCs w:val="22"/>
        </w:rPr>
        <w:t>abour market and inequality in V</w:t>
      </w:r>
      <w:r w:rsidRPr="00CD7A2B">
        <w:rPr>
          <w:i/>
          <w:iCs/>
          <w:sz w:val="22"/>
          <w:szCs w:val="22"/>
        </w:rPr>
        <w:t>ietnam in the 1990s.</w:t>
      </w:r>
      <w:r w:rsidRPr="00CD7A2B">
        <w:rPr>
          <w:sz w:val="22"/>
          <w:szCs w:val="22"/>
        </w:rPr>
        <w:t xml:space="preserve"> </w:t>
      </w:r>
      <w:proofErr w:type="gramStart"/>
      <w:r w:rsidRPr="00CD7A2B">
        <w:rPr>
          <w:sz w:val="22"/>
          <w:szCs w:val="22"/>
        </w:rPr>
        <w:t>World Bank Policy Research Worki</w:t>
      </w:r>
      <w:r w:rsidR="009F619B">
        <w:rPr>
          <w:sz w:val="22"/>
          <w:szCs w:val="22"/>
        </w:rPr>
        <w:t>ng Paper No.2896.</w:t>
      </w:r>
      <w:proofErr w:type="gramEnd"/>
      <w:r w:rsidR="009F619B">
        <w:rPr>
          <w:sz w:val="22"/>
          <w:szCs w:val="22"/>
        </w:rPr>
        <w:t xml:space="preserve"> </w:t>
      </w:r>
      <w:r w:rsidR="009871AF">
        <w:rPr>
          <w:sz w:val="22"/>
          <w:szCs w:val="22"/>
        </w:rPr>
        <w:t xml:space="preserve">   </w:t>
      </w:r>
      <w:r w:rsidR="008623C3">
        <w:rPr>
          <w:sz w:val="22"/>
          <w:szCs w:val="22"/>
        </w:rPr>
        <w:t xml:space="preserve">Retrieved </w:t>
      </w:r>
      <w:r w:rsidR="009F619B">
        <w:rPr>
          <w:sz w:val="22"/>
          <w:szCs w:val="22"/>
        </w:rPr>
        <w:t xml:space="preserve">18 August 2012 </w:t>
      </w:r>
      <w:proofErr w:type="gramStart"/>
      <w:r w:rsidR="009F619B">
        <w:rPr>
          <w:sz w:val="22"/>
          <w:szCs w:val="22"/>
        </w:rPr>
        <w:t xml:space="preserve">from </w:t>
      </w:r>
      <w:r w:rsidRPr="00CD7A2B">
        <w:rPr>
          <w:sz w:val="22"/>
          <w:szCs w:val="22"/>
        </w:rPr>
        <w:t xml:space="preserve"> </w:t>
      </w:r>
      <w:proofErr w:type="gramEnd"/>
      <w:r w:rsidR="009F619B">
        <w:rPr>
          <w:sz w:val="22"/>
          <w:szCs w:val="22"/>
        </w:rPr>
        <w:fldChar w:fldCharType="begin"/>
      </w:r>
      <w:r w:rsidR="009F619B">
        <w:rPr>
          <w:sz w:val="22"/>
          <w:szCs w:val="22"/>
        </w:rPr>
        <w:instrText xml:space="preserve"> HYPERLINK "</w:instrText>
      </w:r>
      <w:r w:rsidR="009F619B" w:rsidRPr="009F619B">
        <w:rPr>
          <w:sz w:val="22"/>
          <w:szCs w:val="22"/>
        </w:rPr>
        <w:instrText>http://ssrn.com/abstract=63625</w:instrText>
      </w:r>
      <w:r w:rsidR="009F619B">
        <w:rPr>
          <w:sz w:val="22"/>
          <w:szCs w:val="22"/>
        </w:rPr>
        <w:instrText xml:space="preserve">" </w:instrText>
      </w:r>
      <w:r w:rsidR="009F619B">
        <w:rPr>
          <w:sz w:val="22"/>
          <w:szCs w:val="22"/>
        </w:rPr>
        <w:fldChar w:fldCharType="separate"/>
      </w:r>
      <w:r w:rsidR="009F619B" w:rsidRPr="00365433">
        <w:rPr>
          <w:rStyle w:val="Hyperlink"/>
          <w:sz w:val="22"/>
          <w:szCs w:val="22"/>
        </w:rPr>
        <w:t>http://ssrn.com/abstract=63625</w:t>
      </w:r>
      <w:r w:rsidR="009F619B">
        <w:rPr>
          <w:sz w:val="22"/>
          <w:szCs w:val="22"/>
        </w:rPr>
        <w:fldChar w:fldCharType="end"/>
      </w:r>
      <w:r w:rsidRPr="00CD7A2B">
        <w:rPr>
          <w:color w:val="0000FF"/>
          <w:sz w:val="22"/>
          <w:szCs w:val="22"/>
          <w:u w:val="single"/>
        </w:rPr>
        <w:t>9</w:t>
      </w:r>
    </w:p>
    <w:p w:rsidR="00CD7A2B" w:rsidRDefault="002A1E68" w:rsidP="009F619B">
      <w:pPr>
        <w:widowControl w:val="0"/>
        <w:autoSpaceDE w:val="0"/>
        <w:autoSpaceDN w:val="0"/>
        <w:adjustRightInd w:val="0"/>
        <w:ind w:left="425" w:hanging="425"/>
        <w:jc w:val="both"/>
        <w:rPr>
          <w:iCs/>
          <w:sz w:val="22"/>
          <w:szCs w:val="22"/>
        </w:rPr>
      </w:pPr>
      <w:proofErr w:type="spellStart"/>
      <w:r w:rsidRPr="00CD7A2B">
        <w:rPr>
          <w:sz w:val="22"/>
          <w:szCs w:val="22"/>
        </w:rPr>
        <w:lastRenderedPageBreak/>
        <w:t>Glewwe</w:t>
      </w:r>
      <w:proofErr w:type="spellEnd"/>
      <w:proofErr w:type="gramStart"/>
      <w:r w:rsidRPr="00CD7A2B">
        <w:rPr>
          <w:sz w:val="22"/>
          <w:szCs w:val="22"/>
        </w:rPr>
        <w:t>,  P</w:t>
      </w:r>
      <w:proofErr w:type="gramEnd"/>
      <w:r w:rsidRPr="00CD7A2B">
        <w:rPr>
          <w:sz w:val="22"/>
          <w:szCs w:val="22"/>
        </w:rPr>
        <w:t xml:space="preserve">.,  </w:t>
      </w:r>
      <w:r w:rsidR="003C53BC">
        <w:rPr>
          <w:sz w:val="22"/>
          <w:szCs w:val="22"/>
        </w:rPr>
        <w:t>and</w:t>
      </w:r>
      <w:r w:rsidRPr="00CD7A2B">
        <w:rPr>
          <w:sz w:val="22"/>
          <w:szCs w:val="22"/>
        </w:rPr>
        <w:t xml:space="preserve">  </w:t>
      </w:r>
      <w:proofErr w:type="spellStart"/>
      <w:r w:rsidRPr="00CD7A2B">
        <w:rPr>
          <w:sz w:val="22"/>
          <w:szCs w:val="22"/>
        </w:rPr>
        <w:t>Patrinos</w:t>
      </w:r>
      <w:proofErr w:type="spellEnd"/>
      <w:r w:rsidRPr="00CD7A2B">
        <w:rPr>
          <w:sz w:val="22"/>
          <w:szCs w:val="22"/>
        </w:rPr>
        <w:t xml:space="preserve">,  H.  (1998).  </w:t>
      </w:r>
      <w:r w:rsidRPr="00CD7A2B">
        <w:rPr>
          <w:i/>
          <w:iCs/>
          <w:sz w:val="22"/>
          <w:szCs w:val="22"/>
        </w:rPr>
        <w:t>The  role  of  the  private  sector  in  education  in  Vietnam: Evidence from the Vietnam Living Standards Survey.</w:t>
      </w:r>
      <w:r w:rsidRPr="00CD7A2B">
        <w:rPr>
          <w:iCs/>
          <w:sz w:val="22"/>
          <w:szCs w:val="22"/>
        </w:rPr>
        <w:t xml:space="preserve"> Available at</w:t>
      </w:r>
      <w:r w:rsidR="00CD7A2B">
        <w:rPr>
          <w:iCs/>
          <w:sz w:val="22"/>
          <w:szCs w:val="22"/>
        </w:rPr>
        <w:t>:</w:t>
      </w:r>
      <w:r w:rsidRPr="00CD7A2B">
        <w:rPr>
          <w:iCs/>
          <w:sz w:val="22"/>
          <w:szCs w:val="22"/>
        </w:rPr>
        <w:t xml:space="preserve"> </w:t>
      </w:r>
    </w:p>
    <w:p w:rsidR="002A1E68" w:rsidRPr="00CD7A2B" w:rsidRDefault="00CD7A2B" w:rsidP="0075584E">
      <w:pPr>
        <w:widowControl w:val="0"/>
        <w:autoSpaceDE w:val="0"/>
        <w:autoSpaceDN w:val="0"/>
        <w:adjustRightInd w:val="0"/>
        <w:spacing w:afterLines="40" w:after="96"/>
        <w:ind w:left="425" w:hanging="425"/>
        <w:jc w:val="both"/>
        <w:rPr>
          <w:sz w:val="22"/>
          <w:szCs w:val="22"/>
        </w:rPr>
      </w:pPr>
      <w:r>
        <w:rPr>
          <w:iCs/>
          <w:sz w:val="22"/>
          <w:szCs w:val="22"/>
        </w:rPr>
        <w:tab/>
      </w:r>
      <w:hyperlink r:id="rId17" w:history="1">
        <w:r w:rsidR="002A1E68" w:rsidRPr="00CD7A2B">
          <w:rPr>
            <w:rStyle w:val="Hyperlink"/>
            <w:iCs/>
            <w:sz w:val="22"/>
            <w:szCs w:val="22"/>
          </w:rPr>
          <w:t>http://elibrary.worldbank.org/doi/abs/10.1596/0-8213-4167-7</w:t>
        </w:r>
      </w:hyperlink>
      <w:r w:rsidR="002A1E68" w:rsidRPr="00CD7A2B">
        <w:rPr>
          <w:iCs/>
          <w:sz w:val="22"/>
          <w:szCs w:val="22"/>
        </w:rPr>
        <w:t xml:space="preserve"> </w:t>
      </w:r>
    </w:p>
    <w:p w:rsidR="002A1E68" w:rsidRPr="00CD7A2B" w:rsidRDefault="002A1E68" w:rsidP="0075584E">
      <w:pPr>
        <w:widowControl w:val="0"/>
        <w:autoSpaceDE w:val="0"/>
        <w:autoSpaceDN w:val="0"/>
        <w:adjustRightInd w:val="0"/>
        <w:spacing w:afterLines="40" w:after="96"/>
        <w:ind w:left="425" w:hanging="425"/>
        <w:jc w:val="both"/>
        <w:rPr>
          <w:sz w:val="22"/>
          <w:szCs w:val="22"/>
        </w:rPr>
      </w:pPr>
      <w:r w:rsidRPr="00CD7A2B">
        <w:rPr>
          <w:sz w:val="22"/>
          <w:szCs w:val="22"/>
        </w:rPr>
        <w:t xml:space="preserve">Heckman, J. (1979). Sample selection as a specification error. </w:t>
      </w:r>
      <w:proofErr w:type="spellStart"/>
      <w:r w:rsidRPr="00CD7A2B">
        <w:rPr>
          <w:i/>
          <w:iCs/>
          <w:sz w:val="22"/>
          <w:szCs w:val="22"/>
        </w:rPr>
        <w:t>Econometrica</w:t>
      </w:r>
      <w:proofErr w:type="spellEnd"/>
      <w:r w:rsidRPr="00CD7A2B">
        <w:rPr>
          <w:i/>
          <w:iCs/>
          <w:sz w:val="22"/>
          <w:szCs w:val="22"/>
        </w:rPr>
        <w:t>, 47</w:t>
      </w:r>
      <w:r w:rsidRPr="00CD7A2B">
        <w:rPr>
          <w:sz w:val="22"/>
          <w:szCs w:val="22"/>
        </w:rPr>
        <w:t>(1), 153-162.</w:t>
      </w:r>
    </w:p>
    <w:p w:rsidR="002A1E68" w:rsidRPr="00CD7A2B" w:rsidRDefault="002A1E68" w:rsidP="0075584E">
      <w:pPr>
        <w:spacing w:afterLines="40" w:after="96"/>
        <w:ind w:left="425" w:hanging="425"/>
        <w:jc w:val="both"/>
        <w:rPr>
          <w:sz w:val="22"/>
          <w:szCs w:val="22"/>
        </w:rPr>
      </w:pPr>
      <w:r w:rsidRPr="00CD7A2B">
        <w:rPr>
          <w:sz w:val="22"/>
          <w:szCs w:val="22"/>
        </w:rPr>
        <w:t xml:space="preserve">Heckman, J., </w:t>
      </w:r>
      <w:proofErr w:type="spellStart"/>
      <w:r w:rsidRPr="00CD7A2B">
        <w:rPr>
          <w:sz w:val="22"/>
          <w:szCs w:val="22"/>
        </w:rPr>
        <w:t>Lochner</w:t>
      </w:r>
      <w:proofErr w:type="spellEnd"/>
      <w:r w:rsidRPr="00CD7A2B">
        <w:rPr>
          <w:sz w:val="22"/>
          <w:szCs w:val="22"/>
        </w:rPr>
        <w:t xml:space="preserve">, L., </w:t>
      </w:r>
      <w:r w:rsidR="003C53BC">
        <w:rPr>
          <w:sz w:val="22"/>
          <w:szCs w:val="22"/>
        </w:rPr>
        <w:t>and</w:t>
      </w:r>
      <w:r w:rsidRPr="00CD7A2B">
        <w:rPr>
          <w:sz w:val="22"/>
          <w:szCs w:val="22"/>
        </w:rPr>
        <w:t xml:space="preserve"> Todd, P. (2003). </w:t>
      </w:r>
      <w:r w:rsidRPr="00CD7A2B">
        <w:rPr>
          <w:i/>
          <w:sz w:val="22"/>
          <w:szCs w:val="22"/>
        </w:rPr>
        <w:t>Fifty years of Mincer Earnings regressions</w:t>
      </w:r>
      <w:r w:rsidRPr="00CD7A2B">
        <w:rPr>
          <w:sz w:val="22"/>
          <w:szCs w:val="22"/>
        </w:rPr>
        <w:t xml:space="preserve">. NBER Working Papers 9732. </w:t>
      </w:r>
    </w:p>
    <w:p w:rsidR="002A1E68" w:rsidRPr="00CD7A2B" w:rsidRDefault="002A1E68" w:rsidP="0075584E">
      <w:pPr>
        <w:spacing w:afterLines="40" w:after="96"/>
        <w:ind w:left="425" w:hanging="425"/>
        <w:jc w:val="both"/>
        <w:rPr>
          <w:sz w:val="22"/>
          <w:szCs w:val="22"/>
        </w:rPr>
      </w:pPr>
      <w:r w:rsidRPr="00CD7A2B">
        <w:rPr>
          <w:sz w:val="22"/>
          <w:szCs w:val="22"/>
        </w:rPr>
        <w:t xml:space="preserve">IMF (2012). </w:t>
      </w:r>
      <w:r w:rsidRPr="00CD7A2B">
        <w:rPr>
          <w:i/>
          <w:sz w:val="22"/>
          <w:szCs w:val="22"/>
        </w:rPr>
        <w:t>Article IV consultation</w:t>
      </w:r>
      <w:r w:rsidRPr="00CD7A2B">
        <w:rPr>
          <w:sz w:val="22"/>
          <w:szCs w:val="22"/>
        </w:rPr>
        <w:t>. IMF country report No.12/165. Washington, DC: International Monetary Fund.</w:t>
      </w:r>
    </w:p>
    <w:p w:rsidR="002A1E68" w:rsidRPr="00CD7A2B" w:rsidRDefault="002A1E68" w:rsidP="0075584E">
      <w:pPr>
        <w:spacing w:afterLines="40" w:after="96"/>
        <w:ind w:left="425" w:hanging="425"/>
        <w:jc w:val="both"/>
        <w:rPr>
          <w:sz w:val="22"/>
          <w:szCs w:val="22"/>
        </w:rPr>
      </w:pPr>
      <w:r w:rsidRPr="00CD7A2B">
        <w:rPr>
          <w:sz w:val="22"/>
          <w:szCs w:val="22"/>
        </w:rPr>
        <w:t xml:space="preserve">Katz, L., </w:t>
      </w:r>
      <w:r w:rsidR="003C53BC">
        <w:rPr>
          <w:sz w:val="22"/>
          <w:szCs w:val="22"/>
        </w:rPr>
        <w:t>and</w:t>
      </w:r>
      <w:r w:rsidRPr="00CD7A2B">
        <w:rPr>
          <w:sz w:val="22"/>
          <w:szCs w:val="22"/>
        </w:rPr>
        <w:t xml:space="preserve"> </w:t>
      </w:r>
      <w:proofErr w:type="spellStart"/>
      <w:r w:rsidRPr="00CD7A2B">
        <w:rPr>
          <w:sz w:val="22"/>
          <w:szCs w:val="22"/>
        </w:rPr>
        <w:t>Autor</w:t>
      </w:r>
      <w:proofErr w:type="spellEnd"/>
      <w:r w:rsidRPr="00CD7A2B">
        <w:rPr>
          <w:sz w:val="22"/>
          <w:szCs w:val="22"/>
        </w:rPr>
        <w:t xml:space="preserve">, D. (1999). Changes in wage structure and earnings inequality. In O </w:t>
      </w:r>
      <w:proofErr w:type="spellStart"/>
      <w:r w:rsidRPr="00CD7A2B">
        <w:rPr>
          <w:sz w:val="22"/>
          <w:szCs w:val="22"/>
        </w:rPr>
        <w:t>Ashenfelter</w:t>
      </w:r>
      <w:proofErr w:type="spellEnd"/>
      <w:r w:rsidRPr="00CD7A2B">
        <w:rPr>
          <w:sz w:val="22"/>
          <w:szCs w:val="22"/>
        </w:rPr>
        <w:t xml:space="preserve"> and D. Card, Eds. </w:t>
      </w:r>
      <w:r w:rsidRPr="00CD7A2B">
        <w:rPr>
          <w:i/>
          <w:sz w:val="22"/>
          <w:szCs w:val="22"/>
        </w:rPr>
        <w:t>Handbook of Labour Economics,  3</w:t>
      </w:r>
      <w:r w:rsidRPr="00CD7A2B">
        <w:rPr>
          <w:sz w:val="22"/>
          <w:szCs w:val="22"/>
        </w:rPr>
        <w:t>, 1463-1555, Elsevier Science.</w:t>
      </w:r>
    </w:p>
    <w:p w:rsidR="002A1E68" w:rsidRPr="00CD7A2B" w:rsidRDefault="002A1E68" w:rsidP="0075584E">
      <w:pPr>
        <w:widowControl w:val="0"/>
        <w:autoSpaceDE w:val="0"/>
        <w:autoSpaceDN w:val="0"/>
        <w:adjustRightInd w:val="0"/>
        <w:spacing w:afterLines="40" w:after="96"/>
        <w:ind w:left="425" w:hanging="425"/>
        <w:jc w:val="both"/>
        <w:rPr>
          <w:sz w:val="22"/>
          <w:szCs w:val="22"/>
        </w:rPr>
      </w:pPr>
      <w:r w:rsidRPr="00CD7A2B">
        <w:rPr>
          <w:sz w:val="22"/>
          <w:szCs w:val="22"/>
        </w:rPr>
        <w:t xml:space="preserve">Krugman, P. (1992). </w:t>
      </w:r>
      <w:r w:rsidRPr="00CD7A2B">
        <w:rPr>
          <w:i/>
          <w:sz w:val="22"/>
          <w:szCs w:val="22"/>
        </w:rPr>
        <w:t>The age of diminished expectations: US economic policy in the 1980s</w:t>
      </w:r>
      <w:r w:rsidRPr="00CD7A2B">
        <w:rPr>
          <w:sz w:val="22"/>
          <w:szCs w:val="22"/>
        </w:rPr>
        <w:t>, MIT Press, Cambridge MA.</w:t>
      </w:r>
    </w:p>
    <w:p w:rsidR="002A1E68" w:rsidRPr="00CD7A2B" w:rsidRDefault="002A1E68" w:rsidP="0075584E">
      <w:pPr>
        <w:spacing w:afterLines="40" w:after="96"/>
        <w:ind w:left="425" w:hanging="425"/>
        <w:jc w:val="both"/>
        <w:rPr>
          <w:sz w:val="22"/>
          <w:szCs w:val="22"/>
        </w:rPr>
      </w:pPr>
      <w:r w:rsidRPr="00CD7A2B">
        <w:rPr>
          <w:sz w:val="22"/>
          <w:szCs w:val="22"/>
        </w:rPr>
        <w:t xml:space="preserve">Mincer, J. (1974). </w:t>
      </w:r>
      <w:r w:rsidRPr="00CD7A2B">
        <w:rPr>
          <w:i/>
          <w:sz w:val="22"/>
          <w:szCs w:val="22"/>
        </w:rPr>
        <w:t>Schooling, experience and earnings</w:t>
      </w:r>
      <w:r w:rsidRPr="00CD7A2B">
        <w:rPr>
          <w:sz w:val="22"/>
          <w:szCs w:val="22"/>
        </w:rPr>
        <w:t>. New York: NBER.</w:t>
      </w:r>
    </w:p>
    <w:p w:rsidR="002A1E68" w:rsidRPr="00CD7A2B" w:rsidRDefault="002A1E68" w:rsidP="0075584E">
      <w:pPr>
        <w:widowControl w:val="0"/>
        <w:overflowPunct w:val="0"/>
        <w:autoSpaceDE w:val="0"/>
        <w:autoSpaceDN w:val="0"/>
        <w:adjustRightInd w:val="0"/>
        <w:spacing w:afterLines="40" w:after="96"/>
        <w:ind w:left="425" w:right="20" w:hanging="425"/>
        <w:jc w:val="both"/>
        <w:rPr>
          <w:sz w:val="22"/>
          <w:szCs w:val="22"/>
        </w:rPr>
      </w:pPr>
      <w:proofErr w:type="spellStart"/>
      <w:r w:rsidRPr="00CD7A2B">
        <w:rPr>
          <w:sz w:val="22"/>
          <w:szCs w:val="22"/>
        </w:rPr>
        <w:t>Moock</w:t>
      </w:r>
      <w:proofErr w:type="spellEnd"/>
      <w:r w:rsidRPr="00CD7A2B">
        <w:rPr>
          <w:sz w:val="22"/>
          <w:szCs w:val="22"/>
        </w:rPr>
        <w:t xml:space="preserve">, P., </w:t>
      </w:r>
      <w:proofErr w:type="spellStart"/>
      <w:r w:rsidRPr="00CD7A2B">
        <w:rPr>
          <w:sz w:val="22"/>
          <w:szCs w:val="22"/>
        </w:rPr>
        <w:t>Patrinos</w:t>
      </w:r>
      <w:proofErr w:type="spellEnd"/>
      <w:r w:rsidRPr="00CD7A2B">
        <w:rPr>
          <w:sz w:val="22"/>
          <w:szCs w:val="22"/>
        </w:rPr>
        <w:t xml:space="preserve">, H., </w:t>
      </w:r>
      <w:r w:rsidR="003C53BC">
        <w:rPr>
          <w:sz w:val="22"/>
          <w:szCs w:val="22"/>
        </w:rPr>
        <w:t>and</w:t>
      </w:r>
      <w:r w:rsidRPr="00CD7A2B">
        <w:rPr>
          <w:sz w:val="22"/>
          <w:szCs w:val="22"/>
        </w:rPr>
        <w:t xml:space="preserve"> </w:t>
      </w:r>
      <w:proofErr w:type="spellStart"/>
      <w:r w:rsidRPr="00CD7A2B">
        <w:rPr>
          <w:sz w:val="22"/>
          <w:szCs w:val="22"/>
        </w:rPr>
        <w:t>Venkataraman</w:t>
      </w:r>
      <w:proofErr w:type="spellEnd"/>
      <w:r w:rsidRPr="00CD7A2B">
        <w:rPr>
          <w:sz w:val="22"/>
          <w:szCs w:val="22"/>
        </w:rPr>
        <w:t xml:space="preserve">, M. (2003). Education and earnings in a transition economy: the case of Vietnam. </w:t>
      </w:r>
      <w:r w:rsidRPr="00CD7A2B">
        <w:rPr>
          <w:i/>
          <w:iCs/>
          <w:sz w:val="22"/>
          <w:szCs w:val="22"/>
        </w:rPr>
        <w:t xml:space="preserve">Economics of Education Review, </w:t>
      </w:r>
      <w:r w:rsidRPr="00CD7A2B">
        <w:rPr>
          <w:iCs/>
          <w:sz w:val="22"/>
          <w:szCs w:val="22"/>
        </w:rPr>
        <w:t>22(</w:t>
      </w:r>
      <w:r w:rsidRPr="00CD7A2B">
        <w:rPr>
          <w:sz w:val="22"/>
          <w:szCs w:val="22"/>
        </w:rPr>
        <w:t>5), 503-510.</w:t>
      </w:r>
    </w:p>
    <w:p w:rsidR="002A1E68" w:rsidRPr="00CD7A2B" w:rsidRDefault="002A1E68" w:rsidP="0075584E">
      <w:pPr>
        <w:spacing w:afterLines="40" w:after="96"/>
        <w:ind w:left="425" w:hanging="425"/>
        <w:jc w:val="both"/>
        <w:rPr>
          <w:color w:val="000000"/>
          <w:sz w:val="22"/>
          <w:szCs w:val="22"/>
        </w:rPr>
      </w:pPr>
      <w:r w:rsidRPr="00CD7A2B">
        <w:rPr>
          <w:sz w:val="22"/>
          <w:szCs w:val="22"/>
        </w:rPr>
        <w:t xml:space="preserve">Munich, D., </w:t>
      </w:r>
      <w:proofErr w:type="spellStart"/>
      <w:r w:rsidRPr="00CD7A2B">
        <w:rPr>
          <w:sz w:val="22"/>
          <w:szCs w:val="22"/>
        </w:rPr>
        <w:t>Svejnar</w:t>
      </w:r>
      <w:proofErr w:type="spellEnd"/>
      <w:r w:rsidRPr="00CD7A2B">
        <w:rPr>
          <w:sz w:val="22"/>
          <w:szCs w:val="22"/>
        </w:rPr>
        <w:t xml:space="preserve">, J., </w:t>
      </w:r>
      <w:r w:rsidR="003C53BC">
        <w:rPr>
          <w:sz w:val="22"/>
          <w:szCs w:val="22"/>
        </w:rPr>
        <w:t>and</w:t>
      </w:r>
      <w:r w:rsidRPr="00CD7A2B">
        <w:rPr>
          <w:sz w:val="22"/>
          <w:szCs w:val="22"/>
        </w:rPr>
        <w:t xml:space="preserve"> Terrell, K. (2005). </w:t>
      </w:r>
      <w:r w:rsidRPr="00CD7A2B">
        <w:rPr>
          <w:color w:val="000000"/>
          <w:sz w:val="22"/>
          <w:szCs w:val="22"/>
        </w:rPr>
        <w:t xml:space="preserve">Returns to human capital under the communist wage grid and during the transition to a market economy. </w:t>
      </w:r>
      <w:r w:rsidRPr="00CD7A2B">
        <w:rPr>
          <w:i/>
          <w:color w:val="000000"/>
          <w:sz w:val="22"/>
          <w:szCs w:val="22"/>
        </w:rPr>
        <w:t>The Review of Economics and Statistics, 87</w:t>
      </w:r>
      <w:r w:rsidRPr="00CD7A2B">
        <w:rPr>
          <w:color w:val="000000"/>
          <w:sz w:val="22"/>
          <w:szCs w:val="22"/>
        </w:rPr>
        <w:t>(1), 100-123.</w:t>
      </w:r>
    </w:p>
    <w:p w:rsidR="002A1E68" w:rsidRPr="00CD7A2B" w:rsidRDefault="002A1E68" w:rsidP="0075584E">
      <w:pPr>
        <w:spacing w:afterLines="40" w:after="96"/>
        <w:ind w:left="425" w:hanging="425"/>
        <w:jc w:val="both"/>
        <w:rPr>
          <w:color w:val="1D1D1D"/>
          <w:sz w:val="22"/>
          <w:szCs w:val="22"/>
          <w:lang w:eastAsia="en-NZ"/>
        </w:rPr>
      </w:pPr>
      <w:proofErr w:type="spellStart"/>
      <w:r w:rsidRPr="00CD7A2B">
        <w:rPr>
          <w:color w:val="1D1D1D"/>
          <w:sz w:val="22"/>
          <w:szCs w:val="22"/>
          <w:lang w:eastAsia="en-NZ"/>
        </w:rPr>
        <w:t>Mysíková</w:t>
      </w:r>
      <w:proofErr w:type="spellEnd"/>
      <w:r w:rsidRPr="00CD7A2B">
        <w:rPr>
          <w:color w:val="1D1D1D"/>
          <w:sz w:val="22"/>
          <w:szCs w:val="22"/>
          <w:lang w:eastAsia="en-NZ"/>
        </w:rPr>
        <w:t xml:space="preserve">, M., </w:t>
      </w:r>
      <w:r w:rsidR="003C53BC">
        <w:rPr>
          <w:color w:val="1D1D1D"/>
          <w:sz w:val="22"/>
          <w:szCs w:val="22"/>
          <w:lang w:eastAsia="en-NZ"/>
        </w:rPr>
        <w:t>and</w:t>
      </w:r>
      <w:r w:rsidRPr="00CD7A2B">
        <w:rPr>
          <w:color w:val="1D1D1D"/>
          <w:sz w:val="22"/>
          <w:szCs w:val="22"/>
          <w:lang w:eastAsia="en-NZ"/>
        </w:rPr>
        <w:t xml:space="preserve"> </w:t>
      </w:r>
      <w:proofErr w:type="spellStart"/>
      <w:r w:rsidRPr="00CD7A2B">
        <w:rPr>
          <w:color w:val="1D1D1D"/>
          <w:sz w:val="22"/>
          <w:szCs w:val="22"/>
          <w:lang w:eastAsia="en-NZ"/>
        </w:rPr>
        <w:t>Večerník</w:t>
      </w:r>
      <w:proofErr w:type="spellEnd"/>
      <w:r w:rsidRPr="00CD7A2B">
        <w:rPr>
          <w:color w:val="1D1D1D"/>
          <w:sz w:val="22"/>
          <w:szCs w:val="22"/>
          <w:lang w:eastAsia="en-NZ"/>
        </w:rPr>
        <w:t xml:space="preserve">, J. (2014): </w:t>
      </w:r>
      <w:r w:rsidRPr="00CD7A2B">
        <w:rPr>
          <w:i/>
          <w:color w:val="1D1D1D"/>
          <w:sz w:val="22"/>
          <w:szCs w:val="22"/>
          <w:lang w:eastAsia="en-NZ"/>
        </w:rPr>
        <w:t>Returns to education in transition and advanced European countries: The role of an expansion of higher education</w:t>
      </w:r>
      <w:r w:rsidRPr="00CD7A2B">
        <w:rPr>
          <w:color w:val="1D1D1D"/>
          <w:sz w:val="22"/>
          <w:szCs w:val="22"/>
          <w:lang w:eastAsia="en-NZ"/>
        </w:rPr>
        <w:t>. Trends and Challenges on Human Resource International Workshop. ISAG – European Business School, Porto, Portugal, 23-24 October 2014.</w:t>
      </w:r>
    </w:p>
    <w:p w:rsidR="002A1E68" w:rsidRPr="00CD7A2B" w:rsidRDefault="0006119E" w:rsidP="0075584E">
      <w:pPr>
        <w:spacing w:afterLines="40" w:after="96"/>
        <w:ind w:left="425" w:hanging="425"/>
        <w:jc w:val="both"/>
        <w:rPr>
          <w:sz w:val="22"/>
          <w:szCs w:val="22"/>
        </w:rPr>
      </w:pPr>
      <w:r>
        <w:rPr>
          <w:sz w:val="22"/>
          <w:szCs w:val="22"/>
        </w:rPr>
        <w:t>O</w:t>
      </w:r>
      <w:r w:rsidR="002A1E68" w:rsidRPr="00CD7A2B">
        <w:rPr>
          <w:sz w:val="22"/>
          <w:szCs w:val="22"/>
        </w:rPr>
        <w:t>E</w:t>
      </w:r>
      <w:r>
        <w:rPr>
          <w:sz w:val="22"/>
          <w:szCs w:val="22"/>
        </w:rPr>
        <w:t>C</w:t>
      </w:r>
      <w:r w:rsidR="002A1E68" w:rsidRPr="00CD7A2B">
        <w:rPr>
          <w:sz w:val="22"/>
          <w:szCs w:val="22"/>
        </w:rPr>
        <w:t xml:space="preserve">D (2003). </w:t>
      </w:r>
      <w:r w:rsidR="002A1E68" w:rsidRPr="00CD7A2B">
        <w:rPr>
          <w:i/>
          <w:sz w:val="22"/>
          <w:szCs w:val="22"/>
        </w:rPr>
        <w:t>Education Policy Analysis 2003</w:t>
      </w:r>
      <w:r w:rsidR="002A1E68" w:rsidRPr="00CD7A2B">
        <w:rPr>
          <w:sz w:val="22"/>
          <w:szCs w:val="22"/>
        </w:rPr>
        <w:t>, OECD, Paris.</w:t>
      </w:r>
    </w:p>
    <w:p w:rsidR="002A1E68" w:rsidRPr="00CD7A2B" w:rsidRDefault="002A1E68" w:rsidP="0075584E">
      <w:pPr>
        <w:widowControl w:val="0"/>
        <w:overflowPunct w:val="0"/>
        <w:autoSpaceDE w:val="0"/>
        <w:autoSpaceDN w:val="0"/>
        <w:adjustRightInd w:val="0"/>
        <w:spacing w:afterLines="40" w:after="96"/>
        <w:ind w:left="425" w:right="20" w:hanging="425"/>
        <w:jc w:val="both"/>
        <w:rPr>
          <w:sz w:val="22"/>
          <w:szCs w:val="22"/>
        </w:rPr>
      </w:pPr>
      <w:proofErr w:type="spellStart"/>
      <w:r w:rsidRPr="00CD7A2B">
        <w:rPr>
          <w:sz w:val="22"/>
          <w:szCs w:val="22"/>
        </w:rPr>
        <w:t>Orazem</w:t>
      </w:r>
      <w:proofErr w:type="spellEnd"/>
      <w:r w:rsidRPr="00CD7A2B">
        <w:rPr>
          <w:sz w:val="22"/>
          <w:szCs w:val="22"/>
        </w:rPr>
        <w:t xml:space="preserve">, P., </w:t>
      </w:r>
      <w:r w:rsidR="003C53BC">
        <w:rPr>
          <w:sz w:val="22"/>
          <w:szCs w:val="22"/>
        </w:rPr>
        <w:t>and</w:t>
      </w:r>
      <w:r w:rsidRPr="00CD7A2B">
        <w:rPr>
          <w:sz w:val="22"/>
          <w:szCs w:val="22"/>
        </w:rPr>
        <w:t xml:space="preserve"> </w:t>
      </w:r>
      <w:proofErr w:type="spellStart"/>
      <w:r w:rsidRPr="00CD7A2B">
        <w:rPr>
          <w:sz w:val="22"/>
          <w:szCs w:val="22"/>
        </w:rPr>
        <w:t>Vodopivec</w:t>
      </w:r>
      <w:proofErr w:type="spellEnd"/>
      <w:r w:rsidRPr="00CD7A2B">
        <w:rPr>
          <w:sz w:val="22"/>
          <w:szCs w:val="22"/>
        </w:rPr>
        <w:t xml:space="preserve">, M. (1995). Winners and losers in transition: Returns to education, experience and gender in Slovenia. </w:t>
      </w:r>
      <w:r w:rsidRPr="00CD7A2B">
        <w:rPr>
          <w:i/>
          <w:iCs/>
          <w:sz w:val="22"/>
          <w:szCs w:val="22"/>
        </w:rPr>
        <w:t>World Bank Economic Review, 9</w:t>
      </w:r>
      <w:r w:rsidRPr="00CD7A2B">
        <w:rPr>
          <w:sz w:val="22"/>
          <w:szCs w:val="22"/>
        </w:rPr>
        <w:t>(2), 201-230.</w:t>
      </w:r>
    </w:p>
    <w:p w:rsidR="002A1E68" w:rsidRPr="00CD7A2B" w:rsidRDefault="002A1E68" w:rsidP="0075584E">
      <w:pPr>
        <w:spacing w:afterLines="40" w:after="96"/>
        <w:ind w:left="425" w:hanging="425"/>
        <w:jc w:val="both"/>
        <w:rPr>
          <w:sz w:val="22"/>
          <w:szCs w:val="22"/>
        </w:rPr>
      </w:pPr>
      <w:proofErr w:type="spellStart"/>
      <w:r w:rsidRPr="00CD7A2B">
        <w:rPr>
          <w:sz w:val="22"/>
          <w:szCs w:val="22"/>
        </w:rPr>
        <w:t>Psacharopoulos</w:t>
      </w:r>
      <w:proofErr w:type="spellEnd"/>
      <w:r w:rsidRPr="00CD7A2B">
        <w:rPr>
          <w:sz w:val="22"/>
          <w:szCs w:val="22"/>
        </w:rPr>
        <w:t xml:space="preserve">,  G.  (1989). Time trends of the returns to education: Cross-national evidence. </w:t>
      </w:r>
      <w:r w:rsidRPr="00CD7A2B">
        <w:rPr>
          <w:i/>
          <w:sz w:val="22"/>
          <w:szCs w:val="22"/>
        </w:rPr>
        <w:t>Economics of Education Review. 8</w:t>
      </w:r>
      <w:r w:rsidRPr="00CD7A2B">
        <w:rPr>
          <w:sz w:val="22"/>
          <w:szCs w:val="22"/>
        </w:rPr>
        <w:t>(3), 225-231.</w:t>
      </w:r>
    </w:p>
    <w:p w:rsidR="002A1E68" w:rsidRPr="00CD7A2B" w:rsidRDefault="002A1E68" w:rsidP="0075584E">
      <w:pPr>
        <w:widowControl w:val="0"/>
        <w:autoSpaceDE w:val="0"/>
        <w:autoSpaceDN w:val="0"/>
        <w:adjustRightInd w:val="0"/>
        <w:spacing w:afterLines="40" w:after="96"/>
        <w:ind w:left="425" w:hanging="425"/>
        <w:jc w:val="both"/>
        <w:rPr>
          <w:sz w:val="22"/>
          <w:szCs w:val="22"/>
        </w:rPr>
      </w:pPr>
      <w:proofErr w:type="spellStart"/>
      <w:r w:rsidRPr="00CD7A2B">
        <w:rPr>
          <w:sz w:val="22"/>
          <w:szCs w:val="22"/>
        </w:rPr>
        <w:t>Psacharopoulos</w:t>
      </w:r>
      <w:proofErr w:type="spellEnd"/>
      <w:r w:rsidRPr="00CD7A2B">
        <w:rPr>
          <w:sz w:val="22"/>
          <w:szCs w:val="22"/>
        </w:rPr>
        <w:t xml:space="preserve">,  G.  (1994). Returns  to  investment  in  education:  A  global  update  further  update. </w:t>
      </w:r>
      <w:r w:rsidRPr="00CD7A2B">
        <w:rPr>
          <w:i/>
          <w:iCs/>
          <w:sz w:val="22"/>
          <w:szCs w:val="22"/>
        </w:rPr>
        <w:t>World Development, 22</w:t>
      </w:r>
      <w:r w:rsidRPr="00CD7A2B">
        <w:rPr>
          <w:sz w:val="22"/>
          <w:szCs w:val="22"/>
        </w:rPr>
        <w:t>(9), 1325-1343.</w:t>
      </w:r>
    </w:p>
    <w:p w:rsidR="002A1E68" w:rsidRPr="00CD7A2B" w:rsidRDefault="002A1E68" w:rsidP="0075584E">
      <w:pPr>
        <w:widowControl w:val="0"/>
        <w:autoSpaceDE w:val="0"/>
        <w:autoSpaceDN w:val="0"/>
        <w:adjustRightInd w:val="0"/>
        <w:spacing w:afterLines="40" w:after="96"/>
        <w:ind w:left="425" w:hanging="425"/>
        <w:jc w:val="both"/>
        <w:rPr>
          <w:sz w:val="22"/>
          <w:szCs w:val="22"/>
        </w:rPr>
      </w:pPr>
      <w:proofErr w:type="spellStart"/>
      <w:r w:rsidRPr="00CD7A2B">
        <w:rPr>
          <w:sz w:val="22"/>
          <w:szCs w:val="22"/>
        </w:rPr>
        <w:t>Psacharopoulos</w:t>
      </w:r>
      <w:proofErr w:type="spellEnd"/>
      <w:r w:rsidRPr="00CD7A2B">
        <w:rPr>
          <w:sz w:val="22"/>
          <w:szCs w:val="22"/>
        </w:rPr>
        <w:t xml:space="preserve">, G., </w:t>
      </w:r>
      <w:r w:rsidR="003C53BC">
        <w:rPr>
          <w:sz w:val="22"/>
          <w:szCs w:val="22"/>
        </w:rPr>
        <w:t>and</w:t>
      </w:r>
      <w:r w:rsidRPr="00CD7A2B">
        <w:rPr>
          <w:sz w:val="22"/>
          <w:szCs w:val="22"/>
        </w:rPr>
        <w:t xml:space="preserve"> </w:t>
      </w:r>
      <w:proofErr w:type="spellStart"/>
      <w:r w:rsidRPr="00CD7A2B">
        <w:rPr>
          <w:sz w:val="22"/>
          <w:szCs w:val="22"/>
        </w:rPr>
        <w:t>Patrinos</w:t>
      </w:r>
      <w:proofErr w:type="spellEnd"/>
      <w:r w:rsidRPr="00CD7A2B">
        <w:rPr>
          <w:sz w:val="22"/>
          <w:szCs w:val="22"/>
        </w:rPr>
        <w:t>, H. (2004). Returns to investment in education: A further update. E</w:t>
      </w:r>
      <w:r w:rsidRPr="00CD7A2B">
        <w:rPr>
          <w:i/>
          <w:iCs/>
          <w:sz w:val="22"/>
          <w:szCs w:val="22"/>
        </w:rPr>
        <w:t>ducation Economics, 12</w:t>
      </w:r>
      <w:r w:rsidRPr="00CD7A2B">
        <w:rPr>
          <w:sz w:val="22"/>
          <w:szCs w:val="22"/>
        </w:rPr>
        <w:t>(2), 112-134.</w:t>
      </w:r>
    </w:p>
    <w:p w:rsidR="002A1E68" w:rsidRPr="00CD7A2B" w:rsidRDefault="002A1E68" w:rsidP="0075584E">
      <w:pPr>
        <w:spacing w:afterLines="40" w:after="96"/>
        <w:ind w:left="425" w:hanging="425"/>
        <w:jc w:val="both"/>
        <w:rPr>
          <w:sz w:val="22"/>
          <w:szCs w:val="22"/>
        </w:rPr>
      </w:pPr>
      <w:proofErr w:type="spellStart"/>
      <w:r w:rsidRPr="00CD7A2B">
        <w:rPr>
          <w:sz w:val="22"/>
          <w:szCs w:val="22"/>
        </w:rPr>
        <w:t>Pscharopoulos</w:t>
      </w:r>
      <w:proofErr w:type="spellEnd"/>
      <w:r w:rsidRPr="00CD7A2B">
        <w:rPr>
          <w:sz w:val="22"/>
          <w:szCs w:val="22"/>
        </w:rPr>
        <w:t xml:space="preserve">, G., </w:t>
      </w:r>
      <w:r w:rsidR="003C53BC">
        <w:rPr>
          <w:sz w:val="22"/>
          <w:szCs w:val="22"/>
        </w:rPr>
        <w:t>and</w:t>
      </w:r>
      <w:r w:rsidRPr="00CD7A2B">
        <w:rPr>
          <w:sz w:val="22"/>
          <w:szCs w:val="22"/>
        </w:rPr>
        <w:t xml:space="preserve"> </w:t>
      </w:r>
      <w:proofErr w:type="spellStart"/>
      <w:r w:rsidRPr="00CD7A2B">
        <w:rPr>
          <w:sz w:val="22"/>
          <w:szCs w:val="22"/>
        </w:rPr>
        <w:t>Patrinos</w:t>
      </w:r>
      <w:proofErr w:type="spellEnd"/>
      <w:r w:rsidRPr="00CD7A2B">
        <w:rPr>
          <w:sz w:val="22"/>
          <w:szCs w:val="22"/>
        </w:rPr>
        <w:t xml:space="preserve">, H (2004). Returns to investment in education: A further update. </w:t>
      </w:r>
      <w:r w:rsidRPr="00CD7A2B">
        <w:rPr>
          <w:i/>
          <w:sz w:val="22"/>
          <w:szCs w:val="22"/>
        </w:rPr>
        <w:t>Education Economics, 12</w:t>
      </w:r>
      <w:r w:rsidRPr="00CD7A2B">
        <w:rPr>
          <w:sz w:val="22"/>
          <w:szCs w:val="22"/>
        </w:rPr>
        <w:t>(2), 110-134.</w:t>
      </w:r>
    </w:p>
    <w:p w:rsidR="002A1E68" w:rsidRPr="00CD7A2B" w:rsidRDefault="002A1E68" w:rsidP="0075584E">
      <w:pPr>
        <w:spacing w:afterLines="40" w:after="96"/>
        <w:ind w:left="425" w:hanging="425"/>
        <w:jc w:val="both"/>
        <w:rPr>
          <w:sz w:val="22"/>
          <w:szCs w:val="22"/>
        </w:rPr>
      </w:pPr>
      <w:proofErr w:type="spellStart"/>
      <w:r w:rsidRPr="00CD7A2B">
        <w:rPr>
          <w:sz w:val="22"/>
          <w:szCs w:val="22"/>
        </w:rPr>
        <w:t>Rutkowski</w:t>
      </w:r>
      <w:proofErr w:type="spellEnd"/>
      <w:r w:rsidRPr="00CD7A2B">
        <w:rPr>
          <w:sz w:val="22"/>
          <w:szCs w:val="22"/>
        </w:rPr>
        <w:t xml:space="preserve">, J. (2007). </w:t>
      </w:r>
      <w:r w:rsidRPr="00CD7A2B">
        <w:rPr>
          <w:i/>
          <w:sz w:val="22"/>
          <w:szCs w:val="22"/>
        </w:rPr>
        <w:t>From the shortage of jobs to the shortage of skilled workers: Labour market in the EU new member states</w:t>
      </w:r>
      <w:r w:rsidRPr="00CD7A2B">
        <w:rPr>
          <w:sz w:val="22"/>
          <w:szCs w:val="22"/>
        </w:rPr>
        <w:t xml:space="preserve">. IZA Discussion Paper. </w:t>
      </w:r>
    </w:p>
    <w:p w:rsidR="002A1E68" w:rsidRPr="00CD7A2B" w:rsidRDefault="002A1E68" w:rsidP="0075584E">
      <w:pPr>
        <w:widowControl w:val="0"/>
        <w:autoSpaceDE w:val="0"/>
        <w:autoSpaceDN w:val="0"/>
        <w:adjustRightInd w:val="0"/>
        <w:spacing w:afterLines="40" w:after="96"/>
        <w:ind w:left="425" w:hanging="425"/>
        <w:jc w:val="both"/>
        <w:rPr>
          <w:sz w:val="22"/>
          <w:szCs w:val="22"/>
        </w:rPr>
      </w:pPr>
      <w:proofErr w:type="spellStart"/>
      <w:r w:rsidRPr="00CD7A2B">
        <w:rPr>
          <w:sz w:val="22"/>
          <w:szCs w:val="22"/>
        </w:rPr>
        <w:t>StataCorp</w:t>
      </w:r>
      <w:proofErr w:type="spellEnd"/>
      <w:r w:rsidRPr="00CD7A2B">
        <w:rPr>
          <w:sz w:val="22"/>
          <w:szCs w:val="22"/>
        </w:rPr>
        <w:t xml:space="preserve">. (2001). </w:t>
      </w:r>
      <w:r w:rsidR="00805177">
        <w:rPr>
          <w:i/>
          <w:iCs/>
          <w:sz w:val="22"/>
          <w:szCs w:val="22"/>
        </w:rPr>
        <w:t>Stata U</w:t>
      </w:r>
      <w:r w:rsidRPr="00CD7A2B">
        <w:rPr>
          <w:i/>
          <w:iCs/>
          <w:sz w:val="22"/>
          <w:szCs w:val="22"/>
        </w:rPr>
        <w:t>ser’s Guide Release 7.</w:t>
      </w:r>
      <w:r w:rsidRPr="00CD7A2B">
        <w:rPr>
          <w:sz w:val="22"/>
          <w:szCs w:val="22"/>
        </w:rPr>
        <w:t xml:space="preserve"> College Station, Texas: Stata Press.</w:t>
      </w:r>
    </w:p>
    <w:p w:rsidR="002A1E68" w:rsidRPr="00CD7A2B" w:rsidRDefault="002A1E68" w:rsidP="0075584E">
      <w:pPr>
        <w:spacing w:afterLines="40" w:after="96"/>
        <w:ind w:left="425" w:hanging="425"/>
        <w:jc w:val="both"/>
        <w:rPr>
          <w:i/>
          <w:sz w:val="22"/>
          <w:szCs w:val="22"/>
        </w:rPr>
      </w:pPr>
      <w:proofErr w:type="spellStart"/>
      <w:r w:rsidRPr="00CD7A2B">
        <w:rPr>
          <w:sz w:val="22"/>
          <w:szCs w:val="22"/>
        </w:rPr>
        <w:t>Večerník</w:t>
      </w:r>
      <w:proofErr w:type="spellEnd"/>
      <w:r w:rsidRPr="00CD7A2B">
        <w:rPr>
          <w:sz w:val="22"/>
          <w:szCs w:val="22"/>
        </w:rPr>
        <w:t xml:space="preserve">, J. (2013). The changing role of education in the distribution of earnings and household income. The Czech Republic, 1988-2009. </w:t>
      </w:r>
      <w:r w:rsidRPr="00CD7A2B">
        <w:rPr>
          <w:i/>
          <w:sz w:val="22"/>
          <w:szCs w:val="22"/>
        </w:rPr>
        <w:t>Economics of Transition, 21</w:t>
      </w:r>
      <w:r w:rsidRPr="00CD7A2B">
        <w:rPr>
          <w:sz w:val="22"/>
          <w:szCs w:val="22"/>
        </w:rPr>
        <w:t>(1), 111-133.</w:t>
      </w:r>
    </w:p>
    <w:p w:rsidR="002A1E68" w:rsidRPr="00CD7A2B" w:rsidRDefault="002A1E68" w:rsidP="0075584E">
      <w:pPr>
        <w:widowControl w:val="0"/>
        <w:overflowPunct w:val="0"/>
        <w:autoSpaceDE w:val="0"/>
        <w:autoSpaceDN w:val="0"/>
        <w:adjustRightInd w:val="0"/>
        <w:spacing w:afterLines="40" w:after="96"/>
        <w:ind w:left="425" w:right="20" w:hanging="425"/>
        <w:jc w:val="both"/>
        <w:rPr>
          <w:sz w:val="22"/>
          <w:szCs w:val="22"/>
        </w:rPr>
      </w:pPr>
      <w:r w:rsidRPr="00CD7A2B">
        <w:rPr>
          <w:sz w:val="22"/>
          <w:szCs w:val="22"/>
        </w:rPr>
        <w:t xml:space="preserve">VHLSS. (1998, 2002, 2004, 2006, 2008, 2010, 2012, 2014). </w:t>
      </w:r>
      <w:r w:rsidRPr="00CD7A2B">
        <w:rPr>
          <w:i/>
          <w:iCs/>
          <w:sz w:val="22"/>
          <w:szCs w:val="22"/>
        </w:rPr>
        <w:t>Vietnam Household Living Standards Survey: 1998,</w:t>
      </w:r>
      <w:r w:rsidRPr="00CD7A2B">
        <w:rPr>
          <w:sz w:val="22"/>
          <w:szCs w:val="22"/>
        </w:rPr>
        <w:t xml:space="preserve"> </w:t>
      </w:r>
      <w:r w:rsidRPr="00CD7A2B">
        <w:rPr>
          <w:i/>
          <w:iCs/>
          <w:sz w:val="22"/>
          <w:szCs w:val="22"/>
        </w:rPr>
        <w:t xml:space="preserve">2002, 2004, 2006, 2008, 2010, 2012 and 2014 </w:t>
      </w:r>
      <w:r w:rsidRPr="00CD7A2B">
        <w:rPr>
          <w:sz w:val="22"/>
          <w:szCs w:val="22"/>
        </w:rPr>
        <w:t>[Datasets]. General Statistical Office (GSO), Hanoi,</w:t>
      </w:r>
      <w:r w:rsidRPr="00CD7A2B">
        <w:rPr>
          <w:i/>
          <w:iCs/>
          <w:sz w:val="22"/>
          <w:szCs w:val="22"/>
        </w:rPr>
        <w:t xml:space="preserve"> </w:t>
      </w:r>
      <w:r w:rsidRPr="00CD7A2B">
        <w:rPr>
          <w:sz w:val="22"/>
          <w:szCs w:val="22"/>
        </w:rPr>
        <w:t>Vietnam.</w:t>
      </w:r>
    </w:p>
    <w:p w:rsidR="002A1E68" w:rsidRPr="00CD7A2B" w:rsidRDefault="002A1E68" w:rsidP="0075584E">
      <w:pPr>
        <w:widowControl w:val="0"/>
        <w:autoSpaceDE w:val="0"/>
        <w:autoSpaceDN w:val="0"/>
        <w:adjustRightInd w:val="0"/>
        <w:spacing w:afterLines="40" w:after="96"/>
        <w:ind w:left="425" w:hanging="425"/>
        <w:jc w:val="both"/>
        <w:rPr>
          <w:sz w:val="22"/>
          <w:szCs w:val="22"/>
        </w:rPr>
      </w:pPr>
      <w:r w:rsidRPr="00CD7A2B">
        <w:rPr>
          <w:sz w:val="22"/>
          <w:szCs w:val="22"/>
        </w:rPr>
        <w:t xml:space="preserve">Yang, D. (2004). </w:t>
      </w:r>
      <w:r w:rsidRPr="00CD7A2B">
        <w:rPr>
          <w:i/>
          <w:sz w:val="22"/>
          <w:szCs w:val="22"/>
        </w:rPr>
        <w:t>Determinants of schooling returns during transition: evidence from Chinese cities</w:t>
      </w:r>
      <w:r w:rsidRPr="00CD7A2B">
        <w:rPr>
          <w:sz w:val="22"/>
          <w:szCs w:val="22"/>
        </w:rPr>
        <w:t>. Virginia Polytechnic Institute and State University.</w:t>
      </w:r>
    </w:p>
    <w:sectPr w:rsidR="002A1E68" w:rsidRPr="00CD7A2B" w:rsidSect="00180DF1">
      <w:endnotePr>
        <w:numFmt w:val="decimal"/>
      </w:endnotePr>
      <w:pgSz w:w="11907" w:h="16839" w:code="9"/>
      <w:pgMar w:top="1440" w:right="1440" w:bottom="1440" w:left="1440" w:header="720" w:footer="720" w:gutter="0"/>
      <w:pgNumType w:start="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25" w:rsidRDefault="00C24225">
      <w:r>
        <w:separator/>
      </w:r>
    </w:p>
  </w:endnote>
  <w:endnote w:type="continuationSeparator" w:id="0">
    <w:p w:rsidR="00C24225" w:rsidRDefault="00C2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36" w:rsidRDefault="00482036" w:rsidP="00202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2036" w:rsidRDefault="004820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036" w:rsidRPr="00185EFC" w:rsidRDefault="00482036" w:rsidP="00185EFC">
    <w:pPr>
      <w:pStyle w:val="Footer"/>
      <w:jc w:val="center"/>
      <w:rPr>
        <w:sz w:val="22"/>
      </w:rPr>
    </w:pPr>
    <w:r>
      <w:rPr>
        <w:sz w:val="22"/>
      </w:rPr>
      <w:t>-</w:t>
    </w:r>
    <w:r w:rsidRPr="00185EFC">
      <w:rPr>
        <w:sz w:val="22"/>
      </w:rPr>
      <w:fldChar w:fldCharType="begin"/>
    </w:r>
    <w:r w:rsidRPr="00185EFC">
      <w:rPr>
        <w:sz w:val="22"/>
      </w:rPr>
      <w:instrText xml:space="preserve"> PAGE   \* MERGEFORMAT </w:instrText>
    </w:r>
    <w:r w:rsidRPr="00185EFC">
      <w:rPr>
        <w:sz w:val="22"/>
      </w:rPr>
      <w:fldChar w:fldCharType="separate"/>
    </w:r>
    <w:r w:rsidR="00210DAA">
      <w:rPr>
        <w:noProof/>
        <w:sz w:val="22"/>
      </w:rPr>
      <w:t>2</w:t>
    </w:r>
    <w:r w:rsidRPr="00185EFC">
      <w:rPr>
        <w:sz w:val="22"/>
      </w:rPr>
      <w:fldChar w:fldCharType="end"/>
    </w:r>
    <w:r>
      <w:rPr>
        <w:sz w:val="22"/>
      </w:rPr>
      <w:t>-</w:t>
    </w:r>
  </w:p>
  <w:p w:rsidR="00482036" w:rsidRDefault="00482036" w:rsidP="003817E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25" w:rsidRDefault="00C24225">
      <w:r>
        <w:separator/>
      </w:r>
    </w:p>
  </w:footnote>
  <w:footnote w:type="continuationSeparator" w:id="0">
    <w:p w:rsidR="00C24225" w:rsidRDefault="00C24225">
      <w:r>
        <w:continuationSeparator/>
      </w:r>
    </w:p>
  </w:footnote>
  <w:footnote w:id="1">
    <w:p w:rsidR="00482036" w:rsidRPr="00CD7A2B" w:rsidRDefault="00482036" w:rsidP="00BE5A87">
      <w:pPr>
        <w:pStyle w:val="FootnoteText"/>
        <w:ind w:left="284" w:hanging="284"/>
        <w:jc w:val="both"/>
        <w:rPr>
          <w:sz w:val="22"/>
          <w:szCs w:val="22"/>
          <w:lang w:val="en-NZ"/>
        </w:rPr>
      </w:pPr>
      <w:r w:rsidRPr="00CD7A2B">
        <w:rPr>
          <w:rStyle w:val="FootnoteReference"/>
          <w:sz w:val="22"/>
          <w:szCs w:val="22"/>
        </w:rPr>
        <w:footnoteRef/>
      </w:r>
      <w:r w:rsidRPr="00CD7A2B">
        <w:rPr>
          <w:sz w:val="22"/>
          <w:szCs w:val="22"/>
        </w:rPr>
        <w:t xml:space="preserve"> </w:t>
      </w:r>
      <w:r>
        <w:rPr>
          <w:sz w:val="22"/>
          <w:szCs w:val="22"/>
        </w:rPr>
        <w:tab/>
      </w:r>
      <w:r w:rsidRPr="00CD7A2B">
        <w:rPr>
          <w:sz w:val="22"/>
          <w:szCs w:val="22"/>
        </w:rPr>
        <w:t xml:space="preserve">The weak evidence of quick rising returns in eight European transition economies was due to the </w:t>
      </w:r>
      <w:r w:rsidRPr="00CD7A2B">
        <w:rPr>
          <w:i/>
          <w:sz w:val="22"/>
          <w:szCs w:val="22"/>
        </w:rPr>
        <w:t>‘richer’</w:t>
      </w:r>
      <w:r w:rsidRPr="00CD7A2B">
        <w:rPr>
          <w:sz w:val="22"/>
          <w:szCs w:val="22"/>
        </w:rPr>
        <w:t xml:space="preserve"> model specification where they included many variables such as urban, being married, occupation, sector, trade union, … this leads to stealing part of education coefficient (see </w:t>
      </w:r>
      <w:proofErr w:type="spellStart"/>
      <w:r w:rsidRPr="00CD7A2B">
        <w:rPr>
          <w:sz w:val="22"/>
          <w:szCs w:val="22"/>
        </w:rPr>
        <w:t>Pscharalopous</w:t>
      </w:r>
      <w:proofErr w:type="spellEnd"/>
      <w:r w:rsidRPr="00CD7A2B">
        <w:rPr>
          <w:sz w:val="22"/>
          <w:szCs w:val="22"/>
        </w:rPr>
        <w:t xml:space="preserve"> </w:t>
      </w:r>
      <w:r>
        <w:rPr>
          <w:sz w:val="22"/>
          <w:szCs w:val="22"/>
        </w:rPr>
        <w:t xml:space="preserve">and </w:t>
      </w:r>
      <w:proofErr w:type="spellStart"/>
      <w:r>
        <w:rPr>
          <w:sz w:val="22"/>
          <w:szCs w:val="22"/>
        </w:rPr>
        <w:t>Patrinos</w:t>
      </w:r>
      <w:proofErr w:type="spellEnd"/>
      <w:r w:rsidRPr="00CD7A2B">
        <w:rPr>
          <w:sz w:val="22"/>
          <w:szCs w:val="22"/>
        </w:rPr>
        <w:t xml:space="preserve"> 2004). Their ‘</w:t>
      </w:r>
      <w:r w:rsidRPr="00CD7A2B">
        <w:rPr>
          <w:i/>
          <w:sz w:val="22"/>
          <w:szCs w:val="22"/>
        </w:rPr>
        <w:t>basic</w:t>
      </w:r>
      <w:r w:rsidRPr="00CD7A2B">
        <w:rPr>
          <w:sz w:val="22"/>
          <w:szCs w:val="22"/>
        </w:rPr>
        <w:t>’ and ‘</w:t>
      </w:r>
      <w:r w:rsidRPr="00CD7A2B">
        <w:rPr>
          <w:i/>
          <w:sz w:val="22"/>
          <w:szCs w:val="22"/>
        </w:rPr>
        <w:t>basic balanced</w:t>
      </w:r>
      <w:r w:rsidRPr="00CD7A2B">
        <w:rPr>
          <w:sz w:val="22"/>
          <w:szCs w:val="22"/>
        </w:rPr>
        <w:t>’ specifications do show a clear rising trend of returns to education.</w:t>
      </w:r>
    </w:p>
  </w:footnote>
  <w:footnote w:id="2">
    <w:p w:rsidR="00482036" w:rsidRPr="005F6ACA" w:rsidRDefault="00482036" w:rsidP="00BE5A87">
      <w:pPr>
        <w:pStyle w:val="FootnoteText"/>
        <w:tabs>
          <w:tab w:val="left" w:pos="284"/>
        </w:tabs>
        <w:ind w:left="284" w:hanging="284"/>
        <w:rPr>
          <w:sz w:val="22"/>
          <w:szCs w:val="22"/>
          <w:lang w:val="en-NZ"/>
        </w:rPr>
      </w:pPr>
      <w:r>
        <w:rPr>
          <w:rStyle w:val="FootnoteReference"/>
        </w:rPr>
        <w:footnoteRef/>
      </w:r>
      <w:r>
        <w:t xml:space="preserve"> </w:t>
      </w:r>
      <w:r>
        <w:tab/>
      </w:r>
      <w:hyperlink r:id="rId1" w:history="1">
        <w:r w:rsidRPr="005F6ACA">
          <w:rPr>
            <w:rStyle w:val="Hyperlink"/>
            <w:color w:val="auto"/>
            <w:sz w:val="22"/>
            <w:szCs w:val="22"/>
          </w:rPr>
          <w:t>https://www.stratfor.com/the-hub/vietnams-political-economy-transition-1986-2016</w:t>
        </w:r>
      </w:hyperlink>
      <w:r w:rsidRPr="005F6ACA">
        <w:rPr>
          <w:sz w:val="22"/>
          <w:szCs w:val="22"/>
        </w:rPr>
        <w:t xml:space="preserve"> </w:t>
      </w:r>
    </w:p>
  </w:footnote>
  <w:footnote w:id="3">
    <w:p w:rsidR="00482036" w:rsidRPr="00CE50EC" w:rsidRDefault="00482036" w:rsidP="0075644D">
      <w:pPr>
        <w:pStyle w:val="FootnoteText"/>
        <w:ind w:left="284" w:hanging="284"/>
        <w:rPr>
          <w:sz w:val="22"/>
          <w:szCs w:val="22"/>
          <w:lang w:val="en-NZ"/>
        </w:rPr>
      </w:pPr>
      <w:r w:rsidRPr="00BE5A87">
        <w:rPr>
          <w:rStyle w:val="FootnoteReference"/>
          <w:sz w:val="22"/>
          <w:szCs w:val="22"/>
        </w:rPr>
        <w:footnoteRef/>
      </w:r>
      <w:r w:rsidRPr="00BE5A87">
        <w:rPr>
          <w:sz w:val="22"/>
          <w:szCs w:val="22"/>
        </w:rPr>
        <w:t xml:space="preserve"> </w:t>
      </w:r>
      <w:r>
        <w:rPr>
          <w:sz w:val="22"/>
          <w:szCs w:val="22"/>
        </w:rPr>
        <w:tab/>
      </w:r>
      <w:hyperlink r:id="rId2" w:history="1">
        <w:r w:rsidRPr="00CE50EC">
          <w:rPr>
            <w:rStyle w:val="Hyperlink"/>
            <w:color w:val="auto"/>
            <w:sz w:val="22"/>
            <w:szCs w:val="22"/>
          </w:rPr>
          <w:t>http://www.molisa.gov.vn/Images/FileAnPham/fileanpham20151227165350.pdf</w:t>
        </w:r>
      </w:hyperlink>
      <w:r w:rsidRPr="00CE50EC">
        <w:rPr>
          <w:sz w:val="22"/>
          <w:szCs w:val="22"/>
        </w:rPr>
        <w:t xml:space="preserve"> </w:t>
      </w:r>
    </w:p>
  </w:footnote>
  <w:footnote w:id="4">
    <w:p w:rsidR="00482036" w:rsidRPr="006A7D38" w:rsidRDefault="00482036" w:rsidP="00BE5A87">
      <w:pPr>
        <w:pStyle w:val="FootnoteText"/>
        <w:ind w:left="284" w:hanging="284"/>
        <w:jc w:val="both"/>
        <w:rPr>
          <w:sz w:val="22"/>
          <w:szCs w:val="22"/>
        </w:rPr>
      </w:pPr>
      <w:r w:rsidRPr="006A7D38">
        <w:rPr>
          <w:rStyle w:val="FootnoteReference"/>
          <w:sz w:val="22"/>
          <w:szCs w:val="22"/>
        </w:rPr>
        <w:footnoteRef/>
      </w:r>
      <w:r w:rsidRPr="006A7D38">
        <w:rPr>
          <w:sz w:val="22"/>
          <w:szCs w:val="22"/>
        </w:rPr>
        <w:t xml:space="preserve"> </w:t>
      </w:r>
      <w:r>
        <w:rPr>
          <w:sz w:val="22"/>
          <w:szCs w:val="22"/>
        </w:rPr>
        <w:tab/>
      </w:r>
      <w:r w:rsidRPr="006A7D38">
        <w:rPr>
          <w:sz w:val="22"/>
          <w:szCs w:val="22"/>
        </w:rPr>
        <w:t>VHLSS2002 dataset has significantly more observations than other VHLSS datasets.  It was due to the GSO taking over the sample design from the World Bank in 2002 and wanting statistically significant results at the province level.  Survey administration problems and costs caused the GSO to scale back its ambitions afterwards and maintained the sample sizes at around 9,000 households.</w:t>
      </w:r>
    </w:p>
  </w:footnote>
  <w:footnote w:id="5">
    <w:p w:rsidR="00482036" w:rsidRPr="00C37CB3" w:rsidRDefault="00482036" w:rsidP="00BE5A87">
      <w:pPr>
        <w:widowControl w:val="0"/>
        <w:overflowPunct w:val="0"/>
        <w:autoSpaceDE w:val="0"/>
        <w:autoSpaceDN w:val="0"/>
        <w:adjustRightInd w:val="0"/>
        <w:ind w:left="284" w:right="23" w:hanging="284"/>
        <w:jc w:val="both"/>
      </w:pPr>
      <w:r w:rsidRPr="00C37CB3">
        <w:rPr>
          <w:rStyle w:val="FootnoteReference"/>
          <w:sz w:val="22"/>
        </w:rPr>
        <w:footnoteRef/>
      </w:r>
      <w:r w:rsidRPr="00C37CB3">
        <w:rPr>
          <w:sz w:val="22"/>
        </w:rPr>
        <w:t xml:space="preserve"> </w:t>
      </w:r>
      <w:r>
        <w:rPr>
          <w:sz w:val="22"/>
        </w:rPr>
        <w:tab/>
      </w:r>
      <w:r w:rsidRPr="00C37CB3">
        <w:rPr>
          <w:sz w:val="22"/>
        </w:rPr>
        <w:t xml:space="preserve">Significant larger sample size and </w:t>
      </w:r>
      <w:r>
        <w:rPr>
          <w:sz w:val="22"/>
        </w:rPr>
        <w:t xml:space="preserve">quite different </w:t>
      </w:r>
      <w:r w:rsidRPr="00C37CB3">
        <w:rPr>
          <w:sz w:val="22"/>
        </w:rPr>
        <w:t xml:space="preserve">sampling strategy of VHLSS2002 </w:t>
      </w:r>
      <w:r>
        <w:rPr>
          <w:sz w:val="22"/>
        </w:rPr>
        <w:t xml:space="preserve">result in slightly lower years of </w:t>
      </w:r>
      <w:r w:rsidRPr="00C37CB3">
        <w:rPr>
          <w:sz w:val="22"/>
        </w:rPr>
        <w:t xml:space="preserve">schooling </w:t>
      </w:r>
    </w:p>
  </w:footnote>
  <w:footnote w:id="6">
    <w:p w:rsidR="00482036" w:rsidRPr="00805177" w:rsidRDefault="00482036" w:rsidP="00805177">
      <w:pPr>
        <w:pStyle w:val="FootnoteText"/>
        <w:ind w:left="142" w:hanging="142"/>
        <w:rPr>
          <w:sz w:val="22"/>
          <w:szCs w:val="22"/>
          <w:lang w:val="en-NZ"/>
        </w:rPr>
      </w:pPr>
      <w:r w:rsidRPr="00805177">
        <w:rPr>
          <w:rStyle w:val="FootnoteReference"/>
          <w:sz w:val="22"/>
          <w:szCs w:val="22"/>
        </w:rPr>
        <w:footnoteRef/>
      </w:r>
      <w:r>
        <w:rPr>
          <w:sz w:val="22"/>
          <w:szCs w:val="22"/>
        </w:rPr>
        <w:tab/>
      </w:r>
      <w:r w:rsidRPr="00F2738B">
        <w:rPr>
          <w:sz w:val="22"/>
          <w:szCs w:val="22"/>
        </w:rPr>
        <w:t xml:space="preserve"> </w:t>
      </w:r>
      <w:hyperlink r:id="rId3" w:history="1">
        <w:r w:rsidRPr="00F2738B">
          <w:rPr>
            <w:rStyle w:val="Hyperlink"/>
            <w:color w:val="auto"/>
            <w:sz w:val="22"/>
            <w:szCs w:val="22"/>
          </w:rPr>
          <w:t>http://data.worldbank.org/indicator/NY.GDP.MKTP.KD.ZG/countries/VN-4E-XN?display=default</w:t>
        </w:r>
      </w:hyperlink>
      <w:r w:rsidRPr="00805177">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EE0"/>
    <w:multiLevelType w:val="hybridMultilevel"/>
    <w:tmpl w:val="0CE405EA"/>
    <w:lvl w:ilvl="0" w:tplc="CC1E13EE">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B90DE6"/>
    <w:multiLevelType w:val="hybridMultilevel"/>
    <w:tmpl w:val="CC88FA08"/>
    <w:lvl w:ilvl="0" w:tplc="C2E44DB8">
      <w:start w:val="1"/>
      <w:numFmt w:val="decimal"/>
      <w:lvlText w:val="%1."/>
      <w:lvlJc w:val="left"/>
      <w:pPr>
        <w:tabs>
          <w:tab w:val="num" w:pos="720"/>
        </w:tabs>
        <w:ind w:left="720" w:hanging="360"/>
      </w:pPr>
      <w:rPr>
        <w:rFonts w:hint="default"/>
      </w:rPr>
    </w:lvl>
    <w:lvl w:ilvl="1" w:tplc="087E4ACC">
      <w:numFmt w:val="none"/>
      <w:lvlText w:val=""/>
      <w:lvlJc w:val="left"/>
      <w:pPr>
        <w:tabs>
          <w:tab w:val="num" w:pos="360"/>
        </w:tabs>
      </w:pPr>
    </w:lvl>
    <w:lvl w:ilvl="2" w:tplc="E8B4F6FA">
      <w:numFmt w:val="none"/>
      <w:lvlText w:val=""/>
      <w:lvlJc w:val="left"/>
      <w:pPr>
        <w:tabs>
          <w:tab w:val="num" w:pos="360"/>
        </w:tabs>
      </w:pPr>
    </w:lvl>
    <w:lvl w:ilvl="3" w:tplc="9B686D10">
      <w:numFmt w:val="none"/>
      <w:lvlText w:val=""/>
      <w:lvlJc w:val="left"/>
      <w:pPr>
        <w:tabs>
          <w:tab w:val="num" w:pos="360"/>
        </w:tabs>
      </w:pPr>
    </w:lvl>
    <w:lvl w:ilvl="4" w:tplc="9182C0EA">
      <w:numFmt w:val="none"/>
      <w:lvlText w:val=""/>
      <w:lvlJc w:val="left"/>
      <w:pPr>
        <w:tabs>
          <w:tab w:val="num" w:pos="360"/>
        </w:tabs>
      </w:pPr>
    </w:lvl>
    <w:lvl w:ilvl="5" w:tplc="55A2985E">
      <w:numFmt w:val="none"/>
      <w:lvlText w:val=""/>
      <w:lvlJc w:val="left"/>
      <w:pPr>
        <w:tabs>
          <w:tab w:val="num" w:pos="360"/>
        </w:tabs>
      </w:pPr>
    </w:lvl>
    <w:lvl w:ilvl="6" w:tplc="DFE85FE2">
      <w:numFmt w:val="none"/>
      <w:lvlText w:val=""/>
      <w:lvlJc w:val="left"/>
      <w:pPr>
        <w:tabs>
          <w:tab w:val="num" w:pos="360"/>
        </w:tabs>
      </w:pPr>
    </w:lvl>
    <w:lvl w:ilvl="7" w:tplc="C8AE3672">
      <w:numFmt w:val="none"/>
      <w:lvlText w:val=""/>
      <w:lvlJc w:val="left"/>
      <w:pPr>
        <w:tabs>
          <w:tab w:val="num" w:pos="360"/>
        </w:tabs>
      </w:pPr>
    </w:lvl>
    <w:lvl w:ilvl="8" w:tplc="15F6C064">
      <w:numFmt w:val="none"/>
      <w:lvlText w:val=""/>
      <w:lvlJc w:val="left"/>
      <w:pPr>
        <w:tabs>
          <w:tab w:val="num" w:pos="360"/>
        </w:tabs>
      </w:pPr>
    </w:lvl>
  </w:abstractNum>
  <w:abstractNum w:abstractNumId="2">
    <w:nsid w:val="0C7922D0"/>
    <w:multiLevelType w:val="hybridMultilevel"/>
    <w:tmpl w:val="19C03E82"/>
    <w:lvl w:ilvl="0" w:tplc="1409000F">
      <w:start w:val="6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05D79B8"/>
    <w:multiLevelType w:val="hybridMultilevel"/>
    <w:tmpl w:val="56AC9D4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BDB5E06"/>
    <w:multiLevelType w:val="hybridMultilevel"/>
    <w:tmpl w:val="88BE6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FD7B26"/>
    <w:multiLevelType w:val="hybridMultilevel"/>
    <w:tmpl w:val="02F6DE74"/>
    <w:lvl w:ilvl="0" w:tplc="C4E29BA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017F1D"/>
    <w:multiLevelType w:val="hybridMultilevel"/>
    <w:tmpl w:val="CA76B1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CC01BC"/>
    <w:multiLevelType w:val="hybridMultilevel"/>
    <w:tmpl w:val="6BE492CA"/>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F45FC5"/>
    <w:multiLevelType w:val="hybridMultilevel"/>
    <w:tmpl w:val="1C7E85BE"/>
    <w:lvl w:ilvl="0" w:tplc="D380687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4E18CC"/>
    <w:multiLevelType w:val="multilevel"/>
    <w:tmpl w:val="A7E202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1"/>
  </w:num>
  <w:num w:numId="3">
    <w:abstractNumId w:val="6"/>
  </w:num>
  <w:num w:numId="4">
    <w:abstractNumId w:val="7"/>
  </w:num>
  <w:num w:numId="5">
    <w:abstractNumId w:val="9"/>
  </w:num>
  <w:num w:numId="6">
    <w:abstractNumId w:val="4"/>
  </w:num>
  <w:num w:numId="7">
    <w:abstractNumId w:val="8"/>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1FB"/>
    <w:rsid w:val="0000084F"/>
    <w:rsid w:val="00002B55"/>
    <w:rsid w:val="00003123"/>
    <w:rsid w:val="00006A48"/>
    <w:rsid w:val="00007505"/>
    <w:rsid w:val="00007D9D"/>
    <w:rsid w:val="00011655"/>
    <w:rsid w:val="00014363"/>
    <w:rsid w:val="0001505B"/>
    <w:rsid w:val="00015331"/>
    <w:rsid w:val="000172DB"/>
    <w:rsid w:val="00020074"/>
    <w:rsid w:val="00021759"/>
    <w:rsid w:val="0002539E"/>
    <w:rsid w:val="000253D9"/>
    <w:rsid w:val="000300AA"/>
    <w:rsid w:val="000312BC"/>
    <w:rsid w:val="00031359"/>
    <w:rsid w:val="00032B0A"/>
    <w:rsid w:val="00032C88"/>
    <w:rsid w:val="000333E6"/>
    <w:rsid w:val="000411AC"/>
    <w:rsid w:val="00041819"/>
    <w:rsid w:val="0004202F"/>
    <w:rsid w:val="0004229B"/>
    <w:rsid w:val="0004275C"/>
    <w:rsid w:val="0004579D"/>
    <w:rsid w:val="000460E7"/>
    <w:rsid w:val="00046F9C"/>
    <w:rsid w:val="00047824"/>
    <w:rsid w:val="0005053B"/>
    <w:rsid w:val="00050694"/>
    <w:rsid w:val="0005154B"/>
    <w:rsid w:val="00051682"/>
    <w:rsid w:val="000529B1"/>
    <w:rsid w:val="00053EC4"/>
    <w:rsid w:val="00054C08"/>
    <w:rsid w:val="00057018"/>
    <w:rsid w:val="0006119E"/>
    <w:rsid w:val="0006151B"/>
    <w:rsid w:val="00061C4C"/>
    <w:rsid w:val="0006236E"/>
    <w:rsid w:val="00062922"/>
    <w:rsid w:val="00064412"/>
    <w:rsid w:val="00064953"/>
    <w:rsid w:val="000650CF"/>
    <w:rsid w:val="00065BA3"/>
    <w:rsid w:val="000666C9"/>
    <w:rsid w:val="000669EC"/>
    <w:rsid w:val="00067C3C"/>
    <w:rsid w:val="00067CA5"/>
    <w:rsid w:val="000709B1"/>
    <w:rsid w:val="00070D07"/>
    <w:rsid w:val="00075495"/>
    <w:rsid w:val="0007718D"/>
    <w:rsid w:val="0008440F"/>
    <w:rsid w:val="0008444B"/>
    <w:rsid w:val="000861AE"/>
    <w:rsid w:val="00086679"/>
    <w:rsid w:val="00087C10"/>
    <w:rsid w:val="0009113D"/>
    <w:rsid w:val="00091DCA"/>
    <w:rsid w:val="00095FF8"/>
    <w:rsid w:val="000A25CD"/>
    <w:rsid w:val="000A29F3"/>
    <w:rsid w:val="000A2E45"/>
    <w:rsid w:val="000A3D78"/>
    <w:rsid w:val="000A5711"/>
    <w:rsid w:val="000A5806"/>
    <w:rsid w:val="000A5F6A"/>
    <w:rsid w:val="000A676C"/>
    <w:rsid w:val="000A6A0B"/>
    <w:rsid w:val="000A7A6F"/>
    <w:rsid w:val="000B042B"/>
    <w:rsid w:val="000B1AC1"/>
    <w:rsid w:val="000B1C46"/>
    <w:rsid w:val="000B2E8E"/>
    <w:rsid w:val="000B7586"/>
    <w:rsid w:val="000C05CC"/>
    <w:rsid w:val="000C2FC2"/>
    <w:rsid w:val="000C3D0C"/>
    <w:rsid w:val="000C56E6"/>
    <w:rsid w:val="000C6055"/>
    <w:rsid w:val="000C7BA4"/>
    <w:rsid w:val="000D0F48"/>
    <w:rsid w:val="000D48AD"/>
    <w:rsid w:val="000D59A7"/>
    <w:rsid w:val="000D792C"/>
    <w:rsid w:val="000E03CB"/>
    <w:rsid w:val="000E2BC6"/>
    <w:rsid w:val="000E2C28"/>
    <w:rsid w:val="000E2CB2"/>
    <w:rsid w:val="000E4D8A"/>
    <w:rsid w:val="000E59BB"/>
    <w:rsid w:val="000E777B"/>
    <w:rsid w:val="000E78CB"/>
    <w:rsid w:val="000F09EA"/>
    <w:rsid w:val="000F149D"/>
    <w:rsid w:val="000F3A49"/>
    <w:rsid w:val="000F3D22"/>
    <w:rsid w:val="000F3DF4"/>
    <w:rsid w:val="000F5488"/>
    <w:rsid w:val="000F6EA3"/>
    <w:rsid w:val="00101588"/>
    <w:rsid w:val="001049AB"/>
    <w:rsid w:val="00104C47"/>
    <w:rsid w:val="00107470"/>
    <w:rsid w:val="00112AAE"/>
    <w:rsid w:val="0011301A"/>
    <w:rsid w:val="0011303F"/>
    <w:rsid w:val="00113F3D"/>
    <w:rsid w:val="0012183E"/>
    <w:rsid w:val="00122BBF"/>
    <w:rsid w:val="00124604"/>
    <w:rsid w:val="00124DA4"/>
    <w:rsid w:val="0012541A"/>
    <w:rsid w:val="00127EB6"/>
    <w:rsid w:val="00135490"/>
    <w:rsid w:val="00135CFC"/>
    <w:rsid w:val="00136615"/>
    <w:rsid w:val="001376BA"/>
    <w:rsid w:val="00141C5C"/>
    <w:rsid w:val="00143B1A"/>
    <w:rsid w:val="0014468D"/>
    <w:rsid w:val="0014540A"/>
    <w:rsid w:val="001464BE"/>
    <w:rsid w:val="001464CE"/>
    <w:rsid w:val="00147BE9"/>
    <w:rsid w:val="00147DFB"/>
    <w:rsid w:val="00147F7B"/>
    <w:rsid w:val="00150072"/>
    <w:rsid w:val="0015089E"/>
    <w:rsid w:val="001532B3"/>
    <w:rsid w:val="00154C98"/>
    <w:rsid w:val="00154FAE"/>
    <w:rsid w:val="0015585D"/>
    <w:rsid w:val="001563AC"/>
    <w:rsid w:val="00160A14"/>
    <w:rsid w:val="0016181C"/>
    <w:rsid w:val="00162FA7"/>
    <w:rsid w:val="00162FA8"/>
    <w:rsid w:val="0016492F"/>
    <w:rsid w:val="001662BF"/>
    <w:rsid w:val="001669EA"/>
    <w:rsid w:val="00167120"/>
    <w:rsid w:val="0016722E"/>
    <w:rsid w:val="00167359"/>
    <w:rsid w:val="00170E69"/>
    <w:rsid w:val="0017101B"/>
    <w:rsid w:val="001724A0"/>
    <w:rsid w:val="00173CB6"/>
    <w:rsid w:val="0017495C"/>
    <w:rsid w:val="00176E4A"/>
    <w:rsid w:val="00177863"/>
    <w:rsid w:val="00180DF1"/>
    <w:rsid w:val="00181535"/>
    <w:rsid w:val="001824F9"/>
    <w:rsid w:val="0018299F"/>
    <w:rsid w:val="00183DF2"/>
    <w:rsid w:val="00184B91"/>
    <w:rsid w:val="00185EFC"/>
    <w:rsid w:val="00186F30"/>
    <w:rsid w:val="001945B2"/>
    <w:rsid w:val="00196F83"/>
    <w:rsid w:val="001A1CED"/>
    <w:rsid w:val="001A262F"/>
    <w:rsid w:val="001A47F1"/>
    <w:rsid w:val="001B0EF6"/>
    <w:rsid w:val="001B2DD7"/>
    <w:rsid w:val="001B3284"/>
    <w:rsid w:val="001B5320"/>
    <w:rsid w:val="001B564D"/>
    <w:rsid w:val="001B5A6F"/>
    <w:rsid w:val="001B5B75"/>
    <w:rsid w:val="001B651B"/>
    <w:rsid w:val="001B6AC8"/>
    <w:rsid w:val="001B776B"/>
    <w:rsid w:val="001C47E8"/>
    <w:rsid w:val="001C77DF"/>
    <w:rsid w:val="001D1DD6"/>
    <w:rsid w:val="001D2730"/>
    <w:rsid w:val="001D3F21"/>
    <w:rsid w:val="001D5DA2"/>
    <w:rsid w:val="001D758B"/>
    <w:rsid w:val="001E16DC"/>
    <w:rsid w:val="001E16FD"/>
    <w:rsid w:val="001E1941"/>
    <w:rsid w:val="001E2A77"/>
    <w:rsid w:val="001E2DF3"/>
    <w:rsid w:val="001E2E12"/>
    <w:rsid w:val="001E5E87"/>
    <w:rsid w:val="001E67C5"/>
    <w:rsid w:val="001F08C2"/>
    <w:rsid w:val="001F3F11"/>
    <w:rsid w:val="001F5B55"/>
    <w:rsid w:val="001F6F88"/>
    <w:rsid w:val="001F7ABD"/>
    <w:rsid w:val="002002CE"/>
    <w:rsid w:val="00202783"/>
    <w:rsid w:val="00202EB3"/>
    <w:rsid w:val="00202F88"/>
    <w:rsid w:val="00204CCB"/>
    <w:rsid w:val="002052D6"/>
    <w:rsid w:val="00207422"/>
    <w:rsid w:val="00207434"/>
    <w:rsid w:val="0020798D"/>
    <w:rsid w:val="00210DAA"/>
    <w:rsid w:val="00211071"/>
    <w:rsid w:val="00211CAE"/>
    <w:rsid w:val="002138DB"/>
    <w:rsid w:val="0021444D"/>
    <w:rsid w:val="00215F7A"/>
    <w:rsid w:val="002162C4"/>
    <w:rsid w:val="00217069"/>
    <w:rsid w:val="0022263C"/>
    <w:rsid w:val="00223949"/>
    <w:rsid w:val="00224196"/>
    <w:rsid w:val="00224CDB"/>
    <w:rsid w:val="00224E50"/>
    <w:rsid w:val="00225BC7"/>
    <w:rsid w:val="002275C6"/>
    <w:rsid w:val="00230F55"/>
    <w:rsid w:val="002313F2"/>
    <w:rsid w:val="002330C4"/>
    <w:rsid w:val="00233125"/>
    <w:rsid w:val="002348DE"/>
    <w:rsid w:val="00236851"/>
    <w:rsid w:val="00236954"/>
    <w:rsid w:val="00237883"/>
    <w:rsid w:val="002378A8"/>
    <w:rsid w:val="00237FFC"/>
    <w:rsid w:val="00245FF7"/>
    <w:rsid w:val="00247E69"/>
    <w:rsid w:val="00251001"/>
    <w:rsid w:val="00252DAE"/>
    <w:rsid w:val="00253490"/>
    <w:rsid w:val="0025429E"/>
    <w:rsid w:val="00256412"/>
    <w:rsid w:val="002607D7"/>
    <w:rsid w:val="00265F15"/>
    <w:rsid w:val="0026706A"/>
    <w:rsid w:val="00271B89"/>
    <w:rsid w:val="0027433E"/>
    <w:rsid w:val="0028168A"/>
    <w:rsid w:val="002825AA"/>
    <w:rsid w:val="00282709"/>
    <w:rsid w:val="002837C1"/>
    <w:rsid w:val="002837E9"/>
    <w:rsid w:val="00285336"/>
    <w:rsid w:val="00285872"/>
    <w:rsid w:val="002901AC"/>
    <w:rsid w:val="00290893"/>
    <w:rsid w:val="00290AA9"/>
    <w:rsid w:val="002923A5"/>
    <w:rsid w:val="002963B3"/>
    <w:rsid w:val="00297AA4"/>
    <w:rsid w:val="00297E82"/>
    <w:rsid w:val="002A1B85"/>
    <w:rsid w:val="002A1E68"/>
    <w:rsid w:val="002A33E7"/>
    <w:rsid w:val="002A3743"/>
    <w:rsid w:val="002A43F4"/>
    <w:rsid w:val="002B5368"/>
    <w:rsid w:val="002B5755"/>
    <w:rsid w:val="002B6A5F"/>
    <w:rsid w:val="002B74B5"/>
    <w:rsid w:val="002B764C"/>
    <w:rsid w:val="002C0B0B"/>
    <w:rsid w:val="002C162E"/>
    <w:rsid w:val="002C2831"/>
    <w:rsid w:val="002C3678"/>
    <w:rsid w:val="002C3843"/>
    <w:rsid w:val="002C3C18"/>
    <w:rsid w:val="002C46BA"/>
    <w:rsid w:val="002D615A"/>
    <w:rsid w:val="002D7F45"/>
    <w:rsid w:val="002E0CBA"/>
    <w:rsid w:val="002E17DB"/>
    <w:rsid w:val="002E21E3"/>
    <w:rsid w:val="002E33DA"/>
    <w:rsid w:val="002E5065"/>
    <w:rsid w:val="002F09DD"/>
    <w:rsid w:val="002F16F8"/>
    <w:rsid w:val="002F1C3F"/>
    <w:rsid w:val="002F1F69"/>
    <w:rsid w:val="002F3002"/>
    <w:rsid w:val="002F682D"/>
    <w:rsid w:val="002F7110"/>
    <w:rsid w:val="002F72C0"/>
    <w:rsid w:val="003011DA"/>
    <w:rsid w:val="003017E5"/>
    <w:rsid w:val="00301ED7"/>
    <w:rsid w:val="00303093"/>
    <w:rsid w:val="00303423"/>
    <w:rsid w:val="003038D1"/>
    <w:rsid w:val="00305D28"/>
    <w:rsid w:val="00306FA2"/>
    <w:rsid w:val="003124EC"/>
    <w:rsid w:val="00312CD7"/>
    <w:rsid w:val="003130C1"/>
    <w:rsid w:val="003139D2"/>
    <w:rsid w:val="00315C2A"/>
    <w:rsid w:val="00316A86"/>
    <w:rsid w:val="00322F96"/>
    <w:rsid w:val="003241AC"/>
    <w:rsid w:val="00324546"/>
    <w:rsid w:val="00324C98"/>
    <w:rsid w:val="0032777A"/>
    <w:rsid w:val="00331350"/>
    <w:rsid w:val="00333943"/>
    <w:rsid w:val="003342B9"/>
    <w:rsid w:val="00337DA3"/>
    <w:rsid w:val="00340305"/>
    <w:rsid w:val="00340472"/>
    <w:rsid w:val="00341028"/>
    <w:rsid w:val="00342489"/>
    <w:rsid w:val="003427F0"/>
    <w:rsid w:val="00343CAB"/>
    <w:rsid w:val="00344240"/>
    <w:rsid w:val="003457E8"/>
    <w:rsid w:val="003474A1"/>
    <w:rsid w:val="00352E49"/>
    <w:rsid w:val="00353D84"/>
    <w:rsid w:val="00354479"/>
    <w:rsid w:val="00354923"/>
    <w:rsid w:val="00354949"/>
    <w:rsid w:val="003558AC"/>
    <w:rsid w:val="003563BB"/>
    <w:rsid w:val="003564EF"/>
    <w:rsid w:val="00356F0A"/>
    <w:rsid w:val="00361459"/>
    <w:rsid w:val="003619AC"/>
    <w:rsid w:val="00361F87"/>
    <w:rsid w:val="003621DD"/>
    <w:rsid w:val="00362425"/>
    <w:rsid w:val="00364F50"/>
    <w:rsid w:val="00365167"/>
    <w:rsid w:val="0037355E"/>
    <w:rsid w:val="003736E7"/>
    <w:rsid w:val="00373A5F"/>
    <w:rsid w:val="00373A6A"/>
    <w:rsid w:val="0037442A"/>
    <w:rsid w:val="00377658"/>
    <w:rsid w:val="00377DEA"/>
    <w:rsid w:val="003817E2"/>
    <w:rsid w:val="00381D86"/>
    <w:rsid w:val="00381F80"/>
    <w:rsid w:val="00382686"/>
    <w:rsid w:val="00382DFB"/>
    <w:rsid w:val="0038330F"/>
    <w:rsid w:val="003835B5"/>
    <w:rsid w:val="0038471D"/>
    <w:rsid w:val="00385E0D"/>
    <w:rsid w:val="00390F02"/>
    <w:rsid w:val="00394F09"/>
    <w:rsid w:val="00395584"/>
    <w:rsid w:val="003955F9"/>
    <w:rsid w:val="0039704A"/>
    <w:rsid w:val="003A434F"/>
    <w:rsid w:val="003A63C1"/>
    <w:rsid w:val="003B025C"/>
    <w:rsid w:val="003B09C6"/>
    <w:rsid w:val="003B101F"/>
    <w:rsid w:val="003B1AF4"/>
    <w:rsid w:val="003B75CD"/>
    <w:rsid w:val="003C00E6"/>
    <w:rsid w:val="003C1884"/>
    <w:rsid w:val="003C3F9C"/>
    <w:rsid w:val="003C53BC"/>
    <w:rsid w:val="003C75B6"/>
    <w:rsid w:val="003D019C"/>
    <w:rsid w:val="003D1B84"/>
    <w:rsid w:val="003D2564"/>
    <w:rsid w:val="003D469E"/>
    <w:rsid w:val="003D52F5"/>
    <w:rsid w:val="003D53D8"/>
    <w:rsid w:val="003D58B7"/>
    <w:rsid w:val="003D5DD6"/>
    <w:rsid w:val="003E0C77"/>
    <w:rsid w:val="003E0D33"/>
    <w:rsid w:val="003E2454"/>
    <w:rsid w:val="003E2A44"/>
    <w:rsid w:val="003E2CE9"/>
    <w:rsid w:val="003E563B"/>
    <w:rsid w:val="003E5C3B"/>
    <w:rsid w:val="003F4864"/>
    <w:rsid w:val="003F4AF3"/>
    <w:rsid w:val="003F7633"/>
    <w:rsid w:val="004008B9"/>
    <w:rsid w:val="004014C9"/>
    <w:rsid w:val="00402F90"/>
    <w:rsid w:val="00403F42"/>
    <w:rsid w:val="00405023"/>
    <w:rsid w:val="0040505E"/>
    <w:rsid w:val="00405424"/>
    <w:rsid w:val="00406DEE"/>
    <w:rsid w:val="00411730"/>
    <w:rsid w:val="004118E2"/>
    <w:rsid w:val="004121CE"/>
    <w:rsid w:val="004144A7"/>
    <w:rsid w:val="00414545"/>
    <w:rsid w:val="00414F4B"/>
    <w:rsid w:val="004170C6"/>
    <w:rsid w:val="004216AC"/>
    <w:rsid w:val="004221BA"/>
    <w:rsid w:val="004221E4"/>
    <w:rsid w:val="00423F2E"/>
    <w:rsid w:val="0042663F"/>
    <w:rsid w:val="00430240"/>
    <w:rsid w:val="00430C37"/>
    <w:rsid w:val="00431ED4"/>
    <w:rsid w:val="00435F95"/>
    <w:rsid w:val="004378F5"/>
    <w:rsid w:val="00437D53"/>
    <w:rsid w:val="004407E2"/>
    <w:rsid w:val="004419B4"/>
    <w:rsid w:val="0044208E"/>
    <w:rsid w:val="004450CC"/>
    <w:rsid w:val="00445137"/>
    <w:rsid w:val="004461FC"/>
    <w:rsid w:val="0044720B"/>
    <w:rsid w:val="00453030"/>
    <w:rsid w:val="004534B8"/>
    <w:rsid w:val="00461DD1"/>
    <w:rsid w:val="0046242B"/>
    <w:rsid w:val="004650BA"/>
    <w:rsid w:val="00466068"/>
    <w:rsid w:val="004701FB"/>
    <w:rsid w:val="00470EEF"/>
    <w:rsid w:val="00473DA2"/>
    <w:rsid w:val="00474808"/>
    <w:rsid w:val="004758F0"/>
    <w:rsid w:val="00475A68"/>
    <w:rsid w:val="00477B34"/>
    <w:rsid w:val="00480D8A"/>
    <w:rsid w:val="00482036"/>
    <w:rsid w:val="004820B7"/>
    <w:rsid w:val="00484933"/>
    <w:rsid w:val="00484979"/>
    <w:rsid w:val="004856C6"/>
    <w:rsid w:val="00485DD7"/>
    <w:rsid w:val="0048616F"/>
    <w:rsid w:val="004909AD"/>
    <w:rsid w:val="00491A1D"/>
    <w:rsid w:val="0049234F"/>
    <w:rsid w:val="0049289E"/>
    <w:rsid w:val="00493A7C"/>
    <w:rsid w:val="004954A9"/>
    <w:rsid w:val="00496FC4"/>
    <w:rsid w:val="004A17C8"/>
    <w:rsid w:val="004A1A0F"/>
    <w:rsid w:val="004A275B"/>
    <w:rsid w:val="004A318D"/>
    <w:rsid w:val="004A58F1"/>
    <w:rsid w:val="004A6A3E"/>
    <w:rsid w:val="004A6D6B"/>
    <w:rsid w:val="004B49F9"/>
    <w:rsid w:val="004B4FEA"/>
    <w:rsid w:val="004B6E67"/>
    <w:rsid w:val="004B78A3"/>
    <w:rsid w:val="004C00CB"/>
    <w:rsid w:val="004C0C5C"/>
    <w:rsid w:val="004C3949"/>
    <w:rsid w:val="004C5F5C"/>
    <w:rsid w:val="004C6334"/>
    <w:rsid w:val="004C6F73"/>
    <w:rsid w:val="004C79A7"/>
    <w:rsid w:val="004C7F64"/>
    <w:rsid w:val="004D2C5D"/>
    <w:rsid w:val="004D3127"/>
    <w:rsid w:val="004D341C"/>
    <w:rsid w:val="004D602C"/>
    <w:rsid w:val="004D7B95"/>
    <w:rsid w:val="004E137D"/>
    <w:rsid w:val="004E2EC0"/>
    <w:rsid w:val="004E36D4"/>
    <w:rsid w:val="004E391D"/>
    <w:rsid w:val="004E3B23"/>
    <w:rsid w:val="004E5988"/>
    <w:rsid w:val="004E738B"/>
    <w:rsid w:val="004F2628"/>
    <w:rsid w:val="004F2898"/>
    <w:rsid w:val="004F2A06"/>
    <w:rsid w:val="004F3172"/>
    <w:rsid w:val="004F327F"/>
    <w:rsid w:val="004F3505"/>
    <w:rsid w:val="004F3881"/>
    <w:rsid w:val="004F4D2A"/>
    <w:rsid w:val="004F584A"/>
    <w:rsid w:val="00500E9F"/>
    <w:rsid w:val="00501247"/>
    <w:rsid w:val="0050392A"/>
    <w:rsid w:val="005068AA"/>
    <w:rsid w:val="005071CE"/>
    <w:rsid w:val="00515803"/>
    <w:rsid w:val="00515A0D"/>
    <w:rsid w:val="00520899"/>
    <w:rsid w:val="00521BEA"/>
    <w:rsid w:val="00524345"/>
    <w:rsid w:val="00525DA0"/>
    <w:rsid w:val="00525EA7"/>
    <w:rsid w:val="00530AB4"/>
    <w:rsid w:val="0053256B"/>
    <w:rsid w:val="0053485B"/>
    <w:rsid w:val="00535342"/>
    <w:rsid w:val="00535472"/>
    <w:rsid w:val="005373A9"/>
    <w:rsid w:val="00540C0D"/>
    <w:rsid w:val="00541794"/>
    <w:rsid w:val="00541DC4"/>
    <w:rsid w:val="0054302F"/>
    <w:rsid w:val="0054368E"/>
    <w:rsid w:val="005500B6"/>
    <w:rsid w:val="00550300"/>
    <w:rsid w:val="00550AE7"/>
    <w:rsid w:val="00551774"/>
    <w:rsid w:val="00552DEC"/>
    <w:rsid w:val="00553AFC"/>
    <w:rsid w:val="005563FD"/>
    <w:rsid w:val="00556A9C"/>
    <w:rsid w:val="00556E3F"/>
    <w:rsid w:val="00557B84"/>
    <w:rsid w:val="005608C9"/>
    <w:rsid w:val="00563134"/>
    <w:rsid w:val="00563D8F"/>
    <w:rsid w:val="00563EC1"/>
    <w:rsid w:val="005651CD"/>
    <w:rsid w:val="005664A2"/>
    <w:rsid w:val="0057264B"/>
    <w:rsid w:val="00573886"/>
    <w:rsid w:val="00573EFC"/>
    <w:rsid w:val="0057437A"/>
    <w:rsid w:val="005746AA"/>
    <w:rsid w:val="00576BBC"/>
    <w:rsid w:val="00577AC1"/>
    <w:rsid w:val="00577D71"/>
    <w:rsid w:val="0058152B"/>
    <w:rsid w:val="00581F5E"/>
    <w:rsid w:val="00582759"/>
    <w:rsid w:val="005834F8"/>
    <w:rsid w:val="005838CB"/>
    <w:rsid w:val="0058405D"/>
    <w:rsid w:val="00584A66"/>
    <w:rsid w:val="005858CB"/>
    <w:rsid w:val="0058654F"/>
    <w:rsid w:val="00586EB8"/>
    <w:rsid w:val="00590DF0"/>
    <w:rsid w:val="00591306"/>
    <w:rsid w:val="0059490B"/>
    <w:rsid w:val="00594C3D"/>
    <w:rsid w:val="00594E72"/>
    <w:rsid w:val="0059515E"/>
    <w:rsid w:val="00595D99"/>
    <w:rsid w:val="00596665"/>
    <w:rsid w:val="00596E73"/>
    <w:rsid w:val="005971EC"/>
    <w:rsid w:val="00597662"/>
    <w:rsid w:val="00597C65"/>
    <w:rsid w:val="005A048D"/>
    <w:rsid w:val="005A2C59"/>
    <w:rsid w:val="005A43F6"/>
    <w:rsid w:val="005A506B"/>
    <w:rsid w:val="005A508A"/>
    <w:rsid w:val="005A565B"/>
    <w:rsid w:val="005A58D3"/>
    <w:rsid w:val="005A68E7"/>
    <w:rsid w:val="005A755F"/>
    <w:rsid w:val="005B114C"/>
    <w:rsid w:val="005B30C0"/>
    <w:rsid w:val="005B31CA"/>
    <w:rsid w:val="005B42C8"/>
    <w:rsid w:val="005B4F14"/>
    <w:rsid w:val="005B62D7"/>
    <w:rsid w:val="005C0178"/>
    <w:rsid w:val="005C1BCF"/>
    <w:rsid w:val="005C2168"/>
    <w:rsid w:val="005C5271"/>
    <w:rsid w:val="005C5F6C"/>
    <w:rsid w:val="005C6B7F"/>
    <w:rsid w:val="005D15DB"/>
    <w:rsid w:val="005D2473"/>
    <w:rsid w:val="005D3517"/>
    <w:rsid w:val="005D3FF1"/>
    <w:rsid w:val="005D5F6E"/>
    <w:rsid w:val="005D74A2"/>
    <w:rsid w:val="005D7955"/>
    <w:rsid w:val="005E24DF"/>
    <w:rsid w:val="005E289A"/>
    <w:rsid w:val="005E6F19"/>
    <w:rsid w:val="005F3158"/>
    <w:rsid w:val="005F329F"/>
    <w:rsid w:val="005F5F52"/>
    <w:rsid w:val="005F6ACA"/>
    <w:rsid w:val="006035A9"/>
    <w:rsid w:val="00603FAE"/>
    <w:rsid w:val="006051ED"/>
    <w:rsid w:val="0060615B"/>
    <w:rsid w:val="006070C9"/>
    <w:rsid w:val="0060723C"/>
    <w:rsid w:val="006118B2"/>
    <w:rsid w:val="00611A45"/>
    <w:rsid w:val="00611CE7"/>
    <w:rsid w:val="006123EF"/>
    <w:rsid w:val="006137B4"/>
    <w:rsid w:val="00613F45"/>
    <w:rsid w:val="00615C5F"/>
    <w:rsid w:val="00616508"/>
    <w:rsid w:val="006173C5"/>
    <w:rsid w:val="00620432"/>
    <w:rsid w:val="006214B4"/>
    <w:rsid w:val="006220DE"/>
    <w:rsid w:val="00622A43"/>
    <w:rsid w:val="00625812"/>
    <w:rsid w:val="00627D6B"/>
    <w:rsid w:val="00631E57"/>
    <w:rsid w:val="00631FF2"/>
    <w:rsid w:val="0063483B"/>
    <w:rsid w:val="00636C0E"/>
    <w:rsid w:val="00637E61"/>
    <w:rsid w:val="00641902"/>
    <w:rsid w:val="00642DB8"/>
    <w:rsid w:val="00644037"/>
    <w:rsid w:val="0064476F"/>
    <w:rsid w:val="006463B9"/>
    <w:rsid w:val="00650C30"/>
    <w:rsid w:val="006529E5"/>
    <w:rsid w:val="00653698"/>
    <w:rsid w:val="00653747"/>
    <w:rsid w:val="00653802"/>
    <w:rsid w:val="00654CE3"/>
    <w:rsid w:val="00654DC3"/>
    <w:rsid w:val="00656B0C"/>
    <w:rsid w:val="00662F37"/>
    <w:rsid w:val="00665E54"/>
    <w:rsid w:val="00670C8A"/>
    <w:rsid w:val="00672357"/>
    <w:rsid w:val="00672BD5"/>
    <w:rsid w:val="00672D4C"/>
    <w:rsid w:val="00673CD5"/>
    <w:rsid w:val="00673F02"/>
    <w:rsid w:val="00674086"/>
    <w:rsid w:val="00676EAF"/>
    <w:rsid w:val="00677D7D"/>
    <w:rsid w:val="00680805"/>
    <w:rsid w:val="006823D5"/>
    <w:rsid w:val="00684188"/>
    <w:rsid w:val="00684821"/>
    <w:rsid w:val="00684D0D"/>
    <w:rsid w:val="00684F08"/>
    <w:rsid w:val="006862AC"/>
    <w:rsid w:val="006869EF"/>
    <w:rsid w:val="00686DD7"/>
    <w:rsid w:val="006871EB"/>
    <w:rsid w:val="006872D3"/>
    <w:rsid w:val="00692BDA"/>
    <w:rsid w:val="00694193"/>
    <w:rsid w:val="00694506"/>
    <w:rsid w:val="00696FF4"/>
    <w:rsid w:val="0069769A"/>
    <w:rsid w:val="006A0913"/>
    <w:rsid w:val="006A2E4F"/>
    <w:rsid w:val="006A39AE"/>
    <w:rsid w:val="006A5790"/>
    <w:rsid w:val="006A6B51"/>
    <w:rsid w:val="006A7D38"/>
    <w:rsid w:val="006B1124"/>
    <w:rsid w:val="006B1A30"/>
    <w:rsid w:val="006B1D03"/>
    <w:rsid w:val="006B1F1B"/>
    <w:rsid w:val="006B295A"/>
    <w:rsid w:val="006B3598"/>
    <w:rsid w:val="006B3817"/>
    <w:rsid w:val="006B7B2A"/>
    <w:rsid w:val="006C09CD"/>
    <w:rsid w:val="006C0B66"/>
    <w:rsid w:val="006C2A5D"/>
    <w:rsid w:val="006C2D78"/>
    <w:rsid w:val="006C6C35"/>
    <w:rsid w:val="006C716A"/>
    <w:rsid w:val="006D06C3"/>
    <w:rsid w:val="006D2599"/>
    <w:rsid w:val="006D28B2"/>
    <w:rsid w:val="006D3166"/>
    <w:rsid w:val="006D5A05"/>
    <w:rsid w:val="006D5E5D"/>
    <w:rsid w:val="006E0593"/>
    <w:rsid w:val="006E1B29"/>
    <w:rsid w:val="006E3487"/>
    <w:rsid w:val="006E37E0"/>
    <w:rsid w:val="006E5293"/>
    <w:rsid w:val="006E5D4C"/>
    <w:rsid w:val="006F07B9"/>
    <w:rsid w:val="006F3ED6"/>
    <w:rsid w:val="006F4BB2"/>
    <w:rsid w:val="006F667B"/>
    <w:rsid w:val="006F6F36"/>
    <w:rsid w:val="006F7587"/>
    <w:rsid w:val="0070206C"/>
    <w:rsid w:val="00702257"/>
    <w:rsid w:val="00702DE2"/>
    <w:rsid w:val="0070348D"/>
    <w:rsid w:val="00704380"/>
    <w:rsid w:val="0070555F"/>
    <w:rsid w:val="00705FDA"/>
    <w:rsid w:val="00707DA2"/>
    <w:rsid w:val="007102A7"/>
    <w:rsid w:val="00720138"/>
    <w:rsid w:val="00721EAB"/>
    <w:rsid w:val="00721FC4"/>
    <w:rsid w:val="0072294E"/>
    <w:rsid w:val="00722DE9"/>
    <w:rsid w:val="007242AD"/>
    <w:rsid w:val="007276E0"/>
    <w:rsid w:val="0073081A"/>
    <w:rsid w:val="0073099D"/>
    <w:rsid w:val="00730D16"/>
    <w:rsid w:val="00731D12"/>
    <w:rsid w:val="00732778"/>
    <w:rsid w:val="00735651"/>
    <w:rsid w:val="0073711D"/>
    <w:rsid w:val="00737B0F"/>
    <w:rsid w:val="007401BA"/>
    <w:rsid w:val="0074044E"/>
    <w:rsid w:val="007407E8"/>
    <w:rsid w:val="00741FBE"/>
    <w:rsid w:val="007433B8"/>
    <w:rsid w:val="007438E6"/>
    <w:rsid w:val="00744770"/>
    <w:rsid w:val="00745519"/>
    <w:rsid w:val="007479DD"/>
    <w:rsid w:val="00747BF9"/>
    <w:rsid w:val="0075584E"/>
    <w:rsid w:val="00755F6E"/>
    <w:rsid w:val="0075644D"/>
    <w:rsid w:val="00756B48"/>
    <w:rsid w:val="00757903"/>
    <w:rsid w:val="00757B36"/>
    <w:rsid w:val="007609D0"/>
    <w:rsid w:val="00760F8F"/>
    <w:rsid w:val="007629D3"/>
    <w:rsid w:val="00763976"/>
    <w:rsid w:val="007659D7"/>
    <w:rsid w:val="0077262E"/>
    <w:rsid w:val="00775725"/>
    <w:rsid w:val="00780A71"/>
    <w:rsid w:val="00781492"/>
    <w:rsid w:val="00781F18"/>
    <w:rsid w:val="007827E4"/>
    <w:rsid w:val="00783612"/>
    <w:rsid w:val="007843FC"/>
    <w:rsid w:val="00784AC9"/>
    <w:rsid w:val="00786885"/>
    <w:rsid w:val="00787069"/>
    <w:rsid w:val="00787D98"/>
    <w:rsid w:val="00791541"/>
    <w:rsid w:val="0079162A"/>
    <w:rsid w:val="00791E3D"/>
    <w:rsid w:val="00792E51"/>
    <w:rsid w:val="00794472"/>
    <w:rsid w:val="007960DE"/>
    <w:rsid w:val="00796308"/>
    <w:rsid w:val="007A07B9"/>
    <w:rsid w:val="007A0ED2"/>
    <w:rsid w:val="007A2BB7"/>
    <w:rsid w:val="007A359B"/>
    <w:rsid w:val="007A3AF7"/>
    <w:rsid w:val="007A4743"/>
    <w:rsid w:val="007A4B9F"/>
    <w:rsid w:val="007A4D3F"/>
    <w:rsid w:val="007A5CD8"/>
    <w:rsid w:val="007A5CEB"/>
    <w:rsid w:val="007A609E"/>
    <w:rsid w:val="007A6CE1"/>
    <w:rsid w:val="007B088F"/>
    <w:rsid w:val="007B0CEE"/>
    <w:rsid w:val="007B2C77"/>
    <w:rsid w:val="007B3BF6"/>
    <w:rsid w:val="007B3CD5"/>
    <w:rsid w:val="007B4316"/>
    <w:rsid w:val="007B64A1"/>
    <w:rsid w:val="007C1A78"/>
    <w:rsid w:val="007C2CCF"/>
    <w:rsid w:val="007C47B4"/>
    <w:rsid w:val="007C4A87"/>
    <w:rsid w:val="007C5038"/>
    <w:rsid w:val="007C52B3"/>
    <w:rsid w:val="007C6A02"/>
    <w:rsid w:val="007C6C49"/>
    <w:rsid w:val="007D556E"/>
    <w:rsid w:val="007E0139"/>
    <w:rsid w:val="007E18E4"/>
    <w:rsid w:val="007E24D0"/>
    <w:rsid w:val="007E263C"/>
    <w:rsid w:val="007E380A"/>
    <w:rsid w:val="007E688E"/>
    <w:rsid w:val="007E6CC5"/>
    <w:rsid w:val="007E785F"/>
    <w:rsid w:val="007E7BF5"/>
    <w:rsid w:val="007F0583"/>
    <w:rsid w:val="007F0BFF"/>
    <w:rsid w:val="007F0E2E"/>
    <w:rsid w:val="007F1AFB"/>
    <w:rsid w:val="007F71CB"/>
    <w:rsid w:val="007F71F3"/>
    <w:rsid w:val="007F756B"/>
    <w:rsid w:val="008006A9"/>
    <w:rsid w:val="00800E3E"/>
    <w:rsid w:val="00801018"/>
    <w:rsid w:val="008024EB"/>
    <w:rsid w:val="00802992"/>
    <w:rsid w:val="00803D26"/>
    <w:rsid w:val="00805177"/>
    <w:rsid w:val="00806073"/>
    <w:rsid w:val="008060E3"/>
    <w:rsid w:val="00812805"/>
    <w:rsid w:val="008132DA"/>
    <w:rsid w:val="0081369E"/>
    <w:rsid w:val="00813E3F"/>
    <w:rsid w:val="00814516"/>
    <w:rsid w:val="0081559A"/>
    <w:rsid w:val="00817EE3"/>
    <w:rsid w:val="00820027"/>
    <w:rsid w:val="00820738"/>
    <w:rsid w:val="00821FB7"/>
    <w:rsid w:val="008227F2"/>
    <w:rsid w:val="00823AF2"/>
    <w:rsid w:val="00826BC6"/>
    <w:rsid w:val="00827586"/>
    <w:rsid w:val="00827A6F"/>
    <w:rsid w:val="008308D8"/>
    <w:rsid w:val="008315B9"/>
    <w:rsid w:val="00831B0D"/>
    <w:rsid w:val="008322C5"/>
    <w:rsid w:val="00833416"/>
    <w:rsid w:val="00834406"/>
    <w:rsid w:val="00834445"/>
    <w:rsid w:val="008358F1"/>
    <w:rsid w:val="008361F5"/>
    <w:rsid w:val="0084102A"/>
    <w:rsid w:val="00844A53"/>
    <w:rsid w:val="008524DC"/>
    <w:rsid w:val="008554E2"/>
    <w:rsid w:val="0085718B"/>
    <w:rsid w:val="00857871"/>
    <w:rsid w:val="00857CCF"/>
    <w:rsid w:val="008606D4"/>
    <w:rsid w:val="008623C3"/>
    <w:rsid w:val="00864021"/>
    <w:rsid w:val="00865F59"/>
    <w:rsid w:val="00870B7E"/>
    <w:rsid w:val="00871724"/>
    <w:rsid w:val="008737D0"/>
    <w:rsid w:val="0087418C"/>
    <w:rsid w:val="0087436E"/>
    <w:rsid w:val="00874F75"/>
    <w:rsid w:val="00877896"/>
    <w:rsid w:val="0088364D"/>
    <w:rsid w:val="00884D91"/>
    <w:rsid w:val="00886E2C"/>
    <w:rsid w:val="00887326"/>
    <w:rsid w:val="00891419"/>
    <w:rsid w:val="008919A9"/>
    <w:rsid w:val="008919CF"/>
    <w:rsid w:val="00891AD5"/>
    <w:rsid w:val="008921EE"/>
    <w:rsid w:val="008922C6"/>
    <w:rsid w:val="0089384B"/>
    <w:rsid w:val="008972C0"/>
    <w:rsid w:val="008A0FD5"/>
    <w:rsid w:val="008A4136"/>
    <w:rsid w:val="008A4B6F"/>
    <w:rsid w:val="008A4B9D"/>
    <w:rsid w:val="008A682C"/>
    <w:rsid w:val="008A7D23"/>
    <w:rsid w:val="008B1867"/>
    <w:rsid w:val="008B2005"/>
    <w:rsid w:val="008B29CA"/>
    <w:rsid w:val="008B2D20"/>
    <w:rsid w:val="008B34B3"/>
    <w:rsid w:val="008B35EA"/>
    <w:rsid w:val="008B3EFA"/>
    <w:rsid w:val="008B4CAF"/>
    <w:rsid w:val="008B4FC5"/>
    <w:rsid w:val="008B6826"/>
    <w:rsid w:val="008C08DD"/>
    <w:rsid w:val="008C2A53"/>
    <w:rsid w:val="008C3278"/>
    <w:rsid w:val="008C3696"/>
    <w:rsid w:val="008C44B4"/>
    <w:rsid w:val="008C44F8"/>
    <w:rsid w:val="008C5588"/>
    <w:rsid w:val="008D0F7D"/>
    <w:rsid w:val="008D2A8C"/>
    <w:rsid w:val="008D4D1C"/>
    <w:rsid w:val="008E0406"/>
    <w:rsid w:val="008E1AD2"/>
    <w:rsid w:val="008E3C8F"/>
    <w:rsid w:val="008F0098"/>
    <w:rsid w:val="008F09ED"/>
    <w:rsid w:val="008F3608"/>
    <w:rsid w:val="008F3E93"/>
    <w:rsid w:val="008F43BA"/>
    <w:rsid w:val="008F447F"/>
    <w:rsid w:val="008F676D"/>
    <w:rsid w:val="009014B9"/>
    <w:rsid w:val="009018A4"/>
    <w:rsid w:val="00901C0A"/>
    <w:rsid w:val="0090311C"/>
    <w:rsid w:val="00904214"/>
    <w:rsid w:val="009069ED"/>
    <w:rsid w:val="00907869"/>
    <w:rsid w:val="00910A96"/>
    <w:rsid w:val="00912053"/>
    <w:rsid w:val="0091225E"/>
    <w:rsid w:val="00913D90"/>
    <w:rsid w:val="00913DA0"/>
    <w:rsid w:val="00913F21"/>
    <w:rsid w:val="009146DD"/>
    <w:rsid w:val="00915E74"/>
    <w:rsid w:val="00915FA2"/>
    <w:rsid w:val="00916276"/>
    <w:rsid w:val="00921FEE"/>
    <w:rsid w:val="009229ED"/>
    <w:rsid w:val="009248F7"/>
    <w:rsid w:val="0092644A"/>
    <w:rsid w:val="009279E9"/>
    <w:rsid w:val="00930E3A"/>
    <w:rsid w:val="00930F73"/>
    <w:rsid w:val="009330BC"/>
    <w:rsid w:val="00933B5F"/>
    <w:rsid w:val="00940340"/>
    <w:rsid w:val="00940536"/>
    <w:rsid w:val="009460F2"/>
    <w:rsid w:val="00951BAD"/>
    <w:rsid w:val="00953F1A"/>
    <w:rsid w:val="00957FC4"/>
    <w:rsid w:val="00961DE7"/>
    <w:rsid w:val="009636A7"/>
    <w:rsid w:val="00967EA1"/>
    <w:rsid w:val="00970E52"/>
    <w:rsid w:val="0097310A"/>
    <w:rsid w:val="009734E5"/>
    <w:rsid w:val="00973734"/>
    <w:rsid w:val="00973BAC"/>
    <w:rsid w:val="00974AF0"/>
    <w:rsid w:val="00974C43"/>
    <w:rsid w:val="00975B67"/>
    <w:rsid w:val="00975C93"/>
    <w:rsid w:val="009763D2"/>
    <w:rsid w:val="00977580"/>
    <w:rsid w:val="00984790"/>
    <w:rsid w:val="00984E7C"/>
    <w:rsid w:val="00985CA2"/>
    <w:rsid w:val="009861B7"/>
    <w:rsid w:val="00986F0F"/>
    <w:rsid w:val="009871AF"/>
    <w:rsid w:val="00987A27"/>
    <w:rsid w:val="0099077E"/>
    <w:rsid w:val="00997291"/>
    <w:rsid w:val="00997979"/>
    <w:rsid w:val="009A0466"/>
    <w:rsid w:val="009A07C0"/>
    <w:rsid w:val="009A27F1"/>
    <w:rsid w:val="009A7FFE"/>
    <w:rsid w:val="009B05F2"/>
    <w:rsid w:val="009B13F1"/>
    <w:rsid w:val="009B1B5D"/>
    <w:rsid w:val="009B1DC8"/>
    <w:rsid w:val="009B2476"/>
    <w:rsid w:val="009B335C"/>
    <w:rsid w:val="009B35FD"/>
    <w:rsid w:val="009B42A0"/>
    <w:rsid w:val="009B658A"/>
    <w:rsid w:val="009C319C"/>
    <w:rsid w:val="009C7DA4"/>
    <w:rsid w:val="009D2FCF"/>
    <w:rsid w:val="009D4FFF"/>
    <w:rsid w:val="009D584A"/>
    <w:rsid w:val="009D5E7A"/>
    <w:rsid w:val="009E0F9A"/>
    <w:rsid w:val="009E185E"/>
    <w:rsid w:val="009E2899"/>
    <w:rsid w:val="009E4643"/>
    <w:rsid w:val="009E5259"/>
    <w:rsid w:val="009E59E5"/>
    <w:rsid w:val="009E6417"/>
    <w:rsid w:val="009E6A93"/>
    <w:rsid w:val="009F3F31"/>
    <w:rsid w:val="009F619B"/>
    <w:rsid w:val="009F62CA"/>
    <w:rsid w:val="009F634E"/>
    <w:rsid w:val="00A006FC"/>
    <w:rsid w:val="00A013BF"/>
    <w:rsid w:val="00A01FC6"/>
    <w:rsid w:val="00A0236A"/>
    <w:rsid w:val="00A02E8D"/>
    <w:rsid w:val="00A039BD"/>
    <w:rsid w:val="00A05CF9"/>
    <w:rsid w:val="00A065B8"/>
    <w:rsid w:val="00A070F5"/>
    <w:rsid w:val="00A07BA7"/>
    <w:rsid w:val="00A10FB5"/>
    <w:rsid w:val="00A119C8"/>
    <w:rsid w:val="00A152C8"/>
    <w:rsid w:val="00A1786F"/>
    <w:rsid w:val="00A17B33"/>
    <w:rsid w:val="00A17BDD"/>
    <w:rsid w:val="00A20EE9"/>
    <w:rsid w:val="00A22567"/>
    <w:rsid w:val="00A2343D"/>
    <w:rsid w:val="00A23663"/>
    <w:rsid w:val="00A25239"/>
    <w:rsid w:val="00A25676"/>
    <w:rsid w:val="00A26B3E"/>
    <w:rsid w:val="00A3126D"/>
    <w:rsid w:val="00A36EB4"/>
    <w:rsid w:val="00A415E3"/>
    <w:rsid w:val="00A4214C"/>
    <w:rsid w:val="00A469DF"/>
    <w:rsid w:val="00A47C48"/>
    <w:rsid w:val="00A50CC6"/>
    <w:rsid w:val="00A515ED"/>
    <w:rsid w:val="00A53C4D"/>
    <w:rsid w:val="00A54062"/>
    <w:rsid w:val="00A56728"/>
    <w:rsid w:val="00A611C3"/>
    <w:rsid w:val="00A64344"/>
    <w:rsid w:val="00A67AB2"/>
    <w:rsid w:val="00A733A7"/>
    <w:rsid w:val="00A73D71"/>
    <w:rsid w:val="00A7453A"/>
    <w:rsid w:val="00A74729"/>
    <w:rsid w:val="00A76416"/>
    <w:rsid w:val="00A7704B"/>
    <w:rsid w:val="00A81B90"/>
    <w:rsid w:val="00A81EBB"/>
    <w:rsid w:val="00A82CD7"/>
    <w:rsid w:val="00A83A82"/>
    <w:rsid w:val="00A8403B"/>
    <w:rsid w:val="00A857F6"/>
    <w:rsid w:val="00A8646C"/>
    <w:rsid w:val="00A87AB0"/>
    <w:rsid w:val="00A87BDD"/>
    <w:rsid w:val="00A910FA"/>
    <w:rsid w:val="00A91B48"/>
    <w:rsid w:val="00A944B9"/>
    <w:rsid w:val="00A946BB"/>
    <w:rsid w:val="00A94732"/>
    <w:rsid w:val="00A957DA"/>
    <w:rsid w:val="00A97557"/>
    <w:rsid w:val="00AA019E"/>
    <w:rsid w:val="00AA05E9"/>
    <w:rsid w:val="00AA53EB"/>
    <w:rsid w:val="00AA5D56"/>
    <w:rsid w:val="00AA733A"/>
    <w:rsid w:val="00AB0558"/>
    <w:rsid w:val="00AB0FED"/>
    <w:rsid w:val="00AB2995"/>
    <w:rsid w:val="00AB44E0"/>
    <w:rsid w:val="00AB4B20"/>
    <w:rsid w:val="00AB5520"/>
    <w:rsid w:val="00AB652B"/>
    <w:rsid w:val="00AB7840"/>
    <w:rsid w:val="00AC46A8"/>
    <w:rsid w:val="00AD1559"/>
    <w:rsid w:val="00AD317E"/>
    <w:rsid w:val="00AD3C14"/>
    <w:rsid w:val="00AD7604"/>
    <w:rsid w:val="00AE02B1"/>
    <w:rsid w:val="00AE14CA"/>
    <w:rsid w:val="00AE2502"/>
    <w:rsid w:val="00AE2DB2"/>
    <w:rsid w:val="00AE3099"/>
    <w:rsid w:val="00AE46B4"/>
    <w:rsid w:val="00AE538E"/>
    <w:rsid w:val="00AE7358"/>
    <w:rsid w:val="00AF1FA5"/>
    <w:rsid w:val="00AF1FD2"/>
    <w:rsid w:val="00AF21CE"/>
    <w:rsid w:val="00AF4190"/>
    <w:rsid w:val="00AF41FC"/>
    <w:rsid w:val="00B02102"/>
    <w:rsid w:val="00B0332C"/>
    <w:rsid w:val="00B05A2F"/>
    <w:rsid w:val="00B05F13"/>
    <w:rsid w:val="00B062C2"/>
    <w:rsid w:val="00B07FEE"/>
    <w:rsid w:val="00B14484"/>
    <w:rsid w:val="00B20DD7"/>
    <w:rsid w:val="00B20DFD"/>
    <w:rsid w:val="00B20EF5"/>
    <w:rsid w:val="00B217A6"/>
    <w:rsid w:val="00B21FF0"/>
    <w:rsid w:val="00B229F1"/>
    <w:rsid w:val="00B2571B"/>
    <w:rsid w:val="00B2783E"/>
    <w:rsid w:val="00B30C21"/>
    <w:rsid w:val="00B31756"/>
    <w:rsid w:val="00B33A95"/>
    <w:rsid w:val="00B3415B"/>
    <w:rsid w:val="00B35D29"/>
    <w:rsid w:val="00B36805"/>
    <w:rsid w:val="00B37A43"/>
    <w:rsid w:val="00B40EA9"/>
    <w:rsid w:val="00B417F1"/>
    <w:rsid w:val="00B42084"/>
    <w:rsid w:val="00B44596"/>
    <w:rsid w:val="00B4480A"/>
    <w:rsid w:val="00B44DCC"/>
    <w:rsid w:val="00B45A91"/>
    <w:rsid w:val="00B460DA"/>
    <w:rsid w:val="00B47845"/>
    <w:rsid w:val="00B47B92"/>
    <w:rsid w:val="00B500D5"/>
    <w:rsid w:val="00B50796"/>
    <w:rsid w:val="00B55E85"/>
    <w:rsid w:val="00B61295"/>
    <w:rsid w:val="00B61713"/>
    <w:rsid w:val="00B6209B"/>
    <w:rsid w:val="00B62108"/>
    <w:rsid w:val="00B62A98"/>
    <w:rsid w:val="00B63294"/>
    <w:rsid w:val="00B63916"/>
    <w:rsid w:val="00B64EA0"/>
    <w:rsid w:val="00B65C94"/>
    <w:rsid w:val="00B70DCE"/>
    <w:rsid w:val="00B71938"/>
    <w:rsid w:val="00B729C0"/>
    <w:rsid w:val="00B770B2"/>
    <w:rsid w:val="00B82C82"/>
    <w:rsid w:val="00B84027"/>
    <w:rsid w:val="00B85C62"/>
    <w:rsid w:val="00B908D9"/>
    <w:rsid w:val="00B90AE4"/>
    <w:rsid w:val="00B910D6"/>
    <w:rsid w:val="00B9134A"/>
    <w:rsid w:val="00B92EAE"/>
    <w:rsid w:val="00B9311B"/>
    <w:rsid w:val="00B93954"/>
    <w:rsid w:val="00B94FAA"/>
    <w:rsid w:val="00BA1C65"/>
    <w:rsid w:val="00BA2381"/>
    <w:rsid w:val="00BA640F"/>
    <w:rsid w:val="00BA64AC"/>
    <w:rsid w:val="00BB0430"/>
    <w:rsid w:val="00BB0B03"/>
    <w:rsid w:val="00BB1314"/>
    <w:rsid w:val="00BB1943"/>
    <w:rsid w:val="00BB312F"/>
    <w:rsid w:val="00BB5694"/>
    <w:rsid w:val="00BC1505"/>
    <w:rsid w:val="00BC2476"/>
    <w:rsid w:val="00BC2D54"/>
    <w:rsid w:val="00BC5928"/>
    <w:rsid w:val="00BD2702"/>
    <w:rsid w:val="00BD2D17"/>
    <w:rsid w:val="00BD3409"/>
    <w:rsid w:val="00BD3F17"/>
    <w:rsid w:val="00BD4B70"/>
    <w:rsid w:val="00BE1565"/>
    <w:rsid w:val="00BE1AD6"/>
    <w:rsid w:val="00BE24D0"/>
    <w:rsid w:val="00BE27E9"/>
    <w:rsid w:val="00BE2B05"/>
    <w:rsid w:val="00BE30EF"/>
    <w:rsid w:val="00BE3786"/>
    <w:rsid w:val="00BE41B4"/>
    <w:rsid w:val="00BE49F8"/>
    <w:rsid w:val="00BE5A87"/>
    <w:rsid w:val="00BE69F7"/>
    <w:rsid w:val="00BF00CB"/>
    <w:rsid w:val="00BF0C57"/>
    <w:rsid w:val="00BF1EC9"/>
    <w:rsid w:val="00BF791A"/>
    <w:rsid w:val="00C006B8"/>
    <w:rsid w:val="00C00BE2"/>
    <w:rsid w:val="00C028C9"/>
    <w:rsid w:val="00C03950"/>
    <w:rsid w:val="00C06DB1"/>
    <w:rsid w:val="00C11981"/>
    <w:rsid w:val="00C123C5"/>
    <w:rsid w:val="00C124BF"/>
    <w:rsid w:val="00C13681"/>
    <w:rsid w:val="00C139AA"/>
    <w:rsid w:val="00C15992"/>
    <w:rsid w:val="00C16F86"/>
    <w:rsid w:val="00C20602"/>
    <w:rsid w:val="00C212B6"/>
    <w:rsid w:val="00C21319"/>
    <w:rsid w:val="00C21783"/>
    <w:rsid w:val="00C22CB2"/>
    <w:rsid w:val="00C24225"/>
    <w:rsid w:val="00C24C37"/>
    <w:rsid w:val="00C251BC"/>
    <w:rsid w:val="00C254D9"/>
    <w:rsid w:val="00C31AAD"/>
    <w:rsid w:val="00C327DD"/>
    <w:rsid w:val="00C34936"/>
    <w:rsid w:val="00C356E4"/>
    <w:rsid w:val="00C35EA5"/>
    <w:rsid w:val="00C3614D"/>
    <w:rsid w:val="00C36611"/>
    <w:rsid w:val="00C37CB3"/>
    <w:rsid w:val="00C409E0"/>
    <w:rsid w:val="00C43BD4"/>
    <w:rsid w:val="00C446A1"/>
    <w:rsid w:val="00C45000"/>
    <w:rsid w:val="00C53528"/>
    <w:rsid w:val="00C549F1"/>
    <w:rsid w:val="00C56501"/>
    <w:rsid w:val="00C56C90"/>
    <w:rsid w:val="00C60E32"/>
    <w:rsid w:val="00C6157A"/>
    <w:rsid w:val="00C61843"/>
    <w:rsid w:val="00C61D10"/>
    <w:rsid w:val="00C630DD"/>
    <w:rsid w:val="00C65447"/>
    <w:rsid w:val="00C65FC4"/>
    <w:rsid w:val="00C66CA6"/>
    <w:rsid w:val="00C719AF"/>
    <w:rsid w:val="00C71D95"/>
    <w:rsid w:val="00C730B3"/>
    <w:rsid w:val="00C73F0F"/>
    <w:rsid w:val="00C77158"/>
    <w:rsid w:val="00C80A87"/>
    <w:rsid w:val="00C82BEA"/>
    <w:rsid w:val="00C84613"/>
    <w:rsid w:val="00C86279"/>
    <w:rsid w:val="00C90A60"/>
    <w:rsid w:val="00C920E4"/>
    <w:rsid w:val="00C921F1"/>
    <w:rsid w:val="00C9222F"/>
    <w:rsid w:val="00C92BD6"/>
    <w:rsid w:val="00C94750"/>
    <w:rsid w:val="00C9676A"/>
    <w:rsid w:val="00C96BFC"/>
    <w:rsid w:val="00CA5598"/>
    <w:rsid w:val="00CA66BF"/>
    <w:rsid w:val="00CB0350"/>
    <w:rsid w:val="00CB0DE5"/>
    <w:rsid w:val="00CB0E51"/>
    <w:rsid w:val="00CB1437"/>
    <w:rsid w:val="00CB216D"/>
    <w:rsid w:val="00CB265F"/>
    <w:rsid w:val="00CB433B"/>
    <w:rsid w:val="00CB7625"/>
    <w:rsid w:val="00CB76A5"/>
    <w:rsid w:val="00CC12B8"/>
    <w:rsid w:val="00CC152A"/>
    <w:rsid w:val="00CC3357"/>
    <w:rsid w:val="00CC3BCB"/>
    <w:rsid w:val="00CC6BE2"/>
    <w:rsid w:val="00CC7F0A"/>
    <w:rsid w:val="00CD44FC"/>
    <w:rsid w:val="00CD58CF"/>
    <w:rsid w:val="00CD7A2B"/>
    <w:rsid w:val="00CE18FB"/>
    <w:rsid w:val="00CE3BCD"/>
    <w:rsid w:val="00CE50EC"/>
    <w:rsid w:val="00CE5949"/>
    <w:rsid w:val="00CE793F"/>
    <w:rsid w:val="00CF0F48"/>
    <w:rsid w:val="00CF1913"/>
    <w:rsid w:val="00CF261B"/>
    <w:rsid w:val="00CF4142"/>
    <w:rsid w:val="00CF7794"/>
    <w:rsid w:val="00CF7DB8"/>
    <w:rsid w:val="00D030E0"/>
    <w:rsid w:val="00D032C1"/>
    <w:rsid w:val="00D03AC8"/>
    <w:rsid w:val="00D0410D"/>
    <w:rsid w:val="00D051B3"/>
    <w:rsid w:val="00D051E2"/>
    <w:rsid w:val="00D11A3A"/>
    <w:rsid w:val="00D122EC"/>
    <w:rsid w:val="00D20376"/>
    <w:rsid w:val="00D22A84"/>
    <w:rsid w:val="00D22E0E"/>
    <w:rsid w:val="00D2319C"/>
    <w:rsid w:val="00D23885"/>
    <w:rsid w:val="00D23D8E"/>
    <w:rsid w:val="00D25D9B"/>
    <w:rsid w:val="00D359E0"/>
    <w:rsid w:val="00D35A07"/>
    <w:rsid w:val="00D3622C"/>
    <w:rsid w:val="00D36427"/>
    <w:rsid w:val="00D36DA0"/>
    <w:rsid w:val="00D37F10"/>
    <w:rsid w:val="00D40C37"/>
    <w:rsid w:val="00D4551C"/>
    <w:rsid w:val="00D4575D"/>
    <w:rsid w:val="00D45A60"/>
    <w:rsid w:val="00D45F4C"/>
    <w:rsid w:val="00D505C2"/>
    <w:rsid w:val="00D50A2B"/>
    <w:rsid w:val="00D51F12"/>
    <w:rsid w:val="00D5226B"/>
    <w:rsid w:val="00D5400B"/>
    <w:rsid w:val="00D540C4"/>
    <w:rsid w:val="00D545AD"/>
    <w:rsid w:val="00D56C1D"/>
    <w:rsid w:val="00D56E92"/>
    <w:rsid w:val="00D60F56"/>
    <w:rsid w:val="00D616FC"/>
    <w:rsid w:val="00D620C7"/>
    <w:rsid w:val="00D625F7"/>
    <w:rsid w:val="00D6291E"/>
    <w:rsid w:val="00D63C1F"/>
    <w:rsid w:val="00D65D29"/>
    <w:rsid w:val="00D70885"/>
    <w:rsid w:val="00D71A8E"/>
    <w:rsid w:val="00D7261A"/>
    <w:rsid w:val="00D73C5C"/>
    <w:rsid w:val="00D741D6"/>
    <w:rsid w:val="00D741F3"/>
    <w:rsid w:val="00D74906"/>
    <w:rsid w:val="00D74B78"/>
    <w:rsid w:val="00D756FB"/>
    <w:rsid w:val="00D7693F"/>
    <w:rsid w:val="00D778BA"/>
    <w:rsid w:val="00D77BE2"/>
    <w:rsid w:val="00D824E9"/>
    <w:rsid w:val="00D83CFA"/>
    <w:rsid w:val="00D85A51"/>
    <w:rsid w:val="00D93699"/>
    <w:rsid w:val="00D97DB7"/>
    <w:rsid w:val="00D97F5F"/>
    <w:rsid w:val="00DA01D7"/>
    <w:rsid w:val="00DA2FEB"/>
    <w:rsid w:val="00DA34ED"/>
    <w:rsid w:val="00DA44E3"/>
    <w:rsid w:val="00DA4CA8"/>
    <w:rsid w:val="00DA4CCB"/>
    <w:rsid w:val="00DA5098"/>
    <w:rsid w:val="00DA6835"/>
    <w:rsid w:val="00DA69DB"/>
    <w:rsid w:val="00DA7C8F"/>
    <w:rsid w:val="00DB0B5B"/>
    <w:rsid w:val="00DB17A7"/>
    <w:rsid w:val="00DB7762"/>
    <w:rsid w:val="00DB790C"/>
    <w:rsid w:val="00DC18BD"/>
    <w:rsid w:val="00DC2B63"/>
    <w:rsid w:val="00DC2C37"/>
    <w:rsid w:val="00DC3D76"/>
    <w:rsid w:val="00DC3DD3"/>
    <w:rsid w:val="00DC3E24"/>
    <w:rsid w:val="00DC578C"/>
    <w:rsid w:val="00DC5AFC"/>
    <w:rsid w:val="00DD1DDC"/>
    <w:rsid w:val="00DD42AD"/>
    <w:rsid w:val="00DD432A"/>
    <w:rsid w:val="00DD4960"/>
    <w:rsid w:val="00DD5C33"/>
    <w:rsid w:val="00DD5CF4"/>
    <w:rsid w:val="00DD7BBA"/>
    <w:rsid w:val="00DE0E0C"/>
    <w:rsid w:val="00DE2488"/>
    <w:rsid w:val="00DE24A2"/>
    <w:rsid w:val="00DE26CA"/>
    <w:rsid w:val="00DE6646"/>
    <w:rsid w:val="00DE6A4A"/>
    <w:rsid w:val="00DE788E"/>
    <w:rsid w:val="00DF07B6"/>
    <w:rsid w:val="00DF0FFA"/>
    <w:rsid w:val="00DF3740"/>
    <w:rsid w:val="00DF3F97"/>
    <w:rsid w:val="00DF5BFF"/>
    <w:rsid w:val="00DF6084"/>
    <w:rsid w:val="00DF7A80"/>
    <w:rsid w:val="00E01A48"/>
    <w:rsid w:val="00E0246C"/>
    <w:rsid w:val="00E02912"/>
    <w:rsid w:val="00E02A96"/>
    <w:rsid w:val="00E06C16"/>
    <w:rsid w:val="00E1057F"/>
    <w:rsid w:val="00E1133A"/>
    <w:rsid w:val="00E13DD1"/>
    <w:rsid w:val="00E15F26"/>
    <w:rsid w:val="00E15F52"/>
    <w:rsid w:val="00E1718E"/>
    <w:rsid w:val="00E174BD"/>
    <w:rsid w:val="00E20D7A"/>
    <w:rsid w:val="00E213E6"/>
    <w:rsid w:val="00E21CB2"/>
    <w:rsid w:val="00E23189"/>
    <w:rsid w:val="00E24037"/>
    <w:rsid w:val="00E24A66"/>
    <w:rsid w:val="00E251B9"/>
    <w:rsid w:val="00E2703C"/>
    <w:rsid w:val="00E27C09"/>
    <w:rsid w:val="00E30C26"/>
    <w:rsid w:val="00E32249"/>
    <w:rsid w:val="00E32A0F"/>
    <w:rsid w:val="00E32D58"/>
    <w:rsid w:val="00E33326"/>
    <w:rsid w:val="00E34C1D"/>
    <w:rsid w:val="00E36198"/>
    <w:rsid w:val="00E36675"/>
    <w:rsid w:val="00E43F6D"/>
    <w:rsid w:val="00E45C80"/>
    <w:rsid w:val="00E46A00"/>
    <w:rsid w:val="00E52D3F"/>
    <w:rsid w:val="00E52F00"/>
    <w:rsid w:val="00E53273"/>
    <w:rsid w:val="00E53973"/>
    <w:rsid w:val="00E53A46"/>
    <w:rsid w:val="00E541FD"/>
    <w:rsid w:val="00E551B7"/>
    <w:rsid w:val="00E56FBF"/>
    <w:rsid w:val="00E573B9"/>
    <w:rsid w:val="00E60CB5"/>
    <w:rsid w:val="00E60F57"/>
    <w:rsid w:val="00E640A1"/>
    <w:rsid w:val="00E649D6"/>
    <w:rsid w:val="00E658ED"/>
    <w:rsid w:val="00E65F1C"/>
    <w:rsid w:val="00E661B6"/>
    <w:rsid w:val="00E662BC"/>
    <w:rsid w:val="00E674F7"/>
    <w:rsid w:val="00E71468"/>
    <w:rsid w:val="00E71B14"/>
    <w:rsid w:val="00E741F2"/>
    <w:rsid w:val="00E75B5D"/>
    <w:rsid w:val="00E76B8F"/>
    <w:rsid w:val="00E76F8E"/>
    <w:rsid w:val="00E77257"/>
    <w:rsid w:val="00E817B0"/>
    <w:rsid w:val="00E8389F"/>
    <w:rsid w:val="00E84970"/>
    <w:rsid w:val="00E853FE"/>
    <w:rsid w:val="00E85797"/>
    <w:rsid w:val="00E869F0"/>
    <w:rsid w:val="00E90318"/>
    <w:rsid w:val="00E913C3"/>
    <w:rsid w:val="00E9365F"/>
    <w:rsid w:val="00E964E5"/>
    <w:rsid w:val="00EA0227"/>
    <w:rsid w:val="00EA0B93"/>
    <w:rsid w:val="00EA1A22"/>
    <w:rsid w:val="00EA313F"/>
    <w:rsid w:val="00EA61FF"/>
    <w:rsid w:val="00EA74D8"/>
    <w:rsid w:val="00EB0D7C"/>
    <w:rsid w:val="00EB0E2A"/>
    <w:rsid w:val="00EB1C96"/>
    <w:rsid w:val="00EB1D59"/>
    <w:rsid w:val="00EB2302"/>
    <w:rsid w:val="00EB3D58"/>
    <w:rsid w:val="00EB4D91"/>
    <w:rsid w:val="00EB52A5"/>
    <w:rsid w:val="00EB67D0"/>
    <w:rsid w:val="00EB75E5"/>
    <w:rsid w:val="00EB7963"/>
    <w:rsid w:val="00EB79CD"/>
    <w:rsid w:val="00EB7B38"/>
    <w:rsid w:val="00EC0185"/>
    <w:rsid w:val="00EC1F0C"/>
    <w:rsid w:val="00EC4131"/>
    <w:rsid w:val="00EC41B9"/>
    <w:rsid w:val="00EC5674"/>
    <w:rsid w:val="00EC572F"/>
    <w:rsid w:val="00EC607C"/>
    <w:rsid w:val="00EC6212"/>
    <w:rsid w:val="00ED09F7"/>
    <w:rsid w:val="00ED0F83"/>
    <w:rsid w:val="00ED1B9A"/>
    <w:rsid w:val="00ED2A7F"/>
    <w:rsid w:val="00ED601F"/>
    <w:rsid w:val="00ED77C0"/>
    <w:rsid w:val="00EE2E7E"/>
    <w:rsid w:val="00EE3646"/>
    <w:rsid w:val="00EF02BF"/>
    <w:rsid w:val="00EF1524"/>
    <w:rsid w:val="00EF3F95"/>
    <w:rsid w:val="00EF4A8E"/>
    <w:rsid w:val="00EF508E"/>
    <w:rsid w:val="00EF5E0A"/>
    <w:rsid w:val="00F012FA"/>
    <w:rsid w:val="00F01EE4"/>
    <w:rsid w:val="00F0247F"/>
    <w:rsid w:val="00F038C4"/>
    <w:rsid w:val="00F03CF8"/>
    <w:rsid w:val="00F10585"/>
    <w:rsid w:val="00F16A60"/>
    <w:rsid w:val="00F200B2"/>
    <w:rsid w:val="00F2020E"/>
    <w:rsid w:val="00F20529"/>
    <w:rsid w:val="00F2115D"/>
    <w:rsid w:val="00F219AA"/>
    <w:rsid w:val="00F22431"/>
    <w:rsid w:val="00F24CA4"/>
    <w:rsid w:val="00F25BA0"/>
    <w:rsid w:val="00F25EEA"/>
    <w:rsid w:val="00F2738B"/>
    <w:rsid w:val="00F2781E"/>
    <w:rsid w:val="00F27F59"/>
    <w:rsid w:val="00F318CB"/>
    <w:rsid w:val="00F356C1"/>
    <w:rsid w:val="00F40AFB"/>
    <w:rsid w:val="00F42D48"/>
    <w:rsid w:val="00F441AC"/>
    <w:rsid w:val="00F44623"/>
    <w:rsid w:val="00F4572E"/>
    <w:rsid w:val="00F45740"/>
    <w:rsid w:val="00F51AF1"/>
    <w:rsid w:val="00F522F6"/>
    <w:rsid w:val="00F57C9D"/>
    <w:rsid w:val="00F61DD4"/>
    <w:rsid w:val="00F62CD9"/>
    <w:rsid w:val="00F65505"/>
    <w:rsid w:val="00F66265"/>
    <w:rsid w:val="00F7081C"/>
    <w:rsid w:val="00F7436C"/>
    <w:rsid w:val="00F744FD"/>
    <w:rsid w:val="00F759D9"/>
    <w:rsid w:val="00F8132F"/>
    <w:rsid w:val="00F81818"/>
    <w:rsid w:val="00F82327"/>
    <w:rsid w:val="00F91B30"/>
    <w:rsid w:val="00F93336"/>
    <w:rsid w:val="00F9540F"/>
    <w:rsid w:val="00F97669"/>
    <w:rsid w:val="00F97A6C"/>
    <w:rsid w:val="00FA12AA"/>
    <w:rsid w:val="00FA1746"/>
    <w:rsid w:val="00FA1885"/>
    <w:rsid w:val="00FA3E06"/>
    <w:rsid w:val="00FA5C87"/>
    <w:rsid w:val="00FA688B"/>
    <w:rsid w:val="00FA6ED3"/>
    <w:rsid w:val="00FA7248"/>
    <w:rsid w:val="00FA76D8"/>
    <w:rsid w:val="00FB26FE"/>
    <w:rsid w:val="00FB58B5"/>
    <w:rsid w:val="00FB5BA4"/>
    <w:rsid w:val="00FB601E"/>
    <w:rsid w:val="00FB714E"/>
    <w:rsid w:val="00FB744D"/>
    <w:rsid w:val="00FB7B7F"/>
    <w:rsid w:val="00FC2474"/>
    <w:rsid w:val="00FC2917"/>
    <w:rsid w:val="00FC3022"/>
    <w:rsid w:val="00FC4A28"/>
    <w:rsid w:val="00FC55C2"/>
    <w:rsid w:val="00FD39AA"/>
    <w:rsid w:val="00FD4472"/>
    <w:rsid w:val="00FD5F70"/>
    <w:rsid w:val="00FD7730"/>
    <w:rsid w:val="00FE5DB6"/>
    <w:rsid w:val="00FE699D"/>
    <w:rsid w:val="00FE6D64"/>
    <w:rsid w:val="00FE7E99"/>
    <w:rsid w:val="00FF2DFB"/>
    <w:rsid w:val="00FF5C4F"/>
    <w:rsid w:val="00FF6C72"/>
    <w:rsid w:val="00FF78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1FB"/>
    <w:rPr>
      <w:rFonts w:eastAsia="Times New Roman"/>
      <w:sz w:val="24"/>
      <w:szCs w:val="24"/>
      <w:lang w:val="en-GB" w:eastAsia="en-US"/>
    </w:rPr>
  </w:style>
  <w:style w:type="paragraph" w:styleId="Heading1">
    <w:name w:val="heading 1"/>
    <w:basedOn w:val="Normal"/>
    <w:next w:val="Normal"/>
    <w:qFormat/>
    <w:rsid w:val="004C394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w:basedOn w:val="Normal"/>
    <w:uiPriority w:val="99"/>
    <w:rsid w:val="004701FB"/>
    <w:rPr>
      <w:sz w:val="20"/>
      <w:szCs w:val="20"/>
    </w:rPr>
  </w:style>
  <w:style w:type="character" w:styleId="FootnoteReference">
    <w:name w:val="footnote reference"/>
    <w:uiPriority w:val="99"/>
    <w:rsid w:val="004701FB"/>
    <w:rPr>
      <w:vertAlign w:val="superscript"/>
    </w:rPr>
  </w:style>
  <w:style w:type="paragraph" w:styleId="CommentText">
    <w:name w:val="annotation text"/>
    <w:basedOn w:val="Normal"/>
    <w:semiHidden/>
    <w:rsid w:val="004701FB"/>
    <w:rPr>
      <w:lang w:val="en-NZ"/>
    </w:rPr>
  </w:style>
  <w:style w:type="character" w:styleId="Hyperlink">
    <w:name w:val="Hyperlink"/>
    <w:uiPriority w:val="99"/>
    <w:rsid w:val="004701FB"/>
    <w:rPr>
      <w:color w:val="0000FF"/>
      <w:u w:val="single"/>
    </w:rPr>
  </w:style>
  <w:style w:type="paragraph" w:styleId="BodyTextIndent3">
    <w:name w:val="Body Text Indent 3"/>
    <w:basedOn w:val="Normal"/>
    <w:rsid w:val="004701FB"/>
    <w:pPr>
      <w:ind w:firstLine="360"/>
      <w:outlineLvl w:val="0"/>
    </w:pPr>
    <w:rPr>
      <w:szCs w:val="20"/>
    </w:rPr>
  </w:style>
  <w:style w:type="paragraph" w:styleId="Footer">
    <w:name w:val="footer"/>
    <w:basedOn w:val="Normal"/>
    <w:link w:val="FooterChar"/>
    <w:uiPriority w:val="99"/>
    <w:rsid w:val="004701FB"/>
    <w:pPr>
      <w:tabs>
        <w:tab w:val="center" w:pos="4320"/>
        <w:tab w:val="right" w:pos="8640"/>
      </w:tabs>
    </w:pPr>
  </w:style>
  <w:style w:type="character" w:styleId="PageNumber">
    <w:name w:val="page number"/>
    <w:basedOn w:val="DefaultParagraphFont"/>
    <w:rsid w:val="004701FB"/>
  </w:style>
  <w:style w:type="paragraph" w:styleId="PlainText">
    <w:name w:val="Plain Text"/>
    <w:basedOn w:val="Normal"/>
    <w:link w:val="PlainTextChar"/>
    <w:rsid w:val="00D22A84"/>
    <w:rPr>
      <w:rFonts w:ascii="Courier New" w:eastAsia="SimSun" w:hAnsi="Courier New" w:cs="Courier New"/>
      <w:sz w:val="20"/>
      <w:szCs w:val="20"/>
      <w:lang w:eastAsia="zh-CN"/>
    </w:rPr>
  </w:style>
  <w:style w:type="table" w:styleId="TableGrid">
    <w:name w:val="Table Grid"/>
    <w:basedOn w:val="TableNormal"/>
    <w:uiPriority w:val="59"/>
    <w:rsid w:val="00D22A8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73099D"/>
    <w:rPr>
      <w:sz w:val="20"/>
      <w:szCs w:val="20"/>
    </w:rPr>
  </w:style>
  <w:style w:type="character" w:styleId="EndnoteReference">
    <w:name w:val="endnote reference"/>
    <w:semiHidden/>
    <w:rsid w:val="0073099D"/>
    <w:rPr>
      <w:vertAlign w:val="superscript"/>
    </w:rPr>
  </w:style>
  <w:style w:type="character" w:styleId="CommentReference">
    <w:name w:val="annotation reference"/>
    <w:semiHidden/>
    <w:rsid w:val="003F7633"/>
    <w:rPr>
      <w:sz w:val="16"/>
      <w:szCs w:val="16"/>
    </w:rPr>
  </w:style>
  <w:style w:type="paragraph" w:styleId="BalloonText">
    <w:name w:val="Balloon Text"/>
    <w:basedOn w:val="Normal"/>
    <w:semiHidden/>
    <w:rsid w:val="003F7633"/>
    <w:rPr>
      <w:rFonts w:ascii="Tahoma" w:hAnsi="Tahoma" w:cs="Tahoma"/>
      <w:sz w:val="16"/>
      <w:szCs w:val="16"/>
    </w:rPr>
  </w:style>
  <w:style w:type="paragraph" w:styleId="CommentSubject">
    <w:name w:val="annotation subject"/>
    <w:basedOn w:val="CommentText"/>
    <w:next w:val="CommentText"/>
    <w:semiHidden/>
    <w:rsid w:val="009E6417"/>
    <w:rPr>
      <w:b/>
      <w:bCs/>
      <w:sz w:val="20"/>
      <w:szCs w:val="20"/>
      <w:lang w:val="en-US"/>
    </w:rPr>
  </w:style>
  <w:style w:type="paragraph" w:customStyle="1" w:styleId="Default">
    <w:name w:val="Default"/>
    <w:rsid w:val="00E85797"/>
    <w:pPr>
      <w:autoSpaceDE w:val="0"/>
      <w:autoSpaceDN w:val="0"/>
      <w:adjustRightInd w:val="0"/>
    </w:pPr>
    <w:rPr>
      <w:color w:val="000000"/>
      <w:sz w:val="24"/>
      <w:szCs w:val="24"/>
    </w:rPr>
  </w:style>
  <w:style w:type="character" w:customStyle="1" w:styleId="FooterChar">
    <w:name w:val="Footer Char"/>
    <w:link w:val="Footer"/>
    <w:uiPriority w:val="99"/>
    <w:rsid w:val="00E53273"/>
    <w:rPr>
      <w:rFonts w:eastAsia="Times New Roman"/>
      <w:sz w:val="24"/>
      <w:szCs w:val="24"/>
      <w:lang w:val="en-US" w:eastAsia="en-US"/>
    </w:rPr>
  </w:style>
  <w:style w:type="paragraph" w:styleId="Header">
    <w:name w:val="header"/>
    <w:basedOn w:val="Normal"/>
    <w:link w:val="HeaderChar"/>
    <w:rsid w:val="002348DE"/>
    <w:pPr>
      <w:tabs>
        <w:tab w:val="center" w:pos="4320"/>
        <w:tab w:val="right" w:pos="8640"/>
      </w:tabs>
    </w:pPr>
    <w:rPr>
      <w:rFonts w:eastAsia="SimSun"/>
      <w:lang w:val="en-NZ" w:eastAsia="zh-CN"/>
    </w:rPr>
  </w:style>
  <w:style w:type="character" w:customStyle="1" w:styleId="HeaderChar">
    <w:name w:val="Header Char"/>
    <w:link w:val="Header"/>
    <w:rsid w:val="002348DE"/>
    <w:rPr>
      <w:rFonts w:eastAsia="SimSun"/>
      <w:sz w:val="24"/>
      <w:szCs w:val="24"/>
      <w:lang w:eastAsia="zh-CN"/>
    </w:rPr>
  </w:style>
  <w:style w:type="paragraph" w:customStyle="1" w:styleId="ronbun">
    <w:name w:val="ronbun"/>
    <w:basedOn w:val="Normal"/>
    <w:rsid w:val="002348DE"/>
    <w:pPr>
      <w:spacing w:before="100" w:beforeAutospacing="1" w:after="100" w:afterAutospacing="1"/>
    </w:pPr>
    <w:rPr>
      <w:rFonts w:eastAsia="SimSun"/>
      <w:lang w:eastAsia="zh-CN"/>
    </w:rPr>
  </w:style>
  <w:style w:type="character" w:styleId="Emphasis">
    <w:name w:val="Emphasis"/>
    <w:uiPriority w:val="20"/>
    <w:qFormat/>
    <w:rsid w:val="002348DE"/>
    <w:rPr>
      <w:i/>
      <w:iCs/>
    </w:rPr>
  </w:style>
  <w:style w:type="table" w:styleId="TableSimple1">
    <w:name w:val="Table Simple 1"/>
    <w:basedOn w:val="TableNormal"/>
    <w:rsid w:val="00E65F1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PlainTextChar">
    <w:name w:val="Plain Text Char"/>
    <w:link w:val="PlainText"/>
    <w:rsid w:val="009014B9"/>
    <w:rPr>
      <w:rFonts w:ascii="Courier New" w:eastAsia="SimSun" w:hAnsi="Courier New" w:cs="Courier New"/>
      <w:lang w:eastAsia="zh-CN"/>
    </w:rPr>
  </w:style>
  <w:style w:type="character" w:styleId="FollowedHyperlink">
    <w:name w:val="FollowedHyperlink"/>
    <w:rsid w:val="00F03CF8"/>
    <w:rPr>
      <w:color w:val="800080"/>
      <w:u w:val="single"/>
    </w:rPr>
  </w:style>
  <w:style w:type="character" w:customStyle="1" w:styleId="searchword">
    <w:name w:val="searchword"/>
    <w:basedOn w:val="DefaultParagraphFont"/>
    <w:rsid w:val="00186F30"/>
  </w:style>
  <w:style w:type="paragraph" w:styleId="Caption">
    <w:name w:val="caption"/>
    <w:basedOn w:val="Normal"/>
    <w:next w:val="Normal"/>
    <w:autoRedefine/>
    <w:qFormat/>
    <w:rsid w:val="00870B7E"/>
    <w:pPr>
      <w:keepNext/>
      <w:jc w:val="center"/>
    </w:pPr>
    <w:rPr>
      <w:rFonts w:eastAsia="Calibri"/>
      <w:b/>
      <w:bCs/>
      <w:lang w:val="en-US"/>
    </w:rPr>
  </w:style>
  <w:style w:type="character" w:customStyle="1" w:styleId="personname">
    <w:name w:val="person_name"/>
    <w:basedOn w:val="DefaultParagraphFont"/>
    <w:rsid w:val="00377DEA"/>
  </w:style>
  <w:style w:type="table" w:styleId="TableClassic1">
    <w:name w:val="Table Classic 1"/>
    <w:basedOn w:val="TableNormal"/>
    <w:rsid w:val="007A2B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
    <w:name w:val="Light Shading"/>
    <w:basedOn w:val="TableNormal"/>
    <w:uiPriority w:val="60"/>
    <w:rsid w:val="008B6826"/>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Contemporary">
    <w:name w:val="Table Contemporary"/>
    <w:basedOn w:val="TableNormal"/>
    <w:rsid w:val="00BA64A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Shading-Accent5">
    <w:name w:val="Light Shading Accent 5"/>
    <w:basedOn w:val="TableNormal"/>
    <w:uiPriority w:val="60"/>
    <w:rsid w:val="00BA64A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BA64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List1">
    <w:name w:val="Table List 1"/>
    <w:basedOn w:val="TableNormal"/>
    <w:rsid w:val="008922C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2A1E68"/>
    <w:pPr>
      <w:spacing w:before="100" w:beforeAutospacing="1" w:after="100" w:afterAutospacing="1"/>
    </w:pPr>
    <w:rPr>
      <w:lang w:val="en-NZ" w:eastAsia="en-NZ"/>
    </w:rPr>
  </w:style>
  <w:style w:type="paragraph" w:styleId="BodyText">
    <w:name w:val="Body Text"/>
    <w:basedOn w:val="Normal"/>
    <w:link w:val="BodyTextChar"/>
    <w:rsid w:val="00870B7E"/>
    <w:pPr>
      <w:spacing w:after="120"/>
    </w:pPr>
  </w:style>
  <w:style w:type="character" w:customStyle="1" w:styleId="BodyTextChar">
    <w:name w:val="Body Text Char"/>
    <w:basedOn w:val="DefaultParagraphFont"/>
    <w:link w:val="BodyText"/>
    <w:rsid w:val="00870B7E"/>
    <w:rPr>
      <w:rFonts w:eastAsia="Times New Roman"/>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1FB"/>
    <w:rPr>
      <w:rFonts w:eastAsia="Times New Roman"/>
      <w:sz w:val="24"/>
      <w:szCs w:val="24"/>
      <w:lang w:val="en-GB" w:eastAsia="en-US"/>
    </w:rPr>
  </w:style>
  <w:style w:type="paragraph" w:styleId="Heading1">
    <w:name w:val="heading 1"/>
    <w:basedOn w:val="Normal"/>
    <w:next w:val="Normal"/>
    <w:qFormat/>
    <w:rsid w:val="004C394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w:basedOn w:val="Normal"/>
    <w:uiPriority w:val="99"/>
    <w:rsid w:val="004701FB"/>
    <w:rPr>
      <w:sz w:val="20"/>
      <w:szCs w:val="20"/>
    </w:rPr>
  </w:style>
  <w:style w:type="character" w:styleId="FootnoteReference">
    <w:name w:val="footnote reference"/>
    <w:uiPriority w:val="99"/>
    <w:rsid w:val="004701FB"/>
    <w:rPr>
      <w:vertAlign w:val="superscript"/>
    </w:rPr>
  </w:style>
  <w:style w:type="paragraph" w:styleId="CommentText">
    <w:name w:val="annotation text"/>
    <w:basedOn w:val="Normal"/>
    <w:semiHidden/>
    <w:rsid w:val="004701FB"/>
    <w:rPr>
      <w:lang w:val="en-NZ"/>
    </w:rPr>
  </w:style>
  <w:style w:type="character" w:styleId="Hyperlink">
    <w:name w:val="Hyperlink"/>
    <w:uiPriority w:val="99"/>
    <w:rsid w:val="004701FB"/>
    <w:rPr>
      <w:color w:val="0000FF"/>
      <w:u w:val="single"/>
    </w:rPr>
  </w:style>
  <w:style w:type="paragraph" w:styleId="BodyTextIndent3">
    <w:name w:val="Body Text Indent 3"/>
    <w:basedOn w:val="Normal"/>
    <w:rsid w:val="004701FB"/>
    <w:pPr>
      <w:ind w:firstLine="360"/>
      <w:outlineLvl w:val="0"/>
    </w:pPr>
    <w:rPr>
      <w:szCs w:val="20"/>
    </w:rPr>
  </w:style>
  <w:style w:type="paragraph" w:styleId="Footer">
    <w:name w:val="footer"/>
    <w:basedOn w:val="Normal"/>
    <w:link w:val="FooterChar"/>
    <w:uiPriority w:val="99"/>
    <w:rsid w:val="004701FB"/>
    <w:pPr>
      <w:tabs>
        <w:tab w:val="center" w:pos="4320"/>
        <w:tab w:val="right" w:pos="8640"/>
      </w:tabs>
    </w:pPr>
  </w:style>
  <w:style w:type="character" w:styleId="PageNumber">
    <w:name w:val="page number"/>
    <w:basedOn w:val="DefaultParagraphFont"/>
    <w:rsid w:val="004701FB"/>
  </w:style>
  <w:style w:type="paragraph" w:styleId="PlainText">
    <w:name w:val="Plain Text"/>
    <w:basedOn w:val="Normal"/>
    <w:link w:val="PlainTextChar"/>
    <w:rsid w:val="00D22A84"/>
    <w:rPr>
      <w:rFonts w:ascii="Courier New" w:eastAsia="SimSun" w:hAnsi="Courier New" w:cs="Courier New"/>
      <w:sz w:val="20"/>
      <w:szCs w:val="20"/>
      <w:lang w:eastAsia="zh-CN"/>
    </w:rPr>
  </w:style>
  <w:style w:type="table" w:styleId="TableGrid">
    <w:name w:val="Table Grid"/>
    <w:basedOn w:val="TableNormal"/>
    <w:uiPriority w:val="59"/>
    <w:rsid w:val="00D22A8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73099D"/>
    <w:rPr>
      <w:sz w:val="20"/>
      <w:szCs w:val="20"/>
    </w:rPr>
  </w:style>
  <w:style w:type="character" w:styleId="EndnoteReference">
    <w:name w:val="endnote reference"/>
    <w:semiHidden/>
    <w:rsid w:val="0073099D"/>
    <w:rPr>
      <w:vertAlign w:val="superscript"/>
    </w:rPr>
  </w:style>
  <w:style w:type="character" w:styleId="CommentReference">
    <w:name w:val="annotation reference"/>
    <w:semiHidden/>
    <w:rsid w:val="003F7633"/>
    <w:rPr>
      <w:sz w:val="16"/>
      <w:szCs w:val="16"/>
    </w:rPr>
  </w:style>
  <w:style w:type="paragraph" w:styleId="BalloonText">
    <w:name w:val="Balloon Text"/>
    <w:basedOn w:val="Normal"/>
    <w:semiHidden/>
    <w:rsid w:val="003F7633"/>
    <w:rPr>
      <w:rFonts w:ascii="Tahoma" w:hAnsi="Tahoma" w:cs="Tahoma"/>
      <w:sz w:val="16"/>
      <w:szCs w:val="16"/>
    </w:rPr>
  </w:style>
  <w:style w:type="paragraph" w:styleId="CommentSubject">
    <w:name w:val="annotation subject"/>
    <w:basedOn w:val="CommentText"/>
    <w:next w:val="CommentText"/>
    <w:semiHidden/>
    <w:rsid w:val="009E6417"/>
    <w:rPr>
      <w:b/>
      <w:bCs/>
      <w:sz w:val="20"/>
      <w:szCs w:val="20"/>
      <w:lang w:val="en-US"/>
    </w:rPr>
  </w:style>
  <w:style w:type="paragraph" w:customStyle="1" w:styleId="Default">
    <w:name w:val="Default"/>
    <w:rsid w:val="00E85797"/>
    <w:pPr>
      <w:autoSpaceDE w:val="0"/>
      <w:autoSpaceDN w:val="0"/>
      <w:adjustRightInd w:val="0"/>
    </w:pPr>
    <w:rPr>
      <w:color w:val="000000"/>
      <w:sz w:val="24"/>
      <w:szCs w:val="24"/>
    </w:rPr>
  </w:style>
  <w:style w:type="character" w:customStyle="1" w:styleId="FooterChar">
    <w:name w:val="Footer Char"/>
    <w:link w:val="Footer"/>
    <w:uiPriority w:val="99"/>
    <w:rsid w:val="00E53273"/>
    <w:rPr>
      <w:rFonts w:eastAsia="Times New Roman"/>
      <w:sz w:val="24"/>
      <w:szCs w:val="24"/>
      <w:lang w:val="en-US" w:eastAsia="en-US"/>
    </w:rPr>
  </w:style>
  <w:style w:type="paragraph" w:styleId="Header">
    <w:name w:val="header"/>
    <w:basedOn w:val="Normal"/>
    <w:link w:val="HeaderChar"/>
    <w:rsid w:val="002348DE"/>
    <w:pPr>
      <w:tabs>
        <w:tab w:val="center" w:pos="4320"/>
        <w:tab w:val="right" w:pos="8640"/>
      </w:tabs>
    </w:pPr>
    <w:rPr>
      <w:rFonts w:eastAsia="SimSun"/>
      <w:lang w:val="en-NZ" w:eastAsia="zh-CN"/>
    </w:rPr>
  </w:style>
  <w:style w:type="character" w:customStyle="1" w:styleId="HeaderChar">
    <w:name w:val="Header Char"/>
    <w:link w:val="Header"/>
    <w:rsid w:val="002348DE"/>
    <w:rPr>
      <w:rFonts w:eastAsia="SimSun"/>
      <w:sz w:val="24"/>
      <w:szCs w:val="24"/>
      <w:lang w:eastAsia="zh-CN"/>
    </w:rPr>
  </w:style>
  <w:style w:type="paragraph" w:customStyle="1" w:styleId="ronbun">
    <w:name w:val="ronbun"/>
    <w:basedOn w:val="Normal"/>
    <w:rsid w:val="002348DE"/>
    <w:pPr>
      <w:spacing w:before="100" w:beforeAutospacing="1" w:after="100" w:afterAutospacing="1"/>
    </w:pPr>
    <w:rPr>
      <w:rFonts w:eastAsia="SimSun"/>
      <w:lang w:eastAsia="zh-CN"/>
    </w:rPr>
  </w:style>
  <w:style w:type="character" w:styleId="Emphasis">
    <w:name w:val="Emphasis"/>
    <w:uiPriority w:val="20"/>
    <w:qFormat/>
    <w:rsid w:val="002348DE"/>
    <w:rPr>
      <w:i/>
      <w:iCs/>
    </w:rPr>
  </w:style>
  <w:style w:type="table" w:styleId="TableSimple1">
    <w:name w:val="Table Simple 1"/>
    <w:basedOn w:val="TableNormal"/>
    <w:rsid w:val="00E65F1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PlainTextChar">
    <w:name w:val="Plain Text Char"/>
    <w:link w:val="PlainText"/>
    <w:rsid w:val="009014B9"/>
    <w:rPr>
      <w:rFonts w:ascii="Courier New" w:eastAsia="SimSun" w:hAnsi="Courier New" w:cs="Courier New"/>
      <w:lang w:eastAsia="zh-CN"/>
    </w:rPr>
  </w:style>
  <w:style w:type="character" w:styleId="FollowedHyperlink">
    <w:name w:val="FollowedHyperlink"/>
    <w:rsid w:val="00F03CF8"/>
    <w:rPr>
      <w:color w:val="800080"/>
      <w:u w:val="single"/>
    </w:rPr>
  </w:style>
  <w:style w:type="character" w:customStyle="1" w:styleId="searchword">
    <w:name w:val="searchword"/>
    <w:basedOn w:val="DefaultParagraphFont"/>
    <w:rsid w:val="00186F30"/>
  </w:style>
  <w:style w:type="paragraph" w:styleId="Caption">
    <w:name w:val="caption"/>
    <w:basedOn w:val="Normal"/>
    <w:next w:val="Normal"/>
    <w:autoRedefine/>
    <w:qFormat/>
    <w:rsid w:val="00870B7E"/>
    <w:pPr>
      <w:keepNext/>
      <w:jc w:val="center"/>
    </w:pPr>
    <w:rPr>
      <w:rFonts w:eastAsia="Calibri"/>
      <w:b/>
      <w:bCs/>
      <w:lang w:val="en-US"/>
    </w:rPr>
  </w:style>
  <w:style w:type="character" w:customStyle="1" w:styleId="personname">
    <w:name w:val="person_name"/>
    <w:basedOn w:val="DefaultParagraphFont"/>
    <w:rsid w:val="00377DEA"/>
  </w:style>
  <w:style w:type="table" w:styleId="TableClassic1">
    <w:name w:val="Table Classic 1"/>
    <w:basedOn w:val="TableNormal"/>
    <w:rsid w:val="007A2B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
    <w:name w:val="Light Shading"/>
    <w:basedOn w:val="TableNormal"/>
    <w:uiPriority w:val="60"/>
    <w:rsid w:val="008B6826"/>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Contemporary">
    <w:name w:val="Table Contemporary"/>
    <w:basedOn w:val="TableNormal"/>
    <w:rsid w:val="00BA64A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Shading-Accent5">
    <w:name w:val="Light Shading Accent 5"/>
    <w:basedOn w:val="TableNormal"/>
    <w:uiPriority w:val="60"/>
    <w:rsid w:val="00BA64A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BA64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List1">
    <w:name w:val="Table List 1"/>
    <w:basedOn w:val="TableNormal"/>
    <w:rsid w:val="008922C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2A1E68"/>
    <w:pPr>
      <w:spacing w:before="100" w:beforeAutospacing="1" w:after="100" w:afterAutospacing="1"/>
    </w:pPr>
    <w:rPr>
      <w:lang w:val="en-NZ" w:eastAsia="en-NZ"/>
    </w:rPr>
  </w:style>
  <w:style w:type="paragraph" w:styleId="BodyText">
    <w:name w:val="Body Text"/>
    <w:basedOn w:val="Normal"/>
    <w:link w:val="BodyTextChar"/>
    <w:rsid w:val="00870B7E"/>
    <w:pPr>
      <w:spacing w:after="120"/>
    </w:pPr>
  </w:style>
  <w:style w:type="character" w:customStyle="1" w:styleId="BodyTextChar">
    <w:name w:val="Body Text Char"/>
    <w:basedOn w:val="DefaultParagraphFont"/>
    <w:link w:val="BodyText"/>
    <w:rsid w:val="00870B7E"/>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7517">
      <w:bodyDiv w:val="1"/>
      <w:marLeft w:val="0"/>
      <w:marRight w:val="0"/>
      <w:marTop w:val="0"/>
      <w:marBottom w:val="0"/>
      <w:divBdr>
        <w:top w:val="none" w:sz="0" w:space="0" w:color="auto"/>
        <w:left w:val="none" w:sz="0" w:space="0" w:color="auto"/>
        <w:bottom w:val="none" w:sz="0" w:space="0" w:color="auto"/>
        <w:right w:val="none" w:sz="0" w:space="0" w:color="auto"/>
      </w:divBdr>
    </w:div>
    <w:div w:id="116879764">
      <w:bodyDiv w:val="1"/>
      <w:marLeft w:val="0"/>
      <w:marRight w:val="0"/>
      <w:marTop w:val="0"/>
      <w:marBottom w:val="0"/>
      <w:divBdr>
        <w:top w:val="none" w:sz="0" w:space="0" w:color="auto"/>
        <w:left w:val="none" w:sz="0" w:space="0" w:color="auto"/>
        <w:bottom w:val="none" w:sz="0" w:space="0" w:color="auto"/>
        <w:right w:val="none" w:sz="0" w:space="0" w:color="auto"/>
      </w:divBdr>
    </w:div>
    <w:div w:id="136724861">
      <w:bodyDiv w:val="1"/>
      <w:marLeft w:val="0"/>
      <w:marRight w:val="0"/>
      <w:marTop w:val="0"/>
      <w:marBottom w:val="0"/>
      <w:divBdr>
        <w:top w:val="none" w:sz="0" w:space="0" w:color="auto"/>
        <w:left w:val="none" w:sz="0" w:space="0" w:color="auto"/>
        <w:bottom w:val="none" w:sz="0" w:space="0" w:color="auto"/>
        <w:right w:val="none" w:sz="0" w:space="0" w:color="auto"/>
      </w:divBdr>
    </w:div>
    <w:div w:id="715473149">
      <w:bodyDiv w:val="1"/>
      <w:marLeft w:val="0"/>
      <w:marRight w:val="0"/>
      <w:marTop w:val="0"/>
      <w:marBottom w:val="0"/>
      <w:divBdr>
        <w:top w:val="none" w:sz="0" w:space="0" w:color="auto"/>
        <w:left w:val="none" w:sz="0" w:space="0" w:color="auto"/>
        <w:bottom w:val="none" w:sz="0" w:space="0" w:color="auto"/>
        <w:right w:val="none" w:sz="0" w:space="0" w:color="auto"/>
      </w:divBdr>
    </w:div>
    <w:div w:id="1054889009">
      <w:bodyDiv w:val="1"/>
      <w:marLeft w:val="0"/>
      <w:marRight w:val="0"/>
      <w:marTop w:val="0"/>
      <w:marBottom w:val="0"/>
      <w:divBdr>
        <w:top w:val="none" w:sz="0" w:space="0" w:color="auto"/>
        <w:left w:val="none" w:sz="0" w:space="0" w:color="auto"/>
        <w:bottom w:val="none" w:sz="0" w:space="0" w:color="auto"/>
        <w:right w:val="none" w:sz="0" w:space="0" w:color="auto"/>
      </w:divBdr>
    </w:div>
    <w:div w:id="1120802785">
      <w:bodyDiv w:val="1"/>
      <w:marLeft w:val="0"/>
      <w:marRight w:val="0"/>
      <w:marTop w:val="0"/>
      <w:marBottom w:val="0"/>
      <w:divBdr>
        <w:top w:val="none" w:sz="0" w:space="0" w:color="auto"/>
        <w:left w:val="none" w:sz="0" w:space="0" w:color="auto"/>
        <w:bottom w:val="none" w:sz="0" w:space="0" w:color="auto"/>
        <w:right w:val="none" w:sz="0" w:space="0" w:color="auto"/>
      </w:divBdr>
    </w:div>
    <w:div w:id="1176768799">
      <w:bodyDiv w:val="1"/>
      <w:marLeft w:val="0"/>
      <w:marRight w:val="0"/>
      <w:marTop w:val="0"/>
      <w:marBottom w:val="0"/>
      <w:divBdr>
        <w:top w:val="none" w:sz="0" w:space="0" w:color="auto"/>
        <w:left w:val="none" w:sz="0" w:space="0" w:color="auto"/>
        <w:bottom w:val="none" w:sz="0" w:space="0" w:color="auto"/>
        <w:right w:val="none" w:sz="0" w:space="0" w:color="auto"/>
      </w:divBdr>
    </w:div>
    <w:div w:id="1199119854">
      <w:bodyDiv w:val="1"/>
      <w:marLeft w:val="0"/>
      <w:marRight w:val="0"/>
      <w:marTop w:val="0"/>
      <w:marBottom w:val="0"/>
      <w:divBdr>
        <w:top w:val="none" w:sz="0" w:space="0" w:color="auto"/>
        <w:left w:val="none" w:sz="0" w:space="0" w:color="auto"/>
        <w:bottom w:val="none" w:sz="0" w:space="0" w:color="auto"/>
        <w:right w:val="none" w:sz="0" w:space="0" w:color="auto"/>
      </w:divBdr>
    </w:div>
    <w:div w:id="1372807481">
      <w:bodyDiv w:val="1"/>
      <w:marLeft w:val="0"/>
      <w:marRight w:val="0"/>
      <w:marTop w:val="0"/>
      <w:marBottom w:val="0"/>
      <w:divBdr>
        <w:top w:val="none" w:sz="0" w:space="0" w:color="auto"/>
        <w:left w:val="none" w:sz="0" w:space="0" w:color="auto"/>
        <w:bottom w:val="none" w:sz="0" w:space="0" w:color="auto"/>
        <w:right w:val="none" w:sz="0" w:space="0" w:color="auto"/>
      </w:divBdr>
    </w:div>
    <w:div w:id="1433740423">
      <w:bodyDiv w:val="1"/>
      <w:marLeft w:val="0"/>
      <w:marRight w:val="0"/>
      <w:marTop w:val="0"/>
      <w:marBottom w:val="0"/>
      <w:divBdr>
        <w:top w:val="none" w:sz="0" w:space="0" w:color="auto"/>
        <w:left w:val="none" w:sz="0" w:space="0" w:color="auto"/>
        <w:bottom w:val="none" w:sz="0" w:space="0" w:color="auto"/>
        <w:right w:val="none" w:sz="0" w:space="0" w:color="auto"/>
      </w:divBdr>
    </w:div>
    <w:div w:id="1692105395">
      <w:bodyDiv w:val="1"/>
      <w:marLeft w:val="0"/>
      <w:marRight w:val="0"/>
      <w:marTop w:val="0"/>
      <w:marBottom w:val="0"/>
      <w:divBdr>
        <w:top w:val="none" w:sz="0" w:space="0" w:color="auto"/>
        <w:left w:val="none" w:sz="0" w:space="0" w:color="auto"/>
        <w:bottom w:val="none" w:sz="0" w:space="0" w:color="auto"/>
        <w:right w:val="none" w:sz="0" w:space="0" w:color="auto"/>
      </w:divBdr>
    </w:div>
    <w:div w:id="1785729998">
      <w:bodyDiv w:val="1"/>
      <w:marLeft w:val="0"/>
      <w:marRight w:val="0"/>
      <w:marTop w:val="0"/>
      <w:marBottom w:val="0"/>
      <w:divBdr>
        <w:top w:val="none" w:sz="0" w:space="0" w:color="auto"/>
        <w:left w:val="none" w:sz="0" w:space="0" w:color="auto"/>
        <w:bottom w:val="none" w:sz="0" w:space="0" w:color="auto"/>
        <w:right w:val="none" w:sz="0" w:space="0" w:color="auto"/>
      </w:divBdr>
    </w:div>
    <w:div w:id="19628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library.worldbank.org/doi/abs/10.1596/0-8213-4167-7" TargetMode="External"/><Relationship Id="rId2" Type="http://schemas.openxmlformats.org/officeDocument/2006/relationships/numbering" Target="numbering.xml"/><Relationship Id="rId16" Type="http://schemas.openxmlformats.org/officeDocument/2006/relationships/hyperlink" Target="http://www.inderscience.com/info/inarticletoc.php?jcode=ijeed&amp;year=2012&amp;vol=3&amp;issue=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nderscience.com/jhome.php?jcode=ijeed" TargetMode="External"/><Relationship Id="rId10" Type="http://schemas.openxmlformats.org/officeDocument/2006/relationships/hyperlink" Target="http://data.worldbank.org/indicator/SE.TER.ENRR/countries/VN-4E-XN?display=defau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inderscience.com/info/inarticle.php?artid=5232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ata.worldbank.org/indicator/NY.GDP.MKTP.KD.ZG/countries/VN-4E-XN?display=default" TargetMode="External"/><Relationship Id="rId2" Type="http://schemas.openxmlformats.org/officeDocument/2006/relationships/hyperlink" Target="http://www.molisa.gov.vn/Images/FileAnPham/fileanpham20151227165350.pdf" TargetMode="External"/><Relationship Id="rId1" Type="http://schemas.openxmlformats.org/officeDocument/2006/relationships/hyperlink" Target="https://www.stratfor.com/the-hub/vietnams-political-economy-transition-1986-2016"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PAPER591\Revisit%20return%20to%20education%202014\Gross%20tertiary%20education%20enrolment%20WB%202015-Time%20series.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PAPER591\POOLEDDATA\graph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aseline="0">
                <a:latin typeface="Times New Roman" panose="02020603050405020304" pitchFamily="18" charset="0"/>
              </a:defRPr>
            </a:pPr>
            <a:r>
              <a:rPr lang="en-NZ" sz="1100" baseline="0">
                <a:latin typeface="Times New Roman" panose="02020603050405020304" pitchFamily="18" charset="0"/>
              </a:rPr>
              <a:t>Figure 1: Gross Tertiary Education Enrolment </a:t>
            </a:r>
          </a:p>
        </c:rich>
      </c:tx>
      <c:overlay val="0"/>
    </c:title>
    <c:autoTitleDeleted val="0"/>
    <c:plotArea>
      <c:layout/>
      <c:lineChart>
        <c:grouping val="standard"/>
        <c:varyColors val="0"/>
        <c:ser>
          <c:idx val="0"/>
          <c:order val="0"/>
          <c:tx>
            <c:strRef>
              <c:f>Data!$A$243</c:f>
              <c:strCache>
                <c:ptCount val="1"/>
                <c:pt idx="0">
                  <c:v>Vietnam</c:v>
                </c:pt>
              </c:strCache>
            </c:strRef>
          </c:tx>
          <c:dLbls>
            <c:dLbl>
              <c:idx val="5"/>
              <c:layout>
                <c:manualLayout>
                  <c:x val="1.0706638115631691E-2"/>
                  <c:y val="0"/>
                </c:manualLayout>
              </c:layout>
              <c:spPr/>
              <c:txPr>
                <a:bodyPr/>
                <a:lstStyle/>
                <a:p>
                  <a:pPr>
                    <a:defRPr/>
                  </a:pPr>
                  <a:endParaRPr lang="en-US"/>
                </a:p>
              </c:txPr>
              <c:showLegendKey val="0"/>
              <c:showVal val="1"/>
              <c:showCatName val="0"/>
              <c:showSerName val="0"/>
              <c:showPercent val="0"/>
              <c:showBubbleSize val="0"/>
            </c:dLbl>
            <c:dLbl>
              <c:idx val="7"/>
              <c:layout>
                <c:manualLayout>
                  <c:x val="6.852248394004283E-2"/>
                  <c:y val="0"/>
                </c:manualLayout>
              </c:layout>
              <c:spPr/>
              <c:txPr>
                <a:bodyPr/>
                <a:lstStyle/>
                <a:p>
                  <a:pPr>
                    <a:defRPr/>
                  </a:pPr>
                  <a:endParaRPr lang="en-US"/>
                </a:p>
              </c:txPr>
              <c:showLegendKey val="0"/>
              <c:showVal val="1"/>
              <c:showCatName val="0"/>
              <c:showSerName val="0"/>
              <c:showPercent val="0"/>
              <c:showBubbleSize val="0"/>
            </c:dLbl>
            <c:dLbl>
              <c:idx val="13"/>
              <c:spPr/>
              <c:txPr>
                <a:bodyPr/>
                <a:lstStyle/>
                <a:p>
                  <a:pPr>
                    <a:defRPr/>
                  </a:pPr>
                  <a:endParaRPr lang="en-US"/>
                </a:p>
              </c:txPr>
              <c:showLegendKey val="0"/>
              <c:showVal val="1"/>
              <c:showCatName val="0"/>
              <c:showSerName val="0"/>
              <c:showPercent val="0"/>
              <c:showBubbleSize val="0"/>
            </c:dLbl>
            <c:showLegendKey val="0"/>
            <c:showVal val="0"/>
            <c:showCatName val="0"/>
            <c:showSerName val="0"/>
            <c:showPercent val="0"/>
            <c:showBubbleSize val="0"/>
          </c:dLbls>
          <c:cat>
            <c:strRef>
              <c:f>Data!$AQ$4:$BF$4</c:f>
              <c:strCach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strCache>
            </c:strRef>
          </c:cat>
          <c:val>
            <c:numRef>
              <c:f>Data!$AQ$243:$BF$243</c:f>
              <c:numCache>
                <c:formatCode>0.0</c:formatCode>
                <c:ptCount val="16"/>
                <c:pt idx="0">
                  <c:v>9.5456900000000005</c:v>
                </c:pt>
                <c:pt idx="1">
                  <c:v>10.487830162048301</c:v>
                </c:pt>
                <c:pt idx="2">
                  <c:v>9.3255100250244105</c:v>
                </c:pt>
                <c:pt idx="3">
                  <c:v>9.3830204010009801</c:v>
                </c:pt>
                <c:pt idx="4">
                  <c:v>9.6298303604125994</c:v>
                </c:pt>
                <c:pt idx="5">
                  <c:v>10.0093097686768</c:v>
                </c:pt>
                <c:pt idx="6">
                  <c:v>13</c:v>
                </c:pt>
                <c:pt idx="7">
                  <c:v>15.8779096603394</c:v>
                </c:pt>
                <c:pt idx="8">
                  <c:v>16.4852104187012</c:v>
                </c:pt>
                <c:pt idx="9">
                  <c:v>18.171329498291001</c:v>
                </c:pt>
                <c:pt idx="10">
                  <c:v>18.740379333496101</c:v>
                </c:pt>
                <c:pt idx="11">
                  <c:v>19.869359970092798</c:v>
                </c:pt>
                <c:pt idx="12">
                  <c:v>22.3850002288818</c:v>
                </c:pt>
                <c:pt idx="13">
                  <c:v>24.4293003082275</c:v>
                </c:pt>
                <c:pt idx="14">
                  <c:v>24.599609375</c:v>
                </c:pt>
                <c:pt idx="15">
                  <c:v>24.5832405090332</c:v>
                </c:pt>
              </c:numCache>
            </c:numRef>
          </c:val>
          <c:smooth val="0"/>
        </c:ser>
        <c:ser>
          <c:idx val="1"/>
          <c:order val="1"/>
          <c:tx>
            <c:strRef>
              <c:f>Data!$A$132</c:f>
              <c:strCache>
                <c:ptCount val="1"/>
                <c:pt idx="0">
                  <c:v>Low income</c:v>
                </c:pt>
              </c:strCache>
            </c:strRef>
          </c:tx>
          <c:cat>
            <c:strRef>
              <c:f>Data!$AQ$4:$BF$4</c:f>
              <c:strCache>
                <c:ptCount val="16"/>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strCache>
            </c:strRef>
          </c:cat>
          <c:val>
            <c:numRef>
              <c:f>Data!$AQ$132:$BF$132</c:f>
              <c:numCache>
                <c:formatCode>General</c:formatCode>
                <c:ptCount val="16"/>
                <c:pt idx="0">
                  <c:v>2.5620601177215598</c:v>
                </c:pt>
                <c:pt idx="1">
                  <c:v>2.61954998970032</c:v>
                </c:pt>
                <c:pt idx="2">
                  <c:v>2.9115800857543901</c:v>
                </c:pt>
                <c:pt idx="3">
                  <c:v>3.1878800392150901</c:v>
                </c:pt>
                <c:pt idx="4">
                  <c:v>3.48634004592896</c:v>
                </c:pt>
                <c:pt idx="5">
                  <c:v>3.8146600723266602</c:v>
                </c:pt>
                <c:pt idx="6">
                  <c:v>4.04064989089966</c:v>
                </c:pt>
                <c:pt idx="7">
                  <c:v>4.3215599060058603</c:v>
                </c:pt>
                <c:pt idx="8">
                  <c:v>4.7314600944518999</c:v>
                </c:pt>
                <c:pt idx="9">
                  <c:v>5.2023401260376003</c:v>
                </c:pt>
                <c:pt idx="10">
                  <c:v>5.7256898880004901</c:v>
                </c:pt>
                <c:pt idx="11">
                  <c:v>6.2523097991943404</c:v>
                </c:pt>
                <c:pt idx="12">
                  <c:v>7.0534901618957502</c:v>
                </c:pt>
                <c:pt idx="13">
                  <c:v>7.4766402244567898</c:v>
                </c:pt>
                <c:pt idx="14">
                  <c:v>7.7543201446533203</c:v>
                </c:pt>
                <c:pt idx="15">
                  <c:v>7.6809601783752397</c:v>
                </c:pt>
              </c:numCache>
            </c:numRef>
          </c:val>
          <c:smooth val="0"/>
        </c:ser>
        <c:dLbls>
          <c:showLegendKey val="0"/>
          <c:showVal val="0"/>
          <c:showCatName val="0"/>
          <c:showSerName val="0"/>
          <c:showPercent val="0"/>
          <c:showBubbleSize val="0"/>
        </c:dLbls>
        <c:marker val="1"/>
        <c:smooth val="0"/>
        <c:axId val="168954112"/>
        <c:axId val="169039360"/>
      </c:lineChart>
      <c:catAx>
        <c:axId val="168954112"/>
        <c:scaling>
          <c:orientation val="minMax"/>
        </c:scaling>
        <c:delete val="0"/>
        <c:axPos val="b"/>
        <c:numFmt formatCode="General" sourceLinked="1"/>
        <c:majorTickMark val="none"/>
        <c:minorTickMark val="none"/>
        <c:tickLblPos val="nextTo"/>
        <c:txPr>
          <a:bodyPr/>
          <a:lstStyle/>
          <a:p>
            <a:pPr>
              <a:defRPr baseline="0">
                <a:latin typeface="Times New Roman" panose="02020603050405020304" pitchFamily="18" charset="0"/>
              </a:defRPr>
            </a:pPr>
            <a:endParaRPr lang="en-US"/>
          </a:p>
        </c:txPr>
        <c:crossAx val="169039360"/>
        <c:crosses val="autoZero"/>
        <c:auto val="1"/>
        <c:lblAlgn val="ctr"/>
        <c:lblOffset val="100"/>
        <c:noMultiLvlLbl val="0"/>
      </c:catAx>
      <c:valAx>
        <c:axId val="169039360"/>
        <c:scaling>
          <c:orientation val="minMax"/>
        </c:scaling>
        <c:delete val="0"/>
        <c:axPos val="l"/>
        <c:majorGridlines/>
        <c:numFmt formatCode="0.0" sourceLinked="1"/>
        <c:majorTickMark val="none"/>
        <c:minorTickMark val="none"/>
        <c:tickLblPos val="nextTo"/>
        <c:spPr>
          <a:ln w="9525">
            <a:noFill/>
          </a:ln>
        </c:spPr>
        <c:txPr>
          <a:bodyPr/>
          <a:lstStyle/>
          <a:p>
            <a:pPr>
              <a:defRPr baseline="0">
                <a:latin typeface="Times New Roman" panose="02020603050405020304" pitchFamily="18" charset="0"/>
              </a:defRPr>
            </a:pPr>
            <a:endParaRPr lang="en-US"/>
          </a:p>
        </c:txPr>
        <c:crossAx val="168954112"/>
        <c:crosses val="autoZero"/>
        <c:crossBetween val="between"/>
      </c:valAx>
    </c:plotArea>
    <c:legend>
      <c:legendPos val="b"/>
      <c:overlay val="0"/>
      <c:txPr>
        <a:bodyPr/>
        <a:lstStyle/>
        <a:p>
          <a:pPr>
            <a:defRPr sz="1100" baseline="0">
              <a:latin typeface="Times New Roman" panose="02020603050405020304"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Sheet1!$A$3</c:f>
              <c:strCache>
                <c:ptCount val="1"/>
                <c:pt idx="0">
                  <c:v>prim</c:v>
                </c:pt>
              </c:strCache>
            </c:strRef>
          </c:tx>
          <c:invertIfNegative val="0"/>
          <c:cat>
            <c:numRef>
              <c:f>Sheet1!$B$2:$I$2</c:f>
              <c:numCache>
                <c:formatCode>General</c:formatCode>
                <c:ptCount val="8"/>
                <c:pt idx="0">
                  <c:v>1998</c:v>
                </c:pt>
                <c:pt idx="1">
                  <c:v>2002</c:v>
                </c:pt>
                <c:pt idx="2">
                  <c:v>2004</c:v>
                </c:pt>
                <c:pt idx="3">
                  <c:v>2006</c:v>
                </c:pt>
                <c:pt idx="4">
                  <c:v>2008</c:v>
                </c:pt>
                <c:pt idx="5">
                  <c:v>2010</c:v>
                </c:pt>
                <c:pt idx="6">
                  <c:v>2012</c:v>
                </c:pt>
                <c:pt idx="7">
                  <c:v>2014</c:v>
                </c:pt>
              </c:numCache>
            </c:numRef>
          </c:cat>
          <c:val>
            <c:numRef>
              <c:f>Sheet1!$B$3:$I$3</c:f>
              <c:numCache>
                <c:formatCode>General</c:formatCode>
                <c:ptCount val="8"/>
                <c:pt idx="0">
                  <c:v>0.109</c:v>
                </c:pt>
                <c:pt idx="1">
                  <c:v>0.15409999999999999</c:v>
                </c:pt>
                <c:pt idx="2">
                  <c:v>0.12089999999999999</c:v>
                </c:pt>
                <c:pt idx="3">
                  <c:v>3.1899999999999998E-2</c:v>
                </c:pt>
                <c:pt idx="4">
                  <c:v>-0.3367</c:v>
                </c:pt>
                <c:pt idx="5">
                  <c:v>0.09</c:v>
                </c:pt>
                <c:pt idx="6">
                  <c:v>0.18079999999999999</c:v>
                </c:pt>
                <c:pt idx="7">
                  <c:v>0.14319999999999999</c:v>
                </c:pt>
              </c:numCache>
            </c:numRef>
          </c:val>
        </c:ser>
        <c:ser>
          <c:idx val="1"/>
          <c:order val="1"/>
          <c:tx>
            <c:strRef>
              <c:f>Sheet1!$A$4</c:f>
              <c:strCache>
                <c:ptCount val="1"/>
                <c:pt idx="0">
                  <c:v>lowsecond</c:v>
                </c:pt>
              </c:strCache>
            </c:strRef>
          </c:tx>
          <c:invertIfNegative val="0"/>
          <c:cat>
            <c:numRef>
              <c:f>Sheet1!$B$2:$I$2</c:f>
              <c:numCache>
                <c:formatCode>General</c:formatCode>
                <c:ptCount val="8"/>
                <c:pt idx="0">
                  <c:v>1998</c:v>
                </c:pt>
                <c:pt idx="1">
                  <c:v>2002</c:v>
                </c:pt>
                <c:pt idx="2">
                  <c:v>2004</c:v>
                </c:pt>
                <c:pt idx="3">
                  <c:v>2006</c:v>
                </c:pt>
                <c:pt idx="4">
                  <c:v>2008</c:v>
                </c:pt>
                <c:pt idx="5">
                  <c:v>2010</c:v>
                </c:pt>
                <c:pt idx="6">
                  <c:v>2012</c:v>
                </c:pt>
                <c:pt idx="7">
                  <c:v>2014</c:v>
                </c:pt>
              </c:numCache>
            </c:numRef>
          </c:cat>
          <c:val>
            <c:numRef>
              <c:f>Sheet1!$B$4:$I$4</c:f>
              <c:numCache>
                <c:formatCode>General</c:formatCode>
                <c:ptCount val="8"/>
                <c:pt idx="0">
                  <c:v>4.4999999999999998E-2</c:v>
                </c:pt>
                <c:pt idx="1">
                  <c:v>0.23449999999999999</c:v>
                </c:pt>
                <c:pt idx="2">
                  <c:v>5.96E-2</c:v>
                </c:pt>
                <c:pt idx="3">
                  <c:v>3.3399999999999999E-2</c:v>
                </c:pt>
                <c:pt idx="4">
                  <c:v>-0.29899999999999999</c:v>
                </c:pt>
                <c:pt idx="5">
                  <c:v>0.11509999999999999</c:v>
                </c:pt>
                <c:pt idx="6">
                  <c:v>0.254</c:v>
                </c:pt>
                <c:pt idx="7">
                  <c:v>0.22620000000000001</c:v>
                </c:pt>
              </c:numCache>
            </c:numRef>
          </c:val>
        </c:ser>
        <c:ser>
          <c:idx val="2"/>
          <c:order val="2"/>
          <c:tx>
            <c:strRef>
              <c:f>Sheet1!$A$5</c:f>
              <c:strCache>
                <c:ptCount val="1"/>
                <c:pt idx="0">
                  <c:v>uppersecond</c:v>
                </c:pt>
              </c:strCache>
            </c:strRef>
          </c:tx>
          <c:invertIfNegative val="0"/>
          <c:cat>
            <c:numRef>
              <c:f>Sheet1!$B$2:$I$2</c:f>
              <c:numCache>
                <c:formatCode>General</c:formatCode>
                <c:ptCount val="8"/>
                <c:pt idx="0">
                  <c:v>1998</c:v>
                </c:pt>
                <c:pt idx="1">
                  <c:v>2002</c:v>
                </c:pt>
                <c:pt idx="2">
                  <c:v>2004</c:v>
                </c:pt>
                <c:pt idx="3">
                  <c:v>2006</c:v>
                </c:pt>
                <c:pt idx="4">
                  <c:v>2008</c:v>
                </c:pt>
                <c:pt idx="5">
                  <c:v>2010</c:v>
                </c:pt>
                <c:pt idx="6">
                  <c:v>2012</c:v>
                </c:pt>
                <c:pt idx="7">
                  <c:v>2014</c:v>
                </c:pt>
              </c:numCache>
            </c:numRef>
          </c:cat>
          <c:val>
            <c:numRef>
              <c:f>Sheet1!$B$5:$I$5</c:f>
              <c:numCache>
                <c:formatCode>General</c:formatCode>
                <c:ptCount val="8"/>
                <c:pt idx="0">
                  <c:v>0.30499999999999999</c:v>
                </c:pt>
                <c:pt idx="1">
                  <c:v>0.58079999999999998</c:v>
                </c:pt>
                <c:pt idx="2">
                  <c:v>0.49490000000000001</c:v>
                </c:pt>
                <c:pt idx="3">
                  <c:v>0.3639</c:v>
                </c:pt>
                <c:pt idx="4">
                  <c:v>3.3999999999999998E-3</c:v>
                </c:pt>
                <c:pt idx="5">
                  <c:v>0.26340000000000002</c:v>
                </c:pt>
                <c:pt idx="6">
                  <c:v>0.42330000000000001</c:v>
                </c:pt>
                <c:pt idx="7">
                  <c:v>0.44519999999999998</c:v>
                </c:pt>
              </c:numCache>
            </c:numRef>
          </c:val>
        </c:ser>
        <c:ser>
          <c:idx val="3"/>
          <c:order val="3"/>
          <c:tx>
            <c:strRef>
              <c:f>Sheet1!$A$6</c:f>
              <c:strCache>
                <c:ptCount val="1"/>
                <c:pt idx="0">
                  <c:v>voc</c:v>
                </c:pt>
              </c:strCache>
            </c:strRef>
          </c:tx>
          <c:invertIfNegative val="0"/>
          <c:cat>
            <c:numRef>
              <c:f>Sheet1!$B$2:$I$2</c:f>
              <c:numCache>
                <c:formatCode>General</c:formatCode>
                <c:ptCount val="8"/>
                <c:pt idx="0">
                  <c:v>1998</c:v>
                </c:pt>
                <c:pt idx="1">
                  <c:v>2002</c:v>
                </c:pt>
                <c:pt idx="2">
                  <c:v>2004</c:v>
                </c:pt>
                <c:pt idx="3">
                  <c:v>2006</c:v>
                </c:pt>
                <c:pt idx="4">
                  <c:v>2008</c:v>
                </c:pt>
                <c:pt idx="5">
                  <c:v>2010</c:v>
                </c:pt>
                <c:pt idx="6">
                  <c:v>2012</c:v>
                </c:pt>
                <c:pt idx="7">
                  <c:v>2014</c:v>
                </c:pt>
              </c:numCache>
            </c:numRef>
          </c:cat>
          <c:val>
            <c:numRef>
              <c:f>Sheet1!$B$6:$I$6</c:f>
              <c:numCache>
                <c:formatCode>General</c:formatCode>
                <c:ptCount val="8"/>
                <c:pt idx="0">
                  <c:v>0.251</c:v>
                </c:pt>
                <c:pt idx="1">
                  <c:v>1.0177</c:v>
                </c:pt>
                <c:pt idx="2">
                  <c:v>0.78879999999999995</c:v>
                </c:pt>
                <c:pt idx="3">
                  <c:v>0.71719999999999995</c:v>
                </c:pt>
                <c:pt idx="4">
                  <c:v>0.29330000000000001</c:v>
                </c:pt>
                <c:pt idx="5">
                  <c:v>0.62580000000000002</c:v>
                </c:pt>
                <c:pt idx="6">
                  <c:v>0.65010000000000001</c:v>
                </c:pt>
                <c:pt idx="7">
                  <c:v>0.58499999999999996</c:v>
                </c:pt>
              </c:numCache>
            </c:numRef>
          </c:val>
        </c:ser>
        <c:ser>
          <c:idx val="4"/>
          <c:order val="4"/>
          <c:tx>
            <c:strRef>
              <c:f>Sheet1!$A$7</c:f>
              <c:strCache>
                <c:ptCount val="1"/>
                <c:pt idx="0">
                  <c:v>univ</c:v>
                </c:pt>
              </c:strCache>
            </c:strRef>
          </c:tx>
          <c:invertIfNegative val="0"/>
          <c:cat>
            <c:numRef>
              <c:f>Sheet1!$B$2:$I$2</c:f>
              <c:numCache>
                <c:formatCode>General</c:formatCode>
                <c:ptCount val="8"/>
                <c:pt idx="0">
                  <c:v>1998</c:v>
                </c:pt>
                <c:pt idx="1">
                  <c:v>2002</c:v>
                </c:pt>
                <c:pt idx="2">
                  <c:v>2004</c:v>
                </c:pt>
                <c:pt idx="3">
                  <c:v>2006</c:v>
                </c:pt>
                <c:pt idx="4">
                  <c:v>2008</c:v>
                </c:pt>
                <c:pt idx="5">
                  <c:v>2010</c:v>
                </c:pt>
                <c:pt idx="6">
                  <c:v>2012</c:v>
                </c:pt>
                <c:pt idx="7">
                  <c:v>2014</c:v>
                </c:pt>
              </c:numCache>
            </c:numRef>
          </c:cat>
          <c:val>
            <c:numRef>
              <c:f>Sheet1!$B$7:$I$7</c:f>
              <c:numCache>
                <c:formatCode>General</c:formatCode>
                <c:ptCount val="8"/>
                <c:pt idx="0">
                  <c:v>0.85699999999999998</c:v>
                </c:pt>
                <c:pt idx="1">
                  <c:v>1.4153</c:v>
                </c:pt>
                <c:pt idx="2">
                  <c:v>1.3398000000000001</c:v>
                </c:pt>
                <c:pt idx="3">
                  <c:v>1.3179000000000001</c:v>
                </c:pt>
                <c:pt idx="4">
                  <c:v>0.97829999999999995</c:v>
                </c:pt>
                <c:pt idx="5">
                  <c:v>1.2224999999999999</c:v>
                </c:pt>
                <c:pt idx="6">
                  <c:v>1.1636</c:v>
                </c:pt>
                <c:pt idx="7">
                  <c:v>1.0068999999999999</c:v>
                </c:pt>
              </c:numCache>
            </c:numRef>
          </c:val>
        </c:ser>
        <c:dLbls>
          <c:showLegendKey val="0"/>
          <c:showVal val="0"/>
          <c:showCatName val="0"/>
          <c:showSerName val="0"/>
          <c:showPercent val="0"/>
          <c:showBubbleSize val="0"/>
        </c:dLbls>
        <c:gapWidth val="150"/>
        <c:axId val="169374464"/>
        <c:axId val="169376000"/>
      </c:barChart>
      <c:lineChart>
        <c:grouping val="standard"/>
        <c:varyColors val="0"/>
        <c:ser>
          <c:idx val="5"/>
          <c:order val="5"/>
          <c:tx>
            <c:strRef>
              <c:f>Sheet1!$A$8</c:f>
              <c:strCache>
                <c:ptCount val="1"/>
                <c:pt idx="0">
                  <c:v>Return to additional year</c:v>
                </c:pt>
              </c:strCache>
            </c:strRef>
          </c:tx>
          <c:spPr>
            <a:effectLst>
              <a:glow>
                <a:schemeClr val="accent1">
                  <a:alpha val="73000"/>
                </a:schemeClr>
              </a:glow>
            </a:effectLst>
          </c:spPr>
          <c:dLbls>
            <c:showLegendKey val="0"/>
            <c:showVal val="1"/>
            <c:showCatName val="0"/>
            <c:showSerName val="0"/>
            <c:showPercent val="0"/>
            <c:showBubbleSize val="0"/>
            <c:showLeaderLines val="0"/>
          </c:dLbls>
          <c:cat>
            <c:numRef>
              <c:f>Sheet1!$B$2:$I$2</c:f>
              <c:numCache>
                <c:formatCode>General</c:formatCode>
                <c:ptCount val="8"/>
                <c:pt idx="0">
                  <c:v>1998</c:v>
                </c:pt>
                <c:pt idx="1">
                  <c:v>2002</c:v>
                </c:pt>
                <c:pt idx="2">
                  <c:v>2004</c:v>
                </c:pt>
                <c:pt idx="3">
                  <c:v>2006</c:v>
                </c:pt>
                <c:pt idx="4">
                  <c:v>2008</c:v>
                </c:pt>
                <c:pt idx="5">
                  <c:v>2010</c:v>
                </c:pt>
                <c:pt idx="6">
                  <c:v>2012</c:v>
                </c:pt>
                <c:pt idx="7">
                  <c:v>2014</c:v>
                </c:pt>
              </c:numCache>
            </c:numRef>
          </c:cat>
          <c:val>
            <c:numRef>
              <c:f>Sheet1!$B$8:$I$8</c:f>
              <c:numCache>
                <c:formatCode>0.0%</c:formatCode>
                <c:ptCount val="8"/>
                <c:pt idx="0">
                  <c:v>3.8100000000000002E-2</c:v>
                </c:pt>
                <c:pt idx="1">
                  <c:v>7.7200000000000005E-2</c:v>
                </c:pt>
                <c:pt idx="2">
                  <c:v>9.2899999999999996E-2</c:v>
                </c:pt>
                <c:pt idx="3">
                  <c:v>9.6600000000000005E-2</c:v>
                </c:pt>
                <c:pt idx="4">
                  <c:v>0.1038</c:v>
                </c:pt>
                <c:pt idx="5">
                  <c:v>8.4400000000000003E-2</c:v>
                </c:pt>
                <c:pt idx="6">
                  <c:v>7.17E-2</c:v>
                </c:pt>
                <c:pt idx="7">
                  <c:v>6.1899999999999997E-2</c:v>
                </c:pt>
              </c:numCache>
            </c:numRef>
          </c:val>
          <c:smooth val="0"/>
        </c:ser>
        <c:dLbls>
          <c:showLegendKey val="0"/>
          <c:showVal val="0"/>
          <c:showCatName val="0"/>
          <c:showSerName val="0"/>
          <c:showPercent val="0"/>
          <c:showBubbleSize val="0"/>
        </c:dLbls>
        <c:marker val="1"/>
        <c:smooth val="0"/>
        <c:axId val="174347776"/>
        <c:axId val="174346240"/>
      </c:lineChart>
      <c:catAx>
        <c:axId val="169374464"/>
        <c:scaling>
          <c:orientation val="minMax"/>
        </c:scaling>
        <c:delete val="0"/>
        <c:axPos val="b"/>
        <c:numFmt formatCode="General" sourceLinked="1"/>
        <c:majorTickMark val="out"/>
        <c:minorTickMark val="none"/>
        <c:tickLblPos val="nextTo"/>
        <c:crossAx val="169376000"/>
        <c:crosses val="autoZero"/>
        <c:auto val="1"/>
        <c:lblAlgn val="ctr"/>
        <c:lblOffset val="100"/>
        <c:noMultiLvlLbl val="0"/>
      </c:catAx>
      <c:valAx>
        <c:axId val="169376000"/>
        <c:scaling>
          <c:orientation val="minMax"/>
        </c:scaling>
        <c:delete val="0"/>
        <c:axPos val="l"/>
        <c:majorGridlines/>
        <c:numFmt formatCode="General" sourceLinked="1"/>
        <c:majorTickMark val="out"/>
        <c:minorTickMark val="none"/>
        <c:tickLblPos val="nextTo"/>
        <c:crossAx val="169374464"/>
        <c:crosses val="autoZero"/>
        <c:crossBetween val="between"/>
      </c:valAx>
      <c:valAx>
        <c:axId val="174346240"/>
        <c:scaling>
          <c:orientation val="minMax"/>
        </c:scaling>
        <c:delete val="0"/>
        <c:axPos val="r"/>
        <c:numFmt formatCode="0.0%" sourceLinked="1"/>
        <c:majorTickMark val="out"/>
        <c:minorTickMark val="none"/>
        <c:tickLblPos val="nextTo"/>
        <c:crossAx val="174347776"/>
        <c:crosses val="max"/>
        <c:crossBetween val="between"/>
      </c:valAx>
      <c:catAx>
        <c:axId val="174347776"/>
        <c:scaling>
          <c:orientation val="minMax"/>
        </c:scaling>
        <c:delete val="1"/>
        <c:axPos val="b"/>
        <c:numFmt formatCode="General" sourceLinked="1"/>
        <c:majorTickMark val="out"/>
        <c:minorTickMark val="none"/>
        <c:tickLblPos val="nextTo"/>
        <c:crossAx val="174346240"/>
        <c:crosses val="autoZero"/>
        <c:auto val="1"/>
        <c:lblAlgn val="ctr"/>
        <c:lblOffset val="100"/>
        <c:noMultiLvlLbl val="0"/>
      </c:cat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DD9D-5B8A-4B8E-AF13-28A244F1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8107</Words>
  <Characters>46213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JEL: D74, K42, O15</vt:lpstr>
    </vt:vector>
  </TitlesOfParts>
  <Company>Ministry of Social Development</Company>
  <LinksUpToDate>false</LinksUpToDate>
  <CharactersWithSpaces>54212</CharactersWithSpaces>
  <SharedDoc>false</SharedDoc>
  <HLinks>
    <vt:vector size="66" baseType="variant">
      <vt:variant>
        <vt:i4>7077997</vt:i4>
      </vt:variant>
      <vt:variant>
        <vt:i4>21</vt:i4>
      </vt:variant>
      <vt:variant>
        <vt:i4>0</vt:i4>
      </vt:variant>
      <vt:variant>
        <vt:i4>5</vt:i4>
      </vt:variant>
      <vt:variant>
        <vt:lpwstr>http://elibrary.worldbank.org/doi/abs/10.1596/0-8213-4167-7</vt:lpwstr>
      </vt:variant>
      <vt:variant>
        <vt:lpwstr/>
      </vt:variant>
      <vt:variant>
        <vt:i4>7471141</vt:i4>
      </vt:variant>
      <vt:variant>
        <vt:i4>18</vt:i4>
      </vt:variant>
      <vt:variant>
        <vt:i4>0</vt:i4>
      </vt:variant>
      <vt:variant>
        <vt:i4>5</vt:i4>
      </vt:variant>
      <vt:variant>
        <vt:lpwstr>http://ssrn.com/abstract=63625</vt:lpwstr>
      </vt:variant>
      <vt:variant>
        <vt:lpwstr/>
      </vt:variant>
      <vt:variant>
        <vt:i4>6029331</vt:i4>
      </vt:variant>
      <vt:variant>
        <vt:i4>15</vt:i4>
      </vt:variant>
      <vt:variant>
        <vt:i4>0</vt:i4>
      </vt:variant>
      <vt:variant>
        <vt:i4>5</vt:i4>
      </vt:variant>
      <vt:variant>
        <vt:lpwstr>http://www.inderscience.com/info/inarticletoc.php?jcode=ijeed&amp;year=2012&amp;vol=3&amp;issue=4</vt:lpwstr>
      </vt:variant>
      <vt:variant>
        <vt:lpwstr/>
      </vt:variant>
      <vt:variant>
        <vt:i4>1441864</vt:i4>
      </vt:variant>
      <vt:variant>
        <vt:i4>12</vt:i4>
      </vt:variant>
      <vt:variant>
        <vt:i4>0</vt:i4>
      </vt:variant>
      <vt:variant>
        <vt:i4>5</vt:i4>
      </vt:variant>
      <vt:variant>
        <vt:lpwstr>http://www.inderscience.com/jhome.php?jcode=ijeed</vt:lpwstr>
      </vt:variant>
      <vt:variant>
        <vt:lpwstr/>
      </vt:variant>
      <vt:variant>
        <vt:i4>6357026</vt:i4>
      </vt:variant>
      <vt:variant>
        <vt:i4>9</vt:i4>
      </vt:variant>
      <vt:variant>
        <vt:i4>0</vt:i4>
      </vt:variant>
      <vt:variant>
        <vt:i4>5</vt:i4>
      </vt:variant>
      <vt:variant>
        <vt:lpwstr>http://www.inderscience.com/info/inarticle.php?artid=52322</vt:lpwstr>
      </vt:variant>
      <vt:variant>
        <vt:lpwstr/>
      </vt:variant>
      <vt:variant>
        <vt:i4>3473444</vt:i4>
      </vt:variant>
      <vt:variant>
        <vt:i4>6</vt:i4>
      </vt:variant>
      <vt:variant>
        <vt:i4>0</vt:i4>
      </vt:variant>
      <vt:variant>
        <vt:i4>5</vt:i4>
      </vt:variant>
      <vt:variant>
        <vt:lpwstr>http://data.worldbank.org/indicator/SE.TER.ENRR/countries/VN-4E-XN?display=default</vt:lpwstr>
      </vt:variant>
      <vt:variant>
        <vt:lpwstr/>
      </vt:variant>
      <vt:variant>
        <vt:i4>6291485</vt:i4>
      </vt:variant>
      <vt:variant>
        <vt:i4>3</vt:i4>
      </vt:variant>
      <vt:variant>
        <vt:i4>0</vt:i4>
      </vt:variant>
      <vt:variant>
        <vt:i4>5</vt:i4>
      </vt:variant>
      <vt:variant>
        <vt:lpwstr>mailto:tuyentran@uvn.edu.vn</vt:lpwstr>
      </vt:variant>
      <vt:variant>
        <vt:lpwstr/>
      </vt:variant>
      <vt:variant>
        <vt:i4>6291477</vt:i4>
      </vt:variant>
      <vt:variant>
        <vt:i4>0</vt:i4>
      </vt:variant>
      <vt:variant>
        <vt:i4>0</vt:i4>
      </vt:variant>
      <vt:variant>
        <vt:i4>5</vt:i4>
      </vt:variant>
      <vt:variant>
        <vt:lpwstr>mailto:tinhdoan@waikato.ac.nz</vt:lpwstr>
      </vt:variant>
      <vt:variant>
        <vt:lpwstr/>
      </vt:variant>
      <vt:variant>
        <vt:i4>393245</vt:i4>
      </vt:variant>
      <vt:variant>
        <vt:i4>6</vt:i4>
      </vt:variant>
      <vt:variant>
        <vt:i4>0</vt:i4>
      </vt:variant>
      <vt:variant>
        <vt:i4>5</vt:i4>
      </vt:variant>
      <vt:variant>
        <vt:lpwstr>http://data.worldbank.org/indicator/NY.GDP.MKTP.KD.ZG/countries/VN-4E-XN?display=default</vt:lpwstr>
      </vt:variant>
      <vt:variant>
        <vt:lpwstr/>
      </vt:variant>
      <vt:variant>
        <vt:i4>8126577</vt:i4>
      </vt:variant>
      <vt:variant>
        <vt:i4>3</vt:i4>
      </vt:variant>
      <vt:variant>
        <vt:i4>0</vt:i4>
      </vt:variant>
      <vt:variant>
        <vt:i4>5</vt:i4>
      </vt:variant>
      <vt:variant>
        <vt:lpwstr>http://www.molisa.gov.vn/Images/FileAnPham/fileanpham20151227165350.pdf</vt:lpwstr>
      </vt:variant>
      <vt:variant>
        <vt:lpwstr/>
      </vt:variant>
      <vt:variant>
        <vt:i4>6225923</vt:i4>
      </vt:variant>
      <vt:variant>
        <vt:i4>0</vt:i4>
      </vt:variant>
      <vt:variant>
        <vt:i4>0</vt:i4>
      </vt:variant>
      <vt:variant>
        <vt:i4>5</vt:i4>
      </vt:variant>
      <vt:variant>
        <vt:lpwstr>https://www.stratfor.com/the-hub/vietnams-political-economy-transition-1986-2016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 D74, K42, O15</dc:title>
  <dc:creator>Tinh Doan</dc:creator>
  <cp:lastModifiedBy>Brian Silverstone</cp:lastModifiedBy>
  <cp:revision>6</cp:revision>
  <cp:lastPrinted>2016-02-29T00:06:00Z</cp:lastPrinted>
  <dcterms:created xsi:type="dcterms:W3CDTF">2016-03-07T02:56:00Z</dcterms:created>
  <dcterms:modified xsi:type="dcterms:W3CDTF">2016-03-07T03:15:00Z</dcterms:modified>
</cp:coreProperties>
</file>