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10D5A8" w14:textId="77777777" w:rsidR="00BA0F48" w:rsidRDefault="00BA0F48" w:rsidP="00F96AB3">
      <w:pPr>
        <w:autoSpaceDE w:val="0"/>
        <w:autoSpaceDN w:val="0"/>
        <w:adjustRightInd w:val="0"/>
        <w:spacing w:after="0" w:line="240" w:lineRule="auto"/>
        <w:jc w:val="center"/>
        <w:rPr>
          <w:rFonts w:ascii="Times New Roman" w:hAnsi="Times New Roman" w:cs="Times New Roman"/>
          <w:b/>
          <w:bCs/>
          <w:sz w:val="28"/>
          <w:szCs w:val="28"/>
          <w:lang w:val="en-NZ"/>
        </w:rPr>
      </w:pPr>
    </w:p>
    <w:p w14:paraId="72E17894" w14:textId="77777777" w:rsidR="00BA0F48" w:rsidRDefault="00BA0F48" w:rsidP="00F96AB3">
      <w:pPr>
        <w:autoSpaceDE w:val="0"/>
        <w:autoSpaceDN w:val="0"/>
        <w:adjustRightInd w:val="0"/>
        <w:spacing w:after="0" w:line="240" w:lineRule="auto"/>
        <w:jc w:val="center"/>
        <w:rPr>
          <w:rFonts w:ascii="Times New Roman" w:hAnsi="Times New Roman" w:cs="Times New Roman"/>
          <w:b/>
          <w:bCs/>
          <w:sz w:val="28"/>
          <w:szCs w:val="28"/>
          <w:lang w:val="en-NZ"/>
        </w:rPr>
      </w:pPr>
    </w:p>
    <w:p w14:paraId="4EDBAAD8" w14:textId="77777777" w:rsidR="00BA0F48" w:rsidRDefault="00BA0F48" w:rsidP="00F96AB3">
      <w:pPr>
        <w:autoSpaceDE w:val="0"/>
        <w:autoSpaceDN w:val="0"/>
        <w:adjustRightInd w:val="0"/>
        <w:spacing w:after="0" w:line="240" w:lineRule="auto"/>
        <w:jc w:val="center"/>
        <w:rPr>
          <w:rFonts w:ascii="Times New Roman" w:hAnsi="Times New Roman" w:cs="Times New Roman"/>
          <w:b/>
          <w:bCs/>
          <w:sz w:val="28"/>
          <w:szCs w:val="28"/>
          <w:lang w:val="en-NZ"/>
        </w:rPr>
      </w:pPr>
    </w:p>
    <w:p w14:paraId="709CE63C" w14:textId="77777777" w:rsidR="005D0830" w:rsidRDefault="005D0830" w:rsidP="00F96AB3">
      <w:pPr>
        <w:autoSpaceDE w:val="0"/>
        <w:autoSpaceDN w:val="0"/>
        <w:adjustRightInd w:val="0"/>
        <w:spacing w:after="0" w:line="240" w:lineRule="auto"/>
        <w:jc w:val="center"/>
        <w:rPr>
          <w:rFonts w:ascii="Times New Roman" w:hAnsi="Times New Roman" w:cs="Times New Roman"/>
          <w:b/>
          <w:bCs/>
          <w:sz w:val="28"/>
          <w:szCs w:val="28"/>
          <w:lang w:val="en-NZ"/>
        </w:rPr>
      </w:pPr>
    </w:p>
    <w:p w14:paraId="4E3978AB" w14:textId="77777777" w:rsidR="005D0830" w:rsidRDefault="005D0830" w:rsidP="00F96AB3">
      <w:pPr>
        <w:autoSpaceDE w:val="0"/>
        <w:autoSpaceDN w:val="0"/>
        <w:adjustRightInd w:val="0"/>
        <w:spacing w:after="0" w:line="240" w:lineRule="auto"/>
        <w:jc w:val="center"/>
        <w:rPr>
          <w:rFonts w:ascii="Times New Roman" w:hAnsi="Times New Roman" w:cs="Times New Roman"/>
          <w:b/>
          <w:bCs/>
          <w:sz w:val="28"/>
          <w:szCs w:val="28"/>
          <w:lang w:val="en-NZ"/>
        </w:rPr>
      </w:pPr>
    </w:p>
    <w:p w14:paraId="0DD70F1E" w14:textId="77777777" w:rsidR="005D0830" w:rsidRDefault="005D0830" w:rsidP="00F96AB3">
      <w:pPr>
        <w:autoSpaceDE w:val="0"/>
        <w:autoSpaceDN w:val="0"/>
        <w:adjustRightInd w:val="0"/>
        <w:spacing w:after="0" w:line="240" w:lineRule="auto"/>
        <w:jc w:val="center"/>
        <w:rPr>
          <w:rFonts w:ascii="Times New Roman" w:hAnsi="Times New Roman" w:cs="Times New Roman"/>
          <w:b/>
          <w:bCs/>
          <w:sz w:val="28"/>
          <w:szCs w:val="28"/>
          <w:lang w:val="en-NZ"/>
        </w:rPr>
      </w:pPr>
    </w:p>
    <w:p w14:paraId="338F08F4" w14:textId="77777777" w:rsidR="00F96AB3" w:rsidRDefault="00F96AB3" w:rsidP="00F96AB3">
      <w:pPr>
        <w:autoSpaceDE w:val="0"/>
        <w:autoSpaceDN w:val="0"/>
        <w:adjustRightInd w:val="0"/>
        <w:spacing w:after="0" w:line="240" w:lineRule="auto"/>
        <w:jc w:val="center"/>
        <w:rPr>
          <w:rFonts w:ascii="Times New Roman" w:hAnsi="Times New Roman" w:cs="Times New Roman"/>
          <w:b/>
          <w:bCs/>
          <w:sz w:val="28"/>
          <w:szCs w:val="28"/>
          <w:lang w:val="en-NZ"/>
        </w:rPr>
      </w:pPr>
      <w:r>
        <w:rPr>
          <w:rFonts w:ascii="Times New Roman" w:hAnsi="Times New Roman" w:cs="Times New Roman"/>
          <w:b/>
          <w:bCs/>
          <w:sz w:val="28"/>
          <w:szCs w:val="28"/>
          <w:lang w:val="en-NZ"/>
        </w:rPr>
        <w:t>UNIVERSITY OF WAIKATO</w:t>
      </w:r>
    </w:p>
    <w:p w14:paraId="11574B5D" w14:textId="77777777" w:rsidR="00F96AB3" w:rsidRDefault="00F96AB3" w:rsidP="00F96AB3">
      <w:pPr>
        <w:autoSpaceDE w:val="0"/>
        <w:autoSpaceDN w:val="0"/>
        <w:adjustRightInd w:val="0"/>
        <w:spacing w:after="0" w:line="240" w:lineRule="auto"/>
        <w:jc w:val="center"/>
        <w:rPr>
          <w:rFonts w:ascii="Times New Roman" w:hAnsi="Times New Roman" w:cs="Times New Roman"/>
          <w:b/>
          <w:bCs/>
          <w:sz w:val="28"/>
          <w:szCs w:val="28"/>
          <w:lang w:val="en-NZ"/>
        </w:rPr>
      </w:pPr>
      <w:r>
        <w:rPr>
          <w:rFonts w:ascii="Times New Roman" w:hAnsi="Times New Roman" w:cs="Times New Roman"/>
          <w:b/>
          <w:bCs/>
          <w:sz w:val="28"/>
          <w:szCs w:val="28"/>
          <w:lang w:val="en-NZ"/>
        </w:rPr>
        <w:t>Hamilton</w:t>
      </w:r>
    </w:p>
    <w:p w14:paraId="697E46F4" w14:textId="5CF2F6A4" w:rsidR="00F60709" w:rsidRDefault="00F96AB3" w:rsidP="00F96AB3">
      <w:pPr>
        <w:tabs>
          <w:tab w:val="left" w:pos="284"/>
        </w:tabs>
        <w:spacing w:after="0" w:line="240" w:lineRule="auto"/>
        <w:jc w:val="center"/>
        <w:rPr>
          <w:rFonts w:ascii="Times New Roman" w:eastAsia="Times New Roman" w:hAnsi="Times New Roman" w:cs="Courier New"/>
          <w:b/>
          <w:sz w:val="14"/>
          <w:szCs w:val="14"/>
          <w:lang w:val="en-GB" w:eastAsia="en-GB"/>
        </w:rPr>
      </w:pPr>
      <w:r>
        <w:rPr>
          <w:rFonts w:ascii="Times New Roman" w:hAnsi="Times New Roman" w:cs="Times New Roman"/>
          <w:b/>
          <w:bCs/>
          <w:sz w:val="28"/>
          <w:szCs w:val="28"/>
          <w:lang w:val="en-NZ"/>
        </w:rPr>
        <w:t>New Zealand</w:t>
      </w:r>
    </w:p>
    <w:p w14:paraId="60895040" w14:textId="77777777" w:rsidR="003C0538" w:rsidRDefault="003C0538" w:rsidP="00F60709">
      <w:pPr>
        <w:tabs>
          <w:tab w:val="left" w:pos="284"/>
        </w:tabs>
        <w:spacing w:after="0" w:line="240" w:lineRule="auto"/>
        <w:jc w:val="center"/>
        <w:rPr>
          <w:rFonts w:ascii="Times New Roman" w:eastAsia="Times New Roman" w:hAnsi="Times New Roman" w:cs="Courier New"/>
          <w:b/>
          <w:sz w:val="14"/>
          <w:szCs w:val="14"/>
          <w:lang w:val="en-GB" w:eastAsia="en-GB"/>
        </w:rPr>
      </w:pPr>
    </w:p>
    <w:p w14:paraId="0ED8A25C" w14:textId="77777777" w:rsidR="003C0538" w:rsidRDefault="003C0538" w:rsidP="00F60709">
      <w:pPr>
        <w:tabs>
          <w:tab w:val="left" w:pos="284"/>
        </w:tabs>
        <w:spacing w:after="0" w:line="240" w:lineRule="auto"/>
        <w:jc w:val="center"/>
        <w:rPr>
          <w:rFonts w:ascii="Times New Roman" w:eastAsia="Times New Roman" w:hAnsi="Times New Roman" w:cs="Courier New"/>
          <w:b/>
          <w:sz w:val="14"/>
          <w:szCs w:val="14"/>
          <w:lang w:val="en-GB" w:eastAsia="en-GB"/>
        </w:rPr>
      </w:pPr>
    </w:p>
    <w:p w14:paraId="27D9679C" w14:textId="77777777" w:rsidR="003C0538" w:rsidRPr="00F60709" w:rsidRDefault="003C0538" w:rsidP="00F60709">
      <w:pPr>
        <w:tabs>
          <w:tab w:val="left" w:pos="284"/>
        </w:tabs>
        <w:spacing w:after="0" w:line="240" w:lineRule="auto"/>
        <w:jc w:val="center"/>
        <w:rPr>
          <w:rFonts w:ascii="Times New Roman" w:eastAsia="Times New Roman" w:hAnsi="Times New Roman" w:cs="Courier New"/>
          <w:b/>
          <w:sz w:val="14"/>
          <w:szCs w:val="14"/>
          <w:lang w:val="en-GB" w:eastAsia="en-GB"/>
        </w:rPr>
      </w:pPr>
    </w:p>
    <w:p w14:paraId="2C750104" w14:textId="77777777" w:rsidR="00F60709" w:rsidRPr="00F60709" w:rsidRDefault="00F60709" w:rsidP="00F60709">
      <w:pPr>
        <w:tabs>
          <w:tab w:val="left" w:pos="284"/>
        </w:tabs>
        <w:spacing w:after="0" w:line="240" w:lineRule="auto"/>
        <w:jc w:val="center"/>
        <w:rPr>
          <w:rFonts w:ascii="Times New Roman" w:eastAsia="Times New Roman" w:hAnsi="Times New Roman" w:cs="Courier New"/>
          <w:b/>
          <w:sz w:val="14"/>
          <w:szCs w:val="14"/>
          <w:lang w:val="en-GB" w:eastAsia="en-GB"/>
        </w:rPr>
      </w:pPr>
    </w:p>
    <w:p w14:paraId="1FB4D264" w14:textId="77777777" w:rsidR="00F60709" w:rsidRPr="00F60709" w:rsidRDefault="00F60709" w:rsidP="00F60709">
      <w:pPr>
        <w:pBdr>
          <w:top w:val="thinThickSmallGap" w:sz="24" w:space="0" w:color="auto"/>
          <w:left w:val="thinThickSmallGap" w:sz="24" w:space="4" w:color="auto"/>
          <w:bottom w:val="thickThinSmallGap" w:sz="24" w:space="1" w:color="auto"/>
          <w:right w:val="thickThinSmallGap" w:sz="24" w:space="4" w:color="auto"/>
        </w:pBdr>
        <w:tabs>
          <w:tab w:val="left" w:pos="284"/>
        </w:tabs>
        <w:spacing w:after="0" w:line="240" w:lineRule="auto"/>
        <w:ind w:firstLine="431"/>
        <w:jc w:val="center"/>
        <w:rPr>
          <w:rFonts w:ascii="Times New Roman" w:eastAsia="Times New Roman" w:hAnsi="Times New Roman" w:cs="Courier New"/>
          <w:b/>
          <w:sz w:val="28"/>
          <w:szCs w:val="28"/>
          <w:lang w:eastAsia="en-GB"/>
        </w:rPr>
      </w:pPr>
    </w:p>
    <w:p w14:paraId="0FA04476" w14:textId="77777777" w:rsidR="003F3C7F" w:rsidRDefault="003F3C7F" w:rsidP="00F60709">
      <w:pPr>
        <w:pBdr>
          <w:top w:val="thinThickSmallGap" w:sz="24" w:space="0" w:color="auto"/>
          <w:left w:val="thinThickSmallGap" w:sz="24" w:space="4" w:color="auto"/>
          <w:bottom w:val="thickThinSmallGap" w:sz="24" w:space="1" w:color="auto"/>
          <w:right w:val="thickThinSmallGap" w:sz="24" w:space="4" w:color="auto"/>
        </w:pBdr>
        <w:tabs>
          <w:tab w:val="left" w:pos="284"/>
        </w:tabs>
        <w:spacing w:after="0" w:line="240" w:lineRule="auto"/>
        <w:ind w:firstLine="431"/>
        <w:jc w:val="center"/>
        <w:rPr>
          <w:rFonts w:ascii="Times New Roman" w:eastAsia="Times New Roman" w:hAnsi="Times New Roman" w:cs="Courier New"/>
          <w:b/>
          <w:sz w:val="28"/>
          <w:szCs w:val="28"/>
          <w:lang w:eastAsia="en-GB"/>
        </w:rPr>
      </w:pPr>
      <w:r>
        <w:rPr>
          <w:rFonts w:ascii="Times New Roman" w:eastAsia="Times New Roman" w:hAnsi="Times New Roman" w:cs="Courier New"/>
          <w:b/>
          <w:sz w:val="28"/>
          <w:szCs w:val="28"/>
          <w:lang w:eastAsia="en-GB"/>
        </w:rPr>
        <w:t xml:space="preserve">Are Researcher Rankings Stable </w:t>
      </w:r>
    </w:p>
    <w:p w14:paraId="49EFC8B1" w14:textId="77777777" w:rsidR="003F3C7F" w:rsidRDefault="003F3C7F" w:rsidP="00F60709">
      <w:pPr>
        <w:pBdr>
          <w:top w:val="thinThickSmallGap" w:sz="24" w:space="0" w:color="auto"/>
          <w:left w:val="thinThickSmallGap" w:sz="24" w:space="4" w:color="auto"/>
          <w:bottom w:val="thickThinSmallGap" w:sz="24" w:space="1" w:color="auto"/>
          <w:right w:val="thickThinSmallGap" w:sz="24" w:space="4" w:color="auto"/>
        </w:pBdr>
        <w:tabs>
          <w:tab w:val="left" w:pos="284"/>
        </w:tabs>
        <w:spacing w:after="0" w:line="240" w:lineRule="auto"/>
        <w:ind w:firstLine="431"/>
        <w:jc w:val="center"/>
        <w:rPr>
          <w:rFonts w:ascii="Times New Roman" w:eastAsia="Times New Roman" w:hAnsi="Times New Roman" w:cs="Courier New"/>
          <w:b/>
          <w:sz w:val="28"/>
          <w:szCs w:val="28"/>
          <w:lang w:eastAsia="en-GB"/>
        </w:rPr>
      </w:pPr>
      <w:r>
        <w:rPr>
          <w:rFonts w:ascii="Times New Roman" w:eastAsia="Times New Roman" w:hAnsi="Times New Roman" w:cs="Courier New"/>
          <w:b/>
          <w:sz w:val="28"/>
          <w:szCs w:val="28"/>
          <w:lang w:eastAsia="en-GB"/>
        </w:rPr>
        <w:t xml:space="preserve">Across Alternative Output Measurement Schemes </w:t>
      </w:r>
    </w:p>
    <w:p w14:paraId="2FB719AF" w14:textId="0EF31BA0" w:rsidR="003F3C7F" w:rsidRDefault="003F3C7F" w:rsidP="00F60709">
      <w:pPr>
        <w:pBdr>
          <w:top w:val="thinThickSmallGap" w:sz="24" w:space="0" w:color="auto"/>
          <w:left w:val="thinThickSmallGap" w:sz="24" w:space="4" w:color="auto"/>
          <w:bottom w:val="thickThinSmallGap" w:sz="24" w:space="1" w:color="auto"/>
          <w:right w:val="thickThinSmallGap" w:sz="24" w:space="4" w:color="auto"/>
        </w:pBdr>
        <w:tabs>
          <w:tab w:val="left" w:pos="284"/>
        </w:tabs>
        <w:spacing w:after="0" w:line="240" w:lineRule="auto"/>
        <w:ind w:firstLine="431"/>
        <w:jc w:val="center"/>
        <w:rPr>
          <w:rFonts w:ascii="Times New Roman" w:eastAsia="Times New Roman" w:hAnsi="Times New Roman" w:cs="Courier New"/>
          <w:b/>
          <w:sz w:val="28"/>
          <w:szCs w:val="28"/>
          <w:lang w:eastAsia="en-GB"/>
        </w:rPr>
      </w:pPr>
      <w:proofErr w:type="gramStart"/>
      <w:r>
        <w:rPr>
          <w:rFonts w:ascii="Times New Roman" w:eastAsia="Times New Roman" w:hAnsi="Times New Roman" w:cs="Courier New"/>
          <w:b/>
          <w:sz w:val="28"/>
          <w:szCs w:val="28"/>
          <w:lang w:eastAsia="en-GB"/>
        </w:rPr>
        <w:t>in</w:t>
      </w:r>
      <w:proofErr w:type="gramEnd"/>
      <w:r>
        <w:rPr>
          <w:rFonts w:ascii="Times New Roman" w:eastAsia="Times New Roman" w:hAnsi="Times New Roman" w:cs="Courier New"/>
          <w:b/>
          <w:sz w:val="28"/>
          <w:szCs w:val="28"/>
          <w:lang w:eastAsia="en-GB"/>
        </w:rPr>
        <w:t xml:space="preserve"> the Context of a Time Limited Research E</w:t>
      </w:r>
      <w:r w:rsidR="00B83421" w:rsidRPr="003F3C7F">
        <w:rPr>
          <w:rFonts w:ascii="Times New Roman" w:eastAsia="Times New Roman" w:hAnsi="Times New Roman" w:cs="Courier New"/>
          <w:b/>
          <w:sz w:val="28"/>
          <w:szCs w:val="28"/>
          <w:lang w:eastAsia="en-GB"/>
        </w:rPr>
        <w:t xml:space="preserve">valuation?  </w:t>
      </w:r>
    </w:p>
    <w:p w14:paraId="76F81B4B" w14:textId="1E61239F" w:rsidR="00F60709" w:rsidRPr="003F3C7F" w:rsidRDefault="00B83421" w:rsidP="00F60709">
      <w:pPr>
        <w:pBdr>
          <w:top w:val="thinThickSmallGap" w:sz="24" w:space="0" w:color="auto"/>
          <w:left w:val="thinThickSmallGap" w:sz="24" w:space="4" w:color="auto"/>
          <w:bottom w:val="thickThinSmallGap" w:sz="24" w:space="1" w:color="auto"/>
          <w:right w:val="thickThinSmallGap" w:sz="24" w:space="4" w:color="auto"/>
        </w:pBdr>
        <w:tabs>
          <w:tab w:val="left" w:pos="284"/>
        </w:tabs>
        <w:spacing w:after="0" w:line="240" w:lineRule="auto"/>
        <w:ind w:firstLine="431"/>
        <w:jc w:val="center"/>
        <w:rPr>
          <w:rFonts w:ascii="Times New Roman" w:eastAsia="Times New Roman" w:hAnsi="Times New Roman" w:cs="Courier New"/>
          <w:b/>
          <w:sz w:val="28"/>
          <w:szCs w:val="28"/>
          <w:lang w:eastAsia="en-GB"/>
        </w:rPr>
      </w:pPr>
      <w:proofErr w:type="gramStart"/>
      <w:r w:rsidRPr="003F3C7F">
        <w:rPr>
          <w:rFonts w:ascii="Times New Roman" w:eastAsia="Times New Roman" w:hAnsi="Times New Roman" w:cs="Courier New"/>
          <w:b/>
          <w:sz w:val="28"/>
          <w:szCs w:val="28"/>
          <w:lang w:eastAsia="en-GB"/>
        </w:rPr>
        <w:t>The New Zealand Case.</w:t>
      </w:r>
      <w:proofErr w:type="gramEnd"/>
      <w:r w:rsidRPr="003F3C7F">
        <w:rPr>
          <w:rFonts w:ascii="Times New Roman" w:eastAsia="Times New Roman" w:hAnsi="Times New Roman" w:cs="Courier New"/>
          <w:b/>
          <w:sz w:val="28"/>
          <w:szCs w:val="28"/>
          <w:lang w:eastAsia="en-GB"/>
        </w:rPr>
        <w:t xml:space="preserve">  </w:t>
      </w:r>
    </w:p>
    <w:p w14:paraId="6FECD2D5" w14:textId="77777777" w:rsidR="00F96AB3" w:rsidRDefault="00F96AB3" w:rsidP="00F60709">
      <w:pPr>
        <w:pBdr>
          <w:top w:val="thinThickSmallGap" w:sz="24" w:space="0" w:color="auto"/>
          <w:left w:val="thinThickSmallGap" w:sz="24" w:space="4" w:color="auto"/>
          <w:bottom w:val="thickThinSmallGap" w:sz="24" w:space="1" w:color="auto"/>
          <w:right w:val="thickThinSmallGap" w:sz="24" w:space="4" w:color="auto"/>
        </w:pBdr>
        <w:tabs>
          <w:tab w:val="left" w:pos="284"/>
        </w:tabs>
        <w:spacing w:after="0" w:line="240" w:lineRule="auto"/>
        <w:ind w:firstLine="431"/>
        <w:jc w:val="center"/>
        <w:rPr>
          <w:rFonts w:ascii="Times New Roman" w:eastAsia="Times New Roman" w:hAnsi="Times New Roman" w:cs="Courier New"/>
          <w:b/>
          <w:sz w:val="32"/>
          <w:szCs w:val="32"/>
          <w:lang w:eastAsia="en-GB"/>
        </w:rPr>
      </w:pPr>
    </w:p>
    <w:p w14:paraId="6B612CBD" w14:textId="786FB0B5" w:rsidR="00F96AB3" w:rsidRPr="00F60709" w:rsidRDefault="00F96AB3" w:rsidP="00F60709">
      <w:pPr>
        <w:pBdr>
          <w:top w:val="thinThickSmallGap" w:sz="24" w:space="0" w:color="auto"/>
          <w:left w:val="thinThickSmallGap" w:sz="24" w:space="4" w:color="auto"/>
          <w:bottom w:val="thickThinSmallGap" w:sz="24" w:space="1" w:color="auto"/>
          <w:right w:val="thickThinSmallGap" w:sz="24" w:space="4" w:color="auto"/>
        </w:pBdr>
        <w:tabs>
          <w:tab w:val="left" w:pos="284"/>
        </w:tabs>
        <w:spacing w:after="0" w:line="240" w:lineRule="auto"/>
        <w:ind w:firstLine="431"/>
        <w:jc w:val="center"/>
        <w:rPr>
          <w:rFonts w:ascii="Times New Roman" w:eastAsia="Times New Roman" w:hAnsi="Times New Roman" w:cs="Courier New"/>
          <w:b/>
          <w:sz w:val="32"/>
          <w:szCs w:val="32"/>
          <w:lang w:eastAsia="en-GB"/>
        </w:rPr>
      </w:pPr>
      <w:r>
        <w:rPr>
          <w:rFonts w:ascii="Times New Roman" w:hAnsi="Times New Roman" w:cs="Times New Roman"/>
          <w:sz w:val="28"/>
          <w:szCs w:val="28"/>
          <w:lang w:val="en-NZ"/>
        </w:rPr>
        <w:t>David L. Anderson and John Tressler</w:t>
      </w:r>
    </w:p>
    <w:p w14:paraId="4599AAD1" w14:textId="77777777" w:rsidR="00F60709" w:rsidRPr="00F60709" w:rsidRDefault="00F60709" w:rsidP="00F60709">
      <w:pPr>
        <w:pBdr>
          <w:top w:val="thinThickSmallGap" w:sz="24" w:space="0" w:color="auto"/>
          <w:left w:val="thinThickSmallGap" w:sz="24" w:space="4" w:color="auto"/>
          <w:bottom w:val="thickThinSmallGap" w:sz="24" w:space="1" w:color="auto"/>
          <w:right w:val="thickThinSmallGap" w:sz="24" w:space="4" w:color="auto"/>
        </w:pBdr>
        <w:tabs>
          <w:tab w:val="left" w:pos="284"/>
        </w:tabs>
        <w:spacing w:after="0" w:line="360" w:lineRule="auto"/>
        <w:jc w:val="center"/>
        <w:rPr>
          <w:rFonts w:ascii="Times New Roman" w:eastAsia="Times New Roman" w:hAnsi="Times New Roman" w:cs="Courier New"/>
          <w:b/>
          <w:sz w:val="20"/>
          <w:szCs w:val="20"/>
          <w:lang w:val="en-GB" w:eastAsia="en-GB"/>
        </w:rPr>
      </w:pPr>
    </w:p>
    <w:p w14:paraId="333AF722" w14:textId="77777777" w:rsidR="00F60709" w:rsidRDefault="00F60709" w:rsidP="00F60709">
      <w:pPr>
        <w:jc w:val="center"/>
        <w:rPr>
          <w:rFonts w:ascii="Times New Roman" w:eastAsia="Calibri" w:hAnsi="Times New Roman" w:cs="Times New Roman"/>
          <w:b/>
          <w:bCs/>
          <w:sz w:val="24"/>
          <w:szCs w:val="24"/>
          <w:lang w:val="en-NZ"/>
        </w:rPr>
      </w:pPr>
    </w:p>
    <w:p w14:paraId="5C35FBA8" w14:textId="77777777" w:rsidR="00BA0F48" w:rsidRPr="00F60709" w:rsidRDefault="00BA0F48" w:rsidP="00F60709">
      <w:pPr>
        <w:jc w:val="center"/>
        <w:rPr>
          <w:rFonts w:ascii="Times New Roman" w:eastAsia="Calibri" w:hAnsi="Times New Roman" w:cs="Times New Roman"/>
          <w:b/>
          <w:bCs/>
          <w:sz w:val="24"/>
          <w:szCs w:val="24"/>
          <w:lang w:val="en-NZ"/>
        </w:rPr>
      </w:pPr>
    </w:p>
    <w:p w14:paraId="4D904078" w14:textId="77777777" w:rsidR="00F96AB3" w:rsidRDefault="00F96AB3" w:rsidP="00F96AB3">
      <w:pPr>
        <w:autoSpaceDE w:val="0"/>
        <w:autoSpaceDN w:val="0"/>
        <w:adjustRightInd w:val="0"/>
        <w:spacing w:after="0" w:line="240" w:lineRule="auto"/>
        <w:jc w:val="center"/>
        <w:rPr>
          <w:rFonts w:ascii="Times New Roman" w:hAnsi="Times New Roman" w:cs="Times New Roman"/>
          <w:b/>
          <w:bCs/>
          <w:sz w:val="28"/>
          <w:szCs w:val="28"/>
          <w:lang w:val="en-NZ"/>
        </w:rPr>
      </w:pPr>
      <w:r>
        <w:rPr>
          <w:rFonts w:ascii="Times New Roman" w:hAnsi="Times New Roman" w:cs="Times New Roman"/>
          <w:b/>
          <w:bCs/>
          <w:sz w:val="28"/>
          <w:szCs w:val="28"/>
          <w:lang w:val="en-NZ"/>
        </w:rPr>
        <w:t>Department of Economics</w:t>
      </w:r>
    </w:p>
    <w:p w14:paraId="48860F5E" w14:textId="77777777" w:rsidR="00F96AB3" w:rsidRDefault="00F96AB3" w:rsidP="00F96AB3">
      <w:pPr>
        <w:autoSpaceDE w:val="0"/>
        <w:autoSpaceDN w:val="0"/>
        <w:adjustRightInd w:val="0"/>
        <w:spacing w:after="0" w:line="240" w:lineRule="auto"/>
        <w:jc w:val="center"/>
        <w:rPr>
          <w:rFonts w:ascii="Times New Roman" w:hAnsi="Times New Roman" w:cs="Times New Roman"/>
          <w:b/>
          <w:bCs/>
          <w:sz w:val="28"/>
          <w:szCs w:val="28"/>
          <w:lang w:val="en-NZ"/>
        </w:rPr>
      </w:pPr>
    </w:p>
    <w:p w14:paraId="32061CC7" w14:textId="21CD3906" w:rsidR="00F96AB3" w:rsidRDefault="00F14B7C" w:rsidP="00F96AB3">
      <w:pPr>
        <w:autoSpaceDE w:val="0"/>
        <w:autoSpaceDN w:val="0"/>
        <w:adjustRightInd w:val="0"/>
        <w:spacing w:after="0" w:line="240" w:lineRule="auto"/>
        <w:jc w:val="center"/>
        <w:rPr>
          <w:rFonts w:ascii="Times New Roman" w:hAnsi="Times New Roman" w:cs="Times New Roman"/>
          <w:sz w:val="28"/>
          <w:szCs w:val="28"/>
          <w:lang w:val="en-NZ"/>
        </w:rPr>
      </w:pPr>
      <w:r>
        <w:rPr>
          <w:rFonts w:ascii="Times New Roman" w:hAnsi="Times New Roman" w:cs="Times New Roman"/>
          <w:sz w:val="28"/>
          <w:szCs w:val="28"/>
          <w:lang w:val="en-NZ"/>
        </w:rPr>
        <w:t>October 2015</w:t>
      </w:r>
    </w:p>
    <w:p w14:paraId="5A0861B6" w14:textId="77777777" w:rsidR="00F96AB3" w:rsidRDefault="00F96AB3" w:rsidP="00F96AB3">
      <w:pPr>
        <w:autoSpaceDE w:val="0"/>
        <w:autoSpaceDN w:val="0"/>
        <w:adjustRightInd w:val="0"/>
        <w:spacing w:after="0" w:line="240" w:lineRule="auto"/>
        <w:jc w:val="center"/>
        <w:rPr>
          <w:rFonts w:ascii="Times New Roman" w:hAnsi="Times New Roman" w:cs="Times New Roman"/>
          <w:sz w:val="28"/>
          <w:szCs w:val="28"/>
          <w:lang w:val="en-NZ"/>
        </w:rPr>
      </w:pPr>
    </w:p>
    <w:p w14:paraId="2F8AC853" w14:textId="06B6A7BE" w:rsidR="00F96AB3" w:rsidRDefault="00F96AB3" w:rsidP="00F96AB3">
      <w:pPr>
        <w:autoSpaceDE w:val="0"/>
        <w:autoSpaceDN w:val="0"/>
        <w:adjustRightInd w:val="0"/>
        <w:spacing w:after="0" w:line="240" w:lineRule="auto"/>
        <w:jc w:val="center"/>
        <w:rPr>
          <w:rFonts w:ascii="Times New Roman" w:hAnsi="Times New Roman" w:cs="Times New Roman"/>
          <w:b/>
          <w:bCs/>
          <w:sz w:val="28"/>
          <w:szCs w:val="28"/>
          <w:lang w:val="en-NZ"/>
        </w:rPr>
      </w:pPr>
      <w:r>
        <w:rPr>
          <w:rFonts w:ascii="Times New Roman" w:hAnsi="Times New Roman" w:cs="Times New Roman"/>
          <w:b/>
          <w:bCs/>
          <w:sz w:val="28"/>
          <w:szCs w:val="28"/>
          <w:lang w:val="en-NZ"/>
        </w:rPr>
        <w:t xml:space="preserve">Working Paper in Economics </w:t>
      </w:r>
      <w:r w:rsidR="007773FA">
        <w:rPr>
          <w:rFonts w:ascii="Times New Roman" w:hAnsi="Times New Roman" w:cs="Times New Roman"/>
          <w:b/>
          <w:bCs/>
          <w:sz w:val="28"/>
          <w:szCs w:val="28"/>
          <w:lang w:val="en-NZ"/>
        </w:rPr>
        <w:t>10/15</w:t>
      </w:r>
    </w:p>
    <w:p w14:paraId="797CAD66" w14:textId="77777777" w:rsidR="00F96AB3" w:rsidRDefault="00F96AB3" w:rsidP="00F96AB3">
      <w:pPr>
        <w:autoSpaceDE w:val="0"/>
        <w:autoSpaceDN w:val="0"/>
        <w:adjustRightInd w:val="0"/>
        <w:spacing w:after="0" w:line="240" w:lineRule="auto"/>
        <w:jc w:val="center"/>
        <w:rPr>
          <w:rFonts w:ascii="Times New Roman" w:hAnsi="Times New Roman" w:cs="Times New Roman"/>
          <w:b/>
          <w:bCs/>
          <w:sz w:val="28"/>
          <w:szCs w:val="28"/>
          <w:lang w:val="en-NZ"/>
        </w:rPr>
      </w:pPr>
    </w:p>
    <w:p w14:paraId="0F00B65B" w14:textId="77777777" w:rsidR="00F14B7C" w:rsidRDefault="00F14B7C" w:rsidP="00F96AB3">
      <w:pPr>
        <w:autoSpaceDE w:val="0"/>
        <w:autoSpaceDN w:val="0"/>
        <w:adjustRightInd w:val="0"/>
        <w:spacing w:after="0" w:line="240" w:lineRule="auto"/>
        <w:jc w:val="center"/>
        <w:rPr>
          <w:rFonts w:ascii="Times New Roman" w:hAnsi="Times New Roman" w:cs="Times New Roman"/>
          <w:b/>
          <w:bCs/>
          <w:sz w:val="28"/>
          <w:szCs w:val="28"/>
          <w:lang w:val="en-NZ"/>
        </w:rPr>
      </w:pPr>
    </w:p>
    <w:p w14:paraId="29606E04" w14:textId="77777777" w:rsidR="00F14B7C" w:rsidRDefault="00F14B7C" w:rsidP="00F96AB3">
      <w:pPr>
        <w:autoSpaceDE w:val="0"/>
        <w:autoSpaceDN w:val="0"/>
        <w:adjustRightInd w:val="0"/>
        <w:spacing w:after="0" w:line="240" w:lineRule="auto"/>
        <w:jc w:val="center"/>
        <w:rPr>
          <w:rFonts w:ascii="Times New Roman" w:hAnsi="Times New Roman" w:cs="Times New Roman"/>
          <w:b/>
          <w:bCs/>
          <w:sz w:val="28"/>
          <w:szCs w:val="28"/>
          <w:lang w:val="en-NZ"/>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21"/>
        <w:gridCol w:w="4622"/>
      </w:tblGrid>
      <w:tr w:rsidR="005D0830" w14:paraId="11271AC5" w14:textId="77777777" w:rsidTr="005D0830">
        <w:tc>
          <w:tcPr>
            <w:tcW w:w="4621" w:type="dxa"/>
          </w:tcPr>
          <w:p w14:paraId="6E83A833" w14:textId="77777777" w:rsidR="005D0830" w:rsidRPr="002E71D2" w:rsidRDefault="005D0830" w:rsidP="005D0830">
            <w:pPr>
              <w:autoSpaceDE w:val="0"/>
              <w:autoSpaceDN w:val="0"/>
              <w:adjustRightInd w:val="0"/>
              <w:jc w:val="center"/>
              <w:rPr>
                <w:rFonts w:ascii="Times New Roman" w:hAnsi="Times New Roman" w:cs="Times New Roman"/>
                <w:i/>
                <w:iCs/>
                <w:sz w:val="24"/>
                <w:szCs w:val="24"/>
                <w:lang w:val="en-NZ"/>
              </w:rPr>
            </w:pPr>
            <w:r w:rsidRPr="002E71D2">
              <w:rPr>
                <w:rFonts w:ascii="Times New Roman" w:hAnsi="Times New Roman" w:cs="Times New Roman"/>
                <w:i/>
                <w:iCs/>
                <w:sz w:val="24"/>
                <w:szCs w:val="24"/>
                <w:lang w:val="en-NZ"/>
              </w:rPr>
              <w:t>Corresponding Author</w:t>
            </w:r>
          </w:p>
          <w:p w14:paraId="4BD8A610" w14:textId="77777777" w:rsidR="005D0830" w:rsidRPr="00316E1D" w:rsidRDefault="005D0830" w:rsidP="005D0830">
            <w:pPr>
              <w:autoSpaceDE w:val="0"/>
              <w:autoSpaceDN w:val="0"/>
              <w:adjustRightInd w:val="0"/>
              <w:jc w:val="center"/>
              <w:rPr>
                <w:rFonts w:ascii="Times New Roman" w:hAnsi="Times New Roman" w:cs="Times New Roman"/>
                <w:i/>
                <w:iCs/>
                <w:sz w:val="8"/>
                <w:szCs w:val="8"/>
                <w:lang w:val="en-NZ"/>
              </w:rPr>
            </w:pPr>
          </w:p>
          <w:p w14:paraId="51677F1D" w14:textId="77777777" w:rsidR="005D0830" w:rsidRPr="00FA51D3" w:rsidRDefault="005D0830" w:rsidP="005D0830">
            <w:pPr>
              <w:autoSpaceDE w:val="0"/>
              <w:autoSpaceDN w:val="0"/>
              <w:adjustRightInd w:val="0"/>
              <w:jc w:val="center"/>
              <w:rPr>
                <w:rFonts w:ascii="Times New Roman" w:hAnsi="Times New Roman" w:cs="Times New Roman"/>
                <w:b/>
                <w:bCs/>
                <w:sz w:val="24"/>
                <w:szCs w:val="24"/>
                <w:lang w:val="en-NZ"/>
              </w:rPr>
            </w:pPr>
            <w:r w:rsidRPr="00FA51D3">
              <w:rPr>
                <w:rFonts w:ascii="Times New Roman" w:hAnsi="Times New Roman" w:cs="Times New Roman"/>
                <w:b/>
                <w:bCs/>
                <w:sz w:val="24"/>
                <w:szCs w:val="24"/>
                <w:lang w:val="en-NZ"/>
              </w:rPr>
              <w:t>John Tressler</w:t>
            </w:r>
          </w:p>
          <w:p w14:paraId="0A846A6F" w14:textId="77777777" w:rsidR="005D0830" w:rsidRPr="00316E1D" w:rsidRDefault="005D0830" w:rsidP="005D0830">
            <w:pPr>
              <w:autoSpaceDE w:val="0"/>
              <w:autoSpaceDN w:val="0"/>
              <w:adjustRightInd w:val="0"/>
              <w:jc w:val="center"/>
              <w:rPr>
                <w:rFonts w:ascii="Times New Roman" w:hAnsi="Times New Roman" w:cs="Times New Roman"/>
                <w:b/>
                <w:bCs/>
                <w:sz w:val="12"/>
                <w:szCs w:val="12"/>
                <w:lang w:val="en-NZ"/>
              </w:rPr>
            </w:pPr>
          </w:p>
          <w:p w14:paraId="14F3D136" w14:textId="77777777" w:rsidR="005D0830" w:rsidRPr="00FA51D3" w:rsidRDefault="005D0830" w:rsidP="005D0830">
            <w:pPr>
              <w:autoSpaceDE w:val="0"/>
              <w:autoSpaceDN w:val="0"/>
              <w:adjustRightInd w:val="0"/>
              <w:jc w:val="center"/>
              <w:rPr>
                <w:rFonts w:ascii="Times New Roman" w:hAnsi="Times New Roman" w:cs="Times New Roman"/>
                <w:sz w:val="24"/>
                <w:szCs w:val="24"/>
                <w:lang w:val="en-NZ"/>
              </w:rPr>
            </w:pPr>
            <w:r w:rsidRPr="00FA51D3">
              <w:rPr>
                <w:rFonts w:ascii="Times New Roman" w:hAnsi="Times New Roman" w:cs="Times New Roman"/>
                <w:sz w:val="24"/>
                <w:szCs w:val="24"/>
                <w:lang w:val="en-NZ"/>
              </w:rPr>
              <w:t>Economics Department</w:t>
            </w:r>
          </w:p>
          <w:p w14:paraId="68ADB086" w14:textId="77777777" w:rsidR="005D0830" w:rsidRPr="00FA51D3" w:rsidRDefault="005D0830" w:rsidP="005D0830">
            <w:pPr>
              <w:autoSpaceDE w:val="0"/>
              <w:autoSpaceDN w:val="0"/>
              <w:adjustRightInd w:val="0"/>
              <w:jc w:val="center"/>
              <w:rPr>
                <w:rFonts w:ascii="Times New Roman" w:hAnsi="Times New Roman" w:cs="Times New Roman"/>
                <w:sz w:val="24"/>
                <w:szCs w:val="24"/>
                <w:lang w:val="en-NZ"/>
              </w:rPr>
            </w:pPr>
            <w:r w:rsidRPr="00FA51D3">
              <w:rPr>
                <w:rFonts w:ascii="Times New Roman" w:hAnsi="Times New Roman" w:cs="Times New Roman"/>
                <w:sz w:val="24"/>
                <w:szCs w:val="24"/>
                <w:lang w:val="en-NZ"/>
              </w:rPr>
              <w:t>University of Waikato</w:t>
            </w:r>
          </w:p>
          <w:p w14:paraId="6A59EF73" w14:textId="77777777" w:rsidR="005D0830" w:rsidRPr="00FA51D3" w:rsidRDefault="005D0830" w:rsidP="005D0830">
            <w:pPr>
              <w:autoSpaceDE w:val="0"/>
              <w:autoSpaceDN w:val="0"/>
              <w:adjustRightInd w:val="0"/>
              <w:jc w:val="center"/>
              <w:rPr>
                <w:rFonts w:ascii="Times New Roman" w:hAnsi="Times New Roman" w:cs="Times New Roman"/>
                <w:sz w:val="24"/>
                <w:szCs w:val="24"/>
                <w:lang w:val="en-NZ"/>
              </w:rPr>
            </w:pPr>
            <w:r w:rsidRPr="00FA51D3">
              <w:rPr>
                <w:rFonts w:ascii="Times New Roman" w:hAnsi="Times New Roman" w:cs="Times New Roman"/>
                <w:sz w:val="24"/>
                <w:szCs w:val="24"/>
                <w:lang w:val="en-NZ"/>
              </w:rPr>
              <w:t>Private Bag 3105</w:t>
            </w:r>
          </w:p>
          <w:p w14:paraId="174408C3" w14:textId="77777777" w:rsidR="005D0830" w:rsidRPr="00FA51D3" w:rsidRDefault="005D0830" w:rsidP="005D0830">
            <w:pPr>
              <w:autoSpaceDE w:val="0"/>
              <w:autoSpaceDN w:val="0"/>
              <w:adjustRightInd w:val="0"/>
              <w:jc w:val="center"/>
              <w:rPr>
                <w:rFonts w:ascii="Times New Roman" w:hAnsi="Times New Roman" w:cs="Times New Roman"/>
                <w:sz w:val="24"/>
                <w:szCs w:val="24"/>
                <w:lang w:val="en-NZ"/>
              </w:rPr>
            </w:pPr>
            <w:r w:rsidRPr="00FA51D3">
              <w:rPr>
                <w:rFonts w:ascii="Times New Roman" w:hAnsi="Times New Roman" w:cs="Times New Roman"/>
                <w:sz w:val="24"/>
                <w:szCs w:val="24"/>
                <w:lang w:val="en-NZ"/>
              </w:rPr>
              <w:t>Hamilton</w:t>
            </w:r>
            <w:r>
              <w:rPr>
                <w:rFonts w:ascii="Times New Roman" w:hAnsi="Times New Roman" w:cs="Times New Roman"/>
                <w:sz w:val="24"/>
                <w:szCs w:val="24"/>
                <w:lang w:val="en-NZ"/>
              </w:rPr>
              <w:t>, 3240</w:t>
            </w:r>
          </w:p>
          <w:p w14:paraId="2810EF97" w14:textId="77777777" w:rsidR="005D0830" w:rsidRPr="00FA51D3" w:rsidRDefault="005D0830" w:rsidP="005D0830">
            <w:pPr>
              <w:autoSpaceDE w:val="0"/>
              <w:autoSpaceDN w:val="0"/>
              <w:adjustRightInd w:val="0"/>
              <w:jc w:val="center"/>
              <w:rPr>
                <w:rFonts w:ascii="Times New Roman" w:hAnsi="Times New Roman" w:cs="Times New Roman"/>
                <w:sz w:val="24"/>
                <w:szCs w:val="24"/>
                <w:lang w:val="en-NZ"/>
              </w:rPr>
            </w:pPr>
            <w:r w:rsidRPr="00FA51D3">
              <w:rPr>
                <w:rFonts w:ascii="Times New Roman" w:hAnsi="Times New Roman" w:cs="Times New Roman"/>
                <w:sz w:val="24"/>
                <w:szCs w:val="24"/>
                <w:lang w:val="en-NZ"/>
              </w:rPr>
              <w:t>NEW ZEALAND</w:t>
            </w:r>
          </w:p>
          <w:p w14:paraId="2CC44A06" w14:textId="77777777" w:rsidR="005D0830" w:rsidRPr="00FA51D3" w:rsidRDefault="005D0830" w:rsidP="005D0830">
            <w:pPr>
              <w:autoSpaceDE w:val="0"/>
              <w:autoSpaceDN w:val="0"/>
              <w:adjustRightInd w:val="0"/>
              <w:jc w:val="center"/>
              <w:rPr>
                <w:rFonts w:ascii="Times New Roman" w:hAnsi="Times New Roman" w:cs="Times New Roman"/>
                <w:sz w:val="24"/>
                <w:szCs w:val="24"/>
                <w:lang w:val="en-NZ"/>
              </w:rPr>
            </w:pPr>
          </w:p>
          <w:p w14:paraId="01589DAD" w14:textId="77777777" w:rsidR="005D0830" w:rsidRPr="00FA51D3" w:rsidRDefault="005D0830" w:rsidP="005D0830">
            <w:pPr>
              <w:autoSpaceDE w:val="0"/>
              <w:autoSpaceDN w:val="0"/>
              <w:adjustRightInd w:val="0"/>
              <w:jc w:val="center"/>
              <w:rPr>
                <w:rFonts w:ascii="Times New Roman" w:hAnsi="Times New Roman" w:cs="Times New Roman"/>
                <w:sz w:val="24"/>
                <w:szCs w:val="24"/>
                <w:lang w:val="en-NZ"/>
              </w:rPr>
            </w:pPr>
            <w:r w:rsidRPr="00FA51D3">
              <w:rPr>
                <w:rFonts w:ascii="Times New Roman" w:hAnsi="Times New Roman" w:cs="Times New Roman"/>
                <w:sz w:val="24"/>
                <w:szCs w:val="24"/>
                <w:lang w:val="en-NZ"/>
              </w:rPr>
              <w:t>Tel: +64 (0) 7-838-4045</w:t>
            </w:r>
          </w:p>
          <w:p w14:paraId="3FA5B2FD" w14:textId="77777777" w:rsidR="005D0830" w:rsidRPr="00FA51D3" w:rsidRDefault="005D0830" w:rsidP="005D0830">
            <w:pPr>
              <w:autoSpaceDE w:val="0"/>
              <w:autoSpaceDN w:val="0"/>
              <w:adjustRightInd w:val="0"/>
              <w:jc w:val="center"/>
              <w:rPr>
                <w:rFonts w:ascii="Times New Roman" w:hAnsi="Times New Roman" w:cs="Times New Roman"/>
                <w:sz w:val="24"/>
                <w:szCs w:val="24"/>
                <w:lang w:val="en-NZ"/>
              </w:rPr>
            </w:pPr>
            <w:r w:rsidRPr="00FA51D3">
              <w:rPr>
                <w:rFonts w:ascii="Times New Roman" w:hAnsi="Times New Roman" w:cs="Times New Roman"/>
                <w:sz w:val="24"/>
                <w:szCs w:val="24"/>
                <w:lang w:val="en-NZ"/>
              </w:rPr>
              <w:t xml:space="preserve">Email: </w:t>
            </w:r>
            <w:r w:rsidRPr="000F2609">
              <w:rPr>
                <w:rFonts w:ascii="Times New Roman" w:hAnsi="Times New Roman" w:cs="Times New Roman"/>
                <w:sz w:val="24"/>
                <w:szCs w:val="24"/>
                <w:lang w:val="en-NZ"/>
              </w:rPr>
              <w:t>tressler@waikato.ac.nz</w:t>
            </w:r>
          </w:p>
          <w:p w14:paraId="5361AED7" w14:textId="77777777" w:rsidR="005D0830" w:rsidRDefault="005D0830" w:rsidP="00F96AB3">
            <w:pPr>
              <w:autoSpaceDE w:val="0"/>
              <w:autoSpaceDN w:val="0"/>
              <w:adjustRightInd w:val="0"/>
              <w:jc w:val="center"/>
              <w:rPr>
                <w:rFonts w:ascii="Times New Roman" w:hAnsi="Times New Roman" w:cs="Times New Roman"/>
                <w:i/>
                <w:iCs/>
                <w:sz w:val="24"/>
                <w:szCs w:val="24"/>
                <w:lang w:val="en-NZ"/>
              </w:rPr>
            </w:pPr>
          </w:p>
        </w:tc>
        <w:tc>
          <w:tcPr>
            <w:tcW w:w="4622" w:type="dxa"/>
          </w:tcPr>
          <w:p w14:paraId="07565542" w14:textId="77777777" w:rsidR="005D0830" w:rsidRDefault="005D0830" w:rsidP="005D0830">
            <w:pPr>
              <w:autoSpaceDE w:val="0"/>
              <w:autoSpaceDN w:val="0"/>
              <w:adjustRightInd w:val="0"/>
              <w:spacing w:after="120"/>
              <w:jc w:val="center"/>
              <w:rPr>
                <w:rFonts w:ascii="Times New Roman" w:hAnsi="Times New Roman" w:cs="Times New Roman"/>
                <w:b/>
                <w:bCs/>
                <w:sz w:val="24"/>
                <w:szCs w:val="24"/>
                <w:lang w:val="en-NZ"/>
              </w:rPr>
            </w:pPr>
          </w:p>
          <w:p w14:paraId="65FCB7BD" w14:textId="77777777" w:rsidR="005D0830" w:rsidRDefault="005D0830" w:rsidP="005D0830">
            <w:pPr>
              <w:autoSpaceDE w:val="0"/>
              <w:autoSpaceDN w:val="0"/>
              <w:adjustRightInd w:val="0"/>
              <w:spacing w:after="120"/>
              <w:jc w:val="center"/>
              <w:rPr>
                <w:rFonts w:ascii="Times New Roman" w:hAnsi="Times New Roman" w:cs="Times New Roman"/>
                <w:b/>
                <w:bCs/>
                <w:sz w:val="24"/>
                <w:szCs w:val="24"/>
                <w:lang w:val="en-NZ"/>
              </w:rPr>
            </w:pPr>
            <w:r w:rsidRPr="00FA51D3">
              <w:rPr>
                <w:rFonts w:ascii="Times New Roman" w:hAnsi="Times New Roman" w:cs="Times New Roman"/>
                <w:b/>
                <w:bCs/>
                <w:sz w:val="24"/>
                <w:szCs w:val="24"/>
                <w:lang w:val="en-NZ"/>
              </w:rPr>
              <w:t>David L. Anderson</w:t>
            </w:r>
          </w:p>
          <w:p w14:paraId="2B21B404" w14:textId="77777777" w:rsidR="005D0830" w:rsidRPr="00FA51D3" w:rsidRDefault="005D0830" w:rsidP="005D0830">
            <w:pPr>
              <w:autoSpaceDE w:val="0"/>
              <w:autoSpaceDN w:val="0"/>
              <w:adjustRightInd w:val="0"/>
              <w:jc w:val="center"/>
              <w:rPr>
                <w:rFonts w:ascii="Times New Roman" w:hAnsi="Times New Roman" w:cs="Times New Roman"/>
                <w:sz w:val="24"/>
                <w:szCs w:val="24"/>
                <w:lang w:val="en-NZ"/>
              </w:rPr>
            </w:pPr>
            <w:r w:rsidRPr="00FA51D3">
              <w:rPr>
                <w:rFonts w:ascii="Times New Roman" w:hAnsi="Times New Roman" w:cs="Times New Roman"/>
                <w:sz w:val="24"/>
                <w:szCs w:val="24"/>
                <w:lang w:val="en-NZ"/>
              </w:rPr>
              <w:t>School of Business</w:t>
            </w:r>
          </w:p>
          <w:p w14:paraId="4703B593" w14:textId="77777777" w:rsidR="005D0830" w:rsidRPr="00FA51D3" w:rsidRDefault="005D0830" w:rsidP="005D0830">
            <w:pPr>
              <w:autoSpaceDE w:val="0"/>
              <w:autoSpaceDN w:val="0"/>
              <w:adjustRightInd w:val="0"/>
              <w:jc w:val="center"/>
              <w:rPr>
                <w:rFonts w:ascii="Times New Roman" w:hAnsi="Times New Roman" w:cs="Times New Roman"/>
                <w:sz w:val="24"/>
                <w:szCs w:val="24"/>
                <w:lang w:val="en-NZ"/>
              </w:rPr>
            </w:pPr>
            <w:r w:rsidRPr="00FA51D3">
              <w:rPr>
                <w:rFonts w:ascii="Times New Roman" w:hAnsi="Times New Roman" w:cs="Times New Roman"/>
                <w:sz w:val="24"/>
                <w:szCs w:val="24"/>
                <w:lang w:val="en-NZ"/>
              </w:rPr>
              <w:t>Queen’s University</w:t>
            </w:r>
          </w:p>
          <w:p w14:paraId="7459A41D" w14:textId="77777777" w:rsidR="005D0830" w:rsidRPr="00FA51D3" w:rsidRDefault="005D0830" w:rsidP="005D0830">
            <w:pPr>
              <w:autoSpaceDE w:val="0"/>
              <w:autoSpaceDN w:val="0"/>
              <w:adjustRightInd w:val="0"/>
              <w:jc w:val="center"/>
              <w:rPr>
                <w:rFonts w:ascii="Times New Roman" w:hAnsi="Times New Roman" w:cs="Times New Roman"/>
                <w:sz w:val="24"/>
                <w:szCs w:val="24"/>
                <w:lang w:val="en-NZ"/>
              </w:rPr>
            </w:pPr>
            <w:r w:rsidRPr="00FA51D3">
              <w:rPr>
                <w:rFonts w:ascii="Times New Roman" w:hAnsi="Times New Roman" w:cs="Times New Roman"/>
                <w:sz w:val="24"/>
                <w:szCs w:val="24"/>
                <w:lang w:val="en-NZ"/>
              </w:rPr>
              <w:t>Kingston</w:t>
            </w:r>
          </w:p>
          <w:p w14:paraId="2DF9D2F7" w14:textId="77777777" w:rsidR="005D0830" w:rsidRPr="00FA51D3" w:rsidRDefault="005D0830" w:rsidP="005D0830">
            <w:pPr>
              <w:autoSpaceDE w:val="0"/>
              <w:autoSpaceDN w:val="0"/>
              <w:adjustRightInd w:val="0"/>
              <w:jc w:val="center"/>
              <w:rPr>
                <w:rFonts w:ascii="Times New Roman" w:hAnsi="Times New Roman" w:cs="Times New Roman"/>
                <w:sz w:val="24"/>
                <w:szCs w:val="24"/>
                <w:lang w:val="en-NZ"/>
              </w:rPr>
            </w:pPr>
            <w:r w:rsidRPr="00FA51D3">
              <w:rPr>
                <w:rFonts w:ascii="Times New Roman" w:hAnsi="Times New Roman" w:cs="Times New Roman"/>
                <w:sz w:val="24"/>
                <w:szCs w:val="24"/>
                <w:lang w:val="en-NZ"/>
              </w:rPr>
              <w:t>Ontario K7L 3N6</w:t>
            </w:r>
          </w:p>
          <w:p w14:paraId="641F0CE5" w14:textId="77777777" w:rsidR="005D0830" w:rsidRPr="00956765" w:rsidRDefault="005D0830" w:rsidP="005D0830">
            <w:pPr>
              <w:autoSpaceDE w:val="0"/>
              <w:autoSpaceDN w:val="0"/>
              <w:adjustRightInd w:val="0"/>
              <w:jc w:val="center"/>
              <w:rPr>
                <w:rFonts w:ascii="Times New Roman" w:hAnsi="Times New Roman" w:cs="Times New Roman"/>
                <w:sz w:val="24"/>
                <w:szCs w:val="24"/>
                <w:lang w:val="en-NZ"/>
              </w:rPr>
            </w:pPr>
            <w:r w:rsidRPr="00956765">
              <w:rPr>
                <w:rFonts w:ascii="Times New Roman" w:hAnsi="Times New Roman" w:cs="Times New Roman"/>
                <w:sz w:val="24"/>
                <w:szCs w:val="24"/>
                <w:lang w:val="en-NZ"/>
              </w:rPr>
              <w:t>CANADA</w:t>
            </w:r>
          </w:p>
          <w:p w14:paraId="163E8BC1" w14:textId="77777777" w:rsidR="005D0830" w:rsidRPr="00956765" w:rsidRDefault="005D0830" w:rsidP="005D0830">
            <w:pPr>
              <w:autoSpaceDE w:val="0"/>
              <w:autoSpaceDN w:val="0"/>
              <w:adjustRightInd w:val="0"/>
              <w:jc w:val="center"/>
              <w:rPr>
                <w:rFonts w:ascii="Times New Roman" w:hAnsi="Times New Roman" w:cs="Times New Roman"/>
                <w:sz w:val="24"/>
                <w:szCs w:val="24"/>
                <w:lang w:val="en-NZ"/>
              </w:rPr>
            </w:pPr>
          </w:p>
          <w:p w14:paraId="7884276D" w14:textId="77777777" w:rsidR="005D0830" w:rsidRPr="00956765" w:rsidRDefault="005D0830" w:rsidP="005D0830">
            <w:pPr>
              <w:autoSpaceDE w:val="0"/>
              <w:autoSpaceDN w:val="0"/>
              <w:adjustRightInd w:val="0"/>
              <w:jc w:val="center"/>
              <w:rPr>
                <w:rFonts w:ascii="Times New Roman" w:hAnsi="Times New Roman" w:cs="Times New Roman"/>
                <w:sz w:val="24"/>
                <w:szCs w:val="24"/>
                <w:lang w:val="en-NZ"/>
              </w:rPr>
            </w:pPr>
            <w:r w:rsidRPr="00956765">
              <w:rPr>
                <w:rFonts w:ascii="Times New Roman" w:hAnsi="Times New Roman" w:cs="Times New Roman"/>
                <w:sz w:val="24"/>
                <w:szCs w:val="24"/>
                <w:lang w:val="en-NZ"/>
              </w:rPr>
              <w:t>Tel: 1-613-533-2362</w:t>
            </w:r>
          </w:p>
          <w:p w14:paraId="00E98945" w14:textId="77777777" w:rsidR="005D0830" w:rsidRPr="00956765" w:rsidRDefault="005D0830" w:rsidP="005D0830">
            <w:pPr>
              <w:autoSpaceDE w:val="0"/>
              <w:autoSpaceDN w:val="0"/>
              <w:adjustRightInd w:val="0"/>
              <w:jc w:val="center"/>
              <w:rPr>
                <w:rFonts w:ascii="Times New Roman" w:hAnsi="Times New Roman" w:cs="Times New Roman"/>
                <w:sz w:val="24"/>
                <w:szCs w:val="24"/>
                <w:lang w:val="en-NZ"/>
              </w:rPr>
            </w:pPr>
            <w:r w:rsidRPr="00956765">
              <w:rPr>
                <w:rFonts w:ascii="Times New Roman" w:hAnsi="Times New Roman" w:cs="Times New Roman"/>
                <w:sz w:val="24"/>
                <w:szCs w:val="24"/>
                <w:lang w:val="en-NZ"/>
              </w:rPr>
              <w:t>Email: dla@queensu.ca</w:t>
            </w:r>
          </w:p>
          <w:p w14:paraId="657D40AD" w14:textId="77777777" w:rsidR="005D0830" w:rsidRDefault="005D0830" w:rsidP="00F96AB3">
            <w:pPr>
              <w:autoSpaceDE w:val="0"/>
              <w:autoSpaceDN w:val="0"/>
              <w:adjustRightInd w:val="0"/>
              <w:jc w:val="center"/>
              <w:rPr>
                <w:rFonts w:ascii="Times New Roman" w:hAnsi="Times New Roman" w:cs="Times New Roman"/>
                <w:i/>
                <w:iCs/>
                <w:sz w:val="24"/>
                <w:szCs w:val="24"/>
                <w:lang w:val="en-NZ"/>
              </w:rPr>
            </w:pPr>
          </w:p>
        </w:tc>
      </w:tr>
    </w:tbl>
    <w:p w14:paraId="5A99ACC4" w14:textId="77777777" w:rsidR="00F96AB3" w:rsidRDefault="00F96AB3" w:rsidP="00F96AB3">
      <w:pPr>
        <w:autoSpaceDE w:val="0"/>
        <w:autoSpaceDN w:val="0"/>
        <w:adjustRightInd w:val="0"/>
        <w:spacing w:after="0" w:line="240" w:lineRule="auto"/>
        <w:jc w:val="center"/>
        <w:rPr>
          <w:rFonts w:ascii="Times New Roman" w:hAnsi="Times New Roman" w:cs="Times New Roman"/>
          <w:i/>
          <w:iCs/>
          <w:sz w:val="24"/>
          <w:szCs w:val="24"/>
          <w:lang w:val="en-NZ"/>
        </w:rPr>
        <w:sectPr w:rsidR="00F96AB3" w:rsidSect="002C0BD3">
          <w:footerReference w:type="default" r:id="rId9"/>
          <w:type w:val="nextColumn"/>
          <w:pgSz w:w="11907" w:h="16840" w:code="9"/>
          <w:pgMar w:top="1440" w:right="1440" w:bottom="1440" w:left="1440" w:header="709" w:footer="709" w:gutter="0"/>
          <w:cols w:space="708"/>
          <w:titlePg/>
          <w:docGrid w:linePitch="360"/>
        </w:sectPr>
      </w:pPr>
    </w:p>
    <w:p w14:paraId="66253220" w14:textId="77777777" w:rsidR="00404F88" w:rsidRPr="00FA51D3" w:rsidRDefault="00404F88" w:rsidP="00F96AB3">
      <w:pPr>
        <w:autoSpaceDE w:val="0"/>
        <w:autoSpaceDN w:val="0"/>
        <w:adjustRightInd w:val="0"/>
        <w:spacing w:after="0" w:line="240" w:lineRule="auto"/>
        <w:jc w:val="center"/>
        <w:rPr>
          <w:rFonts w:ascii="Times New Roman" w:hAnsi="Times New Roman" w:cs="Times New Roman"/>
          <w:b/>
          <w:bCs/>
          <w:sz w:val="24"/>
          <w:szCs w:val="24"/>
          <w:lang w:val="en-NZ"/>
        </w:rPr>
      </w:pPr>
    </w:p>
    <w:p w14:paraId="3C00F215" w14:textId="77777777" w:rsidR="00404F88" w:rsidRPr="00FA51D3" w:rsidRDefault="00404F88" w:rsidP="00F96AB3">
      <w:pPr>
        <w:autoSpaceDE w:val="0"/>
        <w:autoSpaceDN w:val="0"/>
        <w:adjustRightInd w:val="0"/>
        <w:spacing w:after="0" w:line="240" w:lineRule="auto"/>
        <w:jc w:val="center"/>
        <w:rPr>
          <w:rFonts w:ascii="Times New Roman" w:hAnsi="Times New Roman" w:cs="Times New Roman"/>
          <w:b/>
          <w:bCs/>
          <w:sz w:val="24"/>
          <w:szCs w:val="24"/>
          <w:lang w:val="en-NZ"/>
        </w:rPr>
      </w:pPr>
    </w:p>
    <w:p w14:paraId="0D437ACC" w14:textId="77777777" w:rsidR="00BA0F48" w:rsidRPr="00956765" w:rsidRDefault="00BA0F48" w:rsidP="00F60709">
      <w:pPr>
        <w:jc w:val="center"/>
        <w:rPr>
          <w:rFonts w:ascii="Times New Roman" w:eastAsia="Calibri" w:hAnsi="Times New Roman" w:cs="Times New Roman"/>
          <w:b/>
          <w:bCs/>
          <w:sz w:val="28"/>
          <w:szCs w:val="28"/>
          <w:lang w:val="en-NZ"/>
        </w:rPr>
      </w:pPr>
    </w:p>
    <w:p w14:paraId="70CA96D5" w14:textId="77777777" w:rsidR="00BA0F48" w:rsidRPr="00956765" w:rsidRDefault="00BA0F48" w:rsidP="00F60709">
      <w:pPr>
        <w:jc w:val="center"/>
        <w:rPr>
          <w:rFonts w:ascii="Times New Roman" w:eastAsia="Calibri" w:hAnsi="Times New Roman" w:cs="Times New Roman"/>
          <w:b/>
          <w:bCs/>
          <w:sz w:val="28"/>
          <w:szCs w:val="28"/>
          <w:lang w:val="en-NZ"/>
        </w:rPr>
      </w:pPr>
    </w:p>
    <w:p w14:paraId="27096876" w14:textId="77777777" w:rsidR="00BA0F48" w:rsidRPr="00956765" w:rsidRDefault="00BA0F48" w:rsidP="00F60709">
      <w:pPr>
        <w:jc w:val="center"/>
        <w:rPr>
          <w:rFonts w:ascii="Times New Roman" w:eastAsia="Calibri" w:hAnsi="Times New Roman" w:cs="Times New Roman"/>
          <w:b/>
          <w:bCs/>
          <w:sz w:val="28"/>
          <w:szCs w:val="28"/>
          <w:lang w:val="en-NZ"/>
        </w:rPr>
      </w:pPr>
    </w:p>
    <w:p w14:paraId="0E6BA0F5" w14:textId="77777777" w:rsidR="005D0830" w:rsidRPr="00956765" w:rsidRDefault="005D0830" w:rsidP="00F60709">
      <w:pPr>
        <w:jc w:val="center"/>
        <w:rPr>
          <w:rFonts w:ascii="Times New Roman" w:eastAsia="Calibri" w:hAnsi="Times New Roman" w:cs="Times New Roman"/>
          <w:b/>
          <w:bCs/>
          <w:sz w:val="28"/>
          <w:szCs w:val="28"/>
          <w:lang w:val="en-NZ"/>
        </w:rPr>
      </w:pPr>
    </w:p>
    <w:p w14:paraId="520A8D2D" w14:textId="77777777" w:rsidR="005D0830" w:rsidRPr="00956765" w:rsidRDefault="005D0830" w:rsidP="00F60709">
      <w:pPr>
        <w:jc w:val="center"/>
        <w:rPr>
          <w:rFonts w:ascii="Times New Roman" w:eastAsia="Calibri" w:hAnsi="Times New Roman" w:cs="Times New Roman"/>
          <w:b/>
          <w:bCs/>
          <w:sz w:val="28"/>
          <w:szCs w:val="28"/>
          <w:lang w:val="en-NZ"/>
        </w:rPr>
      </w:pPr>
    </w:p>
    <w:p w14:paraId="2739828C" w14:textId="086B7B77" w:rsidR="00F60709" w:rsidRPr="00956765" w:rsidRDefault="00F60709" w:rsidP="00F60709">
      <w:pPr>
        <w:jc w:val="center"/>
        <w:rPr>
          <w:rFonts w:ascii="Times New Roman" w:eastAsia="Calibri" w:hAnsi="Times New Roman" w:cs="Times New Roman"/>
          <w:b/>
          <w:bCs/>
          <w:sz w:val="24"/>
          <w:szCs w:val="24"/>
          <w:lang w:val="en-NZ"/>
        </w:rPr>
      </w:pPr>
      <w:r w:rsidRPr="00956765">
        <w:rPr>
          <w:rFonts w:ascii="Times New Roman" w:eastAsia="Calibri" w:hAnsi="Times New Roman" w:cs="Times New Roman"/>
          <w:b/>
          <w:bCs/>
          <w:sz w:val="24"/>
          <w:szCs w:val="24"/>
          <w:lang w:val="en-NZ"/>
        </w:rPr>
        <w:t>Abstract</w:t>
      </w:r>
    </w:p>
    <w:p w14:paraId="6451F419" w14:textId="77777777" w:rsidR="00F60709" w:rsidRPr="00956765" w:rsidRDefault="00F60709" w:rsidP="00F60709">
      <w:pPr>
        <w:tabs>
          <w:tab w:val="left" w:pos="426"/>
        </w:tabs>
        <w:spacing w:after="0" w:line="240" w:lineRule="auto"/>
        <w:jc w:val="both"/>
        <w:rPr>
          <w:rFonts w:ascii="Times New Roman" w:eastAsia="Calibri" w:hAnsi="Times New Roman" w:cs="Times New Roman"/>
          <w:bCs/>
          <w:sz w:val="12"/>
          <w:szCs w:val="12"/>
          <w:lang w:val="en-NZ"/>
        </w:rPr>
      </w:pPr>
    </w:p>
    <w:p w14:paraId="7E669D84" w14:textId="59594518" w:rsidR="001C065C" w:rsidRDefault="0089639B" w:rsidP="00404F88">
      <w:pPr>
        <w:tabs>
          <w:tab w:val="left" w:pos="426"/>
        </w:tabs>
        <w:spacing w:after="0" w:line="360" w:lineRule="auto"/>
        <w:jc w:val="both"/>
        <w:rPr>
          <w:rFonts w:ascii="Times New Roman" w:eastAsia="Calibri" w:hAnsi="Times New Roman" w:cs="Times New Roman"/>
          <w:sz w:val="24"/>
          <w:szCs w:val="24"/>
          <w:lang w:val="en-NZ"/>
        </w:rPr>
      </w:pPr>
      <w:r w:rsidRPr="0089639B">
        <w:rPr>
          <w:rFonts w:ascii="Times New Roman" w:eastAsia="Calibri" w:hAnsi="Times New Roman" w:cs="Times New Roman"/>
          <w:sz w:val="24"/>
          <w:szCs w:val="24"/>
          <w:lang w:val="en-NZ"/>
        </w:rPr>
        <w:t>This paper focuses on the stability of rankings of academics by research producti</w:t>
      </w:r>
      <w:r>
        <w:rPr>
          <w:rFonts w:ascii="Times New Roman" w:eastAsia="Calibri" w:hAnsi="Times New Roman" w:cs="Times New Roman"/>
          <w:sz w:val="24"/>
          <w:szCs w:val="24"/>
          <w:lang w:val="en-NZ"/>
        </w:rPr>
        <w:t xml:space="preserve">vity </w:t>
      </w:r>
      <w:r w:rsidRPr="0089639B">
        <w:rPr>
          <w:rFonts w:ascii="Times New Roman" w:eastAsia="Calibri" w:hAnsi="Times New Roman" w:cs="Times New Roman"/>
          <w:sz w:val="24"/>
          <w:szCs w:val="24"/>
          <w:lang w:val="en-NZ"/>
        </w:rPr>
        <w:t>in the context of short-term decision making</w:t>
      </w:r>
      <w:r>
        <w:rPr>
          <w:rFonts w:ascii="Times New Roman" w:eastAsia="Calibri" w:hAnsi="Times New Roman" w:cs="Times New Roman"/>
          <w:sz w:val="24"/>
          <w:szCs w:val="24"/>
          <w:lang w:val="en-NZ"/>
        </w:rPr>
        <w:t xml:space="preserve">.  In particular, the growing use of national research assessment exercises </w:t>
      </w:r>
      <w:r w:rsidR="001C065C">
        <w:rPr>
          <w:rFonts w:ascii="Times New Roman" w:eastAsia="Calibri" w:hAnsi="Times New Roman" w:cs="Times New Roman"/>
          <w:sz w:val="24"/>
          <w:szCs w:val="24"/>
          <w:lang w:val="en-NZ"/>
        </w:rPr>
        <w:t xml:space="preserve">(NRAE) </w:t>
      </w:r>
      <w:r>
        <w:rPr>
          <w:rFonts w:ascii="Times New Roman" w:eastAsia="Calibri" w:hAnsi="Times New Roman" w:cs="Times New Roman"/>
          <w:sz w:val="24"/>
          <w:szCs w:val="24"/>
          <w:lang w:val="en-NZ"/>
        </w:rPr>
        <w:t>has increased interest in identifying the contributions of individual researchers to an assessment unit’s output and ranking.  Our primary finding is that despite statistical evidence of a high degree of rank stability across a number of plausible journal weighting schemes, the journal selecti</w:t>
      </w:r>
      <w:r w:rsidR="00670341">
        <w:rPr>
          <w:rFonts w:ascii="Times New Roman" w:eastAsia="Calibri" w:hAnsi="Times New Roman" w:cs="Times New Roman"/>
          <w:sz w:val="24"/>
          <w:szCs w:val="24"/>
          <w:lang w:val="en-NZ"/>
        </w:rPr>
        <w:t>on process is of great importance</w:t>
      </w:r>
      <w:r>
        <w:rPr>
          <w:rFonts w:ascii="Times New Roman" w:eastAsia="Calibri" w:hAnsi="Times New Roman" w:cs="Times New Roman"/>
          <w:sz w:val="24"/>
          <w:szCs w:val="24"/>
          <w:lang w:val="en-NZ"/>
        </w:rPr>
        <w:t xml:space="preserve"> to individual researchers. </w:t>
      </w:r>
      <w:r w:rsidR="001C065C">
        <w:rPr>
          <w:rFonts w:ascii="Times New Roman" w:eastAsia="Calibri" w:hAnsi="Times New Roman" w:cs="Times New Roman"/>
          <w:sz w:val="24"/>
          <w:szCs w:val="24"/>
          <w:lang w:val="en-NZ"/>
        </w:rPr>
        <w:t xml:space="preserve">This applies with particular force to academics working within a NRAE environment based on individual assessment such as New Zealand’s PBRF.  </w:t>
      </w:r>
    </w:p>
    <w:p w14:paraId="7E97228B" w14:textId="77777777" w:rsidR="001C065C" w:rsidRDefault="001C065C" w:rsidP="00F60709">
      <w:pPr>
        <w:tabs>
          <w:tab w:val="left" w:pos="426"/>
        </w:tabs>
        <w:spacing w:after="0" w:line="240" w:lineRule="auto"/>
        <w:jc w:val="both"/>
        <w:rPr>
          <w:rFonts w:ascii="Times New Roman" w:eastAsia="Calibri" w:hAnsi="Times New Roman" w:cs="Times New Roman"/>
          <w:sz w:val="24"/>
          <w:szCs w:val="24"/>
          <w:lang w:val="en-NZ"/>
        </w:rPr>
      </w:pPr>
    </w:p>
    <w:p w14:paraId="07151CF2" w14:textId="77777777" w:rsidR="001C065C" w:rsidRDefault="001C065C" w:rsidP="00F60709">
      <w:pPr>
        <w:tabs>
          <w:tab w:val="left" w:pos="426"/>
        </w:tabs>
        <w:spacing w:after="0" w:line="240" w:lineRule="auto"/>
        <w:jc w:val="both"/>
        <w:rPr>
          <w:rFonts w:ascii="Times New Roman" w:eastAsia="Calibri" w:hAnsi="Times New Roman" w:cs="Times New Roman"/>
          <w:sz w:val="24"/>
          <w:szCs w:val="24"/>
          <w:lang w:val="en-NZ"/>
        </w:rPr>
      </w:pPr>
    </w:p>
    <w:p w14:paraId="50041980" w14:textId="77777777" w:rsidR="001C065C" w:rsidRDefault="001C065C" w:rsidP="00F60709">
      <w:pPr>
        <w:tabs>
          <w:tab w:val="left" w:pos="426"/>
        </w:tabs>
        <w:spacing w:after="0" w:line="240" w:lineRule="auto"/>
        <w:jc w:val="both"/>
        <w:rPr>
          <w:rFonts w:ascii="Times New Roman" w:eastAsia="Calibri" w:hAnsi="Times New Roman" w:cs="Times New Roman"/>
          <w:sz w:val="24"/>
          <w:szCs w:val="24"/>
          <w:lang w:val="en-NZ"/>
        </w:rPr>
      </w:pPr>
    </w:p>
    <w:p w14:paraId="5211ABD7" w14:textId="77777777" w:rsidR="00F60709" w:rsidRPr="00F60709" w:rsidRDefault="00F60709" w:rsidP="00F60709">
      <w:pPr>
        <w:tabs>
          <w:tab w:val="left" w:pos="426"/>
        </w:tabs>
        <w:spacing w:after="0" w:line="240" w:lineRule="auto"/>
        <w:jc w:val="both"/>
        <w:rPr>
          <w:rFonts w:ascii="Times New Roman" w:eastAsia="Calibri" w:hAnsi="Times New Roman" w:cs="Times New Roman"/>
          <w:b/>
          <w:sz w:val="24"/>
          <w:szCs w:val="24"/>
          <w:lang w:val="en-NZ"/>
        </w:rPr>
      </w:pPr>
    </w:p>
    <w:p w14:paraId="0AFA3CF0" w14:textId="77777777" w:rsidR="00F60709" w:rsidRPr="00F60709" w:rsidRDefault="00F60709" w:rsidP="00F60709">
      <w:pPr>
        <w:tabs>
          <w:tab w:val="left" w:pos="426"/>
        </w:tabs>
        <w:spacing w:after="0" w:line="240" w:lineRule="auto"/>
        <w:jc w:val="both"/>
        <w:rPr>
          <w:rFonts w:ascii="Times New Roman" w:eastAsia="Calibri" w:hAnsi="Times New Roman" w:cs="Times New Roman"/>
          <w:b/>
          <w:sz w:val="24"/>
          <w:szCs w:val="24"/>
          <w:lang w:val="en-NZ"/>
        </w:rPr>
      </w:pPr>
    </w:p>
    <w:p w14:paraId="3D0070E5" w14:textId="77777777" w:rsidR="00F60709" w:rsidRPr="00F60709" w:rsidRDefault="00F60709" w:rsidP="00F60709">
      <w:pPr>
        <w:tabs>
          <w:tab w:val="left" w:pos="426"/>
        </w:tabs>
        <w:spacing w:after="0" w:line="240" w:lineRule="auto"/>
        <w:jc w:val="both"/>
        <w:rPr>
          <w:rFonts w:ascii="Times New Roman" w:eastAsia="Calibri" w:hAnsi="Times New Roman" w:cs="Times New Roman"/>
          <w:b/>
          <w:sz w:val="24"/>
          <w:szCs w:val="24"/>
          <w:lang w:val="en-NZ"/>
        </w:rPr>
      </w:pPr>
    </w:p>
    <w:p w14:paraId="54F7D363" w14:textId="77777777" w:rsidR="00F60709" w:rsidRPr="00F14B7C" w:rsidRDefault="00F60709" w:rsidP="00F60709">
      <w:pPr>
        <w:tabs>
          <w:tab w:val="left" w:pos="426"/>
        </w:tabs>
        <w:spacing w:after="0" w:line="240" w:lineRule="auto"/>
        <w:jc w:val="center"/>
        <w:rPr>
          <w:rFonts w:ascii="Times New Roman" w:eastAsia="Calibri" w:hAnsi="Times New Roman" w:cs="Times New Roman"/>
          <w:b/>
          <w:sz w:val="24"/>
          <w:szCs w:val="24"/>
          <w:lang w:val="en-NZ"/>
        </w:rPr>
      </w:pPr>
      <w:r w:rsidRPr="00F14B7C">
        <w:rPr>
          <w:rFonts w:ascii="Times New Roman" w:eastAsia="Calibri" w:hAnsi="Times New Roman" w:cs="Times New Roman"/>
          <w:b/>
          <w:sz w:val="24"/>
          <w:szCs w:val="24"/>
          <w:lang w:val="en-NZ"/>
        </w:rPr>
        <w:t>Keywords</w:t>
      </w:r>
    </w:p>
    <w:p w14:paraId="427560C5" w14:textId="77777777" w:rsidR="00F60709" w:rsidRPr="00C871C3" w:rsidRDefault="00F60709" w:rsidP="00F60709">
      <w:pPr>
        <w:tabs>
          <w:tab w:val="left" w:pos="426"/>
        </w:tabs>
        <w:spacing w:after="0" w:line="240" w:lineRule="auto"/>
        <w:jc w:val="center"/>
        <w:rPr>
          <w:rFonts w:ascii="Times New Roman" w:eastAsia="Calibri" w:hAnsi="Times New Roman" w:cs="Times New Roman"/>
          <w:sz w:val="12"/>
          <w:szCs w:val="12"/>
          <w:lang w:val="en-NZ"/>
        </w:rPr>
      </w:pPr>
    </w:p>
    <w:p w14:paraId="2C0E3D4F" w14:textId="77777777" w:rsidR="00F60709" w:rsidRPr="00F60709" w:rsidRDefault="00F60709" w:rsidP="00F60709">
      <w:pPr>
        <w:tabs>
          <w:tab w:val="left" w:pos="426"/>
        </w:tabs>
        <w:spacing w:after="0" w:line="288" w:lineRule="auto"/>
        <w:jc w:val="center"/>
        <w:rPr>
          <w:rFonts w:ascii="Times New Roman" w:hAnsi="Times New Roman" w:cs="Times New Roman"/>
          <w:sz w:val="24"/>
          <w:szCs w:val="24"/>
          <w:lang w:val="en-US"/>
        </w:rPr>
      </w:pPr>
      <w:proofErr w:type="gramStart"/>
      <w:r w:rsidRPr="00F60709">
        <w:rPr>
          <w:rFonts w:ascii="Times New Roman" w:hAnsi="Times New Roman" w:cs="Times New Roman"/>
          <w:sz w:val="24"/>
          <w:szCs w:val="24"/>
          <w:lang w:val="en-US"/>
        </w:rPr>
        <w:t>research</w:t>
      </w:r>
      <w:proofErr w:type="gramEnd"/>
      <w:r w:rsidRPr="00F60709">
        <w:rPr>
          <w:rFonts w:ascii="Times New Roman" w:hAnsi="Times New Roman" w:cs="Times New Roman"/>
          <w:sz w:val="24"/>
          <w:szCs w:val="24"/>
          <w:lang w:val="en-US"/>
        </w:rPr>
        <w:t xml:space="preserve"> measurement</w:t>
      </w:r>
    </w:p>
    <w:p w14:paraId="3952CE13" w14:textId="77777777" w:rsidR="00F60709" w:rsidRPr="00F60709" w:rsidRDefault="00F60709" w:rsidP="00F60709">
      <w:pPr>
        <w:tabs>
          <w:tab w:val="left" w:pos="426"/>
        </w:tabs>
        <w:spacing w:after="0" w:line="288" w:lineRule="auto"/>
        <w:jc w:val="center"/>
        <w:rPr>
          <w:rFonts w:ascii="Times New Roman" w:hAnsi="Times New Roman" w:cs="Times New Roman"/>
          <w:sz w:val="24"/>
          <w:szCs w:val="24"/>
          <w:lang w:val="en-US"/>
        </w:rPr>
      </w:pPr>
      <w:proofErr w:type="gramStart"/>
      <w:r w:rsidRPr="00F60709">
        <w:rPr>
          <w:rFonts w:ascii="Times New Roman" w:hAnsi="Times New Roman" w:cs="Times New Roman"/>
          <w:sz w:val="24"/>
          <w:szCs w:val="24"/>
          <w:lang w:val="en-US"/>
        </w:rPr>
        <w:t>journal</w:t>
      </w:r>
      <w:proofErr w:type="gramEnd"/>
      <w:r w:rsidRPr="00F60709">
        <w:rPr>
          <w:rFonts w:ascii="Times New Roman" w:hAnsi="Times New Roman" w:cs="Times New Roman"/>
          <w:sz w:val="24"/>
          <w:szCs w:val="24"/>
          <w:lang w:val="en-US"/>
        </w:rPr>
        <w:t xml:space="preserve"> ranking schemes </w:t>
      </w:r>
    </w:p>
    <w:p w14:paraId="38B88898" w14:textId="77777777" w:rsidR="00F60709" w:rsidRPr="00F60709" w:rsidRDefault="00F60709" w:rsidP="00F60709">
      <w:pPr>
        <w:tabs>
          <w:tab w:val="left" w:pos="426"/>
        </w:tabs>
        <w:spacing w:after="0" w:line="288" w:lineRule="auto"/>
        <w:jc w:val="center"/>
        <w:rPr>
          <w:rFonts w:ascii="Times New Roman" w:hAnsi="Times New Roman" w:cs="Times New Roman"/>
          <w:sz w:val="24"/>
          <w:szCs w:val="24"/>
          <w:lang w:val="en-US"/>
        </w:rPr>
      </w:pPr>
      <w:proofErr w:type="gramStart"/>
      <w:r w:rsidRPr="00F60709">
        <w:rPr>
          <w:rFonts w:ascii="Times New Roman" w:hAnsi="Times New Roman" w:cs="Times New Roman"/>
          <w:sz w:val="24"/>
          <w:szCs w:val="24"/>
          <w:lang w:val="en-US"/>
        </w:rPr>
        <w:t>time</w:t>
      </w:r>
      <w:proofErr w:type="gramEnd"/>
      <w:r w:rsidRPr="00F60709">
        <w:rPr>
          <w:rFonts w:ascii="Times New Roman" w:hAnsi="Times New Roman" w:cs="Times New Roman"/>
          <w:sz w:val="24"/>
          <w:szCs w:val="24"/>
          <w:lang w:val="en-US"/>
        </w:rPr>
        <w:t xml:space="preserve"> pattern of citations</w:t>
      </w:r>
    </w:p>
    <w:p w14:paraId="1A5CF2F5" w14:textId="77777777" w:rsidR="00F60709" w:rsidRPr="00F60709" w:rsidRDefault="00F60709" w:rsidP="00F60709">
      <w:pPr>
        <w:tabs>
          <w:tab w:val="left" w:pos="426"/>
        </w:tabs>
        <w:spacing w:after="0" w:line="288" w:lineRule="auto"/>
        <w:jc w:val="center"/>
        <w:rPr>
          <w:rFonts w:ascii="Times New Roman" w:hAnsi="Times New Roman" w:cs="Times New Roman"/>
          <w:b/>
          <w:sz w:val="24"/>
          <w:szCs w:val="24"/>
          <w:lang w:val="en-NZ"/>
        </w:rPr>
      </w:pPr>
    </w:p>
    <w:p w14:paraId="7AE15C45" w14:textId="77777777" w:rsidR="00F60709" w:rsidRPr="00F60709" w:rsidRDefault="00F60709" w:rsidP="00F60709">
      <w:pPr>
        <w:tabs>
          <w:tab w:val="left" w:pos="426"/>
        </w:tabs>
        <w:spacing w:after="0" w:line="288" w:lineRule="auto"/>
        <w:jc w:val="center"/>
        <w:rPr>
          <w:rFonts w:ascii="Times New Roman" w:hAnsi="Times New Roman" w:cs="Times New Roman"/>
          <w:b/>
          <w:sz w:val="24"/>
          <w:szCs w:val="24"/>
          <w:lang w:val="en-NZ"/>
        </w:rPr>
      </w:pPr>
    </w:p>
    <w:p w14:paraId="329DB6E8" w14:textId="77777777" w:rsidR="00F60709" w:rsidRPr="00F60709" w:rsidRDefault="00F60709" w:rsidP="00F60709">
      <w:pPr>
        <w:tabs>
          <w:tab w:val="left" w:pos="426"/>
        </w:tabs>
        <w:spacing w:after="0" w:line="288" w:lineRule="auto"/>
        <w:jc w:val="center"/>
        <w:rPr>
          <w:rFonts w:ascii="Times New Roman" w:hAnsi="Times New Roman" w:cs="Times New Roman"/>
          <w:b/>
          <w:sz w:val="24"/>
          <w:szCs w:val="24"/>
          <w:lang w:val="en-NZ"/>
        </w:rPr>
      </w:pPr>
    </w:p>
    <w:p w14:paraId="677EB53A" w14:textId="77777777" w:rsidR="00F60709" w:rsidRPr="00956765" w:rsidRDefault="00F60709" w:rsidP="00F60709">
      <w:pPr>
        <w:tabs>
          <w:tab w:val="left" w:pos="426"/>
        </w:tabs>
        <w:spacing w:after="0" w:line="288" w:lineRule="auto"/>
        <w:jc w:val="center"/>
        <w:rPr>
          <w:rFonts w:ascii="Times New Roman" w:hAnsi="Times New Roman" w:cs="Times New Roman"/>
          <w:b/>
          <w:sz w:val="24"/>
          <w:szCs w:val="24"/>
          <w:lang w:val="en-NZ"/>
        </w:rPr>
      </w:pPr>
      <w:r w:rsidRPr="00956765">
        <w:rPr>
          <w:rFonts w:ascii="Times New Roman" w:hAnsi="Times New Roman" w:cs="Times New Roman"/>
          <w:b/>
          <w:sz w:val="24"/>
          <w:szCs w:val="24"/>
          <w:lang w:val="en-NZ"/>
        </w:rPr>
        <w:t>JEL Codes</w:t>
      </w:r>
    </w:p>
    <w:p w14:paraId="02FB4ED6" w14:textId="77777777" w:rsidR="00F60709" w:rsidRPr="00F96AB3" w:rsidRDefault="00F60709" w:rsidP="00F60709">
      <w:pPr>
        <w:tabs>
          <w:tab w:val="left" w:pos="426"/>
        </w:tabs>
        <w:spacing w:after="0" w:line="288" w:lineRule="auto"/>
        <w:jc w:val="center"/>
        <w:rPr>
          <w:rFonts w:ascii="Times New Roman" w:hAnsi="Times New Roman" w:cs="Times New Roman"/>
          <w:sz w:val="24"/>
          <w:szCs w:val="24"/>
          <w:lang w:val="it-IT"/>
        </w:rPr>
      </w:pPr>
      <w:r w:rsidRPr="00F96AB3">
        <w:rPr>
          <w:rFonts w:ascii="Times New Roman" w:hAnsi="Times New Roman" w:cs="Times New Roman"/>
          <w:sz w:val="24"/>
          <w:szCs w:val="24"/>
          <w:lang w:val="it-IT"/>
        </w:rPr>
        <w:t>A14, C81, I23, J24</w:t>
      </w:r>
    </w:p>
    <w:p w14:paraId="37E525D9" w14:textId="77777777" w:rsidR="00F60709" w:rsidRPr="00F96AB3" w:rsidRDefault="00F60709">
      <w:pPr>
        <w:rPr>
          <w:b/>
          <w:lang w:val="it-IT"/>
        </w:rPr>
      </w:pPr>
    </w:p>
    <w:p w14:paraId="751B0E2C" w14:textId="77777777" w:rsidR="00B83421" w:rsidRPr="00F96AB3" w:rsidRDefault="00B83421">
      <w:pPr>
        <w:rPr>
          <w:b/>
          <w:lang w:val="it-IT"/>
        </w:rPr>
      </w:pPr>
    </w:p>
    <w:p w14:paraId="29FB9251" w14:textId="77777777" w:rsidR="00B83421" w:rsidRPr="00F96AB3" w:rsidRDefault="00B83421">
      <w:pPr>
        <w:rPr>
          <w:b/>
          <w:lang w:val="it-IT"/>
        </w:rPr>
      </w:pPr>
    </w:p>
    <w:p w14:paraId="3328E94B" w14:textId="77777777" w:rsidR="00B83421" w:rsidRPr="00F96AB3" w:rsidRDefault="00B83421">
      <w:pPr>
        <w:rPr>
          <w:b/>
          <w:lang w:val="it-IT"/>
        </w:rPr>
      </w:pPr>
    </w:p>
    <w:p w14:paraId="438AC11B" w14:textId="77777777" w:rsidR="00B83421" w:rsidRDefault="00B83421">
      <w:pPr>
        <w:rPr>
          <w:b/>
          <w:lang w:val="it-IT"/>
        </w:rPr>
      </w:pPr>
    </w:p>
    <w:p w14:paraId="292B6E54" w14:textId="77777777" w:rsidR="00C07234" w:rsidRPr="00404F88" w:rsidRDefault="00C07234" w:rsidP="00404F88">
      <w:pPr>
        <w:pStyle w:val="ListParagraph"/>
        <w:numPr>
          <w:ilvl w:val="0"/>
          <w:numId w:val="3"/>
        </w:numPr>
        <w:ind w:left="426" w:hanging="426"/>
        <w:jc w:val="both"/>
        <w:rPr>
          <w:rFonts w:ascii="Times New Roman" w:hAnsi="Times New Roman" w:cs="Times New Roman"/>
          <w:b/>
          <w:sz w:val="24"/>
          <w:szCs w:val="24"/>
        </w:rPr>
      </w:pPr>
      <w:r w:rsidRPr="00404F88">
        <w:rPr>
          <w:rFonts w:ascii="Times New Roman" w:hAnsi="Times New Roman" w:cs="Times New Roman"/>
          <w:b/>
          <w:sz w:val="24"/>
          <w:szCs w:val="24"/>
        </w:rPr>
        <w:lastRenderedPageBreak/>
        <w:t>Introduction:</w:t>
      </w:r>
    </w:p>
    <w:p w14:paraId="292B6E55" w14:textId="77777777" w:rsidR="000D7680" w:rsidRDefault="00C07234" w:rsidP="00316E1D">
      <w:pPr>
        <w:spacing w:after="0" w:line="288" w:lineRule="auto"/>
        <w:jc w:val="both"/>
        <w:rPr>
          <w:rFonts w:ascii="Times New Roman" w:hAnsi="Times New Roman" w:cs="Times New Roman"/>
          <w:sz w:val="24"/>
          <w:szCs w:val="24"/>
        </w:rPr>
      </w:pPr>
      <w:r w:rsidRPr="00B83421">
        <w:rPr>
          <w:rFonts w:ascii="Times New Roman" w:hAnsi="Times New Roman" w:cs="Times New Roman"/>
          <w:sz w:val="24"/>
          <w:szCs w:val="24"/>
        </w:rPr>
        <w:t>The growing use of national resea</w:t>
      </w:r>
      <w:r w:rsidR="00EB2A32" w:rsidRPr="00B83421">
        <w:rPr>
          <w:rFonts w:ascii="Times New Roman" w:hAnsi="Times New Roman" w:cs="Times New Roman"/>
          <w:sz w:val="24"/>
          <w:szCs w:val="24"/>
        </w:rPr>
        <w:t>rch assessment exercises (OECD, 2010)</w:t>
      </w:r>
      <w:r w:rsidRPr="00B83421">
        <w:rPr>
          <w:rFonts w:ascii="Times New Roman" w:hAnsi="Times New Roman" w:cs="Times New Roman"/>
          <w:sz w:val="24"/>
          <w:szCs w:val="24"/>
        </w:rPr>
        <w:t xml:space="preserve"> </w:t>
      </w:r>
      <w:r w:rsidR="00885AA8" w:rsidRPr="00B83421">
        <w:rPr>
          <w:rFonts w:ascii="Times New Roman" w:hAnsi="Times New Roman" w:cs="Times New Roman"/>
          <w:sz w:val="24"/>
          <w:szCs w:val="24"/>
        </w:rPr>
        <w:t>and other resource allocation</w:t>
      </w:r>
      <w:r w:rsidR="002336FB" w:rsidRPr="00B83421">
        <w:rPr>
          <w:rFonts w:ascii="Times New Roman" w:hAnsi="Times New Roman" w:cs="Times New Roman"/>
          <w:sz w:val="24"/>
          <w:szCs w:val="24"/>
        </w:rPr>
        <w:t xml:space="preserve"> schemes</w:t>
      </w:r>
      <w:r w:rsidR="00885AA8" w:rsidRPr="00B83421">
        <w:rPr>
          <w:rFonts w:ascii="Times New Roman" w:hAnsi="Times New Roman" w:cs="Times New Roman"/>
          <w:sz w:val="24"/>
          <w:szCs w:val="24"/>
        </w:rPr>
        <w:t xml:space="preserve"> based on research performance </w:t>
      </w:r>
      <w:r w:rsidRPr="00B83421">
        <w:rPr>
          <w:rFonts w:ascii="Times New Roman" w:hAnsi="Times New Roman" w:cs="Times New Roman"/>
          <w:sz w:val="24"/>
          <w:szCs w:val="24"/>
        </w:rPr>
        <w:t xml:space="preserve">has increased interest in identifying </w:t>
      </w:r>
      <w:r w:rsidR="00885AA8" w:rsidRPr="00B83421">
        <w:rPr>
          <w:rFonts w:ascii="Times New Roman" w:hAnsi="Times New Roman" w:cs="Times New Roman"/>
          <w:sz w:val="24"/>
          <w:szCs w:val="24"/>
        </w:rPr>
        <w:t>the contributions of individual researchers to an assessment unit’s output and ranking.  From a</w:t>
      </w:r>
      <w:r w:rsidR="002336FB" w:rsidRPr="00B83421">
        <w:rPr>
          <w:rFonts w:ascii="Times New Roman" w:hAnsi="Times New Roman" w:cs="Times New Roman"/>
          <w:sz w:val="24"/>
          <w:szCs w:val="24"/>
        </w:rPr>
        <w:t xml:space="preserve"> management </w:t>
      </w:r>
      <w:r w:rsidR="00885AA8" w:rsidRPr="00B83421">
        <w:rPr>
          <w:rFonts w:ascii="Times New Roman" w:hAnsi="Times New Roman" w:cs="Times New Roman"/>
          <w:sz w:val="24"/>
          <w:szCs w:val="24"/>
        </w:rPr>
        <w:t xml:space="preserve">perspective, the identification of highly </w:t>
      </w:r>
      <w:r w:rsidR="005E202A" w:rsidRPr="00B83421">
        <w:rPr>
          <w:rFonts w:ascii="Times New Roman" w:hAnsi="Times New Roman" w:cs="Times New Roman"/>
          <w:sz w:val="24"/>
          <w:szCs w:val="24"/>
        </w:rPr>
        <w:t xml:space="preserve">and lowly ranked </w:t>
      </w:r>
      <w:r w:rsidRPr="00B83421">
        <w:rPr>
          <w:rFonts w:ascii="Times New Roman" w:hAnsi="Times New Roman" w:cs="Times New Roman"/>
          <w:sz w:val="24"/>
          <w:szCs w:val="24"/>
        </w:rPr>
        <w:t>performers</w:t>
      </w:r>
      <w:r w:rsidR="00885AA8" w:rsidRPr="00B83421">
        <w:rPr>
          <w:rFonts w:ascii="Times New Roman" w:hAnsi="Times New Roman" w:cs="Times New Roman"/>
          <w:sz w:val="24"/>
          <w:szCs w:val="24"/>
        </w:rPr>
        <w:t xml:space="preserve"> is a vital component in hiring and retention strategies that are designed to improve </w:t>
      </w:r>
      <w:r w:rsidR="002336FB" w:rsidRPr="00B83421">
        <w:rPr>
          <w:rFonts w:ascii="Times New Roman" w:hAnsi="Times New Roman" w:cs="Times New Roman"/>
          <w:sz w:val="24"/>
          <w:szCs w:val="24"/>
        </w:rPr>
        <w:t xml:space="preserve">a </w:t>
      </w:r>
      <w:r w:rsidR="00885AA8" w:rsidRPr="00B83421">
        <w:rPr>
          <w:rFonts w:ascii="Times New Roman" w:hAnsi="Times New Roman" w:cs="Times New Roman"/>
          <w:sz w:val="24"/>
          <w:szCs w:val="24"/>
        </w:rPr>
        <w:t>unit</w:t>
      </w:r>
      <w:r w:rsidR="002336FB" w:rsidRPr="00B83421">
        <w:rPr>
          <w:rFonts w:ascii="Times New Roman" w:hAnsi="Times New Roman" w:cs="Times New Roman"/>
          <w:sz w:val="24"/>
          <w:szCs w:val="24"/>
        </w:rPr>
        <w:t>’s</w:t>
      </w:r>
      <w:r w:rsidR="00885AA8" w:rsidRPr="00B83421">
        <w:rPr>
          <w:rFonts w:ascii="Times New Roman" w:hAnsi="Times New Roman" w:cs="Times New Roman"/>
          <w:sz w:val="24"/>
          <w:szCs w:val="24"/>
        </w:rPr>
        <w:t xml:space="preserve"> rankings and frequently </w:t>
      </w:r>
      <w:r w:rsidR="002336FB" w:rsidRPr="00B83421">
        <w:rPr>
          <w:rFonts w:ascii="Times New Roman" w:hAnsi="Times New Roman" w:cs="Times New Roman"/>
          <w:sz w:val="24"/>
          <w:szCs w:val="24"/>
        </w:rPr>
        <w:t>its</w:t>
      </w:r>
      <w:r w:rsidR="00885AA8" w:rsidRPr="00B83421">
        <w:rPr>
          <w:rFonts w:ascii="Times New Roman" w:hAnsi="Times New Roman" w:cs="Times New Roman"/>
          <w:sz w:val="24"/>
          <w:szCs w:val="24"/>
        </w:rPr>
        <w:t xml:space="preserve"> share of available funding.  </w:t>
      </w:r>
      <w:r w:rsidR="000D7680" w:rsidRPr="00B83421">
        <w:rPr>
          <w:rFonts w:ascii="Times New Roman" w:hAnsi="Times New Roman" w:cs="Times New Roman"/>
          <w:sz w:val="24"/>
          <w:szCs w:val="24"/>
        </w:rPr>
        <w:t xml:space="preserve">Unfortunately, </w:t>
      </w:r>
      <w:r w:rsidR="003F1441" w:rsidRPr="00B83421">
        <w:rPr>
          <w:rFonts w:ascii="Times New Roman" w:hAnsi="Times New Roman" w:cs="Times New Roman"/>
          <w:sz w:val="24"/>
          <w:szCs w:val="24"/>
        </w:rPr>
        <w:t xml:space="preserve">the selection of the ‘best’ ranking scheme is not an easy task for at least two reasons: first, the selection process is inherently subjective as typified by the numerous research assessment measures (RAMs) in widespread use; and second, virtually all current </w:t>
      </w:r>
      <w:r w:rsidR="00EB2A32" w:rsidRPr="00B83421">
        <w:rPr>
          <w:rFonts w:ascii="Times New Roman" w:hAnsi="Times New Roman" w:cs="Times New Roman"/>
          <w:sz w:val="24"/>
          <w:szCs w:val="24"/>
        </w:rPr>
        <w:t>national research assessment exercises (</w:t>
      </w:r>
      <w:r w:rsidR="003F1441" w:rsidRPr="00B83421">
        <w:rPr>
          <w:rFonts w:ascii="Times New Roman" w:hAnsi="Times New Roman" w:cs="Times New Roman"/>
          <w:sz w:val="24"/>
          <w:szCs w:val="24"/>
        </w:rPr>
        <w:t>NRA</w:t>
      </w:r>
      <w:r w:rsidR="00EB2A32" w:rsidRPr="00B83421">
        <w:rPr>
          <w:rFonts w:ascii="Times New Roman" w:hAnsi="Times New Roman" w:cs="Times New Roman"/>
          <w:sz w:val="24"/>
          <w:szCs w:val="24"/>
        </w:rPr>
        <w:t>E)</w:t>
      </w:r>
      <w:r w:rsidR="003F1441" w:rsidRPr="00B83421">
        <w:rPr>
          <w:rFonts w:ascii="Times New Roman" w:hAnsi="Times New Roman" w:cs="Times New Roman"/>
          <w:sz w:val="24"/>
          <w:szCs w:val="24"/>
        </w:rPr>
        <w:t xml:space="preserve"> are </w:t>
      </w:r>
      <w:r w:rsidR="00451EA1" w:rsidRPr="00B83421">
        <w:rPr>
          <w:rFonts w:ascii="Times New Roman" w:hAnsi="Times New Roman" w:cs="Times New Roman"/>
          <w:sz w:val="24"/>
          <w:szCs w:val="24"/>
        </w:rPr>
        <w:t xml:space="preserve">primarily </w:t>
      </w:r>
      <w:r w:rsidR="003F1441" w:rsidRPr="00B83421">
        <w:rPr>
          <w:rFonts w:ascii="Times New Roman" w:hAnsi="Times New Roman" w:cs="Times New Roman"/>
          <w:sz w:val="24"/>
          <w:szCs w:val="24"/>
        </w:rPr>
        <w:t xml:space="preserve">based on peer review, thus requiring research managers to speculate on the </w:t>
      </w:r>
      <w:r w:rsidR="00451EA1" w:rsidRPr="00B83421">
        <w:rPr>
          <w:rFonts w:ascii="Times New Roman" w:hAnsi="Times New Roman" w:cs="Times New Roman"/>
          <w:sz w:val="24"/>
          <w:szCs w:val="24"/>
        </w:rPr>
        <w:t xml:space="preserve">‘true’ underlying evaluation </w:t>
      </w:r>
      <w:r w:rsidR="003F1441" w:rsidRPr="00B83421">
        <w:rPr>
          <w:rFonts w:ascii="Times New Roman" w:hAnsi="Times New Roman" w:cs="Times New Roman"/>
          <w:sz w:val="24"/>
          <w:szCs w:val="24"/>
        </w:rPr>
        <w:t xml:space="preserve">scheme.  </w:t>
      </w:r>
      <w:r w:rsidR="00EA1439" w:rsidRPr="00B83421">
        <w:rPr>
          <w:rFonts w:ascii="Times New Roman" w:hAnsi="Times New Roman" w:cs="Times New Roman"/>
          <w:sz w:val="24"/>
          <w:szCs w:val="24"/>
        </w:rPr>
        <w:t xml:space="preserve">The uncertainty associated with this selection process leads to the obvious question: does it really matter which RAM is selected for the identification of leading researchers?  </w:t>
      </w:r>
      <w:r w:rsidR="00451EA1" w:rsidRPr="00B83421">
        <w:rPr>
          <w:rFonts w:ascii="Times New Roman" w:hAnsi="Times New Roman" w:cs="Times New Roman"/>
          <w:sz w:val="24"/>
          <w:szCs w:val="24"/>
        </w:rPr>
        <w:t xml:space="preserve">Rephrased, </w:t>
      </w:r>
      <w:r w:rsidR="00A139BE" w:rsidRPr="00B83421">
        <w:rPr>
          <w:rFonts w:ascii="Times New Roman" w:hAnsi="Times New Roman" w:cs="Times New Roman"/>
          <w:sz w:val="24"/>
          <w:szCs w:val="24"/>
        </w:rPr>
        <w:t>how stabile a</w:t>
      </w:r>
      <w:r w:rsidR="00EA1439" w:rsidRPr="00B83421">
        <w:rPr>
          <w:rFonts w:ascii="Times New Roman" w:hAnsi="Times New Roman" w:cs="Times New Roman"/>
          <w:sz w:val="24"/>
          <w:szCs w:val="24"/>
        </w:rPr>
        <w:t xml:space="preserve">re researcher rankings across </w:t>
      </w:r>
      <w:r w:rsidR="00451EA1" w:rsidRPr="00B83421">
        <w:rPr>
          <w:rFonts w:ascii="Times New Roman" w:hAnsi="Times New Roman" w:cs="Times New Roman"/>
          <w:sz w:val="24"/>
          <w:szCs w:val="24"/>
        </w:rPr>
        <w:t xml:space="preserve">a </w:t>
      </w:r>
      <w:r w:rsidR="00EA1439" w:rsidRPr="00B83421">
        <w:rPr>
          <w:rFonts w:ascii="Times New Roman" w:hAnsi="Times New Roman" w:cs="Times New Roman"/>
          <w:sz w:val="24"/>
          <w:szCs w:val="24"/>
        </w:rPr>
        <w:t xml:space="preserve">range of </w:t>
      </w:r>
      <w:r w:rsidR="00451EA1" w:rsidRPr="00B83421">
        <w:rPr>
          <w:rFonts w:ascii="Times New Roman" w:hAnsi="Times New Roman" w:cs="Times New Roman"/>
          <w:sz w:val="24"/>
          <w:szCs w:val="24"/>
        </w:rPr>
        <w:t xml:space="preserve">plausible </w:t>
      </w:r>
      <w:r w:rsidR="00EA1439" w:rsidRPr="00B83421">
        <w:rPr>
          <w:rFonts w:ascii="Times New Roman" w:hAnsi="Times New Roman" w:cs="Times New Roman"/>
          <w:sz w:val="24"/>
          <w:szCs w:val="24"/>
        </w:rPr>
        <w:t xml:space="preserve">measurement schemes? </w:t>
      </w:r>
      <w:r w:rsidR="000D7680" w:rsidRPr="00B83421">
        <w:rPr>
          <w:rFonts w:ascii="Times New Roman" w:hAnsi="Times New Roman" w:cs="Times New Roman"/>
          <w:sz w:val="24"/>
          <w:szCs w:val="24"/>
        </w:rPr>
        <w:t xml:space="preserve"> </w:t>
      </w:r>
    </w:p>
    <w:p w14:paraId="72230098" w14:textId="77777777" w:rsidR="008B39E9" w:rsidRPr="00B83421" w:rsidRDefault="008B39E9" w:rsidP="00316E1D">
      <w:pPr>
        <w:spacing w:after="0" w:line="288" w:lineRule="auto"/>
        <w:jc w:val="both"/>
        <w:rPr>
          <w:rFonts w:ascii="Times New Roman" w:hAnsi="Times New Roman" w:cs="Times New Roman"/>
          <w:sz w:val="24"/>
          <w:szCs w:val="24"/>
        </w:rPr>
      </w:pPr>
    </w:p>
    <w:p w14:paraId="292B6E56" w14:textId="2EC036F1" w:rsidR="00C07234" w:rsidRDefault="000D7680" w:rsidP="00316E1D">
      <w:pPr>
        <w:spacing w:after="0" w:line="288" w:lineRule="auto"/>
        <w:ind w:firstLine="720"/>
        <w:jc w:val="both"/>
        <w:rPr>
          <w:rFonts w:ascii="Times New Roman" w:hAnsi="Times New Roman" w:cs="Times New Roman"/>
          <w:sz w:val="24"/>
          <w:szCs w:val="24"/>
        </w:rPr>
      </w:pPr>
      <w:r w:rsidRPr="00B83421">
        <w:rPr>
          <w:rFonts w:ascii="Times New Roman" w:hAnsi="Times New Roman" w:cs="Times New Roman"/>
          <w:sz w:val="24"/>
          <w:szCs w:val="24"/>
        </w:rPr>
        <w:t xml:space="preserve"> </w:t>
      </w:r>
      <w:r w:rsidR="00A139BE" w:rsidRPr="00B83421">
        <w:rPr>
          <w:rFonts w:ascii="Times New Roman" w:hAnsi="Times New Roman" w:cs="Times New Roman"/>
          <w:sz w:val="24"/>
          <w:szCs w:val="24"/>
        </w:rPr>
        <w:t xml:space="preserve">Let us now identify and characterize the range of ranking schemes referenced above.  </w:t>
      </w:r>
      <w:r w:rsidRPr="00B83421">
        <w:rPr>
          <w:rFonts w:ascii="Times New Roman" w:hAnsi="Times New Roman" w:cs="Times New Roman"/>
          <w:sz w:val="24"/>
          <w:szCs w:val="24"/>
        </w:rPr>
        <w:t>At a macro-level the debate is between citation and journal</w:t>
      </w:r>
      <w:r w:rsidR="00A139BE" w:rsidRPr="00B83421">
        <w:rPr>
          <w:rFonts w:ascii="Times New Roman" w:hAnsi="Times New Roman" w:cs="Times New Roman"/>
          <w:sz w:val="24"/>
          <w:szCs w:val="24"/>
        </w:rPr>
        <w:t>-</w:t>
      </w:r>
      <w:r w:rsidR="000A1004">
        <w:rPr>
          <w:rFonts w:ascii="Times New Roman" w:hAnsi="Times New Roman" w:cs="Times New Roman"/>
          <w:sz w:val="24"/>
          <w:szCs w:val="24"/>
        </w:rPr>
        <w:t xml:space="preserve"> </w:t>
      </w:r>
      <w:r w:rsidRPr="00B83421">
        <w:rPr>
          <w:rFonts w:ascii="Times New Roman" w:hAnsi="Times New Roman" w:cs="Times New Roman"/>
          <w:sz w:val="24"/>
          <w:szCs w:val="24"/>
        </w:rPr>
        <w:t>based schemes.  If citations are deemed to</w:t>
      </w:r>
      <w:r w:rsidR="003002C3" w:rsidRPr="00B83421">
        <w:rPr>
          <w:rFonts w:ascii="Times New Roman" w:hAnsi="Times New Roman" w:cs="Times New Roman"/>
          <w:sz w:val="24"/>
          <w:szCs w:val="24"/>
        </w:rPr>
        <w:t xml:space="preserve"> be the</w:t>
      </w:r>
      <w:r w:rsidRPr="00B83421">
        <w:rPr>
          <w:rFonts w:ascii="Times New Roman" w:hAnsi="Times New Roman" w:cs="Times New Roman"/>
          <w:sz w:val="24"/>
          <w:szCs w:val="24"/>
        </w:rPr>
        <w:t xml:space="preserve"> basic building block of the assessment scheme, one has to choose between </w:t>
      </w:r>
      <w:r w:rsidR="003002C3" w:rsidRPr="00B83421">
        <w:rPr>
          <w:rFonts w:ascii="Times New Roman" w:hAnsi="Times New Roman" w:cs="Times New Roman"/>
          <w:sz w:val="24"/>
          <w:szCs w:val="24"/>
        </w:rPr>
        <w:t xml:space="preserve">well-known, multi-disciplinary citation collectors </w:t>
      </w:r>
      <w:r w:rsidRPr="00B83421">
        <w:rPr>
          <w:rFonts w:ascii="Times New Roman" w:hAnsi="Times New Roman" w:cs="Times New Roman"/>
          <w:sz w:val="24"/>
          <w:szCs w:val="24"/>
        </w:rPr>
        <w:t>such as Google Scholar (GS), Web of Science (</w:t>
      </w:r>
      <w:proofErr w:type="spellStart"/>
      <w:r w:rsidRPr="00B83421">
        <w:rPr>
          <w:rFonts w:ascii="Times New Roman" w:hAnsi="Times New Roman" w:cs="Times New Roman"/>
          <w:sz w:val="24"/>
          <w:szCs w:val="24"/>
        </w:rPr>
        <w:t>W</w:t>
      </w:r>
      <w:r w:rsidR="007D445A" w:rsidRPr="00B83421">
        <w:rPr>
          <w:rFonts w:ascii="Times New Roman" w:hAnsi="Times New Roman" w:cs="Times New Roman"/>
          <w:sz w:val="24"/>
          <w:szCs w:val="24"/>
        </w:rPr>
        <w:t>o</w:t>
      </w:r>
      <w:r w:rsidRPr="00B83421">
        <w:rPr>
          <w:rFonts w:ascii="Times New Roman" w:hAnsi="Times New Roman" w:cs="Times New Roman"/>
          <w:sz w:val="24"/>
          <w:szCs w:val="24"/>
        </w:rPr>
        <w:t>S</w:t>
      </w:r>
      <w:proofErr w:type="spellEnd"/>
      <w:r w:rsidRPr="00B83421">
        <w:rPr>
          <w:rFonts w:ascii="Times New Roman" w:hAnsi="Times New Roman" w:cs="Times New Roman"/>
          <w:sz w:val="24"/>
          <w:szCs w:val="24"/>
        </w:rPr>
        <w:t>)</w:t>
      </w:r>
      <w:r w:rsidR="003002C3" w:rsidRPr="00B83421">
        <w:rPr>
          <w:rFonts w:ascii="Times New Roman" w:hAnsi="Times New Roman" w:cs="Times New Roman"/>
          <w:sz w:val="24"/>
          <w:szCs w:val="24"/>
        </w:rPr>
        <w:t>,</w:t>
      </w:r>
      <w:r w:rsidR="009A53B5" w:rsidRPr="00B83421">
        <w:rPr>
          <w:rFonts w:ascii="Times New Roman" w:hAnsi="Times New Roman" w:cs="Times New Roman"/>
          <w:sz w:val="24"/>
          <w:szCs w:val="24"/>
        </w:rPr>
        <w:t xml:space="preserve"> and</w:t>
      </w:r>
      <w:r w:rsidR="003002C3" w:rsidRPr="00B83421">
        <w:rPr>
          <w:rFonts w:ascii="Times New Roman" w:hAnsi="Times New Roman" w:cs="Times New Roman"/>
          <w:sz w:val="24"/>
          <w:szCs w:val="24"/>
        </w:rPr>
        <w:t xml:space="preserve"> Scopus</w:t>
      </w:r>
      <w:r w:rsidR="009A53B5" w:rsidRPr="00B83421">
        <w:rPr>
          <w:rFonts w:ascii="Times New Roman" w:hAnsi="Times New Roman" w:cs="Times New Roman"/>
          <w:sz w:val="24"/>
          <w:szCs w:val="24"/>
        </w:rPr>
        <w:t xml:space="preserve">.  Thereafter, one has to choose among a large number of metrics or devise an arbitrary weighting scheme to combine various measures for the generation of </w:t>
      </w:r>
      <w:proofErr w:type="gramStart"/>
      <w:r w:rsidR="009A53B5" w:rsidRPr="00B83421">
        <w:rPr>
          <w:rFonts w:ascii="Times New Roman" w:hAnsi="Times New Roman" w:cs="Times New Roman"/>
          <w:sz w:val="24"/>
          <w:szCs w:val="24"/>
        </w:rPr>
        <w:t>a</w:t>
      </w:r>
      <w:r w:rsidR="00900366" w:rsidRPr="00B83421">
        <w:rPr>
          <w:rFonts w:ascii="Times New Roman" w:hAnsi="Times New Roman" w:cs="Times New Roman"/>
          <w:sz w:val="24"/>
          <w:szCs w:val="24"/>
        </w:rPr>
        <w:t>n</w:t>
      </w:r>
      <w:proofErr w:type="gramEnd"/>
      <w:r w:rsidR="009A53B5" w:rsidRPr="00B83421">
        <w:rPr>
          <w:rFonts w:ascii="Times New Roman" w:hAnsi="Times New Roman" w:cs="Times New Roman"/>
          <w:sz w:val="24"/>
          <w:szCs w:val="24"/>
        </w:rPr>
        <w:t xml:space="preserve"> unique ranking of researchers</w:t>
      </w:r>
      <w:r w:rsidR="006A38D2" w:rsidRPr="00B83421">
        <w:rPr>
          <w:rFonts w:ascii="Times New Roman" w:hAnsi="Times New Roman" w:cs="Times New Roman"/>
          <w:sz w:val="24"/>
          <w:szCs w:val="24"/>
        </w:rPr>
        <w:t xml:space="preserve"> (for example, see Chang and </w:t>
      </w:r>
      <w:proofErr w:type="spellStart"/>
      <w:r w:rsidR="006A38D2" w:rsidRPr="00B83421">
        <w:rPr>
          <w:rFonts w:ascii="Times New Roman" w:hAnsi="Times New Roman" w:cs="Times New Roman"/>
          <w:sz w:val="24"/>
          <w:szCs w:val="24"/>
        </w:rPr>
        <w:t>McAle</w:t>
      </w:r>
      <w:r w:rsidR="00242660">
        <w:rPr>
          <w:rFonts w:ascii="Times New Roman" w:hAnsi="Times New Roman" w:cs="Times New Roman"/>
          <w:sz w:val="24"/>
          <w:szCs w:val="24"/>
        </w:rPr>
        <w:t>er</w:t>
      </w:r>
      <w:proofErr w:type="spellEnd"/>
      <w:r w:rsidR="00242660">
        <w:rPr>
          <w:rFonts w:ascii="Times New Roman" w:hAnsi="Times New Roman" w:cs="Times New Roman"/>
          <w:sz w:val="24"/>
          <w:szCs w:val="24"/>
        </w:rPr>
        <w:t xml:space="preserve"> </w:t>
      </w:r>
      <w:r w:rsidR="006A38D2" w:rsidRPr="00B83421">
        <w:rPr>
          <w:rFonts w:ascii="Times New Roman" w:hAnsi="Times New Roman" w:cs="Times New Roman"/>
          <w:sz w:val="24"/>
          <w:szCs w:val="24"/>
        </w:rPr>
        <w:t>2013).</w:t>
      </w:r>
      <w:r w:rsidR="009A53B5" w:rsidRPr="00B83421">
        <w:rPr>
          <w:rFonts w:ascii="Times New Roman" w:hAnsi="Times New Roman" w:cs="Times New Roman"/>
          <w:sz w:val="24"/>
          <w:szCs w:val="24"/>
        </w:rPr>
        <w:t xml:space="preserve">  </w:t>
      </w:r>
      <w:r w:rsidR="00FE2D9E" w:rsidRPr="00B83421">
        <w:rPr>
          <w:rFonts w:ascii="Times New Roman" w:hAnsi="Times New Roman" w:cs="Times New Roman"/>
          <w:sz w:val="24"/>
          <w:szCs w:val="24"/>
        </w:rPr>
        <w:t xml:space="preserve">Furthermore, </w:t>
      </w:r>
      <w:r w:rsidR="00B36D61" w:rsidRPr="00B83421">
        <w:rPr>
          <w:rFonts w:ascii="Times New Roman" w:hAnsi="Times New Roman" w:cs="Times New Roman"/>
          <w:sz w:val="24"/>
          <w:szCs w:val="24"/>
        </w:rPr>
        <w:t xml:space="preserve">should one count </w:t>
      </w:r>
      <w:r w:rsidR="00A139BE" w:rsidRPr="00B83421">
        <w:rPr>
          <w:rFonts w:ascii="Times New Roman" w:hAnsi="Times New Roman" w:cs="Times New Roman"/>
          <w:sz w:val="24"/>
          <w:szCs w:val="24"/>
        </w:rPr>
        <w:t xml:space="preserve">raw </w:t>
      </w:r>
      <w:r w:rsidR="00B36D61" w:rsidRPr="00B83421">
        <w:rPr>
          <w:rFonts w:ascii="Times New Roman" w:hAnsi="Times New Roman" w:cs="Times New Roman"/>
          <w:sz w:val="24"/>
          <w:szCs w:val="24"/>
        </w:rPr>
        <w:t xml:space="preserve">citations, adjust citations to reflect the importance of the citing journal, or </w:t>
      </w:r>
      <w:r w:rsidR="00E12916" w:rsidRPr="00B83421">
        <w:rPr>
          <w:rFonts w:ascii="Times New Roman" w:hAnsi="Times New Roman" w:cs="Times New Roman"/>
          <w:sz w:val="24"/>
          <w:szCs w:val="24"/>
        </w:rPr>
        <w:t xml:space="preserve">employ a </w:t>
      </w:r>
      <w:r w:rsidR="007D445A" w:rsidRPr="00B83421">
        <w:rPr>
          <w:rFonts w:ascii="Times New Roman" w:hAnsi="Times New Roman" w:cs="Times New Roman"/>
          <w:sz w:val="24"/>
          <w:szCs w:val="24"/>
        </w:rPr>
        <w:t>citation-based scheme</w:t>
      </w:r>
      <w:r w:rsidR="00242660">
        <w:rPr>
          <w:rFonts w:ascii="Times New Roman" w:hAnsi="Times New Roman" w:cs="Times New Roman"/>
          <w:sz w:val="24"/>
          <w:szCs w:val="24"/>
        </w:rPr>
        <w:t xml:space="preserve">, such as the h-index (Hirsch </w:t>
      </w:r>
      <w:r w:rsidR="00A05E37" w:rsidRPr="00B83421">
        <w:rPr>
          <w:rFonts w:ascii="Times New Roman" w:hAnsi="Times New Roman" w:cs="Times New Roman"/>
          <w:sz w:val="24"/>
          <w:szCs w:val="24"/>
        </w:rPr>
        <w:t xml:space="preserve">2005), designed to reflect differences in citation patterns across a given body of work.  </w:t>
      </w:r>
      <w:r w:rsidR="00E12916" w:rsidRPr="00B83421">
        <w:rPr>
          <w:rFonts w:ascii="Times New Roman" w:hAnsi="Times New Roman" w:cs="Times New Roman"/>
          <w:sz w:val="24"/>
          <w:szCs w:val="24"/>
        </w:rPr>
        <w:t xml:space="preserve"> The options are numerous.</w:t>
      </w:r>
    </w:p>
    <w:p w14:paraId="43DACEB0" w14:textId="77777777" w:rsidR="008B39E9" w:rsidRPr="00B83421" w:rsidRDefault="008B39E9" w:rsidP="00316E1D">
      <w:pPr>
        <w:spacing w:after="0" w:line="288" w:lineRule="auto"/>
        <w:ind w:firstLine="720"/>
        <w:jc w:val="both"/>
        <w:rPr>
          <w:rFonts w:ascii="Times New Roman" w:hAnsi="Times New Roman" w:cs="Times New Roman"/>
          <w:sz w:val="24"/>
          <w:szCs w:val="24"/>
        </w:rPr>
      </w:pPr>
    </w:p>
    <w:p w14:paraId="292B6E57" w14:textId="77D44ACF" w:rsidR="00E12916" w:rsidRDefault="00E12916" w:rsidP="00316E1D">
      <w:pPr>
        <w:spacing w:after="0" w:line="288" w:lineRule="auto"/>
        <w:ind w:firstLine="720"/>
        <w:jc w:val="both"/>
        <w:rPr>
          <w:rFonts w:ascii="Times New Roman" w:hAnsi="Times New Roman" w:cs="Times New Roman"/>
          <w:sz w:val="24"/>
          <w:szCs w:val="24"/>
        </w:rPr>
      </w:pPr>
      <w:r w:rsidRPr="00B83421">
        <w:rPr>
          <w:rFonts w:ascii="Times New Roman" w:hAnsi="Times New Roman" w:cs="Times New Roman"/>
          <w:sz w:val="24"/>
          <w:szCs w:val="24"/>
        </w:rPr>
        <w:t>Advocates of journal</w:t>
      </w:r>
      <w:r w:rsidR="00236AC1" w:rsidRPr="00B83421">
        <w:rPr>
          <w:rFonts w:ascii="Times New Roman" w:hAnsi="Times New Roman" w:cs="Times New Roman"/>
          <w:sz w:val="24"/>
          <w:szCs w:val="24"/>
        </w:rPr>
        <w:t xml:space="preserve"> </w:t>
      </w:r>
      <w:r w:rsidRPr="00B83421">
        <w:rPr>
          <w:rFonts w:ascii="Times New Roman" w:hAnsi="Times New Roman" w:cs="Times New Roman"/>
          <w:sz w:val="24"/>
          <w:szCs w:val="24"/>
        </w:rPr>
        <w:t>weighting schemes</w:t>
      </w:r>
      <w:r w:rsidR="00BA5E6B" w:rsidRPr="00B83421">
        <w:rPr>
          <w:rFonts w:ascii="Times New Roman" w:hAnsi="Times New Roman" w:cs="Times New Roman"/>
          <w:sz w:val="24"/>
          <w:szCs w:val="24"/>
        </w:rPr>
        <w:t xml:space="preserve"> (henceforth denoted as JWS)</w:t>
      </w:r>
      <w:r w:rsidR="00236AC1" w:rsidRPr="00B83421">
        <w:rPr>
          <w:rFonts w:ascii="Times New Roman" w:hAnsi="Times New Roman" w:cs="Times New Roman"/>
          <w:sz w:val="24"/>
          <w:szCs w:val="24"/>
        </w:rPr>
        <w:t xml:space="preserve"> </w:t>
      </w:r>
      <w:r w:rsidR="00FE2D9E" w:rsidRPr="00B83421">
        <w:rPr>
          <w:rFonts w:ascii="Times New Roman" w:hAnsi="Times New Roman" w:cs="Times New Roman"/>
          <w:sz w:val="24"/>
          <w:szCs w:val="24"/>
        </w:rPr>
        <w:t xml:space="preserve">also </w:t>
      </w:r>
      <w:r w:rsidRPr="00B83421">
        <w:rPr>
          <w:rFonts w:ascii="Times New Roman" w:hAnsi="Times New Roman" w:cs="Times New Roman"/>
          <w:sz w:val="24"/>
          <w:szCs w:val="24"/>
        </w:rPr>
        <w:t xml:space="preserve">face </w:t>
      </w:r>
      <w:r w:rsidR="00FE2D9E" w:rsidRPr="00B83421">
        <w:rPr>
          <w:rFonts w:ascii="Times New Roman" w:hAnsi="Times New Roman" w:cs="Times New Roman"/>
          <w:sz w:val="24"/>
          <w:szCs w:val="24"/>
        </w:rPr>
        <w:t>a number of</w:t>
      </w:r>
      <w:r w:rsidRPr="00B83421">
        <w:rPr>
          <w:rFonts w:ascii="Times New Roman" w:hAnsi="Times New Roman" w:cs="Times New Roman"/>
          <w:sz w:val="24"/>
          <w:szCs w:val="24"/>
        </w:rPr>
        <w:t xml:space="preserve"> operational issues</w:t>
      </w:r>
      <w:r w:rsidR="00242660">
        <w:rPr>
          <w:rFonts w:ascii="Times New Roman" w:hAnsi="Times New Roman" w:cs="Times New Roman"/>
          <w:sz w:val="24"/>
          <w:szCs w:val="24"/>
        </w:rPr>
        <w:t xml:space="preserve"> (</w:t>
      </w:r>
      <w:proofErr w:type="spellStart"/>
      <w:r w:rsidR="00242660">
        <w:rPr>
          <w:rFonts w:ascii="Times New Roman" w:hAnsi="Times New Roman" w:cs="Times New Roman"/>
          <w:sz w:val="24"/>
          <w:szCs w:val="24"/>
        </w:rPr>
        <w:t>Macri</w:t>
      </w:r>
      <w:proofErr w:type="spellEnd"/>
      <w:r w:rsidR="00242660">
        <w:rPr>
          <w:rFonts w:ascii="Times New Roman" w:hAnsi="Times New Roman" w:cs="Times New Roman"/>
          <w:sz w:val="24"/>
          <w:szCs w:val="24"/>
        </w:rPr>
        <w:t xml:space="preserve"> and Sinha</w:t>
      </w:r>
      <w:r w:rsidR="00811460" w:rsidRPr="00B83421">
        <w:rPr>
          <w:rFonts w:ascii="Times New Roman" w:hAnsi="Times New Roman" w:cs="Times New Roman"/>
          <w:sz w:val="24"/>
          <w:szCs w:val="24"/>
        </w:rPr>
        <w:t xml:space="preserve"> 2006)</w:t>
      </w:r>
      <w:r w:rsidRPr="00B83421">
        <w:rPr>
          <w:rFonts w:ascii="Times New Roman" w:hAnsi="Times New Roman" w:cs="Times New Roman"/>
          <w:sz w:val="24"/>
          <w:szCs w:val="24"/>
        </w:rPr>
        <w:t xml:space="preserve">.  A choice must be made between </w:t>
      </w:r>
      <w:r w:rsidR="00A139BE" w:rsidRPr="00B83421">
        <w:rPr>
          <w:rFonts w:ascii="Times New Roman" w:hAnsi="Times New Roman" w:cs="Times New Roman"/>
          <w:sz w:val="24"/>
          <w:szCs w:val="24"/>
        </w:rPr>
        <w:t xml:space="preserve">measures </w:t>
      </w:r>
      <w:r w:rsidRPr="00B83421">
        <w:rPr>
          <w:rFonts w:ascii="Times New Roman" w:hAnsi="Times New Roman" w:cs="Times New Roman"/>
          <w:sz w:val="24"/>
          <w:szCs w:val="24"/>
        </w:rPr>
        <w:t>based on reputational surveys, citation-based impact factors, and schemes that differentiate between citations from low and highly ranked journals</w:t>
      </w:r>
      <w:r w:rsidR="00A139BE" w:rsidRPr="00B83421">
        <w:rPr>
          <w:rFonts w:ascii="Times New Roman" w:hAnsi="Times New Roman" w:cs="Times New Roman"/>
          <w:sz w:val="24"/>
          <w:szCs w:val="24"/>
        </w:rPr>
        <w:t xml:space="preserve">.  In addition, </w:t>
      </w:r>
      <w:r w:rsidR="00D41E17" w:rsidRPr="00B83421">
        <w:rPr>
          <w:rFonts w:ascii="Times New Roman" w:hAnsi="Times New Roman" w:cs="Times New Roman"/>
          <w:sz w:val="24"/>
          <w:szCs w:val="24"/>
        </w:rPr>
        <w:t xml:space="preserve">the basic unit of output must be selected: is it the number of pages produced by the researcher or the number of articles?  If pages, should one account for differences in average word count per page </w:t>
      </w:r>
      <w:r w:rsidR="00A139BE" w:rsidRPr="00B83421">
        <w:rPr>
          <w:rFonts w:ascii="Times New Roman" w:hAnsi="Times New Roman" w:cs="Times New Roman"/>
          <w:sz w:val="24"/>
          <w:szCs w:val="24"/>
        </w:rPr>
        <w:t xml:space="preserve">across </w:t>
      </w:r>
      <w:r w:rsidR="00D41E17" w:rsidRPr="00B83421">
        <w:rPr>
          <w:rFonts w:ascii="Times New Roman" w:hAnsi="Times New Roman" w:cs="Times New Roman"/>
          <w:sz w:val="24"/>
          <w:szCs w:val="24"/>
        </w:rPr>
        <w:t xml:space="preserve">journals?  </w:t>
      </w:r>
      <w:proofErr w:type="gramStart"/>
      <w:r w:rsidR="00D41E17" w:rsidRPr="00B83421">
        <w:rPr>
          <w:rFonts w:ascii="Times New Roman" w:hAnsi="Times New Roman" w:cs="Times New Roman"/>
          <w:sz w:val="24"/>
          <w:szCs w:val="24"/>
        </w:rPr>
        <w:t>Finally, and an issue that applies to both citation and journal</w:t>
      </w:r>
      <w:r w:rsidR="00A139BE" w:rsidRPr="00B83421">
        <w:rPr>
          <w:rFonts w:ascii="Times New Roman" w:hAnsi="Times New Roman" w:cs="Times New Roman"/>
          <w:sz w:val="24"/>
          <w:szCs w:val="24"/>
        </w:rPr>
        <w:t>-</w:t>
      </w:r>
      <w:r w:rsidR="00D41E17" w:rsidRPr="00B83421">
        <w:rPr>
          <w:rFonts w:ascii="Times New Roman" w:hAnsi="Times New Roman" w:cs="Times New Roman"/>
          <w:sz w:val="24"/>
          <w:szCs w:val="24"/>
        </w:rPr>
        <w:t xml:space="preserve">based schemes, </w:t>
      </w:r>
      <w:r w:rsidR="00A139BE" w:rsidRPr="00B83421">
        <w:rPr>
          <w:rFonts w:ascii="Times New Roman" w:hAnsi="Times New Roman" w:cs="Times New Roman"/>
          <w:sz w:val="24"/>
          <w:szCs w:val="24"/>
        </w:rPr>
        <w:t>for</w:t>
      </w:r>
      <w:r w:rsidR="008B01C5" w:rsidRPr="00B83421">
        <w:rPr>
          <w:rFonts w:ascii="Times New Roman" w:hAnsi="Times New Roman" w:cs="Times New Roman"/>
          <w:sz w:val="24"/>
          <w:szCs w:val="24"/>
        </w:rPr>
        <w:t xml:space="preserve"> multi-authored papers, </w:t>
      </w:r>
      <w:r w:rsidR="00D41E17" w:rsidRPr="00B83421">
        <w:rPr>
          <w:rFonts w:ascii="Times New Roman" w:hAnsi="Times New Roman" w:cs="Times New Roman"/>
          <w:sz w:val="24"/>
          <w:szCs w:val="24"/>
        </w:rPr>
        <w:t xml:space="preserve">should </w:t>
      </w:r>
      <w:r w:rsidR="008B01C5" w:rsidRPr="00B83421">
        <w:rPr>
          <w:rFonts w:ascii="Times New Roman" w:hAnsi="Times New Roman" w:cs="Times New Roman"/>
          <w:sz w:val="24"/>
          <w:szCs w:val="24"/>
        </w:rPr>
        <w:t xml:space="preserve">each author </w:t>
      </w:r>
      <w:r w:rsidR="009876E0">
        <w:rPr>
          <w:rFonts w:ascii="Times New Roman" w:hAnsi="Times New Roman" w:cs="Times New Roman"/>
          <w:sz w:val="24"/>
          <w:szCs w:val="24"/>
        </w:rPr>
        <w:t xml:space="preserve">receive full </w:t>
      </w:r>
      <w:r w:rsidR="00852492" w:rsidRPr="00B83421">
        <w:rPr>
          <w:rFonts w:ascii="Times New Roman" w:hAnsi="Times New Roman" w:cs="Times New Roman"/>
          <w:sz w:val="24"/>
          <w:szCs w:val="24"/>
        </w:rPr>
        <w:t>or partial credit for h</w:t>
      </w:r>
      <w:r w:rsidR="00A00104" w:rsidRPr="00B83421">
        <w:rPr>
          <w:rFonts w:ascii="Times New Roman" w:hAnsi="Times New Roman" w:cs="Times New Roman"/>
          <w:sz w:val="24"/>
          <w:szCs w:val="24"/>
        </w:rPr>
        <w:t xml:space="preserve">er/his </w:t>
      </w:r>
      <w:r w:rsidR="00852492" w:rsidRPr="00B83421">
        <w:rPr>
          <w:rFonts w:ascii="Times New Roman" w:hAnsi="Times New Roman" w:cs="Times New Roman"/>
          <w:sz w:val="24"/>
          <w:szCs w:val="24"/>
        </w:rPr>
        <w:t>contribution to the final product?</w:t>
      </w:r>
      <w:proofErr w:type="gramEnd"/>
      <w:r w:rsidR="00852492" w:rsidRPr="00B83421">
        <w:rPr>
          <w:rFonts w:ascii="Times New Roman" w:hAnsi="Times New Roman" w:cs="Times New Roman"/>
          <w:sz w:val="24"/>
          <w:szCs w:val="24"/>
        </w:rPr>
        <w:t xml:space="preserve">  For example, </w:t>
      </w:r>
      <w:r w:rsidR="00A00104" w:rsidRPr="00B83421">
        <w:rPr>
          <w:rFonts w:ascii="Times New Roman" w:hAnsi="Times New Roman" w:cs="Times New Roman"/>
          <w:sz w:val="24"/>
          <w:szCs w:val="24"/>
        </w:rPr>
        <w:t>in a jointly authored paper, should each author receive credit for all cites to the paper</w:t>
      </w:r>
      <w:r w:rsidR="00807AB7" w:rsidRPr="00B83421">
        <w:rPr>
          <w:rFonts w:ascii="Times New Roman" w:hAnsi="Times New Roman" w:cs="Times New Roman"/>
          <w:sz w:val="24"/>
          <w:szCs w:val="24"/>
        </w:rPr>
        <w:t>,</w:t>
      </w:r>
      <w:r w:rsidR="00A00104" w:rsidRPr="00B83421">
        <w:rPr>
          <w:rFonts w:ascii="Times New Roman" w:hAnsi="Times New Roman" w:cs="Times New Roman"/>
          <w:sz w:val="24"/>
          <w:szCs w:val="24"/>
        </w:rPr>
        <w:t xml:space="preserve"> or half of the total cites</w:t>
      </w:r>
      <w:r w:rsidR="00807AB7" w:rsidRPr="00B83421">
        <w:rPr>
          <w:rFonts w:ascii="Times New Roman" w:hAnsi="Times New Roman" w:cs="Times New Roman"/>
          <w:sz w:val="24"/>
          <w:szCs w:val="24"/>
        </w:rPr>
        <w:t>,</w:t>
      </w:r>
      <w:r w:rsidR="00A00104" w:rsidRPr="00B83421">
        <w:rPr>
          <w:rFonts w:ascii="Times New Roman" w:hAnsi="Times New Roman" w:cs="Times New Roman"/>
          <w:sz w:val="24"/>
          <w:szCs w:val="24"/>
        </w:rPr>
        <w:t xml:space="preserve"> or some other arbitrarily determined share?  </w:t>
      </w:r>
    </w:p>
    <w:p w14:paraId="3C381F5D" w14:textId="77777777" w:rsidR="008B39E9" w:rsidRPr="00B83421" w:rsidRDefault="008B39E9" w:rsidP="00316E1D">
      <w:pPr>
        <w:spacing w:after="0" w:line="288" w:lineRule="auto"/>
        <w:ind w:firstLine="720"/>
        <w:jc w:val="both"/>
        <w:rPr>
          <w:rFonts w:ascii="Times New Roman" w:hAnsi="Times New Roman" w:cs="Times New Roman"/>
          <w:sz w:val="24"/>
          <w:szCs w:val="24"/>
        </w:rPr>
      </w:pPr>
    </w:p>
    <w:p w14:paraId="5017FC10" w14:textId="77777777" w:rsidR="008B39E9" w:rsidRDefault="00807AB7" w:rsidP="00316E1D">
      <w:pPr>
        <w:spacing w:after="0" w:line="288" w:lineRule="auto"/>
        <w:ind w:firstLine="720"/>
        <w:jc w:val="both"/>
        <w:rPr>
          <w:rFonts w:ascii="Times New Roman" w:hAnsi="Times New Roman" w:cs="Times New Roman"/>
          <w:sz w:val="24"/>
          <w:szCs w:val="24"/>
        </w:rPr>
      </w:pPr>
      <w:r w:rsidRPr="00B83421">
        <w:rPr>
          <w:rFonts w:ascii="Times New Roman" w:hAnsi="Times New Roman" w:cs="Times New Roman"/>
          <w:sz w:val="24"/>
          <w:szCs w:val="24"/>
        </w:rPr>
        <w:t xml:space="preserve">In this paper we shall examine the sensitivity of rankings of </w:t>
      </w:r>
      <w:r w:rsidR="002D67E3" w:rsidRPr="00B83421">
        <w:rPr>
          <w:rFonts w:ascii="Times New Roman" w:hAnsi="Times New Roman" w:cs="Times New Roman"/>
          <w:sz w:val="24"/>
          <w:szCs w:val="24"/>
        </w:rPr>
        <w:t xml:space="preserve">New Zealand’s academic economists </w:t>
      </w:r>
      <w:r w:rsidR="003F0AFA" w:rsidRPr="00B83421">
        <w:rPr>
          <w:rFonts w:ascii="Times New Roman" w:hAnsi="Times New Roman" w:cs="Times New Roman"/>
          <w:sz w:val="24"/>
          <w:szCs w:val="24"/>
        </w:rPr>
        <w:t xml:space="preserve">to </w:t>
      </w:r>
      <w:r w:rsidRPr="00B83421">
        <w:rPr>
          <w:rFonts w:ascii="Times New Roman" w:hAnsi="Times New Roman" w:cs="Times New Roman"/>
          <w:sz w:val="24"/>
          <w:szCs w:val="24"/>
        </w:rPr>
        <w:t xml:space="preserve">various </w:t>
      </w:r>
      <w:r w:rsidR="00236AC1" w:rsidRPr="00B83421">
        <w:rPr>
          <w:rFonts w:ascii="Times New Roman" w:hAnsi="Times New Roman" w:cs="Times New Roman"/>
          <w:sz w:val="24"/>
          <w:szCs w:val="24"/>
        </w:rPr>
        <w:t xml:space="preserve">RAMs.  </w:t>
      </w:r>
      <w:r w:rsidR="00C108C2" w:rsidRPr="00B83421">
        <w:rPr>
          <w:rFonts w:ascii="Times New Roman" w:hAnsi="Times New Roman" w:cs="Times New Roman"/>
          <w:sz w:val="24"/>
          <w:szCs w:val="24"/>
        </w:rPr>
        <w:t xml:space="preserve">This </w:t>
      </w:r>
      <w:r w:rsidR="004D7490" w:rsidRPr="00B83421">
        <w:rPr>
          <w:rFonts w:ascii="Times New Roman" w:hAnsi="Times New Roman" w:cs="Times New Roman"/>
          <w:sz w:val="24"/>
          <w:szCs w:val="24"/>
        </w:rPr>
        <w:t xml:space="preserve">country </w:t>
      </w:r>
      <w:r w:rsidR="00B50321" w:rsidRPr="00B83421">
        <w:rPr>
          <w:rFonts w:ascii="Times New Roman" w:hAnsi="Times New Roman" w:cs="Times New Roman"/>
          <w:sz w:val="24"/>
          <w:szCs w:val="24"/>
        </w:rPr>
        <w:t xml:space="preserve">was an early entrant into nation-wide research </w:t>
      </w:r>
      <w:r w:rsidR="00B50321" w:rsidRPr="00B83421">
        <w:rPr>
          <w:rFonts w:ascii="Times New Roman" w:hAnsi="Times New Roman" w:cs="Times New Roman"/>
          <w:sz w:val="24"/>
          <w:szCs w:val="24"/>
        </w:rPr>
        <w:lastRenderedPageBreak/>
        <w:t>assessment</w:t>
      </w:r>
      <w:r w:rsidR="008444BF" w:rsidRPr="00B83421">
        <w:rPr>
          <w:rFonts w:ascii="Times New Roman" w:hAnsi="Times New Roman" w:cs="Times New Roman"/>
          <w:sz w:val="24"/>
          <w:szCs w:val="24"/>
        </w:rPr>
        <w:t xml:space="preserve"> exercises, </w:t>
      </w:r>
      <w:r w:rsidR="00B50321" w:rsidRPr="00B83421">
        <w:rPr>
          <w:rFonts w:ascii="Times New Roman" w:hAnsi="Times New Roman" w:cs="Times New Roman"/>
          <w:sz w:val="24"/>
          <w:szCs w:val="24"/>
        </w:rPr>
        <w:t xml:space="preserve">and </w:t>
      </w:r>
      <w:r w:rsidR="00F405B4" w:rsidRPr="00B83421">
        <w:rPr>
          <w:rFonts w:ascii="Times New Roman" w:hAnsi="Times New Roman" w:cs="Times New Roman"/>
          <w:sz w:val="24"/>
          <w:szCs w:val="24"/>
        </w:rPr>
        <w:t>in 2012</w:t>
      </w:r>
      <w:r w:rsidR="00B50321" w:rsidRPr="00B83421">
        <w:rPr>
          <w:rFonts w:ascii="Times New Roman" w:hAnsi="Times New Roman" w:cs="Times New Roman"/>
          <w:sz w:val="24"/>
          <w:szCs w:val="24"/>
        </w:rPr>
        <w:t xml:space="preserve"> </w:t>
      </w:r>
      <w:r w:rsidR="004D7490" w:rsidRPr="00B83421">
        <w:rPr>
          <w:rFonts w:ascii="Times New Roman" w:hAnsi="Times New Roman" w:cs="Times New Roman"/>
          <w:sz w:val="24"/>
          <w:szCs w:val="24"/>
        </w:rPr>
        <w:t>completed the third</w:t>
      </w:r>
      <w:r w:rsidR="00F405B4" w:rsidRPr="00B83421">
        <w:rPr>
          <w:rFonts w:ascii="Times New Roman" w:hAnsi="Times New Roman" w:cs="Times New Roman"/>
          <w:sz w:val="24"/>
          <w:szCs w:val="24"/>
        </w:rPr>
        <w:t xml:space="preserve"> round </w:t>
      </w:r>
      <w:r w:rsidR="004D7490" w:rsidRPr="00B83421">
        <w:rPr>
          <w:rFonts w:ascii="Times New Roman" w:hAnsi="Times New Roman" w:cs="Times New Roman"/>
          <w:sz w:val="24"/>
          <w:szCs w:val="24"/>
        </w:rPr>
        <w:t xml:space="preserve">of </w:t>
      </w:r>
      <w:r w:rsidR="00B50321" w:rsidRPr="00B83421">
        <w:rPr>
          <w:rFonts w:ascii="Times New Roman" w:hAnsi="Times New Roman" w:cs="Times New Roman"/>
          <w:sz w:val="24"/>
          <w:szCs w:val="24"/>
        </w:rPr>
        <w:t>its NRAE</w:t>
      </w:r>
      <w:r w:rsidR="000A1004">
        <w:rPr>
          <w:rFonts w:ascii="Times New Roman" w:hAnsi="Times New Roman" w:cs="Times New Roman"/>
          <w:sz w:val="24"/>
          <w:szCs w:val="24"/>
        </w:rPr>
        <w:t xml:space="preserve"> – the </w:t>
      </w:r>
      <w:r w:rsidR="00B50321" w:rsidRPr="00B83421">
        <w:rPr>
          <w:rFonts w:ascii="Times New Roman" w:hAnsi="Times New Roman" w:cs="Times New Roman"/>
          <w:sz w:val="24"/>
          <w:szCs w:val="24"/>
        </w:rPr>
        <w:t>Performance Based Research Fund (PBRF).</w:t>
      </w:r>
      <w:r w:rsidR="004769D8" w:rsidRPr="00B83421">
        <w:rPr>
          <w:rStyle w:val="FootnoteReference"/>
          <w:rFonts w:ascii="Times New Roman" w:hAnsi="Times New Roman" w:cs="Times New Roman"/>
          <w:sz w:val="24"/>
          <w:szCs w:val="24"/>
        </w:rPr>
        <w:footnoteReference w:id="1"/>
      </w:r>
      <w:r w:rsidR="00B50321" w:rsidRPr="00B83421">
        <w:rPr>
          <w:rFonts w:ascii="Times New Roman" w:hAnsi="Times New Roman" w:cs="Times New Roman"/>
          <w:sz w:val="24"/>
          <w:szCs w:val="24"/>
        </w:rPr>
        <w:t xml:space="preserve">  </w:t>
      </w:r>
      <w:r w:rsidR="004D7490" w:rsidRPr="00B83421">
        <w:rPr>
          <w:rFonts w:ascii="Times New Roman" w:hAnsi="Times New Roman" w:cs="Times New Roman"/>
          <w:sz w:val="24"/>
          <w:szCs w:val="24"/>
        </w:rPr>
        <w:t>Although our paper does not formally fit within the structure of the</w:t>
      </w:r>
      <w:r w:rsidR="0050579D" w:rsidRPr="00B83421">
        <w:rPr>
          <w:rFonts w:ascii="Times New Roman" w:hAnsi="Times New Roman" w:cs="Times New Roman"/>
          <w:sz w:val="24"/>
          <w:szCs w:val="24"/>
        </w:rPr>
        <w:t xml:space="preserve"> PBRF</w:t>
      </w:r>
      <w:r w:rsidR="004D7490" w:rsidRPr="00B83421">
        <w:rPr>
          <w:rFonts w:ascii="Times New Roman" w:hAnsi="Times New Roman" w:cs="Times New Roman"/>
          <w:sz w:val="24"/>
          <w:szCs w:val="24"/>
        </w:rPr>
        <w:t xml:space="preserve">, it does rely on the </w:t>
      </w:r>
      <w:r w:rsidR="00AB39C6" w:rsidRPr="00B83421">
        <w:rPr>
          <w:rFonts w:ascii="Times New Roman" w:hAnsi="Times New Roman" w:cs="Times New Roman"/>
          <w:sz w:val="24"/>
          <w:szCs w:val="24"/>
        </w:rPr>
        <w:t xml:space="preserve">scheme </w:t>
      </w:r>
      <w:r w:rsidR="004D7490" w:rsidRPr="00B83421">
        <w:rPr>
          <w:rFonts w:ascii="Times New Roman" w:hAnsi="Times New Roman" w:cs="Times New Roman"/>
          <w:sz w:val="24"/>
          <w:szCs w:val="24"/>
        </w:rPr>
        <w:t xml:space="preserve">for context.  The </w:t>
      </w:r>
      <w:r w:rsidR="0050579D" w:rsidRPr="00B83421">
        <w:rPr>
          <w:rFonts w:ascii="Times New Roman" w:hAnsi="Times New Roman" w:cs="Times New Roman"/>
          <w:sz w:val="24"/>
          <w:szCs w:val="24"/>
        </w:rPr>
        <w:t xml:space="preserve">PBRF </w:t>
      </w:r>
      <w:r w:rsidR="004D7490" w:rsidRPr="00B83421">
        <w:rPr>
          <w:rFonts w:ascii="Times New Roman" w:hAnsi="Times New Roman" w:cs="Times New Roman"/>
          <w:sz w:val="24"/>
          <w:szCs w:val="24"/>
        </w:rPr>
        <w:t xml:space="preserve">assesses the performance of </w:t>
      </w:r>
      <w:r w:rsidR="003F3B21" w:rsidRPr="00B83421">
        <w:rPr>
          <w:rFonts w:ascii="Times New Roman" w:hAnsi="Times New Roman" w:cs="Times New Roman"/>
          <w:sz w:val="24"/>
          <w:szCs w:val="24"/>
        </w:rPr>
        <w:t xml:space="preserve">almost </w:t>
      </w:r>
      <w:r w:rsidR="004D7490" w:rsidRPr="00B83421">
        <w:rPr>
          <w:rFonts w:ascii="Times New Roman" w:hAnsi="Times New Roman" w:cs="Times New Roman"/>
          <w:sz w:val="24"/>
          <w:szCs w:val="24"/>
        </w:rPr>
        <w:t xml:space="preserve">every academic expected to </w:t>
      </w:r>
      <w:r w:rsidR="00D45644" w:rsidRPr="00B83421">
        <w:rPr>
          <w:rFonts w:ascii="Times New Roman" w:hAnsi="Times New Roman" w:cs="Times New Roman"/>
          <w:sz w:val="24"/>
          <w:szCs w:val="24"/>
        </w:rPr>
        <w:t xml:space="preserve">undertake </w:t>
      </w:r>
      <w:r w:rsidR="004D7490" w:rsidRPr="00B83421">
        <w:rPr>
          <w:rFonts w:ascii="Times New Roman" w:hAnsi="Times New Roman" w:cs="Times New Roman"/>
          <w:sz w:val="24"/>
          <w:szCs w:val="24"/>
        </w:rPr>
        <w:t xml:space="preserve">research in all eight of the nation’s universities.  </w:t>
      </w:r>
      <w:r w:rsidR="002903CC" w:rsidRPr="00B83421">
        <w:rPr>
          <w:rFonts w:ascii="Times New Roman" w:hAnsi="Times New Roman" w:cs="Times New Roman"/>
          <w:sz w:val="24"/>
          <w:szCs w:val="24"/>
        </w:rPr>
        <w:t xml:space="preserve">For example, in the last round of the PBRF (2012), all researchers </w:t>
      </w:r>
      <w:r w:rsidR="0011251D" w:rsidRPr="00B83421">
        <w:rPr>
          <w:rFonts w:ascii="Times New Roman" w:hAnsi="Times New Roman" w:cs="Times New Roman"/>
          <w:sz w:val="24"/>
          <w:szCs w:val="24"/>
        </w:rPr>
        <w:t xml:space="preserve">received a letter grade </w:t>
      </w:r>
      <w:r w:rsidR="002903CC" w:rsidRPr="00B83421">
        <w:rPr>
          <w:rFonts w:ascii="Times New Roman" w:hAnsi="Times New Roman" w:cs="Times New Roman"/>
          <w:sz w:val="24"/>
          <w:szCs w:val="24"/>
        </w:rPr>
        <w:t xml:space="preserve">for work completed over the 2006-2011 period.  Letter grades were subsequently </w:t>
      </w:r>
      <w:r w:rsidR="0011251D" w:rsidRPr="00B83421">
        <w:rPr>
          <w:rFonts w:ascii="Times New Roman" w:hAnsi="Times New Roman" w:cs="Times New Roman"/>
          <w:sz w:val="24"/>
          <w:szCs w:val="24"/>
        </w:rPr>
        <w:t>converted to num</w:t>
      </w:r>
      <w:r w:rsidR="00A05E37" w:rsidRPr="00B83421">
        <w:rPr>
          <w:rFonts w:ascii="Times New Roman" w:hAnsi="Times New Roman" w:cs="Times New Roman"/>
          <w:sz w:val="24"/>
          <w:szCs w:val="24"/>
        </w:rPr>
        <w:t>erical</w:t>
      </w:r>
      <w:r w:rsidR="0011251D" w:rsidRPr="00B83421">
        <w:rPr>
          <w:rFonts w:ascii="Times New Roman" w:hAnsi="Times New Roman" w:cs="Times New Roman"/>
          <w:sz w:val="24"/>
          <w:szCs w:val="24"/>
        </w:rPr>
        <w:t xml:space="preserve"> score</w:t>
      </w:r>
      <w:r w:rsidR="002903CC" w:rsidRPr="00B83421">
        <w:rPr>
          <w:rFonts w:ascii="Times New Roman" w:hAnsi="Times New Roman" w:cs="Times New Roman"/>
          <w:sz w:val="24"/>
          <w:szCs w:val="24"/>
        </w:rPr>
        <w:t xml:space="preserve">s and then </w:t>
      </w:r>
      <w:r w:rsidR="0011251D" w:rsidRPr="00B83421">
        <w:rPr>
          <w:rFonts w:ascii="Times New Roman" w:hAnsi="Times New Roman" w:cs="Times New Roman"/>
          <w:sz w:val="24"/>
          <w:szCs w:val="24"/>
        </w:rPr>
        <w:t>aggregated across departments and other groupings to generate university</w:t>
      </w:r>
      <w:r w:rsidR="002903CC" w:rsidRPr="00B83421">
        <w:rPr>
          <w:rFonts w:ascii="Times New Roman" w:hAnsi="Times New Roman" w:cs="Times New Roman"/>
          <w:sz w:val="24"/>
          <w:szCs w:val="24"/>
        </w:rPr>
        <w:t>-</w:t>
      </w:r>
      <w:r w:rsidR="0011251D" w:rsidRPr="00B83421">
        <w:rPr>
          <w:rFonts w:ascii="Times New Roman" w:hAnsi="Times New Roman" w:cs="Times New Roman"/>
          <w:sz w:val="24"/>
          <w:szCs w:val="24"/>
        </w:rPr>
        <w:t>wide score</w:t>
      </w:r>
      <w:r w:rsidR="002903CC" w:rsidRPr="00B83421">
        <w:rPr>
          <w:rFonts w:ascii="Times New Roman" w:hAnsi="Times New Roman" w:cs="Times New Roman"/>
          <w:sz w:val="24"/>
          <w:szCs w:val="24"/>
        </w:rPr>
        <w:t>s</w:t>
      </w:r>
      <w:r w:rsidR="0011251D" w:rsidRPr="00B83421">
        <w:rPr>
          <w:rFonts w:ascii="Times New Roman" w:hAnsi="Times New Roman" w:cs="Times New Roman"/>
          <w:sz w:val="24"/>
          <w:szCs w:val="24"/>
        </w:rPr>
        <w:t xml:space="preserve">.  </w:t>
      </w:r>
    </w:p>
    <w:p w14:paraId="442F0078" w14:textId="77777777" w:rsidR="00BA0F48" w:rsidRPr="00BA0F48" w:rsidRDefault="00BA0F48" w:rsidP="00316E1D">
      <w:pPr>
        <w:spacing w:after="0" w:line="288" w:lineRule="auto"/>
        <w:ind w:firstLine="720"/>
        <w:jc w:val="both"/>
        <w:rPr>
          <w:rFonts w:ascii="Times New Roman" w:hAnsi="Times New Roman" w:cs="Times New Roman"/>
        </w:rPr>
      </w:pPr>
    </w:p>
    <w:p w14:paraId="292B6E58" w14:textId="723CB8AF" w:rsidR="004D7490" w:rsidRDefault="00242660" w:rsidP="00316E1D">
      <w:pPr>
        <w:spacing w:after="0" w:line="288" w:lineRule="auto"/>
        <w:ind w:firstLine="720"/>
        <w:jc w:val="both"/>
        <w:rPr>
          <w:rFonts w:ascii="Times New Roman" w:hAnsi="Times New Roman" w:cs="Times New Roman"/>
          <w:sz w:val="24"/>
          <w:szCs w:val="24"/>
        </w:rPr>
      </w:pPr>
      <w:r>
        <w:rPr>
          <w:rFonts w:ascii="Times New Roman" w:hAnsi="Times New Roman" w:cs="Times New Roman"/>
          <w:sz w:val="24"/>
          <w:szCs w:val="24"/>
        </w:rPr>
        <w:t>Approximately 20 percent</w:t>
      </w:r>
      <w:r w:rsidR="0011251D" w:rsidRPr="00B83421">
        <w:rPr>
          <w:rFonts w:ascii="Times New Roman" w:hAnsi="Times New Roman" w:cs="Times New Roman"/>
          <w:sz w:val="24"/>
          <w:szCs w:val="24"/>
        </w:rPr>
        <w:t xml:space="preserve"> of the government’s total funding to the universities is allocated through the PBRF scheme and the winners, at both the departmental and university level, aggressively </w:t>
      </w:r>
      <w:r w:rsidR="00544D22" w:rsidRPr="00B83421">
        <w:rPr>
          <w:rFonts w:ascii="Times New Roman" w:hAnsi="Times New Roman" w:cs="Times New Roman"/>
          <w:sz w:val="24"/>
          <w:szCs w:val="24"/>
        </w:rPr>
        <w:t xml:space="preserve">promote </w:t>
      </w:r>
      <w:r w:rsidR="0011251D" w:rsidRPr="00B83421">
        <w:rPr>
          <w:rFonts w:ascii="Times New Roman" w:hAnsi="Times New Roman" w:cs="Times New Roman"/>
          <w:sz w:val="24"/>
          <w:szCs w:val="24"/>
        </w:rPr>
        <w:t xml:space="preserve">the results </w:t>
      </w:r>
      <w:r w:rsidR="00544D22" w:rsidRPr="00B83421">
        <w:rPr>
          <w:rFonts w:ascii="Times New Roman" w:hAnsi="Times New Roman" w:cs="Times New Roman"/>
          <w:sz w:val="24"/>
          <w:szCs w:val="24"/>
        </w:rPr>
        <w:t xml:space="preserve">on their websites and </w:t>
      </w:r>
      <w:r w:rsidR="0011251D" w:rsidRPr="00B83421">
        <w:rPr>
          <w:rFonts w:ascii="Times New Roman" w:hAnsi="Times New Roman" w:cs="Times New Roman"/>
          <w:sz w:val="24"/>
          <w:szCs w:val="24"/>
        </w:rPr>
        <w:t>in promotional m</w:t>
      </w:r>
      <w:r w:rsidR="001A14B5" w:rsidRPr="00B83421">
        <w:rPr>
          <w:rFonts w:ascii="Times New Roman" w:hAnsi="Times New Roman" w:cs="Times New Roman"/>
          <w:sz w:val="24"/>
          <w:szCs w:val="24"/>
        </w:rPr>
        <w:t>aterial</w:t>
      </w:r>
      <w:r w:rsidR="00AB39C6" w:rsidRPr="00B83421">
        <w:rPr>
          <w:rFonts w:ascii="Times New Roman" w:hAnsi="Times New Roman" w:cs="Times New Roman"/>
          <w:sz w:val="24"/>
          <w:szCs w:val="24"/>
        </w:rPr>
        <w:t>.  As an aside, we note th</w:t>
      </w:r>
      <w:r w:rsidR="0011251D" w:rsidRPr="00B83421">
        <w:rPr>
          <w:rFonts w:ascii="Times New Roman" w:hAnsi="Times New Roman" w:cs="Times New Roman"/>
          <w:sz w:val="24"/>
          <w:szCs w:val="24"/>
        </w:rPr>
        <w:t xml:space="preserve">at only </w:t>
      </w:r>
      <w:r w:rsidR="005F7F2A" w:rsidRPr="00B83421">
        <w:rPr>
          <w:rFonts w:ascii="Times New Roman" w:hAnsi="Times New Roman" w:cs="Times New Roman"/>
          <w:sz w:val="24"/>
          <w:szCs w:val="24"/>
        </w:rPr>
        <w:t>7</w:t>
      </w:r>
      <w:r>
        <w:rPr>
          <w:rFonts w:ascii="Times New Roman" w:hAnsi="Times New Roman" w:cs="Times New Roman"/>
          <w:sz w:val="24"/>
          <w:szCs w:val="24"/>
        </w:rPr>
        <w:t>0 percent</w:t>
      </w:r>
      <w:r w:rsidR="0011251D" w:rsidRPr="00B83421">
        <w:rPr>
          <w:rFonts w:ascii="Times New Roman" w:hAnsi="Times New Roman" w:cs="Times New Roman"/>
          <w:sz w:val="24"/>
          <w:szCs w:val="24"/>
        </w:rPr>
        <w:t xml:space="preserve"> of the possible score for each individual</w:t>
      </w:r>
      <w:r w:rsidR="00A6501D" w:rsidRPr="00B83421">
        <w:rPr>
          <w:rFonts w:ascii="Times New Roman" w:hAnsi="Times New Roman" w:cs="Times New Roman"/>
          <w:sz w:val="24"/>
          <w:szCs w:val="24"/>
        </w:rPr>
        <w:t xml:space="preserve"> was</w:t>
      </w:r>
      <w:r w:rsidR="0011251D" w:rsidRPr="00B83421">
        <w:rPr>
          <w:rFonts w:ascii="Times New Roman" w:hAnsi="Times New Roman" w:cs="Times New Roman"/>
          <w:sz w:val="24"/>
          <w:szCs w:val="24"/>
        </w:rPr>
        <w:t xml:space="preserve"> based on research performance over the six year assessment period,</w:t>
      </w:r>
      <w:r w:rsidR="004769D8" w:rsidRPr="00B83421">
        <w:rPr>
          <w:rStyle w:val="FootnoteReference"/>
          <w:rFonts w:ascii="Times New Roman" w:hAnsi="Times New Roman" w:cs="Times New Roman"/>
          <w:sz w:val="24"/>
          <w:szCs w:val="24"/>
        </w:rPr>
        <w:footnoteReference w:id="2"/>
      </w:r>
      <w:r w:rsidR="0011251D" w:rsidRPr="00B83421">
        <w:rPr>
          <w:rFonts w:ascii="Times New Roman" w:hAnsi="Times New Roman" w:cs="Times New Roman"/>
          <w:sz w:val="24"/>
          <w:szCs w:val="24"/>
        </w:rPr>
        <w:t xml:space="preserve"> and that evaluation </w:t>
      </w:r>
      <w:r w:rsidR="00A6501D" w:rsidRPr="00B83421">
        <w:rPr>
          <w:rFonts w:ascii="Times New Roman" w:hAnsi="Times New Roman" w:cs="Times New Roman"/>
          <w:sz w:val="24"/>
          <w:szCs w:val="24"/>
        </w:rPr>
        <w:t>was</w:t>
      </w:r>
      <w:r w:rsidR="0011251D" w:rsidRPr="00B83421">
        <w:rPr>
          <w:rFonts w:ascii="Times New Roman" w:hAnsi="Times New Roman" w:cs="Times New Roman"/>
          <w:sz w:val="24"/>
          <w:szCs w:val="24"/>
        </w:rPr>
        <w:t xml:space="preserve"> by peer review rather than </w:t>
      </w:r>
      <w:r w:rsidR="00B50E4F" w:rsidRPr="00B83421">
        <w:rPr>
          <w:rFonts w:ascii="Times New Roman" w:hAnsi="Times New Roman" w:cs="Times New Roman"/>
          <w:sz w:val="24"/>
          <w:szCs w:val="24"/>
        </w:rPr>
        <w:t xml:space="preserve">bibliometrics or some combination of the two.  </w:t>
      </w:r>
      <w:r w:rsidR="00C85A26" w:rsidRPr="00B83421">
        <w:rPr>
          <w:rFonts w:ascii="Times New Roman" w:hAnsi="Times New Roman" w:cs="Times New Roman"/>
          <w:sz w:val="24"/>
          <w:szCs w:val="24"/>
        </w:rPr>
        <w:t xml:space="preserve">Nevertheless, given advances in bibliometrics, the </w:t>
      </w:r>
      <w:r w:rsidR="001A14B5" w:rsidRPr="00B83421">
        <w:rPr>
          <w:rFonts w:ascii="Times New Roman" w:hAnsi="Times New Roman" w:cs="Times New Roman"/>
          <w:sz w:val="24"/>
          <w:szCs w:val="24"/>
        </w:rPr>
        <w:t xml:space="preserve">financial </w:t>
      </w:r>
      <w:r w:rsidR="00C85A26" w:rsidRPr="00B83421">
        <w:rPr>
          <w:rFonts w:ascii="Times New Roman" w:hAnsi="Times New Roman" w:cs="Times New Roman"/>
          <w:sz w:val="24"/>
          <w:szCs w:val="24"/>
        </w:rPr>
        <w:t xml:space="preserve">cost </w:t>
      </w:r>
      <w:r w:rsidR="001A14B5" w:rsidRPr="00B83421">
        <w:rPr>
          <w:rFonts w:ascii="Times New Roman" w:hAnsi="Times New Roman" w:cs="Times New Roman"/>
          <w:sz w:val="24"/>
          <w:szCs w:val="24"/>
        </w:rPr>
        <w:t xml:space="preserve">and administrative burden </w:t>
      </w:r>
      <w:r w:rsidR="00C85A26" w:rsidRPr="00B83421">
        <w:rPr>
          <w:rFonts w:ascii="Times New Roman" w:hAnsi="Times New Roman" w:cs="Times New Roman"/>
          <w:sz w:val="24"/>
          <w:szCs w:val="24"/>
        </w:rPr>
        <w:t xml:space="preserve">of operating a peer review assessment, and the inherent </w:t>
      </w:r>
      <w:r w:rsidR="00FA51D3">
        <w:rPr>
          <w:rFonts w:ascii="Times New Roman" w:hAnsi="Times New Roman" w:cs="Times New Roman"/>
          <w:sz w:val="24"/>
          <w:szCs w:val="24"/>
        </w:rPr>
        <w:t>'</w:t>
      </w:r>
      <w:r w:rsidR="00C85A26" w:rsidRPr="00B83421">
        <w:rPr>
          <w:rFonts w:ascii="Times New Roman" w:hAnsi="Times New Roman" w:cs="Times New Roman"/>
          <w:sz w:val="24"/>
          <w:szCs w:val="24"/>
        </w:rPr>
        <w:t>black-box</w:t>
      </w:r>
      <w:r w:rsidR="00FA51D3">
        <w:rPr>
          <w:rFonts w:ascii="Times New Roman" w:hAnsi="Times New Roman" w:cs="Times New Roman"/>
          <w:sz w:val="24"/>
          <w:szCs w:val="24"/>
        </w:rPr>
        <w:t>'</w:t>
      </w:r>
      <w:r w:rsidR="00C85A26" w:rsidRPr="00B83421">
        <w:rPr>
          <w:rFonts w:ascii="Times New Roman" w:hAnsi="Times New Roman" w:cs="Times New Roman"/>
          <w:sz w:val="24"/>
          <w:szCs w:val="24"/>
        </w:rPr>
        <w:t xml:space="preserve"> nature of </w:t>
      </w:r>
      <w:r w:rsidR="00B50E4F" w:rsidRPr="00B83421">
        <w:rPr>
          <w:rFonts w:ascii="Times New Roman" w:hAnsi="Times New Roman" w:cs="Times New Roman"/>
          <w:sz w:val="24"/>
          <w:szCs w:val="24"/>
        </w:rPr>
        <w:t>peer-review</w:t>
      </w:r>
      <w:r w:rsidR="0033421D" w:rsidRPr="00B83421">
        <w:rPr>
          <w:rFonts w:ascii="Times New Roman" w:hAnsi="Times New Roman" w:cs="Times New Roman"/>
          <w:sz w:val="24"/>
          <w:szCs w:val="24"/>
        </w:rPr>
        <w:t>, w</w:t>
      </w:r>
      <w:r w:rsidR="00C85A26" w:rsidRPr="00B83421">
        <w:rPr>
          <w:rFonts w:ascii="Times New Roman" w:hAnsi="Times New Roman" w:cs="Times New Roman"/>
          <w:sz w:val="24"/>
          <w:szCs w:val="24"/>
        </w:rPr>
        <w:t>e suggest that</w:t>
      </w:r>
      <w:r w:rsidR="001A14B5" w:rsidRPr="00B83421">
        <w:rPr>
          <w:rFonts w:ascii="Times New Roman" w:hAnsi="Times New Roman" w:cs="Times New Roman"/>
          <w:sz w:val="24"/>
          <w:szCs w:val="24"/>
        </w:rPr>
        <w:t xml:space="preserve"> it is highly likely that</w:t>
      </w:r>
      <w:r w:rsidR="00C85A26" w:rsidRPr="00B83421">
        <w:rPr>
          <w:rFonts w:ascii="Times New Roman" w:hAnsi="Times New Roman" w:cs="Times New Roman"/>
          <w:sz w:val="24"/>
          <w:szCs w:val="24"/>
        </w:rPr>
        <w:t xml:space="preserve"> </w:t>
      </w:r>
      <w:r w:rsidR="00B50E4F" w:rsidRPr="00B83421">
        <w:rPr>
          <w:rFonts w:ascii="Times New Roman" w:hAnsi="Times New Roman" w:cs="Times New Roman"/>
          <w:sz w:val="24"/>
          <w:szCs w:val="24"/>
        </w:rPr>
        <w:t xml:space="preserve">bibliometrics, in </w:t>
      </w:r>
      <w:r w:rsidR="00C85A26" w:rsidRPr="00B83421">
        <w:rPr>
          <w:rFonts w:ascii="Times New Roman" w:hAnsi="Times New Roman" w:cs="Times New Roman"/>
          <w:sz w:val="24"/>
          <w:szCs w:val="24"/>
        </w:rPr>
        <w:t>some form</w:t>
      </w:r>
      <w:r w:rsidR="00B50E4F" w:rsidRPr="00B83421">
        <w:rPr>
          <w:rFonts w:ascii="Times New Roman" w:hAnsi="Times New Roman" w:cs="Times New Roman"/>
          <w:sz w:val="24"/>
          <w:szCs w:val="24"/>
        </w:rPr>
        <w:t xml:space="preserve">, will eventually be incorporated into the </w:t>
      </w:r>
      <w:r w:rsidR="0033421D" w:rsidRPr="00B83421">
        <w:rPr>
          <w:rFonts w:ascii="Times New Roman" w:hAnsi="Times New Roman" w:cs="Times New Roman"/>
          <w:sz w:val="24"/>
          <w:szCs w:val="24"/>
        </w:rPr>
        <w:t xml:space="preserve">PBRF or successor research </w:t>
      </w:r>
      <w:r w:rsidR="00C85A26" w:rsidRPr="00B83421">
        <w:rPr>
          <w:rFonts w:ascii="Times New Roman" w:hAnsi="Times New Roman" w:cs="Times New Roman"/>
          <w:sz w:val="24"/>
          <w:szCs w:val="24"/>
        </w:rPr>
        <w:t xml:space="preserve">evaluation </w:t>
      </w:r>
      <w:r w:rsidR="009C2C12" w:rsidRPr="00B83421">
        <w:rPr>
          <w:rFonts w:ascii="Times New Roman" w:hAnsi="Times New Roman" w:cs="Times New Roman"/>
          <w:sz w:val="24"/>
          <w:szCs w:val="24"/>
        </w:rPr>
        <w:t xml:space="preserve">regimes.  </w:t>
      </w:r>
      <w:r w:rsidR="0033421D" w:rsidRPr="00B83421">
        <w:rPr>
          <w:rFonts w:ascii="Times New Roman" w:hAnsi="Times New Roman" w:cs="Times New Roman"/>
          <w:sz w:val="24"/>
          <w:szCs w:val="24"/>
        </w:rPr>
        <w:t xml:space="preserve">  </w:t>
      </w:r>
      <w:r w:rsidR="00B50E4F" w:rsidRPr="00B83421">
        <w:rPr>
          <w:rFonts w:ascii="Times New Roman" w:hAnsi="Times New Roman" w:cs="Times New Roman"/>
          <w:sz w:val="24"/>
          <w:szCs w:val="24"/>
        </w:rPr>
        <w:t xml:space="preserve"> </w:t>
      </w:r>
    </w:p>
    <w:p w14:paraId="3F813DEA" w14:textId="77777777" w:rsidR="008B39E9" w:rsidRPr="00B83421" w:rsidRDefault="008B39E9" w:rsidP="00316E1D">
      <w:pPr>
        <w:spacing w:after="0" w:line="288" w:lineRule="auto"/>
        <w:ind w:firstLine="720"/>
        <w:jc w:val="both"/>
        <w:rPr>
          <w:rFonts w:ascii="Times New Roman" w:hAnsi="Times New Roman" w:cs="Times New Roman"/>
          <w:sz w:val="24"/>
          <w:szCs w:val="24"/>
        </w:rPr>
      </w:pPr>
    </w:p>
    <w:p w14:paraId="292B6E59" w14:textId="05EFAFB3" w:rsidR="00C85A26" w:rsidRDefault="009C2C12" w:rsidP="00316E1D">
      <w:pPr>
        <w:spacing w:after="0" w:line="288" w:lineRule="auto"/>
        <w:ind w:firstLine="720"/>
        <w:jc w:val="both"/>
        <w:rPr>
          <w:rFonts w:ascii="Times New Roman" w:hAnsi="Times New Roman" w:cs="Times New Roman"/>
          <w:sz w:val="24"/>
          <w:szCs w:val="24"/>
        </w:rPr>
      </w:pPr>
      <w:r w:rsidRPr="00B83421">
        <w:rPr>
          <w:rFonts w:ascii="Times New Roman" w:hAnsi="Times New Roman" w:cs="Times New Roman"/>
          <w:sz w:val="24"/>
          <w:szCs w:val="24"/>
        </w:rPr>
        <w:t xml:space="preserve">As noted above, </w:t>
      </w:r>
      <w:r w:rsidR="002903CC" w:rsidRPr="00B83421">
        <w:rPr>
          <w:rFonts w:ascii="Times New Roman" w:hAnsi="Times New Roman" w:cs="Times New Roman"/>
          <w:sz w:val="24"/>
          <w:szCs w:val="24"/>
        </w:rPr>
        <w:t xml:space="preserve">the </w:t>
      </w:r>
      <w:r w:rsidR="00201BC7" w:rsidRPr="00B83421">
        <w:rPr>
          <w:rFonts w:ascii="Times New Roman" w:hAnsi="Times New Roman" w:cs="Times New Roman"/>
          <w:sz w:val="24"/>
          <w:szCs w:val="24"/>
        </w:rPr>
        <w:t>2012 PBRF</w:t>
      </w:r>
      <w:r w:rsidR="002903CC" w:rsidRPr="00B83421">
        <w:rPr>
          <w:rFonts w:ascii="Times New Roman" w:hAnsi="Times New Roman" w:cs="Times New Roman"/>
          <w:sz w:val="24"/>
          <w:szCs w:val="24"/>
        </w:rPr>
        <w:t xml:space="preserve"> </w:t>
      </w:r>
      <w:r w:rsidR="00201BC7" w:rsidRPr="00B83421">
        <w:rPr>
          <w:rFonts w:ascii="Times New Roman" w:hAnsi="Times New Roman" w:cs="Times New Roman"/>
          <w:sz w:val="24"/>
          <w:szCs w:val="24"/>
        </w:rPr>
        <w:t>serve</w:t>
      </w:r>
      <w:r w:rsidR="002903CC" w:rsidRPr="00B83421">
        <w:rPr>
          <w:rFonts w:ascii="Times New Roman" w:hAnsi="Times New Roman" w:cs="Times New Roman"/>
          <w:sz w:val="24"/>
          <w:szCs w:val="24"/>
        </w:rPr>
        <w:t>s</w:t>
      </w:r>
      <w:r w:rsidR="00661AB0" w:rsidRPr="00B83421">
        <w:rPr>
          <w:rFonts w:ascii="Times New Roman" w:hAnsi="Times New Roman" w:cs="Times New Roman"/>
          <w:sz w:val="24"/>
          <w:szCs w:val="24"/>
        </w:rPr>
        <w:t xml:space="preserve"> as a </w:t>
      </w:r>
      <w:r w:rsidR="00201BC7" w:rsidRPr="00B83421">
        <w:rPr>
          <w:rFonts w:ascii="Times New Roman" w:hAnsi="Times New Roman" w:cs="Times New Roman"/>
          <w:sz w:val="24"/>
          <w:szCs w:val="24"/>
        </w:rPr>
        <w:t>backdrop to this study.  First, the research evaluation period is</w:t>
      </w:r>
      <w:r w:rsidR="00FC75BB" w:rsidRPr="00B83421">
        <w:rPr>
          <w:rFonts w:ascii="Times New Roman" w:hAnsi="Times New Roman" w:cs="Times New Roman"/>
          <w:sz w:val="24"/>
          <w:szCs w:val="24"/>
        </w:rPr>
        <w:t xml:space="preserve"> six years:</w:t>
      </w:r>
      <w:r w:rsidR="00201BC7" w:rsidRPr="00B83421">
        <w:rPr>
          <w:rFonts w:ascii="Times New Roman" w:hAnsi="Times New Roman" w:cs="Times New Roman"/>
          <w:sz w:val="24"/>
          <w:szCs w:val="24"/>
        </w:rPr>
        <w:t xml:space="preserve"> 2006-2011.  </w:t>
      </w:r>
      <w:r w:rsidR="00FC75BB" w:rsidRPr="00B83421">
        <w:rPr>
          <w:rFonts w:ascii="Times New Roman" w:hAnsi="Times New Roman" w:cs="Times New Roman"/>
          <w:sz w:val="24"/>
          <w:szCs w:val="24"/>
        </w:rPr>
        <w:t xml:space="preserve">This constraint lies at the heart of such exercises; that is, NRAEs typically restrict relevant output to a five to seven year period (we assume six years since it is the period used by the PBRF).  Rephrased, </w:t>
      </w:r>
      <w:r w:rsidR="00201BC7" w:rsidRPr="00B83421">
        <w:rPr>
          <w:rFonts w:ascii="Times New Roman" w:hAnsi="Times New Roman" w:cs="Times New Roman"/>
          <w:sz w:val="24"/>
          <w:szCs w:val="24"/>
        </w:rPr>
        <w:t xml:space="preserve">it is not life-time citations or </w:t>
      </w:r>
      <w:r w:rsidR="00FC75BB" w:rsidRPr="00B83421">
        <w:rPr>
          <w:rFonts w:ascii="Times New Roman" w:hAnsi="Times New Roman" w:cs="Times New Roman"/>
          <w:sz w:val="24"/>
          <w:szCs w:val="24"/>
        </w:rPr>
        <w:t xml:space="preserve">published </w:t>
      </w:r>
      <w:r w:rsidR="00201BC7" w:rsidRPr="00B83421">
        <w:rPr>
          <w:rFonts w:ascii="Times New Roman" w:hAnsi="Times New Roman" w:cs="Times New Roman"/>
          <w:sz w:val="24"/>
          <w:szCs w:val="24"/>
        </w:rPr>
        <w:t>pape</w:t>
      </w:r>
      <w:r w:rsidR="00242660">
        <w:rPr>
          <w:rFonts w:ascii="Times New Roman" w:hAnsi="Times New Roman" w:cs="Times New Roman"/>
          <w:sz w:val="24"/>
          <w:szCs w:val="24"/>
        </w:rPr>
        <w:t>rs that are</w:t>
      </w:r>
      <w:r w:rsidR="00201BC7" w:rsidRPr="00B83421">
        <w:rPr>
          <w:rFonts w:ascii="Times New Roman" w:hAnsi="Times New Roman" w:cs="Times New Roman"/>
          <w:sz w:val="24"/>
          <w:szCs w:val="24"/>
        </w:rPr>
        <w:t xml:space="preserve"> </w:t>
      </w:r>
      <w:proofErr w:type="gramStart"/>
      <w:r w:rsidR="00201BC7" w:rsidRPr="00B83421">
        <w:rPr>
          <w:rFonts w:ascii="Times New Roman" w:hAnsi="Times New Roman" w:cs="Times New Roman"/>
          <w:sz w:val="24"/>
          <w:szCs w:val="24"/>
        </w:rPr>
        <w:t>rewarded,</w:t>
      </w:r>
      <w:proofErr w:type="gramEnd"/>
      <w:r w:rsidR="00201BC7" w:rsidRPr="00B83421">
        <w:rPr>
          <w:rFonts w:ascii="Times New Roman" w:hAnsi="Times New Roman" w:cs="Times New Roman"/>
          <w:sz w:val="24"/>
          <w:szCs w:val="24"/>
        </w:rPr>
        <w:t xml:space="preserve"> it is </w:t>
      </w:r>
      <w:r w:rsidR="00FC75BB" w:rsidRPr="00B83421">
        <w:rPr>
          <w:rFonts w:ascii="Times New Roman" w:hAnsi="Times New Roman" w:cs="Times New Roman"/>
          <w:sz w:val="24"/>
          <w:szCs w:val="24"/>
        </w:rPr>
        <w:t xml:space="preserve">research </w:t>
      </w:r>
      <w:r w:rsidR="00201BC7" w:rsidRPr="00B83421">
        <w:rPr>
          <w:rFonts w:ascii="Times New Roman" w:hAnsi="Times New Roman" w:cs="Times New Roman"/>
          <w:sz w:val="24"/>
          <w:szCs w:val="24"/>
        </w:rPr>
        <w:t xml:space="preserve">activity over the </w:t>
      </w:r>
      <w:r w:rsidR="00FC75BB" w:rsidRPr="00B83421">
        <w:rPr>
          <w:rFonts w:ascii="Times New Roman" w:hAnsi="Times New Roman" w:cs="Times New Roman"/>
          <w:sz w:val="24"/>
          <w:szCs w:val="24"/>
        </w:rPr>
        <w:t>evaluation period.  Second</w:t>
      </w:r>
      <w:r w:rsidR="00242660">
        <w:rPr>
          <w:rFonts w:ascii="Times New Roman" w:hAnsi="Times New Roman" w:cs="Times New Roman"/>
          <w:sz w:val="24"/>
          <w:szCs w:val="24"/>
        </w:rPr>
        <w:t>ly</w:t>
      </w:r>
      <w:r w:rsidR="00FC75BB" w:rsidRPr="00B83421">
        <w:rPr>
          <w:rFonts w:ascii="Times New Roman" w:hAnsi="Times New Roman" w:cs="Times New Roman"/>
          <w:sz w:val="24"/>
          <w:szCs w:val="24"/>
        </w:rPr>
        <w:t xml:space="preserve">, the </w:t>
      </w:r>
      <w:r w:rsidR="00563097" w:rsidRPr="00B83421">
        <w:rPr>
          <w:rFonts w:ascii="Times New Roman" w:hAnsi="Times New Roman" w:cs="Times New Roman"/>
          <w:sz w:val="24"/>
          <w:szCs w:val="24"/>
        </w:rPr>
        <w:t>various measurement schemes used in the study were selected</w:t>
      </w:r>
      <w:r w:rsidR="00FC75BB" w:rsidRPr="00B83421">
        <w:rPr>
          <w:rFonts w:ascii="Times New Roman" w:hAnsi="Times New Roman" w:cs="Times New Roman"/>
          <w:sz w:val="24"/>
          <w:szCs w:val="24"/>
        </w:rPr>
        <w:t>, in part, because they have relevance to the New Zealand academic scene</w:t>
      </w:r>
      <w:r w:rsidR="00661AB0" w:rsidRPr="00B83421">
        <w:rPr>
          <w:rFonts w:ascii="Times New Roman" w:hAnsi="Times New Roman" w:cs="Times New Roman"/>
          <w:sz w:val="24"/>
          <w:szCs w:val="24"/>
        </w:rPr>
        <w:t>.  Third</w:t>
      </w:r>
      <w:r w:rsidR="00242660">
        <w:rPr>
          <w:rFonts w:ascii="Times New Roman" w:hAnsi="Times New Roman" w:cs="Times New Roman"/>
          <w:sz w:val="24"/>
          <w:szCs w:val="24"/>
        </w:rPr>
        <w:t>ly</w:t>
      </w:r>
      <w:r w:rsidR="00661AB0" w:rsidRPr="00B83421">
        <w:rPr>
          <w:rFonts w:ascii="Times New Roman" w:hAnsi="Times New Roman" w:cs="Times New Roman"/>
          <w:sz w:val="24"/>
          <w:szCs w:val="24"/>
        </w:rPr>
        <w:t xml:space="preserve">, the desire by universities to have the results of the exercise conveyed as quickly as possible, and to have the associated spoils delivered soon thereafter, precludes </w:t>
      </w:r>
      <w:r w:rsidR="00385773" w:rsidRPr="00B83421">
        <w:rPr>
          <w:rFonts w:ascii="Times New Roman" w:hAnsi="Times New Roman" w:cs="Times New Roman"/>
          <w:sz w:val="24"/>
          <w:szCs w:val="24"/>
        </w:rPr>
        <w:t xml:space="preserve">or limits the relevance </w:t>
      </w:r>
      <w:r w:rsidR="00661AB0" w:rsidRPr="00B83421">
        <w:rPr>
          <w:rFonts w:ascii="Times New Roman" w:hAnsi="Times New Roman" w:cs="Times New Roman"/>
          <w:sz w:val="24"/>
          <w:szCs w:val="24"/>
        </w:rPr>
        <w:t>of evaluation tools that require a longer time period than</w:t>
      </w:r>
      <w:r w:rsidR="008444BF" w:rsidRPr="00B83421">
        <w:rPr>
          <w:rFonts w:ascii="Times New Roman" w:hAnsi="Times New Roman" w:cs="Times New Roman"/>
          <w:sz w:val="24"/>
          <w:szCs w:val="24"/>
        </w:rPr>
        <w:t xml:space="preserve"> roughly</w:t>
      </w:r>
      <w:r w:rsidR="00661AB0" w:rsidRPr="00B83421">
        <w:rPr>
          <w:rFonts w:ascii="Times New Roman" w:hAnsi="Times New Roman" w:cs="Times New Roman"/>
          <w:sz w:val="24"/>
          <w:szCs w:val="24"/>
        </w:rPr>
        <w:t xml:space="preserve"> </w:t>
      </w:r>
      <w:r w:rsidR="00750297" w:rsidRPr="00B83421">
        <w:rPr>
          <w:rFonts w:ascii="Times New Roman" w:hAnsi="Times New Roman" w:cs="Times New Roman"/>
          <w:sz w:val="24"/>
          <w:szCs w:val="24"/>
        </w:rPr>
        <w:t>three</w:t>
      </w:r>
      <w:r w:rsidR="00661AB0" w:rsidRPr="00B83421">
        <w:rPr>
          <w:rFonts w:ascii="Times New Roman" w:hAnsi="Times New Roman" w:cs="Times New Roman"/>
          <w:sz w:val="24"/>
          <w:szCs w:val="24"/>
        </w:rPr>
        <w:t xml:space="preserve"> years for reliable data collection and analysis</w:t>
      </w:r>
      <w:r w:rsidR="002903CC" w:rsidRPr="00B83421">
        <w:rPr>
          <w:rFonts w:ascii="Times New Roman" w:hAnsi="Times New Roman" w:cs="Times New Roman"/>
          <w:sz w:val="24"/>
          <w:szCs w:val="24"/>
        </w:rPr>
        <w:t xml:space="preserve"> or require </w:t>
      </w:r>
      <w:r w:rsidR="0060757C" w:rsidRPr="00B83421">
        <w:rPr>
          <w:rFonts w:ascii="Times New Roman" w:hAnsi="Times New Roman" w:cs="Times New Roman"/>
          <w:sz w:val="24"/>
          <w:szCs w:val="24"/>
        </w:rPr>
        <w:t>the decision period to be delayed so that additional data can be collected</w:t>
      </w:r>
      <w:r w:rsidR="00385773" w:rsidRPr="00B83421">
        <w:rPr>
          <w:rFonts w:ascii="Times New Roman" w:hAnsi="Times New Roman" w:cs="Times New Roman"/>
          <w:sz w:val="24"/>
          <w:szCs w:val="24"/>
        </w:rPr>
        <w:t>.</w:t>
      </w:r>
      <w:r w:rsidR="00C51943" w:rsidRPr="00B83421">
        <w:rPr>
          <w:rStyle w:val="FootnoteReference"/>
          <w:rFonts w:ascii="Times New Roman" w:hAnsi="Times New Roman" w:cs="Times New Roman"/>
          <w:sz w:val="24"/>
          <w:szCs w:val="24"/>
        </w:rPr>
        <w:footnoteReference w:id="3"/>
      </w:r>
    </w:p>
    <w:p w14:paraId="292B6E5A" w14:textId="0A3658F6" w:rsidR="005F3657" w:rsidRDefault="005F3657" w:rsidP="00316E1D">
      <w:pPr>
        <w:spacing w:after="0" w:line="288" w:lineRule="auto"/>
        <w:ind w:firstLine="720"/>
        <w:jc w:val="both"/>
        <w:rPr>
          <w:rFonts w:ascii="Times New Roman" w:hAnsi="Times New Roman" w:cs="Times New Roman"/>
          <w:sz w:val="24"/>
          <w:szCs w:val="24"/>
        </w:rPr>
      </w:pPr>
      <w:r w:rsidRPr="00B83421">
        <w:rPr>
          <w:rFonts w:ascii="Times New Roman" w:hAnsi="Times New Roman" w:cs="Times New Roman"/>
          <w:sz w:val="24"/>
          <w:szCs w:val="24"/>
        </w:rPr>
        <w:lastRenderedPageBreak/>
        <w:t>As noted above, the objective of this paper is to explore the stability of ranks for individual researchers across various research assessment measures</w:t>
      </w:r>
      <w:r w:rsidR="00D40A4C" w:rsidRPr="00B83421">
        <w:rPr>
          <w:rFonts w:ascii="Times New Roman" w:hAnsi="Times New Roman" w:cs="Times New Roman"/>
          <w:sz w:val="24"/>
          <w:szCs w:val="24"/>
        </w:rPr>
        <w:t xml:space="preserve">.  </w:t>
      </w:r>
      <w:r w:rsidRPr="00B83421">
        <w:rPr>
          <w:rFonts w:ascii="Times New Roman" w:hAnsi="Times New Roman" w:cs="Times New Roman"/>
          <w:sz w:val="24"/>
          <w:szCs w:val="24"/>
        </w:rPr>
        <w:t xml:space="preserve">In order to do so, we proceed as follows: the following section discusses our data sources and our selection of </w:t>
      </w:r>
      <w:r w:rsidR="00953E39" w:rsidRPr="00B83421">
        <w:rPr>
          <w:rFonts w:ascii="Times New Roman" w:hAnsi="Times New Roman" w:cs="Times New Roman"/>
          <w:sz w:val="24"/>
          <w:szCs w:val="24"/>
        </w:rPr>
        <w:t>RAMs</w:t>
      </w:r>
      <w:r w:rsidR="00900366" w:rsidRPr="00B83421">
        <w:rPr>
          <w:rFonts w:ascii="Times New Roman" w:hAnsi="Times New Roman" w:cs="Times New Roman"/>
          <w:sz w:val="24"/>
          <w:szCs w:val="24"/>
        </w:rPr>
        <w:t xml:space="preserve">; </w:t>
      </w:r>
      <w:r w:rsidRPr="00B83421">
        <w:rPr>
          <w:rFonts w:ascii="Times New Roman" w:hAnsi="Times New Roman" w:cs="Times New Roman"/>
          <w:sz w:val="24"/>
          <w:szCs w:val="24"/>
        </w:rPr>
        <w:t xml:space="preserve">this is followed by a presentation of our results; and the paper concludes with a summary of work and a discussion of the </w:t>
      </w:r>
      <w:r w:rsidR="00601CE8" w:rsidRPr="00B83421">
        <w:rPr>
          <w:rFonts w:ascii="Times New Roman" w:hAnsi="Times New Roman" w:cs="Times New Roman"/>
          <w:sz w:val="24"/>
          <w:szCs w:val="24"/>
        </w:rPr>
        <w:t>i</w:t>
      </w:r>
      <w:r w:rsidRPr="00B83421">
        <w:rPr>
          <w:rFonts w:ascii="Times New Roman" w:hAnsi="Times New Roman" w:cs="Times New Roman"/>
          <w:sz w:val="24"/>
          <w:szCs w:val="24"/>
        </w:rPr>
        <w:t xml:space="preserve">mplications of our findings.  </w:t>
      </w:r>
    </w:p>
    <w:p w14:paraId="15294D31" w14:textId="77777777" w:rsidR="00EA6568" w:rsidRDefault="00EA6568" w:rsidP="00316E1D">
      <w:pPr>
        <w:spacing w:after="0" w:line="288" w:lineRule="auto"/>
        <w:ind w:firstLine="720"/>
        <w:jc w:val="both"/>
        <w:rPr>
          <w:rFonts w:ascii="Times New Roman" w:hAnsi="Times New Roman" w:cs="Times New Roman"/>
          <w:sz w:val="24"/>
          <w:szCs w:val="24"/>
        </w:rPr>
      </w:pPr>
    </w:p>
    <w:p w14:paraId="292B6E5B" w14:textId="77777777" w:rsidR="007E3B14" w:rsidRDefault="007E3B14" w:rsidP="00316E1D">
      <w:pPr>
        <w:pStyle w:val="ListParagraph"/>
        <w:numPr>
          <w:ilvl w:val="0"/>
          <w:numId w:val="3"/>
        </w:numPr>
        <w:spacing w:after="0" w:line="288" w:lineRule="auto"/>
        <w:ind w:left="426" w:hanging="426"/>
        <w:jc w:val="both"/>
        <w:rPr>
          <w:rFonts w:ascii="Times New Roman" w:hAnsi="Times New Roman" w:cs="Times New Roman"/>
          <w:b/>
          <w:sz w:val="24"/>
          <w:szCs w:val="24"/>
        </w:rPr>
      </w:pPr>
      <w:r w:rsidRPr="00EA6568">
        <w:rPr>
          <w:rFonts w:ascii="Times New Roman" w:hAnsi="Times New Roman" w:cs="Times New Roman"/>
          <w:b/>
          <w:sz w:val="24"/>
          <w:szCs w:val="24"/>
        </w:rPr>
        <w:t>Data and the Selection of Research Assessment Measures</w:t>
      </w:r>
    </w:p>
    <w:p w14:paraId="615D62CE" w14:textId="77777777" w:rsidR="008B39E9" w:rsidRPr="008B39E9" w:rsidRDefault="008B39E9" w:rsidP="008B39E9">
      <w:pPr>
        <w:pStyle w:val="ListParagraph"/>
        <w:spacing w:after="0" w:line="288" w:lineRule="auto"/>
        <w:ind w:left="426"/>
        <w:jc w:val="both"/>
        <w:rPr>
          <w:rFonts w:ascii="Times New Roman" w:hAnsi="Times New Roman" w:cs="Times New Roman"/>
          <w:b/>
          <w:sz w:val="12"/>
          <w:szCs w:val="12"/>
        </w:rPr>
      </w:pPr>
    </w:p>
    <w:p w14:paraId="7DDB42E8" w14:textId="5C1290EC" w:rsidR="00DB5376" w:rsidRDefault="00F65F00" w:rsidP="00316E1D">
      <w:pPr>
        <w:spacing w:after="0" w:line="288" w:lineRule="auto"/>
        <w:jc w:val="both"/>
        <w:rPr>
          <w:rFonts w:ascii="Times New Roman" w:hAnsi="Times New Roman" w:cs="Times New Roman"/>
          <w:sz w:val="24"/>
          <w:szCs w:val="24"/>
        </w:rPr>
      </w:pPr>
      <w:r w:rsidRPr="00B83421">
        <w:rPr>
          <w:rFonts w:ascii="Times New Roman" w:hAnsi="Times New Roman" w:cs="Times New Roman"/>
          <w:sz w:val="24"/>
          <w:szCs w:val="24"/>
        </w:rPr>
        <w:t xml:space="preserve">For purposes of this study, we have restricted countable research to </w:t>
      </w:r>
      <w:r w:rsidR="00AB39C6" w:rsidRPr="00B83421">
        <w:rPr>
          <w:rFonts w:ascii="Times New Roman" w:hAnsi="Times New Roman" w:cs="Times New Roman"/>
          <w:sz w:val="24"/>
          <w:szCs w:val="24"/>
        </w:rPr>
        <w:t xml:space="preserve">refereed </w:t>
      </w:r>
      <w:r w:rsidRPr="00B83421">
        <w:rPr>
          <w:rFonts w:ascii="Times New Roman" w:hAnsi="Times New Roman" w:cs="Times New Roman"/>
          <w:sz w:val="24"/>
          <w:szCs w:val="24"/>
        </w:rPr>
        <w:t xml:space="preserve">papers published in journals listed in </w:t>
      </w:r>
      <w:proofErr w:type="spellStart"/>
      <w:r w:rsidRPr="00B83421">
        <w:rPr>
          <w:rFonts w:ascii="Times New Roman" w:hAnsi="Times New Roman" w:cs="Times New Roman"/>
          <w:sz w:val="24"/>
          <w:szCs w:val="24"/>
        </w:rPr>
        <w:t>EconLit</w:t>
      </w:r>
      <w:proofErr w:type="spellEnd"/>
      <w:r w:rsidR="00C7046D" w:rsidRPr="00B83421">
        <w:rPr>
          <w:rFonts w:ascii="Times New Roman" w:hAnsi="Times New Roman" w:cs="Times New Roman"/>
          <w:sz w:val="24"/>
          <w:szCs w:val="24"/>
        </w:rPr>
        <w:t xml:space="preserve"> as at 17 July 2012.  We acknowledge that this ignores books, conference papers and working papers; however, it is widely acknowledged that the primary currency in the PBRF decision process is refereed articles.  Our staff census date was 15 April 2012: at that time there were 134 academics employed in New Zealand</w:t>
      </w:r>
      <w:r w:rsidR="00DA5314" w:rsidRPr="00B83421">
        <w:rPr>
          <w:rFonts w:ascii="Times New Roman" w:hAnsi="Times New Roman" w:cs="Times New Roman"/>
          <w:sz w:val="24"/>
          <w:szCs w:val="24"/>
        </w:rPr>
        <w:t>’s</w:t>
      </w:r>
      <w:r w:rsidR="00C7046D" w:rsidRPr="00B83421">
        <w:rPr>
          <w:rFonts w:ascii="Times New Roman" w:hAnsi="Times New Roman" w:cs="Times New Roman"/>
          <w:sz w:val="24"/>
          <w:szCs w:val="24"/>
        </w:rPr>
        <w:t xml:space="preserve"> eight economics departments.  However, only 11</w:t>
      </w:r>
      <w:r w:rsidR="00BE1241" w:rsidRPr="00B83421">
        <w:rPr>
          <w:rFonts w:ascii="Times New Roman" w:hAnsi="Times New Roman" w:cs="Times New Roman"/>
          <w:sz w:val="24"/>
          <w:szCs w:val="24"/>
        </w:rPr>
        <w:t>3</w:t>
      </w:r>
      <w:r w:rsidR="00C7046D" w:rsidRPr="00B83421">
        <w:rPr>
          <w:rFonts w:ascii="Times New Roman" w:hAnsi="Times New Roman" w:cs="Times New Roman"/>
          <w:sz w:val="24"/>
          <w:szCs w:val="24"/>
        </w:rPr>
        <w:t xml:space="preserve"> of these researchers were research active: that is only </w:t>
      </w:r>
      <w:r w:rsidR="00BE1241" w:rsidRPr="00B83421">
        <w:rPr>
          <w:rFonts w:ascii="Times New Roman" w:hAnsi="Times New Roman" w:cs="Times New Roman"/>
          <w:sz w:val="24"/>
          <w:szCs w:val="24"/>
        </w:rPr>
        <w:t>84</w:t>
      </w:r>
      <w:r w:rsidR="00AB39C6" w:rsidRPr="00B83421">
        <w:rPr>
          <w:rFonts w:ascii="Times New Roman" w:hAnsi="Times New Roman" w:cs="Times New Roman"/>
          <w:sz w:val="24"/>
          <w:szCs w:val="24"/>
        </w:rPr>
        <w:t>% of</w:t>
      </w:r>
      <w:r w:rsidR="00C7046D" w:rsidRPr="00B83421">
        <w:rPr>
          <w:rFonts w:ascii="Times New Roman" w:hAnsi="Times New Roman" w:cs="Times New Roman"/>
          <w:sz w:val="24"/>
          <w:szCs w:val="24"/>
        </w:rPr>
        <w:t xml:space="preserve"> </w:t>
      </w:r>
      <w:r w:rsidR="00902A61" w:rsidRPr="00B83421">
        <w:rPr>
          <w:rFonts w:ascii="Times New Roman" w:hAnsi="Times New Roman" w:cs="Times New Roman"/>
          <w:sz w:val="24"/>
          <w:szCs w:val="24"/>
        </w:rPr>
        <w:t xml:space="preserve">academic economists </w:t>
      </w:r>
      <w:r w:rsidR="00C7046D" w:rsidRPr="00B83421">
        <w:rPr>
          <w:rFonts w:ascii="Times New Roman" w:hAnsi="Times New Roman" w:cs="Times New Roman"/>
          <w:sz w:val="24"/>
          <w:szCs w:val="24"/>
        </w:rPr>
        <w:t xml:space="preserve">published a paper, or part thereof, in </w:t>
      </w:r>
      <w:r w:rsidR="004A6FDA" w:rsidRPr="00B83421">
        <w:rPr>
          <w:rFonts w:ascii="Times New Roman" w:hAnsi="Times New Roman" w:cs="Times New Roman"/>
          <w:sz w:val="24"/>
          <w:szCs w:val="24"/>
        </w:rPr>
        <w:t xml:space="preserve">at least </w:t>
      </w:r>
      <w:r w:rsidR="00C7046D" w:rsidRPr="00B83421">
        <w:rPr>
          <w:rFonts w:ascii="Times New Roman" w:hAnsi="Times New Roman" w:cs="Times New Roman"/>
          <w:sz w:val="24"/>
          <w:szCs w:val="24"/>
        </w:rPr>
        <w:t xml:space="preserve">one </w:t>
      </w:r>
      <w:proofErr w:type="spellStart"/>
      <w:r w:rsidR="004A6FDA" w:rsidRPr="00B83421">
        <w:rPr>
          <w:rFonts w:ascii="Times New Roman" w:hAnsi="Times New Roman" w:cs="Times New Roman"/>
          <w:sz w:val="24"/>
          <w:szCs w:val="24"/>
        </w:rPr>
        <w:t>E</w:t>
      </w:r>
      <w:r w:rsidR="00C7046D" w:rsidRPr="00B83421">
        <w:rPr>
          <w:rFonts w:ascii="Times New Roman" w:hAnsi="Times New Roman" w:cs="Times New Roman"/>
          <w:sz w:val="24"/>
          <w:szCs w:val="24"/>
        </w:rPr>
        <w:t>conLit</w:t>
      </w:r>
      <w:proofErr w:type="spellEnd"/>
      <w:r w:rsidR="00C7046D" w:rsidRPr="00B83421">
        <w:rPr>
          <w:rFonts w:ascii="Times New Roman" w:hAnsi="Times New Roman" w:cs="Times New Roman"/>
          <w:sz w:val="24"/>
          <w:szCs w:val="24"/>
        </w:rPr>
        <w:t xml:space="preserve"> listed journal over the period 1 January 2006 to 31 December 2011.  </w:t>
      </w:r>
      <w:r w:rsidR="00DB5376" w:rsidRPr="00B83421">
        <w:rPr>
          <w:rFonts w:ascii="Times New Roman" w:hAnsi="Times New Roman" w:cs="Times New Roman"/>
          <w:sz w:val="24"/>
          <w:szCs w:val="24"/>
        </w:rPr>
        <w:t xml:space="preserve">We deem members of this group to be </w:t>
      </w:r>
      <w:r w:rsidR="00FA51D3">
        <w:rPr>
          <w:rFonts w:ascii="Times New Roman" w:hAnsi="Times New Roman" w:cs="Times New Roman"/>
          <w:sz w:val="24"/>
          <w:szCs w:val="24"/>
        </w:rPr>
        <w:t>'</w:t>
      </w:r>
      <w:r w:rsidR="00DB5376" w:rsidRPr="00B83421">
        <w:rPr>
          <w:rFonts w:ascii="Times New Roman" w:hAnsi="Times New Roman" w:cs="Times New Roman"/>
          <w:sz w:val="24"/>
          <w:szCs w:val="24"/>
        </w:rPr>
        <w:t>Active Staff</w:t>
      </w:r>
      <w:r w:rsidR="00FA51D3">
        <w:rPr>
          <w:rFonts w:ascii="Times New Roman" w:hAnsi="Times New Roman" w:cs="Times New Roman"/>
          <w:sz w:val="24"/>
          <w:szCs w:val="24"/>
        </w:rPr>
        <w:t>'</w:t>
      </w:r>
      <w:r w:rsidR="00DB5376" w:rsidRPr="00B83421">
        <w:rPr>
          <w:rFonts w:ascii="Times New Roman" w:hAnsi="Times New Roman" w:cs="Times New Roman"/>
          <w:sz w:val="24"/>
          <w:szCs w:val="24"/>
        </w:rPr>
        <w:t xml:space="preserve">; and given that the focus of this paper is </w:t>
      </w:r>
      <w:r w:rsidR="00DA5314" w:rsidRPr="00B83421">
        <w:rPr>
          <w:rFonts w:ascii="Times New Roman" w:hAnsi="Times New Roman" w:cs="Times New Roman"/>
          <w:sz w:val="24"/>
          <w:szCs w:val="24"/>
        </w:rPr>
        <w:t xml:space="preserve">on </w:t>
      </w:r>
      <w:r w:rsidR="00DB5376" w:rsidRPr="00B83421">
        <w:rPr>
          <w:rFonts w:ascii="Times New Roman" w:hAnsi="Times New Roman" w:cs="Times New Roman"/>
          <w:sz w:val="24"/>
          <w:szCs w:val="24"/>
        </w:rPr>
        <w:t xml:space="preserve">the stability of researcher rankings across various research assessment measures, this is the obvious study target group.  </w:t>
      </w:r>
    </w:p>
    <w:p w14:paraId="56A461BC" w14:textId="77777777" w:rsidR="008B39E9" w:rsidRPr="00B83421" w:rsidRDefault="008B39E9" w:rsidP="00316E1D">
      <w:pPr>
        <w:spacing w:after="0" w:line="288" w:lineRule="auto"/>
        <w:jc w:val="both"/>
        <w:rPr>
          <w:rFonts w:ascii="Times New Roman" w:hAnsi="Times New Roman" w:cs="Times New Roman"/>
          <w:sz w:val="24"/>
          <w:szCs w:val="24"/>
        </w:rPr>
      </w:pPr>
    </w:p>
    <w:p w14:paraId="292B6E5C" w14:textId="05607F82" w:rsidR="007E3B14" w:rsidRPr="00B83421" w:rsidRDefault="00902A61" w:rsidP="00316E1D">
      <w:pPr>
        <w:spacing w:after="0" w:line="288" w:lineRule="auto"/>
        <w:ind w:firstLine="720"/>
        <w:jc w:val="both"/>
        <w:rPr>
          <w:rFonts w:ascii="Times New Roman" w:hAnsi="Times New Roman" w:cs="Times New Roman"/>
          <w:sz w:val="24"/>
          <w:szCs w:val="24"/>
        </w:rPr>
      </w:pPr>
      <w:r w:rsidRPr="00B83421">
        <w:rPr>
          <w:rFonts w:ascii="Times New Roman" w:hAnsi="Times New Roman" w:cs="Times New Roman"/>
          <w:sz w:val="24"/>
          <w:szCs w:val="24"/>
        </w:rPr>
        <w:t xml:space="preserve">The primary information source for publications was individual CVs </w:t>
      </w:r>
      <w:r w:rsidR="00140D87" w:rsidRPr="00B83421">
        <w:rPr>
          <w:rFonts w:ascii="Times New Roman" w:hAnsi="Times New Roman" w:cs="Times New Roman"/>
          <w:sz w:val="24"/>
          <w:szCs w:val="24"/>
        </w:rPr>
        <w:t xml:space="preserve">listed </w:t>
      </w:r>
      <w:r w:rsidRPr="00B83421">
        <w:rPr>
          <w:rFonts w:ascii="Times New Roman" w:hAnsi="Times New Roman" w:cs="Times New Roman"/>
          <w:sz w:val="24"/>
          <w:szCs w:val="24"/>
        </w:rPr>
        <w:t xml:space="preserve">on departmental </w:t>
      </w:r>
      <w:r w:rsidR="00C319A3" w:rsidRPr="00B83421">
        <w:rPr>
          <w:rFonts w:ascii="Times New Roman" w:hAnsi="Times New Roman" w:cs="Times New Roman"/>
          <w:sz w:val="24"/>
          <w:szCs w:val="24"/>
        </w:rPr>
        <w:t xml:space="preserve">and/or personal </w:t>
      </w:r>
      <w:r w:rsidRPr="00B83421">
        <w:rPr>
          <w:rFonts w:ascii="Times New Roman" w:hAnsi="Times New Roman" w:cs="Times New Roman"/>
          <w:sz w:val="24"/>
          <w:szCs w:val="24"/>
        </w:rPr>
        <w:t>websites</w:t>
      </w:r>
      <w:r w:rsidR="00A6501D" w:rsidRPr="00B83421">
        <w:rPr>
          <w:rFonts w:ascii="Times New Roman" w:hAnsi="Times New Roman" w:cs="Times New Roman"/>
          <w:sz w:val="24"/>
          <w:szCs w:val="24"/>
        </w:rPr>
        <w:t xml:space="preserve">, </w:t>
      </w:r>
      <w:r w:rsidRPr="00B83421">
        <w:rPr>
          <w:rFonts w:ascii="Times New Roman" w:hAnsi="Times New Roman" w:cs="Times New Roman"/>
          <w:sz w:val="24"/>
          <w:szCs w:val="24"/>
        </w:rPr>
        <w:t>supplemented by scrutiny of other websites such as Web-of-Science (</w:t>
      </w:r>
      <w:proofErr w:type="spellStart"/>
      <w:r w:rsidRPr="00B83421">
        <w:rPr>
          <w:rFonts w:ascii="Times New Roman" w:hAnsi="Times New Roman" w:cs="Times New Roman"/>
          <w:sz w:val="24"/>
          <w:szCs w:val="24"/>
        </w:rPr>
        <w:t>W</w:t>
      </w:r>
      <w:r w:rsidR="00A179DF" w:rsidRPr="00B83421">
        <w:rPr>
          <w:rFonts w:ascii="Times New Roman" w:hAnsi="Times New Roman" w:cs="Times New Roman"/>
          <w:sz w:val="24"/>
          <w:szCs w:val="24"/>
        </w:rPr>
        <w:t>o</w:t>
      </w:r>
      <w:r w:rsidRPr="00B83421">
        <w:rPr>
          <w:rFonts w:ascii="Times New Roman" w:hAnsi="Times New Roman" w:cs="Times New Roman"/>
          <w:sz w:val="24"/>
          <w:szCs w:val="24"/>
        </w:rPr>
        <w:t>S</w:t>
      </w:r>
      <w:proofErr w:type="spellEnd"/>
      <w:r w:rsidR="007624D7" w:rsidRPr="00B83421">
        <w:rPr>
          <w:rFonts w:ascii="Times New Roman" w:hAnsi="Times New Roman" w:cs="Times New Roman"/>
          <w:sz w:val="24"/>
          <w:szCs w:val="24"/>
        </w:rPr>
        <w:t>)</w:t>
      </w:r>
      <w:r w:rsidR="00670341">
        <w:rPr>
          <w:rFonts w:ascii="Times New Roman" w:hAnsi="Times New Roman" w:cs="Times New Roman"/>
          <w:sz w:val="24"/>
          <w:szCs w:val="24"/>
        </w:rPr>
        <w:t xml:space="preserve">, </w:t>
      </w:r>
      <w:proofErr w:type="spellStart"/>
      <w:r w:rsidR="00670341">
        <w:rPr>
          <w:rFonts w:ascii="Times New Roman" w:hAnsi="Times New Roman" w:cs="Times New Roman"/>
          <w:sz w:val="24"/>
          <w:szCs w:val="24"/>
        </w:rPr>
        <w:t>EconLit</w:t>
      </w:r>
      <w:proofErr w:type="spellEnd"/>
      <w:r w:rsidR="00670341">
        <w:rPr>
          <w:rFonts w:ascii="Times New Roman" w:hAnsi="Times New Roman" w:cs="Times New Roman"/>
          <w:sz w:val="24"/>
          <w:szCs w:val="24"/>
        </w:rPr>
        <w:t>, RePEc</w:t>
      </w:r>
      <w:r w:rsidRPr="00B83421">
        <w:rPr>
          <w:rFonts w:ascii="Times New Roman" w:hAnsi="Times New Roman" w:cs="Times New Roman"/>
          <w:sz w:val="24"/>
          <w:szCs w:val="24"/>
        </w:rPr>
        <w:t xml:space="preserve"> and Google Scholar (GS).</w:t>
      </w:r>
      <w:r w:rsidR="00AB39C6" w:rsidRPr="00B83421">
        <w:rPr>
          <w:rStyle w:val="FootnoteReference"/>
          <w:rFonts w:ascii="Times New Roman" w:hAnsi="Times New Roman" w:cs="Times New Roman"/>
          <w:sz w:val="24"/>
          <w:szCs w:val="24"/>
        </w:rPr>
        <w:footnoteReference w:id="4"/>
      </w:r>
      <w:r w:rsidR="00AB39C6" w:rsidRPr="00B83421">
        <w:rPr>
          <w:rFonts w:ascii="Times New Roman" w:hAnsi="Times New Roman" w:cs="Times New Roman"/>
          <w:sz w:val="24"/>
          <w:szCs w:val="24"/>
        </w:rPr>
        <w:t xml:space="preserve"> </w:t>
      </w:r>
      <w:r w:rsidRPr="00B83421">
        <w:rPr>
          <w:rFonts w:ascii="Times New Roman" w:hAnsi="Times New Roman" w:cs="Times New Roman"/>
          <w:sz w:val="24"/>
          <w:szCs w:val="24"/>
        </w:rPr>
        <w:t xml:space="preserve"> In total, New Zealand economists published 74</w:t>
      </w:r>
      <w:r w:rsidR="00563640" w:rsidRPr="00B83421">
        <w:rPr>
          <w:rFonts w:ascii="Times New Roman" w:hAnsi="Times New Roman" w:cs="Times New Roman"/>
          <w:sz w:val="24"/>
          <w:szCs w:val="24"/>
        </w:rPr>
        <w:t>3</w:t>
      </w:r>
      <w:r w:rsidRPr="00B83421">
        <w:rPr>
          <w:rFonts w:ascii="Times New Roman" w:hAnsi="Times New Roman" w:cs="Times New Roman"/>
          <w:sz w:val="24"/>
          <w:szCs w:val="24"/>
        </w:rPr>
        <w:t xml:space="preserve"> refereed papers in </w:t>
      </w:r>
      <w:proofErr w:type="spellStart"/>
      <w:r w:rsidRPr="00B83421">
        <w:rPr>
          <w:rFonts w:ascii="Times New Roman" w:hAnsi="Times New Roman" w:cs="Times New Roman"/>
          <w:sz w:val="24"/>
          <w:szCs w:val="24"/>
        </w:rPr>
        <w:t>EconLit</w:t>
      </w:r>
      <w:proofErr w:type="spellEnd"/>
      <w:r w:rsidRPr="00B83421">
        <w:rPr>
          <w:rFonts w:ascii="Times New Roman" w:hAnsi="Times New Roman" w:cs="Times New Roman"/>
          <w:sz w:val="24"/>
          <w:szCs w:val="24"/>
        </w:rPr>
        <w:t xml:space="preserve"> listed journals over the six year period commencing on 1 January 2006.</w:t>
      </w:r>
      <w:r w:rsidR="00C319A3" w:rsidRPr="00B83421">
        <w:rPr>
          <w:rFonts w:ascii="Times New Roman" w:hAnsi="Times New Roman" w:cs="Times New Roman"/>
          <w:sz w:val="24"/>
          <w:szCs w:val="24"/>
        </w:rPr>
        <w:t xml:space="preserve"> </w:t>
      </w:r>
      <w:r w:rsidR="00670341">
        <w:rPr>
          <w:rFonts w:ascii="Times New Roman" w:hAnsi="Times New Roman" w:cs="Times New Roman"/>
          <w:sz w:val="24"/>
          <w:szCs w:val="24"/>
        </w:rPr>
        <w:t xml:space="preserve"> </w:t>
      </w:r>
      <w:r w:rsidR="00C319A3" w:rsidRPr="00B83421">
        <w:rPr>
          <w:rFonts w:ascii="Times New Roman" w:hAnsi="Times New Roman" w:cs="Times New Roman"/>
          <w:sz w:val="24"/>
          <w:szCs w:val="24"/>
        </w:rPr>
        <w:t>Of relevance to later work</w:t>
      </w:r>
      <w:r w:rsidR="004375B3" w:rsidRPr="00B83421">
        <w:rPr>
          <w:rFonts w:ascii="Times New Roman" w:hAnsi="Times New Roman" w:cs="Times New Roman"/>
          <w:sz w:val="24"/>
          <w:szCs w:val="24"/>
        </w:rPr>
        <w:t xml:space="preserve"> </w:t>
      </w:r>
      <w:r w:rsidR="00C319A3" w:rsidRPr="00B83421">
        <w:rPr>
          <w:rFonts w:ascii="Times New Roman" w:hAnsi="Times New Roman" w:cs="Times New Roman"/>
          <w:sz w:val="24"/>
          <w:szCs w:val="24"/>
        </w:rPr>
        <w:t xml:space="preserve">is the fact that publications were not evenly distributed over the six year </w:t>
      </w:r>
      <w:r w:rsidR="00670341">
        <w:rPr>
          <w:rFonts w:ascii="Times New Roman" w:hAnsi="Times New Roman" w:cs="Times New Roman"/>
          <w:sz w:val="24"/>
          <w:szCs w:val="24"/>
        </w:rPr>
        <w:t>period. I</w:t>
      </w:r>
      <w:r w:rsidR="006D5F21">
        <w:rPr>
          <w:rFonts w:ascii="Times New Roman" w:hAnsi="Times New Roman" w:cs="Times New Roman"/>
          <w:sz w:val="24"/>
          <w:szCs w:val="24"/>
        </w:rPr>
        <w:t>nstead the data were</w:t>
      </w:r>
      <w:r w:rsidR="00C319A3" w:rsidRPr="00B83421">
        <w:rPr>
          <w:rFonts w:ascii="Times New Roman" w:hAnsi="Times New Roman" w:cs="Times New Roman"/>
          <w:sz w:val="24"/>
          <w:szCs w:val="24"/>
        </w:rPr>
        <w:t xml:space="preserve"> somewhat skewed towards the latter part of the period.  More specifically, </w:t>
      </w:r>
      <w:r w:rsidR="000A7F68" w:rsidRPr="00B83421">
        <w:rPr>
          <w:rFonts w:ascii="Times New Roman" w:hAnsi="Times New Roman" w:cs="Times New Roman"/>
          <w:sz w:val="24"/>
          <w:szCs w:val="24"/>
        </w:rPr>
        <w:t xml:space="preserve">59.1 percent </w:t>
      </w:r>
      <w:r w:rsidR="00ED0A38" w:rsidRPr="00B83421">
        <w:rPr>
          <w:rFonts w:ascii="Times New Roman" w:hAnsi="Times New Roman" w:cs="Times New Roman"/>
          <w:sz w:val="24"/>
          <w:szCs w:val="24"/>
        </w:rPr>
        <w:t>of papers were published in the last half of the six year cycle</w:t>
      </w:r>
      <w:r w:rsidR="00670341">
        <w:rPr>
          <w:rFonts w:ascii="Times New Roman" w:hAnsi="Times New Roman" w:cs="Times New Roman"/>
          <w:sz w:val="24"/>
          <w:szCs w:val="24"/>
        </w:rPr>
        <w:t xml:space="preserve">, with the largest number </w:t>
      </w:r>
      <w:r w:rsidR="00ED0A38" w:rsidRPr="00B83421">
        <w:rPr>
          <w:rFonts w:ascii="Times New Roman" w:hAnsi="Times New Roman" w:cs="Times New Roman"/>
          <w:sz w:val="24"/>
          <w:szCs w:val="24"/>
        </w:rPr>
        <w:t>published in 2011.</w:t>
      </w:r>
      <w:r w:rsidR="00563640" w:rsidRPr="00B83421">
        <w:rPr>
          <w:rStyle w:val="FootnoteReference"/>
          <w:rFonts w:ascii="Times New Roman" w:hAnsi="Times New Roman" w:cs="Times New Roman"/>
          <w:sz w:val="24"/>
          <w:szCs w:val="24"/>
        </w:rPr>
        <w:footnoteReference w:id="5"/>
      </w:r>
      <w:r w:rsidR="00ED0A38" w:rsidRPr="00B83421">
        <w:rPr>
          <w:rFonts w:ascii="Times New Roman" w:hAnsi="Times New Roman" w:cs="Times New Roman"/>
          <w:sz w:val="24"/>
          <w:szCs w:val="24"/>
        </w:rPr>
        <w:t xml:space="preserve">  </w:t>
      </w:r>
      <w:r w:rsidR="00910A27" w:rsidRPr="00B83421">
        <w:rPr>
          <w:rFonts w:ascii="Times New Roman" w:hAnsi="Times New Roman" w:cs="Times New Roman"/>
          <w:sz w:val="24"/>
          <w:szCs w:val="24"/>
        </w:rPr>
        <w:t>Since</w:t>
      </w:r>
      <w:r w:rsidR="00953E39" w:rsidRPr="00B83421">
        <w:rPr>
          <w:rFonts w:ascii="Times New Roman" w:hAnsi="Times New Roman" w:cs="Times New Roman"/>
          <w:sz w:val="24"/>
          <w:szCs w:val="24"/>
        </w:rPr>
        <w:t>,</w:t>
      </w:r>
      <w:r w:rsidR="00910A27" w:rsidRPr="00B83421">
        <w:rPr>
          <w:rFonts w:ascii="Times New Roman" w:hAnsi="Times New Roman" w:cs="Times New Roman"/>
          <w:sz w:val="24"/>
          <w:szCs w:val="24"/>
        </w:rPr>
        <w:t xml:space="preserve"> for an individual researcher</w:t>
      </w:r>
      <w:r w:rsidR="00953E39" w:rsidRPr="00B83421">
        <w:rPr>
          <w:rFonts w:ascii="Times New Roman" w:hAnsi="Times New Roman" w:cs="Times New Roman"/>
          <w:sz w:val="24"/>
          <w:szCs w:val="24"/>
        </w:rPr>
        <w:t>,</w:t>
      </w:r>
      <w:r w:rsidR="00910A27" w:rsidRPr="00B83421">
        <w:rPr>
          <w:rFonts w:ascii="Times New Roman" w:hAnsi="Times New Roman" w:cs="Times New Roman"/>
          <w:sz w:val="24"/>
          <w:szCs w:val="24"/>
        </w:rPr>
        <w:t xml:space="preserve"> the PBRF letter grade stays the same for six years, thi</w:t>
      </w:r>
      <w:r w:rsidR="001519E2" w:rsidRPr="00B83421">
        <w:rPr>
          <w:rFonts w:ascii="Times New Roman" w:hAnsi="Times New Roman" w:cs="Times New Roman"/>
          <w:sz w:val="24"/>
          <w:szCs w:val="24"/>
        </w:rPr>
        <w:t>s</w:t>
      </w:r>
      <w:r w:rsidR="004A6FDA" w:rsidRPr="00B83421">
        <w:rPr>
          <w:rFonts w:ascii="Times New Roman" w:hAnsi="Times New Roman" w:cs="Times New Roman"/>
          <w:sz w:val="24"/>
          <w:szCs w:val="24"/>
        </w:rPr>
        <w:t xml:space="preserve"> </w:t>
      </w:r>
      <w:r w:rsidR="00FA51D3">
        <w:rPr>
          <w:rFonts w:ascii="Times New Roman" w:hAnsi="Times New Roman" w:cs="Times New Roman"/>
          <w:sz w:val="24"/>
          <w:szCs w:val="24"/>
        </w:rPr>
        <w:t>'</w:t>
      </w:r>
      <w:r w:rsidR="00F021D4" w:rsidRPr="00B83421">
        <w:rPr>
          <w:rFonts w:ascii="Times New Roman" w:hAnsi="Times New Roman" w:cs="Times New Roman"/>
          <w:sz w:val="24"/>
          <w:szCs w:val="24"/>
        </w:rPr>
        <w:t>rush to the finish line</w:t>
      </w:r>
      <w:r w:rsidR="00FA51D3">
        <w:rPr>
          <w:rFonts w:ascii="Times New Roman" w:hAnsi="Times New Roman" w:cs="Times New Roman"/>
          <w:sz w:val="24"/>
          <w:szCs w:val="24"/>
        </w:rPr>
        <w:t>'</w:t>
      </w:r>
      <w:r w:rsidR="004A6FDA" w:rsidRPr="00B83421">
        <w:rPr>
          <w:rFonts w:ascii="Times New Roman" w:hAnsi="Times New Roman" w:cs="Times New Roman"/>
          <w:sz w:val="24"/>
          <w:szCs w:val="24"/>
        </w:rPr>
        <w:t xml:space="preserve"> is to be </w:t>
      </w:r>
      <w:r w:rsidR="001519E2" w:rsidRPr="00B83421">
        <w:rPr>
          <w:rFonts w:ascii="Times New Roman" w:hAnsi="Times New Roman" w:cs="Times New Roman"/>
          <w:sz w:val="24"/>
          <w:szCs w:val="24"/>
        </w:rPr>
        <w:t>expected</w:t>
      </w:r>
      <w:r w:rsidR="00DA5314" w:rsidRPr="00B83421">
        <w:rPr>
          <w:rFonts w:ascii="Times New Roman" w:hAnsi="Times New Roman" w:cs="Times New Roman"/>
          <w:sz w:val="24"/>
          <w:szCs w:val="24"/>
        </w:rPr>
        <w:t xml:space="preserve">, </w:t>
      </w:r>
      <w:r w:rsidR="001519E2" w:rsidRPr="00B83421">
        <w:rPr>
          <w:rFonts w:ascii="Times New Roman" w:hAnsi="Times New Roman" w:cs="Times New Roman"/>
          <w:sz w:val="24"/>
          <w:szCs w:val="24"/>
        </w:rPr>
        <w:t>especially for new entrants and those with promotion prospects or desires to relocate</w:t>
      </w:r>
      <w:r w:rsidR="00910A27" w:rsidRPr="00B83421">
        <w:rPr>
          <w:rFonts w:ascii="Times New Roman" w:hAnsi="Times New Roman" w:cs="Times New Roman"/>
          <w:sz w:val="24"/>
          <w:szCs w:val="24"/>
        </w:rPr>
        <w:t>.</w:t>
      </w:r>
      <w:r w:rsidR="001519E2" w:rsidRPr="00B83421">
        <w:rPr>
          <w:rStyle w:val="FootnoteReference"/>
          <w:rFonts w:ascii="Times New Roman" w:hAnsi="Times New Roman" w:cs="Times New Roman"/>
          <w:sz w:val="24"/>
          <w:szCs w:val="24"/>
        </w:rPr>
        <w:footnoteReference w:id="6"/>
      </w:r>
      <w:r w:rsidR="00ED0A38" w:rsidRPr="00B83421">
        <w:rPr>
          <w:rFonts w:ascii="Times New Roman" w:hAnsi="Times New Roman" w:cs="Times New Roman"/>
          <w:sz w:val="24"/>
          <w:szCs w:val="24"/>
        </w:rPr>
        <w:t xml:space="preserve">  </w:t>
      </w:r>
    </w:p>
    <w:p w14:paraId="292B6E5D" w14:textId="18378A30" w:rsidR="00C319A3" w:rsidRDefault="001D5844" w:rsidP="00316E1D">
      <w:pPr>
        <w:spacing w:after="0" w:line="288" w:lineRule="auto"/>
        <w:ind w:firstLine="720"/>
        <w:jc w:val="both"/>
        <w:rPr>
          <w:rFonts w:ascii="Times New Roman" w:hAnsi="Times New Roman" w:cs="Times New Roman"/>
          <w:sz w:val="24"/>
          <w:szCs w:val="24"/>
        </w:rPr>
      </w:pPr>
      <w:r w:rsidRPr="00B83421">
        <w:rPr>
          <w:rFonts w:ascii="Times New Roman" w:hAnsi="Times New Roman" w:cs="Times New Roman"/>
          <w:sz w:val="24"/>
          <w:szCs w:val="24"/>
        </w:rPr>
        <w:lastRenderedPageBreak/>
        <w:t xml:space="preserve">Before considering </w:t>
      </w:r>
      <w:r w:rsidR="0002232F" w:rsidRPr="00B83421">
        <w:rPr>
          <w:rFonts w:ascii="Times New Roman" w:hAnsi="Times New Roman" w:cs="Times New Roman"/>
          <w:sz w:val="24"/>
          <w:szCs w:val="24"/>
        </w:rPr>
        <w:t xml:space="preserve">specific </w:t>
      </w:r>
      <w:r w:rsidR="00953E39" w:rsidRPr="00B83421">
        <w:rPr>
          <w:rFonts w:ascii="Times New Roman" w:hAnsi="Times New Roman" w:cs="Times New Roman"/>
          <w:sz w:val="24"/>
          <w:szCs w:val="24"/>
        </w:rPr>
        <w:t xml:space="preserve">RAMs, </w:t>
      </w:r>
      <w:r w:rsidR="004508A2" w:rsidRPr="00B83421">
        <w:rPr>
          <w:rFonts w:ascii="Times New Roman" w:hAnsi="Times New Roman" w:cs="Times New Roman"/>
          <w:sz w:val="24"/>
          <w:szCs w:val="24"/>
        </w:rPr>
        <w:t>we must address a critical assumption that affects the results generated by all</w:t>
      </w:r>
      <w:r w:rsidR="00953E39" w:rsidRPr="00B83421">
        <w:rPr>
          <w:rFonts w:ascii="Times New Roman" w:hAnsi="Times New Roman" w:cs="Times New Roman"/>
          <w:sz w:val="24"/>
          <w:szCs w:val="24"/>
        </w:rPr>
        <w:t xml:space="preserve"> research</w:t>
      </w:r>
      <w:r w:rsidR="004508A2" w:rsidRPr="00B83421">
        <w:rPr>
          <w:rFonts w:ascii="Times New Roman" w:hAnsi="Times New Roman" w:cs="Times New Roman"/>
          <w:sz w:val="24"/>
          <w:szCs w:val="24"/>
        </w:rPr>
        <w:t xml:space="preserve"> </w:t>
      </w:r>
      <w:r w:rsidR="00953E39" w:rsidRPr="00B83421">
        <w:rPr>
          <w:rFonts w:ascii="Times New Roman" w:hAnsi="Times New Roman" w:cs="Times New Roman"/>
          <w:sz w:val="24"/>
          <w:szCs w:val="24"/>
        </w:rPr>
        <w:t xml:space="preserve">measurement schemes:  </w:t>
      </w:r>
      <w:r w:rsidR="0002232F" w:rsidRPr="00B83421">
        <w:rPr>
          <w:rFonts w:ascii="Times New Roman" w:hAnsi="Times New Roman" w:cs="Times New Roman"/>
          <w:sz w:val="24"/>
          <w:szCs w:val="24"/>
        </w:rPr>
        <w:t xml:space="preserve">the treatment of output shares associated with multi-authored papers.  The conventional approach is to allocate output shares on the basis of the 1/n rule.  For example, </w:t>
      </w:r>
      <w:r w:rsidR="00F021D4" w:rsidRPr="00B83421">
        <w:rPr>
          <w:rFonts w:ascii="Times New Roman" w:hAnsi="Times New Roman" w:cs="Times New Roman"/>
          <w:sz w:val="24"/>
          <w:szCs w:val="24"/>
        </w:rPr>
        <w:t>on</w:t>
      </w:r>
      <w:r w:rsidR="0002232F" w:rsidRPr="00B83421">
        <w:rPr>
          <w:rFonts w:ascii="Times New Roman" w:hAnsi="Times New Roman" w:cs="Times New Roman"/>
          <w:sz w:val="24"/>
          <w:szCs w:val="24"/>
        </w:rPr>
        <w:t xml:space="preserve"> a paper with three authors, each </w:t>
      </w:r>
      <w:r w:rsidR="004375B3" w:rsidRPr="00B83421">
        <w:rPr>
          <w:rFonts w:ascii="Times New Roman" w:hAnsi="Times New Roman" w:cs="Times New Roman"/>
          <w:sz w:val="24"/>
          <w:szCs w:val="24"/>
        </w:rPr>
        <w:t xml:space="preserve">researcher </w:t>
      </w:r>
      <w:r w:rsidR="0002232F" w:rsidRPr="00B83421">
        <w:rPr>
          <w:rFonts w:ascii="Times New Roman" w:hAnsi="Times New Roman" w:cs="Times New Roman"/>
          <w:sz w:val="24"/>
          <w:szCs w:val="24"/>
        </w:rPr>
        <w:t xml:space="preserve">is granted credit for 1/3 of a paper and 1/3 of the total pages associated with the paper. </w:t>
      </w:r>
      <w:r w:rsidR="00DB4525" w:rsidRPr="00B83421">
        <w:rPr>
          <w:rFonts w:ascii="Times New Roman" w:hAnsi="Times New Roman" w:cs="Times New Roman"/>
          <w:sz w:val="24"/>
          <w:szCs w:val="24"/>
        </w:rPr>
        <w:t xml:space="preserve"> To do otherwise rewards game</w:t>
      </w:r>
      <w:r w:rsidR="008B39E9">
        <w:rPr>
          <w:rFonts w:ascii="Times New Roman" w:hAnsi="Times New Roman" w:cs="Times New Roman"/>
          <w:sz w:val="24"/>
          <w:szCs w:val="24"/>
        </w:rPr>
        <w:t xml:space="preserve"> playing activities (</w:t>
      </w:r>
      <w:proofErr w:type="spellStart"/>
      <w:r w:rsidR="008B39E9">
        <w:rPr>
          <w:rFonts w:ascii="Times New Roman" w:hAnsi="Times New Roman" w:cs="Times New Roman"/>
          <w:sz w:val="24"/>
          <w:szCs w:val="24"/>
        </w:rPr>
        <w:t>Liebowitz</w:t>
      </w:r>
      <w:proofErr w:type="spellEnd"/>
      <w:r w:rsidR="008B39E9">
        <w:rPr>
          <w:rFonts w:ascii="Times New Roman" w:hAnsi="Times New Roman" w:cs="Times New Roman"/>
          <w:sz w:val="24"/>
          <w:szCs w:val="24"/>
        </w:rPr>
        <w:t xml:space="preserve"> </w:t>
      </w:r>
      <w:r w:rsidR="00DB4525" w:rsidRPr="00B83421">
        <w:rPr>
          <w:rFonts w:ascii="Times New Roman" w:hAnsi="Times New Roman" w:cs="Times New Roman"/>
          <w:sz w:val="24"/>
          <w:szCs w:val="24"/>
        </w:rPr>
        <w:t xml:space="preserve">2014).  </w:t>
      </w:r>
      <w:r w:rsidR="00A46C8A" w:rsidRPr="00B83421">
        <w:rPr>
          <w:rFonts w:ascii="Times New Roman" w:hAnsi="Times New Roman" w:cs="Times New Roman"/>
          <w:sz w:val="24"/>
          <w:szCs w:val="24"/>
        </w:rPr>
        <w:t xml:space="preserve">Although we support the </w:t>
      </w:r>
      <w:r w:rsidR="003869C7" w:rsidRPr="00B83421">
        <w:rPr>
          <w:rFonts w:ascii="Times New Roman" w:hAnsi="Times New Roman" w:cs="Times New Roman"/>
          <w:sz w:val="24"/>
          <w:szCs w:val="24"/>
        </w:rPr>
        <w:t>share allocation approach</w:t>
      </w:r>
      <w:r w:rsidR="00DB4525" w:rsidRPr="00B83421">
        <w:rPr>
          <w:rFonts w:ascii="Times New Roman" w:hAnsi="Times New Roman" w:cs="Times New Roman"/>
          <w:sz w:val="24"/>
          <w:szCs w:val="24"/>
        </w:rPr>
        <w:t xml:space="preserve"> (or complete proration in the words of </w:t>
      </w:r>
      <w:proofErr w:type="spellStart"/>
      <w:r w:rsidR="00DB4525" w:rsidRPr="00B83421">
        <w:rPr>
          <w:rFonts w:ascii="Times New Roman" w:hAnsi="Times New Roman" w:cs="Times New Roman"/>
          <w:sz w:val="24"/>
          <w:szCs w:val="24"/>
        </w:rPr>
        <w:t>Liebowitz</w:t>
      </w:r>
      <w:proofErr w:type="spellEnd"/>
      <w:r w:rsidR="00DB4525" w:rsidRPr="00B83421">
        <w:rPr>
          <w:rFonts w:ascii="Times New Roman" w:hAnsi="Times New Roman" w:cs="Times New Roman"/>
          <w:sz w:val="24"/>
          <w:szCs w:val="24"/>
        </w:rPr>
        <w:t>)</w:t>
      </w:r>
      <w:r w:rsidR="003869C7" w:rsidRPr="00B83421">
        <w:rPr>
          <w:rFonts w:ascii="Times New Roman" w:hAnsi="Times New Roman" w:cs="Times New Roman"/>
          <w:sz w:val="24"/>
          <w:szCs w:val="24"/>
        </w:rPr>
        <w:t xml:space="preserve">, </w:t>
      </w:r>
      <w:r w:rsidR="00A46C8A" w:rsidRPr="00B83421">
        <w:rPr>
          <w:rFonts w:ascii="Times New Roman" w:hAnsi="Times New Roman" w:cs="Times New Roman"/>
          <w:sz w:val="24"/>
          <w:szCs w:val="24"/>
        </w:rPr>
        <w:t xml:space="preserve">we </w:t>
      </w:r>
      <w:r w:rsidR="004A6FDA" w:rsidRPr="00B83421">
        <w:rPr>
          <w:rFonts w:ascii="Times New Roman" w:hAnsi="Times New Roman" w:cs="Times New Roman"/>
          <w:sz w:val="24"/>
          <w:szCs w:val="24"/>
        </w:rPr>
        <w:t xml:space="preserve">also </w:t>
      </w:r>
      <w:r w:rsidR="00A46C8A" w:rsidRPr="00B83421">
        <w:rPr>
          <w:rFonts w:ascii="Times New Roman" w:hAnsi="Times New Roman" w:cs="Times New Roman"/>
          <w:sz w:val="24"/>
          <w:szCs w:val="24"/>
        </w:rPr>
        <w:t>generate results based on the polar assumption of full credit to all authors so as to compare the resulting rankings with those forthcoming from the 1/n rule.</w:t>
      </w:r>
    </w:p>
    <w:p w14:paraId="7B464E86" w14:textId="77777777" w:rsidR="008B39E9" w:rsidRPr="00B83421" w:rsidRDefault="008B39E9" w:rsidP="00316E1D">
      <w:pPr>
        <w:spacing w:after="0" w:line="288" w:lineRule="auto"/>
        <w:ind w:firstLine="720"/>
        <w:jc w:val="both"/>
        <w:rPr>
          <w:rFonts w:ascii="Times New Roman" w:hAnsi="Times New Roman" w:cs="Times New Roman"/>
          <w:sz w:val="24"/>
          <w:szCs w:val="24"/>
        </w:rPr>
      </w:pPr>
    </w:p>
    <w:p w14:paraId="292B6E5E" w14:textId="02FAFFCC" w:rsidR="00155083" w:rsidRDefault="007C5593" w:rsidP="00316E1D">
      <w:pPr>
        <w:spacing w:after="0" w:line="288" w:lineRule="auto"/>
        <w:ind w:firstLine="720"/>
        <w:jc w:val="both"/>
        <w:rPr>
          <w:rFonts w:ascii="Times New Roman" w:hAnsi="Times New Roman" w:cs="Times New Roman"/>
          <w:sz w:val="24"/>
          <w:szCs w:val="24"/>
        </w:rPr>
      </w:pPr>
      <w:r w:rsidRPr="00B83421">
        <w:rPr>
          <w:rFonts w:ascii="Times New Roman" w:hAnsi="Times New Roman" w:cs="Times New Roman"/>
          <w:sz w:val="24"/>
          <w:szCs w:val="24"/>
        </w:rPr>
        <w:t xml:space="preserve">As noted in the introduction, there are two basic approaches to measuring individual research output: schemes based directly or indirectly on citation counts to individual papers, </w:t>
      </w:r>
      <w:r w:rsidR="00F250BA" w:rsidRPr="00B83421">
        <w:rPr>
          <w:rFonts w:ascii="Times New Roman" w:hAnsi="Times New Roman" w:cs="Times New Roman"/>
          <w:sz w:val="24"/>
          <w:szCs w:val="24"/>
        </w:rPr>
        <w:t xml:space="preserve">and those that rely </w:t>
      </w:r>
      <w:r w:rsidR="00080408" w:rsidRPr="00B83421">
        <w:rPr>
          <w:rFonts w:ascii="Times New Roman" w:hAnsi="Times New Roman" w:cs="Times New Roman"/>
          <w:sz w:val="24"/>
          <w:szCs w:val="24"/>
        </w:rPr>
        <w:t xml:space="preserve">on the source of publication (the journal) as a proxy measure of the expected impact of a paper.   We have opted for the latter for a number of pragmatic reasons.  </w:t>
      </w:r>
      <w:r w:rsidR="00F61EB2" w:rsidRPr="00B83421">
        <w:rPr>
          <w:rFonts w:ascii="Times New Roman" w:hAnsi="Times New Roman" w:cs="Times New Roman"/>
          <w:sz w:val="24"/>
          <w:szCs w:val="24"/>
        </w:rPr>
        <w:t>First, as</w:t>
      </w:r>
      <w:r w:rsidR="00394933">
        <w:rPr>
          <w:rFonts w:ascii="Times New Roman" w:hAnsi="Times New Roman" w:cs="Times New Roman"/>
          <w:sz w:val="24"/>
          <w:szCs w:val="24"/>
        </w:rPr>
        <w:t xml:space="preserve"> </w:t>
      </w:r>
      <w:proofErr w:type="spellStart"/>
      <w:r w:rsidR="00394933">
        <w:rPr>
          <w:rFonts w:ascii="Times New Roman" w:hAnsi="Times New Roman" w:cs="Times New Roman"/>
          <w:sz w:val="24"/>
          <w:szCs w:val="24"/>
        </w:rPr>
        <w:t>Liebowitz</w:t>
      </w:r>
      <w:proofErr w:type="spellEnd"/>
      <w:r w:rsidR="00394933">
        <w:rPr>
          <w:rFonts w:ascii="Times New Roman" w:hAnsi="Times New Roman" w:cs="Times New Roman"/>
          <w:sz w:val="24"/>
          <w:szCs w:val="24"/>
        </w:rPr>
        <w:t xml:space="preserve"> (2014, p.1268) note</w:t>
      </w:r>
      <w:r w:rsidR="00F61EB2" w:rsidRPr="00B83421">
        <w:rPr>
          <w:rFonts w:ascii="Times New Roman" w:hAnsi="Times New Roman" w:cs="Times New Roman"/>
          <w:sz w:val="24"/>
          <w:szCs w:val="24"/>
        </w:rPr>
        <w:t xml:space="preserve"> </w:t>
      </w:r>
      <w:r w:rsidR="00FA51D3">
        <w:rPr>
          <w:rFonts w:ascii="Times New Roman" w:hAnsi="Times New Roman" w:cs="Times New Roman"/>
          <w:sz w:val="24"/>
          <w:szCs w:val="24"/>
        </w:rPr>
        <w:t>'</w:t>
      </w:r>
      <w:r w:rsidR="00F61EB2" w:rsidRPr="00B83421">
        <w:rPr>
          <w:rFonts w:ascii="Times New Roman" w:hAnsi="Times New Roman" w:cs="Times New Roman"/>
          <w:sz w:val="24"/>
          <w:szCs w:val="24"/>
        </w:rPr>
        <w:t>Survey evidence indicates that economics departments prefer to use an ex ante measure of quality, the journal of publication, as the main indicator of success even though more direct ex post measures, such as citations, are available</w:t>
      </w:r>
      <w:r w:rsidR="00FA51D3">
        <w:rPr>
          <w:rFonts w:ascii="Times New Roman" w:hAnsi="Times New Roman" w:cs="Times New Roman"/>
          <w:sz w:val="24"/>
          <w:szCs w:val="24"/>
        </w:rPr>
        <w:t>'</w:t>
      </w:r>
      <w:r w:rsidR="00F61EB2" w:rsidRPr="00B83421">
        <w:rPr>
          <w:rFonts w:ascii="Times New Roman" w:hAnsi="Times New Roman" w:cs="Times New Roman"/>
          <w:sz w:val="24"/>
          <w:szCs w:val="24"/>
        </w:rPr>
        <w:t>.  Arguably the primary reason for this convention is that the results of individual efforts are available immediately upon acceptance of a paper</w:t>
      </w:r>
      <w:r w:rsidR="009D1B1A" w:rsidRPr="00B83421">
        <w:rPr>
          <w:rFonts w:ascii="Times New Roman" w:hAnsi="Times New Roman" w:cs="Times New Roman"/>
          <w:sz w:val="24"/>
          <w:szCs w:val="24"/>
        </w:rPr>
        <w:t>, and hence useful in time</w:t>
      </w:r>
      <w:r w:rsidR="0060757C" w:rsidRPr="00B83421">
        <w:rPr>
          <w:rFonts w:ascii="Times New Roman" w:hAnsi="Times New Roman" w:cs="Times New Roman"/>
          <w:sz w:val="24"/>
          <w:szCs w:val="24"/>
        </w:rPr>
        <w:t>-</w:t>
      </w:r>
      <w:r w:rsidR="009D1B1A" w:rsidRPr="00B83421">
        <w:rPr>
          <w:rFonts w:ascii="Times New Roman" w:hAnsi="Times New Roman" w:cs="Times New Roman"/>
          <w:sz w:val="24"/>
          <w:szCs w:val="24"/>
        </w:rPr>
        <w:t>limited personnel decisions related to hiring, promotion and tenure.</w:t>
      </w:r>
      <w:r w:rsidR="009D1B1A" w:rsidRPr="00B83421">
        <w:rPr>
          <w:rStyle w:val="FootnoteReference"/>
          <w:rFonts w:ascii="Times New Roman" w:hAnsi="Times New Roman" w:cs="Times New Roman"/>
          <w:sz w:val="24"/>
          <w:szCs w:val="24"/>
        </w:rPr>
        <w:footnoteReference w:id="7"/>
      </w:r>
      <w:r w:rsidR="00394933">
        <w:rPr>
          <w:rFonts w:ascii="Times New Roman" w:hAnsi="Times New Roman" w:cs="Times New Roman"/>
          <w:sz w:val="24"/>
          <w:szCs w:val="24"/>
        </w:rPr>
        <w:t xml:space="preserve">  </w:t>
      </w:r>
      <w:r w:rsidR="009D1B1A" w:rsidRPr="00B83421">
        <w:rPr>
          <w:rFonts w:ascii="Times New Roman" w:hAnsi="Times New Roman" w:cs="Times New Roman"/>
          <w:sz w:val="24"/>
          <w:szCs w:val="24"/>
        </w:rPr>
        <w:t xml:space="preserve">The underlying rationale being that </w:t>
      </w:r>
      <w:r w:rsidR="00421DCD" w:rsidRPr="00B83421">
        <w:rPr>
          <w:rFonts w:ascii="Times New Roman" w:hAnsi="Times New Roman" w:cs="Times New Roman"/>
          <w:sz w:val="24"/>
          <w:szCs w:val="24"/>
        </w:rPr>
        <w:t xml:space="preserve">the average number of citations per paper in a given journal serves as a proxy </w:t>
      </w:r>
      <w:r w:rsidR="00C6285F" w:rsidRPr="00B83421">
        <w:rPr>
          <w:rFonts w:ascii="Times New Roman" w:hAnsi="Times New Roman" w:cs="Times New Roman"/>
          <w:sz w:val="24"/>
          <w:szCs w:val="24"/>
        </w:rPr>
        <w:t>for</w:t>
      </w:r>
      <w:r w:rsidR="00421DCD" w:rsidRPr="00B83421">
        <w:rPr>
          <w:rFonts w:ascii="Times New Roman" w:hAnsi="Times New Roman" w:cs="Times New Roman"/>
          <w:sz w:val="24"/>
          <w:szCs w:val="24"/>
        </w:rPr>
        <w:t xml:space="preserve"> the expected number of cites to </w:t>
      </w:r>
      <w:r w:rsidR="00C6285F" w:rsidRPr="00B83421">
        <w:rPr>
          <w:rFonts w:ascii="Times New Roman" w:hAnsi="Times New Roman" w:cs="Times New Roman"/>
          <w:sz w:val="24"/>
          <w:szCs w:val="24"/>
        </w:rPr>
        <w:t xml:space="preserve">the paper under discussion.  </w:t>
      </w:r>
      <w:r w:rsidR="009D1B1A" w:rsidRPr="00B83421">
        <w:rPr>
          <w:rFonts w:ascii="Times New Roman" w:hAnsi="Times New Roman" w:cs="Times New Roman"/>
          <w:sz w:val="24"/>
          <w:szCs w:val="24"/>
        </w:rPr>
        <w:t>However, it must be acknowledge</w:t>
      </w:r>
      <w:r w:rsidR="00155083" w:rsidRPr="00B83421">
        <w:rPr>
          <w:rFonts w:ascii="Times New Roman" w:hAnsi="Times New Roman" w:cs="Times New Roman"/>
          <w:sz w:val="24"/>
          <w:szCs w:val="24"/>
        </w:rPr>
        <w:t>d</w:t>
      </w:r>
      <w:r w:rsidR="009D1B1A" w:rsidRPr="00B83421">
        <w:rPr>
          <w:rFonts w:ascii="Times New Roman" w:hAnsi="Times New Roman" w:cs="Times New Roman"/>
          <w:sz w:val="24"/>
          <w:szCs w:val="24"/>
        </w:rPr>
        <w:t xml:space="preserve"> that many papers in good journals are rarely cited and many papers in lower ranked journals are sometimes highly cited (Oswald, 200</w:t>
      </w:r>
      <w:r w:rsidR="00E27996">
        <w:rPr>
          <w:rFonts w:ascii="Times New Roman" w:hAnsi="Times New Roman" w:cs="Times New Roman"/>
          <w:sz w:val="24"/>
          <w:szCs w:val="24"/>
        </w:rPr>
        <w:t>7</w:t>
      </w:r>
      <w:r w:rsidR="00394933">
        <w:rPr>
          <w:rFonts w:ascii="Times New Roman" w:hAnsi="Times New Roman" w:cs="Times New Roman"/>
          <w:sz w:val="24"/>
          <w:szCs w:val="24"/>
        </w:rPr>
        <w:t xml:space="preserve"> and Chang, </w:t>
      </w:r>
      <w:proofErr w:type="spellStart"/>
      <w:r w:rsidR="00394933">
        <w:rPr>
          <w:rFonts w:ascii="Times New Roman" w:hAnsi="Times New Roman" w:cs="Times New Roman"/>
          <w:sz w:val="24"/>
          <w:szCs w:val="24"/>
        </w:rPr>
        <w:t>McAleer</w:t>
      </w:r>
      <w:proofErr w:type="spellEnd"/>
      <w:r w:rsidR="00394933">
        <w:rPr>
          <w:rFonts w:ascii="Times New Roman" w:hAnsi="Times New Roman" w:cs="Times New Roman"/>
          <w:sz w:val="24"/>
          <w:szCs w:val="24"/>
        </w:rPr>
        <w:t xml:space="preserve"> and Oxley</w:t>
      </w:r>
      <w:r w:rsidR="009D1B1A" w:rsidRPr="00B83421">
        <w:rPr>
          <w:rFonts w:ascii="Times New Roman" w:hAnsi="Times New Roman" w:cs="Times New Roman"/>
          <w:sz w:val="24"/>
          <w:szCs w:val="24"/>
        </w:rPr>
        <w:t xml:space="preserve"> 2011).</w:t>
      </w:r>
      <w:r w:rsidR="00D25807" w:rsidRPr="00B83421">
        <w:rPr>
          <w:rStyle w:val="FootnoteReference"/>
          <w:rFonts w:ascii="Times New Roman" w:hAnsi="Times New Roman" w:cs="Times New Roman"/>
          <w:sz w:val="24"/>
          <w:szCs w:val="24"/>
        </w:rPr>
        <w:footnoteReference w:id="8"/>
      </w:r>
      <w:r w:rsidR="009D1B1A" w:rsidRPr="00B83421">
        <w:rPr>
          <w:rFonts w:ascii="Times New Roman" w:hAnsi="Times New Roman" w:cs="Times New Roman"/>
          <w:sz w:val="24"/>
          <w:szCs w:val="24"/>
        </w:rPr>
        <w:t xml:space="preserve">  </w:t>
      </w:r>
    </w:p>
    <w:p w14:paraId="25BD1E25" w14:textId="77777777" w:rsidR="008B39E9" w:rsidRPr="00B83421" w:rsidRDefault="008B39E9" w:rsidP="00316E1D">
      <w:pPr>
        <w:spacing w:after="0" w:line="288" w:lineRule="auto"/>
        <w:ind w:firstLine="720"/>
        <w:jc w:val="both"/>
        <w:rPr>
          <w:rFonts w:ascii="Times New Roman" w:hAnsi="Times New Roman" w:cs="Times New Roman"/>
          <w:sz w:val="24"/>
          <w:szCs w:val="24"/>
        </w:rPr>
      </w:pPr>
    </w:p>
    <w:p w14:paraId="292B6E5F" w14:textId="4BED39FC" w:rsidR="00CE13B9" w:rsidRDefault="006D68FA" w:rsidP="00316E1D">
      <w:pPr>
        <w:spacing w:after="0" w:line="288" w:lineRule="auto"/>
        <w:ind w:firstLine="720"/>
        <w:jc w:val="both"/>
        <w:rPr>
          <w:rFonts w:ascii="Times New Roman" w:hAnsi="Times New Roman" w:cs="Times New Roman"/>
          <w:sz w:val="24"/>
          <w:szCs w:val="24"/>
        </w:rPr>
      </w:pPr>
      <w:r w:rsidRPr="00B83421">
        <w:rPr>
          <w:rFonts w:ascii="Times New Roman" w:hAnsi="Times New Roman" w:cs="Times New Roman"/>
          <w:sz w:val="24"/>
          <w:szCs w:val="24"/>
        </w:rPr>
        <w:t>A</w:t>
      </w:r>
      <w:r w:rsidR="00155083" w:rsidRPr="00B83421">
        <w:rPr>
          <w:rFonts w:ascii="Times New Roman" w:hAnsi="Times New Roman" w:cs="Times New Roman"/>
          <w:sz w:val="24"/>
          <w:szCs w:val="24"/>
        </w:rPr>
        <w:t xml:space="preserve"> second reason for favouring the journal approach over citation counting relates to </w:t>
      </w:r>
      <w:r w:rsidR="000B1979" w:rsidRPr="00B83421">
        <w:rPr>
          <w:rFonts w:ascii="Times New Roman" w:hAnsi="Times New Roman" w:cs="Times New Roman"/>
          <w:sz w:val="24"/>
          <w:szCs w:val="24"/>
        </w:rPr>
        <w:t>time-lag</w:t>
      </w:r>
      <w:r w:rsidRPr="00B83421">
        <w:rPr>
          <w:rFonts w:ascii="Times New Roman" w:hAnsi="Times New Roman" w:cs="Times New Roman"/>
          <w:sz w:val="24"/>
          <w:szCs w:val="24"/>
        </w:rPr>
        <w:t xml:space="preserve"> issues.  </w:t>
      </w:r>
      <w:r w:rsidR="000B1979" w:rsidRPr="00B83421">
        <w:rPr>
          <w:rFonts w:ascii="Times New Roman" w:hAnsi="Times New Roman" w:cs="Times New Roman"/>
          <w:sz w:val="24"/>
          <w:szCs w:val="24"/>
        </w:rPr>
        <w:t xml:space="preserve">Recall that the focus of this </w:t>
      </w:r>
      <w:r w:rsidR="00155083" w:rsidRPr="00B83421">
        <w:rPr>
          <w:rFonts w:ascii="Times New Roman" w:hAnsi="Times New Roman" w:cs="Times New Roman"/>
          <w:sz w:val="24"/>
          <w:szCs w:val="24"/>
        </w:rPr>
        <w:t>paper is rank stability in the context of a NRAE-like environment.  Hence, papers have, on average,</w:t>
      </w:r>
      <w:r w:rsidR="00E535DF" w:rsidRPr="00B83421">
        <w:rPr>
          <w:rFonts w:ascii="Times New Roman" w:hAnsi="Times New Roman" w:cs="Times New Roman"/>
          <w:sz w:val="24"/>
          <w:szCs w:val="24"/>
        </w:rPr>
        <w:t xml:space="preserve"> </w:t>
      </w:r>
      <w:r w:rsidR="00155083" w:rsidRPr="00B83421">
        <w:rPr>
          <w:rFonts w:ascii="Times New Roman" w:hAnsi="Times New Roman" w:cs="Times New Roman"/>
          <w:sz w:val="24"/>
          <w:szCs w:val="24"/>
        </w:rPr>
        <w:t>approximately three years to accumulate citations</w:t>
      </w:r>
      <w:r w:rsidR="00E535DF" w:rsidRPr="00B83421">
        <w:rPr>
          <w:rFonts w:ascii="Times New Roman" w:hAnsi="Times New Roman" w:cs="Times New Roman"/>
          <w:sz w:val="24"/>
          <w:szCs w:val="24"/>
        </w:rPr>
        <w:t xml:space="preserve">; in fact, in the </w:t>
      </w:r>
      <w:r w:rsidR="005B3E7C" w:rsidRPr="00B83421">
        <w:rPr>
          <w:rFonts w:ascii="Times New Roman" w:hAnsi="Times New Roman" w:cs="Times New Roman"/>
          <w:sz w:val="24"/>
          <w:szCs w:val="24"/>
        </w:rPr>
        <w:t xml:space="preserve">context of the 2012 </w:t>
      </w:r>
      <w:r w:rsidR="00E535DF" w:rsidRPr="00B83421">
        <w:rPr>
          <w:rFonts w:ascii="Times New Roman" w:hAnsi="Times New Roman" w:cs="Times New Roman"/>
          <w:sz w:val="24"/>
          <w:szCs w:val="24"/>
        </w:rPr>
        <w:t>PBRF</w:t>
      </w:r>
      <w:r w:rsidR="005B3E7C" w:rsidRPr="00B83421">
        <w:rPr>
          <w:rFonts w:ascii="Times New Roman" w:hAnsi="Times New Roman" w:cs="Times New Roman"/>
          <w:sz w:val="24"/>
          <w:szCs w:val="24"/>
        </w:rPr>
        <w:t xml:space="preserve"> evaluation round, </w:t>
      </w:r>
      <w:r w:rsidR="00155083" w:rsidRPr="00B83421">
        <w:rPr>
          <w:rFonts w:ascii="Times New Roman" w:hAnsi="Times New Roman" w:cs="Times New Roman"/>
          <w:sz w:val="24"/>
          <w:szCs w:val="24"/>
        </w:rPr>
        <w:t xml:space="preserve">the median </w:t>
      </w:r>
      <w:r w:rsidR="005B3E7C" w:rsidRPr="00B83421">
        <w:rPr>
          <w:rFonts w:ascii="Times New Roman" w:hAnsi="Times New Roman" w:cs="Times New Roman"/>
          <w:sz w:val="24"/>
          <w:szCs w:val="24"/>
        </w:rPr>
        <w:t xml:space="preserve">economics </w:t>
      </w:r>
      <w:r w:rsidR="00155083" w:rsidRPr="00B83421">
        <w:rPr>
          <w:rFonts w:ascii="Times New Roman" w:hAnsi="Times New Roman" w:cs="Times New Roman"/>
          <w:sz w:val="24"/>
          <w:szCs w:val="24"/>
        </w:rPr>
        <w:t xml:space="preserve">paper </w:t>
      </w:r>
      <w:r w:rsidR="00313508" w:rsidRPr="00B83421">
        <w:rPr>
          <w:rFonts w:ascii="Times New Roman" w:hAnsi="Times New Roman" w:cs="Times New Roman"/>
          <w:sz w:val="24"/>
          <w:szCs w:val="24"/>
        </w:rPr>
        <w:t xml:space="preserve">had </w:t>
      </w:r>
      <w:r w:rsidR="00155083" w:rsidRPr="00B83421">
        <w:rPr>
          <w:rFonts w:ascii="Times New Roman" w:hAnsi="Times New Roman" w:cs="Times New Roman"/>
          <w:sz w:val="24"/>
          <w:szCs w:val="24"/>
        </w:rPr>
        <w:t>slightly less than 2.5 years in which to do so.</w:t>
      </w:r>
      <w:r w:rsidR="00155083" w:rsidRPr="00B83421">
        <w:rPr>
          <w:rStyle w:val="FootnoteReference"/>
          <w:rFonts w:ascii="Times New Roman" w:hAnsi="Times New Roman" w:cs="Times New Roman"/>
          <w:sz w:val="24"/>
          <w:szCs w:val="24"/>
        </w:rPr>
        <w:footnoteReference w:id="9"/>
      </w:r>
      <w:r w:rsidR="00155083" w:rsidRPr="00B83421">
        <w:rPr>
          <w:rFonts w:ascii="Times New Roman" w:hAnsi="Times New Roman" w:cs="Times New Roman"/>
          <w:sz w:val="24"/>
          <w:szCs w:val="24"/>
        </w:rPr>
        <w:t xml:space="preserve">  </w:t>
      </w:r>
      <w:r w:rsidR="00E535DF" w:rsidRPr="00B83421">
        <w:rPr>
          <w:rFonts w:ascii="Times New Roman" w:hAnsi="Times New Roman" w:cs="Times New Roman"/>
          <w:sz w:val="24"/>
          <w:szCs w:val="24"/>
        </w:rPr>
        <w:t xml:space="preserve">It is widely accepted that this is too </w:t>
      </w:r>
      <w:r w:rsidR="00E535DF" w:rsidRPr="00B83421">
        <w:rPr>
          <w:rFonts w:ascii="Times New Roman" w:hAnsi="Times New Roman" w:cs="Times New Roman"/>
          <w:sz w:val="24"/>
          <w:szCs w:val="24"/>
        </w:rPr>
        <w:lastRenderedPageBreak/>
        <w:t>short a period for the production of reliable measures of performance based on citation counts to individual papers</w:t>
      </w:r>
      <w:r w:rsidR="00BD42A9" w:rsidRPr="00B83421">
        <w:rPr>
          <w:rFonts w:ascii="Times New Roman" w:hAnsi="Times New Roman" w:cs="Times New Roman"/>
          <w:sz w:val="24"/>
          <w:szCs w:val="24"/>
        </w:rPr>
        <w:t xml:space="preserve"> in economics</w:t>
      </w:r>
      <w:r w:rsidR="00E535DF" w:rsidRPr="00B83421">
        <w:rPr>
          <w:rFonts w:ascii="Times New Roman" w:hAnsi="Times New Roman" w:cs="Times New Roman"/>
          <w:sz w:val="24"/>
          <w:szCs w:val="24"/>
        </w:rPr>
        <w:t>.</w:t>
      </w:r>
      <w:r w:rsidR="00465493" w:rsidRPr="00B83421">
        <w:rPr>
          <w:rStyle w:val="FootnoteReference"/>
          <w:rFonts w:ascii="Times New Roman" w:hAnsi="Times New Roman" w:cs="Times New Roman"/>
          <w:sz w:val="24"/>
          <w:szCs w:val="24"/>
        </w:rPr>
        <w:footnoteReference w:id="10"/>
      </w:r>
      <w:r w:rsidR="00E535DF" w:rsidRPr="00B83421">
        <w:rPr>
          <w:rFonts w:ascii="Times New Roman" w:hAnsi="Times New Roman" w:cs="Times New Roman"/>
          <w:sz w:val="24"/>
          <w:szCs w:val="24"/>
        </w:rPr>
        <w:t xml:space="preserve">  </w:t>
      </w:r>
      <w:r w:rsidR="00BD42A9" w:rsidRPr="00B83421">
        <w:rPr>
          <w:rFonts w:ascii="Times New Roman" w:hAnsi="Times New Roman" w:cs="Times New Roman"/>
          <w:sz w:val="24"/>
          <w:szCs w:val="24"/>
        </w:rPr>
        <w:t xml:space="preserve">For </w:t>
      </w:r>
      <w:r w:rsidR="00AB0315" w:rsidRPr="00B83421">
        <w:rPr>
          <w:rFonts w:ascii="Times New Roman" w:hAnsi="Times New Roman" w:cs="Times New Roman"/>
          <w:sz w:val="24"/>
          <w:szCs w:val="24"/>
        </w:rPr>
        <w:t xml:space="preserve">this reason, and perhaps others, </w:t>
      </w:r>
      <w:r w:rsidR="00465493" w:rsidRPr="00B83421">
        <w:rPr>
          <w:rFonts w:ascii="Times New Roman" w:hAnsi="Times New Roman" w:cs="Times New Roman"/>
          <w:sz w:val="24"/>
          <w:szCs w:val="24"/>
        </w:rPr>
        <w:t xml:space="preserve">all </w:t>
      </w:r>
      <w:r w:rsidR="00BD42A9" w:rsidRPr="00B83421">
        <w:rPr>
          <w:rFonts w:ascii="Times New Roman" w:hAnsi="Times New Roman" w:cs="Times New Roman"/>
          <w:sz w:val="24"/>
          <w:szCs w:val="24"/>
        </w:rPr>
        <w:t xml:space="preserve">known </w:t>
      </w:r>
      <w:r w:rsidR="00E535DF" w:rsidRPr="00B83421">
        <w:rPr>
          <w:rFonts w:ascii="Times New Roman" w:hAnsi="Times New Roman" w:cs="Times New Roman"/>
          <w:sz w:val="24"/>
          <w:szCs w:val="24"/>
        </w:rPr>
        <w:t>NRAEs</w:t>
      </w:r>
      <w:r w:rsidR="00BD42A9" w:rsidRPr="00B83421">
        <w:rPr>
          <w:rFonts w:ascii="Times New Roman" w:hAnsi="Times New Roman" w:cs="Times New Roman"/>
          <w:sz w:val="24"/>
          <w:szCs w:val="24"/>
        </w:rPr>
        <w:t xml:space="preserve"> currently</w:t>
      </w:r>
      <w:r w:rsidR="00465493" w:rsidRPr="00B83421">
        <w:rPr>
          <w:rFonts w:ascii="Times New Roman" w:hAnsi="Times New Roman" w:cs="Times New Roman"/>
          <w:sz w:val="24"/>
          <w:szCs w:val="24"/>
        </w:rPr>
        <w:t xml:space="preserve"> </w:t>
      </w:r>
      <w:r w:rsidR="00E535DF" w:rsidRPr="00B83421">
        <w:rPr>
          <w:rFonts w:ascii="Times New Roman" w:hAnsi="Times New Roman" w:cs="Times New Roman"/>
          <w:sz w:val="24"/>
          <w:szCs w:val="24"/>
        </w:rPr>
        <w:t>rely</w:t>
      </w:r>
      <w:r w:rsidR="00313508" w:rsidRPr="00B83421">
        <w:rPr>
          <w:rFonts w:ascii="Times New Roman" w:hAnsi="Times New Roman" w:cs="Times New Roman"/>
          <w:sz w:val="24"/>
          <w:szCs w:val="24"/>
        </w:rPr>
        <w:t xml:space="preserve"> on</w:t>
      </w:r>
      <w:r w:rsidR="00E535DF" w:rsidRPr="00B83421">
        <w:rPr>
          <w:rFonts w:ascii="Times New Roman" w:hAnsi="Times New Roman" w:cs="Times New Roman"/>
          <w:sz w:val="24"/>
          <w:szCs w:val="24"/>
        </w:rPr>
        <w:t xml:space="preserve"> </w:t>
      </w:r>
      <w:r w:rsidR="00465493" w:rsidRPr="00B83421">
        <w:rPr>
          <w:rFonts w:ascii="Times New Roman" w:hAnsi="Times New Roman" w:cs="Times New Roman"/>
          <w:sz w:val="24"/>
          <w:szCs w:val="24"/>
        </w:rPr>
        <w:t xml:space="preserve">peer review for assessment of economic research.  </w:t>
      </w:r>
      <w:r w:rsidR="00CE13B9" w:rsidRPr="00B83421">
        <w:rPr>
          <w:rFonts w:ascii="Times New Roman" w:hAnsi="Times New Roman" w:cs="Times New Roman"/>
          <w:sz w:val="24"/>
          <w:szCs w:val="24"/>
        </w:rPr>
        <w:t xml:space="preserve">Although we believe that the </w:t>
      </w:r>
      <w:r w:rsidR="00AB0315" w:rsidRPr="00B83421">
        <w:rPr>
          <w:rFonts w:ascii="Times New Roman" w:hAnsi="Times New Roman" w:cs="Times New Roman"/>
          <w:sz w:val="24"/>
          <w:szCs w:val="24"/>
        </w:rPr>
        <w:t>journal weighting scheme</w:t>
      </w:r>
      <w:r w:rsidR="00BA5E6B" w:rsidRPr="00B83421">
        <w:rPr>
          <w:rFonts w:ascii="Times New Roman" w:hAnsi="Times New Roman" w:cs="Times New Roman"/>
          <w:sz w:val="24"/>
          <w:szCs w:val="24"/>
        </w:rPr>
        <w:t xml:space="preserve"> ap</w:t>
      </w:r>
      <w:r w:rsidR="00CE13B9" w:rsidRPr="00B83421">
        <w:rPr>
          <w:rFonts w:ascii="Times New Roman" w:hAnsi="Times New Roman" w:cs="Times New Roman"/>
          <w:sz w:val="24"/>
          <w:szCs w:val="24"/>
        </w:rPr>
        <w:t xml:space="preserve">proach is superior in the context of the PBRF and, more generally, economics, we realize that the citation time-lags facing physical and natural scientists are much shorter and may justify the use of direct citation measures in NRAEs (for example, see </w:t>
      </w:r>
      <w:proofErr w:type="spellStart"/>
      <w:r w:rsidR="00CE13B9" w:rsidRPr="00B83421">
        <w:rPr>
          <w:rFonts w:ascii="Times New Roman" w:hAnsi="Times New Roman" w:cs="Times New Roman"/>
          <w:sz w:val="24"/>
          <w:szCs w:val="24"/>
        </w:rPr>
        <w:t>Abramo</w:t>
      </w:r>
      <w:proofErr w:type="spellEnd"/>
      <w:r w:rsidR="00CE13B9" w:rsidRPr="00B83421">
        <w:rPr>
          <w:rFonts w:ascii="Times New Roman" w:hAnsi="Times New Roman" w:cs="Times New Roman"/>
          <w:sz w:val="24"/>
          <w:szCs w:val="24"/>
        </w:rPr>
        <w:t>, Cicero a</w:t>
      </w:r>
      <w:r w:rsidR="00E27996">
        <w:rPr>
          <w:rFonts w:ascii="Times New Roman" w:hAnsi="Times New Roman" w:cs="Times New Roman"/>
          <w:sz w:val="24"/>
          <w:szCs w:val="24"/>
        </w:rPr>
        <w:t>nd D’Angelo</w:t>
      </w:r>
      <w:r w:rsidR="00CE13B9" w:rsidRPr="00B83421">
        <w:rPr>
          <w:rFonts w:ascii="Times New Roman" w:hAnsi="Times New Roman" w:cs="Times New Roman"/>
          <w:sz w:val="24"/>
          <w:szCs w:val="24"/>
        </w:rPr>
        <w:t xml:space="preserve"> 2011). </w:t>
      </w:r>
      <w:r w:rsidR="00796A6D" w:rsidRPr="00B83421">
        <w:rPr>
          <w:rFonts w:ascii="Times New Roman" w:hAnsi="Times New Roman" w:cs="Times New Roman"/>
          <w:sz w:val="24"/>
          <w:szCs w:val="24"/>
        </w:rPr>
        <w:t xml:space="preserve"> In summary, the citation/journal debate centres on whether on</w:t>
      </w:r>
      <w:r w:rsidR="00465493" w:rsidRPr="00B83421">
        <w:rPr>
          <w:rFonts w:ascii="Times New Roman" w:hAnsi="Times New Roman" w:cs="Times New Roman"/>
          <w:sz w:val="24"/>
          <w:szCs w:val="24"/>
        </w:rPr>
        <w:t>e</w:t>
      </w:r>
      <w:r w:rsidR="00796A6D" w:rsidRPr="00B83421">
        <w:rPr>
          <w:rFonts w:ascii="Times New Roman" w:hAnsi="Times New Roman" w:cs="Times New Roman"/>
          <w:sz w:val="24"/>
          <w:szCs w:val="24"/>
        </w:rPr>
        <w:t xml:space="preserve"> approach fits all disciplines. </w:t>
      </w:r>
      <w:r w:rsidR="00CE13B9" w:rsidRPr="00B83421">
        <w:rPr>
          <w:rFonts w:ascii="Times New Roman" w:hAnsi="Times New Roman" w:cs="Times New Roman"/>
          <w:sz w:val="24"/>
          <w:szCs w:val="24"/>
        </w:rPr>
        <w:t xml:space="preserve">   </w:t>
      </w:r>
    </w:p>
    <w:p w14:paraId="37713A96" w14:textId="77777777" w:rsidR="00394933" w:rsidRPr="00B83421" w:rsidRDefault="00394933" w:rsidP="00316E1D">
      <w:pPr>
        <w:spacing w:after="0" w:line="288" w:lineRule="auto"/>
        <w:ind w:firstLine="720"/>
        <w:jc w:val="both"/>
        <w:rPr>
          <w:rFonts w:ascii="Times New Roman" w:hAnsi="Times New Roman" w:cs="Times New Roman"/>
          <w:sz w:val="24"/>
          <w:szCs w:val="24"/>
        </w:rPr>
      </w:pPr>
    </w:p>
    <w:p w14:paraId="0DE15926" w14:textId="499055B4" w:rsidR="00394933" w:rsidRDefault="003521E5" w:rsidP="00316E1D">
      <w:pPr>
        <w:spacing w:after="0" w:line="288" w:lineRule="auto"/>
        <w:ind w:firstLine="720"/>
        <w:jc w:val="both"/>
        <w:rPr>
          <w:rFonts w:ascii="Times New Roman" w:hAnsi="Times New Roman" w:cs="Times New Roman"/>
          <w:sz w:val="24"/>
          <w:szCs w:val="24"/>
        </w:rPr>
      </w:pPr>
      <w:r w:rsidRPr="00B83421">
        <w:rPr>
          <w:rFonts w:ascii="Times New Roman" w:hAnsi="Times New Roman" w:cs="Times New Roman"/>
          <w:sz w:val="24"/>
          <w:szCs w:val="24"/>
        </w:rPr>
        <w:t xml:space="preserve">Many </w:t>
      </w:r>
      <w:r w:rsidR="00AB0315" w:rsidRPr="00B83421">
        <w:rPr>
          <w:rFonts w:ascii="Times New Roman" w:hAnsi="Times New Roman" w:cs="Times New Roman"/>
          <w:sz w:val="24"/>
          <w:szCs w:val="24"/>
        </w:rPr>
        <w:t>JWS e</w:t>
      </w:r>
      <w:r w:rsidRPr="00B83421">
        <w:rPr>
          <w:rFonts w:ascii="Times New Roman" w:hAnsi="Times New Roman" w:cs="Times New Roman"/>
          <w:sz w:val="24"/>
          <w:szCs w:val="24"/>
        </w:rPr>
        <w:t xml:space="preserve">xist, so we were forced to be somewhat arbitrary in our selection process; nevertheless, we have selected </w:t>
      </w:r>
      <w:r w:rsidR="00AB0315" w:rsidRPr="00B83421">
        <w:rPr>
          <w:rFonts w:ascii="Times New Roman" w:hAnsi="Times New Roman" w:cs="Times New Roman"/>
          <w:sz w:val="24"/>
          <w:szCs w:val="24"/>
        </w:rPr>
        <w:t xml:space="preserve">schemes </w:t>
      </w:r>
      <w:r w:rsidRPr="00B83421">
        <w:rPr>
          <w:rFonts w:ascii="Times New Roman" w:hAnsi="Times New Roman" w:cs="Times New Roman"/>
          <w:sz w:val="24"/>
          <w:szCs w:val="24"/>
        </w:rPr>
        <w:t xml:space="preserve">that encompass all three competing methodologies (peer assessment; impact factors, and </w:t>
      </w:r>
      <w:r w:rsidR="00E27996">
        <w:rPr>
          <w:rFonts w:ascii="Times New Roman" w:hAnsi="Times New Roman" w:cs="Times New Roman"/>
          <w:sz w:val="24"/>
          <w:szCs w:val="24"/>
        </w:rPr>
        <w:t>recursive adjustment/</w:t>
      </w:r>
      <w:r w:rsidRPr="00B83421">
        <w:rPr>
          <w:rFonts w:ascii="Times New Roman" w:hAnsi="Times New Roman" w:cs="Times New Roman"/>
          <w:sz w:val="24"/>
          <w:szCs w:val="24"/>
        </w:rPr>
        <w:t xml:space="preserve">eigenfactors) and also address issues of relevance to </w:t>
      </w:r>
      <w:r w:rsidR="00B520C8" w:rsidRPr="00B83421">
        <w:rPr>
          <w:rFonts w:ascii="Times New Roman" w:hAnsi="Times New Roman" w:cs="Times New Roman"/>
          <w:sz w:val="24"/>
          <w:szCs w:val="24"/>
        </w:rPr>
        <w:t xml:space="preserve">the New Zealand scene.  </w:t>
      </w:r>
      <w:r w:rsidR="00020425" w:rsidRPr="00B83421">
        <w:rPr>
          <w:rFonts w:ascii="Times New Roman" w:hAnsi="Times New Roman" w:cs="Times New Roman"/>
          <w:sz w:val="24"/>
          <w:szCs w:val="24"/>
        </w:rPr>
        <w:t xml:space="preserve">We have chosen </w:t>
      </w:r>
      <w:r w:rsidR="00C9389D" w:rsidRPr="00B83421">
        <w:rPr>
          <w:rFonts w:ascii="Times New Roman" w:hAnsi="Times New Roman" w:cs="Times New Roman"/>
          <w:sz w:val="24"/>
          <w:szCs w:val="24"/>
        </w:rPr>
        <w:t>five</w:t>
      </w:r>
      <w:r w:rsidR="00020425" w:rsidRPr="00B83421">
        <w:rPr>
          <w:rFonts w:ascii="Times New Roman" w:hAnsi="Times New Roman" w:cs="Times New Roman"/>
          <w:sz w:val="24"/>
          <w:szCs w:val="24"/>
        </w:rPr>
        <w:t xml:space="preserve"> </w:t>
      </w:r>
      <w:r w:rsidR="00BA5E6B" w:rsidRPr="00B83421">
        <w:rPr>
          <w:rFonts w:ascii="Times New Roman" w:hAnsi="Times New Roman" w:cs="Times New Roman"/>
          <w:sz w:val="24"/>
          <w:szCs w:val="24"/>
        </w:rPr>
        <w:t>JWS</w:t>
      </w:r>
      <w:r w:rsidR="00551F14" w:rsidRPr="00B83421">
        <w:rPr>
          <w:rFonts w:ascii="Times New Roman" w:hAnsi="Times New Roman" w:cs="Times New Roman"/>
          <w:sz w:val="24"/>
          <w:szCs w:val="24"/>
        </w:rPr>
        <w:t xml:space="preserve"> </w:t>
      </w:r>
      <w:r w:rsidR="00DE611C" w:rsidRPr="00B83421">
        <w:rPr>
          <w:rFonts w:ascii="Times New Roman" w:hAnsi="Times New Roman" w:cs="Times New Roman"/>
          <w:sz w:val="24"/>
          <w:szCs w:val="24"/>
        </w:rPr>
        <w:t>based on diverse assumptions and methodologies that should shed light on the stability of rankings</w:t>
      </w:r>
      <w:r w:rsidR="00AE34D5" w:rsidRPr="00B83421">
        <w:rPr>
          <w:rFonts w:ascii="Times New Roman" w:hAnsi="Times New Roman" w:cs="Times New Roman"/>
          <w:sz w:val="24"/>
          <w:szCs w:val="24"/>
        </w:rPr>
        <w:t xml:space="preserve">. </w:t>
      </w:r>
      <w:r w:rsidR="005F64D5" w:rsidRPr="00B83421">
        <w:rPr>
          <w:rFonts w:ascii="Times New Roman" w:hAnsi="Times New Roman" w:cs="Times New Roman"/>
          <w:sz w:val="24"/>
          <w:szCs w:val="24"/>
        </w:rPr>
        <w:t>In addition, we have created two additional schemes that are based</w:t>
      </w:r>
      <w:r w:rsidR="00971D78" w:rsidRPr="00B83421">
        <w:rPr>
          <w:rFonts w:ascii="Times New Roman" w:hAnsi="Times New Roman" w:cs="Times New Roman"/>
          <w:sz w:val="24"/>
          <w:szCs w:val="24"/>
        </w:rPr>
        <w:t xml:space="preserve"> </w:t>
      </w:r>
      <w:r w:rsidR="005F64D5" w:rsidRPr="00B83421">
        <w:rPr>
          <w:rFonts w:ascii="Times New Roman" w:hAnsi="Times New Roman" w:cs="Times New Roman"/>
          <w:sz w:val="24"/>
          <w:szCs w:val="24"/>
        </w:rPr>
        <w:t xml:space="preserve">directly on the five independently generated JWS.  </w:t>
      </w:r>
    </w:p>
    <w:p w14:paraId="565CD9DB" w14:textId="77777777" w:rsidR="00394933" w:rsidRDefault="00394933" w:rsidP="00316E1D">
      <w:pPr>
        <w:spacing w:after="0" w:line="288" w:lineRule="auto"/>
        <w:ind w:firstLine="720"/>
        <w:jc w:val="both"/>
        <w:rPr>
          <w:rFonts w:ascii="Times New Roman" w:hAnsi="Times New Roman" w:cs="Times New Roman"/>
          <w:sz w:val="24"/>
          <w:szCs w:val="24"/>
        </w:rPr>
      </w:pPr>
    </w:p>
    <w:p w14:paraId="292B6E60" w14:textId="46A4DDB4" w:rsidR="00362D2B" w:rsidRDefault="002F132A" w:rsidP="00316E1D">
      <w:pPr>
        <w:spacing w:after="0" w:line="288" w:lineRule="auto"/>
        <w:ind w:firstLine="720"/>
        <w:jc w:val="both"/>
        <w:rPr>
          <w:rFonts w:ascii="Times New Roman" w:hAnsi="Times New Roman" w:cs="Times New Roman"/>
          <w:sz w:val="24"/>
          <w:szCs w:val="24"/>
        </w:rPr>
      </w:pPr>
      <w:r w:rsidRPr="00B83421">
        <w:rPr>
          <w:rFonts w:ascii="Times New Roman" w:hAnsi="Times New Roman" w:cs="Times New Roman"/>
          <w:sz w:val="24"/>
          <w:szCs w:val="24"/>
        </w:rPr>
        <w:t xml:space="preserve">Our first selection is a </w:t>
      </w:r>
      <w:r w:rsidR="0045461E" w:rsidRPr="00B83421">
        <w:rPr>
          <w:rFonts w:ascii="Times New Roman" w:hAnsi="Times New Roman" w:cs="Times New Roman"/>
          <w:sz w:val="24"/>
          <w:szCs w:val="24"/>
        </w:rPr>
        <w:t xml:space="preserve">perception-based </w:t>
      </w:r>
      <w:r w:rsidR="00AB0315" w:rsidRPr="00B83421">
        <w:rPr>
          <w:rFonts w:ascii="Times New Roman" w:hAnsi="Times New Roman" w:cs="Times New Roman"/>
          <w:sz w:val="24"/>
          <w:szCs w:val="24"/>
        </w:rPr>
        <w:t xml:space="preserve">ranking </w:t>
      </w:r>
      <w:r w:rsidR="0045461E" w:rsidRPr="00B83421">
        <w:rPr>
          <w:rFonts w:ascii="Times New Roman" w:hAnsi="Times New Roman" w:cs="Times New Roman"/>
          <w:sz w:val="24"/>
          <w:szCs w:val="24"/>
        </w:rPr>
        <w:t>scheme that is widely used in New Zealand business schools to assess research quality</w:t>
      </w:r>
      <w:r w:rsidR="000A1004">
        <w:rPr>
          <w:rFonts w:ascii="Times New Roman" w:hAnsi="Times New Roman" w:cs="Times New Roman"/>
          <w:sz w:val="24"/>
          <w:szCs w:val="24"/>
        </w:rPr>
        <w:t xml:space="preserve"> – the </w:t>
      </w:r>
      <w:r w:rsidR="0045461E" w:rsidRPr="00B83421">
        <w:rPr>
          <w:rFonts w:ascii="Times New Roman" w:hAnsi="Times New Roman" w:cs="Times New Roman"/>
          <w:sz w:val="24"/>
          <w:szCs w:val="24"/>
        </w:rPr>
        <w:t xml:space="preserve">Australian Business Deans Council’s Journal </w:t>
      </w:r>
      <w:r w:rsidR="004A01F6" w:rsidRPr="00B83421">
        <w:rPr>
          <w:rFonts w:ascii="Times New Roman" w:hAnsi="Times New Roman" w:cs="Times New Roman"/>
          <w:sz w:val="24"/>
          <w:szCs w:val="24"/>
        </w:rPr>
        <w:t xml:space="preserve">Quality </w:t>
      </w:r>
      <w:r w:rsidR="0045461E" w:rsidRPr="00B83421">
        <w:rPr>
          <w:rFonts w:ascii="Times New Roman" w:hAnsi="Times New Roman" w:cs="Times New Roman"/>
          <w:sz w:val="24"/>
          <w:szCs w:val="24"/>
        </w:rPr>
        <w:t>List</w:t>
      </w:r>
      <w:r w:rsidR="007B153D" w:rsidRPr="00B83421">
        <w:rPr>
          <w:rFonts w:ascii="Times New Roman" w:hAnsi="Times New Roman" w:cs="Times New Roman"/>
          <w:sz w:val="24"/>
          <w:szCs w:val="24"/>
        </w:rPr>
        <w:t xml:space="preserve"> (2010)</w:t>
      </w:r>
      <w:r w:rsidR="0045461E" w:rsidRPr="00B83421">
        <w:rPr>
          <w:rFonts w:ascii="Times New Roman" w:hAnsi="Times New Roman" w:cs="Times New Roman"/>
          <w:sz w:val="24"/>
          <w:szCs w:val="24"/>
        </w:rPr>
        <w:t xml:space="preserve">. </w:t>
      </w:r>
      <w:r w:rsidR="005834A7" w:rsidRPr="00B83421">
        <w:rPr>
          <w:rFonts w:ascii="Times New Roman" w:hAnsi="Times New Roman" w:cs="Times New Roman"/>
          <w:sz w:val="24"/>
          <w:szCs w:val="24"/>
        </w:rPr>
        <w:t xml:space="preserve">Although produced in a neighbouring country, the two nations share many values and have university systems that have much in common.  </w:t>
      </w:r>
      <w:r w:rsidR="0045461E" w:rsidRPr="00B83421">
        <w:rPr>
          <w:rFonts w:ascii="Times New Roman" w:hAnsi="Times New Roman" w:cs="Times New Roman"/>
          <w:sz w:val="24"/>
          <w:szCs w:val="24"/>
        </w:rPr>
        <w:t xml:space="preserve">We have used the 2010 version since it corresponds most closely to the time period of our study, and we label the scheme as </w:t>
      </w:r>
      <w:r w:rsidR="0045461E" w:rsidRPr="00B83421">
        <w:rPr>
          <w:rFonts w:ascii="Times New Roman" w:hAnsi="Times New Roman" w:cs="Times New Roman"/>
          <w:b/>
          <w:sz w:val="24"/>
          <w:szCs w:val="24"/>
        </w:rPr>
        <w:t>ABDC</w:t>
      </w:r>
      <w:r w:rsidR="008F4695" w:rsidRPr="00B83421">
        <w:rPr>
          <w:rFonts w:ascii="Times New Roman" w:hAnsi="Times New Roman" w:cs="Times New Roman"/>
          <w:sz w:val="24"/>
          <w:szCs w:val="24"/>
        </w:rPr>
        <w:t>.</w:t>
      </w:r>
      <w:r w:rsidR="0045461E" w:rsidRPr="00B83421">
        <w:rPr>
          <w:rFonts w:ascii="Times New Roman" w:hAnsi="Times New Roman" w:cs="Times New Roman"/>
          <w:sz w:val="24"/>
          <w:szCs w:val="24"/>
        </w:rPr>
        <w:t xml:space="preserve">  The </w:t>
      </w:r>
      <w:r w:rsidR="0045461E" w:rsidRPr="00B83421">
        <w:rPr>
          <w:rFonts w:ascii="Times New Roman" w:hAnsi="Times New Roman" w:cs="Times New Roman"/>
          <w:b/>
          <w:sz w:val="24"/>
          <w:szCs w:val="24"/>
        </w:rPr>
        <w:t xml:space="preserve">ABDC </w:t>
      </w:r>
      <w:r w:rsidR="0045461E" w:rsidRPr="00B83421">
        <w:rPr>
          <w:rFonts w:ascii="Times New Roman" w:hAnsi="Times New Roman" w:cs="Times New Roman"/>
          <w:sz w:val="24"/>
          <w:szCs w:val="24"/>
        </w:rPr>
        <w:t xml:space="preserve">covers many disciplines in addition to economics, and the rankings are based on inputs from various discipline groups and ultimately </w:t>
      </w:r>
      <w:r w:rsidR="001E7A4F" w:rsidRPr="00B83421">
        <w:rPr>
          <w:rFonts w:ascii="Times New Roman" w:hAnsi="Times New Roman" w:cs="Times New Roman"/>
          <w:sz w:val="24"/>
          <w:szCs w:val="24"/>
        </w:rPr>
        <w:t>determined by a committee of the A</w:t>
      </w:r>
      <w:r w:rsidR="00AE34D5" w:rsidRPr="00B83421">
        <w:rPr>
          <w:rFonts w:ascii="Times New Roman" w:hAnsi="Times New Roman" w:cs="Times New Roman"/>
          <w:sz w:val="24"/>
          <w:szCs w:val="24"/>
        </w:rPr>
        <w:t xml:space="preserve">ustralian Business Deans Council.  </w:t>
      </w:r>
      <w:r w:rsidR="001E7A4F" w:rsidRPr="00B83421">
        <w:rPr>
          <w:rFonts w:ascii="Times New Roman" w:hAnsi="Times New Roman" w:cs="Times New Roman"/>
          <w:sz w:val="24"/>
          <w:szCs w:val="24"/>
        </w:rPr>
        <w:t>Journals are ranked on a letter grade system: A*, A, B, C and implicitly X (not ranked).  We have arbitrarily assigned numerical values to each grade: A*</w:t>
      </w:r>
      <w:r w:rsidR="00DB41F8" w:rsidRPr="00B83421">
        <w:rPr>
          <w:rFonts w:ascii="Times New Roman" w:hAnsi="Times New Roman" w:cs="Times New Roman"/>
          <w:sz w:val="24"/>
          <w:szCs w:val="24"/>
        </w:rPr>
        <w:t xml:space="preserve"> </w:t>
      </w:r>
      <w:r w:rsidR="001E7A4F" w:rsidRPr="00B83421">
        <w:rPr>
          <w:rFonts w:ascii="Times New Roman" w:hAnsi="Times New Roman" w:cs="Times New Roman"/>
          <w:sz w:val="24"/>
          <w:szCs w:val="24"/>
        </w:rPr>
        <w:t>(4), A</w:t>
      </w:r>
      <w:r w:rsidR="00DB41F8" w:rsidRPr="00B83421">
        <w:rPr>
          <w:rFonts w:ascii="Times New Roman" w:hAnsi="Times New Roman" w:cs="Times New Roman"/>
          <w:sz w:val="24"/>
          <w:szCs w:val="24"/>
        </w:rPr>
        <w:t xml:space="preserve"> </w:t>
      </w:r>
      <w:r w:rsidR="001E7A4F" w:rsidRPr="00B83421">
        <w:rPr>
          <w:rFonts w:ascii="Times New Roman" w:hAnsi="Times New Roman" w:cs="Times New Roman"/>
          <w:sz w:val="24"/>
          <w:szCs w:val="24"/>
        </w:rPr>
        <w:t>(3), B</w:t>
      </w:r>
      <w:r w:rsidR="00DB41F8" w:rsidRPr="00B83421">
        <w:rPr>
          <w:rFonts w:ascii="Times New Roman" w:hAnsi="Times New Roman" w:cs="Times New Roman"/>
          <w:sz w:val="24"/>
          <w:szCs w:val="24"/>
        </w:rPr>
        <w:t xml:space="preserve"> </w:t>
      </w:r>
      <w:r w:rsidR="001E7A4F" w:rsidRPr="00B83421">
        <w:rPr>
          <w:rFonts w:ascii="Times New Roman" w:hAnsi="Times New Roman" w:cs="Times New Roman"/>
          <w:sz w:val="24"/>
          <w:szCs w:val="24"/>
        </w:rPr>
        <w:t>(2), C</w:t>
      </w:r>
      <w:r w:rsidR="00DB41F8" w:rsidRPr="00B83421">
        <w:rPr>
          <w:rFonts w:ascii="Times New Roman" w:hAnsi="Times New Roman" w:cs="Times New Roman"/>
          <w:sz w:val="24"/>
          <w:szCs w:val="24"/>
        </w:rPr>
        <w:t xml:space="preserve"> </w:t>
      </w:r>
      <w:r w:rsidR="001E7A4F" w:rsidRPr="00B83421">
        <w:rPr>
          <w:rFonts w:ascii="Times New Roman" w:hAnsi="Times New Roman" w:cs="Times New Roman"/>
          <w:sz w:val="24"/>
          <w:szCs w:val="24"/>
        </w:rPr>
        <w:t>(1) and X</w:t>
      </w:r>
      <w:r w:rsidR="00DB41F8" w:rsidRPr="00B83421">
        <w:rPr>
          <w:rFonts w:ascii="Times New Roman" w:hAnsi="Times New Roman" w:cs="Times New Roman"/>
          <w:sz w:val="24"/>
          <w:szCs w:val="24"/>
        </w:rPr>
        <w:t xml:space="preserve"> </w:t>
      </w:r>
      <w:r w:rsidR="001E7A4F" w:rsidRPr="00B83421">
        <w:rPr>
          <w:rFonts w:ascii="Times New Roman" w:hAnsi="Times New Roman" w:cs="Times New Roman"/>
          <w:sz w:val="24"/>
          <w:szCs w:val="24"/>
        </w:rPr>
        <w:t>(0).</w:t>
      </w:r>
      <w:r w:rsidR="00DB41F8" w:rsidRPr="00B83421">
        <w:rPr>
          <w:rStyle w:val="FootnoteReference"/>
          <w:rFonts w:ascii="Times New Roman" w:hAnsi="Times New Roman" w:cs="Times New Roman"/>
          <w:sz w:val="24"/>
          <w:szCs w:val="24"/>
        </w:rPr>
        <w:footnoteReference w:id="11"/>
      </w:r>
      <w:r w:rsidR="005834A7" w:rsidRPr="00B83421">
        <w:rPr>
          <w:rFonts w:ascii="Times New Roman" w:hAnsi="Times New Roman" w:cs="Times New Roman"/>
          <w:sz w:val="24"/>
          <w:szCs w:val="24"/>
        </w:rPr>
        <w:t xml:space="preserve"> </w:t>
      </w:r>
      <w:r w:rsidR="00E27996">
        <w:rPr>
          <w:rFonts w:ascii="Times New Roman" w:hAnsi="Times New Roman" w:cs="Times New Roman"/>
          <w:sz w:val="24"/>
          <w:szCs w:val="24"/>
        </w:rPr>
        <w:lastRenderedPageBreak/>
        <w:tab/>
      </w:r>
      <w:r w:rsidR="004B1DBA" w:rsidRPr="00B83421">
        <w:rPr>
          <w:rFonts w:ascii="Times New Roman" w:hAnsi="Times New Roman" w:cs="Times New Roman"/>
          <w:sz w:val="24"/>
          <w:szCs w:val="24"/>
        </w:rPr>
        <w:t xml:space="preserve">Although the </w:t>
      </w:r>
      <w:r w:rsidR="005834A7" w:rsidRPr="00B83421">
        <w:rPr>
          <w:rFonts w:ascii="Times New Roman" w:hAnsi="Times New Roman" w:cs="Times New Roman"/>
          <w:sz w:val="24"/>
          <w:szCs w:val="24"/>
        </w:rPr>
        <w:t xml:space="preserve">economics list covers </w:t>
      </w:r>
      <w:r w:rsidR="000B151F" w:rsidRPr="00B83421">
        <w:rPr>
          <w:rFonts w:ascii="Times New Roman" w:hAnsi="Times New Roman" w:cs="Times New Roman"/>
          <w:sz w:val="24"/>
          <w:szCs w:val="24"/>
        </w:rPr>
        <w:t>907</w:t>
      </w:r>
      <w:r w:rsidR="005834A7" w:rsidRPr="00B83421">
        <w:rPr>
          <w:rFonts w:ascii="Times New Roman" w:hAnsi="Times New Roman" w:cs="Times New Roman"/>
          <w:sz w:val="24"/>
          <w:szCs w:val="24"/>
        </w:rPr>
        <w:t xml:space="preserve"> journals</w:t>
      </w:r>
      <w:r w:rsidR="004B1DBA" w:rsidRPr="00B83421">
        <w:rPr>
          <w:rFonts w:ascii="Times New Roman" w:hAnsi="Times New Roman" w:cs="Times New Roman"/>
          <w:sz w:val="24"/>
          <w:szCs w:val="24"/>
        </w:rPr>
        <w:t>, w</w:t>
      </w:r>
      <w:r w:rsidR="00055B9C" w:rsidRPr="00B83421">
        <w:rPr>
          <w:rFonts w:ascii="Times New Roman" w:hAnsi="Times New Roman" w:cs="Times New Roman"/>
          <w:sz w:val="24"/>
          <w:szCs w:val="24"/>
        </w:rPr>
        <w:t>e recognize that boundary issue</w:t>
      </w:r>
      <w:r w:rsidR="004B1DBA" w:rsidRPr="00B83421">
        <w:rPr>
          <w:rFonts w:ascii="Times New Roman" w:hAnsi="Times New Roman" w:cs="Times New Roman"/>
          <w:sz w:val="24"/>
          <w:szCs w:val="24"/>
        </w:rPr>
        <w:t>s</w:t>
      </w:r>
      <w:r w:rsidR="00055B9C" w:rsidRPr="00B83421">
        <w:rPr>
          <w:rFonts w:ascii="Times New Roman" w:hAnsi="Times New Roman" w:cs="Times New Roman"/>
          <w:sz w:val="24"/>
          <w:szCs w:val="24"/>
        </w:rPr>
        <w:t xml:space="preserve"> exist, especially with respect to </w:t>
      </w:r>
      <w:r w:rsidR="00362D2B" w:rsidRPr="00B83421">
        <w:rPr>
          <w:rFonts w:ascii="Times New Roman" w:hAnsi="Times New Roman" w:cs="Times New Roman"/>
          <w:sz w:val="24"/>
          <w:szCs w:val="24"/>
        </w:rPr>
        <w:t>f</w:t>
      </w:r>
      <w:r w:rsidR="00055B9C" w:rsidRPr="00B83421">
        <w:rPr>
          <w:rFonts w:ascii="Times New Roman" w:hAnsi="Times New Roman" w:cs="Times New Roman"/>
          <w:sz w:val="24"/>
          <w:szCs w:val="24"/>
        </w:rPr>
        <w:t>inance</w:t>
      </w:r>
      <w:r w:rsidR="00362D2B" w:rsidRPr="00B83421">
        <w:rPr>
          <w:rFonts w:ascii="Times New Roman" w:hAnsi="Times New Roman" w:cs="Times New Roman"/>
          <w:sz w:val="24"/>
          <w:szCs w:val="24"/>
        </w:rPr>
        <w:t xml:space="preserve"> and urban studies</w:t>
      </w:r>
      <w:r w:rsidR="00E27996">
        <w:rPr>
          <w:rFonts w:ascii="Times New Roman" w:hAnsi="Times New Roman" w:cs="Times New Roman"/>
          <w:sz w:val="24"/>
          <w:szCs w:val="24"/>
        </w:rPr>
        <w:t>.  W</w:t>
      </w:r>
      <w:r w:rsidR="00055B9C" w:rsidRPr="00B83421">
        <w:rPr>
          <w:rFonts w:ascii="Times New Roman" w:hAnsi="Times New Roman" w:cs="Times New Roman"/>
          <w:sz w:val="24"/>
          <w:szCs w:val="24"/>
        </w:rPr>
        <w:t>e have</w:t>
      </w:r>
      <w:r w:rsidR="00E27996">
        <w:rPr>
          <w:rFonts w:ascii="Times New Roman" w:hAnsi="Times New Roman" w:cs="Times New Roman"/>
          <w:sz w:val="24"/>
          <w:szCs w:val="24"/>
        </w:rPr>
        <w:t>, therefore,</w:t>
      </w:r>
      <w:r w:rsidR="00055B9C" w:rsidRPr="00B83421">
        <w:rPr>
          <w:rFonts w:ascii="Times New Roman" w:hAnsi="Times New Roman" w:cs="Times New Roman"/>
          <w:sz w:val="24"/>
          <w:szCs w:val="24"/>
        </w:rPr>
        <w:t xml:space="preserve"> adopted a broad definition of relevant work:</w:t>
      </w:r>
      <w:r w:rsidR="00362D2B" w:rsidRPr="00B83421">
        <w:rPr>
          <w:rFonts w:ascii="Times New Roman" w:hAnsi="Times New Roman" w:cs="Times New Roman"/>
          <w:sz w:val="24"/>
          <w:szCs w:val="24"/>
        </w:rPr>
        <w:t xml:space="preserve"> all papers in </w:t>
      </w:r>
      <w:proofErr w:type="spellStart"/>
      <w:r w:rsidR="00362D2B" w:rsidRPr="00B83421">
        <w:rPr>
          <w:rFonts w:ascii="Times New Roman" w:hAnsi="Times New Roman" w:cs="Times New Roman"/>
          <w:sz w:val="24"/>
          <w:szCs w:val="24"/>
        </w:rPr>
        <w:t>EconLit</w:t>
      </w:r>
      <w:proofErr w:type="spellEnd"/>
      <w:r w:rsidR="00D20AB4">
        <w:rPr>
          <w:rFonts w:ascii="Times New Roman" w:hAnsi="Times New Roman" w:cs="Times New Roman"/>
          <w:sz w:val="24"/>
          <w:szCs w:val="24"/>
        </w:rPr>
        <w:t xml:space="preserve"> </w:t>
      </w:r>
      <w:r w:rsidR="00362D2B" w:rsidRPr="00B83421">
        <w:rPr>
          <w:rFonts w:ascii="Times New Roman" w:hAnsi="Times New Roman" w:cs="Times New Roman"/>
          <w:sz w:val="24"/>
          <w:szCs w:val="24"/>
        </w:rPr>
        <w:t xml:space="preserve">listed journals are deemed to be countable papers regardless of the ABDC category </w:t>
      </w:r>
      <w:r w:rsidR="00576C2A" w:rsidRPr="00B83421">
        <w:rPr>
          <w:rFonts w:ascii="Times New Roman" w:hAnsi="Times New Roman" w:cs="Times New Roman"/>
          <w:sz w:val="24"/>
          <w:szCs w:val="24"/>
        </w:rPr>
        <w:t xml:space="preserve">under which </w:t>
      </w:r>
      <w:r w:rsidR="00362D2B" w:rsidRPr="00B83421">
        <w:rPr>
          <w:rFonts w:ascii="Times New Roman" w:hAnsi="Times New Roman" w:cs="Times New Roman"/>
          <w:sz w:val="24"/>
          <w:szCs w:val="24"/>
        </w:rPr>
        <w:t>they appear</w:t>
      </w:r>
      <w:r w:rsidR="00576C2A" w:rsidRPr="00B83421">
        <w:rPr>
          <w:rFonts w:ascii="Times New Roman" w:hAnsi="Times New Roman" w:cs="Times New Roman"/>
          <w:sz w:val="24"/>
          <w:szCs w:val="24"/>
        </w:rPr>
        <w:t xml:space="preserve">.  </w:t>
      </w:r>
      <w:r w:rsidR="00D6161D" w:rsidRPr="00B83421">
        <w:rPr>
          <w:rFonts w:ascii="Times New Roman" w:hAnsi="Times New Roman" w:cs="Times New Roman"/>
          <w:sz w:val="24"/>
          <w:szCs w:val="24"/>
        </w:rPr>
        <w:t xml:space="preserve">As shown in Table 1, </w:t>
      </w:r>
      <w:r w:rsidR="00D84D16" w:rsidRPr="00B83421">
        <w:rPr>
          <w:rFonts w:ascii="Times New Roman" w:hAnsi="Times New Roman" w:cs="Times New Roman"/>
          <w:sz w:val="24"/>
          <w:szCs w:val="24"/>
        </w:rPr>
        <w:t>this scheme assigns scores to 95</w:t>
      </w:r>
      <w:r w:rsidR="000E532F" w:rsidRPr="00B83421">
        <w:rPr>
          <w:rFonts w:ascii="Times New Roman" w:hAnsi="Times New Roman" w:cs="Times New Roman"/>
          <w:sz w:val="24"/>
          <w:szCs w:val="24"/>
        </w:rPr>
        <w:t xml:space="preserve"> percent</w:t>
      </w:r>
      <w:r w:rsidR="00D84D16" w:rsidRPr="00B83421">
        <w:rPr>
          <w:rFonts w:ascii="Times New Roman" w:hAnsi="Times New Roman" w:cs="Times New Roman"/>
          <w:sz w:val="24"/>
          <w:szCs w:val="24"/>
        </w:rPr>
        <w:t xml:space="preserve"> of the papers published</w:t>
      </w:r>
      <w:r w:rsidR="00576C2A" w:rsidRPr="00B83421">
        <w:rPr>
          <w:rFonts w:ascii="Times New Roman" w:hAnsi="Times New Roman" w:cs="Times New Roman"/>
          <w:sz w:val="24"/>
          <w:szCs w:val="24"/>
        </w:rPr>
        <w:t xml:space="preserve"> by New Zealand’s academic economists</w:t>
      </w:r>
      <w:r w:rsidR="00D84D16" w:rsidRPr="00B83421">
        <w:rPr>
          <w:rFonts w:ascii="Times New Roman" w:hAnsi="Times New Roman" w:cs="Times New Roman"/>
          <w:sz w:val="24"/>
          <w:szCs w:val="24"/>
        </w:rPr>
        <w:t xml:space="preserve"> in </w:t>
      </w:r>
      <w:proofErr w:type="spellStart"/>
      <w:r w:rsidR="00D84D16" w:rsidRPr="00B83421">
        <w:rPr>
          <w:rFonts w:ascii="Times New Roman" w:hAnsi="Times New Roman" w:cs="Times New Roman"/>
          <w:sz w:val="24"/>
          <w:szCs w:val="24"/>
        </w:rPr>
        <w:t>EconLit</w:t>
      </w:r>
      <w:proofErr w:type="spellEnd"/>
      <w:r w:rsidR="00D84D16" w:rsidRPr="00B83421">
        <w:rPr>
          <w:rFonts w:ascii="Times New Roman" w:hAnsi="Times New Roman" w:cs="Times New Roman"/>
          <w:sz w:val="24"/>
          <w:szCs w:val="24"/>
        </w:rPr>
        <w:t xml:space="preserve"> journals over the period 2006 to 2011.  </w:t>
      </w:r>
    </w:p>
    <w:p w14:paraId="431E7F93" w14:textId="77777777" w:rsidR="00394933" w:rsidRDefault="00394933" w:rsidP="00316E1D">
      <w:pPr>
        <w:spacing w:after="0" w:line="288" w:lineRule="auto"/>
        <w:ind w:firstLine="720"/>
        <w:jc w:val="both"/>
        <w:rPr>
          <w:rFonts w:ascii="Times New Roman" w:hAnsi="Times New Roman" w:cs="Times New Roman"/>
        </w:rPr>
      </w:pPr>
    </w:p>
    <w:tbl>
      <w:tblPr>
        <w:tblW w:w="9260" w:type="dxa"/>
        <w:tblInd w:w="93" w:type="dxa"/>
        <w:tblLook w:val="04A0" w:firstRow="1" w:lastRow="0" w:firstColumn="1" w:lastColumn="0" w:noHBand="0" w:noVBand="1"/>
      </w:tblPr>
      <w:tblGrid>
        <w:gridCol w:w="2620"/>
        <w:gridCol w:w="2620"/>
        <w:gridCol w:w="1660"/>
        <w:gridCol w:w="2360"/>
      </w:tblGrid>
      <w:tr w:rsidR="00567DDE" w:rsidRPr="00777147" w14:paraId="0F7AF36C" w14:textId="77777777" w:rsidTr="001327B4">
        <w:trPr>
          <w:trHeight w:val="255"/>
        </w:trPr>
        <w:tc>
          <w:tcPr>
            <w:tcW w:w="9260" w:type="dxa"/>
            <w:gridSpan w:val="4"/>
            <w:tcBorders>
              <w:top w:val="nil"/>
              <w:left w:val="nil"/>
              <w:bottom w:val="nil"/>
              <w:right w:val="nil"/>
            </w:tcBorders>
            <w:shd w:val="clear" w:color="auto" w:fill="auto"/>
            <w:noWrap/>
            <w:vAlign w:val="bottom"/>
            <w:hideMark/>
          </w:tcPr>
          <w:p w14:paraId="1BEA8848" w14:textId="77777777" w:rsidR="00567DDE" w:rsidRPr="00777147" w:rsidRDefault="00567DDE" w:rsidP="001327B4">
            <w:pPr>
              <w:spacing w:after="60" w:line="240" w:lineRule="auto"/>
              <w:ind w:left="333" w:hanging="333"/>
              <w:jc w:val="center"/>
              <w:rPr>
                <w:rFonts w:ascii="Times New Roman" w:eastAsia="Times New Roman" w:hAnsi="Times New Roman" w:cs="Times New Roman"/>
                <w:b/>
                <w:bCs/>
              </w:rPr>
            </w:pPr>
            <w:r>
              <w:rPr>
                <w:rFonts w:ascii="Times New Roman" w:eastAsia="Times New Roman" w:hAnsi="Times New Roman" w:cs="Times New Roman"/>
                <w:b/>
                <w:bCs/>
              </w:rPr>
              <w:t>Table 1: Coverage of 2006-2011 Publications Provided by V</w:t>
            </w:r>
            <w:r w:rsidRPr="00777147">
              <w:rPr>
                <w:rFonts w:ascii="Times New Roman" w:eastAsia="Times New Roman" w:hAnsi="Times New Roman" w:cs="Times New Roman"/>
                <w:b/>
                <w:bCs/>
              </w:rPr>
              <w:t>a</w:t>
            </w:r>
            <w:r>
              <w:rPr>
                <w:rFonts w:ascii="Times New Roman" w:eastAsia="Times New Roman" w:hAnsi="Times New Roman" w:cs="Times New Roman"/>
                <w:b/>
                <w:bCs/>
              </w:rPr>
              <w:t>rious Journal Weighting S</w:t>
            </w:r>
            <w:r w:rsidRPr="00777147">
              <w:rPr>
                <w:rFonts w:ascii="Times New Roman" w:eastAsia="Times New Roman" w:hAnsi="Times New Roman" w:cs="Times New Roman"/>
                <w:b/>
                <w:bCs/>
              </w:rPr>
              <w:t>chemes</w:t>
            </w:r>
          </w:p>
        </w:tc>
      </w:tr>
      <w:tr w:rsidR="00567DDE" w:rsidRPr="00777147" w14:paraId="20AAE488" w14:textId="77777777" w:rsidTr="001327B4">
        <w:trPr>
          <w:trHeight w:val="340"/>
        </w:trPr>
        <w:tc>
          <w:tcPr>
            <w:tcW w:w="2620" w:type="dxa"/>
            <w:tcBorders>
              <w:top w:val="single" w:sz="4" w:space="0" w:color="auto"/>
              <w:left w:val="nil"/>
              <w:bottom w:val="single" w:sz="4" w:space="0" w:color="auto"/>
              <w:right w:val="nil"/>
            </w:tcBorders>
            <w:shd w:val="clear" w:color="auto" w:fill="auto"/>
            <w:noWrap/>
            <w:vAlign w:val="center"/>
            <w:hideMark/>
          </w:tcPr>
          <w:p w14:paraId="7AD931B9" w14:textId="77777777" w:rsidR="00567DDE" w:rsidRPr="00777147" w:rsidRDefault="00567DDE" w:rsidP="001327B4">
            <w:pPr>
              <w:spacing w:after="0" w:line="240" w:lineRule="auto"/>
              <w:ind w:left="333" w:hanging="333"/>
              <w:jc w:val="center"/>
              <w:rPr>
                <w:rFonts w:ascii="Times New Roman" w:eastAsia="Times New Roman" w:hAnsi="Times New Roman" w:cs="Times New Roman"/>
                <w:bCs/>
              </w:rPr>
            </w:pPr>
          </w:p>
        </w:tc>
        <w:tc>
          <w:tcPr>
            <w:tcW w:w="2620" w:type="dxa"/>
            <w:tcBorders>
              <w:top w:val="single" w:sz="4" w:space="0" w:color="auto"/>
              <w:left w:val="nil"/>
              <w:bottom w:val="single" w:sz="4" w:space="0" w:color="auto"/>
              <w:right w:val="nil"/>
            </w:tcBorders>
            <w:shd w:val="clear" w:color="auto" w:fill="auto"/>
            <w:noWrap/>
            <w:vAlign w:val="center"/>
            <w:hideMark/>
          </w:tcPr>
          <w:p w14:paraId="79558EF3" w14:textId="77777777" w:rsidR="00567DDE" w:rsidRPr="00777147" w:rsidRDefault="00567DDE" w:rsidP="001327B4">
            <w:pPr>
              <w:spacing w:after="0" w:line="240" w:lineRule="auto"/>
              <w:ind w:left="333" w:hanging="333"/>
              <w:jc w:val="center"/>
              <w:rPr>
                <w:rFonts w:ascii="Times New Roman" w:eastAsia="Times New Roman" w:hAnsi="Times New Roman" w:cs="Times New Roman"/>
                <w:bCs/>
              </w:rPr>
            </w:pPr>
            <w:proofErr w:type="spellStart"/>
            <w:r w:rsidRPr="00777147">
              <w:rPr>
                <w:rFonts w:ascii="Times New Roman" w:eastAsia="Times New Roman" w:hAnsi="Times New Roman" w:cs="Times New Roman"/>
                <w:bCs/>
              </w:rPr>
              <w:t>Rrec</w:t>
            </w:r>
            <w:proofErr w:type="spellEnd"/>
            <w:r w:rsidRPr="00777147">
              <w:rPr>
                <w:rFonts w:ascii="Times New Roman" w:eastAsia="Times New Roman" w:hAnsi="Times New Roman" w:cs="Times New Roman"/>
                <w:bCs/>
              </w:rPr>
              <w:t>/</w:t>
            </w:r>
            <w:proofErr w:type="spellStart"/>
            <w:r w:rsidRPr="00777147">
              <w:rPr>
                <w:rFonts w:ascii="Times New Roman" w:eastAsia="Times New Roman" w:hAnsi="Times New Roman" w:cs="Times New Roman"/>
                <w:bCs/>
              </w:rPr>
              <w:t>Rsif</w:t>
            </w:r>
            <w:proofErr w:type="spellEnd"/>
          </w:p>
        </w:tc>
        <w:tc>
          <w:tcPr>
            <w:tcW w:w="1660" w:type="dxa"/>
            <w:tcBorders>
              <w:top w:val="single" w:sz="4" w:space="0" w:color="auto"/>
              <w:left w:val="nil"/>
              <w:bottom w:val="single" w:sz="4" w:space="0" w:color="auto"/>
              <w:right w:val="nil"/>
            </w:tcBorders>
            <w:shd w:val="clear" w:color="auto" w:fill="auto"/>
            <w:noWrap/>
            <w:vAlign w:val="center"/>
            <w:hideMark/>
          </w:tcPr>
          <w:p w14:paraId="6259ED25" w14:textId="77777777" w:rsidR="00567DDE" w:rsidRPr="00777147" w:rsidRDefault="00567DDE" w:rsidP="001327B4">
            <w:pPr>
              <w:spacing w:after="0" w:line="240" w:lineRule="auto"/>
              <w:ind w:left="333" w:hanging="333"/>
              <w:jc w:val="center"/>
              <w:rPr>
                <w:rFonts w:ascii="Times New Roman" w:eastAsia="Times New Roman" w:hAnsi="Times New Roman" w:cs="Times New Roman"/>
                <w:bCs/>
              </w:rPr>
            </w:pPr>
            <w:proofErr w:type="spellStart"/>
            <w:r w:rsidRPr="00777147">
              <w:rPr>
                <w:rFonts w:ascii="Times New Roman" w:eastAsia="Times New Roman" w:hAnsi="Times New Roman" w:cs="Times New Roman"/>
                <w:bCs/>
              </w:rPr>
              <w:t>CLm</w:t>
            </w:r>
            <w:proofErr w:type="spellEnd"/>
            <w:r w:rsidRPr="00777147">
              <w:rPr>
                <w:rFonts w:ascii="Times New Roman" w:eastAsia="Times New Roman" w:hAnsi="Times New Roman" w:cs="Times New Roman"/>
                <w:bCs/>
              </w:rPr>
              <w:t>/</w:t>
            </w:r>
            <w:proofErr w:type="spellStart"/>
            <w:r w:rsidRPr="00777147">
              <w:rPr>
                <w:rFonts w:ascii="Times New Roman" w:eastAsia="Times New Roman" w:hAnsi="Times New Roman" w:cs="Times New Roman"/>
                <w:bCs/>
              </w:rPr>
              <w:t>CLh</w:t>
            </w:r>
            <w:proofErr w:type="spellEnd"/>
          </w:p>
        </w:tc>
        <w:tc>
          <w:tcPr>
            <w:tcW w:w="2360" w:type="dxa"/>
            <w:tcBorders>
              <w:top w:val="single" w:sz="4" w:space="0" w:color="auto"/>
              <w:left w:val="nil"/>
              <w:bottom w:val="single" w:sz="4" w:space="0" w:color="auto"/>
              <w:right w:val="nil"/>
            </w:tcBorders>
            <w:shd w:val="clear" w:color="auto" w:fill="auto"/>
            <w:noWrap/>
            <w:vAlign w:val="center"/>
            <w:hideMark/>
          </w:tcPr>
          <w:p w14:paraId="2EEBA1CC" w14:textId="77777777" w:rsidR="00567DDE" w:rsidRPr="00777147" w:rsidRDefault="00567DDE" w:rsidP="001327B4">
            <w:pPr>
              <w:spacing w:after="0" w:line="240" w:lineRule="auto"/>
              <w:ind w:left="333" w:hanging="333"/>
              <w:jc w:val="center"/>
              <w:rPr>
                <w:rFonts w:ascii="Times New Roman" w:eastAsia="Times New Roman" w:hAnsi="Times New Roman" w:cs="Times New Roman"/>
                <w:bCs/>
              </w:rPr>
            </w:pPr>
            <w:r w:rsidRPr="00777147">
              <w:rPr>
                <w:rFonts w:ascii="Times New Roman" w:eastAsia="Times New Roman" w:hAnsi="Times New Roman" w:cs="Times New Roman"/>
                <w:bCs/>
              </w:rPr>
              <w:t>ABDC/NZABDC</w:t>
            </w:r>
          </w:p>
        </w:tc>
      </w:tr>
      <w:tr w:rsidR="00567DDE" w:rsidRPr="00777147" w14:paraId="7740A67D" w14:textId="77777777" w:rsidTr="001327B4">
        <w:trPr>
          <w:trHeight w:val="567"/>
        </w:trPr>
        <w:tc>
          <w:tcPr>
            <w:tcW w:w="2620" w:type="dxa"/>
            <w:tcBorders>
              <w:top w:val="nil"/>
              <w:left w:val="nil"/>
              <w:bottom w:val="nil"/>
              <w:right w:val="nil"/>
            </w:tcBorders>
            <w:shd w:val="clear" w:color="auto" w:fill="auto"/>
            <w:vAlign w:val="center"/>
            <w:hideMark/>
          </w:tcPr>
          <w:p w14:paraId="570DEB94" w14:textId="77777777" w:rsidR="00567DDE" w:rsidRPr="00777147" w:rsidRDefault="00567DDE" w:rsidP="001327B4">
            <w:pPr>
              <w:spacing w:after="0" w:line="240" w:lineRule="auto"/>
              <w:ind w:left="333" w:hanging="333"/>
              <w:rPr>
                <w:rFonts w:ascii="Times New Roman" w:eastAsia="Times New Roman" w:hAnsi="Times New Roman" w:cs="Times New Roman"/>
                <w:bCs/>
              </w:rPr>
            </w:pPr>
            <w:r>
              <w:rPr>
                <w:rFonts w:ascii="Times New Roman" w:eastAsia="Times New Roman" w:hAnsi="Times New Roman" w:cs="Times New Roman"/>
                <w:bCs/>
              </w:rPr>
              <w:t>Percent</w:t>
            </w:r>
            <w:r w:rsidRPr="00777147">
              <w:rPr>
                <w:rFonts w:ascii="Times New Roman" w:eastAsia="Times New Roman" w:hAnsi="Times New Roman" w:cs="Times New Roman"/>
                <w:bCs/>
              </w:rPr>
              <w:t xml:space="preserve"> of total papers covered by JWS</w:t>
            </w:r>
          </w:p>
        </w:tc>
        <w:tc>
          <w:tcPr>
            <w:tcW w:w="2620" w:type="dxa"/>
            <w:tcBorders>
              <w:top w:val="nil"/>
              <w:left w:val="nil"/>
              <w:bottom w:val="nil"/>
              <w:right w:val="nil"/>
            </w:tcBorders>
            <w:shd w:val="clear" w:color="auto" w:fill="auto"/>
            <w:vAlign w:val="center"/>
            <w:hideMark/>
          </w:tcPr>
          <w:p w14:paraId="4C13731E" w14:textId="77777777" w:rsidR="00567DDE" w:rsidRPr="00777147" w:rsidRDefault="00567DDE" w:rsidP="001327B4">
            <w:pPr>
              <w:spacing w:after="0" w:line="240" w:lineRule="auto"/>
              <w:ind w:left="333" w:hanging="333"/>
              <w:jc w:val="center"/>
              <w:rPr>
                <w:rFonts w:ascii="Times New Roman" w:eastAsia="Times New Roman" w:hAnsi="Times New Roman" w:cs="Times New Roman"/>
              </w:rPr>
            </w:pPr>
            <w:r w:rsidRPr="00777147">
              <w:rPr>
                <w:rFonts w:ascii="Times New Roman" w:eastAsia="Times New Roman" w:hAnsi="Times New Roman" w:cs="Times New Roman"/>
              </w:rPr>
              <w:t>83.4</w:t>
            </w:r>
          </w:p>
        </w:tc>
        <w:tc>
          <w:tcPr>
            <w:tcW w:w="1660" w:type="dxa"/>
            <w:tcBorders>
              <w:top w:val="nil"/>
              <w:left w:val="nil"/>
              <w:bottom w:val="nil"/>
              <w:right w:val="nil"/>
            </w:tcBorders>
            <w:shd w:val="clear" w:color="auto" w:fill="auto"/>
            <w:noWrap/>
            <w:vAlign w:val="center"/>
            <w:hideMark/>
          </w:tcPr>
          <w:p w14:paraId="21342463" w14:textId="77777777" w:rsidR="00567DDE" w:rsidRPr="00777147" w:rsidRDefault="00567DDE" w:rsidP="001327B4">
            <w:pPr>
              <w:spacing w:after="0" w:line="240" w:lineRule="auto"/>
              <w:ind w:left="333" w:hanging="333"/>
              <w:jc w:val="center"/>
              <w:rPr>
                <w:rFonts w:ascii="Times New Roman" w:eastAsia="Times New Roman" w:hAnsi="Times New Roman" w:cs="Times New Roman"/>
              </w:rPr>
            </w:pPr>
            <w:r w:rsidRPr="00777147">
              <w:rPr>
                <w:rFonts w:ascii="Times New Roman" w:eastAsia="Times New Roman" w:hAnsi="Times New Roman" w:cs="Times New Roman"/>
              </w:rPr>
              <w:t>95.3</w:t>
            </w:r>
          </w:p>
        </w:tc>
        <w:tc>
          <w:tcPr>
            <w:tcW w:w="2360" w:type="dxa"/>
            <w:tcBorders>
              <w:top w:val="nil"/>
              <w:left w:val="nil"/>
              <w:bottom w:val="nil"/>
              <w:right w:val="nil"/>
            </w:tcBorders>
            <w:shd w:val="clear" w:color="auto" w:fill="auto"/>
            <w:noWrap/>
            <w:vAlign w:val="center"/>
            <w:hideMark/>
          </w:tcPr>
          <w:p w14:paraId="68649F50" w14:textId="77777777" w:rsidR="00567DDE" w:rsidRPr="00777147" w:rsidRDefault="00567DDE" w:rsidP="001327B4">
            <w:pPr>
              <w:spacing w:after="0" w:line="240" w:lineRule="auto"/>
              <w:ind w:left="333" w:hanging="333"/>
              <w:jc w:val="center"/>
              <w:rPr>
                <w:rFonts w:ascii="Times New Roman" w:eastAsia="Times New Roman" w:hAnsi="Times New Roman" w:cs="Times New Roman"/>
              </w:rPr>
            </w:pPr>
            <w:r w:rsidRPr="00777147">
              <w:rPr>
                <w:rFonts w:ascii="Times New Roman" w:eastAsia="Times New Roman" w:hAnsi="Times New Roman" w:cs="Times New Roman"/>
              </w:rPr>
              <w:t>95.0</w:t>
            </w:r>
          </w:p>
        </w:tc>
      </w:tr>
      <w:tr w:rsidR="00567DDE" w:rsidRPr="00777147" w14:paraId="7A4DFC37" w14:textId="77777777" w:rsidTr="001327B4">
        <w:trPr>
          <w:trHeight w:val="567"/>
        </w:trPr>
        <w:tc>
          <w:tcPr>
            <w:tcW w:w="2620" w:type="dxa"/>
            <w:tcBorders>
              <w:top w:val="nil"/>
              <w:left w:val="nil"/>
              <w:right w:val="nil"/>
            </w:tcBorders>
            <w:shd w:val="clear" w:color="auto" w:fill="auto"/>
            <w:vAlign w:val="center"/>
            <w:hideMark/>
          </w:tcPr>
          <w:p w14:paraId="063FEEDE" w14:textId="77777777" w:rsidR="00567DDE" w:rsidRPr="00777147" w:rsidRDefault="00567DDE" w:rsidP="001327B4">
            <w:pPr>
              <w:spacing w:after="0" w:line="240" w:lineRule="auto"/>
              <w:ind w:left="333" w:hanging="333"/>
              <w:rPr>
                <w:rFonts w:ascii="Times New Roman" w:eastAsia="Times New Roman" w:hAnsi="Times New Roman" w:cs="Times New Roman"/>
                <w:bCs/>
              </w:rPr>
            </w:pPr>
            <w:r>
              <w:rPr>
                <w:rFonts w:ascii="Times New Roman" w:eastAsia="Times New Roman" w:hAnsi="Times New Roman" w:cs="Times New Roman"/>
                <w:bCs/>
              </w:rPr>
              <w:t>Percent</w:t>
            </w:r>
            <w:r w:rsidRPr="00777147">
              <w:rPr>
                <w:rFonts w:ascii="Times New Roman" w:eastAsia="Times New Roman" w:hAnsi="Times New Roman" w:cs="Times New Roman"/>
                <w:bCs/>
              </w:rPr>
              <w:t xml:space="preserve"> of share </w:t>
            </w:r>
            <w:proofErr w:type="spellStart"/>
            <w:r w:rsidRPr="00777147">
              <w:rPr>
                <w:rFonts w:ascii="Times New Roman" w:eastAsia="Times New Roman" w:hAnsi="Times New Roman" w:cs="Times New Roman"/>
                <w:bCs/>
              </w:rPr>
              <w:t>adj</w:t>
            </w:r>
            <w:proofErr w:type="spellEnd"/>
            <w:r w:rsidRPr="00777147">
              <w:rPr>
                <w:rFonts w:ascii="Times New Roman" w:eastAsia="Times New Roman" w:hAnsi="Times New Roman" w:cs="Times New Roman"/>
                <w:bCs/>
              </w:rPr>
              <w:t xml:space="preserve"> papers covered by JWS</w:t>
            </w:r>
          </w:p>
        </w:tc>
        <w:tc>
          <w:tcPr>
            <w:tcW w:w="2620" w:type="dxa"/>
            <w:tcBorders>
              <w:top w:val="nil"/>
              <w:left w:val="nil"/>
              <w:right w:val="nil"/>
            </w:tcBorders>
            <w:shd w:val="clear" w:color="auto" w:fill="auto"/>
            <w:vAlign w:val="center"/>
            <w:hideMark/>
          </w:tcPr>
          <w:p w14:paraId="5DBB6BE0" w14:textId="77777777" w:rsidR="00567DDE" w:rsidRPr="00777147" w:rsidRDefault="00567DDE" w:rsidP="001327B4">
            <w:pPr>
              <w:spacing w:after="0" w:line="240" w:lineRule="auto"/>
              <w:ind w:left="333" w:hanging="333"/>
              <w:jc w:val="center"/>
              <w:rPr>
                <w:rFonts w:ascii="Times New Roman" w:eastAsia="Times New Roman" w:hAnsi="Times New Roman" w:cs="Times New Roman"/>
              </w:rPr>
            </w:pPr>
            <w:r w:rsidRPr="00777147">
              <w:rPr>
                <w:rFonts w:ascii="Times New Roman" w:eastAsia="Times New Roman" w:hAnsi="Times New Roman" w:cs="Times New Roman"/>
              </w:rPr>
              <w:t>82.8</w:t>
            </w:r>
          </w:p>
        </w:tc>
        <w:tc>
          <w:tcPr>
            <w:tcW w:w="1660" w:type="dxa"/>
            <w:tcBorders>
              <w:top w:val="nil"/>
              <w:left w:val="nil"/>
              <w:right w:val="nil"/>
            </w:tcBorders>
            <w:shd w:val="clear" w:color="auto" w:fill="auto"/>
            <w:noWrap/>
            <w:vAlign w:val="center"/>
            <w:hideMark/>
          </w:tcPr>
          <w:p w14:paraId="7A26572C" w14:textId="77777777" w:rsidR="00567DDE" w:rsidRPr="00777147" w:rsidRDefault="00567DDE" w:rsidP="001327B4">
            <w:pPr>
              <w:spacing w:after="0" w:line="240" w:lineRule="auto"/>
              <w:ind w:left="333" w:hanging="333"/>
              <w:jc w:val="center"/>
              <w:rPr>
                <w:rFonts w:ascii="Times New Roman" w:eastAsia="Times New Roman" w:hAnsi="Times New Roman" w:cs="Times New Roman"/>
              </w:rPr>
            </w:pPr>
            <w:r w:rsidRPr="00777147">
              <w:rPr>
                <w:rFonts w:ascii="Times New Roman" w:eastAsia="Times New Roman" w:hAnsi="Times New Roman" w:cs="Times New Roman"/>
              </w:rPr>
              <w:t>96.6</w:t>
            </w:r>
          </w:p>
        </w:tc>
        <w:tc>
          <w:tcPr>
            <w:tcW w:w="2360" w:type="dxa"/>
            <w:tcBorders>
              <w:top w:val="nil"/>
              <w:left w:val="nil"/>
              <w:right w:val="nil"/>
            </w:tcBorders>
            <w:shd w:val="clear" w:color="auto" w:fill="auto"/>
            <w:noWrap/>
            <w:vAlign w:val="center"/>
            <w:hideMark/>
          </w:tcPr>
          <w:p w14:paraId="2BEB3B48" w14:textId="77777777" w:rsidR="00567DDE" w:rsidRPr="00777147" w:rsidRDefault="00567DDE" w:rsidP="001327B4">
            <w:pPr>
              <w:spacing w:after="0" w:line="240" w:lineRule="auto"/>
              <w:ind w:left="333" w:hanging="333"/>
              <w:jc w:val="center"/>
              <w:rPr>
                <w:rFonts w:ascii="Times New Roman" w:eastAsia="Times New Roman" w:hAnsi="Times New Roman" w:cs="Times New Roman"/>
              </w:rPr>
            </w:pPr>
            <w:r w:rsidRPr="00777147">
              <w:rPr>
                <w:rFonts w:ascii="Times New Roman" w:eastAsia="Times New Roman" w:hAnsi="Times New Roman" w:cs="Times New Roman"/>
              </w:rPr>
              <w:t>95.1</w:t>
            </w:r>
          </w:p>
        </w:tc>
      </w:tr>
      <w:tr w:rsidR="00567DDE" w:rsidRPr="00777147" w14:paraId="1C795B86" w14:textId="77777777" w:rsidTr="001327B4">
        <w:trPr>
          <w:trHeight w:val="567"/>
        </w:trPr>
        <w:tc>
          <w:tcPr>
            <w:tcW w:w="2620" w:type="dxa"/>
            <w:tcBorders>
              <w:top w:val="nil"/>
              <w:left w:val="nil"/>
              <w:bottom w:val="single" w:sz="4" w:space="0" w:color="auto"/>
              <w:right w:val="nil"/>
            </w:tcBorders>
            <w:shd w:val="clear" w:color="auto" w:fill="auto"/>
            <w:vAlign w:val="center"/>
            <w:hideMark/>
          </w:tcPr>
          <w:p w14:paraId="1CD1B9A0" w14:textId="77777777" w:rsidR="00567DDE" w:rsidRPr="00777147" w:rsidRDefault="00567DDE" w:rsidP="001327B4">
            <w:pPr>
              <w:spacing w:after="0" w:line="240" w:lineRule="auto"/>
              <w:ind w:left="333" w:hanging="333"/>
              <w:rPr>
                <w:rFonts w:ascii="Times New Roman" w:eastAsia="Times New Roman" w:hAnsi="Times New Roman" w:cs="Times New Roman"/>
                <w:bCs/>
              </w:rPr>
            </w:pPr>
            <w:r>
              <w:rPr>
                <w:rFonts w:ascii="Times New Roman" w:eastAsia="Times New Roman" w:hAnsi="Times New Roman" w:cs="Times New Roman"/>
                <w:bCs/>
              </w:rPr>
              <w:t>Percent</w:t>
            </w:r>
            <w:r w:rsidRPr="00777147">
              <w:rPr>
                <w:rFonts w:ascii="Times New Roman" w:eastAsia="Times New Roman" w:hAnsi="Times New Roman" w:cs="Times New Roman"/>
                <w:bCs/>
              </w:rPr>
              <w:t xml:space="preserve"> of share </w:t>
            </w:r>
            <w:proofErr w:type="spellStart"/>
            <w:r w:rsidRPr="00777147">
              <w:rPr>
                <w:rFonts w:ascii="Times New Roman" w:eastAsia="Times New Roman" w:hAnsi="Times New Roman" w:cs="Times New Roman"/>
                <w:bCs/>
              </w:rPr>
              <w:t>adj</w:t>
            </w:r>
            <w:proofErr w:type="spellEnd"/>
            <w:r w:rsidRPr="00777147">
              <w:rPr>
                <w:rFonts w:ascii="Times New Roman" w:eastAsia="Times New Roman" w:hAnsi="Times New Roman" w:cs="Times New Roman"/>
                <w:bCs/>
              </w:rPr>
              <w:t xml:space="preserve"> </w:t>
            </w:r>
            <w:r>
              <w:rPr>
                <w:rFonts w:ascii="Times New Roman" w:eastAsia="Times New Roman" w:hAnsi="Times New Roman" w:cs="Times New Roman"/>
                <w:bCs/>
              </w:rPr>
              <w:t>and</w:t>
            </w:r>
            <w:r w:rsidRPr="00777147">
              <w:rPr>
                <w:rFonts w:ascii="Times New Roman" w:eastAsia="Times New Roman" w:hAnsi="Times New Roman" w:cs="Times New Roman"/>
                <w:bCs/>
              </w:rPr>
              <w:t xml:space="preserve"> size </w:t>
            </w:r>
            <w:proofErr w:type="spellStart"/>
            <w:r w:rsidRPr="00777147">
              <w:rPr>
                <w:rFonts w:ascii="Times New Roman" w:eastAsia="Times New Roman" w:hAnsi="Times New Roman" w:cs="Times New Roman"/>
                <w:bCs/>
              </w:rPr>
              <w:t>adj</w:t>
            </w:r>
            <w:proofErr w:type="spellEnd"/>
            <w:r w:rsidRPr="00777147">
              <w:rPr>
                <w:rFonts w:ascii="Times New Roman" w:eastAsia="Times New Roman" w:hAnsi="Times New Roman" w:cs="Times New Roman"/>
                <w:bCs/>
              </w:rPr>
              <w:t xml:space="preserve"> pages covered by JWS</w:t>
            </w:r>
          </w:p>
        </w:tc>
        <w:tc>
          <w:tcPr>
            <w:tcW w:w="2620" w:type="dxa"/>
            <w:tcBorders>
              <w:top w:val="nil"/>
              <w:left w:val="nil"/>
              <w:bottom w:val="single" w:sz="4" w:space="0" w:color="auto"/>
              <w:right w:val="nil"/>
            </w:tcBorders>
            <w:shd w:val="clear" w:color="auto" w:fill="auto"/>
            <w:vAlign w:val="center"/>
            <w:hideMark/>
          </w:tcPr>
          <w:p w14:paraId="34CAFB54" w14:textId="77777777" w:rsidR="00567DDE" w:rsidRPr="00777147" w:rsidRDefault="00567DDE" w:rsidP="001327B4">
            <w:pPr>
              <w:spacing w:after="0" w:line="240" w:lineRule="auto"/>
              <w:ind w:left="333" w:hanging="333"/>
              <w:jc w:val="center"/>
              <w:rPr>
                <w:rFonts w:ascii="Times New Roman" w:eastAsia="Times New Roman" w:hAnsi="Times New Roman" w:cs="Times New Roman"/>
              </w:rPr>
            </w:pPr>
            <w:r w:rsidRPr="00777147">
              <w:rPr>
                <w:rFonts w:ascii="Times New Roman" w:eastAsia="Times New Roman" w:hAnsi="Times New Roman" w:cs="Times New Roman"/>
              </w:rPr>
              <w:t>86.0</w:t>
            </w:r>
          </w:p>
        </w:tc>
        <w:tc>
          <w:tcPr>
            <w:tcW w:w="1660" w:type="dxa"/>
            <w:tcBorders>
              <w:top w:val="nil"/>
              <w:left w:val="nil"/>
              <w:bottom w:val="single" w:sz="4" w:space="0" w:color="auto"/>
              <w:right w:val="nil"/>
            </w:tcBorders>
            <w:shd w:val="clear" w:color="auto" w:fill="auto"/>
            <w:noWrap/>
            <w:vAlign w:val="center"/>
            <w:hideMark/>
          </w:tcPr>
          <w:p w14:paraId="6A1894F0" w14:textId="77777777" w:rsidR="00567DDE" w:rsidRPr="00777147" w:rsidRDefault="00567DDE" w:rsidP="001327B4">
            <w:pPr>
              <w:spacing w:after="0" w:line="240" w:lineRule="auto"/>
              <w:ind w:left="333" w:hanging="333"/>
              <w:jc w:val="center"/>
              <w:rPr>
                <w:rFonts w:ascii="Times New Roman" w:eastAsia="Times New Roman" w:hAnsi="Times New Roman" w:cs="Times New Roman"/>
              </w:rPr>
            </w:pPr>
            <w:r w:rsidRPr="00777147">
              <w:rPr>
                <w:rFonts w:ascii="Times New Roman" w:eastAsia="Times New Roman" w:hAnsi="Times New Roman" w:cs="Times New Roman"/>
              </w:rPr>
              <w:t>96.3</w:t>
            </w:r>
          </w:p>
        </w:tc>
        <w:tc>
          <w:tcPr>
            <w:tcW w:w="2360" w:type="dxa"/>
            <w:tcBorders>
              <w:top w:val="nil"/>
              <w:left w:val="nil"/>
              <w:bottom w:val="single" w:sz="4" w:space="0" w:color="auto"/>
              <w:right w:val="nil"/>
            </w:tcBorders>
            <w:shd w:val="clear" w:color="auto" w:fill="auto"/>
            <w:noWrap/>
            <w:vAlign w:val="center"/>
            <w:hideMark/>
          </w:tcPr>
          <w:p w14:paraId="4C16A9B5" w14:textId="77777777" w:rsidR="00567DDE" w:rsidRPr="00777147" w:rsidRDefault="00567DDE" w:rsidP="001327B4">
            <w:pPr>
              <w:spacing w:after="0" w:line="240" w:lineRule="auto"/>
              <w:ind w:left="333" w:hanging="333"/>
              <w:jc w:val="center"/>
              <w:rPr>
                <w:rFonts w:ascii="Times New Roman" w:eastAsia="Times New Roman" w:hAnsi="Times New Roman" w:cs="Times New Roman"/>
              </w:rPr>
            </w:pPr>
            <w:r w:rsidRPr="00777147">
              <w:rPr>
                <w:rFonts w:ascii="Times New Roman" w:eastAsia="Times New Roman" w:hAnsi="Times New Roman" w:cs="Times New Roman"/>
              </w:rPr>
              <w:t>95.0</w:t>
            </w:r>
          </w:p>
        </w:tc>
      </w:tr>
    </w:tbl>
    <w:p w14:paraId="132F62B5" w14:textId="77777777" w:rsidR="00567DDE" w:rsidRPr="00BA0F48" w:rsidRDefault="00567DDE" w:rsidP="00316E1D">
      <w:pPr>
        <w:spacing w:after="0" w:line="288" w:lineRule="auto"/>
        <w:ind w:firstLine="720"/>
        <w:jc w:val="both"/>
        <w:rPr>
          <w:rFonts w:ascii="Times New Roman" w:hAnsi="Times New Roman" w:cs="Times New Roman"/>
        </w:rPr>
      </w:pPr>
    </w:p>
    <w:p w14:paraId="292B6E61" w14:textId="5A17F8CE" w:rsidR="005F64D5" w:rsidRDefault="00BC454C" w:rsidP="00316E1D">
      <w:pPr>
        <w:spacing w:after="0" w:line="288" w:lineRule="auto"/>
        <w:ind w:firstLine="720"/>
        <w:jc w:val="both"/>
        <w:rPr>
          <w:rFonts w:ascii="Times New Roman" w:hAnsi="Times New Roman" w:cs="Times New Roman"/>
          <w:sz w:val="24"/>
          <w:szCs w:val="24"/>
        </w:rPr>
      </w:pPr>
      <w:r w:rsidRPr="00B83421">
        <w:rPr>
          <w:rFonts w:ascii="Times New Roman" w:hAnsi="Times New Roman" w:cs="Times New Roman"/>
          <w:sz w:val="24"/>
          <w:szCs w:val="24"/>
        </w:rPr>
        <w:t>Our second perception based scheme is based, in part, on the Australian Business Deans Council journal rankings, and</w:t>
      </w:r>
      <w:r w:rsidR="00AA245C" w:rsidRPr="00B83421">
        <w:rPr>
          <w:rFonts w:ascii="Times New Roman" w:hAnsi="Times New Roman" w:cs="Times New Roman"/>
          <w:sz w:val="24"/>
          <w:szCs w:val="24"/>
        </w:rPr>
        <w:t xml:space="preserve"> </w:t>
      </w:r>
      <w:r w:rsidRPr="00B83421">
        <w:rPr>
          <w:rFonts w:ascii="Times New Roman" w:hAnsi="Times New Roman" w:cs="Times New Roman"/>
          <w:sz w:val="24"/>
          <w:szCs w:val="24"/>
        </w:rPr>
        <w:t xml:space="preserve">a </w:t>
      </w:r>
      <w:r w:rsidR="000B4CB5" w:rsidRPr="00B83421">
        <w:rPr>
          <w:rFonts w:ascii="Times New Roman" w:hAnsi="Times New Roman" w:cs="Times New Roman"/>
          <w:sz w:val="24"/>
          <w:szCs w:val="24"/>
        </w:rPr>
        <w:t xml:space="preserve">set of </w:t>
      </w:r>
      <w:r w:rsidR="00AA245C" w:rsidRPr="00B83421">
        <w:rPr>
          <w:rFonts w:ascii="Times New Roman" w:hAnsi="Times New Roman" w:cs="Times New Roman"/>
          <w:sz w:val="24"/>
          <w:szCs w:val="24"/>
        </w:rPr>
        <w:t xml:space="preserve">journal </w:t>
      </w:r>
      <w:r w:rsidR="000B4CB5" w:rsidRPr="00B83421">
        <w:rPr>
          <w:rFonts w:ascii="Times New Roman" w:hAnsi="Times New Roman" w:cs="Times New Roman"/>
          <w:sz w:val="24"/>
          <w:szCs w:val="24"/>
        </w:rPr>
        <w:t>weights derived by Anderson, Smart and Tressler (2013)</w:t>
      </w:r>
      <w:r w:rsidRPr="00B83421">
        <w:rPr>
          <w:rFonts w:ascii="Times New Roman" w:hAnsi="Times New Roman" w:cs="Times New Roman"/>
          <w:sz w:val="24"/>
          <w:szCs w:val="24"/>
        </w:rPr>
        <w:t xml:space="preserve">.  These weights are those associated with </w:t>
      </w:r>
      <w:r w:rsidR="000B4CB5" w:rsidRPr="00B83421">
        <w:rPr>
          <w:rFonts w:ascii="Times New Roman" w:hAnsi="Times New Roman" w:cs="Times New Roman"/>
          <w:sz w:val="24"/>
          <w:szCs w:val="24"/>
        </w:rPr>
        <w:t xml:space="preserve">the highest Pearson correlation coefficient between the evaluations of the research of individuals by a proxy of </w:t>
      </w:r>
      <w:r w:rsidR="000B4CB5" w:rsidRPr="00B83421">
        <w:rPr>
          <w:rFonts w:ascii="Times New Roman" w:hAnsi="Times New Roman" w:cs="Times New Roman"/>
          <w:b/>
          <w:sz w:val="24"/>
          <w:szCs w:val="24"/>
        </w:rPr>
        <w:t>ABDC</w:t>
      </w:r>
      <w:r w:rsidR="000B4CB5" w:rsidRPr="00B83421">
        <w:rPr>
          <w:rFonts w:ascii="Times New Roman" w:hAnsi="Times New Roman" w:cs="Times New Roman"/>
          <w:sz w:val="24"/>
          <w:szCs w:val="24"/>
        </w:rPr>
        <w:t xml:space="preserve"> and the research output scores assigned by the PBRF peer evaluation committee</w:t>
      </w:r>
      <w:r w:rsidR="000B4CB5" w:rsidRPr="00B83421">
        <w:rPr>
          <w:rStyle w:val="FootnoteReference"/>
          <w:rFonts w:ascii="Times New Roman" w:hAnsi="Times New Roman" w:cs="Times New Roman"/>
          <w:sz w:val="24"/>
          <w:szCs w:val="24"/>
        </w:rPr>
        <w:footnoteReference w:id="12"/>
      </w:r>
      <w:r w:rsidR="00990B79" w:rsidRPr="00B83421">
        <w:rPr>
          <w:rFonts w:ascii="Times New Roman" w:hAnsi="Times New Roman" w:cs="Times New Roman"/>
          <w:sz w:val="24"/>
          <w:szCs w:val="24"/>
        </w:rPr>
        <w:t xml:space="preserve">.  We have labeled this </w:t>
      </w:r>
      <w:r w:rsidR="00CF51BF" w:rsidRPr="00B83421">
        <w:rPr>
          <w:rFonts w:ascii="Times New Roman" w:hAnsi="Times New Roman" w:cs="Times New Roman"/>
          <w:sz w:val="24"/>
          <w:szCs w:val="24"/>
        </w:rPr>
        <w:t xml:space="preserve">RAM </w:t>
      </w:r>
      <w:r w:rsidR="00990B79" w:rsidRPr="00B83421">
        <w:rPr>
          <w:rFonts w:ascii="Times New Roman" w:hAnsi="Times New Roman" w:cs="Times New Roman"/>
          <w:sz w:val="24"/>
          <w:szCs w:val="24"/>
        </w:rPr>
        <w:t xml:space="preserve">as </w:t>
      </w:r>
      <w:r w:rsidR="00990B79" w:rsidRPr="00B83421">
        <w:rPr>
          <w:rFonts w:ascii="Times New Roman" w:hAnsi="Times New Roman" w:cs="Times New Roman"/>
          <w:b/>
          <w:sz w:val="24"/>
          <w:szCs w:val="24"/>
        </w:rPr>
        <w:t>NZABDC</w:t>
      </w:r>
      <w:r w:rsidR="00990B79" w:rsidRPr="00B83421">
        <w:rPr>
          <w:rFonts w:ascii="Times New Roman" w:hAnsi="Times New Roman" w:cs="Times New Roman"/>
          <w:sz w:val="24"/>
          <w:szCs w:val="24"/>
        </w:rPr>
        <w:t xml:space="preserve"> in recognition of the fact that the scoring system is based on both New Zealand data and the Australian Business Deans Council’s journal ranking scheme.</w:t>
      </w:r>
    </w:p>
    <w:p w14:paraId="6B5FB888" w14:textId="77777777" w:rsidR="00BA0F48" w:rsidRPr="00BA0F48" w:rsidRDefault="00BA0F48" w:rsidP="00316E1D">
      <w:pPr>
        <w:spacing w:after="0" w:line="288" w:lineRule="auto"/>
        <w:ind w:firstLine="720"/>
        <w:jc w:val="both"/>
        <w:rPr>
          <w:rFonts w:ascii="Times New Roman" w:hAnsi="Times New Roman" w:cs="Times New Roman"/>
        </w:rPr>
      </w:pPr>
    </w:p>
    <w:p w14:paraId="292B6E62" w14:textId="77777777" w:rsidR="002A7A83" w:rsidRDefault="005F2B92" w:rsidP="00316E1D">
      <w:pPr>
        <w:spacing w:after="0" w:line="288" w:lineRule="auto"/>
        <w:ind w:firstLine="720"/>
        <w:jc w:val="both"/>
        <w:rPr>
          <w:rFonts w:ascii="Times New Roman" w:hAnsi="Times New Roman" w:cs="Times New Roman"/>
          <w:sz w:val="24"/>
          <w:szCs w:val="24"/>
        </w:rPr>
      </w:pPr>
      <w:r w:rsidRPr="00B83421">
        <w:rPr>
          <w:rFonts w:ascii="Times New Roman" w:hAnsi="Times New Roman" w:cs="Times New Roman"/>
          <w:sz w:val="24"/>
          <w:szCs w:val="24"/>
        </w:rPr>
        <w:t xml:space="preserve">Although we </w:t>
      </w:r>
      <w:r w:rsidR="00D454AD" w:rsidRPr="00B83421">
        <w:rPr>
          <w:rFonts w:ascii="Times New Roman" w:hAnsi="Times New Roman" w:cs="Times New Roman"/>
          <w:sz w:val="24"/>
          <w:szCs w:val="24"/>
        </w:rPr>
        <w:t xml:space="preserve">characterized the decision process as choosing between citation-based measures and </w:t>
      </w:r>
      <w:r w:rsidRPr="00B83421">
        <w:rPr>
          <w:rFonts w:ascii="Times New Roman" w:hAnsi="Times New Roman" w:cs="Times New Roman"/>
          <w:sz w:val="24"/>
          <w:szCs w:val="24"/>
        </w:rPr>
        <w:t>journal weighting schemes, most of the latter are, in fact, based indirectly on citations</w:t>
      </w:r>
      <w:r w:rsidR="00D454AD" w:rsidRPr="00B83421">
        <w:rPr>
          <w:rFonts w:ascii="Times New Roman" w:hAnsi="Times New Roman" w:cs="Times New Roman"/>
          <w:sz w:val="24"/>
          <w:szCs w:val="24"/>
        </w:rPr>
        <w:t>.  H</w:t>
      </w:r>
      <w:r w:rsidRPr="00B83421">
        <w:rPr>
          <w:rFonts w:ascii="Times New Roman" w:hAnsi="Times New Roman" w:cs="Times New Roman"/>
          <w:sz w:val="24"/>
          <w:szCs w:val="24"/>
        </w:rPr>
        <w:t xml:space="preserve">owever, the focus is on the journal that published the paper, not </w:t>
      </w:r>
      <w:r w:rsidR="00D454AD" w:rsidRPr="00B83421">
        <w:rPr>
          <w:rFonts w:ascii="Times New Roman" w:hAnsi="Times New Roman" w:cs="Times New Roman"/>
          <w:sz w:val="24"/>
          <w:szCs w:val="24"/>
        </w:rPr>
        <w:t xml:space="preserve">the individual paper itself.  </w:t>
      </w:r>
      <w:r w:rsidRPr="00B83421">
        <w:rPr>
          <w:rFonts w:ascii="Times New Roman" w:hAnsi="Times New Roman" w:cs="Times New Roman"/>
          <w:sz w:val="24"/>
          <w:szCs w:val="24"/>
        </w:rPr>
        <w:t xml:space="preserve">Indirect citation schemes can be divided into two groups: those based on simple impact factors </w:t>
      </w:r>
      <w:r w:rsidR="002F62F4" w:rsidRPr="00B83421">
        <w:rPr>
          <w:rFonts w:ascii="Times New Roman" w:hAnsi="Times New Roman" w:cs="Times New Roman"/>
          <w:sz w:val="24"/>
          <w:szCs w:val="24"/>
        </w:rPr>
        <w:t xml:space="preserve">that give equal weight to all cites regardless of citing source, </w:t>
      </w:r>
      <w:r w:rsidRPr="00B83421">
        <w:rPr>
          <w:rFonts w:ascii="Times New Roman" w:hAnsi="Times New Roman" w:cs="Times New Roman"/>
          <w:sz w:val="24"/>
          <w:szCs w:val="24"/>
        </w:rPr>
        <w:t xml:space="preserve">and those assigning different weights to citations depending upon the importance of the citing journal.  </w:t>
      </w:r>
      <w:r w:rsidR="00971D78" w:rsidRPr="00B83421">
        <w:rPr>
          <w:rFonts w:ascii="Times New Roman" w:hAnsi="Times New Roman" w:cs="Times New Roman"/>
          <w:sz w:val="24"/>
          <w:szCs w:val="24"/>
        </w:rPr>
        <w:t xml:space="preserve">The former is based on Garfield (1972) and the latter on </w:t>
      </w:r>
      <w:r w:rsidR="005C33F8" w:rsidRPr="00B83421">
        <w:rPr>
          <w:rFonts w:ascii="Times New Roman" w:hAnsi="Times New Roman" w:cs="Times New Roman"/>
          <w:sz w:val="24"/>
          <w:szCs w:val="24"/>
        </w:rPr>
        <w:t xml:space="preserve">the pioneering work of </w:t>
      </w:r>
      <w:proofErr w:type="spellStart"/>
      <w:r w:rsidR="00971D78" w:rsidRPr="00B83421">
        <w:rPr>
          <w:rFonts w:ascii="Times New Roman" w:hAnsi="Times New Roman" w:cs="Times New Roman"/>
          <w:sz w:val="24"/>
          <w:szCs w:val="24"/>
        </w:rPr>
        <w:t>Liebowitz</w:t>
      </w:r>
      <w:proofErr w:type="spellEnd"/>
      <w:r w:rsidR="00971D78" w:rsidRPr="00B83421">
        <w:rPr>
          <w:rFonts w:ascii="Times New Roman" w:hAnsi="Times New Roman" w:cs="Times New Roman"/>
          <w:sz w:val="24"/>
          <w:szCs w:val="24"/>
        </w:rPr>
        <w:t xml:space="preserve"> and Palmer (1984). </w:t>
      </w:r>
      <w:r w:rsidRPr="00B83421">
        <w:rPr>
          <w:rFonts w:ascii="Times New Roman" w:hAnsi="Times New Roman" w:cs="Times New Roman"/>
          <w:sz w:val="24"/>
          <w:szCs w:val="24"/>
        </w:rPr>
        <w:t xml:space="preserve">  </w:t>
      </w:r>
    </w:p>
    <w:p w14:paraId="1AA61E2A" w14:textId="77777777" w:rsidR="00394933" w:rsidRPr="00BA0F48" w:rsidRDefault="00394933" w:rsidP="00316E1D">
      <w:pPr>
        <w:spacing w:after="0" w:line="288" w:lineRule="auto"/>
        <w:ind w:firstLine="720"/>
        <w:jc w:val="both"/>
        <w:rPr>
          <w:rFonts w:ascii="Times New Roman" w:hAnsi="Times New Roman" w:cs="Times New Roman"/>
        </w:rPr>
      </w:pPr>
    </w:p>
    <w:p w14:paraId="292B6E63" w14:textId="02E6049F" w:rsidR="007D1A91" w:rsidRDefault="007D1A91" w:rsidP="00316E1D">
      <w:pPr>
        <w:spacing w:after="0" w:line="288" w:lineRule="auto"/>
        <w:ind w:firstLine="720"/>
        <w:jc w:val="both"/>
        <w:rPr>
          <w:rFonts w:ascii="Times New Roman" w:hAnsi="Times New Roman" w:cs="Times New Roman"/>
          <w:sz w:val="24"/>
          <w:szCs w:val="24"/>
        </w:rPr>
      </w:pPr>
      <w:r w:rsidRPr="00B83421">
        <w:rPr>
          <w:rFonts w:ascii="Times New Roman" w:hAnsi="Times New Roman" w:cs="Times New Roman"/>
          <w:sz w:val="24"/>
          <w:szCs w:val="24"/>
        </w:rPr>
        <w:t xml:space="preserve">We have chosen </w:t>
      </w:r>
      <w:r w:rsidR="00610A34" w:rsidRPr="00B83421">
        <w:rPr>
          <w:rFonts w:ascii="Times New Roman" w:hAnsi="Times New Roman" w:cs="Times New Roman"/>
          <w:sz w:val="24"/>
          <w:szCs w:val="24"/>
        </w:rPr>
        <w:t>two JWS de</w:t>
      </w:r>
      <w:r w:rsidR="00071CAC" w:rsidRPr="00B83421">
        <w:rPr>
          <w:rFonts w:ascii="Times New Roman" w:hAnsi="Times New Roman" w:cs="Times New Roman"/>
          <w:sz w:val="24"/>
          <w:szCs w:val="24"/>
        </w:rPr>
        <w:t xml:space="preserve">veloped by RePEc that are based on </w:t>
      </w:r>
      <w:r w:rsidR="00610A34" w:rsidRPr="00B83421">
        <w:rPr>
          <w:rFonts w:ascii="Times New Roman" w:hAnsi="Times New Roman" w:cs="Times New Roman"/>
          <w:sz w:val="24"/>
          <w:szCs w:val="24"/>
        </w:rPr>
        <w:t>differing m</w:t>
      </w:r>
      <w:r w:rsidR="00071CAC" w:rsidRPr="00B83421">
        <w:rPr>
          <w:rFonts w:ascii="Times New Roman" w:hAnsi="Times New Roman" w:cs="Times New Roman"/>
          <w:sz w:val="24"/>
          <w:szCs w:val="24"/>
        </w:rPr>
        <w:t>ethodologies</w:t>
      </w:r>
      <w:r w:rsidR="00610A34" w:rsidRPr="00B83421">
        <w:rPr>
          <w:rFonts w:ascii="Times New Roman" w:hAnsi="Times New Roman" w:cs="Times New Roman"/>
          <w:sz w:val="24"/>
          <w:szCs w:val="24"/>
        </w:rPr>
        <w:t xml:space="preserve">:  </w:t>
      </w:r>
      <w:r w:rsidR="00071CAC" w:rsidRPr="00B83421">
        <w:rPr>
          <w:rFonts w:ascii="Times New Roman" w:hAnsi="Times New Roman" w:cs="Times New Roman"/>
          <w:sz w:val="24"/>
          <w:szCs w:val="24"/>
        </w:rPr>
        <w:t>the RePEc Simple Impact Factor (</w:t>
      </w:r>
      <w:proofErr w:type="spellStart"/>
      <w:r w:rsidR="00071CAC" w:rsidRPr="00B83421">
        <w:rPr>
          <w:rFonts w:ascii="Times New Roman" w:hAnsi="Times New Roman" w:cs="Times New Roman"/>
          <w:b/>
          <w:sz w:val="24"/>
          <w:szCs w:val="24"/>
        </w:rPr>
        <w:t>Rsif</w:t>
      </w:r>
      <w:proofErr w:type="spellEnd"/>
      <w:r w:rsidR="00071CAC" w:rsidRPr="00B83421">
        <w:rPr>
          <w:rFonts w:ascii="Times New Roman" w:hAnsi="Times New Roman" w:cs="Times New Roman"/>
          <w:sz w:val="24"/>
          <w:szCs w:val="24"/>
        </w:rPr>
        <w:t>) and the RePEc Recursive Impact Factor (</w:t>
      </w:r>
      <w:proofErr w:type="spellStart"/>
      <w:r w:rsidR="00071CAC" w:rsidRPr="00B83421">
        <w:rPr>
          <w:rFonts w:ascii="Times New Roman" w:hAnsi="Times New Roman" w:cs="Times New Roman"/>
          <w:b/>
          <w:sz w:val="24"/>
          <w:szCs w:val="24"/>
        </w:rPr>
        <w:t>Rrec</w:t>
      </w:r>
      <w:proofErr w:type="spellEnd"/>
      <w:r w:rsidR="00071CAC" w:rsidRPr="00B83421">
        <w:rPr>
          <w:rFonts w:ascii="Times New Roman" w:hAnsi="Times New Roman" w:cs="Times New Roman"/>
          <w:sz w:val="24"/>
          <w:szCs w:val="24"/>
        </w:rPr>
        <w:t>)</w:t>
      </w:r>
      <w:r w:rsidR="00E121E7" w:rsidRPr="00B83421">
        <w:rPr>
          <w:rStyle w:val="FootnoteReference"/>
          <w:rFonts w:ascii="Times New Roman" w:hAnsi="Times New Roman" w:cs="Times New Roman"/>
          <w:sz w:val="24"/>
          <w:szCs w:val="24"/>
        </w:rPr>
        <w:footnoteReference w:id="13"/>
      </w:r>
      <w:r w:rsidR="00071CAC" w:rsidRPr="00B83421">
        <w:rPr>
          <w:rFonts w:ascii="Times New Roman" w:hAnsi="Times New Roman" w:cs="Times New Roman"/>
          <w:sz w:val="24"/>
          <w:szCs w:val="24"/>
        </w:rPr>
        <w:t xml:space="preserve">.  The </w:t>
      </w:r>
      <w:r w:rsidR="000E532F" w:rsidRPr="00B83421">
        <w:rPr>
          <w:rFonts w:ascii="Times New Roman" w:hAnsi="Times New Roman" w:cs="Times New Roman"/>
          <w:sz w:val="24"/>
          <w:szCs w:val="24"/>
        </w:rPr>
        <w:t>journal weights</w:t>
      </w:r>
      <w:r w:rsidR="005C33F8" w:rsidRPr="00B83421">
        <w:rPr>
          <w:rFonts w:ascii="Times New Roman" w:hAnsi="Times New Roman" w:cs="Times New Roman"/>
          <w:sz w:val="24"/>
          <w:szCs w:val="24"/>
        </w:rPr>
        <w:t xml:space="preserve"> for </w:t>
      </w:r>
      <w:proofErr w:type="spellStart"/>
      <w:r w:rsidR="005C33F8" w:rsidRPr="00B83421">
        <w:rPr>
          <w:rFonts w:ascii="Times New Roman" w:hAnsi="Times New Roman" w:cs="Times New Roman"/>
          <w:sz w:val="24"/>
          <w:szCs w:val="24"/>
        </w:rPr>
        <w:t>Rsif</w:t>
      </w:r>
      <w:proofErr w:type="spellEnd"/>
      <w:r w:rsidR="005C33F8" w:rsidRPr="00B83421">
        <w:rPr>
          <w:rFonts w:ascii="Times New Roman" w:hAnsi="Times New Roman" w:cs="Times New Roman"/>
          <w:sz w:val="24"/>
          <w:szCs w:val="24"/>
        </w:rPr>
        <w:t xml:space="preserve"> and </w:t>
      </w:r>
      <w:proofErr w:type="spellStart"/>
      <w:r w:rsidR="005C33F8" w:rsidRPr="00B83421">
        <w:rPr>
          <w:rFonts w:ascii="Times New Roman" w:hAnsi="Times New Roman" w:cs="Times New Roman"/>
          <w:sz w:val="24"/>
          <w:szCs w:val="24"/>
        </w:rPr>
        <w:t>Rrec</w:t>
      </w:r>
      <w:proofErr w:type="spellEnd"/>
      <w:r w:rsidR="005C33F8" w:rsidRPr="00B83421">
        <w:rPr>
          <w:rFonts w:ascii="Times New Roman" w:hAnsi="Times New Roman" w:cs="Times New Roman"/>
          <w:sz w:val="24"/>
          <w:szCs w:val="24"/>
        </w:rPr>
        <w:t xml:space="preserve"> used in this study</w:t>
      </w:r>
      <w:r w:rsidR="000E532F" w:rsidRPr="00B83421">
        <w:rPr>
          <w:rFonts w:ascii="Times New Roman" w:hAnsi="Times New Roman" w:cs="Times New Roman"/>
          <w:sz w:val="24"/>
          <w:szCs w:val="24"/>
        </w:rPr>
        <w:t xml:space="preserve"> are those listed on </w:t>
      </w:r>
      <w:r w:rsidR="000E532F" w:rsidRPr="00B83421">
        <w:rPr>
          <w:rFonts w:ascii="Times New Roman" w:hAnsi="Times New Roman" w:cs="Times New Roman"/>
          <w:sz w:val="24"/>
          <w:szCs w:val="24"/>
        </w:rPr>
        <w:lastRenderedPageBreak/>
        <w:t xml:space="preserve">the RePEc website on </w:t>
      </w:r>
      <w:r w:rsidR="003F2526" w:rsidRPr="00B83421">
        <w:rPr>
          <w:rFonts w:ascii="Times New Roman" w:hAnsi="Times New Roman" w:cs="Times New Roman"/>
          <w:sz w:val="24"/>
          <w:szCs w:val="24"/>
        </w:rPr>
        <w:t xml:space="preserve">the </w:t>
      </w:r>
      <w:r w:rsidR="000E532F" w:rsidRPr="00B83421">
        <w:rPr>
          <w:rFonts w:ascii="Times New Roman" w:hAnsi="Times New Roman" w:cs="Times New Roman"/>
          <w:sz w:val="24"/>
          <w:szCs w:val="24"/>
        </w:rPr>
        <w:t>25</w:t>
      </w:r>
      <w:r w:rsidR="003F2526" w:rsidRPr="00B83421">
        <w:rPr>
          <w:rFonts w:ascii="Times New Roman" w:hAnsi="Times New Roman" w:cs="Times New Roman"/>
          <w:sz w:val="24"/>
          <w:szCs w:val="24"/>
          <w:vertAlign w:val="superscript"/>
        </w:rPr>
        <w:t>th</w:t>
      </w:r>
      <w:r w:rsidR="003F2526" w:rsidRPr="00B83421">
        <w:rPr>
          <w:rFonts w:ascii="Times New Roman" w:hAnsi="Times New Roman" w:cs="Times New Roman"/>
          <w:sz w:val="24"/>
          <w:szCs w:val="24"/>
        </w:rPr>
        <w:t xml:space="preserve"> and 29</w:t>
      </w:r>
      <w:r w:rsidR="003F2526" w:rsidRPr="00B83421">
        <w:rPr>
          <w:rFonts w:ascii="Times New Roman" w:hAnsi="Times New Roman" w:cs="Times New Roman"/>
          <w:sz w:val="24"/>
          <w:szCs w:val="24"/>
          <w:vertAlign w:val="superscript"/>
        </w:rPr>
        <w:t>th</w:t>
      </w:r>
      <w:r w:rsidR="003F2526" w:rsidRPr="00B83421">
        <w:rPr>
          <w:rFonts w:ascii="Times New Roman" w:hAnsi="Times New Roman" w:cs="Times New Roman"/>
          <w:sz w:val="24"/>
          <w:szCs w:val="24"/>
        </w:rPr>
        <w:t xml:space="preserve"> of </w:t>
      </w:r>
      <w:r w:rsidR="000E532F" w:rsidRPr="00B83421">
        <w:rPr>
          <w:rFonts w:ascii="Times New Roman" w:hAnsi="Times New Roman" w:cs="Times New Roman"/>
          <w:sz w:val="24"/>
          <w:szCs w:val="24"/>
        </w:rPr>
        <w:t>June 2015</w:t>
      </w:r>
      <w:r w:rsidR="003F2526" w:rsidRPr="00B83421">
        <w:rPr>
          <w:rFonts w:ascii="Times New Roman" w:hAnsi="Times New Roman" w:cs="Times New Roman"/>
          <w:sz w:val="24"/>
          <w:szCs w:val="24"/>
        </w:rPr>
        <w:t xml:space="preserve">, </w:t>
      </w:r>
      <w:r w:rsidR="000E532F" w:rsidRPr="00B83421">
        <w:rPr>
          <w:rFonts w:ascii="Times New Roman" w:hAnsi="Times New Roman" w:cs="Times New Roman"/>
          <w:sz w:val="24"/>
          <w:szCs w:val="24"/>
        </w:rPr>
        <w:t xml:space="preserve">respectively.  As shown in Table 1, </w:t>
      </w:r>
      <w:proofErr w:type="spellStart"/>
      <w:r w:rsidR="000E532F" w:rsidRPr="00B83421">
        <w:rPr>
          <w:rFonts w:ascii="Times New Roman" w:hAnsi="Times New Roman" w:cs="Times New Roman"/>
          <w:b/>
          <w:sz w:val="24"/>
          <w:szCs w:val="24"/>
        </w:rPr>
        <w:t>Rsif</w:t>
      </w:r>
      <w:proofErr w:type="spellEnd"/>
      <w:r w:rsidR="000E532F" w:rsidRPr="00B83421">
        <w:rPr>
          <w:rFonts w:ascii="Times New Roman" w:hAnsi="Times New Roman" w:cs="Times New Roman"/>
          <w:sz w:val="24"/>
          <w:szCs w:val="24"/>
        </w:rPr>
        <w:t xml:space="preserve"> and </w:t>
      </w:r>
      <w:proofErr w:type="spellStart"/>
      <w:r w:rsidR="000E532F" w:rsidRPr="00B83421">
        <w:rPr>
          <w:rFonts w:ascii="Times New Roman" w:hAnsi="Times New Roman" w:cs="Times New Roman"/>
          <w:b/>
          <w:sz w:val="24"/>
          <w:szCs w:val="24"/>
        </w:rPr>
        <w:t>Rrec</w:t>
      </w:r>
      <w:proofErr w:type="spellEnd"/>
      <w:r w:rsidR="000E532F" w:rsidRPr="00B83421">
        <w:rPr>
          <w:rFonts w:ascii="Times New Roman" w:hAnsi="Times New Roman" w:cs="Times New Roman"/>
          <w:sz w:val="24"/>
          <w:szCs w:val="24"/>
        </w:rPr>
        <w:t xml:space="preserve"> assign non-zero weights to over 83 percent of the papers in our database.</w:t>
      </w:r>
      <w:r w:rsidR="003F2526" w:rsidRPr="00B83421">
        <w:rPr>
          <w:rFonts w:ascii="Times New Roman" w:hAnsi="Times New Roman" w:cs="Times New Roman"/>
          <w:sz w:val="24"/>
          <w:szCs w:val="24"/>
        </w:rPr>
        <w:t xml:space="preserve">  The RePEc version of a simple impact factor </w:t>
      </w:r>
      <w:r w:rsidR="00971D78" w:rsidRPr="00B83421">
        <w:rPr>
          <w:rFonts w:ascii="Times New Roman" w:hAnsi="Times New Roman" w:cs="Times New Roman"/>
          <w:sz w:val="24"/>
          <w:szCs w:val="24"/>
        </w:rPr>
        <w:t>(</w:t>
      </w:r>
      <w:proofErr w:type="spellStart"/>
      <w:r w:rsidR="00971D78" w:rsidRPr="00B83421">
        <w:rPr>
          <w:rFonts w:ascii="Times New Roman" w:hAnsi="Times New Roman" w:cs="Times New Roman"/>
          <w:b/>
          <w:sz w:val="24"/>
          <w:szCs w:val="24"/>
        </w:rPr>
        <w:t>Rsif</w:t>
      </w:r>
      <w:proofErr w:type="spellEnd"/>
      <w:r w:rsidR="00971D78" w:rsidRPr="00B83421">
        <w:rPr>
          <w:rFonts w:ascii="Times New Roman" w:hAnsi="Times New Roman" w:cs="Times New Roman"/>
          <w:sz w:val="24"/>
          <w:szCs w:val="24"/>
        </w:rPr>
        <w:t xml:space="preserve">) </w:t>
      </w:r>
      <w:r w:rsidR="003F2526" w:rsidRPr="00B83421">
        <w:rPr>
          <w:rFonts w:ascii="Times New Roman" w:hAnsi="Times New Roman" w:cs="Times New Roman"/>
          <w:sz w:val="24"/>
          <w:szCs w:val="24"/>
        </w:rPr>
        <w:t>is base</w:t>
      </w:r>
      <w:r w:rsidR="00971D78" w:rsidRPr="00B83421">
        <w:rPr>
          <w:rFonts w:ascii="Times New Roman" w:hAnsi="Times New Roman" w:cs="Times New Roman"/>
          <w:sz w:val="24"/>
          <w:szCs w:val="24"/>
        </w:rPr>
        <w:t xml:space="preserve">d </w:t>
      </w:r>
      <w:r w:rsidR="003F2526" w:rsidRPr="00B83421">
        <w:rPr>
          <w:rFonts w:ascii="Times New Roman" w:hAnsi="Times New Roman" w:cs="Times New Roman"/>
          <w:sz w:val="24"/>
          <w:szCs w:val="24"/>
        </w:rPr>
        <w:t xml:space="preserve">on the total number of cites to all articles in a given journal up to the date of calculation divided by the number of articles published since the start of the collection period.  </w:t>
      </w:r>
      <w:proofErr w:type="spellStart"/>
      <w:r w:rsidR="00250E5B" w:rsidRPr="00B83421">
        <w:rPr>
          <w:rFonts w:ascii="Times New Roman" w:hAnsi="Times New Roman" w:cs="Times New Roman"/>
          <w:b/>
          <w:sz w:val="24"/>
          <w:szCs w:val="24"/>
        </w:rPr>
        <w:t>Rrec</w:t>
      </w:r>
      <w:proofErr w:type="spellEnd"/>
      <w:r w:rsidR="00250E5B" w:rsidRPr="00B83421">
        <w:rPr>
          <w:rFonts w:ascii="Times New Roman" w:hAnsi="Times New Roman" w:cs="Times New Roman"/>
          <w:sz w:val="24"/>
          <w:szCs w:val="24"/>
        </w:rPr>
        <w:t xml:space="preserve"> is based on the same dataset as </w:t>
      </w:r>
      <w:proofErr w:type="spellStart"/>
      <w:r w:rsidR="00250E5B" w:rsidRPr="00B83421">
        <w:rPr>
          <w:rFonts w:ascii="Times New Roman" w:hAnsi="Times New Roman" w:cs="Times New Roman"/>
          <w:b/>
          <w:sz w:val="24"/>
          <w:szCs w:val="24"/>
        </w:rPr>
        <w:t>Rsif</w:t>
      </w:r>
      <w:proofErr w:type="spellEnd"/>
      <w:r w:rsidR="00250E5B" w:rsidRPr="00B83421">
        <w:rPr>
          <w:rFonts w:ascii="Times New Roman" w:hAnsi="Times New Roman" w:cs="Times New Roman"/>
          <w:b/>
          <w:sz w:val="24"/>
          <w:szCs w:val="24"/>
        </w:rPr>
        <w:t xml:space="preserve"> </w:t>
      </w:r>
      <w:r w:rsidR="00250E5B" w:rsidRPr="00B83421">
        <w:rPr>
          <w:rFonts w:ascii="Times New Roman" w:hAnsi="Times New Roman" w:cs="Times New Roman"/>
          <w:sz w:val="24"/>
          <w:szCs w:val="24"/>
        </w:rPr>
        <w:t>but employs a recursive</w:t>
      </w:r>
      <w:r w:rsidR="008B014A" w:rsidRPr="00B83421">
        <w:rPr>
          <w:rFonts w:ascii="Times New Roman" w:hAnsi="Times New Roman" w:cs="Times New Roman"/>
          <w:sz w:val="24"/>
          <w:szCs w:val="24"/>
        </w:rPr>
        <w:t xml:space="preserve"> adjustment/eigenfactor </w:t>
      </w:r>
      <w:r w:rsidR="006438A7" w:rsidRPr="00B83421">
        <w:rPr>
          <w:rFonts w:ascii="Times New Roman" w:hAnsi="Times New Roman" w:cs="Times New Roman"/>
          <w:sz w:val="24"/>
          <w:szCs w:val="24"/>
        </w:rPr>
        <w:t xml:space="preserve">methodology </w:t>
      </w:r>
      <w:r w:rsidR="00064EBB" w:rsidRPr="00B83421">
        <w:rPr>
          <w:rFonts w:ascii="Times New Roman" w:hAnsi="Times New Roman" w:cs="Times New Roman"/>
          <w:sz w:val="24"/>
          <w:szCs w:val="24"/>
        </w:rPr>
        <w:t>to assign differential weights to citations based on the source of the citation</w:t>
      </w:r>
      <w:r w:rsidR="00693DF8" w:rsidRPr="00B83421">
        <w:rPr>
          <w:rStyle w:val="FootnoteReference"/>
          <w:rFonts w:ascii="Times New Roman" w:hAnsi="Times New Roman" w:cs="Times New Roman"/>
          <w:sz w:val="24"/>
          <w:szCs w:val="24"/>
        </w:rPr>
        <w:footnoteReference w:id="14"/>
      </w:r>
      <w:r w:rsidR="006438A7" w:rsidRPr="00B83421">
        <w:rPr>
          <w:rFonts w:ascii="Times New Roman" w:hAnsi="Times New Roman" w:cs="Times New Roman"/>
          <w:sz w:val="24"/>
          <w:szCs w:val="24"/>
        </w:rPr>
        <w:t>.</w:t>
      </w:r>
    </w:p>
    <w:p w14:paraId="3A3865E4" w14:textId="77777777" w:rsidR="00D44F6C" w:rsidRDefault="00D44F6C" w:rsidP="00316E1D">
      <w:pPr>
        <w:spacing w:after="0" w:line="288" w:lineRule="auto"/>
        <w:ind w:firstLine="720"/>
        <w:jc w:val="both"/>
        <w:rPr>
          <w:rFonts w:ascii="Times New Roman" w:hAnsi="Times New Roman" w:cs="Times New Roman"/>
          <w:sz w:val="24"/>
          <w:szCs w:val="24"/>
        </w:rPr>
      </w:pPr>
    </w:p>
    <w:p w14:paraId="292B6E65" w14:textId="7B6353B5" w:rsidR="008B014A" w:rsidRDefault="00720F4A" w:rsidP="00316E1D">
      <w:pPr>
        <w:spacing w:after="0" w:line="288" w:lineRule="auto"/>
        <w:ind w:firstLine="720"/>
        <w:jc w:val="both"/>
        <w:rPr>
          <w:rFonts w:ascii="Times New Roman" w:hAnsi="Times New Roman" w:cs="Times New Roman"/>
          <w:sz w:val="24"/>
          <w:szCs w:val="24"/>
        </w:rPr>
      </w:pPr>
      <w:r w:rsidRPr="00B83421">
        <w:rPr>
          <w:rFonts w:ascii="Times New Roman" w:hAnsi="Times New Roman" w:cs="Times New Roman"/>
          <w:sz w:val="24"/>
          <w:szCs w:val="24"/>
        </w:rPr>
        <w:t xml:space="preserve">Two additional </w:t>
      </w:r>
      <w:r w:rsidR="00A77162" w:rsidRPr="00B83421">
        <w:rPr>
          <w:rFonts w:ascii="Times New Roman" w:hAnsi="Times New Roman" w:cs="Times New Roman"/>
          <w:sz w:val="24"/>
          <w:szCs w:val="24"/>
        </w:rPr>
        <w:t xml:space="preserve">JWS </w:t>
      </w:r>
      <w:r w:rsidRPr="00B83421">
        <w:rPr>
          <w:rFonts w:ascii="Times New Roman" w:hAnsi="Times New Roman" w:cs="Times New Roman"/>
          <w:sz w:val="24"/>
          <w:szCs w:val="24"/>
        </w:rPr>
        <w:t>have b</w:t>
      </w:r>
      <w:r w:rsidR="00394933">
        <w:rPr>
          <w:rFonts w:ascii="Times New Roman" w:hAnsi="Times New Roman" w:cs="Times New Roman"/>
          <w:sz w:val="24"/>
          <w:szCs w:val="24"/>
        </w:rPr>
        <w:t xml:space="preserve">een selected for study </w:t>
      </w:r>
      <w:r w:rsidRPr="00B83421">
        <w:rPr>
          <w:rFonts w:ascii="Times New Roman" w:hAnsi="Times New Roman" w:cs="Times New Roman"/>
          <w:sz w:val="24"/>
          <w:szCs w:val="24"/>
        </w:rPr>
        <w:t xml:space="preserve">based on a mix of methodologies in order to generate scores for a very broad range of economics journals.  </w:t>
      </w:r>
      <w:r w:rsidR="008B014A" w:rsidRPr="00B83421">
        <w:rPr>
          <w:rFonts w:ascii="Times New Roman" w:hAnsi="Times New Roman" w:cs="Times New Roman"/>
          <w:sz w:val="24"/>
          <w:szCs w:val="24"/>
        </w:rPr>
        <w:t xml:space="preserve">Combes and </w:t>
      </w:r>
      <w:proofErr w:type="spellStart"/>
      <w:r w:rsidR="008B014A" w:rsidRPr="00B83421">
        <w:rPr>
          <w:rFonts w:ascii="Times New Roman" w:hAnsi="Times New Roman" w:cs="Times New Roman"/>
          <w:sz w:val="24"/>
          <w:szCs w:val="24"/>
        </w:rPr>
        <w:t>Linnemer</w:t>
      </w:r>
      <w:proofErr w:type="spellEnd"/>
      <w:r w:rsidR="00693DF8" w:rsidRPr="00B83421">
        <w:rPr>
          <w:rFonts w:ascii="Times New Roman" w:hAnsi="Times New Roman" w:cs="Times New Roman"/>
          <w:sz w:val="24"/>
          <w:szCs w:val="24"/>
        </w:rPr>
        <w:t xml:space="preserve"> (2010)</w:t>
      </w:r>
      <w:r w:rsidR="008B014A" w:rsidRPr="00B83421">
        <w:rPr>
          <w:rFonts w:ascii="Times New Roman" w:hAnsi="Times New Roman" w:cs="Times New Roman"/>
          <w:sz w:val="24"/>
          <w:szCs w:val="24"/>
        </w:rPr>
        <w:t xml:space="preserve"> </w:t>
      </w:r>
      <w:r w:rsidR="008C2D96" w:rsidRPr="00B83421">
        <w:rPr>
          <w:rFonts w:ascii="Times New Roman" w:hAnsi="Times New Roman" w:cs="Times New Roman"/>
          <w:sz w:val="24"/>
          <w:szCs w:val="24"/>
        </w:rPr>
        <w:t xml:space="preserve">provide scores for 1168 economics and related journals </w:t>
      </w:r>
      <w:r w:rsidR="00521986" w:rsidRPr="00B83421">
        <w:rPr>
          <w:rFonts w:ascii="Times New Roman" w:hAnsi="Times New Roman" w:cs="Times New Roman"/>
          <w:sz w:val="24"/>
          <w:szCs w:val="24"/>
        </w:rPr>
        <w:t xml:space="preserve">based on a combination of </w:t>
      </w:r>
      <w:proofErr w:type="spellStart"/>
      <w:r w:rsidR="00521986" w:rsidRPr="00B83421">
        <w:rPr>
          <w:rFonts w:ascii="Times New Roman" w:hAnsi="Times New Roman" w:cs="Times New Roman"/>
          <w:sz w:val="24"/>
          <w:szCs w:val="24"/>
        </w:rPr>
        <w:t>W</w:t>
      </w:r>
      <w:r w:rsidR="0071105F" w:rsidRPr="00B83421">
        <w:rPr>
          <w:rFonts w:ascii="Times New Roman" w:hAnsi="Times New Roman" w:cs="Times New Roman"/>
          <w:sz w:val="24"/>
          <w:szCs w:val="24"/>
        </w:rPr>
        <w:t>o</w:t>
      </w:r>
      <w:r w:rsidR="00521986" w:rsidRPr="00B83421">
        <w:rPr>
          <w:rFonts w:ascii="Times New Roman" w:hAnsi="Times New Roman" w:cs="Times New Roman"/>
          <w:sz w:val="24"/>
          <w:szCs w:val="24"/>
        </w:rPr>
        <w:t>S</w:t>
      </w:r>
      <w:proofErr w:type="spellEnd"/>
      <w:r w:rsidR="0071105F" w:rsidRPr="00B83421">
        <w:rPr>
          <w:rFonts w:ascii="Times New Roman" w:hAnsi="Times New Roman" w:cs="Times New Roman"/>
          <w:sz w:val="24"/>
          <w:szCs w:val="24"/>
        </w:rPr>
        <w:t xml:space="preserve"> and </w:t>
      </w:r>
      <w:r w:rsidR="00521986" w:rsidRPr="00B83421">
        <w:rPr>
          <w:rFonts w:ascii="Times New Roman" w:hAnsi="Times New Roman" w:cs="Times New Roman"/>
          <w:sz w:val="24"/>
          <w:szCs w:val="24"/>
        </w:rPr>
        <w:t xml:space="preserve">GS citation data, and various methodologies such as impact factors, field specialization adjustment indexes and h-indexes.   </w:t>
      </w:r>
      <w:r w:rsidR="008B014A" w:rsidRPr="00B83421">
        <w:rPr>
          <w:rFonts w:ascii="Times New Roman" w:hAnsi="Times New Roman" w:cs="Times New Roman"/>
          <w:sz w:val="24"/>
          <w:szCs w:val="24"/>
        </w:rPr>
        <w:t xml:space="preserve">They </w:t>
      </w:r>
      <w:r w:rsidR="00521986" w:rsidRPr="00B83421">
        <w:rPr>
          <w:rFonts w:ascii="Times New Roman" w:hAnsi="Times New Roman" w:cs="Times New Roman"/>
          <w:sz w:val="24"/>
          <w:szCs w:val="24"/>
        </w:rPr>
        <w:t xml:space="preserve">arbitrarily impose restrictions on the data to yield JWS that display </w:t>
      </w:r>
      <w:r w:rsidR="00142902" w:rsidRPr="00B83421">
        <w:rPr>
          <w:rFonts w:ascii="Times New Roman" w:hAnsi="Times New Roman" w:cs="Times New Roman"/>
          <w:sz w:val="24"/>
          <w:szCs w:val="24"/>
        </w:rPr>
        <w:t xml:space="preserve">varying degrees of </w:t>
      </w:r>
      <w:r w:rsidR="00521986" w:rsidRPr="00B83421">
        <w:rPr>
          <w:rFonts w:ascii="Times New Roman" w:hAnsi="Times New Roman" w:cs="Times New Roman"/>
          <w:sz w:val="24"/>
          <w:szCs w:val="24"/>
        </w:rPr>
        <w:t xml:space="preserve">convexity. </w:t>
      </w:r>
      <w:r w:rsidR="00265526" w:rsidRPr="00B83421">
        <w:rPr>
          <w:rFonts w:ascii="Times New Roman" w:hAnsi="Times New Roman" w:cs="Times New Roman"/>
          <w:sz w:val="24"/>
          <w:szCs w:val="24"/>
        </w:rPr>
        <w:t xml:space="preserve"> </w:t>
      </w:r>
      <w:r w:rsidR="00521986" w:rsidRPr="00B83421">
        <w:rPr>
          <w:rFonts w:ascii="Times New Roman" w:hAnsi="Times New Roman" w:cs="Times New Roman"/>
          <w:sz w:val="24"/>
          <w:szCs w:val="24"/>
        </w:rPr>
        <w:t xml:space="preserve"> </w:t>
      </w:r>
      <w:r w:rsidR="00D040A8" w:rsidRPr="00B83421">
        <w:rPr>
          <w:rFonts w:ascii="Times New Roman" w:hAnsi="Times New Roman" w:cs="Times New Roman"/>
          <w:sz w:val="24"/>
          <w:szCs w:val="24"/>
        </w:rPr>
        <w:t xml:space="preserve">In practical terms, </w:t>
      </w:r>
      <w:r w:rsidR="008B1181" w:rsidRPr="00B83421">
        <w:rPr>
          <w:rFonts w:ascii="Times New Roman" w:hAnsi="Times New Roman" w:cs="Times New Roman"/>
          <w:sz w:val="24"/>
          <w:szCs w:val="24"/>
        </w:rPr>
        <w:t xml:space="preserve">Combes and </w:t>
      </w:r>
      <w:proofErr w:type="spellStart"/>
      <w:r w:rsidR="008B1181" w:rsidRPr="00B83421">
        <w:rPr>
          <w:rFonts w:ascii="Times New Roman" w:hAnsi="Times New Roman" w:cs="Times New Roman"/>
          <w:sz w:val="24"/>
          <w:szCs w:val="24"/>
        </w:rPr>
        <w:t>Linnemer</w:t>
      </w:r>
      <w:proofErr w:type="spellEnd"/>
      <w:r w:rsidR="008B1181" w:rsidRPr="00B83421">
        <w:rPr>
          <w:rFonts w:ascii="Times New Roman" w:hAnsi="Times New Roman" w:cs="Times New Roman"/>
          <w:sz w:val="24"/>
          <w:szCs w:val="24"/>
        </w:rPr>
        <w:t xml:space="preserve"> </w:t>
      </w:r>
      <w:r w:rsidR="00D040A8" w:rsidRPr="00B83421">
        <w:rPr>
          <w:rFonts w:ascii="Times New Roman" w:hAnsi="Times New Roman" w:cs="Times New Roman"/>
          <w:sz w:val="24"/>
          <w:szCs w:val="24"/>
        </w:rPr>
        <w:t xml:space="preserve">alter the rate at which scores decline as one </w:t>
      </w:r>
      <w:proofErr w:type="gramStart"/>
      <w:r w:rsidR="00D040A8" w:rsidRPr="00B83421">
        <w:rPr>
          <w:rFonts w:ascii="Times New Roman" w:hAnsi="Times New Roman" w:cs="Times New Roman"/>
          <w:sz w:val="24"/>
          <w:szCs w:val="24"/>
        </w:rPr>
        <w:t>moves</w:t>
      </w:r>
      <w:proofErr w:type="gramEnd"/>
      <w:r w:rsidR="00D040A8" w:rsidRPr="00B83421">
        <w:rPr>
          <w:rFonts w:ascii="Times New Roman" w:hAnsi="Times New Roman" w:cs="Times New Roman"/>
          <w:sz w:val="24"/>
          <w:szCs w:val="24"/>
        </w:rPr>
        <w:t xml:space="preserve"> down the list of journals, and </w:t>
      </w:r>
      <w:r w:rsidR="008B1181" w:rsidRPr="00B83421">
        <w:rPr>
          <w:rFonts w:ascii="Times New Roman" w:hAnsi="Times New Roman" w:cs="Times New Roman"/>
          <w:sz w:val="24"/>
          <w:szCs w:val="24"/>
        </w:rPr>
        <w:t xml:space="preserve">they labeled </w:t>
      </w:r>
      <w:r w:rsidR="00D040A8" w:rsidRPr="00B83421">
        <w:rPr>
          <w:rFonts w:ascii="Times New Roman" w:hAnsi="Times New Roman" w:cs="Times New Roman"/>
          <w:sz w:val="24"/>
          <w:szCs w:val="24"/>
        </w:rPr>
        <w:t xml:space="preserve">the scheme exhibiting the steepest decline in scores </w:t>
      </w:r>
      <w:r w:rsidR="008B1181" w:rsidRPr="00B83421">
        <w:rPr>
          <w:rFonts w:ascii="Times New Roman" w:hAnsi="Times New Roman" w:cs="Times New Roman"/>
          <w:sz w:val="24"/>
          <w:szCs w:val="24"/>
        </w:rPr>
        <w:t xml:space="preserve">as </w:t>
      </w:r>
      <w:proofErr w:type="spellStart"/>
      <w:r w:rsidR="00D040A8" w:rsidRPr="00B83421">
        <w:rPr>
          <w:rFonts w:ascii="Times New Roman" w:hAnsi="Times New Roman" w:cs="Times New Roman"/>
          <w:b/>
          <w:sz w:val="24"/>
          <w:szCs w:val="24"/>
        </w:rPr>
        <w:t>CLh</w:t>
      </w:r>
      <w:proofErr w:type="spellEnd"/>
      <w:r w:rsidR="00D040A8" w:rsidRPr="00B83421">
        <w:rPr>
          <w:rFonts w:ascii="Times New Roman" w:hAnsi="Times New Roman" w:cs="Times New Roman"/>
          <w:sz w:val="24"/>
          <w:szCs w:val="24"/>
        </w:rPr>
        <w:t xml:space="preserve"> and the one exhibiting smaller declines as </w:t>
      </w:r>
      <w:proofErr w:type="spellStart"/>
      <w:r w:rsidR="00D040A8" w:rsidRPr="00B83421">
        <w:rPr>
          <w:rFonts w:ascii="Times New Roman" w:hAnsi="Times New Roman" w:cs="Times New Roman"/>
          <w:b/>
          <w:sz w:val="24"/>
          <w:szCs w:val="24"/>
        </w:rPr>
        <w:t>C</w:t>
      </w:r>
      <w:r w:rsidR="00AB0315" w:rsidRPr="00B83421">
        <w:rPr>
          <w:rFonts w:ascii="Times New Roman" w:hAnsi="Times New Roman" w:cs="Times New Roman"/>
          <w:b/>
          <w:sz w:val="24"/>
          <w:szCs w:val="24"/>
        </w:rPr>
        <w:t>L</w:t>
      </w:r>
      <w:r w:rsidR="00D040A8" w:rsidRPr="00B83421">
        <w:rPr>
          <w:rFonts w:ascii="Times New Roman" w:hAnsi="Times New Roman" w:cs="Times New Roman"/>
          <w:b/>
          <w:sz w:val="24"/>
          <w:szCs w:val="24"/>
        </w:rPr>
        <w:t>m</w:t>
      </w:r>
      <w:r w:rsidR="00D040A8" w:rsidRPr="00B83421">
        <w:rPr>
          <w:rFonts w:ascii="Times New Roman" w:hAnsi="Times New Roman" w:cs="Times New Roman"/>
          <w:sz w:val="24"/>
          <w:szCs w:val="24"/>
        </w:rPr>
        <w:t>.</w:t>
      </w:r>
      <w:proofErr w:type="spellEnd"/>
      <w:r w:rsidR="00D040A8" w:rsidRPr="00B83421">
        <w:rPr>
          <w:rFonts w:ascii="Times New Roman" w:hAnsi="Times New Roman" w:cs="Times New Roman"/>
          <w:sz w:val="24"/>
          <w:szCs w:val="24"/>
        </w:rPr>
        <w:t xml:space="preserve">   Note that both </w:t>
      </w:r>
      <w:proofErr w:type="spellStart"/>
      <w:r w:rsidR="00D040A8" w:rsidRPr="00B83421">
        <w:rPr>
          <w:rFonts w:ascii="Times New Roman" w:hAnsi="Times New Roman" w:cs="Times New Roman"/>
          <w:b/>
          <w:sz w:val="24"/>
          <w:szCs w:val="24"/>
        </w:rPr>
        <w:t>CLm</w:t>
      </w:r>
      <w:proofErr w:type="spellEnd"/>
      <w:r w:rsidR="00D040A8" w:rsidRPr="00B83421">
        <w:rPr>
          <w:rFonts w:ascii="Times New Roman" w:hAnsi="Times New Roman" w:cs="Times New Roman"/>
          <w:sz w:val="24"/>
          <w:szCs w:val="24"/>
        </w:rPr>
        <w:t xml:space="preserve"> and </w:t>
      </w:r>
      <w:proofErr w:type="spellStart"/>
      <w:r w:rsidR="00D040A8" w:rsidRPr="00B83421">
        <w:rPr>
          <w:rFonts w:ascii="Times New Roman" w:hAnsi="Times New Roman" w:cs="Times New Roman"/>
          <w:b/>
          <w:sz w:val="24"/>
          <w:szCs w:val="24"/>
        </w:rPr>
        <w:t>CLh</w:t>
      </w:r>
      <w:proofErr w:type="spellEnd"/>
      <w:r w:rsidR="00D040A8" w:rsidRPr="00B83421">
        <w:rPr>
          <w:rFonts w:ascii="Times New Roman" w:hAnsi="Times New Roman" w:cs="Times New Roman"/>
          <w:sz w:val="24"/>
          <w:szCs w:val="24"/>
        </w:rPr>
        <w:t xml:space="preserve"> </w:t>
      </w:r>
      <w:r w:rsidR="00D84D16" w:rsidRPr="00B83421">
        <w:rPr>
          <w:rFonts w:ascii="Times New Roman" w:hAnsi="Times New Roman" w:cs="Times New Roman"/>
          <w:sz w:val="24"/>
          <w:szCs w:val="24"/>
        </w:rPr>
        <w:t xml:space="preserve">generate non-zero scores </w:t>
      </w:r>
      <w:r w:rsidR="00A77162" w:rsidRPr="00B83421">
        <w:rPr>
          <w:rFonts w:ascii="Times New Roman" w:hAnsi="Times New Roman" w:cs="Times New Roman"/>
          <w:sz w:val="24"/>
          <w:szCs w:val="24"/>
        </w:rPr>
        <w:t xml:space="preserve">for </w:t>
      </w:r>
      <w:r w:rsidR="00D84D16" w:rsidRPr="00B83421">
        <w:rPr>
          <w:rFonts w:ascii="Times New Roman" w:hAnsi="Times New Roman" w:cs="Times New Roman"/>
          <w:sz w:val="24"/>
          <w:szCs w:val="24"/>
        </w:rPr>
        <w:t xml:space="preserve">over 95% of the </w:t>
      </w:r>
      <w:r w:rsidR="008B014A" w:rsidRPr="00B83421">
        <w:rPr>
          <w:rFonts w:ascii="Times New Roman" w:hAnsi="Times New Roman" w:cs="Times New Roman"/>
          <w:sz w:val="24"/>
          <w:szCs w:val="24"/>
        </w:rPr>
        <w:t>papers in our database</w:t>
      </w:r>
    </w:p>
    <w:p w14:paraId="38BAEAEA" w14:textId="77777777" w:rsidR="00394933" w:rsidRPr="00B83421" w:rsidRDefault="00394933" w:rsidP="00316E1D">
      <w:pPr>
        <w:spacing w:after="0" w:line="288" w:lineRule="auto"/>
        <w:ind w:firstLine="720"/>
        <w:jc w:val="both"/>
        <w:rPr>
          <w:rFonts w:ascii="Times New Roman" w:hAnsi="Times New Roman" w:cs="Times New Roman"/>
          <w:sz w:val="24"/>
          <w:szCs w:val="24"/>
        </w:rPr>
      </w:pPr>
    </w:p>
    <w:p w14:paraId="292B6E66" w14:textId="6AAA4020" w:rsidR="00525AB5" w:rsidRDefault="00525AB5" w:rsidP="00316E1D">
      <w:pPr>
        <w:spacing w:after="0" w:line="288" w:lineRule="auto"/>
        <w:ind w:firstLine="720"/>
        <w:jc w:val="both"/>
        <w:rPr>
          <w:rFonts w:ascii="Times New Roman" w:hAnsi="Times New Roman" w:cs="Times New Roman"/>
          <w:sz w:val="24"/>
          <w:szCs w:val="24"/>
        </w:rPr>
      </w:pPr>
      <w:r w:rsidRPr="00B83421">
        <w:rPr>
          <w:rFonts w:ascii="Times New Roman" w:hAnsi="Times New Roman" w:cs="Times New Roman"/>
          <w:sz w:val="24"/>
          <w:szCs w:val="24"/>
        </w:rPr>
        <w:t xml:space="preserve">In addition to the </w:t>
      </w:r>
      <w:r w:rsidR="00795B90" w:rsidRPr="00B83421">
        <w:rPr>
          <w:rFonts w:ascii="Times New Roman" w:hAnsi="Times New Roman" w:cs="Times New Roman"/>
          <w:sz w:val="24"/>
          <w:szCs w:val="24"/>
        </w:rPr>
        <w:t xml:space="preserve">weighting regimes presented </w:t>
      </w:r>
      <w:r w:rsidRPr="00B83421">
        <w:rPr>
          <w:rFonts w:ascii="Times New Roman" w:hAnsi="Times New Roman" w:cs="Times New Roman"/>
          <w:sz w:val="24"/>
          <w:szCs w:val="24"/>
        </w:rPr>
        <w:t>above, we have added a seventh</w:t>
      </w:r>
      <w:r w:rsidR="008B014A" w:rsidRPr="00B83421">
        <w:rPr>
          <w:rFonts w:ascii="Times New Roman" w:hAnsi="Times New Roman" w:cs="Times New Roman"/>
          <w:sz w:val="24"/>
          <w:szCs w:val="24"/>
        </w:rPr>
        <w:t xml:space="preserve">- </w:t>
      </w:r>
      <w:r w:rsidRPr="00B83421">
        <w:rPr>
          <w:rFonts w:ascii="Times New Roman" w:hAnsi="Times New Roman" w:cs="Times New Roman"/>
          <w:b/>
          <w:sz w:val="24"/>
          <w:szCs w:val="24"/>
        </w:rPr>
        <w:t>AVJWS</w:t>
      </w:r>
      <w:r w:rsidRPr="00B83421">
        <w:rPr>
          <w:rFonts w:ascii="Times New Roman" w:hAnsi="Times New Roman" w:cs="Times New Roman"/>
          <w:sz w:val="24"/>
          <w:szCs w:val="24"/>
        </w:rPr>
        <w:t xml:space="preserve">.  This scheme is simply the </w:t>
      </w:r>
      <w:r w:rsidR="00210ADE" w:rsidRPr="00B83421">
        <w:rPr>
          <w:rFonts w:ascii="Times New Roman" w:hAnsi="Times New Roman" w:cs="Times New Roman"/>
          <w:sz w:val="24"/>
          <w:szCs w:val="24"/>
        </w:rPr>
        <w:t xml:space="preserve">arithmetic </w:t>
      </w:r>
      <w:r w:rsidR="00866EFF" w:rsidRPr="00B83421">
        <w:rPr>
          <w:rFonts w:ascii="Times New Roman" w:hAnsi="Times New Roman" w:cs="Times New Roman"/>
          <w:sz w:val="24"/>
          <w:szCs w:val="24"/>
        </w:rPr>
        <w:t>mean o</w:t>
      </w:r>
      <w:r w:rsidRPr="00B83421">
        <w:rPr>
          <w:rFonts w:ascii="Times New Roman" w:hAnsi="Times New Roman" w:cs="Times New Roman"/>
          <w:sz w:val="24"/>
          <w:szCs w:val="24"/>
        </w:rPr>
        <w:t>f the rankings of the previously presented JWS (</w:t>
      </w:r>
      <w:r w:rsidRPr="00B83421">
        <w:rPr>
          <w:rFonts w:ascii="Times New Roman" w:hAnsi="Times New Roman" w:cs="Times New Roman"/>
          <w:b/>
          <w:sz w:val="24"/>
          <w:szCs w:val="24"/>
        </w:rPr>
        <w:t>ABDC</w:t>
      </w:r>
      <w:r w:rsidR="00A77162" w:rsidRPr="00B83421">
        <w:rPr>
          <w:rFonts w:ascii="Times New Roman" w:hAnsi="Times New Roman" w:cs="Times New Roman"/>
          <w:b/>
          <w:sz w:val="24"/>
          <w:szCs w:val="24"/>
        </w:rPr>
        <w:t xml:space="preserve">, </w:t>
      </w:r>
      <w:r w:rsidR="00EF493D" w:rsidRPr="00B83421">
        <w:rPr>
          <w:rFonts w:ascii="Times New Roman" w:hAnsi="Times New Roman" w:cs="Times New Roman"/>
          <w:b/>
          <w:sz w:val="24"/>
          <w:szCs w:val="24"/>
        </w:rPr>
        <w:t xml:space="preserve">NZABDC, </w:t>
      </w:r>
      <w:proofErr w:type="spellStart"/>
      <w:r w:rsidR="00EF493D" w:rsidRPr="00B83421">
        <w:rPr>
          <w:rFonts w:ascii="Times New Roman" w:hAnsi="Times New Roman" w:cs="Times New Roman"/>
          <w:b/>
          <w:sz w:val="24"/>
          <w:szCs w:val="24"/>
        </w:rPr>
        <w:t>Rsif</w:t>
      </w:r>
      <w:proofErr w:type="spellEnd"/>
      <w:r w:rsidR="00EF493D" w:rsidRPr="00B83421">
        <w:rPr>
          <w:rFonts w:ascii="Times New Roman" w:hAnsi="Times New Roman" w:cs="Times New Roman"/>
          <w:b/>
          <w:sz w:val="24"/>
          <w:szCs w:val="24"/>
        </w:rPr>
        <w:t xml:space="preserve">, </w:t>
      </w:r>
      <w:proofErr w:type="spellStart"/>
      <w:r w:rsidR="00EF493D" w:rsidRPr="00B83421">
        <w:rPr>
          <w:rFonts w:ascii="Times New Roman" w:hAnsi="Times New Roman" w:cs="Times New Roman"/>
          <w:b/>
          <w:sz w:val="24"/>
          <w:szCs w:val="24"/>
        </w:rPr>
        <w:t>Rrec</w:t>
      </w:r>
      <w:proofErr w:type="spellEnd"/>
      <w:r w:rsidR="00EF493D" w:rsidRPr="00B83421">
        <w:rPr>
          <w:rFonts w:ascii="Times New Roman" w:hAnsi="Times New Roman" w:cs="Times New Roman"/>
          <w:b/>
          <w:sz w:val="24"/>
          <w:szCs w:val="24"/>
        </w:rPr>
        <w:t xml:space="preserve">, </w:t>
      </w:r>
      <w:proofErr w:type="spellStart"/>
      <w:r w:rsidRPr="00B83421">
        <w:rPr>
          <w:rFonts w:ascii="Times New Roman" w:hAnsi="Times New Roman" w:cs="Times New Roman"/>
          <w:b/>
          <w:sz w:val="24"/>
          <w:szCs w:val="24"/>
        </w:rPr>
        <w:t>CLm</w:t>
      </w:r>
      <w:proofErr w:type="spellEnd"/>
      <w:r w:rsidRPr="00B83421">
        <w:rPr>
          <w:rFonts w:ascii="Times New Roman" w:hAnsi="Times New Roman" w:cs="Times New Roman"/>
          <w:b/>
          <w:sz w:val="24"/>
          <w:szCs w:val="24"/>
        </w:rPr>
        <w:t xml:space="preserve"> </w:t>
      </w:r>
      <w:r w:rsidRPr="00B83421">
        <w:rPr>
          <w:rFonts w:ascii="Times New Roman" w:hAnsi="Times New Roman" w:cs="Times New Roman"/>
          <w:sz w:val="24"/>
          <w:szCs w:val="24"/>
        </w:rPr>
        <w:t>and</w:t>
      </w:r>
      <w:r w:rsidRPr="00B83421">
        <w:rPr>
          <w:rFonts w:ascii="Times New Roman" w:hAnsi="Times New Roman" w:cs="Times New Roman"/>
          <w:b/>
          <w:sz w:val="24"/>
          <w:szCs w:val="24"/>
        </w:rPr>
        <w:t xml:space="preserve"> </w:t>
      </w:r>
      <w:proofErr w:type="spellStart"/>
      <w:r w:rsidRPr="00B83421">
        <w:rPr>
          <w:rFonts w:ascii="Times New Roman" w:hAnsi="Times New Roman" w:cs="Times New Roman"/>
          <w:b/>
          <w:sz w:val="24"/>
          <w:szCs w:val="24"/>
        </w:rPr>
        <w:t>CLh</w:t>
      </w:r>
      <w:proofErr w:type="spellEnd"/>
      <w:r w:rsidRPr="00B83421">
        <w:rPr>
          <w:rFonts w:ascii="Times New Roman" w:hAnsi="Times New Roman" w:cs="Times New Roman"/>
          <w:sz w:val="24"/>
          <w:szCs w:val="24"/>
        </w:rPr>
        <w:t>).</w:t>
      </w:r>
      <w:r w:rsidR="00795B90" w:rsidRPr="00B83421">
        <w:rPr>
          <w:rFonts w:ascii="Times New Roman" w:hAnsi="Times New Roman" w:cs="Times New Roman"/>
          <w:sz w:val="24"/>
          <w:szCs w:val="24"/>
        </w:rPr>
        <w:t xml:space="preserve">  Although admittedly arbitrary in design, </w:t>
      </w:r>
      <w:r w:rsidR="00795B90" w:rsidRPr="00B83421">
        <w:rPr>
          <w:rFonts w:ascii="Times New Roman" w:hAnsi="Times New Roman" w:cs="Times New Roman"/>
          <w:b/>
          <w:sz w:val="24"/>
          <w:szCs w:val="24"/>
        </w:rPr>
        <w:t>AVJWS</w:t>
      </w:r>
      <w:r w:rsidR="00795B90" w:rsidRPr="00B83421">
        <w:rPr>
          <w:rFonts w:ascii="Times New Roman" w:hAnsi="Times New Roman" w:cs="Times New Roman"/>
          <w:sz w:val="24"/>
          <w:szCs w:val="24"/>
        </w:rPr>
        <w:t xml:space="preserve"> is an example of a plausible attempt to reduce alternative rankings to a scalar measure</w:t>
      </w:r>
      <w:r w:rsidR="001327B4">
        <w:rPr>
          <w:rFonts w:ascii="Times New Roman" w:hAnsi="Times New Roman" w:cs="Times New Roman"/>
          <w:sz w:val="24"/>
          <w:szCs w:val="24"/>
        </w:rPr>
        <w:t xml:space="preserve"> </w:t>
      </w:r>
      <w:r w:rsidR="00795B90" w:rsidRPr="00B83421">
        <w:rPr>
          <w:rFonts w:ascii="Times New Roman" w:hAnsi="Times New Roman" w:cs="Times New Roman"/>
          <w:sz w:val="24"/>
          <w:szCs w:val="24"/>
        </w:rPr>
        <w:t xml:space="preserve">- a common practice in an environment characterized by uncertainty over the </w:t>
      </w:r>
      <w:r w:rsidR="00FA51D3">
        <w:rPr>
          <w:rFonts w:ascii="Times New Roman" w:hAnsi="Times New Roman" w:cs="Times New Roman"/>
          <w:sz w:val="24"/>
          <w:szCs w:val="24"/>
        </w:rPr>
        <w:t>'</w:t>
      </w:r>
      <w:r w:rsidR="00795B90" w:rsidRPr="00B83421">
        <w:rPr>
          <w:rFonts w:ascii="Times New Roman" w:hAnsi="Times New Roman" w:cs="Times New Roman"/>
          <w:sz w:val="24"/>
          <w:szCs w:val="24"/>
        </w:rPr>
        <w:t>true</w:t>
      </w:r>
      <w:r w:rsidR="00FA51D3">
        <w:rPr>
          <w:rFonts w:ascii="Times New Roman" w:hAnsi="Times New Roman" w:cs="Times New Roman"/>
          <w:sz w:val="24"/>
          <w:szCs w:val="24"/>
        </w:rPr>
        <w:t>'</w:t>
      </w:r>
      <w:r w:rsidR="00795B90" w:rsidRPr="00B83421">
        <w:rPr>
          <w:rFonts w:ascii="Times New Roman" w:hAnsi="Times New Roman" w:cs="Times New Roman"/>
          <w:sz w:val="24"/>
          <w:szCs w:val="24"/>
        </w:rPr>
        <w:t xml:space="preserve"> </w:t>
      </w:r>
      <w:r w:rsidR="00621A32" w:rsidRPr="00B83421">
        <w:rPr>
          <w:rFonts w:ascii="Times New Roman" w:hAnsi="Times New Roman" w:cs="Times New Roman"/>
          <w:sz w:val="24"/>
          <w:szCs w:val="24"/>
        </w:rPr>
        <w:t xml:space="preserve">underlying RAM </w:t>
      </w:r>
      <w:r w:rsidR="00394933">
        <w:rPr>
          <w:rFonts w:ascii="Times New Roman" w:hAnsi="Times New Roman" w:cs="Times New Roman"/>
          <w:sz w:val="24"/>
          <w:szCs w:val="24"/>
        </w:rPr>
        <w:t xml:space="preserve">(Chang and </w:t>
      </w:r>
      <w:proofErr w:type="spellStart"/>
      <w:r w:rsidR="00394933">
        <w:rPr>
          <w:rFonts w:ascii="Times New Roman" w:hAnsi="Times New Roman" w:cs="Times New Roman"/>
          <w:sz w:val="24"/>
          <w:szCs w:val="24"/>
        </w:rPr>
        <w:t>McAleer</w:t>
      </w:r>
      <w:proofErr w:type="spellEnd"/>
      <w:r w:rsidR="00866EFF" w:rsidRPr="00B83421">
        <w:rPr>
          <w:rFonts w:ascii="Times New Roman" w:hAnsi="Times New Roman" w:cs="Times New Roman"/>
          <w:sz w:val="24"/>
          <w:szCs w:val="24"/>
        </w:rPr>
        <w:t xml:space="preserve"> 2013). </w:t>
      </w:r>
    </w:p>
    <w:p w14:paraId="75D2DB76" w14:textId="77777777" w:rsidR="00394933" w:rsidRPr="00B83421" w:rsidRDefault="00394933" w:rsidP="00316E1D">
      <w:pPr>
        <w:spacing w:after="0" w:line="288" w:lineRule="auto"/>
        <w:ind w:firstLine="720"/>
        <w:jc w:val="both"/>
        <w:rPr>
          <w:rFonts w:ascii="Times New Roman" w:hAnsi="Times New Roman" w:cs="Times New Roman"/>
          <w:sz w:val="24"/>
          <w:szCs w:val="24"/>
        </w:rPr>
      </w:pPr>
    </w:p>
    <w:p w14:paraId="292B6E67" w14:textId="125257DD" w:rsidR="00EF493D" w:rsidRDefault="00795B90" w:rsidP="00316E1D">
      <w:pPr>
        <w:spacing w:after="0" w:line="288" w:lineRule="auto"/>
        <w:ind w:firstLine="720"/>
        <w:jc w:val="both"/>
        <w:rPr>
          <w:rFonts w:ascii="Times New Roman" w:hAnsi="Times New Roman" w:cs="Times New Roman"/>
          <w:b/>
          <w:sz w:val="24"/>
          <w:szCs w:val="24"/>
        </w:rPr>
      </w:pPr>
      <w:r w:rsidRPr="00B83421">
        <w:rPr>
          <w:rFonts w:ascii="Times New Roman" w:hAnsi="Times New Roman" w:cs="Times New Roman"/>
          <w:sz w:val="24"/>
          <w:szCs w:val="24"/>
        </w:rPr>
        <w:t xml:space="preserve">We have previously referenced the degree of convexity inherent in our selected weighting schemes, and in </w:t>
      </w:r>
      <w:r w:rsidR="007624D7" w:rsidRPr="00B83421">
        <w:rPr>
          <w:rFonts w:ascii="Times New Roman" w:hAnsi="Times New Roman" w:cs="Times New Roman"/>
          <w:sz w:val="24"/>
          <w:szCs w:val="24"/>
        </w:rPr>
        <w:t xml:space="preserve">Table </w:t>
      </w:r>
      <w:r w:rsidR="000F71BF" w:rsidRPr="00B83421">
        <w:rPr>
          <w:rFonts w:ascii="Times New Roman" w:hAnsi="Times New Roman" w:cs="Times New Roman"/>
          <w:sz w:val="24"/>
          <w:szCs w:val="24"/>
        </w:rPr>
        <w:t>2</w:t>
      </w:r>
      <w:r w:rsidR="007624D7" w:rsidRPr="00B83421">
        <w:rPr>
          <w:rFonts w:ascii="Times New Roman" w:hAnsi="Times New Roman" w:cs="Times New Roman"/>
          <w:sz w:val="24"/>
          <w:szCs w:val="24"/>
        </w:rPr>
        <w:t xml:space="preserve"> we address the </w:t>
      </w:r>
      <w:r w:rsidRPr="00B83421">
        <w:rPr>
          <w:rFonts w:ascii="Times New Roman" w:hAnsi="Times New Roman" w:cs="Times New Roman"/>
          <w:sz w:val="24"/>
          <w:szCs w:val="24"/>
        </w:rPr>
        <w:t xml:space="preserve">matter in a </w:t>
      </w:r>
      <w:r w:rsidR="00601F12" w:rsidRPr="00B83421">
        <w:rPr>
          <w:rFonts w:ascii="Times New Roman" w:hAnsi="Times New Roman" w:cs="Times New Roman"/>
          <w:sz w:val="24"/>
          <w:szCs w:val="24"/>
        </w:rPr>
        <w:t xml:space="preserve">somewhat more formal manner.  We have selected </w:t>
      </w:r>
      <w:proofErr w:type="spellStart"/>
      <w:r w:rsidR="004C535C" w:rsidRPr="00B83421">
        <w:rPr>
          <w:rFonts w:ascii="Times New Roman" w:hAnsi="Times New Roman" w:cs="Times New Roman"/>
          <w:b/>
          <w:sz w:val="24"/>
          <w:szCs w:val="24"/>
        </w:rPr>
        <w:t>CLm</w:t>
      </w:r>
      <w:proofErr w:type="spellEnd"/>
      <w:r w:rsidR="00601F12" w:rsidRPr="00B83421">
        <w:rPr>
          <w:rFonts w:ascii="Times New Roman" w:hAnsi="Times New Roman" w:cs="Times New Roman"/>
          <w:sz w:val="24"/>
          <w:szCs w:val="24"/>
        </w:rPr>
        <w:t xml:space="preserve"> as a reference point, and have arbitrarily selected journals at several places in the rankings. We then display the number of papers required for publications in each of these journals to generate the same score as that assigned to </w:t>
      </w:r>
      <w:r w:rsidRPr="00B83421">
        <w:rPr>
          <w:rFonts w:ascii="Times New Roman" w:hAnsi="Times New Roman" w:cs="Times New Roman"/>
          <w:sz w:val="24"/>
          <w:szCs w:val="24"/>
        </w:rPr>
        <w:t xml:space="preserve">a single </w:t>
      </w:r>
      <w:r w:rsidR="00601F12" w:rsidRPr="00B83421">
        <w:rPr>
          <w:rFonts w:ascii="Times New Roman" w:hAnsi="Times New Roman" w:cs="Times New Roman"/>
          <w:sz w:val="24"/>
          <w:szCs w:val="24"/>
        </w:rPr>
        <w:t>paper in the top ranked journal</w:t>
      </w:r>
      <w:r w:rsidR="00394933">
        <w:rPr>
          <w:rFonts w:ascii="Times New Roman" w:hAnsi="Times New Roman" w:cs="Times New Roman"/>
          <w:sz w:val="24"/>
          <w:szCs w:val="24"/>
        </w:rPr>
        <w:t xml:space="preserve"> </w:t>
      </w:r>
      <w:r w:rsidR="00601F12" w:rsidRPr="00B83421">
        <w:rPr>
          <w:rFonts w:ascii="Times New Roman" w:hAnsi="Times New Roman" w:cs="Times New Roman"/>
          <w:sz w:val="24"/>
          <w:szCs w:val="24"/>
        </w:rPr>
        <w:t xml:space="preserve">- the </w:t>
      </w:r>
      <w:r w:rsidR="00601F12" w:rsidRPr="00B83421">
        <w:rPr>
          <w:rFonts w:ascii="Times New Roman" w:hAnsi="Times New Roman" w:cs="Times New Roman"/>
          <w:i/>
          <w:sz w:val="24"/>
          <w:szCs w:val="24"/>
        </w:rPr>
        <w:t>Quarterly Journal of Economics (QJE).</w:t>
      </w:r>
      <w:r w:rsidR="00601F12" w:rsidRPr="00B83421">
        <w:rPr>
          <w:rFonts w:ascii="Times New Roman" w:hAnsi="Times New Roman" w:cs="Times New Roman"/>
          <w:sz w:val="24"/>
          <w:szCs w:val="24"/>
        </w:rPr>
        <w:t xml:space="preserve">  For example, the </w:t>
      </w:r>
      <w:r w:rsidR="008B014A" w:rsidRPr="00B83421">
        <w:rPr>
          <w:rFonts w:ascii="Times New Roman" w:hAnsi="Times New Roman" w:cs="Times New Roman"/>
          <w:sz w:val="24"/>
          <w:szCs w:val="24"/>
        </w:rPr>
        <w:t>4</w:t>
      </w:r>
      <w:r w:rsidR="00601F12" w:rsidRPr="00B83421">
        <w:rPr>
          <w:rFonts w:ascii="Times New Roman" w:hAnsi="Times New Roman" w:cs="Times New Roman"/>
          <w:sz w:val="24"/>
          <w:szCs w:val="24"/>
        </w:rPr>
        <w:t>0</w:t>
      </w:r>
      <w:r w:rsidR="00601F12" w:rsidRPr="00B83421">
        <w:rPr>
          <w:rFonts w:ascii="Times New Roman" w:hAnsi="Times New Roman" w:cs="Times New Roman"/>
          <w:sz w:val="24"/>
          <w:szCs w:val="24"/>
          <w:vertAlign w:val="superscript"/>
        </w:rPr>
        <w:t>th</w:t>
      </w:r>
      <w:r w:rsidR="00601F12" w:rsidRPr="00B83421">
        <w:rPr>
          <w:rFonts w:ascii="Times New Roman" w:hAnsi="Times New Roman" w:cs="Times New Roman"/>
          <w:sz w:val="24"/>
          <w:szCs w:val="24"/>
        </w:rPr>
        <w:t xml:space="preserve"> ranked </w:t>
      </w:r>
      <w:r w:rsidR="00601F12" w:rsidRPr="00B83421">
        <w:rPr>
          <w:rFonts w:ascii="Times New Roman" w:hAnsi="Times New Roman" w:cs="Times New Roman"/>
          <w:sz w:val="24"/>
          <w:szCs w:val="24"/>
        </w:rPr>
        <w:lastRenderedPageBreak/>
        <w:t xml:space="preserve">journal under </w:t>
      </w:r>
      <w:proofErr w:type="spellStart"/>
      <w:r w:rsidR="004C535C" w:rsidRPr="00B83421">
        <w:rPr>
          <w:rFonts w:ascii="Times New Roman" w:hAnsi="Times New Roman" w:cs="Times New Roman"/>
          <w:b/>
          <w:sz w:val="24"/>
          <w:szCs w:val="24"/>
        </w:rPr>
        <w:t>CLm</w:t>
      </w:r>
      <w:proofErr w:type="spellEnd"/>
      <w:r w:rsidR="00601F12" w:rsidRPr="00B83421">
        <w:rPr>
          <w:rFonts w:ascii="Times New Roman" w:hAnsi="Times New Roman" w:cs="Times New Roman"/>
          <w:sz w:val="24"/>
          <w:szCs w:val="24"/>
        </w:rPr>
        <w:t xml:space="preserve"> is </w:t>
      </w:r>
      <w:r w:rsidR="008B014A" w:rsidRPr="00B83421">
        <w:rPr>
          <w:rFonts w:ascii="Times New Roman" w:hAnsi="Times New Roman" w:cs="Times New Roman"/>
          <w:i/>
          <w:sz w:val="24"/>
          <w:szCs w:val="24"/>
        </w:rPr>
        <w:t>Health Economics</w:t>
      </w:r>
      <w:r w:rsidR="008B014A" w:rsidRPr="00B83421">
        <w:rPr>
          <w:rFonts w:ascii="Times New Roman" w:hAnsi="Times New Roman" w:cs="Times New Roman"/>
          <w:sz w:val="24"/>
          <w:szCs w:val="24"/>
        </w:rPr>
        <w:t xml:space="preserve">.  </w:t>
      </w:r>
      <w:r w:rsidR="00601F12" w:rsidRPr="00B83421">
        <w:rPr>
          <w:rFonts w:ascii="Times New Roman" w:hAnsi="Times New Roman" w:cs="Times New Roman"/>
          <w:sz w:val="24"/>
          <w:szCs w:val="24"/>
        </w:rPr>
        <w:t xml:space="preserve">The number of publications in this journal required to match one in </w:t>
      </w:r>
      <w:r w:rsidR="00601F12" w:rsidRPr="00B83421">
        <w:rPr>
          <w:rFonts w:ascii="Times New Roman" w:hAnsi="Times New Roman" w:cs="Times New Roman"/>
          <w:i/>
          <w:sz w:val="24"/>
          <w:szCs w:val="24"/>
        </w:rPr>
        <w:t>QJE</w:t>
      </w:r>
      <w:r w:rsidR="00601F12" w:rsidRPr="00B83421">
        <w:rPr>
          <w:rFonts w:ascii="Times New Roman" w:hAnsi="Times New Roman" w:cs="Times New Roman"/>
          <w:sz w:val="24"/>
          <w:szCs w:val="24"/>
        </w:rPr>
        <w:t xml:space="preserve"> ranges from 1</w:t>
      </w:r>
      <w:r w:rsidR="00BF49E2" w:rsidRPr="00B83421">
        <w:rPr>
          <w:rFonts w:ascii="Times New Roman" w:hAnsi="Times New Roman" w:cs="Times New Roman"/>
          <w:sz w:val="24"/>
          <w:szCs w:val="24"/>
        </w:rPr>
        <w:t xml:space="preserve">.33 under </w:t>
      </w:r>
      <w:r w:rsidR="00BF49E2" w:rsidRPr="00B83421">
        <w:rPr>
          <w:rFonts w:ascii="Times New Roman" w:hAnsi="Times New Roman" w:cs="Times New Roman"/>
          <w:b/>
          <w:sz w:val="24"/>
          <w:szCs w:val="24"/>
        </w:rPr>
        <w:t xml:space="preserve">ABDC </w:t>
      </w:r>
      <w:r w:rsidR="00BF49E2" w:rsidRPr="00B83421">
        <w:rPr>
          <w:rFonts w:ascii="Times New Roman" w:hAnsi="Times New Roman" w:cs="Times New Roman"/>
          <w:sz w:val="24"/>
          <w:szCs w:val="24"/>
        </w:rPr>
        <w:t xml:space="preserve">to </w:t>
      </w:r>
      <w:r w:rsidR="008B014A" w:rsidRPr="00B83421">
        <w:rPr>
          <w:rFonts w:ascii="Times New Roman" w:hAnsi="Times New Roman" w:cs="Times New Roman"/>
          <w:sz w:val="24"/>
          <w:szCs w:val="24"/>
        </w:rPr>
        <w:t>46.0</w:t>
      </w:r>
      <w:r w:rsidR="00210ADE" w:rsidRPr="00B83421">
        <w:rPr>
          <w:rFonts w:ascii="Times New Roman" w:hAnsi="Times New Roman" w:cs="Times New Roman"/>
          <w:sz w:val="24"/>
          <w:szCs w:val="24"/>
        </w:rPr>
        <w:t xml:space="preserve"> under </w:t>
      </w:r>
      <w:proofErr w:type="spellStart"/>
      <w:r w:rsidR="00210ADE" w:rsidRPr="00B83421">
        <w:rPr>
          <w:rFonts w:ascii="Times New Roman" w:hAnsi="Times New Roman" w:cs="Times New Roman"/>
          <w:b/>
          <w:sz w:val="24"/>
          <w:szCs w:val="24"/>
        </w:rPr>
        <w:t>Rrec</w:t>
      </w:r>
      <w:proofErr w:type="spellEnd"/>
      <w:r w:rsidR="00210ADE" w:rsidRPr="00B83421">
        <w:rPr>
          <w:rFonts w:ascii="Times New Roman" w:hAnsi="Times New Roman" w:cs="Times New Roman"/>
          <w:sz w:val="24"/>
          <w:szCs w:val="24"/>
        </w:rPr>
        <w:t xml:space="preserve">. </w:t>
      </w:r>
      <w:r w:rsidR="00B44D7D" w:rsidRPr="00B83421">
        <w:rPr>
          <w:rFonts w:ascii="Times New Roman" w:hAnsi="Times New Roman" w:cs="Times New Roman"/>
          <w:sz w:val="24"/>
          <w:szCs w:val="24"/>
        </w:rPr>
        <w:t>Two examples have been provided that have special re</w:t>
      </w:r>
      <w:r w:rsidR="00636DE7" w:rsidRPr="00B83421">
        <w:rPr>
          <w:rFonts w:ascii="Times New Roman" w:hAnsi="Times New Roman" w:cs="Times New Roman"/>
          <w:sz w:val="24"/>
          <w:szCs w:val="24"/>
        </w:rPr>
        <w:t>levance</w:t>
      </w:r>
      <w:r w:rsidR="00B44D7D" w:rsidRPr="00B83421">
        <w:rPr>
          <w:rFonts w:ascii="Times New Roman" w:hAnsi="Times New Roman" w:cs="Times New Roman"/>
          <w:sz w:val="24"/>
          <w:szCs w:val="24"/>
        </w:rPr>
        <w:t xml:space="preserve"> to New Zealand economists: the relative impact of publishing in arguably the top Australasian journal, the </w:t>
      </w:r>
      <w:r w:rsidR="00B44D7D" w:rsidRPr="00B83421">
        <w:rPr>
          <w:rFonts w:ascii="Times New Roman" w:hAnsi="Times New Roman" w:cs="Times New Roman"/>
          <w:i/>
          <w:sz w:val="24"/>
          <w:szCs w:val="24"/>
        </w:rPr>
        <w:t>Economic Record</w:t>
      </w:r>
      <w:r w:rsidR="00912150" w:rsidRPr="00B83421">
        <w:rPr>
          <w:rFonts w:ascii="Times New Roman" w:hAnsi="Times New Roman" w:cs="Times New Roman"/>
          <w:i/>
          <w:sz w:val="24"/>
          <w:szCs w:val="24"/>
        </w:rPr>
        <w:t xml:space="preserve"> (ER)</w:t>
      </w:r>
      <w:r w:rsidR="00B44D7D" w:rsidRPr="00B83421">
        <w:rPr>
          <w:rFonts w:ascii="Times New Roman" w:hAnsi="Times New Roman" w:cs="Times New Roman"/>
          <w:sz w:val="24"/>
          <w:szCs w:val="24"/>
        </w:rPr>
        <w:t xml:space="preserve">, and in New Zealand’s leading economics journal, the </w:t>
      </w:r>
      <w:r w:rsidR="00B44D7D" w:rsidRPr="00B83421">
        <w:rPr>
          <w:rFonts w:ascii="Times New Roman" w:hAnsi="Times New Roman" w:cs="Times New Roman"/>
          <w:i/>
          <w:sz w:val="24"/>
          <w:szCs w:val="24"/>
        </w:rPr>
        <w:t>New Zealand Economic Papers</w:t>
      </w:r>
      <w:r w:rsidR="00B44D7D" w:rsidRPr="00B83421">
        <w:rPr>
          <w:rFonts w:ascii="Times New Roman" w:hAnsi="Times New Roman" w:cs="Times New Roman"/>
          <w:sz w:val="24"/>
          <w:szCs w:val="24"/>
        </w:rPr>
        <w:t xml:space="preserve">.  </w:t>
      </w:r>
      <w:r w:rsidR="002A411E" w:rsidRPr="00B83421">
        <w:rPr>
          <w:rFonts w:ascii="Times New Roman" w:hAnsi="Times New Roman" w:cs="Times New Roman"/>
          <w:sz w:val="24"/>
          <w:szCs w:val="24"/>
        </w:rPr>
        <w:t>T</w:t>
      </w:r>
      <w:r w:rsidR="00912150" w:rsidRPr="00B83421">
        <w:rPr>
          <w:rFonts w:ascii="Times New Roman" w:hAnsi="Times New Roman" w:cs="Times New Roman"/>
          <w:sz w:val="24"/>
          <w:szCs w:val="24"/>
        </w:rPr>
        <w:t xml:space="preserve">he </w:t>
      </w:r>
      <w:r w:rsidR="00912150" w:rsidRPr="00B83421">
        <w:rPr>
          <w:rFonts w:ascii="Times New Roman" w:hAnsi="Times New Roman" w:cs="Times New Roman"/>
          <w:i/>
          <w:sz w:val="24"/>
          <w:szCs w:val="24"/>
        </w:rPr>
        <w:t>QJE/ER</w:t>
      </w:r>
      <w:r w:rsidR="00912150" w:rsidRPr="00B83421">
        <w:rPr>
          <w:rFonts w:ascii="Times New Roman" w:hAnsi="Times New Roman" w:cs="Times New Roman"/>
          <w:sz w:val="24"/>
          <w:szCs w:val="24"/>
        </w:rPr>
        <w:t xml:space="preserve"> paper ratio ranges from 1.33 under the </w:t>
      </w:r>
      <w:r w:rsidR="00912150" w:rsidRPr="00B83421">
        <w:rPr>
          <w:rFonts w:ascii="Times New Roman" w:hAnsi="Times New Roman" w:cs="Times New Roman"/>
          <w:b/>
          <w:sz w:val="24"/>
          <w:szCs w:val="24"/>
        </w:rPr>
        <w:t>ABDC</w:t>
      </w:r>
      <w:r w:rsidR="00912150" w:rsidRPr="00B83421">
        <w:rPr>
          <w:rFonts w:ascii="Times New Roman" w:hAnsi="Times New Roman" w:cs="Times New Roman"/>
          <w:sz w:val="24"/>
          <w:szCs w:val="24"/>
        </w:rPr>
        <w:t xml:space="preserve"> to </w:t>
      </w:r>
      <w:r w:rsidR="00EF493D" w:rsidRPr="00B83421">
        <w:rPr>
          <w:rFonts w:ascii="Times New Roman" w:hAnsi="Times New Roman" w:cs="Times New Roman"/>
          <w:sz w:val="24"/>
          <w:szCs w:val="24"/>
        </w:rPr>
        <w:t xml:space="preserve">91.0 under </w:t>
      </w:r>
      <w:proofErr w:type="spellStart"/>
      <w:r w:rsidR="00EF493D" w:rsidRPr="00B83421">
        <w:rPr>
          <w:rFonts w:ascii="Times New Roman" w:hAnsi="Times New Roman" w:cs="Times New Roman"/>
          <w:b/>
          <w:sz w:val="24"/>
          <w:szCs w:val="24"/>
        </w:rPr>
        <w:t>Rrec</w:t>
      </w:r>
      <w:proofErr w:type="spellEnd"/>
      <w:r w:rsidR="00EF493D" w:rsidRPr="00B83421">
        <w:rPr>
          <w:rFonts w:ascii="Times New Roman" w:hAnsi="Times New Roman" w:cs="Times New Roman"/>
          <w:sz w:val="24"/>
          <w:szCs w:val="24"/>
        </w:rPr>
        <w:t>.  T</w:t>
      </w:r>
      <w:r w:rsidR="00912150" w:rsidRPr="00B83421">
        <w:rPr>
          <w:rFonts w:ascii="Times New Roman" w:hAnsi="Times New Roman" w:cs="Times New Roman"/>
          <w:sz w:val="24"/>
          <w:szCs w:val="24"/>
        </w:rPr>
        <w:t xml:space="preserve">he corresponding values for </w:t>
      </w:r>
      <w:r w:rsidR="00912150" w:rsidRPr="00B83421">
        <w:rPr>
          <w:rFonts w:ascii="Times New Roman" w:hAnsi="Times New Roman" w:cs="Times New Roman"/>
          <w:i/>
          <w:sz w:val="24"/>
          <w:szCs w:val="24"/>
        </w:rPr>
        <w:t>QJE/NZEP</w:t>
      </w:r>
      <w:r w:rsidR="00912150" w:rsidRPr="00B83421">
        <w:rPr>
          <w:rFonts w:ascii="Times New Roman" w:hAnsi="Times New Roman" w:cs="Times New Roman"/>
          <w:sz w:val="24"/>
          <w:szCs w:val="24"/>
        </w:rPr>
        <w:t xml:space="preserve"> are 2.0 </w:t>
      </w:r>
      <w:r w:rsidR="00031C0C" w:rsidRPr="00B83421">
        <w:rPr>
          <w:rFonts w:ascii="Times New Roman" w:hAnsi="Times New Roman" w:cs="Times New Roman"/>
          <w:sz w:val="24"/>
          <w:szCs w:val="24"/>
        </w:rPr>
        <w:t xml:space="preserve">for </w:t>
      </w:r>
      <w:r w:rsidR="00031C0C" w:rsidRPr="00B83421">
        <w:rPr>
          <w:rFonts w:ascii="Times New Roman" w:hAnsi="Times New Roman" w:cs="Times New Roman"/>
          <w:b/>
          <w:sz w:val="24"/>
          <w:szCs w:val="24"/>
        </w:rPr>
        <w:t>ABDC</w:t>
      </w:r>
      <w:r w:rsidR="00031C0C" w:rsidRPr="00B83421">
        <w:rPr>
          <w:rFonts w:ascii="Times New Roman" w:hAnsi="Times New Roman" w:cs="Times New Roman"/>
          <w:sz w:val="24"/>
          <w:szCs w:val="24"/>
        </w:rPr>
        <w:t xml:space="preserve"> </w:t>
      </w:r>
      <w:r w:rsidR="00912150" w:rsidRPr="00B83421">
        <w:rPr>
          <w:rFonts w:ascii="Times New Roman" w:hAnsi="Times New Roman" w:cs="Times New Roman"/>
          <w:sz w:val="24"/>
          <w:szCs w:val="24"/>
        </w:rPr>
        <w:t xml:space="preserve">and </w:t>
      </w:r>
      <w:r w:rsidR="00EF493D" w:rsidRPr="00B83421">
        <w:rPr>
          <w:rFonts w:ascii="Times New Roman" w:hAnsi="Times New Roman" w:cs="Times New Roman"/>
          <w:sz w:val="24"/>
          <w:szCs w:val="24"/>
        </w:rPr>
        <w:t xml:space="preserve">208.3 for </w:t>
      </w:r>
      <w:proofErr w:type="spellStart"/>
      <w:r w:rsidR="00EF493D" w:rsidRPr="00B83421">
        <w:rPr>
          <w:rFonts w:ascii="Times New Roman" w:hAnsi="Times New Roman" w:cs="Times New Roman"/>
          <w:b/>
          <w:sz w:val="24"/>
          <w:szCs w:val="24"/>
        </w:rPr>
        <w:t>CLh</w:t>
      </w:r>
      <w:proofErr w:type="spellEnd"/>
      <w:r w:rsidR="00AA094E" w:rsidRPr="00B83421">
        <w:rPr>
          <w:rFonts w:ascii="Times New Roman" w:hAnsi="Times New Roman" w:cs="Times New Roman"/>
          <w:b/>
          <w:sz w:val="24"/>
          <w:szCs w:val="24"/>
        </w:rPr>
        <w:t>.</w:t>
      </w:r>
      <w:r w:rsidR="00394933">
        <w:rPr>
          <w:rFonts w:ascii="Times New Roman" w:hAnsi="Times New Roman" w:cs="Times New Roman"/>
          <w:b/>
          <w:sz w:val="24"/>
          <w:szCs w:val="24"/>
        </w:rPr>
        <w:t xml:space="preserve"> </w:t>
      </w:r>
    </w:p>
    <w:p w14:paraId="10E3E845" w14:textId="77777777" w:rsidR="00394933" w:rsidRDefault="00394933" w:rsidP="00316E1D">
      <w:pPr>
        <w:spacing w:after="0" w:line="288" w:lineRule="auto"/>
        <w:ind w:firstLine="720"/>
        <w:jc w:val="both"/>
        <w:rPr>
          <w:rFonts w:ascii="Times New Roman" w:hAnsi="Times New Roman" w:cs="Times New Roman"/>
          <w:sz w:val="24"/>
          <w:szCs w:val="24"/>
        </w:rPr>
      </w:pPr>
    </w:p>
    <w:p w14:paraId="20A9B5D2" w14:textId="77777777" w:rsidR="00D44F6C" w:rsidRPr="00B83421" w:rsidRDefault="00D44F6C" w:rsidP="00316E1D">
      <w:pPr>
        <w:spacing w:after="0" w:line="288" w:lineRule="auto"/>
        <w:ind w:firstLine="720"/>
        <w:jc w:val="both"/>
        <w:rPr>
          <w:rFonts w:ascii="Times New Roman" w:hAnsi="Times New Roman" w:cs="Times New Roman"/>
          <w:sz w:val="24"/>
          <w:szCs w:val="24"/>
        </w:rPr>
      </w:pPr>
    </w:p>
    <w:p w14:paraId="05524E5E" w14:textId="77777777" w:rsidR="007170ED" w:rsidRDefault="007170ED" w:rsidP="007170ED">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Table 2: Number of Papers R</w:t>
      </w:r>
      <w:r w:rsidRPr="00056BD0">
        <w:rPr>
          <w:rFonts w:ascii="Times New Roman" w:eastAsia="Times New Roman" w:hAnsi="Times New Roman" w:cs="Times New Roman"/>
          <w:b/>
          <w:bCs/>
        </w:rPr>
        <w:t>equ</w:t>
      </w:r>
      <w:r>
        <w:rPr>
          <w:rFonts w:ascii="Times New Roman" w:eastAsia="Times New Roman" w:hAnsi="Times New Roman" w:cs="Times New Roman"/>
          <w:b/>
          <w:bCs/>
        </w:rPr>
        <w:t xml:space="preserve">ired to Equal a Single Paper in the </w:t>
      </w:r>
    </w:p>
    <w:p w14:paraId="372F9AC9" w14:textId="052D04FD" w:rsidR="00EA6568" w:rsidRDefault="007170ED" w:rsidP="007170ED">
      <w:pPr>
        <w:spacing w:after="60" w:line="240" w:lineRule="auto"/>
        <w:jc w:val="center"/>
        <w:rPr>
          <w:rFonts w:ascii="Times New Roman" w:hAnsi="Times New Roman" w:cs="Times New Roman"/>
          <w:sz w:val="24"/>
          <w:szCs w:val="24"/>
        </w:rPr>
      </w:pPr>
      <w:r w:rsidRPr="007A1BD1">
        <w:rPr>
          <w:rFonts w:ascii="Times New Roman" w:eastAsia="Times New Roman" w:hAnsi="Times New Roman" w:cs="Times New Roman"/>
          <w:b/>
          <w:bCs/>
          <w:i/>
        </w:rPr>
        <w:t xml:space="preserve">Quarterly Journal of Economics </w:t>
      </w:r>
      <w:r>
        <w:rPr>
          <w:rFonts w:ascii="Times New Roman" w:eastAsia="Times New Roman" w:hAnsi="Times New Roman" w:cs="Times New Roman"/>
          <w:b/>
          <w:bCs/>
        </w:rPr>
        <w:t>(Various Weighting Schemes)</w:t>
      </w:r>
    </w:p>
    <w:tbl>
      <w:tblPr>
        <w:tblW w:w="9116" w:type="dxa"/>
        <w:tblInd w:w="93" w:type="dxa"/>
        <w:tblLook w:val="04A0" w:firstRow="1" w:lastRow="0" w:firstColumn="1" w:lastColumn="0" w:noHBand="0" w:noVBand="1"/>
      </w:tblPr>
      <w:tblGrid>
        <w:gridCol w:w="739"/>
        <w:gridCol w:w="2721"/>
        <w:gridCol w:w="907"/>
        <w:gridCol w:w="907"/>
        <w:gridCol w:w="907"/>
        <w:gridCol w:w="907"/>
        <w:gridCol w:w="907"/>
        <w:gridCol w:w="1121"/>
      </w:tblGrid>
      <w:tr w:rsidR="00EA6568" w:rsidRPr="00056BD0" w14:paraId="578D15BF" w14:textId="77777777" w:rsidTr="007A1BD1">
        <w:trPr>
          <w:trHeight w:val="624"/>
        </w:trPr>
        <w:tc>
          <w:tcPr>
            <w:tcW w:w="739" w:type="dxa"/>
            <w:tcBorders>
              <w:top w:val="single" w:sz="4" w:space="0" w:color="auto"/>
              <w:left w:val="nil"/>
              <w:bottom w:val="single" w:sz="4" w:space="0" w:color="auto"/>
              <w:right w:val="nil"/>
            </w:tcBorders>
            <w:shd w:val="clear" w:color="auto" w:fill="auto"/>
            <w:vAlign w:val="center"/>
            <w:hideMark/>
          </w:tcPr>
          <w:p w14:paraId="313BDD01" w14:textId="77777777" w:rsidR="00EA6568" w:rsidRPr="00056BD0" w:rsidRDefault="00EA6568" w:rsidP="00FA51D3">
            <w:pPr>
              <w:spacing w:after="0" w:line="240" w:lineRule="auto"/>
              <w:jc w:val="center"/>
              <w:rPr>
                <w:rFonts w:ascii="Times New Roman" w:eastAsia="Times New Roman" w:hAnsi="Times New Roman" w:cs="Times New Roman"/>
                <w:bCs/>
                <w:vertAlign w:val="superscript"/>
              </w:rPr>
            </w:pPr>
            <w:proofErr w:type="spellStart"/>
            <w:r w:rsidRPr="00056BD0">
              <w:rPr>
                <w:rFonts w:ascii="Times New Roman" w:eastAsia="Times New Roman" w:hAnsi="Times New Roman" w:cs="Times New Roman"/>
                <w:bCs/>
              </w:rPr>
              <w:t>CLm</w:t>
            </w:r>
            <w:proofErr w:type="spellEnd"/>
            <w:r w:rsidRPr="00056BD0">
              <w:rPr>
                <w:rFonts w:ascii="Times New Roman" w:eastAsia="Times New Roman" w:hAnsi="Times New Roman" w:cs="Times New Roman"/>
                <w:bCs/>
              </w:rPr>
              <w:t xml:space="preserve"> Rank</w:t>
            </w:r>
          </w:p>
        </w:tc>
        <w:tc>
          <w:tcPr>
            <w:tcW w:w="2721" w:type="dxa"/>
            <w:tcBorders>
              <w:top w:val="single" w:sz="4" w:space="0" w:color="auto"/>
              <w:left w:val="nil"/>
              <w:bottom w:val="single" w:sz="4" w:space="0" w:color="auto"/>
              <w:right w:val="nil"/>
            </w:tcBorders>
            <w:shd w:val="clear" w:color="auto" w:fill="auto"/>
            <w:noWrap/>
            <w:vAlign w:val="center"/>
            <w:hideMark/>
          </w:tcPr>
          <w:p w14:paraId="609A424F" w14:textId="54F8FB2D" w:rsidR="00EA6568" w:rsidRPr="00056BD0" w:rsidRDefault="007A1BD1" w:rsidP="00FA51D3">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Journal N</w:t>
            </w:r>
            <w:r w:rsidR="00EA6568" w:rsidRPr="00056BD0">
              <w:rPr>
                <w:rFonts w:ascii="Times New Roman" w:eastAsia="Times New Roman" w:hAnsi="Times New Roman" w:cs="Times New Roman"/>
                <w:bCs/>
              </w:rPr>
              <w:t>ame</w:t>
            </w:r>
          </w:p>
        </w:tc>
        <w:tc>
          <w:tcPr>
            <w:tcW w:w="907" w:type="dxa"/>
            <w:tcBorders>
              <w:top w:val="single" w:sz="4" w:space="0" w:color="auto"/>
              <w:left w:val="nil"/>
              <w:bottom w:val="single" w:sz="4" w:space="0" w:color="auto"/>
              <w:right w:val="nil"/>
            </w:tcBorders>
            <w:shd w:val="clear" w:color="auto" w:fill="auto"/>
            <w:noWrap/>
            <w:vAlign w:val="center"/>
            <w:hideMark/>
          </w:tcPr>
          <w:p w14:paraId="18EEAD77" w14:textId="77777777" w:rsidR="00EA6568" w:rsidRPr="00056BD0" w:rsidRDefault="00EA6568" w:rsidP="00FA51D3">
            <w:pPr>
              <w:spacing w:after="0" w:line="240" w:lineRule="auto"/>
              <w:jc w:val="center"/>
              <w:rPr>
                <w:rFonts w:ascii="Times New Roman" w:eastAsia="Times New Roman" w:hAnsi="Times New Roman" w:cs="Times New Roman"/>
                <w:bCs/>
              </w:rPr>
            </w:pPr>
            <w:proofErr w:type="spellStart"/>
            <w:r w:rsidRPr="00056BD0">
              <w:rPr>
                <w:rFonts w:ascii="Times New Roman" w:eastAsia="Times New Roman" w:hAnsi="Times New Roman" w:cs="Times New Roman"/>
                <w:bCs/>
              </w:rPr>
              <w:t>Rrec</w:t>
            </w:r>
            <w:proofErr w:type="spellEnd"/>
          </w:p>
        </w:tc>
        <w:tc>
          <w:tcPr>
            <w:tcW w:w="907" w:type="dxa"/>
            <w:tcBorders>
              <w:top w:val="single" w:sz="4" w:space="0" w:color="auto"/>
              <w:left w:val="nil"/>
              <w:bottom w:val="single" w:sz="4" w:space="0" w:color="auto"/>
              <w:right w:val="nil"/>
            </w:tcBorders>
            <w:shd w:val="clear" w:color="auto" w:fill="auto"/>
            <w:noWrap/>
            <w:vAlign w:val="center"/>
            <w:hideMark/>
          </w:tcPr>
          <w:p w14:paraId="17815CC4" w14:textId="77777777" w:rsidR="00EA6568" w:rsidRPr="00056BD0" w:rsidRDefault="00EA6568" w:rsidP="00FA51D3">
            <w:pPr>
              <w:spacing w:after="0" w:line="240" w:lineRule="auto"/>
              <w:jc w:val="center"/>
              <w:rPr>
                <w:rFonts w:ascii="Times New Roman" w:eastAsia="Times New Roman" w:hAnsi="Times New Roman" w:cs="Times New Roman"/>
                <w:bCs/>
              </w:rPr>
            </w:pPr>
            <w:proofErr w:type="spellStart"/>
            <w:r w:rsidRPr="00056BD0">
              <w:rPr>
                <w:rFonts w:ascii="Times New Roman" w:eastAsia="Times New Roman" w:hAnsi="Times New Roman" w:cs="Times New Roman"/>
                <w:bCs/>
              </w:rPr>
              <w:t>Rsif</w:t>
            </w:r>
            <w:proofErr w:type="spellEnd"/>
          </w:p>
        </w:tc>
        <w:tc>
          <w:tcPr>
            <w:tcW w:w="907" w:type="dxa"/>
            <w:tcBorders>
              <w:top w:val="single" w:sz="4" w:space="0" w:color="auto"/>
              <w:left w:val="nil"/>
              <w:bottom w:val="single" w:sz="4" w:space="0" w:color="auto"/>
              <w:right w:val="nil"/>
            </w:tcBorders>
            <w:shd w:val="clear" w:color="auto" w:fill="auto"/>
            <w:noWrap/>
            <w:vAlign w:val="center"/>
            <w:hideMark/>
          </w:tcPr>
          <w:p w14:paraId="58D076F6" w14:textId="77777777" w:rsidR="00EA6568" w:rsidRPr="00056BD0" w:rsidRDefault="00EA6568" w:rsidP="00FA51D3">
            <w:pPr>
              <w:spacing w:after="0" w:line="240" w:lineRule="auto"/>
              <w:jc w:val="center"/>
              <w:rPr>
                <w:rFonts w:ascii="Times New Roman" w:eastAsia="Times New Roman" w:hAnsi="Times New Roman" w:cs="Times New Roman"/>
                <w:bCs/>
              </w:rPr>
            </w:pPr>
            <w:proofErr w:type="spellStart"/>
            <w:r w:rsidRPr="00056BD0">
              <w:rPr>
                <w:rFonts w:ascii="Times New Roman" w:eastAsia="Times New Roman" w:hAnsi="Times New Roman" w:cs="Times New Roman"/>
                <w:bCs/>
              </w:rPr>
              <w:t>CLm</w:t>
            </w:r>
            <w:proofErr w:type="spellEnd"/>
          </w:p>
        </w:tc>
        <w:tc>
          <w:tcPr>
            <w:tcW w:w="907" w:type="dxa"/>
            <w:tcBorders>
              <w:top w:val="single" w:sz="4" w:space="0" w:color="auto"/>
              <w:left w:val="nil"/>
              <w:bottom w:val="single" w:sz="4" w:space="0" w:color="auto"/>
              <w:right w:val="nil"/>
            </w:tcBorders>
            <w:shd w:val="clear" w:color="auto" w:fill="auto"/>
            <w:noWrap/>
            <w:vAlign w:val="center"/>
            <w:hideMark/>
          </w:tcPr>
          <w:p w14:paraId="50709834" w14:textId="77777777" w:rsidR="00EA6568" w:rsidRPr="00056BD0" w:rsidRDefault="00EA6568" w:rsidP="00FA51D3">
            <w:pPr>
              <w:spacing w:after="0" w:line="240" w:lineRule="auto"/>
              <w:jc w:val="center"/>
              <w:rPr>
                <w:rFonts w:ascii="Times New Roman" w:eastAsia="Times New Roman" w:hAnsi="Times New Roman" w:cs="Times New Roman"/>
                <w:bCs/>
              </w:rPr>
            </w:pPr>
            <w:proofErr w:type="spellStart"/>
            <w:r w:rsidRPr="00056BD0">
              <w:rPr>
                <w:rFonts w:ascii="Times New Roman" w:eastAsia="Times New Roman" w:hAnsi="Times New Roman" w:cs="Times New Roman"/>
                <w:bCs/>
              </w:rPr>
              <w:t>CLh</w:t>
            </w:r>
            <w:proofErr w:type="spellEnd"/>
          </w:p>
        </w:tc>
        <w:tc>
          <w:tcPr>
            <w:tcW w:w="907" w:type="dxa"/>
            <w:tcBorders>
              <w:top w:val="single" w:sz="4" w:space="0" w:color="auto"/>
              <w:left w:val="nil"/>
              <w:bottom w:val="single" w:sz="4" w:space="0" w:color="auto"/>
              <w:right w:val="nil"/>
            </w:tcBorders>
            <w:shd w:val="clear" w:color="auto" w:fill="auto"/>
            <w:noWrap/>
            <w:vAlign w:val="center"/>
            <w:hideMark/>
          </w:tcPr>
          <w:p w14:paraId="0A8BDEC2" w14:textId="77777777" w:rsidR="00EA6568" w:rsidRPr="00056BD0" w:rsidRDefault="00EA6568" w:rsidP="00FA51D3">
            <w:pPr>
              <w:spacing w:after="0" w:line="240" w:lineRule="auto"/>
              <w:jc w:val="center"/>
              <w:rPr>
                <w:rFonts w:ascii="Times New Roman" w:eastAsia="Times New Roman" w:hAnsi="Times New Roman" w:cs="Times New Roman"/>
                <w:bCs/>
              </w:rPr>
            </w:pPr>
            <w:r w:rsidRPr="00056BD0">
              <w:rPr>
                <w:rFonts w:ascii="Times New Roman" w:eastAsia="Times New Roman" w:hAnsi="Times New Roman" w:cs="Times New Roman"/>
                <w:bCs/>
              </w:rPr>
              <w:t>ABDC</w:t>
            </w:r>
          </w:p>
        </w:tc>
        <w:tc>
          <w:tcPr>
            <w:tcW w:w="1121" w:type="dxa"/>
            <w:tcBorders>
              <w:top w:val="single" w:sz="4" w:space="0" w:color="auto"/>
              <w:left w:val="nil"/>
              <w:bottom w:val="single" w:sz="4" w:space="0" w:color="auto"/>
              <w:right w:val="nil"/>
            </w:tcBorders>
            <w:shd w:val="clear" w:color="auto" w:fill="auto"/>
            <w:noWrap/>
            <w:vAlign w:val="center"/>
            <w:hideMark/>
          </w:tcPr>
          <w:p w14:paraId="32ED601D" w14:textId="77777777" w:rsidR="00EA6568" w:rsidRPr="00056BD0" w:rsidRDefault="00EA6568" w:rsidP="00FA51D3">
            <w:pPr>
              <w:spacing w:after="0" w:line="240" w:lineRule="auto"/>
              <w:jc w:val="center"/>
              <w:rPr>
                <w:rFonts w:ascii="Times New Roman" w:eastAsia="Times New Roman" w:hAnsi="Times New Roman" w:cs="Times New Roman"/>
                <w:bCs/>
              </w:rPr>
            </w:pPr>
            <w:r w:rsidRPr="00056BD0">
              <w:rPr>
                <w:rFonts w:ascii="Times New Roman" w:eastAsia="Times New Roman" w:hAnsi="Times New Roman" w:cs="Times New Roman"/>
                <w:bCs/>
              </w:rPr>
              <w:t>NZABDC</w:t>
            </w:r>
          </w:p>
        </w:tc>
      </w:tr>
      <w:tr w:rsidR="00EA6568" w:rsidRPr="00506E50" w14:paraId="770DC2C5" w14:textId="77777777" w:rsidTr="007A1BD1">
        <w:trPr>
          <w:trHeight w:val="255"/>
        </w:trPr>
        <w:tc>
          <w:tcPr>
            <w:tcW w:w="739" w:type="dxa"/>
            <w:tcBorders>
              <w:top w:val="nil"/>
              <w:left w:val="nil"/>
              <w:bottom w:val="nil"/>
              <w:right w:val="nil"/>
            </w:tcBorders>
            <w:shd w:val="clear" w:color="auto" w:fill="auto"/>
            <w:noWrap/>
            <w:vAlign w:val="bottom"/>
            <w:hideMark/>
          </w:tcPr>
          <w:p w14:paraId="0F7BC7BE" w14:textId="77777777" w:rsidR="00EA6568" w:rsidRPr="00056BD0" w:rsidRDefault="00EA6568" w:rsidP="006A76A1">
            <w:pPr>
              <w:spacing w:before="60"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w:t>
            </w:r>
          </w:p>
        </w:tc>
        <w:tc>
          <w:tcPr>
            <w:tcW w:w="2721" w:type="dxa"/>
            <w:tcBorders>
              <w:top w:val="nil"/>
              <w:left w:val="nil"/>
              <w:bottom w:val="nil"/>
              <w:right w:val="nil"/>
            </w:tcBorders>
            <w:shd w:val="clear" w:color="auto" w:fill="auto"/>
            <w:noWrap/>
            <w:vAlign w:val="bottom"/>
            <w:hideMark/>
          </w:tcPr>
          <w:p w14:paraId="1AAA6CC9" w14:textId="77777777" w:rsidR="00EA6568" w:rsidRPr="00056BD0" w:rsidRDefault="00EA6568" w:rsidP="006A76A1">
            <w:pPr>
              <w:spacing w:before="60" w:after="0" w:line="240" w:lineRule="auto"/>
              <w:rPr>
                <w:rFonts w:ascii="Times New Roman" w:eastAsia="Times New Roman" w:hAnsi="Times New Roman" w:cs="Times New Roman"/>
                <w:bCs/>
              </w:rPr>
            </w:pPr>
            <w:proofErr w:type="spellStart"/>
            <w:r w:rsidRPr="00056BD0">
              <w:rPr>
                <w:rFonts w:ascii="Times New Roman" w:eastAsia="Times New Roman" w:hAnsi="Times New Roman" w:cs="Times New Roman"/>
                <w:bCs/>
              </w:rPr>
              <w:t>Ec</w:t>
            </w:r>
            <w:proofErr w:type="spellEnd"/>
            <w:r w:rsidRPr="00056BD0">
              <w:rPr>
                <w:rFonts w:ascii="Times New Roman" w:eastAsia="Times New Roman" w:hAnsi="Times New Roman" w:cs="Times New Roman"/>
                <w:bCs/>
              </w:rPr>
              <w:t xml:space="preserve"> Journal</w:t>
            </w:r>
          </w:p>
        </w:tc>
        <w:tc>
          <w:tcPr>
            <w:tcW w:w="907" w:type="dxa"/>
            <w:tcBorders>
              <w:top w:val="nil"/>
              <w:left w:val="nil"/>
              <w:bottom w:val="nil"/>
              <w:right w:val="nil"/>
            </w:tcBorders>
            <w:shd w:val="clear" w:color="auto" w:fill="auto"/>
            <w:noWrap/>
            <w:vAlign w:val="bottom"/>
            <w:hideMark/>
          </w:tcPr>
          <w:p w14:paraId="171C2DAB" w14:textId="77777777" w:rsidR="00EA6568" w:rsidRPr="00056BD0" w:rsidRDefault="00EA6568" w:rsidP="006A76A1">
            <w:pPr>
              <w:spacing w:before="60"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5.7</w:t>
            </w:r>
          </w:p>
        </w:tc>
        <w:tc>
          <w:tcPr>
            <w:tcW w:w="907" w:type="dxa"/>
            <w:tcBorders>
              <w:top w:val="nil"/>
              <w:left w:val="nil"/>
              <w:bottom w:val="nil"/>
              <w:right w:val="nil"/>
            </w:tcBorders>
            <w:shd w:val="clear" w:color="auto" w:fill="auto"/>
            <w:noWrap/>
            <w:vAlign w:val="bottom"/>
            <w:hideMark/>
          </w:tcPr>
          <w:p w14:paraId="2F10BA03" w14:textId="77777777" w:rsidR="00EA6568" w:rsidRPr="00056BD0" w:rsidRDefault="00EA6568" w:rsidP="006A76A1">
            <w:pPr>
              <w:spacing w:before="60"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3.1</w:t>
            </w:r>
          </w:p>
        </w:tc>
        <w:tc>
          <w:tcPr>
            <w:tcW w:w="907" w:type="dxa"/>
            <w:tcBorders>
              <w:top w:val="nil"/>
              <w:left w:val="nil"/>
              <w:bottom w:val="nil"/>
              <w:right w:val="nil"/>
            </w:tcBorders>
            <w:shd w:val="clear" w:color="auto" w:fill="auto"/>
            <w:noWrap/>
            <w:vAlign w:val="bottom"/>
            <w:hideMark/>
          </w:tcPr>
          <w:p w14:paraId="2FBCC41B" w14:textId="77777777" w:rsidR="00EA6568" w:rsidRPr="00056BD0" w:rsidRDefault="00EA6568" w:rsidP="006A76A1">
            <w:pPr>
              <w:spacing w:before="60"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1.6</w:t>
            </w:r>
          </w:p>
        </w:tc>
        <w:tc>
          <w:tcPr>
            <w:tcW w:w="907" w:type="dxa"/>
            <w:tcBorders>
              <w:top w:val="nil"/>
              <w:left w:val="nil"/>
              <w:bottom w:val="nil"/>
              <w:right w:val="nil"/>
            </w:tcBorders>
            <w:shd w:val="clear" w:color="auto" w:fill="auto"/>
            <w:noWrap/>
            <w:vAlign w:val="bottom"/>
            <w:hideMark/>
          </w:tcPr>
          <w:p w14:paraId="77BC106E" w14:textId="77777777" w:rsidR="00EA6568" w:rsidRPr="00056BD0" w:rsidRDefault="00EA6568" w:rsidP="006A76A1">
            <w:pPr>
              <w:spacing w:before="60"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2.4</w:t>
            </w:r>
          </w:p>
        </w:tc>
        <w:tc>
          <w:tcPr>
            <w:tcW w:w="907" w:type="dxa"/>
            <w:tcBorders>
              <w:top w:val="nil"/>
              <w:left w:val="nil"/>
              <w:bottom w:val="nil"/>
              <w:right w:val="nil"/>
            </w:tcBorders>
            <w:shd w:val="clear" w:color="auto" w:fill="auto"/>
            <w:noWrap/>
            <w:vAlign w:val="bottom"/>
            <w:hideMark/>
          </w:tcPr>
          <w:p w14:paraId="04CF36E3" w14:textId="77777777" w:rsidR="00EA6568" w:rsidRPr="00056BD0" w:rsidRDefault="00EA6568" w:rsidP="006A76A1">
            <w:pPr>
              <w:spacing w:before="60"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1.0</w:t>
            </w:r>
          </w:p>
        </w:tc>
        <w:tc>
          <w:tcPr>
            <w:tcW w:w="1121" w:type="dxa"/>
            <w:tcBorders>
              <w:top w:val="nil"/>
              <w:left w:val="nil"/>
              <w:bottom w:val="nil"/>
              <w:right w:val="nil"/>
            </w:tcBorders>
            <w:shd w:val="clear" w:color="auto" w:fill="auto"/>
            <w:noWrap/>
            <w:vAlign w:val="bottom"/>
            <w:hideMark/>
          </w:tcPr>
          <w:p w14:paraId="1C795DBC" w14:textId="77777777" w:rsidR="00EA6568" w:rsidRPr="00056BD0" w:rsidRDefault="00EA6568" w:rsidP="006A76A1">
            <w:pPr>
              <w:spacing w:before="60"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1.0</w:t>
            </w:r>
          </w:p>
        </w:tc>
      </w:tr>
      <w:tr w:rsidR="00EA6568" w:rsidRPr="00506E50" w14:paraId="3CFF2352" w14:textId="77777777" w:rsidTr="007A1BD1">
        <w:trPr>
          <w:trHeight w:val="255"/>
        </w:trPr>
        <w:tc>
          <w:tcPr>
            <w:tcW w:w="739" w:type="dxa"/>
            <w:tcBorders>
              <w:top w:val="nil"/>
              <w:left w:val="nil"/>
              <w:bottom w:val="nil"/>
              <w:right w:val="nil"/>
            </w:tcBorders>
            <w:shd w:val="clear" w:color="auto" w:fill="auto"/>
            <w:noWrap/>
            <w:vAlign w:val="bottom"/>
            <w:hideMark/>
          </w:tcPr>
          <w:p w14:paraId="65F5F8B9"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20</w:t>
            </w:r>
          </w:p>
        </w:tc>
        <w:tc>
          <w:tcPr>
            <w:tcW w:w="2721" w:type="dxa"/>
            <w:tcBorders>
              <w:top w:val="nil"/>
              <w:left w:val="nil"/>
              <w:bottom w:val="nil"/>
              <w:right w:val="nil"/>
            </w:tcBorders>
            <w:shd w:val="clear" w:color="auto" w:fill="auto"/>
            <w:noWrap/>
            <w:vAlign w:val="bottom"/>
            <w:hideMark/>
          </w:tcPr>
          <w:p w14:paraId="2853C679" w14:textId="3775963F" w:rsidR="00EA6568" w:rsidRPr="00056BD0" w:rsidRDefault="00EA6568" w:rsidP="00FA51D3">
            <w:pPr>
              <w:spacing w:after="0" w:line="240" w:lineRule="auto"/>
              <w:rPr>
                <w:rFonts w:ascii="Times New Roman" w:eastAsia="Times New Roman" w:hAnsi="Times New Roman" w:cs="Times New Roman"/>
                <w:bCs/>
              </w:rPr>
            </w:pPr>
            <w:r w:rsidRPr="00056BD0">
              <w:rPr>
                <w:rFonts w:ascii="Times New Roman" w:eastAsia="Times New Roman" w:hAnsi="Times New Roman" w:cs="Times New Roman"/>
                <w:bCs/>
              </w:rPr>
              <w:t xml:space="preserve">Games </w:t>
            </w:r>
            <w:r w:rsidR="00E6612C">
              <w:rPr>
                <w:rFonts w:ascii="Times New Roman" w:eastAsia="Times New Roman" w:hAnsi="Times New Roman" w:cs="Times New Roman"/>
                <w:bCs/>
              </w:rPr>
              <w:t>and</w:t>
            </w:r>
            <w:r w:rsidRPr="00056BD0">
              <w:rPr>
                <w:rFonts w:ascii="Times New Roman" w:eastAsia="Times New Roman" w:hAnsi="Times New Roman" w:cs="Times New Roman"/>
                <w:bCs/>
              </w:rPr>
              <w:t xml:space="preserve"> </w:t>
            </w:r>
            <w:proofErr w:type="spellStart"/>
            <w:r w:rsidRPr="00056BD0">
              <w:rPr>
                <w:rFonts w:ascii="Times New Roman" w:eastAsia="Times New Roman" w:hAnsi="Times New Roman" w:cs="Times New Roman"/>
                <w:bCs/>
              </w:rPr>
              <w:t>Ec</w:t>
            </w:r>
            <w:proofErr w:type="spellEnd"/>
            <w:r w:rsidRPr="00056BD0">
              <w:rPr>
                <w:rFonts w:ascii="Times New Roman" w:eastAsia="Times New Roman" w:hAnsi="Times New Roman" w:cs="Times New Roman"/>
                <w:bCs/>
              </w:rPr>
              <w:t xml:space="preserve"> Behavior</w:t>
            </w:r>
          </w:p>
        </w:tc>
        <w:tc>
          <w:tcPr>
            <w:tcW w:w="907" w:type="dxa"/>
            <w:tcBorders>
              <w:top w:val="nil"/>
              <w:left w:val="nil"/>
              <w:bottom w:val="nil"/>
              <w:right w:val="nil"/>
            </w:tcBorders>
            <w:shd w:val="clear" w:color="auto" w:fill="auto"/>
            <w:noWrap/>
            <w:vAlign w:val="bottom"/>
            <w:hideMark/>
          </w:tcPr>
          <w:p w14:paraId="30F1CDB3"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7.4</w:t>
            </w:r>
          </w:p>
        </w:tc>
        <w:tc>
          <w:tcPr>
            <w:tcW w:w="907" w:type="dxa"/>
            <w:tcBorders>
              <w:top w:val="nil"/>
              <w:left w:val="nil"/>
              <w:bottom w:val="nil"/>
              <w:right w:val="nil"/>
            </w:tcBorders>
            <w:shd w:val="clear" w:color="auto" w:fill="auto"/>
            <w:noWrap/>
            <w:vAlign w:val="bottom"/>
            <w:hideMark/>
          </w:tcPr>
          <w:p w14:paraId="476D1947"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6.6</w:t>
            </w:r>
          </w:p>
        </w:tc>
        <w:tc>
          <w:tcPr>
            <w:tcW w:w="907" w:type="dxa"/>
            <w:tcBorders>
              <w:top w:val="nil"/>
              <w:left w:val="nil"/>
              <w:bottom w:val="nil"/>
              <w:right w:val="nil"/>
            </w:tcBorders>
            <w:shd w:val="clear" w:color="auto" w:fill="auto"/>
            <w:noWrap/>
            <w:vAlign w:val="bottom"/>
            <w:hideMark/>
          </w:tcPr>
          <w:p w14:paraId="3F6F9D0C"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1.8</w:t>
            </w:r>
          </w:p>
        </w:tc>
        <w:tc>
          <w:tcPr>
            <w:tcW w:w="907" w:type="dxa"/>
            <w:tcBorders>
              <w:top w:val="nil"/>
              <w:left w:val="nil"/>
              <w:bottom w:val="nil"/>
              <w:right w:val="nil"/>
            </w:tcBorders>
            <w:shd w:val="clear" w:color="auto" w:fill="auto"/>
            <w:noWrap/>
            <w:vAlign w:val="bottom"/>
            <w:hideMark/>
          </w:tcPr>
          <w:p w14:paraId="37E8B08C"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3.4</w:t>
            </w:r>
          </w:p>
        </w:tc>
        <w:tc>
          <w:tcPr>
            <w:tcW w:w="907" w:type="dxa"/>
            <w:tcBorders>
              <w:top w:val="nil"/>
              <w:left w:val="nil"/>
              <w:bottom w:val="nil"/>
              <w:right w:val="nil"/>
            </w:tcBorders>
            <w:shd w:val="clear" w:color="auto" w:fill="auto"/>
            <w:noWrap/>
            <w:vAlign w:val="bottom"/>
            <w:hideMark/>
          </w:tcPr>
          <w:p w14:paraId="74C9C6DE"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1.0</w:t>
            </w:r>
          </w:p>
        </w:tc>
        <w:tc>
          <w:tcPr>
            <w:tcW w:w="1121" w:type="dxa"/>
            <w:tcBorders>
              <w:top w:val="nil"/>
              <w:left w:val="nil"/>
              <w:bottom w:val="nil"/>
              <w:right w:val="nil"/>
            </w:tcBorders>
            <w:shd w:val="clear" w:color="auto" w:fill="auto"/>
            <w:noWrap/>
            <w:vAlign w:val="bottom"/>
            <w:hideMark/>
          </w:tcPr>
          <w:p w14:paraId="7BDF34F2"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1.0</w:t>
            </w:r>
          </w:p>
        </w:tc>
      </w:tr>
      <w:tr w:rsidR="00EA6568" w:rsidRPr="00506E50" w14:paraId="15BA82B3" w14:textId="77777777" w:rsidTr="007A1BD1">
        <w:trPr>
          <w:trHeight w:val="255"/>
        </w:trPr>
        <w:tc>
          <w:tcPr>
            <w:tcW w:w="739" w:type="dxa"/>
            <w:tcBorders>
              <w:top w:val="nil"/>
              <w:left w:val="nil"/>
              <w:bottom w:val="nil"/>
              <w:right w:val="nil"/>
            </w:tcBorders>
            <w:shd w:val="clear" w:color="auto" w:fill="auto"/>
            <w:noWrap/>
            <w:vAlign w:val="bottom"/>
            <w:hideMark/>
          </w:tcPr>
          <w:p w14:paraId="22FAE0ED"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30</w:t>
            </w:r>
          </w:p>
        </w:tc>
        <w:tc>
          <w:tcPr>
            <w:tcW w:w="2721" w:type="dxa"/>
            <w:tcBorders>
              <w:top w:val="nil"/>
              <w:left w:val="nil"/>
              <w:bottom w:val="nil"/>
              <w:right w:val="nil"/>
            </w:tcBorders>
            <w:shd w:val="clear" w:color="auto" w:fill="auto"/>
            <w:noWrap/>
            <w:vAlign w:val="bottom"/>
            <w:hideMark/>
          </w:tcPr>
          <w:p w14:paraId="0D93994D" w14:textId="064B7960" w:rsidR="00EA6568" w:rsidRPr="00056BD0" w:rsidRDefault="00EA6568" w:rsidP="00FA51D3">
            <w:pPr>
              <w:spacing w:after="0" w:line="240" w:lineRule="auto"/>
              <w:rPr>
                <w:rFonts w:ascii="Times New Roman" w:eastAsia="Times New Roman" w:hAnsi="Times New Roman" w:cs="Times New Roman"/>
                <w:bCs/>
              </w:rPr>
            </w:pPr>
            <w:r w:rsidRPr="00056BD0">
              <w:rPr>
                <w:rFonts w:ascii="Times New Roman" w:eastAsia="Times New Roman" w:hAnsi="Times New Roman" w:cs="Times New Roman"/>
                <w:bCs/>
              </w:rPr>
              <w:t xml:space="preserve">J of </w:t>
            </w:r>
            <w:proofErr w:type="spellStart"/>
            <w:r w:rsidRPr="00056BD0">
              <w:rPr>
                <w:rFonts w:ascii="Times New Roman" w:eastAsia="Times New Roman" w:hAnsi="Times New Roman" w:cs="Times New Roman"/>
                <w:bCs/>
              </w:rPr>
              <w:t>Env</w:t>
            </w:r>
            <w:proofErr w:type="spellEnd"/>
            <w:r w:rsidRPr="00056BD0">
              <w:rPr>
                <w:rFonts w:ascii="Times New Roman" w:eastAsia="Times New Roman" w:hAnsi="Times New Roman" w:cs="Times New Roman"/>
                <w:bCs/>
              </w:rPr>
              <w:t xml:space="preserve"> </w:t>
            </w:r>
            <w:proofErr w:type="spellStart"/>
            <w:r w:rsidRPr="00056BD0">
              <w:rPr>
                <w:rFonts w:ascii="Times New Roman" w:eastAsia="Times New Roman" w:hAnsi="Times New Roman" w:cs="Times New Roman"/>
                <w:bCs/>
              </w:rPr>
              <w:t>Ecs</w:t>
            </w:r>
            <w:proofErr w:type="spellEnd"/>
            <w:r w:rsidRPr="00056BD0">
              <w:rPr>
                <w:rFonts w:ascii="Times New Roman" w:eastAsia="Times New Roman" w:hAnsi="Times New Roman" w:cs="Times New Roman"/>
                <w:bCs/>
              </w:rPr>
              <w:t xml:space="preserve"> </w:t>
            </w:r>
            <w:r w:rsidR="00E6612C">
              <w:rPr>
                <w:rFonts w:ascii="Times New Roman" w:eastAsia="Times New Roman" w:hAnsi="Times New Roman" w:cs="Times New Roman"/>
                <w:bCs/>
              </w:rPr>
              <w:t>and</w:t>
            </w:r>
            <w:r w:rsidRPr="00056BD0">
              <w:rPr>
                <w:rFonts w:ascii="Times New Roman" w:eastAsia="Times New Roman" w:hAnsi="Times New Roman" w:cs="Times New Roman"/>
                <w:bCs/>
              </w:rPr>
              <w:t xml:space="preserve"> Management</w:t>
            </w:r>
          </w:p>
        </w:tc>
        <w:tc>
          <w:tcPr>
            <w:tcW w:w="907" w:type="dxa"/>
            <w:tcBorders>
              <w:top w:val="nil"/>
              <w:left w:val="nil"/>
              <w:bottom w:val="nil"/>
              <w:right w:val="nil"/>
            </w:tcBorders>
            <w:shd w:val="clear" w:color="auto" w:fill="auto"/>
            <w:noWrap/>
            <w:vAlign w:val="bottom"/>
            <w:hideMark/>
          </w:tcPr>
          <w:p w14:paraId="726CD119"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10.1</w:t>
            </w:r>
          </w:p>
        </w:tc>
        <w:tc>
          <w:tcPr>
            <w:tcW w:w="907" w:type="dxa"/>
            <w:tcBorders>
              <w:top w:val="nil"/>
              <w:left w:val="nil"/>
              <w:bottom w:val="nil"/>
              <w:right w:val="nil"/>
            </w:tcBorders>
            <w:shd w:val="clear" w:color="auto" w:fill="auto"/>
            <w:noWrap/>
            <w:vAlign w:val="bottom"/>
            <w:hideMark/>
          </w:tcPr>
          <w:p w14:paraId="539E99C7"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3.8</w:t>
            </w:r>
          </w:p>
        </w:tc>
        <w:tc>
          <w:tcPr>
            <w:tcW w:w="907" w:type="dxa"/>
            <w:tcBorders>
              <w:top w:val="nil"/>
              <w:left w:val="nil"/>
              <w:bottom w:val="nil"/>
              <w:right w:val="nil"/>
            </w:tcBorders>
            <w:shd w:val="clear" w:color="auto" w:fill="auto"/>
            <w:noWrap/>
            <w:vAlign w:val="bottom"/>
            <w:hideMark/>
          </w:tcPr>
          <w:p w14:paraId="067E3E24"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2.7</w:t>
            </w:r>
          </w:p>
        </w:tc>
        <w:tc>
          <w:tcPr>
            <w:tcW w:w="907" w:type="dxa"/>
            <w:tcBorders>
              <w:top w:val="nil"/>
              <w:left w:val="nil"/>
              <w:bottom w:val="nil"/>
              <w:right w:val="nil"/>
            </w:tcBorders>
            <w:shd w:val="clear" w:color="auto" w:fill="auto"/>
            <w:noWrap/>
            <w:vAlign w:val="bottom"/>
            <w:hideMark/>
          </w:tcPr>
          <w:p w14:paraId="34228C33"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7.1</w:t>
            </w:r>
          </w:p>
        </w:tc>
        <w:tc>
          <w:tcPr>
            <w:tcW w:w="907" w:type="dxa"/>
            <w:tcBorders>
              <w:top w:val="nil"/>
              <w:left w:val="nil"/>
              <w:bottom w:val="nil"/>
              <w:right w:val="nil"/>
            </w:tcBorders>
            <w:shd w:val="clear" w:color="auto" w:fill="auto"/>
            <w:noWrap/>
            <w:vAlign w:val="bottom"/>
            <w:hideMark/>
          </w:tcPr>
          <w:p w14:paraId="2C693EF2"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1.3</w:t>
            </w:r>
          </w:p>
        </w:tc>
        <w:tc>
          <w:tcPr>
            <w:tcW w:w="1121" w:type="dxa"/>
            <w:tcBorders>
              <w:top w:val="nil"/>
              <w:left w:val="nil"/>
              <w:bottom w:val="nil"/>
              <w:right w:val="nil"/>
            </w:tcBorders>
            <w:shd w:val="clear" w:color="auto" w:fill="auto"/>
            <w:noWrap/>
            <w:vAlign w:val="bottom"/>
            <w:hideMark/>
          </w:tcPr>
          <w:p w14:paraId="5CA08927"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3.0</w:t>
            </w:r>
          </w:p>
        </w:tc>
      </w:tr>
      <w:tr w:rsidR="00EA6568" w:rsidRPr="00506E50" w14:paraId="2039451D" w14:textId="77777777" w:rsidTr="007A1BD1">
        <w:trPr>
          <w:trHeight w:val="255"/>
        </w:trPr>
        <w:tc>
          <w:tcPr>
            <w:tcW w:w="739" w:type="dxa"/>
            <w:tcBorders>
              <w:top w:val="nil"/>
              <w:left w:val="nil"/>
              <w:bottom w:val="nil"/>
              <w:right w:val="nil"/>
            </w:tcBorders>
            <w:shd w:val="clear" w:color="auto" w:fill="auto"/>
            <w:noWrap/>
            <w:vAlign w:val="bottom"/>
            <w:hideMark/>
          </w:tcPr>
          <w:p w14:paraId="2F34C53A"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40</w:t>
            </w:r>
          </w:p>
        </w:tc>
        <w:tc>
          <w:tcPr>
            <w:tcW w:w="2721" w:type="dxa"/>
            <w:tcBorders>
              <w:top w:val="nil"/>
              <w:left w:val="nil"/>
              <w:bottom w:val="nil"/>
              <w:right w:val="nil"/>
            </w:tcBorders>
            <w:shd w:val="clear" w:color="auto" w:fill="auto"/>
            <w:noWrap/>
            <w:vAlign w:val="bottom"/>
            <w:hideMark/>
          </w:tcPr>
          <w:p w14:paraId="167EFE64" w14:textId="77777777" w:rsidR="00EA6568" w:rsidRPr="00056BD0" w:rsidRDefault="00EA6568" w:rsidP="00FA51D3">
            <w:pPr>
              <w:spacing w:after="0" w:line="240" w:lineRule="auto"/>
              <w:rPr>
                <w:rFonts w:ascii="Times New Roman" w:eastAsia="Times New Roman" w:hAnsi="Times New Roman" w:cs="Times New Roman"/>
                <w:bCs/>
              </w:rPr>
            </w:pPr>
            <w:r w:rsidRPr="00056BD0">
              <w:rPr>
                <w:rFonts w:ascii="Times New Roman" w:eastAsia="Times New Roman" w:hAnsi="Times New Roman" w:cs="Times New Roman"/>
                <w:bCs/>
              </w:rPr>
              <w:t>Health Economics</w:t>
            </w:r>
          </w:p>
        </w:tc>
        <w:tc>
          <w:tcPr>
            <w:tcW w:w="907" w:type="dxa"/>
            <w:tcBorders>
              <w:top w:val="nil"/>
              <w:left w:val="nil"/>
              <w:bottom w:val="nil"/>
              <w:right w:val="nil"/>
            </w:tcBorders>
            <w:shd w:val="clear" w:color="auto" w:fill="auto"/>
            <w:noWrap/>
            <w:vAlign w:val="bottom"/>
            <w:hideMark/>
          </w:tcPr>
          <w:p w14:paraId="20F1FE46"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46.0</w:t>
            </w:r>
          </w:p>
        </w:tc>
        <w:tc>
          <w:tcPr>
            <w:tcW w:w="907" w:type="dxa"/>
            <w:tcBorders>
              <w:top w:val="nil"/>
              <w:left w:val="nil"/>
              <w:bottom w:val="nil"/>
              <w:right w:val="nil"/>
            </w:tcBorders>
            <w:shd w:val="clear" w:color="auto" w:fill="auto"/>
            <w:noWrap/>
            <w:vAlign w:val="bottom"/>
            <w:hideMark/>
          </w:tcPr>
          <w:p w14:paraId="7EB482E4"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13.7</w:t>
            </w:r>
          </w:p>
        </w:tc>
        <w:tc>
          <w:tcPr>
            <w:tcW w:w="907" w:type="dxa"/>
            <w:tcBorders>
              <w:top w:val="nil"/>
              <w:left w:val="nil"/>
              <w:bottom w:val="nil"/>
              <w:right w:val="nil"/>
            </w:tcBorders>
            <w:shd w:val="clear" w:color="auto" w:fill="auto"/>
            <w:noWrap/>
            <w:vAlign w:val="bottom"/>
            <w:hideMark/>
          </w:tcPr>
          <w:p w14:paraId="6E0E5F42"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3.2</w:t>
            </w:r>
          </w:p>
        </w:tc>
        <w:tc>
          <w:tcPr>
            <w:tcW w:w="907" w:type="dxa"/>
            <w:tcBorders>
              <w:top w:val="nil"/>
              <w:left w:val="nil"/>
              <w:bottom w:val="nil"/>
              <w:right w:val="nil"/>
            </w:tcBorders>
            <w:shd w:val="clear" w:color="auto" w:fill="auto"/>
            <w:noWrap/>
            <w:vAlign w:val="bottom"/>
            <w:hideMark/>
          </w:tcPr>
          <w:p w14:paraId="38695FB0"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10.1</w:t>
            </w:r>
          </w:p>
        </w:tc>
        <w:tc>
          <w:tcPr>
            <w:tcW w:w="907" w:type="dxa"/>
            <w:tcBorders>
              <w:top w:val="nil"/>
              <w:left w:val="nil"/>
              <w:bottom w:val="nil"/>
              <w:right w:val="nil"/>
            </w:tcBorders>
            <w:shd w:val="clear" w:color="auto" w:fill="auto"/>
            <w:noWrap/>
            <w:vAlign w:val="bottom"/>
            <w:hideMark/>
          </w:tcPr>
          <w:p w14:paraId="3D88AE64"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1.3</w:t>
            </w:r>
          </w:p>
        </w:tc>
        <w:tc>
          <w:tcPr>
            <w:tcW w:w="1121" w:type="dxa"/>
            <w:tcBorders>
              <w:top w:val="nil"/>
              <w:left w:val="nil"/>
              <w:bottom w:val="nil"/>
              <w:right w:val="nil"/>
            </w:tcBorders>
            <w:shd w:val="clear" w:color="auto" w:fill="auto"/>
            <w:noWrap/>
            <w:vAlign w:val="bottom"/>
            <w:hideMark/>
          </w:tcPr>
          <w:p w14:paraId="3F9708CC"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3.0</w:t>
            </w:r>
          </w:p>
        </w:tc>
      </w:tr>
      <w:tr w:rsidR="00EA6568" w:rsidRPr="00506E50" w14:paraId="64AB33F0" w14:textId="77777777" w:rsidTr="007A1BD1">
        <w:trPr>
          <w:trHeight w:val="255"/>
        </w:trPr>
        <w:tc>
          <w:tcPr>
            <w:tcW w:w="739" w:type="dxa"/>
            <w:tcBorders>
              <w:top w:val="nil"/>
              <w:left w:val="nil"/>
              <w:bottom w:val="nil"/>
              <w:right w:val="nil"/>
            </w:tcBorders>
            <w:shd w:val="clear" w:color="auto" w:fill="auto"/>
            <w:noWrap/>
            <w:vAlign w:val="bottom"/>
            <w:hideMark/>
          </w:tcPr>
          <w:p w14:paraId="501D3C8E"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50</w:t>
            </w:r>
          </w:p>
        </w:tc>
        <w:tc>
          <w:tcPr>
            <w:tcW w:w="2721" w:type="dxa"/>
            <w:tcBorders>
              <w:top w:val="nil"/>
              <w:left w:val="nil"/>
              <w:bottom w:val="nil"/>
              <w:right w:val="nil"/>
            </w:tcBorders>
            <w:shd w:val="clear" w:color="auto" w:fill="auto"/>
            <w:noWrap/>
            <w:vAlign w:val="bottom"/>
            <w:hideMark/>
          </w:tcPr>
          <w:p w14:paraId="0CA8F752" w14:textId="77777777" w:rsidR="00EA6568" w:rsidRPr="00056BD0" w:rsidRDefault="00EA6568" w:rsidP="00FA51D3">
            <w:pPr>
              <w:spacing w:after="0" w:line="240" w:lineRule="auto"/>
              <w:rPr>
                <w:rFonts w:ascii="Times New Roman" w:eastAsia="Times New Roman" w:hAnsi="Times New Roman" w:cs="Times New Roman"/>
                <w:bCs/>
              </w:rPr>
            </w:pPr>
            <w:r w:rsidRPr="00056BD0">
              <w:rPr>
                <w:rFonts w:ascii="Times New Roman" w:eastAsia="Times New Roman" w:hAnsi="Times New Roman" w:cs="Times New Roman"/>
                <w:bCs/>
              </w:rPr>
              <w:t xml:space="preserve">Ecological </w:t>
            </w:r>
            <w:proofErr w:type="spellStart"/>
            <w:r w:rsidRPr="00056BD0">
              <w:rPr>
                <w:rFonts w:ascii="Times New Roman" w:eastAsia="Times New Roman" w:hAnsi="Times New Roman" w:cs="Times New Roman"/>
                <w:bCs/>
              </w:rPr>
              <w:t>Ecs</w:t>
            </w:r>
            <w:proofErr w:type="spellEnd"/>
          </w:p>
        </w:tc>
        <w:tc>
          <w:tcPr>
            <w:tcW w:w="907" w:type="dxa"/>
            <w:tcBorders>
              <w:top w:val="nil"/>
              <w:left w:val="nil"/>
              <w:bottom w:val="nil"/>
              <w:right w:val="nil"/>
            </w:tcBorders>
            <w:shd w:val="clear" w:color="auto" w:fill="auto"/>
            <w:noWrap/>
            <w:vAlign w:val="bottom"/>
            <w:hideMark/>
          </w:tcPr>
          <w:p w14:paraId="4924AF33"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91.0</w:t>
            </w:r>
          </w:p>
        </w:tc>
        <w:tc>
          <w:tcPr>
            <w:tcW w:w="907" w:type="dxa"/>
            <w:tcBorders>
              <w:top w:val="nil"/>
              <w:left w:val="nil"/>
              <w:bottom w:val="nil"/>
              <w:right w:val="nil"/>
            </w:tcBorders>
            <w:shd w:val="clear" w:color="auto" w:fill="auto"/>
            <w:noWrap/>
            <w:vAlign w:val="bottom"/>
            <w:hideMark/>
          </w:tcPr>
          <w:p w14:paraId="1F620A07"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12.5</w:t>
            </w:r>
          </w:p>
        </w:tc>
        <w:tc>
          <w:tcPr>
            <w:tcW w:w="907" w:type="dxa"/>
            <w:tcBorders>
              <w:top w:val="nil"/>
              <w:left w:val="nil"/>
              <w:bottom w:val="nil"/>
              <w:right w:val="nil"/>
            </w:tcBorders>
            <w:shd w:val="clear" w:color="auto" w:fill="auto"/>
            <w:noWrap/>
            <w:vAlign w:val="bottom"/>
            <w:hideMark/>
          </w:tcPr>
          <w:p w14:paraId="0F27617F"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3.4</w:t>
            </w:r>
          </w:p>
        </w:tc>
        <w:tc>
          <w:tcPr>
            <w:tcW w:w="907" w:type="dxa"/>
            <w:tcBorders>
              <w:top w:val="nil"/>
              <w:left w:val="nil"/>
              <w:bottom w:val="nil"/>
              <w:right w:val="nil"/>
            </w:tcBorders>
            <w:shd w:val="clear" w:color="auto" w:fill="auto"/>
            <w:noWrap/>
            <w:vAlign w:val="bottom"/>
            <w:hideMark/>
          </w:tcPr>
          <w:p w14:paraId="74D40C64"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11.5</w:t>
            </w:r>
          </w:p>
        </w:tc>
        <w:tc>
          <w:tcPr>
            <w:tcW w:w="907" w:type="dxa"/>
            <w:tcBorders>
              <w:top w:val="nil"/>
              <w:left w:val="nil"/>
              <w:bottom w:val="nil"/>
              <w:right w:val="nil"/>
            </w:tcBorders>
            <w:shd w:val="clear" w:color="auto" w:fill="auto"/>
            <w:noWrap/>
            <w:vAlign w:val="bottom"/>
            <w:hideMark/>
          </w:tcPr>
          <w:p w14:paraId="05EC4E92"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1.3</w:t>
            </w:r>
          </w:p>
        </w:tc>
        <w:tc>
          <w:tcPr>
            <w:tcW w:w="1121" w:type="dxa"/>
            <w:tcBorders>
              <w:top w:val="nil"/>
              <w:left w:val="nil"/>
              <w:bottom w:val="nil"/>
              <w:right w:val="nil"/>
            </w:tcBorders>
            <w:shd w:val="clear" w:color="auto" w:fill="auto"/>
            <w:noWrap/>
            <w:vAlign w:val="bottom"/>
            <w:hideMark/>
          </w:tcPr>
          <w:p w14:paraId="558EDC6D"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3.0</w:t>
            </w:r>
          </w:p>
        </w:tc>
      </w:tr>
      <w:tr w:rsidR="00EA6568" w:rsidRPr="00506E50" w14:paraId="6D8769F8" w14:textId="77777777" w:rsidTr="007A1BD1">
        <w:trPr>
          <w:trHeight w:val="255"/>
        </w:trPr>
        <w:tc>
          <w:tcPr>
            <w:tcW w:w="739" w:type="dxa"/>
            <w:tcBorders>
              <w:top w:val="nil"/>
              <w:left w:val="nil"/>
              <w:bottom w:val="nil"/>
              <w:right w:val="nil"/>
            </w:tcBorders>
            <w:shd w:val="clear" w:color="auto" w:fill="auto"/>
            <w:noWrap/>
            <w:vAlign w:val="bottom"/>
            <w:hideMark/>
          </w:tcPr>
          <w:p w14:paraId="16F45F13"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75</w:t>
            </w:r>
          </w:p>
        </w:tc>
        <w:tc>
          <w:tcPr>
            <w:tcW w:w="2721" w:type="dxa"/>
            <w:tcBorders>
              <w:top w:val="nil"/>
              <w:left w:val="nil"/>
              <w:bottom w:val="nil"/>
              <w:right w:val="nil"/>
            </w:tcBorders>
            <w:shd w:val="clear" w:color="auto" w:fill="auto"/>
            <w:noWrap/>
            <w:vAlign w:val="bottom"/>
            <w:hideMark/>
          </w:tcPr>
          <w:p w14:paraId="37F00A0F" w14:textId="46C26377" w:rsidR="00EA6568" w:rsidRPr="00056BD0" w:rsidRDefault="00EA6568" w:rsidP="00FA51D3">
            <w:pPr>
              <w:spacing w:after="0" w:line="240" w:lineRule="auto"/>
              <w:rPr>
                <w:rFonts w:ascii="Times New Roman" w:eastAsia="Times New Roman" w:hAnsi="Times New Roman" w:cs="Times New Roman"/>
                <w:bCs/>
              </w:rPr>
            </w:pPr>
            <w:proofErr w:type="spellStart"/>
            <w:r w:rsidRPr="00056BD0">
              <w:rPr>
                <w:rFonts w:ascii="Times New Roman" w:eastAsia="Times New Roman" w:hAnsi="Times New Roman" w:cs="Times New Roman"/>
                <w:bCs/>
              </w:rPr>
              <w:t>Ec</w:t>
            </w:r>
            <w:proofErr w:type="spellEnd"/>
            <w:r w:rsidRPr="00056BD0">
              <w:rPr>
                <w:rFonts w:ascii="Times New Roman" w:eastAsia="Times New Roman" w:hAnsi="Times New Roman" w:cs="Times New Roman"/>
                <w:bCs/>
              </w:rPr>
              <w:t xml:space="preserve"> Dev </w:t>
            </w:r>
            <w:r w:rsidR="008226D0">
              <w:rPr>
                <w:rFonts w:ascii="Times New Roman" w:eastAsia="Times New Roman" w:hAnsi="Times New Roman" w:cs="Times New Roman"/>
                <w:bCs/>
              </w:rPr>
              <w:t xml:space="preserve">&amp; </w:t>
            </w:r>
            <w:r w:rsidRPr="00056BD0">
              <w:rPr>
                <w:rFonts w:ascii="Times New Roman" w:eastAsia="Times New Roman" w:hAnsi="Times New Roman" w:cs="Times New Roman"/>
                <w:bCs/>
              </w:rPr>
              <w:t>Cultural Change</w:t>
            </w:r>
          </w:p>
        </w:tc>
        <w:tc>
          <w:tcPr>
            <w:tcW w:w="907" w:type="dxa"/>
            <w:tcBorders>
              <w:top w:val="nil"/>
              <w:left w:val="nil"/>
              <w:bottom w:val="nil"/>
              <w:right w:val="nil"/>
            </w:tcBorders>
            <w:shd w:val="clear" w:color="auto" w:fill="auto"/>
            <w:noWrap/>
            <w:vAlign w:val="bottom"/>
            <w:hideMark/>
          </w:tcPr>
          <w:p w14:paraId="0EBEB718"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32.3</w:t>
            </w:r>
          </w:p>
        </w:tc>
        <w:tc>
          <w:tcPr>
            <w:tcW w:w="907" w:type="dxa"/>
            <w:tcBorders>
              <w:top w:val="nil"/>
              <w:left w:val="nil"/>
              <w:bottom w:val="nil"/>
              <w:right w:val="nil"/>
            </w:tcBorders>
            <w:shd w:val="clear" w:color="auto" w:fill="auto"/>
            <w:noWrap/>
            <w:vAlign w:val="bottom"/>
            <w:hideMark/>
          </w:tcPr>
          <w:p w14:paraId="4582DECC"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11.6</w:t>
            </w:r>
          </w:p>
        </w:tc>
        <w:tc>
          <w:tcPr>
            <w:tcW w:w="907" w:type="dxa"/>
            <w:tcBorders>
              <w:top w:val="nil"/>
              <w:left w:val="nil"/>
              <w:bottom w:val="nil"/>
              <w:right w:val="nil"/>
            </w:tcBorders>
            <w:shd w:val="clear" w:color="auto" w:fill="auto"/>
            <w:noWrap/>
            <w:vAlign w:val="bottom"/>
            <w:hideMark/>
          </w:tcPr>
          <w:p w14:paraId="48AA1219"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4.3</w:t>
            </w:r>
          </w:p>
        </w:tc>
        <w:tc>
          <w:tcPr>
            <w:tcW w:w="907" w:type="dxa"/>
            <w:tcBorders>
              <w:top w:val="nil"/>
              <w:left w:val="nil"/>
              <w:bottom w:val="nil"/>
              <w:right w:val="nil"/>
            </w:tcBorders>
            <w:shd w:val="clear" w:color="auto" w:fill="auto"/>
            <w:noWrap/>
            <w:vAlign w:val="bottom"/>
            <w:hideMark/>
          </w:tcPr>
          <w:p w14:paraId="3F8528B1"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18.9</w:t>
            </w:r>
          </w:p>
        </w:tc>
        <w:tc>
          <w:tcPr>
            <w:tcW w:w="907" w:type="dxa"/>
            <w:tcBorders>
              <w:top w:val="nil"/>
              <w:left w:val="nil"/>
              <w:bottom w:val="nil"/>
              <w:right w:val="nil"/>
            </w:tcBorders>
            <w:shd w:val="clear" w:color="auto" w:fill="auto"/>
            <w:noWrap/>
            <w:vAlign w:val="bottom"/>
            <w:hideMark/>
          </w:tcPr>
          <w:p w14:paraId="7276DF72"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1.3</w:t>
            </w:r>
          </w:p>
        </w:tc>
        <w:tc>
          <w:tcPr>
            <w:tcW w:w="1121" w:type="dxa"/>
            <w:tcBorders>
              <w:top w:val="nil"/>
              <w:left w:val="nil"/>
              <w:bottom w:val="nil"/>
              <w:right w:val="nil"/>
            </w:tcBorders>
            <w:shd w:val="clear" w:color="auto" w:fill="auto"/>
            <w:noWrap/>
            <w:vAlign w:val="bottom"/>
            <w:hideMark/>
          </w:tcPr>
          <w:p w14:paraId="55670DC0"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3.0</w:t>
            </w:r>
          </w:p>
        </w:tc>
      </w:tr>
      <w:tr w:rsidR="00EA6568" w:rsidRPr="00506E50" w14:paraId="74F0A6B3" w14:textId="77777777" w:rsidTr="007A1BD1">
        <w:trPr>
          <w:trHeight w:val="255"/>
        </w:trPr>
        <w:tc>
          <w:tcPr>
            <w:tcW w:w="739" w:type="dxa"/>
            <w:tcBorders>
              <w:top w:val="nil"/>
              <w:left w:val="nil"/>
              <w:bottom w:val="nil"/>
              <w:right w:val="nil"/>
            </w:tcBorders>
            <w:shd w:val="clear" w:color="auto" w:fill="auto"/>
            <w:noWrap/>
            <w:vAlign w:val="bottom"/>
            <w:hideMark/>
          </w:tcPr>
          <w:p w14:paraId="7EF94C85"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100</w:t>
            </w:r>
          </w:p>
        </w:tc>
        <w:tc>
          <w:tcPr>
            <w:tcW w:w="2721" w:type="dxa"/>
            <w:tcBorders>
              <w:top w:val="nil"/>
              <w:left w:val="nil"/>
              <w:bottom w:val="nil"/>
              <w:right w:val="nil"/>
            </w:tcBorders>
            <w:shd w:val="clear" w:color="auto" w:fill="auto"/>
            <w:noWrap/>
            <w:vAlign w:val="bottom"/>
            <w:hideMark/>
          </w:tcPr>
          <w:p w14:paraId="3CF98D37" w14:textId="6E411E4A" w:rsidR="00EA6568" w:rsidRPr="00056BD0" w:rsidRDefault="00EA6568" w:rsidP="00FA51D3">
            <w:pPr>
              <w:spacing w:after="0" w:line="240" w:lineRule="auto"/>
              <w:rPr>
                <w:rFonts w:ascii="Times New Roman" w:eastAsia="Times New Roman" w:hAnsi="Times New Roman" w:cs="Times New Roman"/>
                <w:bCs/>
              </w:rPr>
            </w:pPr>
            <w:r w:rsidRPr="00056BD0">
              <w:rPr>
                <w:rFonts w:ascii="Times New Roman" w:eastAsia="Times New Roman" w:hAnsi="Times New Roman" w:cs="Times New Roman"/>
                <w:bCs/>
              </w:rPr>
              <w:t xml:space="preserve">Resource </w:t>
            </w:r>
            <w:r w:rsidR="00E6612C">
              <w:rPr>
                <w:rFonts w:ascii="Times New Roman" w:eastAsia="Times New Roman" w:hAnsi="Times New Roman" w:cs="Times New Roman"/>
                <w:bCs/>
              </w:rPr>
              <w:t>and</w:t>
            </w:r>
            <w:r w:rsidRPr="00056BD0">
              <w:rPr>
                <w:rFonts w:ascii="Times New Roman" w:eastAsia="Times New Roman" w:hAnsi="Times New Roman" w:cs="Times New Roman"/>
                <w:bCs/>
              </w:rPr>
              <w:t xml:space="preserve"> Energy </w:t>
            </w:r>
            <w:proofErr w:type="spellStart"/>
            <w:r w:rsidRPr="00056BD0">
              <w:rPr>
                <w:rFonts w:ascii="Times New Roman" w:eastAsia="Times New Roman" w:hAnsi="Times New Roman" w:cs="Times New Roman"/>
                <w:bCs/>
              </w:rPr>
              <w:t>Ecs</w:t>
            </w:r>
            <w:proofErr w:type="spellEnd"/>
          </w:p>
        </w:tc>
        <w:tc>
          <w:tcPr>
            <w:tcW w:w="907" w:type="dxa"/>
            <w:tcBorders>
              <w:top w:val="nil"/>
              <w:left w:val="nil"/>
              <w:bottom w:val="nil"/>
              <w:right w:val="nil"/>
            </w:tcBorders>
            <w:shd w:val="clear" w:color="auto" w:fill="auto"/>
            <w:noWrap/>
            <w:vAlign w:val="bottom"/>
            <w:hideMark/>
          </w:tcPr>
          <w:p w14:paraId="4CAB5D68"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30.1</w:t>
            </w:r>
          </w:p>
        </w:tc>
        <w:tc>
          <w:tcPr>
            <w:tcW w:w="907" w:type="dxa"/>
            <w:tcBorders>
              <w:top w:val="nil"/>
              <w:left w:val="nil"/>
              <w:bottom w:val="nil"/>
              <w:right w:val="nil"/>
            </w:tcBorders>
            <w:shd w:val="clear" w:color="auto" w:fill="auto"/>
            <w:noWrap/>
            <w:vAlign w:val="bottom"/>
            <w:hideMark/>
          </w:tcPr>
          <w:p w14:paraId="652B443B"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9.3</w:t>
            </w:r>
          </w:p>
        </w:tc>
        <w:tc>
          <w:tcPr>
            <w:tcW w:w="907" w:type="dxa"/>
            <w:tcBorders>
              <w:top w:val="nil"/>
              <w:left w:val="nil"/>
              <w:bottom w:val="nil"/>
              <w:right w:val="nil"/>
            </w:tcBorders>
            <w:shd w:val="clear" w:color="auto" w:fill="auto"/>
            <w:noWrap/>
            <w:vAlign w:val="bottom"/>
            <w:hideMark/>
          </w:tcPr>
          <w:p w14:paraId="47E58963"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5.5</w:t>
            </w:r>
          </w:p>
        </w:tc>
        <w:tc>
          <w:tcPr>
            <w:tcW w:w="907" w:type="dxa"/>
            <w:tcBorders>
              <w:top w:val="nil"/>
              <w:left w:val="nil"/>
              <w:bottom w:val="nil"/>
              <w:right w:val="nil"/>
            </w:tcBorders>
            <w:shd w:val="clear" w:color="auto" w:fill="auto"/>
            <w:noWrap/>
            <w:vAlign w:val="bottom"/>
            <w:hideMark/>
          </w:tcPr>
          <w:p w14:paraId="4BD481C4"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29.8</w:t>
            </w:r>
          </w:p>
        </w:tc>
        <w:tc>
          <w:tcPr>
            <w:tcW w:w="907" w:type="dxa"/>
            <w:tcBorders>
              <w:top w:val="nil"/>
              <w:left w:val="nil"/>
              <w:bottom w:val="nil"/>
              <w:right w:val="nil"/>
            </w:tcBorders>
            <w:shd w:val="clear" w:color="auto" w:fill="auto"/>
            <w:noWrap/>
            <w:vAlign w:val="bottom"/>
            <w:hideMark/>
          </w:tcPr>
          <w:p w14:paraId="32831E23"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1.3</w:t>
            </w:r>
          </w:p>
        </w:tc>
        <w:tc>
          <w:tcPr>
            <w:tcW w:w="1121" w:type="dxa"/>
            <w:tcBorders>
              <w:top w:val="nil"/>
              <w:left w:val="nil"/>
              <w:bottom w:val="nil"/>
              <w:right w:val="nil"/>
            </w:tcBorders>
            <w:shd w:val="clear" w:color="auto" w:fill="auto"/>
            <w:noWrap/>
            <w:vAlign w:val="bottom"/>
            <w:hideMark/>
          </w:tcPr>
          <w:p w14:paraId="6B27E7B3"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3.0</w:t>
            </w:r>
          </w:p>
        </w:tc>
      </w:tr>
      <w:tr w:rsidR="00EA6568" w:rsidRPr="00506E50" w14:paraId="0A816ED2" w14:textId="77777777" w:rsidTr="007A1BD1">
        <w:trPr>
          <w:trHeight w:val="255"/>
        </w:trPr>
        <w:tc>
          <w:tcPr>
            <w:tcW w:w="739" w:type="dxa"/>
            <w:tcBorders>
              <w:top w:val="nil"/>
              <w:left w:val="nil"/>
              <w:bottom w:val="nil"/>
              <w:right w:val="nil"/>
            </w:tcBorders>
            <w:shd w:val="clear" w:color="auto" w:fill="auto"/>
            <w:noWrap/>
            <w:vAlign w:val="bottom"/>
            <w:hideMark/>
          </w:tcPr>
          <w:p w14:paraId="4F3817CA"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149</w:t>
            </w:r>
          </w:p>
        </w:tc>
        <w:tc>
          <w:tcPr>
            <w:tcW w:w="2721" w:type="dxa"/>
            <w:tcBorders>
              <w:top w:val="nil"/>
              <w:left w:val="nil"/>
              <w:bottom w:val="nil"/>
              <w:right w:val="nil"/>
            </w:tcBorders>
            <w:shd w:val="clear" w:color="auto" w:fill="auto"/>
            <w:noWrap/>
            <w:vAlign w:val="bottom"/>
            <w:hideMark/>
          </w:tcPr>
          <w:p w14:paraId="35F5767A" w14:textId="77777777" w:rsidR="00EA6568" w:rsidRPr="00056BD0" w:rsidRDefault="00EA6568" w:rsidP="00FA51D3">
            <w:pPr>
              <w:spacing w:after="0" w:line="240" w:lineRule="auto"/>
              <w:rPr>
                <w:rFonts w:ascii="Times New Roman" w:eastAsia="Times New Roman" w:hAnsi="Times New Roman" w:cs="Times New Roman"/>
                <w:bCs/>
              </w:rPr>
            </w:pPr>
            <w:r w:rsidRPr="00056BD0">
              <w:rPr>
                <w:rFonts w:ascii="Times New Roman" w:eastAsia="Times New Roman" w:hAnsi="Times New Roman" w:cs="Times New Roman"/>
                <w:bCs/>
              </w:rPr>
              <w:t xml:space="preserve">Cambridge J of </w:t>
            </w:r>
            <w:proofErr w:type="spellStart"/>
            <w:r w:rsidRPr="00056BD0">
              <w:rPr>
                <w:rFonts w:ascii="Times New Roman" w:eastAsia="Times New Roman" w:hAnsi="Times New Roman" w:cs="Times New Roman"/>
                <w:bCs/>
              </w:rPr>
              <w:t>Ecs</w:t>
            </w:r>
            <w:proofErr w:type="spellEnd"/>
          </w:p>
        </w:tc>
        <w:tc>
          <w:tcPr>
            <w:tcW w:w="907" w:type="dxa"/>
            <w:tcBorders>
              <w:top w:val="nil"/>
              <w:left w:val="nil"/>
              <w:bottom w:val="nil"/>
              <w:right w:val="nil"/>
            </w:tcBorders>
            <w:shd w:val="clear" w:color="auto" w:fill="auto"/>
            <w:noWrap/>
            <w:vAlign w:val="bottom"/>
            <w:hideMark/>
          </w:tcPr>
          <w:p w14:paraId="24CEF4D9"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70.8</w:t>
            </w:r>
          </w:p>
        </w:tc>
        <w:tc>
          <w:tcPr>
            <w:tcW w:w="907" w:type="dxa"/>
            <w:tcBorders>
              <w:top w:val="nil"/>
              <w:left w:val="nil"/>
              <w:bottom w:val="nil"/>
              <w:right w:val="nil"/>
            </w:tcBorders>
            <w:shd w:val="clear" w:color="auto" w:fill="auto"/>
            <w:noWrap/>
            <w:vAlign w:val="bottom"/>
            <w:hideMark/>
          </w:tcPr>
          <w:p w14:paraId="3293EA19"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14.3</w:t>
            </w:r>
          </w:p>
        </w:tc>
        <w:tc>
          <w:tcPr>
            <w:tcW w:w="907" w:type="dxa"/>
            <w:tcBorders>
              <w:top w:val="nil"/>
              <w:left w:val="nil"/>
              <w:bottom w:val="nil"/>
              <w:right w:val="nil"/>
            </w:tcBorders>
            <w:shd w:val="clear" w:color="auto" w:fill="auto"/>
            <w:noWrap/>
            <w:vAlign w:val="bottom"/>
            <w:hideMark/>
          </w:tcPr>
          <w:p w14:paraId="6F887C93"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7.2</w:t>
            </w:r>
          </w:p>
        </w:tc>
        <w:tc>
          <w:tcPr>
            <w:tcW w:w="907" w:type="dxa"/>
            <w:tcBorders>
              <w:top w:val="nil"/>
              <w:left w:val="nil"/>
              <w:bottom w:val="nil"/>
              <w:right w:val="nil"/>
            </w:tcBorders>
            <w:shd w:val="clear" w:color="auto" w:fill="auto"/>
            <w:noWrap/>
            <w:vAlign w:val="bottom"/>
            <w:hideMark/>
          </w:tcPr>
          <w:p w14:paraId="621FF5C8"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52.4</w:t>
            </w:r>
          </w:p>
        </w:tc>
        <w:tc>
          <w:tcPr>
            <w:tcW w:w="907" w:type="dxa"/>
            <w:tcBorders>
              <w:top w:val="nil"/>
              <w:left w:val="nil"/>
              <w:bottom w:val="nil"/>
              <w:right w:val="nil"/>
            </w:tcBorders>
            <w:shd w:val="clear" w:color="auto" w:fill="auto"/>
            <w:noWrap/>
            <w:vAlign w:val="bottom"/>
            <w:hideMark/>
          </w:tcPr>
          <w:p w14:paraId="7F24E686"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1.3</w:t>
            </w:r>
          </w:p>
        </w:tc>
        <w:tc>
          <w:tcPr>
            <w:tcW w:w="1121" w:type="dxa"/>
            <w:tcBorders>
              <w:top w:val="nil"/>
              <w:left w:val="nil"/>
              <w:bottom w:val="nil"/>
              <w:right w:val="nil"/>
            </w:tcBorders>
            <w:shd w:val="clear" w:color="auto" w:fill="auto"/>
            <w:noWrap/>
            <w:vAlign w:val="bottom"/>
            <w:hideMark/>
          </w:tcPr>
          <w:p w14:paraId="45AC9FF6"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3.0</w:t>
            </w:r>
          </w:p>
        </w:tc>
      </w:tr>
      <w:tr w:rsidR="00EA6568" w:rsidRPr="00506E50" w14:paraId="210CE7AA" w14:textId="77777777" w:rsidTr="007A1BD1">
        <w:trPr>
          <w:trHeight w:val="255"/>
        </w:trPr>
        <w:tc>
          <w:tcPr>
            <w:tcW w:w="739" w:type="dxa"/>
            <w:tcBorders>
              <w:top w:val="nil"/>
              <w:left w:val="nil"/>
              <w:bottom w:val="nil"/>
              <w:right w:val="nil"/>
            </w:tcBorders>
            <w:shd w:val="clear" w:color="auto" w:fill="auto"/>
            <w:noWrap/>
            <w:vAlign w:val="bottom"/>
            <w:hideMark/>
          </w:tcPr>
          <w:p w14:paraId="22852896"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203</w:t>
            </w:r>
          </w:p>
        </w:tc>
        <w:tc>
          <w:tcPr>
            <w:tcW w:w="2721" w:type="dxa"/>
            <w:tcBorders>
              <w:top w:val="nil"/>
              <w:left w:val="nil"/>
              <w:bottom w:val="nil"/>
              <w:right w:val="nil"/>
            </w:tcBorders>
            <w:shd w:val="clear" w:color="auto" w:fill="auto"/>
            <w:noWrap/>
            <w:vAlign w:val="bottom"/>
            <w:hideMark/>
          </w:tcPr>
          <w:p w14:paraId="6972C21B" w14:textId="0D4A3DB1" w:rsidR="00EA6568" w:rsidRPr="00056BD0" w:rsidRDefault="00EA6568" w:rsidP="00FA51D3">
            <w:pPr>
              <w:spacing w:after="0" w:line="240" w:lineRule="auto"/>
              <w:rPr>
                <w:rFonts w:ascii="Times New Roman" w:eastAsia="Times New Roman" w:hAnsi="Times New Roman" w:cs="Times New Roman"/>
                <w:bCs/>
              </w:rPr>
            </w:pPr>
            <w:proofErr w:type="spellStart"/>
            <w:r w:rsidRPr="00056BD0">
              <w:rPr>
                <w:rFonts w:ascii="Times New Roman" w:eastAsia="Times New Roman" w:hAnsi="Times New Roman" w:cs="Times New Roman"/>
                <w:bCs/>
              </w:rPr>
              <w:t>Mgmt</w:t>
            </w:r>
            <w:proofErr w:type="spellEnd"/>
            <w:r w:rsidRPr="00056BD0">
              <w:rPr>
                <w:rFonts w:ascii="Times New Roman" w:eastAsia="Times New Roman" w:hAnsi="Times New Roman" w:cs="Times New Roman"/>
                <w:bCs/>
              </w:rPr>
              <w:t xml:space="preserve"> </w:t>
            </w:r>
            <w:r w:rsidR="00E6612C">
              <w:rPr>
                <w:rFonts w:ascii="Times New Roman" w:eastAsia="Times New Roman" w:hAnsi="Times New Roman" w:cs="Times New Roman"/>
                <w:bCs/>
              </w:rPr>
              <w:t>and</w:t>
            </w:r>
            <w:r w:rsidRPr="00056BD0">
              <w:rPr>
                <w:rFonts w:ascii="Times New Roman" w:eastAsia="Times New Roman" w:hAnsi="Times New Roman" w:cs="Times New Roman"/>
                <w:bCs/>
              </w:rPr>
              <w:t xml:space="preserve"> Decision </w:t>
            </w:r>
            <w:proofErr w:type="spellStart"/>
            <w:r w:rsidRPr="00056BD0">
              <w:rPr>
                <w:rFonts w:ascii="Times New Roman" w:eastAsia="Times New Roman" w:hAnsi="Times New Roman" w:cs="Times New Roman"/>
                <w:bCs/>
              </w:rPr>
              <w:t>Ecs</w:t>
            </w:r>
            <w:proofErr w:type="spellEnd"/>
          </w:p>
        </w:tc>
        <w:tc>
          <w:tcPr>
            <w:tcW w:w="907" w:type="dxa"/>
            <w:tcBorders>
              <w:top w:val="nil"/>
              <w:left w:val="nil"/>
              <w:bottom w:val="nil"/>
              <w:right w:val="nil"/>
            </w:tcBorders>
            <w:shd w:val="clear" w:color="auto" w:fill="auto"/>
            <w:noWrap/>
            <w:vAlign w:val="bottom"/>
            <w:hideMark/>
          </w:tcPr>
          <w:p w14:paraId="728D67D0"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96.9</w:t>
            </w:r>
          </w:p>
        </w:tc>
        <w:tc>
          <w:tcPr>
            <w:tcW w:w="907" w:type="dxa"/>
            <w:tcBorders>
              <w:top w:val="nil"/>
              <w:left w:val="nil"/>
              <w:bottom w:val="nil"/>
              <w:right w:val="nil"/>
            </w:tcBorders>
            <w:shd w:val="clear" w:color="auto" w:fill="auto"/>
            <w:noWrap/>
            <w:vAlign w:val="bottom"/>
            <w:hideMark/>
          </w:tcPr>
          <w:p w14:paraId="35D486E2"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37.2</w:t>
            </w:r>
          </w:p>
        </w:tc>
        <w:tc>
          <w:tcPr>
            <w:tcW w:w="907" w:type="dxa"/>
            <w:tcBorders>
              <w:top w:val="nil"/>
              <w:left w:val="nil"/>
              <w:bottom w:val="nil"/>
              <w:right w:val="nil"/>
            </w:tcBorders>
            <w:shd w:val="clear" w:color="auto" w:fill="auto"/>
            <w:noWrap/>
            <w:vAlign w:val="bottom"/>
            <w:hideMark/>
          </w:tcPr>
          <w:p w14:paraId="35474A5E"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11.1</w:t>
            </w:r>
          </w:p>
        </w:tc>
        <w:tc>
          <w:tcPr>
            <w:tcW w:w="907" w:type="dxa"/>
            <w:tcBorders>
              <w:top w:val="nil"/>
              <w:left w:val="nil"/>
              <w:bottom w:val="nil"/>
              <w:right w:val="nil"/>
            </w:tcBorders>
            <w:shd w:val="clear" w:color="auto" w:fill="auto"/>
            <w:noWrap/>
            <w:vAlign w:val="bottom"/>
            <w:hideMark/>
          </w:tcPr>
          <w:p w14:paraId="0AFCCFD1"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125.0</w:t>
            </w:r>
          </w:p>
        </w:tc>
        <w:tc>
          <w:tcPr>
            <w:tcW w:w="907" w:type="dxa"/>
            <w:tcBorders>
              <w:top w:val="nil"/>
              <w:left w:val="nil"/>
              <w:bottom w:val="nil"/>
              <w:right w:val="nil"/>
            </w:tcBorders>
            <w:shd w:val="clear" w:color="auto" w:fill="auto"/>
            <w:noWrap/>
            <w:vAlign w:val="bottom"/>
            <w:hideMark/>
          </w:tcPr>
          <w:p w14:paraId="1FBD4C56"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4.0</w:t>
            </w:r>
          </w:p>
        </w:tc>
        <w:tc>
          <w:tcPr>
            <w:tcW w:w="1121" w:type="dxa"/>
            <w:tcBorders>
              <w:top w:val="nil"/>
              <w:left w:val="nil"/>
              <w:bottom w:val="nil"/>
              <w:right w:val="nil"/>
            </w:tcBorders>
            <w:shd w:val="clear" w:color="auto" w:fill="auto"/>
            <w:noWrap/>
            <w:vAlign w:val="bottom"/>
            <w:hideMark/>
          </w:tcPr>
          <w:p w14:paraId="3C2636B1"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192.0</w:t>
            </w:r>
          </w:p>
        </w:tc>
      </w:tr>
      <w:tr w:rsidR="00EA6568" w:rsidRPr="00506E50" w14:paraId="13F7E4E0" w14:textId="77777777" w:rsidTr="007A1BD1">
        <w:trPr>
          <w:trHeight w:val="255"/>
        </w:trPr>
        <w:tc>
          <w:tcPr>
            <w:tcW w:w="739" w:type="dxa"/>
            <w:tcBorders>
              <w:top w:val="nil"/>
              <w:left w:val="nil"/>
              <w:bottom w:val="nil"/>
              <w:right w:val="nil"/>
            </w:tcBorders>
            <w:shd w:val="clear" w:color="auto" w:fill="auto"/>
            <w:noWrap/>
            <w:vAlign w:val="bottom"/>
            <w:hideMark/>
          </w:tcPr>
          <w:p w14:paraId="0720238D"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250</w:t>
            </w:r>
          </w:p>
        </w:tc>
        <w:tc>
          <w:tcPr>
            <w:tcW w:w="2721" w:type="dxa"/>
            <w:tcBorders>
              <w:top w:val="nil"/>
              <w:left w:val="nil"/>
              <w:bottom w:val="nil"/>
              <w:right w:val="nil"/>
            </w:tcBorders>
            <w:shd w:val="clear" w:color="auto" w:fill="auto"/>
            <w:noWrap/>
            <w:vAlign w:val="bottom"/>
            <w:hideMark/>
          </w:tcPr>
          <w:p w14:paraId="770093F0" w14:textId="77777777" w:rsidR="00EA6568" w:rsidRPr="00056BD0" w:rsidRDefault="00EA6568" w:rsidP="00FA51D3">
            <w:pPr>
              <w:spacing w:after="0" w:line="240" w:lineRule="auto"/>
              <w:rPr>
                <w:rFonts w:ascii="Times New Roman" w:eastAsia="Times New Roman" w:hAnsi="Times New Roman" w:cs="Times New Roman"/>
                <w:bCs/>
              </w:rPr>
            </w:pPr>
            <w:r w:rsidRPr="00056BD0">
              <w:rPr>
                <w:rFonts w:ascii="Times New Roman" w:eastAsia="Times New Roman" w:hAnsi="Times New Roman" w:cs="Times New Roman"/>
                <w:bCs/>
              </w:rPr>
              <w:t xml:space="preserve">Computational </w:t>
            </w:r>
            <w:proofErr w:type="spellStart"/>
            <w:r w:rsidRPr="00056BD0">
              <w:rPr>
                <w:rFonts w:ascii="Times New Roman" w:eastAsia="Times New Roman" w:hAnsi="Times New Roman" w:cs="Times New Roman"/>
                <w:bCs/>
              </w:rPr>
              <w:t>Ecs</w:t>
            </w:r>
            <w:proofErr w:type="spellEnd"/>
          </w:p>
        </w:tc>
        <w:tc>
          <w:tcPr>
            <w:tcW w:w="907" w:type="dxa"/>
            <w:tcBorders>
              <w:top w:val="nil"/>
              <w:left w:val="nil"/>
              <w:bottom w:val="nil"/>
              <w:right w:val="nil"/>
            </w:tcBorders>
            <w:shd w:val="clear" w:color="auto" w:fill="auto"/>
            <w:noWrap/>
            <w:vAlign w:val="bottom"/>
            <w:hideMark/>
          </w:tcPr>
          <w:p w14:paraId="6C385579"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53.1</w:t>
            </w:r>
          </w:p>
        </w:tc>
        <w:tc>
          <w:tcPr>
            <w:tcW w:w="907" w:type="dxa"/>
            <w:tcBorders>
              <w:top w:val="nil"/>
              <w:left w:val="nil"/>
              <w:bottom w:val="nil"/>
              <w:right w:val="nil"/>
            </w:tcBorders>
            <w:shd w:val="clear" w:color="auto" w:fill="auto"/>
            <w:noWrap/>
            <w:vAlign w:val="bottom"/>
            <w:hideMark/>
          </w:tcPr>
          <w:p w14:paraId="4833E364"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20.2</w:t>
            </w:r>
          </w:p>
        </w:tc>
        <w:tc>
          <w:tcPr>
            <w:tcW w:w="907" w:type="dxa"/>
            <w:tcBorders>
              <w:top w:val="nil"/>
              <w:left w:val="nil"/>
              <w:bottom w:val="nil"/>
              <w:right w:val="nil"/>
            </w:tcBorders>
            <w:shd w:val="clear" w:color="auto" w:fill="auto"/>
            <w:noWrap/>
            <w:vAlign w:val="bottom"/>
            <w:hideMark/>
          </w:tcPr>
          <w:p w14:paraId="09A7447B"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10.3</w:t>
            </w:r>
          </w:p>
        </w:tc>
        <w:tc>
          <w:tcPr>
            <w:tcW w:w="907" w:type="dxa"/>
            <w:tcBorders>
              <w:top w:val="nil"/>
              <w:left w:val="nil"/>
              <w:bottom w:val="nil"/>
              <w:right w:val="nil"/>
            </w:tcBorders>
            <w:shd w:val="clear" w:color="auto" w:fill="auto"/>
            <w:noWrap/>
            <w:vAlign w:val="bottom"/>
            <w:hideMark/>
          </w:tcPr>
          <w:p w14:paraId="70FACB4B"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106.4</w:t>
            </w:r>
          </w:p>
        </w:tc>
        <w:tc>
          <w:tcPr>
            <w:tcW w:w="907" w:type="dxa"/>
            <w:tcBorders>
              <w:top w:val="nil"/>
              <w:left w:val="nil"/>
              <w:bottom w:val="nil"/>
              <w:right w:val="nil"/>
            </w:tcBorders>
            <w:shd w:val="clear" w:color="auto" w:fill="auto"/>
            <w:noWrap/>
            <w:vAlign w:val="bottom"/>
            <w:hideMark/>
          </w:tcPr>
          <w:p w14:paraId="6055E751"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2.0</w:t>
            </w:r>
          </w:p>
        </w:tc>
        <w:tc>
          <w:tcPr>
            <w:tcW w:w="1121" w:type="dxa"/>
            <w:tcBorders>
              <w:top w:val="nil"/>
              <w:left w:val="nil"/>
              <w:bottom w:val="nil"/>
              <w:right w:val="nil"/>
            </w:tcBorders>
            <w:shd w:val="clear" w:color="auto" w:fill="auto"/>
            <w:noWrap/>
            <w:vAlign w:val="bottom"/>
            <w:hideMark/>
          </w:tcPr>
          <w:p w14:paraId="5A97FDFE"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13.9</w:t>
            </w:r>
          </w:p>
        </w:tc>
      </w:tr>
      <w:tr w:rsidR="00EA6568" w:rsidRPr="00506E50" w14:paraId="26413EB7" w14:textId="77777777" w:rsidTr="007A1BD1">
        <w:trPr>
          <w:trHeight w:val="255"/>
        </w:trPr>
        <w:tc>
          <w:tcPr>
            <w:tcW w:w="739" w:type="dxa"/>
            <w:tcBorders>
              <w:top w:val="nil"/>
              <w:left w:val="nil"/>
              <w:bottom w:val="single" w:sz="4" w:space="0" w:color="auto"/>
              <w:right w:val="nil"/>
            </w:tcBorders>
            <w:shd w:val="clear" w:color="auto" w:fill="auto"/>
            <w:noWrap/>
            <w:vAlign w:val="bottom"/>
            <w:hideMark/>
          </w:tcPr>
          <w:p w14:paraId="2814128F"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300</w:t>
            </w:r>
          </w:p>
        </w:tc>
        <w:tc>
          <w:tcPr>
            <w:tcW w:w="2721" w:type="dxa"/>
            <w:tcBorders>
              <w:top w:val="nil"/>
              <w:left w:val="nil"/>
              <w:bottom w:val="single" w:sz="4" w:space="0" w:color="auto"/>
              <w:right w:val="nil"/>
            </w:tcBorders>
            <w:shd w:val="clear" w:color="auto" w:fill="auto"/>
            <w:noWrap/>
            <w:vAlign w:val="bottom"/>
            <w:hideMark/>
          </w:tcPr>
          <w:p w14:paraId="2518BFBC" w14:textId="77777777" w:rsidR="00EA6568" w:rsidRPr="00056BD0" w:rsidRDefault="00EA6568" w:rsidP="00FA51D3">
            <w:pPr>
              <w:spacing w:after="0" w:line="240" w:lineRule="auto"/>
              <w:rPr>
                <w:rFonts w:ascii="Times New Roman" w:eastAsia="Times New Roman" w:hAnsi="Times New Roman" w:cs="Times New Roman"/>
                <w:bCs/>
              </w:rPr>
            </w:pPr>
            <w:r w:rsidRPr="00056BD0">
              <w:rPr>
                <w:rFonts w:ascii="Times New Roman" w:eastAsia="Times New Roman" w:hAnsi="Times New Roman" w:cs="Times New Roman"/>
                <w:bCs/>
              </w:rPr>
              <w:t xml:space="preserve">Emerging </w:t>
            </w:r>
            <w:proofErr w:type="spellStart"/>
            <w:r w:rsidRPr="00056BD0">
              <w:rPr>
                <w:rFonts w:ascii="Times New Roman" w:eastAsia="Times New Roman" w:hAnsi="Times New Roman" w:cs="Times New Roman"/>
                <w:bCs/>
              </w:rPr>
              <w:t>Mkts</w:t>
            </w:r>
            <w:proofErr w:type="spellEnd"/>
            <w:r w:rsidRPr="00056BD0">
              <w:rPr>
                <w:rFonts w:ascii="Times New Roman" w:eastAsia="Times New Roman" w:hAnsi="Times New Roman" w:cs="Times New Roman"/>
                <w:bCs/>
              </w:rPr>
              <w:t xml:space="preserve"> Rev</w:t>
            </w:r>
          </w:p>
        </w:tc>
        <w:tc>
          <w:tcPr>
            <w:tcW w:w="907" w:type="dxa"/>
            <w:tcBorders>
              <w:top w:val="nil"/>
              <w:left w:val="nil"/>
              <w:bottom w:val="single" w:sz="4" w:space="0" w:color="auto"/>
              <w:right w:val="nil"/>
            </w:tcBorders>
            <w:shd w:val="clear" w:color="auto" w:fill="auto"/>
            <w:noWrap/>
            <w:vAlign w:val="bottom"/>
            <w:hideMark/>
          </w:tcPr>
          <w:p w14:paraId="41804339"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32.8</w:t>
            </w:r>
          </w:p>
        </w:tc>
        <w:tc>
          <w:tcPr>
            <w:tcW w:w="907" w:type="dxa"/>
            <w:tcBorders>
              <w:top w:val="nil"/>
              <w:left w:val="nil"/>
              <w:bottom w:val="single" w:sz="4" w:space="0" w:color="auto"/>
              <w:right w:val="nil"/>
            </w:tcBorders>
            <w:shd w:val="clear" w:color="auto" w:fill="auto"/>
            <w:noWrap/>
            <w:vAlign w:val="bottom"/>
            <w:hideMark/>
          </w:tcPr>
          <w:p w14:paraId="709FB6D3"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11.5</w:t>
            </w:r>
          </w:p>
        </w:tc>
        <w:tc>
          <w:tcPr>
            <w:tcW w:w="907" w:type="dxa"/>
            <w:tcBorders>
              <w:top w:val="nil"/>
              <w:left w:val="nil"/>
              <w:bottom w:val="single" w:sz="4" w:space="0" w:color="auto"/>
              <w:right w:val="nil"/>
            </w:tcBorders>
            <w:shd w:val="clear" w:color="auto" w:fill="auto"/>
            <w:noWrap/>
            <w:vAlign w:val="bottom"/>
            <w:hideMark/>
          </w:tcPr>
          <w:p w14:paraId="3A35A3AE"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11.5</w:t>
            </w:r>
          </w:p>
        </w:tc>
        <w:tc>
          <w:tcPr>
            <w:tcW w:w="907" w:type="dxa"/>
            <w:tcBorders>
              <w:top w:val="nil"/>
              <w:left w:val="nil"/>
              <w:bottom w:val="single" w:sz="4" w:space="0" w:color="auto"/>
              <w:right w:val="nil"/>
            </w:tcBorders>
            <w:shd w:val="clear" w:color="auto" w:fill="auto"/>
            <w:noWrap/>
            <w:vAlign w:val="bottom"/>
            <w:hideMark/>
          </w:tcPr>
          <w:p w14:paraId="36D51AC2"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131.6</w:t>
            </w:r>
          </w:p>
        </w:tc>
        <w:tc>
          <w:tcPr>
            <w:tcW w:w="907" w:type="dxa"/>
            <w:tcBorders>
              <w:top w:val="nil"/>
              <w:left w:val="nil"/>
              <w:bottom w:val="single" w:sz="4" w:space="0" w:color="auto"/>
              <w:right w:val="nil"/>
            </w:tcBorders>
            <w:shd w:val="clear" w:color="auto" w:fill="auto"/>
            <w:noWrap/>
            <w:vAlign w:val="bottom"/>
            <w:hideMark/>
          </w:tcPr>
          <w:p w14:paraId="2870686F"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1.3</w:t>
            </w:r>
          </w:p>
        </w:tc>
        <w:tc>
          <w:tcPr>
            <w:tcW w:w="1121" w:type="dxa"/>
            <w:tcBorders>
              <w:top w:val="nil"/>
              <w:left w:val="nil"/>
              <w:bottom w:val="single" w:sz="4" w:space="0" w:color="auto"/>
              <w:right w:val="nil"/>
            </w:tcBorders>
            <w:shd w:val="clear" w:color="auto" w:fill="auto"/>
            <w:noWrap/>
            <w:vAlign w:val="bottom"/>
            <w:hideMark/>
          </w:tcPr>
          <w:p w14:paraId="7B6329A3"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3.0</w:t>
            </w:r>
          </w:p>
        </w:tc>
      </w:tr>
      <w:tr w:rsidR="00EA6568" w:rsidRPr="00506E50" w14:paraId="7FD2597D" w14:textId="77777777" w:rsidTr="007A1BD1">
        <w:trPr>
          <w:trHeight w:val="454"/>
        </w:trPr>
        <w:tc>
          <w:tcPr>
            <w:tcW w:w="739" w:type="dxa"/>
            <w:tcBorders>
              <w:top w:val="single" w:sz="4" w:space="0" w:color="auto"/>
              <w:left w:val="nil"/>
              <w:bottom w:val="nil"/>
              <w:right w:val="nil"/>
            </w:tcBorders>
            <w:shd w:val="clear" w:color="auto" w:fill="auto"/>
            <w:noWrap/>
            <w:vAlign w:val="bottom"/>
            <w:hideMark/>
          </w:tcPr>
          <w:p w14:paraId="3571391C" w14:textId="77777777" w:rsidR="00EA6568" w:rsidRPr="00056BD0" w:rsidRDefault="00EA6568" w:rsidP="00FA51D3">
            <w:pPr>
              <w:spacing w:after="0" w:line="240" w:lineRule="auto"/>
              <w:jc w:val="center"/>
              <w:rPr>
                <w:rFonts w:ascii="Times New Roman" w:eastAsia="Times New Roman" w:hAnsi="Times New Roman" w:cs="Times New Roman"/>
              </w:rPr>
            </w:pPr>
          </w:p>
        </w:tc>
        <w:tc>
          <w:tcPr>
            <w:tcW w:w="2721" w:type="dxa"/>
            <w:tcBorders>
              <w:top w:val="single" w:sz="4" w:space="0" w:color="auto"/>
              <w:left w:val="nil"/>
              <w:bottom w:val="single" w:sz="4" w:space="0" w:color="auto"/>
              <w:right w:val="nil"/>
            </w:tcBorders>
            <w:shd w:val="clear" w:color="auto" w:fill="auto"/>
            <w:noWrap/>
            <w:vAlign w:val="center"/>
            <w:hideMark/>
          </w:tcPr>
          <w:p w14:paraId="53A8B386" w14:textId="69FE6888" w:rsidR="00EA6568" w:rsidRPr="00056BD0" w:rsidRDefault="007A1BD1" w:rsidP="00FA51D3">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Australasian J</w:t>
            </w:r>
            <w:r w:rsidR="00EA6568" w:rsidRPr="00056BD0">
              <w:rPr>
                <w:rFonts w:ascii="Times New Roman" w:eastAsia="Times New Roman" w:hAnsi="Times New Roman" w:cs="Times New Roman"/>
                <w:bCs/>
              </w:rPr>
              <w:t>ournals</w:t>
            </w:r>
          </w:p>
        </w:tc>
        <w:tc>
          <w:tcPr>
            <w:tcW w:w="907" w:type="dxa"/>
            <w:tcBorders>
              <w:top w:val="single" w:sz="4" w:space="0" w:color="auto"/>
              <w:left w:val="nil"/>
              <w:bottom w:val="nil"/>
              <w:right w:val="nil"/>
            </w:tcBorders>
            <w:shd w:val="clear" w:color="auto" w:fill="auto"/>
            <w:noWrap/>
            <w:vAlign w:val="bottom"/>
            <w:hideMark/>
          </w:tcPr>
          <w:p w14:paraId="09FBF90B" w14:textId="77777777" w:rsidR="00EA6568" w:rsidRPr="00056BD0" w:rsidRDefault="00EA6568" w:rsidP="00FA51D3">
            <w:pPr>
              <w:spacing w:after="0" w:line="240" w:lineRule="auto"/>
              <w:jc w:val="center"/>
              <w:rPr>
                <w:rFonts w:ascii="Times New Roman" w:eastAsia="Times New Roman" w:hAnsi="Times New Roman" w:cs="Times New Roman"/>
              </w:rPr>
            </w:pPr>
          </w:p>
        </w:tc>
        <w:tc>
          <w:tcPr>
            <w:tcW w:w="907" w:type="dxa"/>
            <w:tcBorders>
              <w:top w:val="single" w:sz="4" w:space="0" w:color="auto"/>
              <w:left w:val="nil"/>
              <w:bottom w:val="nil"/>
              <w:right w:val="nil"/>
            </w:tcBorders>
            <w:shd w:val="clear" w:color="auto" w:fill="auto"/>
            <w:noWrap/>
            <w:vAlign w:val="bottom"/>
            <w:hideMark/>
          </w:tcPr>
          <w:p w14:paraId="228DDAE9" w14:textId="77777777" w:rsidR="00EA6568" w:rsidRPr="00056BD0" w:rsidRDefault="00EA6568" w:rsidP="00FA51D3">
            <w:pPr>
              <w:spacing w:after="0" w:line="240" w:lineRule="auto"/>
              <w:jc w:val="center"/>
              <w:rPr>
                <w:rFonts w:ascii="Times New Roman" w:eastAsia="Times New Roman" w:hAnsi="Times New Roman" w:cs="Times New Roman"/>
              </w:rPr>
            </w:pPr>
          </w:p>
        </w:tc>
        <w:tc>
          <w:tcPr>
            <w:tcW w:w="907" w:type="dxa"/>
            <w:tcBorders>
              <w:top w:val="single" w:sz="4" w:space="0" w:color="auto"/>
              <w:left w:val="nil"/>
              <w:bottom w:val="nil"/>
              <w:right w:val="nil"/>
            </w:tcBorders>
            <w:shd w:val="clear" w:color="auto" w:fill="auto"/>
            <w:noWrap/>
            <w:vAlign w:val="bottom"/>
            <w:hideMark/>
          </w:tcPr>
          <w:p w14:paraId="3713F429" w14:textId="77777777" w:rsidR="00EA6568" w:rsidRPr="00056BD0" w:rsidRDefault="00EA6568" w:rsidP="00FA51D3">
            <w:pPr>
              <w:spacing w:after="0" w:line="240" w:lineRule="auto"/>
              <w:jc w:val="center"/>
              <w:rPr>
                <w:rFonts w:ascii="Times New Roman" w:eastAsia="Times New Roman" w:hAnsi="Times New Roman" w:cs="Times New Roman"/>
              </w:rPr>
            </w:pPr>
          </w:p>
        </w:tc>
        <w:tc>
          <w:tcPr>
            <w:tcW w:w="907" w:type="dxa"/>
            <w:tcBorders>
              <w:top w:val="single" w:sz="4" w:space="0" w:color="auto"/>
              <w:left w:val="nil"/>
              <w:bottom w:val="nil"/>
              <w:right w:val="nil"/>
            </w:tcBorders>
            <w:shd w:val="clear" w:color="auto" w:fill="auto"/>
            <w:noWrap/>
            <w:vAlign w:val="bottom"/>
            <w:hideMark/>
          </w:tcPr>
          <w:p w14:paraId="138AA8BB" w14:textId="77777777" w:rsidR="00EA6568" w:rsidRPr="00056BD0" w:rsidRDefault="00EA6568" w:rsidP="00FA51D3">
            <w:pPr>
              <w:spacing w:after="0" w:line="240" w:lineRule="auto"/>
              <w:jc w:val="center"/>
              <w:rPr>
                <w:rFonts w:ascii="Times New Roman" w:eastAsia="Times New Roman" w:hAnsi="Times New Roman" w:cs="Times New Roman"/>
              </w:rPr>
            </w:pPr>
          </w:p>
        </w:tc>
        <w:tc>
          <w:tcPr>
            <w:tcW w:w="907" w:type="dxa"/>
            <w:tcBorders>
              <w:top w:val="single" w:sz="4" w:space="0" w:color="auto"/>
              <w:left w:val="nil"/>
              <w:bottom w:val="nil"/>
              <w:right w:val="nil"/>
            </w:tcBorders>
            <w:shd w:val="clear" w:color="auto" w:fill="auto"/>
            <w:noWrap/>
            <w:vAlign w:val="bottom"/>
            <w:hideMark/>
          </w:tcPr>
          <w:p w14:paraId="4977CD9F" w14:textId="77777777" w:rsidR="00EA6568" w:rsidRPr="00056BD0" w:rsidRDefault="00EA6568" w:rsidP="00FA51D3">
            <w:pPr>
              <w:spacing w:after="0" w:line="240" w:lineRule="auto"/>
              <w:jc w:val="center"/>
              <w:rPr>
                <w:rFonts w:ascii="Times New Roman" w:eastAsia="Times New Roman" w:hAnsi="Times New Roman" w:cs="Times New Roman"/>
              </w:rPr>
            </w:pPr>
          </w:p>
        </w:tc>
        <w:tc>
          <w:tcPr>
            <w:tcW w:w="1121" w:type="dxa"/>
            <w:tcBorders>
              <w:top w:val="single" w:sz="4" w:space="0" w:color="auto"/>
              <w:left w:val="nil"/>
              <w:bottom w:val="nil"/>
              <w:right w:val="nil"/>
            </w:tcBorders>
            <w:shd w:val="clear" w:color="auto" w:fill="auto"/>
            <w:noWrap/>
            <w:vAlign w:val="bottom"/>
            <w:hideMark/>
          </w:tcPr>
          <w:p w14:paraId="141835BD" w14:textId="77777777" w:rsidR="00EA6568" w:rsidRPr="00056BD0" w:rsidRDefault="00EA6568" w:rsidP="00FA51D3">
            <w:pPr>
              <w:spacing w:after="0" w:line="240" w:lineRule="auto"/>
              <w:jc w:val="center"/>
              <w:rPr>
                <w:rFonts w:ascii="Times New Roman" w:eastAsia="Times New Roman" w:hAnsi="Times New Roman" w:cs="Times New Roman"/>
              </w:rPr>
            </w:pPr>
          </w:p>
        </w:tc>
      </w:tr>
      <w:tr w:rsidR="00EA6568" w:rsidRPr="00506E50" w14:paraId="04C07949" w14:textId="77777777" w:rsidTr="007A1BD1">
        <w:trPr>
          <w:trHeight w:val="255"/>
        </w:trPr>
        <w:tc>
          <w:tcPr>
            <w:tcW w:w="739" w:type="dxa"/>
            <w:tcBorders>
              <w:top w:val="nil"/>
              <w:left w:val="nil"/>
              <w:bottom w:val="nil"/>
              <w:right w:val="nil"/>
            </w:tcBorders>
            <w:shd w:val="clear" w:color="auto" w:fill="auto"/>
            <w:noWrap/>
            <w:vAlign w:val="bottom"/>
            <w:hideMark/>
          </w:tcPr>
          <w:p w14:paraId="41B1C57F" w14:textId="77777777" w:rsidR="00EA6568" w:rsidRPr="00056BD0" w:rsidRDefault="00EA6568" w:rsidP="006A76A1">
            <w:pPr>
              <w:spacing w:before="60"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153</w:t>
            </w:r>
          </w:p>
        </w:tc>
        <w:tc>
          <w:tcPr>
            <w:tcW w:w="2721" w:type="dxa"/>
            <w:tcBorders>
              <w:top w:val="nil"/>
              <w:left w:val="nil"/>
              <w:bottom w:val="nil"/>
              <w:right w:val="nil"/>
            </w:tcBorders>
            <w:shd w:val="clear" w:color="auto" w:fill="auto"/>
            <w:noWrap/>
            <w:vAlign w:val="bottom"/>
            <w:hideMark/>
          </w:tcPr>
          <w:p w14:paraId="5BF26F14" w14:textId="77777777" w:rsidR="00EA6568" w:rsidRPr="00056BD0" w:rsidRDefault="00EA6568" w:rsidP="006A76A1">
            <w:pPr>
              <w:spacing w:before="60" w:after="0" w:line="240" w:lineRule="auto"/>
              <w:rPr>
                <w:rFonts w:ascii="Times New Roman" w:eastAsia="Times New Roman" w:hAnsi="Times New Roman" w:cs="Times New Roman"/>
                <w:bCs/>
              </w:rPr>
            </w:pPr>
            <w:proofErr w:type="spellStart"/>
            <w:r w:rsidRPr="00056BD0">
              <w:rPr>
                <w:rFonts w:ascii="Times New Roman" w:eastAsia="Times New Roman" w:hAnsi="Times New Roman" w:cs="Times New Roman"/>
                <w:bCs/>
              </w:rPr>
              <w:t>Ec</w:t>
            </w:r>
            <w:proofErr w:type="spellEnd"/>
            <w:r w:rsidRPr="00056BD0">
              <w:rPr>
                <w:rFonts w:ascii="Times New Roman" w:eastAsia="Times New Roman" w:hAnsi="Times New Roman" w:cs="Times New Roman"/>
                <w:bCs/>
              </w:rPr>
              <w:t xml:space="preserve"> Record</w:t>
            </w:r>
          </w:p>
        </w:tc>
        <w:tc>
          <w:tcPr>
            <w:tcW w:w="907" w:type="dxa"/>
            <w:tcBorders>
              <w:top w:val="nil"/>
              <w:left w:val="nil"/>
              <w:bottom w:val="nil"/>
              <w:right w:val="nil"/>
            </w:tcBorders>
            <w:shd w:val="clear" w:color="auto" w:fill="auto"/>
            <w:noWrap/>
            <w:vAlign w:val="bottom"/>
            <w:hideMark/>
          </w:tcPr>
          <w:p w14:paraId="7E9C3937" w14:textId="77777777" w:rsidR="00EA6568" w:rsidRPr="00056BD0" w:rsidRDefault="00EA6568" w:rsidP="006A76A1">
            <w:pPr>
              <w:spacing w:before="60"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91.0</w:t>
            </w:r>
          </w:p>
        </w:tc>
        <w:tc>
          <w:tcPr>
            <w:tcW w:w="907" w:type="dxa"/>
            <w:tcBorders>
              <w:top w:val="nil"/>
              <w:left w:val="nil"/>
              <w:bottom w:val="nil"/>
              <w:right w:val="nil"/>
            </w:tcBorders>
            <w:shd w:val="clear" w:color="auto" w:fill="auto"/>
            <w:noWrap/>
            <w:vAlign w:val="bottom"/>
            <w:hideMark/>
          </w:tcPr>
          <w:p w14:paraId="4A4BE2D9" w14:textId="77777777" w:rsidR="00EA6568" w:rsidRPr="00056BD0" w:rsidRDefault="00EA6568" w:rsidP="006A76A1">
            <w:pPr>
              <w:spacing w:before="60"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31.2</w:t>
            </w:r>
          </w:p>
        </w:tc>
        <w:tc>
          <w:tcPr>
            <w:tcW w:w="907" w:type="dxa"/>
            <w:tcBorders>
              <w:top w:val="nil"/>
              <w:left w:val="nil"/>
              <w:bottom w:val="nil"/>
              <w:right w:val="nil"/>
            </w:tcBorders>
            <w:shd w:val="clear" w:color="auto" w:fill="auto"/>
            <w:noWrap/>
            <w:vAlign w:val="bottom"/>
            <w:hideMark/>
          </w:tcPr>
          <w:p w14:paraId="5C4A8003" w14:textId="77777777" w:rsidR="00EA6568" w:rsidRPr="00056BD0" w:rsidRDefault="00EA6568" w:rsidP="006A76A1">
            <w:pPr>
              <w:spacing w:before="60"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7.3</w:t>
            </w:r>
          </w:p>
        </w:tc>
        <w:tc>
          <w:tcPr>
            <w:tcW w:w="907" w:type="dxa"/>
            <w:tcBorders>
              <w:top w:val="nil"/>
              <w:left w:val="nil"/>
              <w:bottom w:val="nil"/>
              <w:right w:val="nil"/>
            </w:tcBorders>
            <w:shd w:val="clear" w:color="auto" w:fill="auto"/>
            <w:noWrap/>
            <w:vAlign w:val="bottom"/>
            <w:hideMark/>
          </w:tcPr>
          <w:p w14:paraId="311DE37C" w14:textId="77777777" w:rsidR="00EA6568" w:rsidRPr="00056BD0" w:rsidRDefault="00EA6568" w:rsidP="006A76A1">
            <w:pPr>
              <w:spacing w:before="60"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53.8</w:t>
            </w:r>
          </w:p>
        </w:tc>
        <w:tc>
          <w:tcPr>
            <w:tcW w:w="907" w:type="dxa"/>
            <w:tcBorders>
              <w:top w:val="nil"/>
              <w:left w:val="nil"/>
              <w:bottom w:val="nil"/>
              <w:right w:val="nil"/>
            </w:tcBorders>
            <w:shd w:val="clear" w:color="auto" w:fill="auto"/>
            <w:noWrap/>
            <w:vAlign w:val="bottom"/>
            <w:hideMark/>
          </w:tcPr>
          <w:p w14:paraId="62ACD134" w14:textId="77777777" w:rsidR="00EA6568" w:rsidRPr="00056BD0" w:rsidRDefault="00EA6568" w:rsidP="006A76A1">
            <w:pPr>
              <w:spacing w:before="60"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1.3</w:t>
            </w:r>
          </w:p>
        </w:tc>
        <w:tc>
          <w:tcPr>
            <w:tcW w:w="1121" w:type="dxa"/>
            <w:tcBorders>
              <w:top w:val="nil"/>
              <w:left w:val="nil"/>
              <w:bottom w:val="nil"/>
              <w:right w:val="nil"/>
            </w:tcBorders>
            <w:shd w:val="clear" w:color="auto" w:fill="auto"/>
            <w:noWrap/>
            <w:vAlign w:val="bottom"/>
            <w:hideMark/>
          </w:tcPr>
          <w:p w14:paraId="1AE2AAD5" w14:textId="77777777" w:rsidR="00EA6568" w:rsidRPr="00056BD0" w:rsidRDefault="00EA6568" w:rsidP="006A76A1">
            <w:pPr>
              <w:spacing w:before="60"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3.0</w:t>
            </w:r>
          </w:p>
        </w:tc>
      </w:tr>
      <w:tr w:rsidR="00EA6568" w:rsidRPr="00506E50" w14:paraId="741F0A97" w14:textId="77777777" w:rsidTr="007A1BD1">
        <w:trPr>
          <w:trHeight w:val="255"/>
        </w:trPr>
        <w:tc>
          <w:tcPr>
            <w:tcW w:w="739" w:type="dxa"/>
            <w:tcBorders>
              <w:top w:val="nil"/>
              <w:left w:val="nil"/>
              <w:bottom w:val="nil"/>
              <w:right w:val="nil"/>
            </w:tcBorders>
            <w:shd w:val="clear" w:color="auto" w:fill="auto"/>
            <w:noWrap/>
            <w:vAlign w:val="bottom"/>
            <w:hideMark/>
          </w:tcPr>
          <w:p w14:paraId="66F99911"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275</w:t>
            </w:r>
          </w:p>
        </w:tc>
        <w:tc>
          <w:tcPr>
            <w:tcW w:w="2721" w:type="dxa"/>
            <w:tcBorders>
              <w:top w:val="nil"/>
              <w:left w:val="nil"/>
              <w:bottom w:val="nil"/>
              <w:right w:val="nil"/>
            </w:tcBorders>
            <w:shd w:val="clear" w:color="auto" w:fill="auto"/>
            <w:noWrap/>
            <w:vAlign w:val="bottom"/>
            <w:hideMark/>
          </w:tcPr>
          <w:p w14:paraId="1072202F" w14:textId="77777777" w:rsidR="00EA6568" w:rsidRPr="00056BD0" w:rsidRDefault="00EA6568" w:rsidP="00FA51D3">
            <w:pPr>
              <w:spacing w:after="0" w:line="240" w:lineRule="auto"/>
              <w:rPr>
                <w:rFonts w:ascii="Times New Roman" w:eastAsia="Times New Roman" w:hAnsi="Times New Roman" w:cs="Times New Roman"/>
                <w:bCs/>
              </w:rPr>
            </w:pPr>
            <w:proofErr w:type="spellStart"/>
            <w:r w:rsidRPr="00056BD0">
              <w:rPr>
                <w:rFonts w:ascii="Times New Roman" w:eastAsia="Times New Roman" w:hAnsi="Times New Roman" w:cs="Times New Roman"/>
                <w:bCs/>
              </w:rPr>
              <w:t>Aust</w:t>
            </w:r>
            <w:proofErr w:type="spellEnd"/>
            <w:r w:rsidRPr="00056BD0">
              <w:rPr>
                <w:rFonts w:ascii="Times New Roman" w:eastAsia="Times New Roman" w:hAnsi="Times New Roman" w:cs="Times New Roman"/>
                <w:bCs/>
              </w:rPr>
              <w:t xml:space="preserve"> </w:t>
            </w:r>
            <w:proofErr w:type="spellStart"/>
            <w:r w:rsidRPr="00056BD0">
              <w:rPr>
                <w:rFonts w:ascii="Times New Roman" w:eastAsia="Times New Roman" w:hAnsi="Times New Roman" w:cs="Times New Roman"/>
                <w:bCs/>
              </w:rPr>
              <w:t>Ec</w:t>
            </w:r>
            <w:proofErr w:type="spellEnd"/>
            <w:r w:rsidRPr="00056BD0">
              <w:rPr>
                <w:rFonts w:ascii="Times New Roman" w:eastAsia="Times New Roman" w:hAnsi="Times New Roman" w:cs="Times New Roman"/>
                <w:bCs/>
              </w:rPr>
              <w:t xml:space="preserve"> Papers</w:t>
            </w:r>
          </w:p>
        </w:tc>
        <w:tc>
          <w:tcPr>
            <w:tcW w:w="907" w:type="dxa"/>
            <w:tcBorders>
              <w:top w:val="nil"/>
              <w:left w:val="nil"/>
              <w:bottom w:val="nil"/>
              <w:right w:val="nil"/>
            </w:tcBorders>
            <w:shd w:val="clear" w:color="auto" w:fill="auto"/>
            <w:noWrap/>
            <w:vAlign w:val="bottom"/>
            <w:hideMark/>
          </w:tcPr>
          <w:p w14:paraId="054959FC"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159.3</w:t>
            </w:r>
          </w:p>
        </w:tc>
        <w:tc>
          <w:tcPr>
            <w:tcW w:w="907" w:type="dxa"/>
            <w:tcBorders>
              <w:top w:val="nil"/>
              <w:left w:val="nil"/>
              <w:bottom w:val="nil"/>
              <w:right w:val="nil"/>
            </w:tcBorders>
            <w:shd w:val="clear" w:color="auto" w:fill="auto"/>
            <w:noWrap/>
            <w:vAlign w:val="bottom"/>
            <w:hideMark/>
          </w:tcPr>
          <w:p w14:paraId="6A0DC0C8"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40.0</w:t>
            </w:r>
          </w:p>
        </w:tc>
        <w:tc>
          <w:tcPr>
            <w:tcW w:w="907" w:type="dxa"/>
            <w:tcBorders>
              <w:top w:val="nil"/>
              <w:left w:val="nil"/>
              <w:bottom w:val="nil"/>
              <w:right w:val="nil"/>
            </w:tcBorders>
            <w:shd w:val="clear" w:color="auto" w:fill="auto"/>
            <w:noWrap/>
            <w:vAlign w:val="bottom"/>
            <w:hideMark/>
          </w:tcPr>
          <w:p w14:paraId="2CA9A740"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11.0</w:t>
            </w:r>
          </w:p>
        </w:tc>
        <w:tc>
          <w:tcPr>
            <w:tcW w:w="907" w:type="dxa"/>
            <w:tcBorders>
              <w:top w:val="nil"/>
              <w:left w:val="nil"/>
              <w:bottom w:val="nil"/>
              <w:right w:val="nil"/>
            </w:tcBorders>
            <w:shd w:val="clear" w:color="auto" w:fill="auto"/>
            <w:noWrap/>
            <w:vAlign w:val="bottom"/>
            <w:hideMark/>
          </w:tcPr>
          <w:p w14:paraId="03821FFD"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122.0</w:t>
            </w:r>
          </w:p>
        </w:tc>
        <w:tc>
          <w:tcPr>
            <w:tcW w:w="907" w:type="dxa"/>
            <w:tcBorders>
              <w:top w:val="nil"/>
              <w:left w:val="nil"/>
              <w:bottom w:val="nil"/>
              <w:right w:val="nil"/>
            </w:tcBorders>
            <w:shd w:val="clear" w:color="auto" w:fill="auto"/>
            <w:noWrap/>
            <w:vAlign w:val="bottom"/>
            <w:hideMark/>
          </w:tcPr>
          <w:p w14:paraId="3211E94E"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4.0</w:t>
            </w:r>
          </w:p>
        </w:tc>
        <w:tc>
          <w:tcPr>
            <w:tcW w:w="1121" w:type="dxa"/>
            <w:tcBorders>
              <w:top w:val="nil"/>
              <w:left w:val="nil"/>
              <w:bottom w:val="nil"/>
              <w:right w:val="nil"/>
            </w:tcBorders>
            <w:shd w:val="clear" w:color="auto" w:fill="auto"/>
            <w:noWrap/>
            <w:vAlign w:val="bottom"/>
            <w:hideMark/>
          </w:tcPr>
          <w:p w14:paraId="7430183E"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192.0</w:t>
            </w:r>
          </w:p>
        </w:tc>
      </w:tr>
      <w:tr w:rsidR="00EA6568" w:rsidRPr="00506E50" w14:paraId="4CDC0E3A" w14:textId="77777777" w:rsidTr="007A1BD1">
        <w:trPr>
          <w:trHeight w:val="255"/>
        </w:trPr>
        <w:tc>
          <w:tcPr>
            <w:tcW w:w="739" w:type="dxa"/>
            <w:tcBorders>
              <w:top w:val="nil"/>
              <w:left w:val="nil"/>
              <w:bottom w:val="nil"/>
              <w:right w:val="nil"/>
            </w:tcBorders>
            <w:shd w:val="clear" w:color="auto" w:fill="auto"/>
            <w:noWrap/>
            <w:vAlign w:val="bottom"/>
            <w:hideMark/>
          </w:tcPr>
          <w:p w14:paraId="65E63DA9"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302</w:t>
            </w:r>
          </w:p>
        </w:tc>
        <w:tc>
          <w:tcPr>
            <w:tcW w:w="2721" w:type="dxa"/>
            <w:tcBorders>
              <w:top w:val="nil"/>
              <w:left w:val="nil"/>
              <w:bottom w:val="nil"/>
              <w:right w:val="nil"/>
            </w:tcBorders>
            <w:shd w:val="clear" w:color="auto" w:fill="auto"/>
            <w:noWrap/>
            <w:vAlign w:val="bottom"/>
            <w:hideMark/>
          </w:tcPr>
          <w:p w14:paraId="4CD87182" w14:textId="0A30B51E" w:rsidR="00EA6568" w:rsidRPr="00056BD0" w:rsidRDefault="00EA6568" w:rsidP="00FA51D3">
            <w:pPr>
              <w:spacing w:after="0" w:line="240" w:lineRule="auto"/>
              <w:rPr>
                <w:rFonts w:ascii="Times New Roman" w:eastAsia="Times New Roman" w:hAnsi="Times New Roman" w:cs="Times New Roman"/>
                <w:bCs/>
              </w:rPr>
            </w:pPr>
            <w:proofErr w:type="spellStart"/>
            <w:r w:rsidRPr="00056BD0">
              <w:rPr>
                <w:rFonts w:ascii="Times New Roman" w:eastAsia="Times New Roman" w:hAnsi="Times New Roman" w:cs="Times New Roman"/>
                <w:bCs/>
              </w:rPr>
              <w:t>Aust</w:t>
            </w:r>
            <w:proofErr w:type="spellEnd"/>
            <w:r w:rsidRPr="00056BD0">
              <w:rPr>
                <w:rFonts w:ascii="Times New Roman" w:eastAsia="Times New Roman" w:hAnsi="Times New Roman" w:cs="Times New Roman"/>
                <w:bCs/>
              </w:rPr>
              <w:t xml:space="preserve"> J of </w:t>
            </w:r>
            <w:proofErr w:type="spellStart"/>
            <w:r w:rsidRPr="00056BD0">
              <w:rPr>
                <w:rFonts w:ascii="Times New Roman" w:eastAsia="Times New Roman" w:hAnsi="Times New Roman" w:cs="Times New Roman"/>
                <w:bCs/>
              </w:rPr>
              <w:t>Agr</w:t>
            </w:r>
            <w:proofErr w:type="spellEnd"/>
            <w:r w:rsidRPr="00056BD0">
              <w:rPr>
                <w:rFonts w:ascii="Times New Roman" w:eastAsia="Times New Roman" w:hAnsi="Times New Roman" w:cs="Times New Roman"/>
                <w:bCs/>
              </w:rPr>
              <w:t xml:space="preserve"> </w:t>
            </w:r>
            <w:r w:rsidR="00E6612C">
              <w:rPr>
                <w:rFonts w:ascii="Times New Roman" w:eastAsia="Times New Roman" w:hAnsi="Times New Roman" w:cs="Times New Roman"/>
                <w:bCs/>
              </w:rPr>
              <w:t>and</w:t>
            </w:r>
            <w:r w:rsidRPr="00056BD0">
              <w:rPr>
                <w:rFonts w:ascii="Times New Roman" w:eastAsia="Times New Roman" w:hAnsi="Times New Roman" w:cs="Times New Roman"/>
                <w:bCs/>
              </w:rPr>
              <w:t xml:space="preserve"> Res </w:t>
            </w:r>
            <w:proofErr w:type="spellStart"/>
            <w:r w:rsidRPr="00056BD0">
              <w:rPr>
                <w:rFonts w:ascii="Times New Roman" w:eastAsia="Times New Roman" w:hAnsi="Times New Roman" w:cs="Times New Roman"/>
                <w:bCs/>
              </w:rPr>
              <w:t>Ecs</w:t>
            </w:r>
            <w:proofErr w:type="spellEnd"/>
          </w:p>
        </w:tc>
        <w:tc>
          <w:tcPr>
            <w:tcW w:w="907" w:type="dxa"/>
            <w:tcBorders>
              <w:top w:val="nil"/>
              <w:left w:val="nil"/>
              <w:bottom w:val="nil"/>
              <w:right w:val="nil"/>
            </w:tcBorders>
            <w:shd w:val="clear" w:color="auto" w:fill="auto"/>
            <w:noWrap/>
            <w:vAlign w:val="bottom"/>
            <w:hideMark/>
          </w:tcPr>
          <w:p w14:paraId="26875E65"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159.3</w:t>
            </w:r>
          </w:p>
        </w:tc>
        <w:tc>
          <w:tcPr>
            <w:tcW w:w="907" w:type="dxa"/>
            <w:tcBorders>
              <w:top w:val="nil"/>
              <w:left w:val="nil"/>
              <w:bottom w:val="nil"/>
              <w:right w:val="nil"/>
            </w:tcBorders>
            <w:shd w:val="clear" w:color="auto" w:fill="auto"/>
            <w:noWrap/>
            <w:vAlign w:val="bottom"/>
            <w:hideMark/>
          </w:tcPr>
          <w:p w14:paraId="323D1E30"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16.1</w:t>
            </w:r>
          </w:p>
        </w:tc>
        <w:tc>
          <w:tcPr>
            <w:tcW w:w="907" w:type="dxa"/>
            <w:tcBorders>
              <w:top w:val="nil"/>
              <w:left w:val="nil"/>
              <w:bottom w:val="nil"/>
              <w:right w:val="nil"/>
            </w:tcBorders>
            <w:shd w:val="clear" w:color="auto" w:fill="auto"/>
            <w:noWrap/>
            <w:vAlign w:val="bottom"/>
            <w:hideMark/>
          </w:tcPr>
          <w:p w14:paraId="6DBBD494"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11.5</w:t>
            </w:r>
          </w:p>
        </w:tc>
        <w:tc>
          <w:tcPr>
            <w:tcW w:w="907" w:type="dxa"/>
            <w:tcBorders>
              <w:top w:val="nil"/>
              <w:left w:val="nil"/>
              <w:bottom w:val="nil"/>
              <w:right w:val="nil"/>
            </w:tcBorders>
            <w:shd w:val="clear" w:color="auto" w:fill="auto"/>
            <w:noWrap/>
            <w:vAlign w:val="bottom"/>
            <w:hideMark/>
          </w:tcPr>
          <w:p w14:paraId="59D713FF"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131.6</w:t>
            </w:r>
          </w:p>
        </w:tc>
        <w:tc>
          <w:tcPr>
            <w:tcW w:w="907" w:type="dxa"/>
            <w:tcBorders>
              <w:top w:val="nil"/>
              <w:left w:val="nil"/>
              <w:bottom w:val="nil"/>
              <w:right w:val="nil"/>
            </w:tcBorders>
            <w:shd w:val="clear" w:color="auto" w:fill="auto"/>
            <w:noWrap/>
            <w:vAlign w:val="bottom"/>
            <w:hideMark/>
          </w:tcPr>
          <w:p w14:paraId="2B26FC93"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1.3</w:t>
            </w:r>
          </w:p>
        </w:tc>
        <w:tc>
          <w:tcPr>
            <w:tcW w:w="1121" w:type="dxa"/>
            <w:tcBorders>
              <w:top w:val="nil"/>
              <w:left w:val="nil"/>
              <w:bottom w:val="nil"/>
              <w:right w:val="nil"/>
            </w:tcBorders>
            <w:shd w:val="clear" w:color="auto" w:fill="auto"/>
            <w:noWrap/>
            <w:vAlign w:val="bottom"/>
            <w:hideMark/>
          </w:tcPr>
          <w:p w14:paraId="11B44C33"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3.0</w:t>
            </w:r>
          </w:p>
        </w:tc>
      </w:tr>
      <w:tr w:rsidR="00EA6568" w:rsidRPr="00506E50" w14:paraId="0AB19F90" w14:textId="77777777" w:rsidTr="007A1BD1">
        <w:trPr>
          <w:trHeight w:val="255"/>
        </w:trPr>
        <w:tc>
          <w:tcPr>
            <w:tcW w:w="739" w:type="dxa"/>
            <w:tcBorders>
              <w:top w:val="nil"/>
              <w:left w:val="nil"/>
              <w:bottom w:val="nil"/>
              <w:right w:val="nil"/>
            </w:tcBorders>
            <w:shd w:val="clear" w:color="auto" w:fill="auto"/>
            <w:noWrap/>
            <w:vAlign w:val="bottom"/>
            <w:hideMark/>
          </w:tcPr>
          <w:p w14:paraId="311AAEC6"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314</w:t>
            </w:r>
          </w:p>
        </w:tc>
        <w:tc>
          <w:tcPr>
            <w:tcW w:w="2721" w:type="dxa"/>
            <w:tcBorders>
              <w:top w:val="nil"/>
              <w:left w:val="nil"/>
              <w:bottom w:val="nil"/>
              <w:right w:val="nil"/>
            </w:tcBorders>
            <w:shd w:val="clear" w:color="auto" w:fill="auto"/>
            <w:noWrap/>
            <w:vAlign w:val="bottom"/>
            <w:hideMark/>
          </w:tcPr>
          <w:p w14:paraId="67AFA464" w14:textId="77777777" w:rsidR="00EA6568" w:rsidRPr="00056BD0" w:rsidRDefault="00EA6568" w:rsidP="00FA51D3">
            <w:pPr>
              <w:spacing w:after="0" w:line="240" w:lineRule="auto"/>
              <w:rPr>
                <w:rFonts w:ascii="Times New Roman" w:eastAsia="Times New Roman" w:hAnsi="Times New Roman" w:cs="Times New Roman"/>
                <w:bCs/>
              </w:rPr>
            </w:pPr>
            <w:proofErr w:type="spellStart"/>
            <w:r w:rsidRPr="00056BD0">
              <w:rPr>
                <w:rFonts w:ascii="Times New Roman" w:eastAsia="Times New Roman" w:hAnsi="Times New Roman" w:cs="Times New Roman"/>
                <w:bCs/>
              </w:rPr>
              <w:t>Aust</w:t>
            </w:r>
            <w:proofErr w:type="spellEnd"/>
            <w:r w:rsidRPr="00056BD0">
              <w:rPr>
                <w:rFonts w:ascii="Times New Roman" w:eastAsia="Times New Roman" w:hAnsi="Times New Roman" w:cs="Times New Roman"/>
                <w:bCs/>
              </w:rPr>
              <w:t xml:space="preserve"> </w:t>
            </w:r>
            <w:proofErr w:type="spellStart"/>
            <w:r w:rsidRPr="00056BD0">
              <w:rPr>
                <w:rFonts w:ascii="Times New Roman" w:eastAsia="Times New Roman" w:hAnsi="Times New Roman" w:cs="Times New Roman"/>
                <w:bCs/>
              </w:rPr>
              <w:t>Ec</w:t>
            </w:r>
            <w:proofErr w:type="spellEnd"/>
            <w:r w:rsidRPr="00056BD0">
              <w:rPr>
                <w:rFonts w:ascii="Times New Roman" w:eastAsia="Times New Roman" w:hAnsi="Times New Roman" w:cs="Times New Roman"/>
                <w:bCs/>
              </w:rPr>
              <w:t xml:space="preserve"> Rev</w:t>
            </w:r>
          </w:p>
        </w:tc>
        <w:tc>
          <w:tcPr>
            <w:tcW w:w="907" w:type="dxa"/>
            <w:tcBorders>
              <w:top w:val="nil"/>
              <w:left w:val="nil"/>
              <w:bottom w:val="nil"/>
              <w:right w:val="nil"/>
            </w:tcBorders>
            <w:shd w:val="clear" w:color="auto" w:fill="auto"/>
            <w:noWrap/>
            <w:vAlign w:val="bottom"/>
            <w:hideMark/>
          </w:tcPr>
          <w:p w14:paraId="58426E96"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202.7</w:t>
            </w:r>
          </w:p>
        </w:tc>
        <w:tc>
          <w:tcPr>
            <w:tcW w:w="907" w:type="dxa"/>
            <w:tcBorders>
              <w:top w:val="nil"/>
              <w:left w:val="nil"/>
              <w:bottom w:val="nil"/>
              <w:right w:val="nil"/>
            </w:tcBorders>
            <w:shd w:val="clear" w:color="auto" w:fill="auto"/>
            <w:noWrap/>
            <w:vAlign w:val="bottom"/>
            <w:hideMark/>
          </w:tcPr>
          <w:p w14:paraId="07995DAB"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57.3</w:t>
            </w:r>
          </w:p>
        </w:tc>
        <w:tc>
          <w:tcPr>
            <w:tcW w:w="907" w:type="dxa"/>
            <w:tcBorders>
              <w:top w:val="nil"/>
              <w:left w:val="nil"/>
              <w:bottom w:val="nil"/>
              <w:right w:val="nil"/>
            </w:tcBorders>
            <w:shd w:val="clear" w:color="auto" w:fill="auto"/>
            <w:noWrap/>
            <w:vAlign w:val="bottom"/>
            <w:hideMark/>
          </w:tcPr>
          <w:p w14:paraId="21AB0F30"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11.7</w:t>
            </w:r>
          </w:p>
        </w:tc>
        <w:tc>
          <w:tcPr>
            <w:tcW w:w="907" w:type="dxa"/>
            <w:tcBorders>
              <w:top w:val="nil"/>
              <w:left w:val="nil"/>
              <w:bottom w:val="nil"/>
              <w:right w:val="nil"/>
            </w:tcBorders>
            <w:shd w:val="clear" w:color="auto" w:fill="auto"/>
            <w:noWrap/>
            <w:vAlign w:val="bottom"/>
            <w:hideMark/>
          </w:tcPr>
          <w:p w14:paraId="3A726267"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137.0</w:t>
            </w:r>
          </w:p>
        </w:tc>
        <w:tc>
          <w:tcPr>
            <w:tcW w:w="907" w:type="dxa"/>
            <w:tcBorders>
              <w:top w:val="nil"/>
              <w:left w:val="nil"/>
              <w:bottom w:val="nil"/>
              <w:right w:val="nil"/>
            </w:tcBorders>
            <w:shd w:val="clear" w:color="auto" w:fill="auto"/>
            <w:noWrap/>
            <w:vAlign w:val="bottom"/>
            <w:hideMark/>
          </w:tcPr>
          <w:p w14:paraId="5135EB93"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2.0</w:t>
            </w:r>
          </w:p>
        </w:tc>
        <w:tc>
          <w:tcPr>
            <w:tcW w:w="1121" w:type="dxa"/>
            <w:tcBorders>
              <w:top w:val="nil"/>
              <w:left w:val="nil"/>
              <w:bottom w:val="nil"/>
              <w:right w:val="nil"/>
            </w:tcBorders>
            <w:shd w:val="clear" w:color="auto" w:fill="auto"/>
            <w:noWrap/>
            <w:vAlign w:val="bottom"/>
            <w:hideMark/>
          </w:tcPr>
          <w:p w14:paraId="1C9B3E4C"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13.9</w:t>
            </w:r>
          </w:p>
        </w:tc>
      </w:tr>
      <w:tr w:rsidR="00EA6568" w:rsidRPr="00506E50" w14:paraId="71E4741B" w14:textId="77777777" w:rsidTr="007A1BD1">
        <w:trPr>
          <w:trHeight w:val="255"/>
        </w:trPr>
        <w:tc>
          <w:tcPr>
            <w:tcW w:w="739" w:type="dxa"/>
            <w:tcBorders>
              <w:top w:val="nil"/>
              <w:left w:val="nil"/>
              <w:bottom w:val="nil"/>
              <w:right w:val="nil"/>
            </w:tcBorders>
            <w:shd w:val="clear" w:color="auto" w:fill="auto"/>
            <w:noWrap/>
            <w:vAlign w:val="bottom"/>
            <w:hideMark/>
          </w:tcPr>
          <w:p w14:paraId="5B430265"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435</w:t>
            </w:r>
          </w:p>
        </w:tc>
        <w:tc>
          <w:tcPr>
            <w:tcW w:w="2721" w:type="dxa"/>
            <w:tcBorders>
              <w:top w:val="nil"/>
              <w:left w:val="nil"/>
              <w:bottom w:val="nil"/>
              <w:right w:val="nil"/>
            </w:tcBorders>
            <w:shd w:val="clear" w:color="auto" w:fill="auto"/>
            <w:noWrap/>
            <w:vAlign w:val="bottom"/>
            <w:hideMark/>
          </w:tcPr>
          <w:p w14:paraId="34BFC78A" w14:textId="77777777" w:rsidR="00EA6568" w:rsidRPr="00056BD0" w:rsidRDefault="00EA6568" w:rsidP="00FA51D3">
            <w:pPr>
              <w:spacing w:after="0" w:line="240" w:lineRule="auto"/>
              <w:rPr>
                <w:rFonts w:ascii="Times New Roman" w:eastAsia="Times New Roman" w:hAnsi="Times New Roman" w:cs="Times New Roman"/>
                <w:bCs/>
              </w:rPr>
            </w:pPr>
            <w:r w:rsidRPr="00056BD0">
              <w:rPr>
                <w:rFonts w:ascii="Times New Roman" w:eastAsia="Times New Roman" w:hAnsi="Times New Roman" w:cs="Times New Roman"/>
                <w:bCs/>
              </w:rPr>
              <w:t xml:space="preserve">NZ </w:t>
            </w:r>
            <w:proofErr w:type="spellStart"/>
            <w:r w:rsidRPr="00056BD0">
              <w:rPr>
                <w:rFonts w:ascii="Times New Roman" w:eastAsia="Times New Roman" w:hAnsi="Times New Roman" w:cs="Times New Roman"/>
                <w:bCs/>
              </w:rPr>
              <w:t>Ec</w:t>
            </w:r>
            <w:proofErr w:type="spellEnd"/>
            <w:r w:rsidRPr="00056BD0">
              <w:rPr>
                <w:rFonts w:ascii="Times New Roman" w:eastAsia="Times New Roman" w:hAnsi="Times New Roman" w:cs="Times New Roman"/>
                <w:bCs/>
              </w:rPr>
              <w:t xml:space="preserve"> Papers</w:t>
            </w:r>
          </w:p>
        </w:tc>
        <w:tc>
          <w:tcPr>
            <w:tcW w:w="907" w:type="dxa"/>
            <w:tcBorders>
              <w:top w:val="nil"/>
              <w:left w:val="nil"/>
              <w:bottom w:val="nil"/>
              <w:right w:val="nil"/>
            </w:tcBorders>
            <w:shd w:val="clear" w:color="auto" w:fill="auto"/>
            <w:noWrap/>
            <w:vAlign w:val="bottom"/>
            <w:hideMark/>
          </w:tcPr>
          <w:p w14:paraId="3C56D3B9"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193.9</w:t>
            </w:r>
          </w:p>
        </w:tc>
        <w:tc>
          <w:tcPr>
            <w:tcW w:w="907" w:type="dxa"/>
            <w:tcBorders>
              <w:top w:val="nil"/>
              <w:left w:val="nil"/>
              <w:bottom w:val="nil"/>
              <w:right w:val="nil"/>
            </w:tcBorders>
            <w:shd w:val="clear" w:color="auto" w:fill="auto"/>
            <w:noWrap/>
            <w:vAlign w:val="bottom"/>
            <w:hideMark/>
          </w:tcPr>
          <w:p w14:paraId="6A052AD5"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62.0</w:t>
            </w:r>
          </w:p>
        </w:tc>
        <w:tc>
          <w:tcPr>
            <w:tcW w:w="907" w:type="dxa"/>
            <w:tcBorders>
              <w:top w:val="nil"/>
              <w:left w:val="nil"/>
              <w:bottom w:val="nil"/>
              <w:right w:val="nil"/>
            </w:tcBorders>
            <w:shd w:val="clear" w:color="auto" w:fill="auto"/>
            <w:noWrap/>
            <w:vAlign w:val="bottom"/>
            <w:hideMark/>
          </w:tcPr>
          <w:p w14:paraId="63492A48"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14.4</w:t>
            </w:r>
          </w:p>
        </w:tc>
        <w:tc>
          <w:tcPr>
            <w:tcW w:w="907" w:type="dxa"/>
            <w:tcBorders>
              <w:top w:val="nil"/>
              <w:left w:val="nil"/>
              <w:bottom w:val="nil"/>
              <w:right w:val="nil"/>
            </w:tcBorders>
            <w:shd w:val="clear" w:color="auto" w:fill="auto"/>
            <w:noWrap/>
            <w:vAlign w:val="bottom"/>
            <w:hideMark/>
          </w:tcPr>
          <w:p w14:paraId="08E8047F"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208.3</w:t>
            </w:r>
          </w:p>
        </w:tc>
        <w:tc>
          <w:tcPr>
            <w:tcW w:w="907" w:type="dxa"/>
            <w:tcBorders>
              <w:top w:val="nil"/>
              <w:left w:val="nil"/>
              <w:bottom w:val="nil"/>
              <w:right w:val="nil"/>
            </w:tcBorders>
            <w:shd w:val="clear" w:color="auto" w:fill="auto"/>
            <w:noWrap/>
            <w:vAlign w:val="bottom"/>
            <w:hideMark/>
          </w:tcPr>
          <w:p w14:paraId="480124AC"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2.0</w:t>
            </w:r>
          </w:p>
        </w:tc>
        <w:tc>
          <w:tcPr>
            <w:tcW w:w="1121" w:type="dxa"/>
            <w:tcBorders>
              <w:top w:val="nil"/>
              <w:left w:val="nil"/>
              <w:bottom w:val="nil"/>
              <w:right w:val="nil"/>
            </w:tcBorders>
            <w:shd w:val="clear" w:color="auto" w:fill="auto"/>
            <w:noWrap/>
            <w:vAlign w:val="bottom"/>
            <w:hideMark/>
          </w:tcPr>
          <w:p w14:paraId="6EE8BE96"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13.9</w:t>
            </w:r>
          </w:p>
        </w:tc>
      </w:tr>
      <w:tr w:rsidR="00EA6568" w:rsidRPr="00506E50" w14:paraId="016F3E72" w14:textId="77777777" w:rsidTr="007A1BD1">
        <w:trPr>
          <w:trHeight w:val="255"/>
        </w:trPr>
        <w:tc>
          <w:tcPr>
            <w:tcW w:w="739" w:type="dxa"/>
            <w:tcBorders>
              <w:top w:val="nil"/>
              <w:left w:val="nil"/>
              <w:bottom w:val="nil"/>
              <w:right w:val="nil"/>
            </w:tcBorders>
            <w:shd w:val="clear" w:color="auto" w:fill="auto"/>
            <w:noWrap/>
            <w:vAlign w:val="bottom"/>
            <w:hideMark/>
          </w:tcPr>
          <w:p w14:paraId="64471423"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439</w:t>
            </w:r>
          </w:p>
        </w:tc>
        <w:tc>
          <w:tcPr>
            <w:tcW w:w="2721" w:type="dxa"/>
            <w:tcBorders>
              <w:top w:val="nil"/>
              <w:left w:val="nil"/>
              <w:bottom w:val="nil"/>
              <w:right w:val="nil"/>
            </w:tcBorders>
            <w:shd w:val="clear" w:color="auto" w:fill="auto"/>
            <w:noWrap/>
            <w:vAlign w:val="bottom"/>
            <w:hideMark/>
          </w:tcPr>
          <w:p w14:paraId="15DC64F3" w14:textId="77777777" w:rsidR="00EA6568" w:rsidRPr="00056BD0" w:rsidRDefault="00EA6568" w:rsidP="00FA51D3">
            <w:pPr>
              <w:spacing w:after="0" w:line="240" w:lineRule="auto"/>
              <w:rPr>
                <w:rFonts w:ascii="Times New Roman" w:eastAsia="Times New Roman" w:hAnsi="Times New Roman" w:cs="Times New Roman"/>
                <w:bCs/>
              </w:rPr>
            </w:pPr>
            <w:proofErr w:type="spellStart"/>
            <w:r w:rsidRPr="00056BD0">
              <w:rPr>
                <w:rFonts w:ascii="Times New Roman" w:eastAsia="Times New Roman" w:hAnsi="Times New Roman" w:cs="Times New Roman"/>
                <w:bCs/>
              </w:rPr>
              <w:t>Aust</w:t>
            </w:r>
            <w:proofErr w:type="spellEnd"/>
            <w:r w:rsidRPr="00056BD0">
              <w:rPr>
                <w:rFonts w:ascii="Times New Roman" w:eastAsia="Times New Roman" w:hAnsi="Times New Roman" w:cs="Times New Roman"/>
                <w:bCs/>
              </w:rPr>
              <w:t xml:space="preserve"> </w:t>
            </w:r>
            <w:proofErr w:type="spellStart"/>
            <w:r w:rsidRPr="00056BD0">
              <w:rPr>
                <w:rFonts w:ascii="Times New Roman" w:eastAsia="Times New Roman" w:hAnsi="Times New Roman" w:cs="Times New Roman"/>
                <w:bCs/>
              </w:rPr>
              <w:t>Ec</w:t>
            </w:r>
            <w:proofErr w:type="spellEnd"/>
            <w:r w:rsidRPr="00056BD0">
              <w:rPr>
                <w:rFonts w:ascii="Times New Roman" w:eastAsia="Times New Roman" w:hAnsi="Times New Roman" w:cs="Times New Roman"/>
                <w:bCs/>
              </w:rPr>
              <w:t xml:space="preserve"> History Rev</w:t>
            </w:r>
          </w:p>
        </w:tc>
        <w:tc>
          <w:tcPr>
            <w:tcW w:w="907" w:type="dxa"/>
            <w:tcBorders>
              <w:top w:val="nil"/>
              <w:left w:val="nil"/>
              <w:bottom w:val="nil"/>
              <w:right w:val="nil"/>
            </w:tcBorders>
            <w:shd w:val="clear" w:color="auto" w:fill="auto"/>
            <w:noWrap/>
            <w:vAlign w:val="bottom"/>
            <w:hideMark/>
          </w:tcPr>
          <w:p w14:paraId="431976C6"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371.6</w:t>
            </w:r>
          </w:p>
        </w:tc>
        <w:tc>
          <w:tcPr>
            <w:tcW w:w="907" w:type="dxa"/>
            <w:tcBorders>
              <w:top w:val="nil"/>
              <w:left w:val="nil"/>
              <w:bottom w:val="nil"/>
              <w:right w:val="nil"/>
            </w:tcBorders>
            <w:shd w:val="clear" w:color="auto" w:fill="auto"/>
            <w:noWrap/>
            <w:vAlign w:val="bottom"/>
            <w:hideMark/>
          </w:tcPr>
          <w:p w14:paraId="42EE621F"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139.6</w:t>
            </w:r>
          </w:p>
        </w:tc>
        <w:tc>
          <w:tcPr>
            <w:tcW w:w="907" w:type="dxa"/>
            <w:tcBorders>
              <w:top w:val="nil"/>
              <w:left w:val="nil"/>
              <w:bottom w:val="nil"/>
              <w:right w:val="nil"/>
            </w:tcBorders>
            <w:shd w:val="clear" w:color="auto" w:fill="auto"/>
            <w:noWrap/>
            <w:vAlign w:val="bottom"/>
            <w:hideMark/>
          </w:tcPr>
          <w:p w14:paraId="4E371115"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14.5</w:t>
            </w:r>
          </w:p>
        </w:tc>
        <w:tc>
          <w:tcPr>
            <w:tcW w:w="907" w:type="dxa"/>
            <w:tcBorders>
              <w:top w:val="nil"/>
              <w:left w:val="nil"/>
              <w:bottom w:val="nil"/>
              <w:right w:val="nil"/>
            </w:tcBorders>
            <w:shd w:val="clear" w:color="auto" w:fill="auto"/>
            <w:noWrap/>
            <w:vAlign w:val="bottom"/>
            <w:hideMark/>
          </w:tcPr>
          <w:p w14:paraId="319739F5"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208.3</w:t>
            </w:r>
          </w:p>
        </w:tc>
        <w:tc>
          <w:tcPr>
            <w:tcW w:w="907" w:type="dxa"/>
            <w:tcBorders>
              <w:top w:val="nil"/>
              <w:left w:val="nil"/>
              <w:bottom w:val="nil"/>
              <w:right w:val="nil"/>
            </w:tcBorders>
            <w:shd w:val="clear" w:color="auto" w:fill="auto"/>
            <w:noWrap/>
            <w:vAlign w:val="bottom"/>
            <w:hideMark/>
          </w:tcPr>
          <w:p w14:paraId="119731FD"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1.3</w:t>
            </w:r>
          </w:p>
        </w:tc>
        <w:tc>
          <w:tcPr>
            <w:tcW w:w="1121" w:type="dxa"/>
            <w:tcBorders>
              <w:top w:val="nil"/>
              <w:left w:val="nil"/>
              <w:bottom w:val="nil"/>
              <w:right w:val="nil"/>
            </w:tcBorders>
            <w:shd w:val="clear" w:color="auto" w:fill="auto"/>
            <w:noWrap/>
            <w:vAlign w:val="bottom"/>
            <w:hideMark/>
          </w:tcPr>
          <w:p w14:paraId="70658369"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3.0</w:t>
            </w:r>
          </w:p>
        </w:tc>
      </w:tr>
      <w:tr w:rsidR="00EA6568" w:rsidRPr="00506E50" w14:paraId="40225FA8" w14:textId="77777777" w:rsidTr="007A1BD1">
        <w:trPr>
          <w:trHeight w:val="255"/>
        </w:trPr>
        <w:tc>
          <w:tcPr>
            <w:tcW w:w="739" w:type="dxa"/>
            <w:tcBorders>
              <w:top w:val="nil"/>
              <w:left w:val="nil"/>
              <w:bottom w:val="nil"/>
              <w:right w:val="nil"/>
            </w:tcBorders>
            <w:shd w:val="clear" w:color="auto" w:fill="auto"/>
            <w:noWrap/>
            <w:vAlign w:val="bottom"/>
            <w:hideMark/>
          </w:tcPr>
          <w:p w14:paraId="23BB5316"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479</w:t>
            </w:r>
          </w:p>
        </w:tc>
        <w:tc>
          <w:tcPr>
            <w:tcW w:w="2721" w:type="dxa"/>
            <w:tcBorders>
              <w:top w:val="nil"/>
              <w:left w:val="nil"/>
              <w:bottom w:val="nil"/>
              <w:right w:val="nil"/>
            </w:tcBorders>
            <w:shd w:val="clear" w:color="auto" w:fill="auto"/>
            <w:noWrap/>
            <w:vAlign w:val="bottom"/>
            <w:hideMark/>
          </w:tcPr>
          <w:p w14:paraId="646F4B42" w14:textId="77777777" w:rsidR="00EA6568" w:rsidRPr="00056BD0" w:rsidRDefault="00EA6568" w:rsidP="00FA51D3">
            <w:pPr>
              <w:spacing w:after="0" w:line="240" w:lineRule="auto"/>
              <w:rPr>
                <w:rFonts w:ascii="Times New Roman" w:eastAsia="Times New Roman" w:hAnsi="Times New Roman" w:cs="Times New Roman"/>
                <w:bCs/>
              </w:rPr>
            </w:pPr>
            <w:proofErr w:type="spellStart"/>
            <w:r w:rsidRPr="00056BD0">
              <w:rPr>
                <w:rFonts w:ascii="Times New Roman" w:eastAsia="Times New Roman" w:hAnsi="Times New Roman" w:cs="Times New Roman"/>
                <w:bCs/>
              </w:rPr>
              <w:t>Aust</w:t>
            </w:r>
            <w:proofErr w:type="spellEnd"/>
            <w:r w:rsidRPr="00056BD0">
              <w:rPr>
                <w:rFonts w:ascii="Times New Roman" w:eastAsia="Times New Roman" w:hAnsi="Times New Roman" w:cs="Times New Roman"/>
                <w:bCs/>
              </w:rPr>
              <w:t xml:space="preserve"> J of Labour </w:t>
            </w:r>
            <w:proofErr w:type="spellStart"/>
            <w:r w:rsidRPr="00056BD0">
              <w:rPr>
                <w:rFonts w:ascii="Times New Roman" w:eastAsia="Times New Roman" w:hAnsi="Times New Roman" w:cs="Times New Roman"/>
                <w:bCs/>
              </w:rPr>
              <w:t>Ecs</w:t>
            </w:r>
            <w:proofErr w:type="spellEnd"/>
          </w:p>
        </w:tc>
        <w:tc>
          <w:tcPr>
            <w:tcW w:w="907" w:type="dxa"/>
            <w:tcBorders>
              <w:top w:val="nil"/>
              <w:left w:val="nil"/>
              <w:bottom w:val="nil"/>
              <w:right w:val="nil"/>
            </w:tcBorders>
            <w:shd w:val="clear" w:color="auto" w:fill="auto"/>
            <w:noWrap/>
            <w:vAlign w:val="bottom"/>
            <w:hideMark/>
          </w:tcPr>
          <w:p w14:paraId="1CA70745"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318.5</w:t>
            </w:r>
          </w:p>
        </w:tc>
        <w:tc>
          <w:tcPr>
            <w:tcW w:w="907" w:type="dxa"/>
            <w:tcBorders>
              <w:top w:val="nil"/>
              <w:left w:val="nil"/>
              <w:bottom w:val="nil"/>
              <w:right w:val="nil"/>
            </w:tcBorders>
            <w:shd w:val="clear" w:color="auto" w:fill="auto"/>
            <w:noWrap/>
            <w:vAlign w:val="bottom"/>
            <w:hideMark/>
          </w:tcPr>
          <w:p w14:paraId="4ECEAD98"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68.2</w:t>
            </w:r>
          </w:p>
        </w:tc>
        <w:tc>
          <w:tcPr>
            <w:tcW w:w="907" w:type="dxa"/>
            <w:tcBorders>
              <w:top w:val="nil"/>
              <w:left w:val="nil"/>
              <w:bottom w:val="nil"/>
              <w:right w:val="nil"/>
            </w:tcBorders>
            <w:shd w:val="clear" w:color="auto" w:fill="auto"/>
            <w:noWrap/>
            <w:vAlign w:val="bottom"/>
            <w:hideMark/>
          </w:tcPr>
          <w:p w14:paraId="69E67DA7"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15.2</w:t>
            </w:r>
          </w:p>
        </w:tc>
        <w:tc>
          <w:tcPr>
            <w:tcW w:w="907" w:type="dxa"/>
            <w:tcBorders>
              <w:top w:val="nil"/>
              <w:left w:val="nil"/>
              <w:bottom w:val="nil"/>
              <w:right w:val="nil"/>
            </w:tcBorders>
            <w:shd w:val="clear" w:color="auto" w:fill="auto"/>
            <w:noWrap/>
            <w:vAlign w:val="bottom"/>
            <w:hideMark/>
          </w:tcPr>
          <w:p w14:paraId="4A6F5CEA"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232.6</w:t>
            </w:r>
          </w:p>
        </w:tc>
        <w:tc>
          <w:tcPr>
            <w:tcW w:w="907" w:type="dxa"/>
            <w:tcBorders>
              <w:top w:val="nil"/>
              <w:left w:val="nil"/>
              <w:bottom w:val="nil"/>
              <w:right w:val="nil"/>
            </w:tcBorders>
            <w:shd w:val="clear" w:color="auto" w:fill="auto"/>
            <w:noWrap/>
            <w:vAlign w:val="bottom"/>
            <w:hideMark/>
          </w:tcPr>
          <w:p w14:paraId="2D4C5068"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2.0</w:t>
            </w:r>
          </w:p>
        </w:tc>
        <w:tc>
          <w:tcPr>
            <w:tcW w:w="1121" w:type="dxa"/>
            <w:tcBorders>
              <w:top w:val="nil"/>
              <w:left w:val="nil"/>
              <w:bottom w:val="nil"/>
              <w:right w:val="nil"/>
            </w:tcBorders>
            <w:shd w:val="clear" w:color="auto" w:fill="auto"/>
            <w:noWrap/>
            <w:vAlign w:val="bottom"/>
            <w:hideMark/>
          </w:tcPr>
          <w:p w14:paraId="63B55FA0"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13.9</w:t>
            </w:r>
          </w:p>
        </w:tc>
      </w:tr>
      <w:tr w:rsidR="00EA6568" w:rsidRPr="00506E50" w14:paraId="699D56B4" w14:textId="77777777" w:rsidTr="007A1BD1">
        <w:trPr>
          <w:trHeight w:val="255"/>
        </w:trPr>
        <w:tc>
          <w:tcPr>
            <w:tcW w:w="739" w:type="dxa"/>
            <w:tcBorders>
              <w:top w:val="nil"/>
              <w:left w:val="nil"/>
              <w:bottom w:val="nil"/>
              <w:right w:val="nil"/>
            </w:tcBorders>
            <w:shd w:val="clear" w:color="auto" w:fill="auto"/>
            <w:noWrap/>
            <w:vAlign w:val="bottom"/>
            <w:hideMark/>
          </w:tcPr>
          <w:p w14:paraId="01BC8468"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450</w:t>
            </w:r>
          </w:p>
        </w:tc>
        <w:tc>
          <w:tcPr>
            <w:tcW w:w="2721" w:type="dxa"/>
            <w:tcBorders>
              <w:top w:val="nil"/>
              <w:left w:val="nil"/>
              <w:bottom w:val="nil"/>
              <w:right w:val="nil"/>
            </w:tcBorders>
            <w:shd w:val="clear" w:color="auto" w:fill="auto"/>
            <w:noWrap/>
            <w:vAlign w:val="bottom"/>
            <w:hideMark/>
          </w:tcPr>
          <w:p w14:paraId="38302B20" w14:textId="77777777" w:rsidR="00EA6568" w:rsidRPr="00056BD0" w:rsidRDefault="00EA6568" w:rsidP="00FA51D3">
            <w:pPr>
              <w:spacing w:after="0" w:line="240" w:lineRule="auto"/>
              <w:rPr>
                <w:rFonts w:ascii="Times New Roman" w:eastAsia="Times New Roman" w:hAnsi="Times New Roman" w:cs="Times New Roman"/>
                <w:bCs/>
              </w:rPr>
            </w:pPr>
            <w:r w:rsidRPr="00056BD0">
              <w:rPr>
                <w:rFonts w:ascii="Times New Roman" w:eastAsia="Times New Roman" w:hAnsi="Times New Roman" w:cs="Times New Roman"/>
                <w:bCs/>
              </w:rPr>
              <w:t>Agenda</w:t>
            </w:r>
          </w:p>
        </w:tc>
        <w:tc>
          <w:tcPr>
            <w:tcW w:w="907" w:type="dxa"/>
            <w:tcBorders>
              <w:top w:val="nil"/>
              <w:left w:val="nil"/>
              <w:bottom w:val="nil"/>
              <w:right w:val="nil"/>
            </w:tcBorders>
            <w:shd w:val="clear" w:color="auto" w:fill="auto"/>
            <w:noWrap/>
            <w:vAlign w:val="bottom"/>
            <w:hideMark/>
          </w:tcPr>
          <w:p w14:paraId="2AF33DF3"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NR</w:t>
            </w:r>
          </w:p>
        </w:tc>
        <w:tc>
          <w:tcPr>
            <w:tcW w:w="907" w:type="dxa"/>
            <w:tcBorders>
              <w:top w:val="nil"/>
              <w:left w:val="nil"/>
              <w:bottom w:val="nil"/>
              <w:right w:val="nil"/>
            </w:tcBorders>
            <w:shd w:val="clear" w:color="auto" w:fill="auto"/>
            <w:noWrap/>
            <w:vAlign w:val="bottom"/>
            <w:hideMark/>
          </w:tcPr>
          <w:p w14:paraId="509C5D28"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NR</w:t>
            </w:r>
          </w:p>
        </w:tc>
        <w:tc>
          <w:tcPr>
            <w:tcW w:w="907" w:type="dxa"/>
            <w:tcBorders>
              <w:top w:val="nil"/>
              <w:left w:val="nil"/>
              <w:bottom w:val="nil"/>
              <w:right w:val="nil"/>
            </w:tcBorders>
            <w:shd w:val="clear" w:color="auto" w:fill="auto"/>
            <w:noWrap/>
            <w:vAlign w:val="bottom"/>
            <w:hideMark/>
          </w:tcPr>
          <w:p w14:paraId="19AEA51F"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14.5</w:t>
            </w:r>
          </w:p>
        </w:tc>
        <w:tc>
          <w:tcPr>
            <w:tcW w:w="907" w:type="dxa"/>
            <w:tcBorders>
              <w:top w:val="nil"/>
              <w:left w:val="nil"/>
              <w:bottom w:val="nil"/>
              <w:right w:val="nil"/>
            </w:tcBorders>
            <w:shd w:val="clear" w:color="auto" w:fill="auto"/>
            <w:noWrap/>
            <w:vAlign w:val="bottom"/>
            <w:hideMark/>
          </w:tcPr>
          <w:p w14:paraId="5C0144B7"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212.8</w:t>
            </w:r>
          </w:p>
        </w:tc>
        <w:tc>
          <w:tcPr>
            <w:tcW w:w="907" w:type="dxa"/>
            <w:tcBorders>
              <w:top w:val="nil"/>
              <w:left w:val="nil"/>
              <w:bottom w:val="nil"/>
              <w:right w:val="nil"/>
            </w:tcBorders>
            <w:shd w:val="clear" w:color="auto" w:fill="auto"/>
            <w:noWrap/>
            <w:vAlign w:val="bottom"/>
            <w:hideMark/>
          </w:tcPr>
          <w:p w14:paraId="37B611FF"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2.0</w:t>
            </w:r>
          </w:p>
        </w:tc>
        <w:tc>
          <w:tcPr>
            <w:tcW w:w="1121" w:type="dxa"/>
            <w:tcBorders>
              <w:top w:val="nil"/>
              <w:left w:val="nil"/>
              <w:bottom w:val="nil"/>
              <w:right w:val="nil"/>
            </w:tcBorders>
            <w:shd w:val="clear" w:color="auto" w:fill="auto"/>
            <w:noWrap/>
            <w:vAlign w:val="bottom"/>
            <w:hideMark/>
          </w:tcPr>
          <w:p w14:paraId="5EDD4498"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13.9</w:t>
            </w:r>
          </w:p>
        </w:tc>
      </w:tr>
      <w:tr w:rsidR="00EA6568" w:rsidRPr="00506E50" w14:paraId="093A578A" w14:textId="77777777" w:rsidTr="007A1BD1">
        <w:trPr>
          <w:trHeight w:val="255"/>
        </w:trPr>
        <w:tc>
          <w:tcPr>
            <w:tcW w:w="739" w:type="dxa"/>
            <w:tcBorders>
              <w:top w:val="nil"/>
              <w:left w:val="nil"/>
              <w:bottom w:val="nil"/>
              <w:right w:val="nil"/>
            </w:tcBorders>
            <w:shd w:val="clear" w:color="auto" w:fill="auto"/>
            <w:noWrap/>
            <w:vAlign w:val="bottom"/>
            <w:hideMark/>
          </w:tcPr>
          <w:p w14:paraId="54142F46"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777</w:t>
            </w:r>
          </w:p>
        </w:tc>
        <w:tc>
          <w:tcPr>
            <w:tcW w:w="2721" w:type="dxa"/>
            <w:tcBorders>
              <w:top w:val="nil"/>
              <w:left w:val="nil"/>
              <w:bottom w:val="nil"/>
              <w:right w:val="nil"/>
            </w:tcBorders>
            <w:shd w:val="clear" w:color="auto" w:fill="auto"/>
            <w:noWrap/>
            <w:vAlign w:val="bottom"/>
            <w:hideMark/>
          </w:tcPr>
          <w:p w14:paraId="2566823F" w14:textId="77777777" w:rsidR="00EA6568" w:rsidRPr="00056BD0" w:rsidRDefault="00EA6568" w:rsidP="00FA51D3">
            <w:pPr>
              <w:spacing w:after="0" w:line="240" w:lineRule="auto"/>
              <w:rPr>
                <w:rFonts w:ascii="Times New Roman" w:eastAsia="Times New Roman" w:hAnsi="Times New Roman" w:cs="Times New Roman"/>
                <w:bCs/>
              </w:rPr>
            </w:pPr>
            <w:r w:rsidRPr="00056BD0">
              <w:rPr>
                <w:rFonts w:ascii="Times New Roman" w:eastAsia="Times New Roman" w:hAnsi="Times New Roman" w:cs="Times New Roman"/>
                <w:bCs/>
              </w:rPr>
              <w:t xml:space="preserve">Austral J of </w:t>
            </w:r>
            <w:proofErr w:type="spellStart"/>
            <w:r w:rsidRPr="00056BD0">
              <w:rPr>
                <w:rFonts w:ascii="Times New Roman" w:eastAsia="Times New Roman" w:hAnsi="Times New Roman" w:cs="Times New Roman"/>
                <w:bCs/>
              </w:rPr>
              <w:t>Reg</w:t>
            </w:r>
            <w:proofErr w:type="spellEnd"/>
            <w:r w:rsidRPr="00056BD0">
              <w:rPr>
                <w:rFonts w:ascii="Times New Roman" w:eastAsia="Times New Roman" w:hAnsi="Times New Roman" w:cs="Times New Roman"/>
                <w:bCs/>
              </w:rPr>
              <w:t xml:space="preserve"> Studies</w:t>
            </w:r>
          </w:p>
        </w:tc>
        <w:tc>
          <w:tcPr>
            <w:tcW w:w="907" w:type="dxa"/>
            <w:tcBorders>
              <w:top w:val="nil"/>
              <w:left w:val="nil"/>
              <w:bottom w:val="nil"/>
              <w:right w:val="nil"/>
            </w:tcBorders>
            <w:shd w:val="clear" w:color="auto" w:fill="auto"/>
            <w:noWrap/>
            <w:vAlign w:val="bottom"/>
            <w:hideMark/>
          </w:tcPr>
          <w:p w14:paraId="689F815A"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NR</w:t>
            </w:r>
          </w:p>
        </w:tc>
        <w:tc>
          <w:tcPr>
            <w:tcW w:w="907" w:type="dxa"/>
            <w:tcBorders>
              <w:top w:val="nil"/>
              <w:left w:val="nil"/>
              <w:bottom w:val="nil"/>
              <w:right w:val="nil"/>
            </w:tcBorders>
            <w:shd w:val="clear" w:color="auto" w:fill="auto"/>
            <w:noWrap/>
            <w:vAlign w:val="bottom"/>
            <w:hideMark/>
          </w:tcPr>
          <w:p w14:paraId="4A324B10"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NR</w:t>
            </w:r>
          </w:p>
        </w:tc>
        <w:tc>
          <w:tcPr>
            <w:tcW w:w="907" w:type="dxa"/>
            <w:tcBorders>
              <w:top w:val="nil"/>
              <w:left w:val="nil"/>
              <w:bottom w:val="nil"/>
              <w:right w:val="nil"/>
            </w:tcBorders>
            <w:shd w:val="clear" w:color="auto" w:fill="auto"/>
            <w:noWrap/>
            <w:vAlign w:val="bottom"/>
            <w:hideMark/>
          </w:tcPr>
          <w:p w14:paraId="067677D6"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19.3</w:t>
            </w:r>
          </w:p>
        </w:tc>
        <w:tc>
          <w:tcPr>
            <w:tcW w:w="907" w:type="dxa"/>
            <w:tcBorders>
              <w:top w:val="nil"/>
              <w:left w:val="nil"/>
              <w:bottom w:val="nil"/>
              <w:right w:val="nil"/>
            </w:tcBorders>
            <w:shd w:val="clear" w:color="auto" w:fill="auto"/>
            <w:noWrap/>
            <w:vAlign w:val="bottom"/>
            <w:hideMark/>
          </w:tcPr>
          <w:p w14:paraId="09E00A1D"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1000.0</w:t>
            </w:r>
          </w:p>
        </w:tc>
        <w:tc>
          <w:tcPr>
            <w:tcW w:w="907" w:type="dxa"/>
            <w:tcBorders>
              <w:top w:val="nil"/>
              <w:left w:val="nil"/>
              <w:bottom w:val="nil"/>
              <w:right w:val="nil"/>
            </w:tcBorders>
            <w:shd w:val="clear" w:color="auto" w:fill="auto"/>
            <w:noWrap/>
            <w:vAlign w:val="bottom"/>
            <w:hideMark/>
          </w:tcPr>
          <w:p w14:paraId="72F0A4F1"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2.0</w:t>
            </w:r>
          </w:p>
        </w:tc>
        <w:tc>
          <w:tcPr>
            <w:tcW w:w="1121" w:type="dxa"/>
            <w:tcBorders>
              <w:top w:val="nil"/>
              <w:left w:val="nil"/>
              <w:bottom w:val="nil"/>
              <w:right w:val="nil"/>
            </w:tcBorders>
            <w:shd w:val="clear" w:color="auto" w:fill="auto"/>
            <w:noWrap/>
            <w:vAlign w:val="bottom"/>
            <w:hideMark/>
          </w:tcPr>
          <w:p w14:paraId="14F4AA6A"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13.9</w:t>
            </w:r>
          </w:p>
        </w:tc>
      </w:tr>
      <w:tr w:rsidR="00EA6568" w:rsidRPr="00506E50" w14:paraId="5D861FDE" w14:textId="77777777" w:rsidTr="007A1BD1">
        <w:trPr>
          <w:trHeight w:val="255"/>
        </w:trPr>
        <w:tc>
          <w:tcPr>
            <w:tcW w:w="739" w:type="dxa"/>
            <w:tcBorders>
              <w:top w:val="nil"/>
              <w:left w:val="nil"/>
              <w:bottom w:val="nil"/>
              <w:right w:val="nil"/>
            </w:tcBorders>
            <w:shd w:val="clear" w:color="auto" w:fill="auto"/>
            <w:noWrap/>
            <w:vAlign w:val="bottom"/>
            <w:hideMark/>
          </w:tcPr>
          <w:p w14:paraId="1E3CF0FF"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NR</w:t>
            </w:r>
          </w:p>
        </w:tc>
        <w:tc>
          <w:tcPr>
            <w:tcW w:w="2721" w:type="dxa"/>
            <w:tcBorders>
              <w:top w:val="nil"/>
              <w:left w:val="nil"/>
              <w:bottom w:val="nil"/>
              <w:right w:val="nil"/>
            </w:tcBorders>
            <w:shd w:val="clear" w:color="auto" w:fill="auto"/>
            <w:noWrap/>
            <w:vAlign w:val="bottom"/>
            <w:hideMark/>
          </w:tcPr>
          <w:p w14:paraId="22F63264" w14:textId="77777777" w:rsidR="00EA6568" w:rsidRPr="00056BD0" w:rsidRDefault="00EA6568" w:rsidP="00FA51D3">
            <w:pPr>
              <w:spacing w:after="0" w:line="240" w:lineRule="auto"/>
              <w:rPr>
                <w:rFonts w:ascii="Times New Roman" w:eastAsia="Times New Roman" w:hAnsi="Times New Roman" w:cs="Times New Roman"/>
                <w:bCs/>
              </w:rPr>
            </w:pPr>
            <w:r w:rsidRPr="00056BD0">
              <w:rPr>
                <w:rFonts w:ascii="Times New Roman" w:eastAsia="Times New Roman" w:hAnsi="Times New Roman" w:cs="Times New Roman"/>
                <w:bCs/>
              </w:rPr>
              <w:t>Economic Papers</w:t>
            </w:r>
          </w:p>
        </w:tc>
        <w:tc>
          <w:tcPr>
            <w:tcW w:w="907" w:type="dxa"/>
            <w:tcBorders>
              <w:top w:val="nil"/>
              <w:left w:val="nil"/>
              <w:bottom w:val="nil"/>
              <w:right w:val="nil"/>
            </w:tcBorders>
            <w:shd w:val="clear" w:color="auto" w:fill="auto"/>
            <w:noWrap/>
            <w:vAlign w:val="bottom"/>
            <w:hideMark/>
          </w:tcPr>
          <w:p w14:paraId="59F7F24E"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637.00</w:t>
            </w:r>
          </w:p>
        </w:tc>
        <w:tc>
          <w:tcPr>
            <w:tcW w:w="907" w:type="dxa"/>
            <w:tcBorders>
              <w:top w:val="nil"/>
              <w:left w:val="nil"/>
              <w:bottom w:val="nil"/>
              <w:right w:val="nil"/>
            </w:tcBorders>
            <w:shd w:val="clear" w:color="auto" w:fill="auto"/>
            <w:noWrap/>
            <w:vAlign w:val="bottom"/>
            <w:hideMark/>
          </w:tcPr>
          <w:p w14:paraId="18177B39"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171.30</w:t>
            </w:r>
          </w:p>
        </w:tc>
        <w:tc>
          <w:tcPr>
            <w:tcW w:w="907" w:type="dxa"/>
            <w:tcBorders>
              <w:top w:val="nil"/>
              <w:left w:val="nil"/>
              <w:bottom w:val="nil"/>
              <w:right w:val="nil"/>
            </w:tcBorders>
            <w:shd w:val="clear" w:color="auto" w:fill="auto"/>
            <w:noWrap/>
            <w:vAlign w:val="bottom"/>
            <w:hideMark/>
          </w:tcPr>
          <w:p w14:paraId="57DEE7DD"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NR</w:t>
            </w:r>
          </w:p>
        </w:tc>
        <w:tc>
          <w:tcPr>
            <w:tcW w:w="907" w:type="dxa"/>
            <w:tcBorders>
              <w:top w:val="nil"/>
              <w:left w:val="nil"/>
              <w:bottom w:val="nil"/>
              <w:right w:val="nil"/>
            </w:tcBorders>
            <w:shd w:val="clear" w:color="auto" w:fill="auto"/>
            <w:noWrap/>
            <w:vAlign w:val="bottom"/>
            <w:hideMark/>
          </w:tcPr>
          <w:p w14:paraId="1D71DEEE"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NR</w:t>
            </w:r>
          </w:p>
        </w:tc>
        <w:tc>
          <w:tcPr>
            <w:tcW w:w="907" w:type="dxa"/>
            <w:tcBorders>
              <w:top w:val="nil"/>
              <w:left w:val="nil"/>
              <w:bottom w:val="nil"/>
              <w:right w:val="nil"/>
            </w:tcBorders>
            <w:shd w:val="clear" w:color="auto" w:fill="auto"/>
            <w:noWrap/>
            <w:vAlign w:val="bottom"/>
            <w:hideMark/>
          </w:tcPr>
          <w:p w14:paraId="34821B8A"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2.0</w:t>
            </w:r>
          </w:p>
        </w:tc>
        <w:tc>
          <w:tcPr>
            <w:tcW w:w="1121" w:type="dxa"/>
            <w:tcBorders>
              <w:top w:val="nil"/>
              <w:left w:val="nil"/>
              <w:bottom w:val="nil"/>
              <w:right w:val="nil"/>
            </w:tcBorders>
            <w:shd w:val="clear" w:color="auto" w:fill="auto"/>
            <w:noWrap/>
            <w:vAlign w:val="bottom"/>
            <w:hideMark/>
          </w:tcPr>
          <w:p w14:paraId="7E67571E" w14:textId="77777777" w:rsidR="00EA6568" w:rsidRPr="00056BD0" w:rsidRDefault="00EA6568"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13.9</w:t>
            </w:r>
          </w:p>
        </w:tc>
      </w:tr>
      <w:tr w:rsidR="00EA6568" w:rsidRPr="00506E50" w14:paraId="02AD1523" w14:textId="77777777" w:rsidTr="007A1BD1">
        <w:trPr>
          <w:trHeight w:val="255"/>
        </w:trPr>
        <w:tc>
          <w:tcPr>
            <w:tcW w:w="9116" w:type="dxa"/>
            <w:gridSpan w:val="8"/>
            <w:tcBorders>
              <w:top w:val="single" w:sz="4" w:space="0" w:color="auto"/>
              <w:left w:val="nil"/>
              <w:bottom w:val="nil"/>
              <w:right w:val="nil"/>
            </w:tcBorders>
            <w:shd w:val="clear" w:color="auto" w:fill="auto"/>
            <w:noWrap/>
            <w:vAlign w:val="bottom"/>
          </w:tcPr>
          <w:p w14:paraId="74808CF9" w14:textId="6F31FEFB" w:rsidR="00EA6568" w:rsidRPr="00B02C10" w:rsidRDefault="007A1BD1" w:rsidP="00FA51D3">
            <w:pPr>
              <w:spacing w:after="0" w:line="240" w:lineRule="auto"/>
              <w:rPr>
                <w:rFonts w:ascii="Times New Roman" w:eastAsia="Times New Roman" w:hAnsi="Times New Roman" w:cs="Times New Roman"/>
                <w:sz w:val="20"/>
                <w:szCs w:val="20"/>
              </w:rPr>
            </w:pPr>
            <w:r w:rsidRPr="006A76A1">
              <w:rPr>
                <w:rFonts w:ascii="Times New Roman" w:eastAsia="Times New Roman" w:hAnsi="Times New Roman" w:cs="Times New Roman"/>
                <w:i/>
                <w:sz w:val="20"/>
                <w:szCs w:val="20"/>
              </w:rPr>
              <w:t>Note 1</w:t>
            </w:r>
            <w:r>
              <w:rPr>
                <w:rFonts w:ascii="Times New Roman" w:eastAsia="Times New Roman" w:hAnsi="Times New Roman" w:cs="Times New Roman"/>
                <w:sz w:val="20"/>
                <w:szCs w:val="20"/>
              </w:rPr>
              <w:t>:</w:t>
            </w:r>
            <w:r w:rsidR="00EA6568" w:rsidRPr="00B02C10">
              <w:rPr>
                <w:rFonts w:ascii="Times New Roman" w:eastAsia="Times New Roman" w:hAnsi="Times New Roman" w:cs="Times New Roman"/>
                <w:sz w:val="20"/>
                <w:szCs w:val="20"/>
              </w:rPr>
              <w:t xml:space="preserve">  Rank is that associated </w:t>
            </w:r>
            <w:proofErr w:type="spellStart"/>
            <w:r w:rsidR="00EA6568" w:rsidRPr="00B02C10">
              <w:rPr>
                <w:rFonts w:ascii="Times New Roman" w:eastAsia="Times New Roman" w:hAnsi="Times New Roman" w:cs="Times New Roman"/>
                <w:sz w:val="20"/>
                <w:szCs w:val="20"/>
              </w:rPr>
              <w:t>CLm.</w:t>
            </w:r>
            <w:proofErr w:type="spellEnd"/>
            <w:r>
              <w:rPr>
                <w:rFonts w:ascii="Times New Roman" w:eastAsia="Times New Roman" w:hAnsi="Times New Roman" w:cs="Times New Roman"/>
                <w:sz w:val="20"/>
                <w:szCs w:val="20"/>
              </w:rPr>
              <w:t xml:space="preserve"> </w:t>
            </w:r>
          </w:p>
        </w:tc>
      </w:tr>
      <w:tr w:rsidR="00EA6568" w:rsidRPr="00506E50" w14:paraId="268160C6" w14:textId="77777777" w:rsidTr="007A1BD1">
        <w:trPr>
          <w:trHeight w:val="255"/>
        </w:trPr>
        <w:tc>
          <w:tcPr>
            <w:tcW w:w="9116" w:type="dxa"/>
            <w:gridSpan w:val="8"/>
            <w:tcBorders>
              <w:top w:val="nil"/>
              <w:left w:val="nil"/>
              <w:bottom w:val="nil"/>
              <w:right w:val="nil"/>
            </w:tcBorders>
            <w:shd w:val="clear" w:color="auto" w:fill="auto"/>
            <w:noWrap/>
            <w:vAlign w:val="bottom"/>
          </w:tcPr>
          <w:p w14:paraId="154164B3" w14:textId="77777777" w:rsidR="00EA6568" w:rsidRDefault="00EA6568" w:rsidP="00FA51D3">
            <w:pPr>
              <w:spacing w:after="0" w:line="240" w:lineRule="auto"/>
              <w:rPr>
                <w:rFonts w:ascii="Times New Roman" w:eastAsia="Times New Roman" w:hAnsi="Times New Roman" w:cs="Times New Roman"/>
                <w:sz w:val="20"/>
                <w:szCs w:val="20"/>
              </w:rPr>
            </w:pPr>
            <w:r w:rsidRPr="006A76A1">
              <w:rPr>
                <w:rFonts w:ascii="Times New Roman" w:eastAsia="Times New Roman" w:hAnsi="Times New Roman" w:cs="Times New Roman"/>
                <w:i/>
                <w:sz w:val="20"/>
                <w:szCs w:val="20"/>
              </w:rPr>
              <w:t>Note</w:t>
            </w:r>
            <w:r w:rsidR="00B02C10" w:rsidRPr="006A76A1">
              <w:rPr>
                <w:rFonts w:ascii="Times New Roman" w:eastAsia="Times New Roman" w:hAnsi="Times New Roman" w:cs="Times New Roman"/>
                <w:i/>
                <w:sz w:val="20"/>
                <w:szCs w:val="20"/>
              </w:rPr>
              <w:t xml:space="preserve"> </w:t>
            </w:r>
            <w:r w:rsidRPr="006A76A1">
              <w:rPr>
                <w:rFonts w:ascii="Times New Roman" w:eastAsia="Times New Roman" w:hAnsi="Times New Roman" w:cs="Times New Roman"/>
                <w:i/>
                <w:sz w:val="20"/>
                <w:szCs w:val="20"/>
              </w:rPr>
              <w:t>2</w:t>
            </w:r>
            <w:r w:rsidRPr="00B02C10">
              <w:rPr>
                <w:rFonts w:ascii="Times New Roman" w:eastAsia="Times New Roman" w:hAnsi="Times New Roman" w:cs="Times New Roman"/>
                <w:sz w:val="20"/>
                <w:szCs w:val="20"/>
              </w:rPr>
              <w:t>:  Journals ranked 10th, 150th and 200th did not publish articles by NZ-based academics over the 2006-2011 period;</w:t>
            </w:r>
          </w:p>
          <w:p w14:paraId="6C3B4BC8" w14:textId="77777777" w:rsidR="001B3597" w:rsidRDefault="001B3597" w:rsidP="00FA51D3">
            <w:pPr>
              <w:spacing w:after="0" w:line="240" w:lineRule="auto"/>
              <w:rPr>
                <w:rFonts w:ascii="Times New Roman" w:eastAsia="Times New Roman" w:hAnsi="Times New Roman" w:cs="Times New Roman"/>
                <w:sz w:val="20"/>
                <w:szCs w:val="20"/>
              </w:rPr>
            </w:pPr>
          </w:p>
          <w:p w14:paraId="39D71923" w14:textId="77777777" w:rsidR="00567DDE" w:rsidRDefault="00567DDE" w:rsidP="00FA51D3">
            <w:pPr>
              <w:spacing w:after="0" w:line="240" w:lineRule="auto"/>
              <w:rPr>
                <w:rFonts w:ascii="Times New Roman" w:eastAsia="Times New Roman" w:hAnsi="Times New Roman" w:cs="Times New Roman"/>
                <w:sz w:val="20"/>
                <w:szCs w:val="20"/>
              </w:rPr>
            </w:pPr>
          </w:p>
          <w:p w14:paraId="5FB5D039" w14:textId="77777777" w:rsidR="00567DDE" w:rsidRDefault="00567DDE" w:rsidP="00567DDE">
            <w:pPr>
              <w:spacing w:after="0" w:line="288" w:lineRule="auto"/>
              <w:ind w:firstLine="720"/>
              <w:jc w:val="both"/>
              <w:rPr>
                <w:rFonts w:ascii="Times New Roman" w:hAnsi="Times New Roman" w:cs="Times New Roman"/>
                <w:sz w:val="24"/>
                <w:szCs w:val="24"/>
              </w:rPr>
            </w:pPr>
          </w:p>
          <w:p w14:paraId="006E1D50" w14:textId="77777777" w:rsidR="00567DDE" w:rsidRDefault="00567DDE" w:rsidP="00567DDE">
            <w:pPr>
              <w:spacing w:after="0" w:line="288" w:lineRule="auto"/>
              <w:ind w:firstLine="720"/>
              <w:jc w:val="both"/>
              <w:rPr>
                <w:rFonts w:ascii="Times New Roman" w:hAnsi="Times New Roman" w:cs="Times New Roman"/>
                <w:sz w:val="24"/>
                <w:szCs w:val="24"/>
              </w:rPr>
            </w:pPr>
            <w:r w:rsidRPr="00B83421">
              <w:rPr>
                <w:rFonts w:ascii="Times New Roman" w:hAnsi="Times New Roman" w:cs="Times New Roman"/>
                <w:sz w:val="24"/>
                <w:szCs w:val="24"/>
              </w:rPr>
              <w:t xml:space="preserve">For each of our seven JWS we calculate a number of plausible measures of research output.  Following the prevailing approach in the literature, we share adjust pages and papers using the 1/n rule (where n is the number of authors on the paper), and for page output estimates, we adjust for size differences between journals with the </w:t>
            </w:r>
            <w:r w:rsidRPr="00B83421">
              <w:rPr>
                <w:rFonts w:ascii="Times New Roman" w:hAnsi="Times New Roman" w:cs="Times New Roman"/>
                <w:i/>
                <w:sz w:val="24"/>
                <w:szCs w:val="24"/>
              </w:rPr>
              <w:t xml:space="preserve">American </w:t>
            </w:r>
            <w:r w:rsidRPr="00B83421">
              <w:rPr>
                <w:rFonts w:ascii="Times New Roman" w:hAnsi="Times New Roman" w:cs="Times New Roman"/>
                <w:i/>
                <w:sz w:val="24"/>
                <w:szCs w:val="24"/>
              </w:rPr>
              <w:lastRenderedPageBreak/>
              <w:t>Economic Review (AER)</w:t>
            </w:r>
            <w:r w:rsidRPr="00B83421">
              <w:rPr>
                <w:rFonts w:ascii="Times New Roman" w:hAnsi="Times New Roman" w:cs="Times New Roman"/>
                <w:sz w:val="24"/>
                <w:szCs w:val="24"/>
              </w:rPr>
              <w:t xml:space="preserve"> serving as the standard.</w:t>
            </w:r>
            <w:r w:rsidRPr="00B83421">
              <w:rPr>
                <w:rStyle w:val="FootnoteReference"/>
                <w:rFonts w:ascii="Times New Roman" w:hAnsi="Times New Roman" w:cs="Times New Roman"/>
                <w:sz w:val="24"/>
                <w:szCs w:val="24"/>
              </w:rPr>
              <w:footnoteReference w:id="15"/>
            </w:r>
            <w:r w:rsidRPr="00B83421">
              <w:rPr>
                <w:rFonts w:ascii="Times New Roman" w:hAnsi="Times New Roman" w:cs="Times New Roman"/>
                <w:sz w:val="24"/>
                <w:szCs w:val="24"/>
              </w:rPr>
              <w:t xml:space="preserve"> In summary, the share and sized adjusted page and the share adjusted paper are our base measures, with a personal preference for the former.  However, we also generate researcher rankings based on relaxation of the above assumptions.  </w:t>
            </w:r>
          </w:p>
          <w:p w14:paraId="0BEC39B2" w14:textId="77777777" w:rsidR="00567DDE" w:rsidRDefault="00567DDE" w:rsidP="00FA51D3">
            <w:pPr>
              <w:spacing w:after="0" w:line="240" w:lineRule="auto"/>
              <w:rPr>
                <w:rFonts w:ascii="Times New Roman" w:eastAsia="Times New Roman" w:hAnsi="Times New Roman" w:cs="Times New Roman"/>
                <w:sz w:val="20"/>
                <w:szCs w:val="20"/>
              </w:rPr>
            </w:pPr>
          </w:p>
          <w:p w14:paraId="451089C0" w14:textId="6CDF5066" w:rsidR="00567DDE" w:rsidRPr="00B02C10" w:rsidRDefault="00567DDE" w:rsidP="00FA51D3">
            <w:pPr>
              <w:spacing w:after="0" w:line="240" w:lineRule="auto"/>
              <w:rPr>
                <w:rFonts w:ascii="Times New Roman" w:eastAsia="Times New Roman" w:hAnsi="Times New Roman" w:cs="Times New Roman"/>
                <w:sz w:val="20"/>
                <w:szCs w:val="20"/>
              </w:rPr>
            </w:pPr>
          </w:p>
        </w:tc>
      </w:tr>
    </w:tbl>
    <w:p w14:paraId="292B6E69" w14:textId="77777777" w:rsidR="008C2D96" w:rsidRPr="00EA6568" w:rsidRDefault="00D93B6C" w:rsidP="00316E1D">
      <w:pPr>
        <w:pStyle w:val="ListParagraph"/>
        <w:numPr>
          <w:ilvl w:val="0"/>
          <w:numId w:val="3"/>
        </w:numPr>
        <w:spacing w:after="0" w:line="288" w:lineRule="auto"/>
        <w:ind w:left="426" w:hanging="426"/>
        <w:jc w:val="both"/>
        <w:rPr>
          <w:rFonts w:ascii="Times New Roman" w:hAnsi="Times New Roman" w:cs="Times New Roman"/>
          <w:b/>
          <w:sz w:val="24"/>
          <w:szCs w:val="24"/>
        </w:rPr>
      </w:pPr>
      <w:r w:rsidRPr="00EA6568">
        <w:rPr>
          <w:rFonts w:ascii="Times New Roman" w:hAnsi="Times New Roman" w:cs="Times New Roman"/>
          <w:b/>
          <w:sz w:val="24"/>
          <w:szCs w:val="24"/>
        </w:rPr>
        <w:lastRenderedPageBreak/>
        <w:t>Results</w:t>
      </w:r>
      <w:r w:rsidR="00031C0C" w:rsidRPr="00EA6568">
        <w:rPr>
          <w:rFonts w:ascii="Times New Roman" w:hAnsi="Times New Roman" w:cs="Times New Roman"/>
          <w:b/>
          <w:sz w:val="24"/>
          <w:szCs w:val="24"/>
        </w:rPr>
        <w:t xml:space="preserve"> </w:t>
      </w:r>
    </w:p>
    <w:p w14:paraId="53C265E8" w14:textId="2D5AE932" w:rsidR="00656FB9" w:rsidRDefault="00656FB9" w:rsidP="00316E1D">
      <w:pPr>
        <w:spacing w:after="0" w:line="288" w:lineRule="auto"/>
        <w:jc w:val="both"/>
        <w:rPr>
          <w:rFonts w:ascii="Times New Roman" w:hAnsi="Times New Roman" w:cs="Times New Roman"/>
          <w:sz w:val="24"/>
          <w:szCs w:val="24"/>
        </w:rPr>
      </w:pPr>
      <w:r w:rsidRPr="00B83421">
        <w:rPr>
          <w:rFonts w:ascii="Times New Roman" w:hAnsi="Times New Roman" w:cs="Times New Roman"/>
          <w:sz w:val="24"/>
          <w:szCs w:val="24"/>
        </w:rPr>
        <w:t xml:space="preserve">Our intention is not to select the </w:t>
      </w:r>
      <w:r w:rsidR="00FA51D3">
        <w:rPr>
          <w:rFonts w:ascii="Times New Roman" w:hAnsi="Times New Roman" w:cs="Times New Roman"/>
          <w:sz w:val="24"/>
          <w:szCs w:val="24"/>
        </w:rPr>
        <w:t>'</w:t>
      </w:r>
      <w:r w:rsidRPr="00B83421">
        <w:rPr>
          <w:rFonts w:ascii="Times New Roman" w:hAnsi="Times New Roman" w:cs="Times New Roman"/>
          <w:sz w:val="24"/>
          <w:szCs w:val="24"/>
        </w:rPr>
        <w:t>best</w:t>
      </w:r>
      <w:r w:rsidR="00FA51D3">
        <w:rPr>
          <w:rFonts w:ascii="Times New Roman" w:hAnsi="Times New Roman" w:cs="Times New Roman"/>
          <w:sz w:val="24"/>
          <w:szCs w:val="24"/>
        </w:rPr>
        <w:t>'</w:t>
      </w:r>
      <w:r w:rsidRPr="00B83421">
        <w:rPr>
          <w:rFonts w:ascii="Times New Roman" w:hAnsi="Times New Roman" w:cs="Times New Roman"/>
          <w:sz w:val="24"/>
          <w:szCs w:val="24"/>
        </w:rPr>
        <w:t xml:space="preserve"> journal weighting scheme or unit of output, something that is neigh impossible given the subjectivity involved, but to focus on the stability of the rankings across various plausible RAMs.  To assess rank stability we use both Spearman rank correlation coefficients (SP) and the Kendall Tau (</w:t>
      </w:r>
      <w:r w:rsidR="00926D1F" w:rsidRPr="00B83421">
        <w:rPr>
          <w:rFonts w:ascii="Times New Roman" w:hAnsi="Times New Roman" w:cs="Times New Roman"/>
          <w:sz w:val="24"/>
          <w:szCs w:val="24"/>
        </w:rPr>
        <w:t>b) correlation</w:t>
      </w:r>
      <w:r w:rsidRPr="00B83421">
        <w:rPr>
          <w:rFonts w:ascii="Times New Roman" w:hAnsi="Times New Roman" w:cs="Times New Roman"/>
          <w:sz w:val="24"/>
          <w:szCs w:val="24"/>
        </w:rPr>
        <w:t xml:space="preserve"> coefficients</w:t>
      </w:r>
      <w:r w:rsidR="00926D1F" w:rsidRPr="00B83421">
        <w:rPr>
          <w:rFonts w:ascii="Times New Roman" w:hAnsi="Times New Roman" w:cs="Times New Roman"/>
          <w:sz w:val="24"/>
          <w:szCs w:val="24"/>
        </w:rPr>
        <w:t xml:space="preserve"> (KT)</w:t>
      </w:r>
      <w:r w:rsidRPr="00B83421">
        <w:rPr>
          <w:rFonts w:ascii="Times New Roman" w:hAnsi="Times New Roman" w:cs="Times New Roman"/>
          <w:sz w:val="24"/>
          <w:szCs w:val="24"/>
        </w:rPr>
        <w:t xml:space="preserve">.  </w:t>
      </w:r>
      <w:r w:rsidR="00926D1F" w:rsidRPr="00B83421">
        <w:rPr>
          <w:rFonts w:ascii="Times New Roman" w:hAnsi="Times New Roman" w:cs="Times New Roman"/>
          <w:sz w:val="24"/>
          <w:szCs w:val="24"/>
        </w:rPr>
        <w:t xml:space="preserve">The </w:t>
      </w:r>
      <w:r w:rsidRPr="00B83421">
        <w:rPr>
          <w:rFonts w:ascii="Times New Roman" w:hAnsi="Times New Roman" w:cs="Times New Roman"/>
          <w:sz w:val="24"/>
          <w:szCs w:val="24"/>
        </w:rPr>
        <w:t>SP provides a measure of the linear relationship between the ranks resulting from the application of two RAMs.  Since differences in ranks are squared in calculating SP</w:t>
      </w:r>
      <w:r w:rsidR="00BA5E6B" w:rsidRPr="00B83421">
        <w:rPr>
          <w:rFonts w:ascii="Times New Roman" w:hAnsi="Times New Roman" w:cs="Times New Roman"/>
          <w:sz w:val="24"/>
          <w:szCs w:val="24"/>
        </w:rPr>
        <w:t>,</w:t>
      </w:r>
      <w:r w:rsidRPr="00B83421">
        <w:rPr>
          <w:rFonts w:ascii="Times New Roman" w:hAnsi="Times New Roman" w:cs="Times New Roman"/>
          <w:sz w:val="24"/>
          <w:szCs w:val="24"/>
        </w:rPr>
        <w:t xml:space="preserve"> it places greater emphasis on large differences in ranks.  </w:t>
      </w:r>
      <w:r w:rsidR="00926D1F" w:rsidRPr="00B83421">
        <w:rPr>
          <w:rFonts w:ascii="Times New Roman" w:hAnsi="Times New Roman" w:cs="Times New Roman"/>
          <w:sz w:val="24"/>
          <w:szCs w:val="24"/>
        </w:rPr>
        <w:t xml:space="preserve">The </w:t>
      </w:r>
      <w:r w:rsidRPr="00B83421">
        <w:rPr>
          <w:rFonts w:ascii="Times New Roman" w:hAnsi="Times New Roman" w:cs="Times New Roman"/>
          <w:sz w:val="24"/>
          <w:szCs w:val="24"/>
        </w:rPr>
        <w:t>KT is particularly useful for th</w:t>
      </w:r>
      <w:r w:rsidR="00DB5376" w:rsidRPr="00B83421">
        <w:rPr>
          <w:rFonts w:ascii="Times New Roman" w:hAnsi="Times New Roman" w:cs="Times New Roman"/>
          <w:sz w:val="24"/>
          <w:szCs w:val="24"/>
        </w:rPr>
        <w:t>is</w:t>
      </w:r>
      <w:r w:rsidRPr="00B83421">
        <w:rPr>
          <w:rFonts w:ascii="Times New Roman" w:hAnsi="Times New Roman" w:cs="Times New Roman"/>
          <w:sz w:val="24"/>
          <w:szCs w:val="24"/>
        </w:rPr>
        <w:t xml:space="preserve"> paper since it provides a direct measure of changes in the ordering of pairs of academics in moving from rankings</w:t>
      </w:r>
      <w:r w:rsidR="003F3B21" w:rsidRPr="00B83421">
        <w:rPr>
          <w:rFonts w:ascii="Times New Roman" w:hAnsi="Times New Roman" w:cs="Times New Roman"/>
          <w:sz w:val="24"/>
          <w:szCs w:val="24"/>
        </w:rPr>
        <w:t xml:space="preserve"> using one </w:t>
      </w:r>
      <w:r w:rsidRPr="00B83421">
        <w:rPr>
          <w:rFonts w:ascii="Times New Roman" w:hAnsi="Times New Roman" w:cs="Times New Roman"/>
          <w:sz w:val="24"/>
          <w:szCs w:val="24"/>
        </w:rPr>
        <w:t xml:space="preserve">measure to another.  </w:t>
      </w:r>
      <w:r w:rsidR="00926D1F" w:rsidRPr="00B83421">
        <w:rPr>
          <w:rFonts w:ascii="Times New Roman" w:hAnsi="Times New Roman" w:cs="Times New Roman"/>
          <w:sz w:val="24"/>
          <w:szCs w:val="24"/>
        </w:rPr>
        <w:t xml:space="preserve">The </w:t>
      </w:r>
      <w:r w:rsidRPr="00B83421">
        <w:rPr>
          <w:rFonts w:ascii="Times New Roman" w:hAnsi="Times New Roman" w:cs="Times New Roman"/>
          <w:sz w:val="24"/>
          <w:szCs w:val="24"/>
        </w:rPr>
        <w:t xml:space="preserve">KT is based on the differences between the proportion of pairs that are in the same order in the two measures (concordant) and the proportion that </w:t>
      </w:r>
      <w:r w:rsidR="00BD0CDA" w:rsidRPr="00B83421">
        <w:rPr>
          <w:rFonts w:ascii="Times New Roman" w:hAnsi="Times New Roman" w:cs="Times New Roman"/>
          <w:sz w:val="24"/>
          <w:szCs w:val="24"/>
        </w:rPr>
        <w:t xml:space="preserve">are </w:t>
      </w:r>
      <w:r w:rsidRPr="00B83421">
        <w:rPr>
          <w:rFonts w:ascii="Times New Roman" w:hAnsi="Times New Roman" w:cs="Times New Roman"/>
          <w:sz w:val="24"/>
          <w:szCs w:val="24"/>
        </w:rPr>
        <w:t>in the opposite order (discordant), i.e. the probability that a pair selected randomly is concordant less the probability that it is discordant.</w:t>
      </w:r>
      <w:r w:rsidRPr="00B83421">
        <w:rPr>
          <w:rStyle w:val="FootnoteReference"/>
          <w:rFonts w:ascii="Times New Roman" w:hAnsi="Times New Roman" w:cs="Times New Roman"/>
          <w:sz w:val="24"/>
          <w:szCs w:val="24"/>
        </w:rPr>
        <w:footnoteReference w:id="16"/>
      </w:r>
      <w:r w:rsidRPr="00B83421">
        <w:rPr>
          <w:rFonts w:ascii="Times New Roman" w:hAnsi="Times New Roman" w:cs="Times New Roman"/>
          <w:sz w:val="24"/>
          <w:szCs w:val="24"/>
        </w:rPr>
        <w:t xml:space="preserve"> </w:t>
      </w:r>
    </w:p>
    <w:p w14:paraId="368FFCA2" w14:textId="77777777" w:rsidR="00567DDE" w:rsidRDefault="00567DDE" w:rsidP="00316E1D">
      <w:pPr>
        <w:spacing w:after="0" w:line="288" w:lineRule="auto"/>
        <w:jc w:val="both"/>
        <w:rPr>
          <w:rFonts w:ascii="Times New Roman" w:hAnsi="Times New Roman" w:cs="Times New Roman"/>
          <w:sz w:val="24"/>
          <w:szCs w:val="24"/>
        </w:rPr>
      </w:pPr>
    </w:p>
    <w:p w14:paraId="2B7D4565" w14:textId="77777777" w:rsidR="00567DDE" w:rsidRDefault="00567DDE" w:rsidP="00567DDE">
      <w:pPr>
        <w:spacing w:after="0" w:line="288" w:lineRule="auto"/>
        <w:ind w:firstLine="720"/>
        <w:jc w:val="both"/>
        <w:rPr>
          <w:rFonts w:ascii="Times New Roman" w:hAnsi="Times New Roman" w:cs="Times New Roman"/>
          <w:sz w:val="24"/>
          <w:szCs w:val="24"/>
        </w:rPr>
      </w:pPr>
      <w:r w:rsidRPr="00B83421">
        <w:rPr>
          <w:rFonts w:ascii="Times New Roman" w:hAnsi="Times New Roman" w:cs="Times New Roman"/>
          <w:sz w:val="24"/>
          <w:szCs w:val="24"/>
        </w:rPr>
        <w:t>In Table 3</w:t>
      </w:r>
      <w:r>
        <w:rPr>
          <w:rFonts w:ascii="Times New Roman" w:hAnsi="Times New Roman" w:cs="Times New Roman"/>
          <w:sz w:val="24"/>
          <w:szCs w:val="24"/>
        </w:rPr>
        <w:t>(a)</w:t>
      </w:r>
      <w:r w:rsidRPr="00B83421">
        <w:rPr>
          <w:rFonts w:ascii="Times New Roman" w:hAnsi="Times New Roman" w:cs="Times New Roman"/>
          <w:sz w:val="24"/>
          <w:szCs w:val="24"/>
        </w:rPr>
        <w:t xml:space="preserve"> we show SP and KT for various combinations of JWS, with the unit of output defined as share and size adjusted pages.</w:t>
      </w:r>
      <w:r w:rsidRPr="00B83421">
        <w:rPr>
          <w:rStyle w:val="FootnoteReference"/>
          <w:rFonts w:ascii="Times New Roman" w:hAnsi="Times New Roman" w:cs="Times New Roman"/>
          <w:sz w:val="24"/>
          <w:szCs w:val="24"/>
        </w:rPr>
        <w:footnoteReference w:id="17"/>
      </w:r>
      <w:r w:rsidRPr="00B83421">
        <w:rPr>
          <w:rFonts w:ascii="Times New Roman" w:hAnsi="Times New Roman" w:cs="Times New Roman"/>
          <w:sz w:val="24"/>
          <w:szCs w:val="24"/>
        </w:rPr>
        <w:t xml:space="preserve">  Note the relatively high degree of correlation between all combinations presented in the table: the SP (shown in parenthesis) range from 0.83 for </w:t>
      </w:r>
      <w:proofErr w:type="spellStart"/>
      <w:r w:rsidRPr="00B83421">
        <w:rPr>
          <w:rFonts w:ascii="Times New Roman" w:hAnsi="Times New Roman" w:cs="Times New Roman"/>
          <w:b/>
          <w:sz w:val="24"/>
          <w:szCs w:val="24"/>
        </w:rPr>
        <w:t>CLh</w:t>
      </w:r>
      <w:proofErr w:type="gramStart"/>
      <w:r w:rsidRPr="00B83421">
        <w:rPr>
          <w:rFonts w:ascii="Times New Roman" w:hAnsi="Times New Roman" w:cs="Times New Roman"/>
          <w:b/>
          <w:sz w:val="24"/>
          <w:szCs w:val="24"/>
        </w:rPr>
        <w:t>:ABDC</w:t>
      </w:r>
      <w:proofErr w:type="spellEnd"/>
      <w:proofErr w:type="gramEnd"/>
      <w:r w:rsidRPr="00B83421">
        <w:rPr>
          <w:rFonts w:ascii="Times New Roman" w:hAnsi="Times New Roman" w:cs="Times New Roman"/>
          <w:sz w:val="24"/>
          <w:szCs w:val="24"/>
        </w:rPr>
        <w:t xml:space="preserve"> to 0.99 for </w:t>
      </w:r>
      <w:proofErr w:type="spellStart"/>
      <w:r w:rsidRPr="00B83421">
        <w:rPr>
          <w:rFonts w:ascii="Times New Roman" w:hAnsi="Times New Roman" w:cs="Times New Roman"/>
          <w:b/>
          <w:sz w:val="24"/>
          <w:szCs w:val="24"/>
        </w:rPr>
        <w:t>CLm:AVJWS</w:t>
      </w:r>
      <w:proofErr w:type="spellEnd"/>
      <w:r w:rsidRPr="00B83421">
        <w:rPr>
          <w:rFonts w:ascii="Times New Roman" w:hAnsi="Times New Roman" w:cs="Times New Roman"/>
          <w:sz w:val="24"/>
          <w:szCs w:val="24"/>
        </w:rPr>
        <w:t xml:space="preserve">, with the vast majority of pairs displaying SP greater than 0.90.  As expected, the rankings generated by the two schemes based on iterative/ eigenfactor methodology, </w:t>
      </w:r>
      <w:proofErr w:type="spellStart"/>
      <w:r w:rsidRPr="00B83421">
        <w:rPr>
          <w:rFonts w:ascii="Times New Roman" w:hAnsi="Times New Roman" w:cs="Times New Roman"/>
          <w:b/>
          <w:sz w:val="24"/>
          <w:szCs w:val="24"/>
        </w:rPr>
        <w:t>CLh</w:t>
      </w:r>
      <w:proofErr w:type="spellEnd"/>
      <w:r w:rsidRPr="00B83421">
        <w:rPr>
          <w:rFonts w:ascii="Times New Roman" w:hAnsi="Times New Roman" w:cs="Times New Roman"/>
          <w:sz w:val="24"/>
          <w:szCs w:val="24"/>
        </w:rPr>
        <w:t xml:space="preserve"> and </w:t>
      </w:r>
      <w:proofErr w:type="spellStart"/>
      <w:r w:rsidRPr="00B83421">
        <w:rPr>
          <w:rFonts w:ascii="Times New Roman" w:hAnsi="Times New Roman" w:cs="Times New Roman"/>
          <w:b/>
          <w:sz w:val="24"/>
          <w:szCs w:val="24"/>
        </w:rPr>
        <w:t>Rrec</w:t>
      </w:r>
      <w:proofErr w:type="spellEnd"/>
      <w:r w:rsidRPr="00B83421">
        <w:rPr>
          <w:rFonts w:ascii="Times New Roman" w:hAnsi="Times New Roman" w:cs="Times New Roman"/>
          <w:sz w:val="24"/>
          <w:szCs w:val="24"/>
        </w:rPr>
        <w:t xml:space="preserve">, are highly correlated (SP= 0.95, and KT= 0.80).  On the other hand, </w:t>
      </w:r>
      <w:r w:rsidRPr="00B83421">
        <w:rPr>
          <w:rFonts w:ascii="Times New Roman" w:hAnsi="Times New Roman" w:cs="Times New Roman"/>
          <w:b/>
          <w:sz w:val="24"/>
          <w:szCs w:val="24"/>
        </w:rPr>
        <w:t>ABDC</w:t>
      </w:r>
      <w:r w:rsidRPr="00B83421">
        <w:rPr>
          <w:rFonts w:ascii="Times New Roman" w:hAnsi="Times New Roman" w:cs="Times New Roman"/>
          <w:sz w:val="24"/>
          <w:szCs w:val="24"/>
        </w:rPr>
        <w:t xml:space="preserve">, a journal weighting scheme that assigns a relatively narrow range of values between the top and bottom group of journals, exhibit scores that are at the bottom end of the range of all correlation coefficients listed in the table.  Also of interest are the correlation coefficients associated with </w:t>
      </w:r>
      <w:r w:rsidRPr="00B83421">
        <w:rPr>
          <w:rFonts w:ascii="Times New Roman" w:hAnsi="Times New Roman" w:cs="Times New Roman"/>
          <w:b/>
          <w:sz w:val="24"/>
          <w:szCs w:val="24"/>
        </w:rPr>
        <w:t>AVJWS</w:t>
      </w:r>
      <w:r w:rsidRPr="00B83421">
        <w:rPr>
          <w:rFonts w:ascii="Times New Roman" w:hAnsi="Times New Roman" w:cs="Times New Roman"/>
          <w:sz w:val="24"/>
          <w:szCs w:val="24"/>
        </w:rPr>
        <w:t xml:space="preserve"> (the arithmetic mean of the output estimates of all other JWSs): the minimum values for SP and KT are 0.94 and 0.80, respectively.  This suggests, at least in the context of our sample, that an arbitrarily constructed scheme that covers the range of plausible journal weighting schemes appears to generate a highly stable ranking of researchers.  </w:t>
      </w:r>
    </w:p>
    <w:tbl>
      <w:tblPr>
        <w:tblW w:w="9458" w:type="dxa"/>
        <w:tblInd w:w="93" w:type="dxa"/>
        <w:tblLook w:val="04A0" w:firstRow="1" w:lastRow="0" w:firstColumn="1" w:lastColumn="0" w:noHBand="0" w:noVBand="1"/>
      </w:tblPr>
      <w:tblGrid>
        <w:gridCol w:w="1121"/>
        <w:gridCol w:w="1191"/>
        <w:gridCol w:w="1191"/>
        <w:gridCol w:w="1191"/>
        <w:gridCol w:w="1191"/>
        <w:gridCol w:w="1191"/>
        <w:gridCol w:w="1191"/>
        <w:gridCol w:w="1191"/>
      </w:tblGrid>
      <w:tr w:rsidR="00D20AB4" w:rsidRPr="00056BD0" w14:paraId="661D5D7E" w14:textId="77777777" w:rsidTr="00295630">
        <w:trPr>
          <w:trHeight w:val="737"/>
        </w:trPr>
        <w:tc>
          <w:tcPr>
            <w:tcW w:w="9458" w:type="dxa"/>
            <w:gridSpan w:val="8"/>
            <w:tcBorders>
              <w:left w:val="nil"/>
              <w:bottom w:val="single" w:sz="4" w:space="0" w:color="auto"/>
              <w:right w:val="nil"/>
            </w:tcBorders>
            <w:shd w:val="clear" w:color="auto" w:fill="auto"/>
            <w:noWrap/>
            <w:vAlign w:val="center"/>
            <w:hideMark/>
          </w:tcPr>
          <w:p w14:paraId="572C0E6E" w14:textId="30A1F6D3" w:rsidR="00C53F4C" w:rsidRDefault="00295630" w:rsidP="00C53F4C">
            <w:pPr>
              <w:spacing w:after="0" w:line="240" w:lineRule="auto"/>
              <w:jc w:val="center"/>
              <w:rPr>
                <w:rFonts w:ascii="Times New Roman" w:eastAsia="Times New Roman" w:hAnsi="Times New Roman" w:cs="Times New Roman"/>
                <w:b/>
                <w:bCs/>
                <w:color w:val="000000"/>
              </w:rPr>
            </w:pPr>
            <w:r w:rsidRPr="00295630">
              <w:rPr>
                <w:rFonts w:ascii="Times New Roman" w:eastAsia="Times New Roman" w:hAnsi="Times New Roman" w:cs="Times New Roman"/>
                <w:b/>
                <w:bCs/>
                <w:color w:val="000000"/>
              </w:rPr>
              <w:lastRenderedPageBreak/>
              <w:t>Table 3(a)</w:t>
            </w:r>
            <w:r>
              <w:rPr>
                <w:rFonts w:ascii="Times New Roman" w:eastAsia="Times New Roman" w:hAnsi="Times New Roman" w:cs="Times New Roman"/>
                <w:b/>
                <w:bCs/>
                <w:color w:val="000000"/>
              </w:rPr>
              <w:t xml:space="preserve">: </w:t>
            </w:r>
            <w:r w:rsidRPr="00295630">
              <w:rPr>
                <w:rFonts w:ascii="Times New Roman" w:eastAsia="Times New Roman" w:hAnsi="Times New Roman" w:cs="Times New Roman"/>
                <w:b/>
                <w:bCs/>
                <w:color w:val="000000"/>
              </w:rPr>
              <w:t xml:space="preserve"> </w:t>
            </w:r>
            <w:r w:rsidR="00051ED4" w:rsidRPr="00295630">
              <w:rPr>
                <w:rFonts w:ascii="Times New Roman" w:eastAsia="Times New Roman" w:hAnsi="Times New Roman" w:cs="Times New Roman"/>
                <w:b/>
                <w:bCs/>
                <w:color w:val="000000"/>
              </w:rPr>
              <w:t xml:space="preserve">Kendall's Tau </w:t>
            </w:r>
            <w:r w:rsidR="00E6612C" w:rsidRPr="00295630">
              <w:rPr>
                <w:rFonts w:ascii="Times New Roman" w:eastAsia="Times New Roman" w:hAnsi="Times New Roman" w:cs="Times New Roman"/>
                <w:b/>
                <w:bCs/>
                <w:color w:val="000000"/>
              </w:rPr>
              <w:t>and</w:t>
            </w:r>
            <w:r w:rsidR="009876E0">
              <w:rPr>
                <w:rFonts w:ascii="Times New Roman" w:eastAsia="Times New Roman" w:hAnsi="Times New Roman" w:cs="Times New Roman"/>
                <w:b/>
                <w:bCs/>
                <w:color w:val="000000"/>
              </w:rPr>
              <w:t xml:space="preserve"> Spearman (in P</w:t>
            </w:r>
            <w:r w:rsidR="00242660">
              <w:rPr>
                <w:rFonts w:ascii="Times New Roman" w:eastAsia="Times New Roman" w:hAnsi="Times New Roman" w:cs="Times New Roman"/>
                <w:b/>
                <w:bCs/>
                <w:color w:val="000000"/>
              </w:rPr>
              <w:t>arenthesis) Correlation C</w:t>
            </w:r>
            <w:r w:rsidR="00051ED4" w:rsidRPr="00295630">
              <w:rPr>
                <w:rFonts w:ascii="Times New Roman" w:eastAsia="Times New Roman" w:hAnsi="Times New Roman" w:cs="Times New Roman"/>
                <w:b/>
                <w:bCs/>
                <w:color w:val="000000"/>
              </w:rPr>
              <w:t>oefficients</w:t>
            </w:r>
            <w:r w:rsidR="00242660">
              <w:rPr>
                <w:rFonts w:ascii="Times New Roman" w:eastAsia="Times New Roman" w:hAnsi="Times New Roman" w:cs="Times New Roman"/>
                <w:b/>
                <w:bCs/>
                <w:color w:val="000000"/>
              </w:rPr>
              <w:t xml:space="preserve"> </w:t>
            </w:r>
          </w:p>
          <w:p w14:paraId="25AC82A9" w14:textId="503270BF" w:rsidR="00D20AB4" w:rsidRPr="00242660" w:rsidRDefault="00242660" w:rsidP="00C53F4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Active staff, S</w:t>
            </w:r>
            <w:r w:rsidR="00051ED4" w:rsidRPr="00295630">
              <w:rPr>
                <w:rFonts w:ascii="Times New Roman" w:eastAsia="Times New Roman" w:hAnsi="Times New Roman" w:cs="Times New Roman"/>
                <w:b/>
                <w:bCs/>
                <w:color w:val="000000"/>
              </w:rPr>
              <w:t xml:space="preserve">hare </w:t>
            </w:r>
            <w:r w:rsidR="00E6612C" w:rsidRPr="00295630">
              <w:rPr>
                <w:rFonts w:ascii="Times New Roman" w:eastAsia="Times New Roman" w:hAnsi="Times New Roman" w:cs="Times New Roman"/>
                <w:b/>
                <w:bCs/>
                <w:color w:val="000000"/>
              </w:rPr>
              <w:t>and</w:t>
            </w:r>
            <w:r>
              <w:rPr>
                <w:rFonts w:ascii="Times New Roman" w:eastAsia="Times New Roman" w:hAnsi="Times New Roman" w:cs="Times New Roman"/>
                <w:b/>
                <w:bCs/>
                <w:color w:val="000000"/>
              </w:rPr>
              <w:t xml:space="preserve"> Size Adjusted Pages</w:t>
            </w:r>
          </w:p>
        </w:tc>
      </w:tr>
      <w:tr w:rsidR="00EA6568" w:rsidRPr="00056BD0" w14:paraId="02C146EA" w14:textId="77777777" w:rsidTr="00295630">
        <w:trPr>
          <w:trHeight w:val="397"/>
        </w:trPr>
        <w:tc>
          <w:tcPr>
            <w:tcW w:w="1121" w:type="dxa"/>
            <w:tcBorders>
              <w:top w:val="single" w:sz="4" w:space="0" w:color="auto"/>
              <w:left w:val="nil"/>
              <w:bottom w:val="single" w:sz="4" w:space="0" w:color="auto"/>
              <w:right w:val="nil"/>
            </w:tcBorders>
            <w:shd w:val="clear" w:color="auto" w:fill="auto"/>
            <w:noWrap/>
            <w:vAlign w:val="center"/>
            <w:hideMark/>
          </w:tcPr>
          <w:p w14:paraId="0F988B49" w14:textId="77777777" w:rsidR="00EA6568" w:rsidRPr="00056BD0" w:rsidRDefault="00EA6568" w:rsidP="00FA51D3">
            <w:pPr>
              <w:spacing w:after="0" w:line="240" w:lineRule="auto"/>
              <w:jc w:val="center"/>
              <w:rPr>
                <w:rFonts w:ascii="Times New Roman" w:eastAsia="Times New Roman" w:hAnsi="Times New Roman" w:cs="Times New Roman"/>
                <w:color w:val="000000"/>
              </w:rPr>
            </w:pPr>
          </w:p>
        </w:tc>
        <w:tc>
          <w:tcPr>
            <w:tcW w:w="1191" w:type="dxa"/>
            <w:tcBorders>
              <w:top w:val="single" w:sz="4" w:space="0" w:color="auto"/>
              <w:left w:val="nil"/>
              <w:bottom w:val="single" w:sz="4" w:space="0" w:color="auto"/>
              <w:right w:val="nil"/>
            </w:tcBorders>
            <w:shd w:val="clear" w:color="auto" w:fill="auto"/>
            <w:noWrap/>
            <w:vAlign w:val="center"/>
            <w:hideMark/>
          </w:tcPr>
          <w:p w14:paraId="6A242132" w14:textId="77777777" w:rsidR="00EA6568" w:rsidRPr="00056BD0" w:rsidRDefault="00EA6568" w:rsidP="00FA51D3">
            <w:pPr>
              <w:spacing w:after="0" w:line="240" w:lineRule="auto"/>
              <w:jc w:val="center"/>
              <w:rPr>
                <w:rFonts w:ascii="Times New Roman" w:eastAsia="Times New Roman" w:hAnsi="Times New Roman" w:cs="Times New Roman"/>
                <w:bCs/>
                <w:color w:val="000000"/>
              </w:rPr>
            </w:pPr>
            <w:proofErr w:type="spellStart"/>
            <w:r w:rsidRPr="00056BD0">
              <w:rPr>
                <w:rFonts w:ascii="Times New Roman" w:eastAsia="Times New Roman" w:hAnsi="Times New Roman" w:cs="Times New Roman"/>
                <w:bCs/>
                <w:color w:val="000000"/>
              </w:rPr>
              <w:t>CLm</w:t>
            </w:r>
            <w:proofErr w:type="spellEnd"/>
          </w:p>
        </w:tc>
        <w:tc>
          <w:tcPr>
            <w:tcW w:w="1191" w:type="dxa"/>
            <w:tcBorders>
              <w:top w:val="single" w:sz="4" w:space="0" w:color="auto"/>
              <w:left w:val="nil"/>
              <w:bottom w:val="single" w:sz="4" w:space="0" w:color="auto"/>
              <w:right w:val="nil"/>
            </w:tcBorders>
            <w:shd w:val="clear" w:color="auto" w:fill="auto"/>
            <w:noWrap/>
            <w:vAlign w:val="center"/>
            <w:hideMark/>
          </w:tcPr>
          <w:p w14:paraId="071A656B" w14:textId="77777777" w:rsidR="00EA6568" w:rsidRPr="00056BD0" w:rsidRDefault="00EA6568" w:rsidP="00FA51D3">
            <w:pPr>
              <w:spacing w:after="0" w:line="240" w:lineRule="auto"/>
              <w:jc w:val="center"/>
              <w:rPr>
                <w:rFonts w:ascii="Times New Roman" w:eastAsia="Times New Roman" w:hAnsi="Times New Roman" w:cs="Times New Roman"/>
                <w:bCs/>
                <w:color w:val="000000"/>
              </w:rPr>
            </w:pPr>
            <w:proofErr w:type="spellStart"/>
            <w:r w:rsidRPr="00056BD0">
              <w:rPr>
                <w:rFonts w:ascii="Times New Roman" w:eastAsia="Times New Roman" w:hAnsi="Times New Roman" w:cs="Times New Roman"/>
                <w:bCs/>
                <w:color w:val="000000"/>
              </w:rPr>
              <w:t>CLh</w:t>
            </w:r>
            <w:proofErr w:type="spellEnd"/>
          </w:p>
        </w:tc>
        <w:tc>
          <w:tcPr>
            <w:tcW w:w="1191" w:type="dxa"/>
            <w:tcBorders>
              <w:top w:val="single" w:sz="4" w:space="0" w:color="auto"/>
              <w:left w:val="nil"/>
              <w:bottom w:val="single" w:sz="4" w:space="0" w:color="auto"/>
              <w:right w:val="nil"/>
            </w:tcBorders>
            <w:shd w:val="clear" w:color="auto" w:fill="auto"/>
            <w:noWrap/>
            <w:vAlign w:val="center"/>
            <w:hideMark/>
          </w:tcPr>
          <w:p w14:paraId="1AB15CB7" w14:textId="77777777" w:rsidR="00EA6568" w:rsidRPr="00056BD0" w:rsidRDefault="00EA6568" w:rsidP="00FA51D3">
            <w:pPr>
              <w:spacing w:after="0" w:line="240" w:lineRule="auto"/>
              <w:jc w:val="center"/>
              <w:rPr>
                <w:rFonts w:ascii="Times New Roman" w:eastAsia="Times New Roman" w:hAnsi="Times New Roman" w:cs="Times New Roman"/>
                <w:bCs/>
                <w:color w:val="000000"/>
              </w:rPr>
            </w:pPr>
            <w:r w:rsidRPr="00056BD0">
              <w:rPr>
                <w:rFonts w:ascii="Times New Roman" w:eastAsia="Times New Roman" w:hAnsi="Times New Roman" w:cs="Times New Roman"/>
                <w:bCs/>
                <w:color w:val="000000"/>
              </w:rPr>
              <w:t>ABDC</w:t>
            </w:r>
          </w:p>
        </w:tc>
        <w:tc>
          <w:tcPr>
            <w:tcW w:w="1191" w:type="dxa"/>
            <w:tcBorders>
              <w:top w:val="single" w:sz="4" w:space="0" w:color="auto"/>
              <w:left w:val="nil"/>
              <w:bottom w:val="single" w:sz="4" w:space="0" w:color="auto"/>
              <w:right w:val="nil"/>
            </w:tcBorders>
            <w:shd w:val="clear" w:color="auto" w:fill="auto"/>
            <w:noWrap/>
            <w:vAlign w:val="center"/>
            <w:hideMark/>
          </w:tcPr>
          <w:p w14:paraId="213E9DB7" w14:textId="77777777" w:rsidR="00EA6568" w:rsidRPr="00056BD0" w:rsidRDefault="00EA6568" w:rsidP="00FA51D3">
            <w:pPr>
              <w:spacing w:after="0" w:line="240" w:lineRule="auto"/>
              <w:jc w:val="center"/>
              <w:rPr>
                <w:rFonts w:ascii="Times New Roman" w:eastAsia="Times New Roman" w:hAnsi="Times New Roman" w:cs="Times New Roman"/>
                <w:bCs/>
                <w:color w:val="000000"/>
              </w:rPr>
            </w:pPr>
            <w:proofErr w:type="spellStart"/>
            <w:r w:rsidRPr="00056BD0">
              <w:rPr>
                <w:rFonts w:ascii="Times New Roman" w:eastAsia="Times New Roman" w:hAnsi="Times New Roman" w:cs="Times New Roman"/>
                <w:bCs/>
                <w:color w:val="000000"/>
              </w:rPr>
              <w:t>Rsif</w:t>
            </w:r>
            <w:proofErr w:type="spellEnd"/>
          </w:p>
        </w:tc>
        <w:tc>
          <w:tcPr>
            <w:tcW w:w="1191" w:type="dxa"/>
            <w:tcBorders>
              <w:top w:val="single" w:sz="4" w:space="0" w:color="auto"/>
              <w:left w:val="nil"/>
              <w:bottom w:val="single" w:sz="4" w:space="0" w:color="auto"/>
              <w:right w:val="nil"/>
            </w:tcBorders>
            <w:shd w:val="clear" w:color="auto" w:fill="auto"/>
            <w:noWrap/>
            <w:vAlign w:val="center"/>
            <w:hideMark/>
          </w:tcPr>
          <w:p w14:paraId="7A354906" w14:textId="77777777" w:rsidR="00EA6568" w:rsidRPr="00056BD0" w:rsidRDefault="00EA6568" w:rsidP="00FA51D3">
            <w:pPr>
              <w:spacing w:after="0" w:line="240" w:lineRule="auto"/>
              <w:jc w:val="center"/>
              <w:rPr>
                <w:rFonts w:ascii="Times New Roman" w:eastAsia="Times New Roman" w:hAnsi="Times New Roman" w:cs="Times New Roman"/>
                <w:bCs/>
                <w:color w:val="000000"/>
              </w:rPr>
            </w:pPr>
            <w:proofErr w:type="spellStart"/>
            <w:r w:rsidRPr="00056BD0">
              <w:rPr>
                <w:rFonts w:ascii="Times New Roman" w:eastAsia="Times New Roman" w:hAnsi="Times New Roman" w:cs="Times New Roman"/>
                <w:bCs/>
                <w:color w:val="000000"/>
              </w:rPr>
              <w:t>Rrec</w:t>
            </w:r>
            <w:proofErr w:type="spellEnd"/>
          </w:p>
        </w:tc>
        <w:tc>
          <w:tcPr>
            <w:tcW w:w="1191" w:type="dxa"/>
            <w:tcBorders>
              <w:top w:val="single" w:sz="4" w:space="0" w:color="auto"/>
              <w:left w:val="nil"/>
              <w:bottom w:val="single" w:sz="4" w:space="0" w:color="auto"/>
              <w:right w:val="nil"/>
            </w:tcBorders>
            <w:shd w:val="clear" w:color="auto" w:fill="auto"/>
            <w:noWrap/>
            <w:vAlign w:val="center"/>
            <w:hideMark/>
          </w:tcPr>
          <w:p w14:paraId="693F5952" w14:textId="77777777" w:rsidR="00EA6568" w:rsidRPr="00056BD0" w:rsidRDefault="00EA6568" w:rsidP="00FA51D3">
            <w:pPr>
              <w:spacing w:after="0" w:line="240" w:lineRule="auto"/>
              <w:jc w:val="center"/>
              <w:rPr>
                <w:rFonts w:ascii="Times New Roman" w:eastAsia="Times New Roman" w:hAnsi="Times New Roman" w:cs="Times New Roman"/>
                <w:bCs/>
                <w:color w:val="000000"/>
              </w:rPr>
            </w:pPr>
            <w:r w:rsidRPr="00056BD0">
              <w:rPr>
                <w:rFonts w:ascii="Times New Roman" w:eastAsia="Times New Roman" w:hAnsi="Times New Roman" w:cs="Times New Roman"/>
                <w:bCs/>
                <w:color w:val="000000"/>
              </w:rPr>
              <w:t>NZABDC</w:t>
            </w:r>
          </w:p>
        </w:tc>
        <w:tc>
          <w:tcPr>
            <w:tcW w:w="1191" w:type="dxa"/>
            <w:tcBorders>
              <w:top w:val="single" w:sz="4" w:space="0" w:color="auto"/>
              <w:left w:val="nil"/>
              <w:bottom w:val="single" w:sz="4" w:space="0" w:color="auto"/>
              <w:right w:val="nil"/>
            </w:tcBorders>
            <w:shd w:val="clear" w:color="auto" w:fill="auto"/>
            <w:noWrap/>
            <w:vAlign w:val="center"/>
            <w:hideMark/>
          </w:tcPr>
          <w:p w14:paraId="3E529F97" w14:textId="77777777" w:rsidR="00EA6568" w:rsidRPr="00056BD0" w:rsidRDefault="00EA6568" w:rsidP="00FA51D3">
            <w:pPr>
              <w:spacing w:after="0" w:line="240" w:lineRule="auto"/>
              <w:jc w:val="center"/>
              <w:rPr>
                <w:rFonts w:ascii="Times New Roman" w:eastAsia="Times New Roman" w:hAnsi="Times New Roman" w:cs="Times New Roman"/>
                <w:bCs/>
                <w:color w:val="000000"/>
              </w:rPr>
            </w:pPr>
            <w:r w:rsidRPr="00056BD0">
              <w:rPr>
                <w:rFonts w:ascii="Times New Roman" w:eastAsia="Times New Roman" w:hAnsi="Times New Roman" w:cs="Times New Roman"/>
                <w:bCs/>
                <w:color w:val="000000"/>
              </w:rPr>
              <w:t>AVJWS</w:t>
            </w:r>
          </w:p>
        </w:tc>
      </w:tr>
      <w:tr w:rsidR="00EA6568" w:rsidRPr="00056BD0" w14:paraId="0FD4E81D" w14:textId="77777777" w:rsidTr="00295630">
        <w:trPr>
          <w:trHeight w:val="300"/>
        </w:trPr>
        <w:tc>
          <w:tcPr>
            <w:tcW w:w="1121" w:type="dxa"/>
            <w:tcBorders>
              <w:left w:val="nil"/>
              <w:bottom w:val="nil"/>
              <w:right w:val="nil"/>
            </w:tcBorders>
            <w:shd w:val="clear" w:color="auto" w:fill="auto"/>
            <w:noWrap/>
            <w:vAlign w:val="bottom"/>
            <w:hideMark/>
          </w:tcPr>
          <w:p w14:paraId="16306C17" w14:textId="77777777" w:rsidR="00EA6568" w:rsidRPr="00056BD0" w:rsidRDefault="00EA6568" w:rsidP="00FA51D3">
            <w:pPr>
              <w:spacing w:after="0" w:line="240" w:lineRule="auto"/>
              <w:rPr>
                <w:rFonts w:ascii="Times New Roman" w:eastAsia="Times New Roman" w:hAnsi="Times New Roman" w:cs="Times New Roman"/>
                <w:bCs/>
                <w:color w:val="000000"/>
              </w:rPr>
            </w:pPr>
            <w:proofErr w:type="spellStart"/>
            <w:r w:rsidRPr="00056BD0">
              <w:rPr>
                <w:rFonts w:ascii="Times New Roman" w:eastAsia="Times New Roman" w:hAnsi="Times New Roman" w:cs="Times New Roman"/>
                <w:bCs/>
                <w:color w:val="000000"/>
              </w:rPr>
              <w:t>CLm</w:t>
            </w:r>
            <w:proofErr w:type="spellEnd"/>
          </w:p>
        </w:tc>
        <w:tc>
          <w:tcPr>
            <w:tcW w:w="1191" w:type="dxa"/>
            <w:tcBorders>
              <w:left w:val="nil"/>
              <w:bottom w:val="nil"/>
              <w:right w:val="nil"/>
            </w:tcBorders>
            <w:shd w:val="clear" w:color="auto" w:fill="auto"/>
            <w:noWrap/>
            <w:vAlign w:val="bottom"/>
            <w:hideMark/>
          </w:tcPr>
          <w:p w14:paraId="5AAF619B"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w:t>
            </w:r>
          </w:p>
        </w:tc>
        <w:tc>
          <w:tcPr>
            <w:tcW w:w="1191" w:type="dxa"/>
            <w:tcBorders>
              <w:left w:val="nil"/>
              <w:bottom w:val="nil"/>
              <w:right w:val="nil"/>
            </w:tcBorders>
            <w:shd w:val="clear" w:color="auto" w:fill="auto"/>
            <w:noWrap/>
            <w:vAlign w:val="bottom"/>
            <w:hideMark/>
          </w:tcPr>
          <w:p w14:paraId="15405A71"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0.82 (0.95)</w:t>
            </w:r>
          </w:p>
        </w:tc>
        <w:tc>
          <w:tcPr>
            <w:tcW w:w="1191" w:type="dxa"/>
            <w:tcBorders>
              <w:left w:val="nil"/>
              <w:bottom w:val="nil"/>
              <w:right w:val="nil"/>
            </w:tcBorders>
            <w:shd w:val="clear" w:color="auto" w:fill="auto"/>
            <w:noWrap/>
            <w:vAlign w:val="bottom"/>
            <w:hideMark/>
          </w:tcPr>
          <w:p w14:paraId="60DA6070"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0.80 (0.94)</w:t>
            </w:r>
          </w:p>
        </w:tc>
        <w:tc>
          <w:tcPr>
            <w:tcW w:w="1191" w:type="dxa"/>
            <w:tcBorders>
              <w:left w:val="nil"/>
              <w:bottom w:val="nil"/>
              <w:right w:val="nil"/>
            </w:tcBorders>
            <w:shd w:val="clear" w:color="auto" w:fill="auto"/>
            <w:noWrap/>
            <w:vAlign w:val="bottom"/>
            <w:hideMark/>
          </w:tcPr>
          <w:p w14:paraId="34B29C27"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0.82 (0.95)</w:t>
            </w:r>
          </w:p>
        </w:tc>
        <w:tc>
          <w:tcPr>
            <w:tcW w:w="1191" w:type="dxa"/>
            <w:tcBorders>
              <w:left w:val="nil"/>
              <w:bottom w:val="nil"/>
              <w:right w:val="nil"/>
            </w:tcBorders>
            <w:shd w:val="clear" w:color="auto" w:fill="auto"/>
            <w:noWrap/>
            <w:vAlign w:val="bottom"/>
            <w:hideMark/>
          </w:tcPr>
          <w:p w14:paraId="431D5A7C"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0.78 (0.93)</w:t>
            </w:r>
          </w:p>
        </w:tc>
        <w:tc>
          <w:tcPr>
            <w:tcW w:w="1191" w:type="dxa"/>
            <w:tcBorders>
              <w:left w:val="nil"/>
              <w:bottom w:val="nil"/>
              <w:right w:val="nil"/>
            </w:tcBorders>
            <w:shd w:val="clear" w:color="auto" w:fill="auto"/>
            <w:noWrap/>
            <w:vAlign w:val="bottom"/>
            <w:hideMark/>
          </w:tcPr>
          <w:p w14:paraId="58252A7A"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0.80 (0.94)</w:t>
            </w:r>
          </w:p>
        </w:tc>
        <w:tc>
          <w:tcPr>
            <w:tcW w:w="1191" w:type="dxa"/>
            <w:tcBorders>
              <w:left w:val="nil"/>
              <w:bottom w:val="nil"/>
              <w:right w:val="nil"/>
            </w:tcBorders>
            <w:shd w:val="clear" w:color="auto" w:fill="auto"/>
            <w:noWrap/>
            <w:vAlign w:val="bottom"/>
            <w:hideMark/>
          </w:tcPr>
          <w:p w14:paraId="24DB6596"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0.92 (0.99)</w:t>
            </w:r>
          </w:p>
        </w:tc>
      </w:tr>
      <w:tr w:rsidR="00EA6568" w:rsidRPr="00056BD0" w14:paraId="767CA4DD" w14:textId="77777777" w:rsidTr="00295630">
        <w:trPr>
          <w:trHeight w:val="300"/>
        </w:trPr>
        <w:tc>
          <w:tcPr>
            <w:tcW w:w="1121" w:type="dxa"/>
            <w:tcBorders>
              <w:top w:val="nil"/>
              <w:left w:val="nil"/>
              <w:bottom w:val="nil"/>
              <w:right w:val="nil"/>
            </w:tcBorders>
            <w:shd w:val="clear" w:color="auto" w:fill="auto"/>
            <w:noWrap/>
            <w:vAlign w:val="bottom"/>
            <w:hideMark/>
          </w:tcPr>
          <w:p w14:paraId="75D951FC" w14:textId="77777777" w:rsidR="00EA6568" w:rsidRPr="00056BD0" w:rsidRDefault="00EA6568" w:rsidP="00FA51D3">
            <w:pPr>
              <w:spacing w:after="0" w:line="240" w:lineRule="auto"/>
              <w:rPr>
                <w:rFonts w:ascii="Times New Roman" w:eastAsia="Times New Roman" w:hAnsi="Times New Roman" w:cs="Times New Roman"/>
                <w:bCs/>
                <w:color w:val="000000"/>
              </w:rPr>
            </w:pPr>
            <w:proofErr w:type="spellStart"/>
            <w:r w:rsidRPr="00056BD0">
              <w:rPr>
                <w:rFonts w:ascii="Times New Roman" w:eastAsia="Times New Roman" w:hAnsi="Times New Roman" w:cs="Times New Roman"/>
                <w:bCs/>
                <w:color w:val="000000"/>
              </w:rPr>
              <w:t>CLh</w:t>
            </w:r>
            <w:proofErr w:type="spellEnd"/>
          </w:p>
        </w:tc>
        <w:tc>
          <w:tcPr>
            <w:tcW w:w="1191" w:type="dxa"/>
            <w:tcBorders>
              <w:top w:val="nil"/>
              <w:left w:val="nil"/>
              <w:bottom w:val="nil"/>
              <w:right w:val="nil"/>
            </w:tcBorders>
            <w:shd w:val="clear" w:color="auto" w:fill="auto"/>
            <w:noWrap/>
            <w:vAlign w:val="bottom"/>
            <w:hideMark/>
          </w:tcPr>
          <w:p w14:paraId="2D2B2C41"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0.82 (0.95)</w:t>
            </w:r>
          </w:p>
        </w:tc>
        <w:tc>
          <w:tcPr>
            <w:tcW w:w="1191" w:type="dxa"/>
            <w:tcBorders>
              <w:top w:val="nil"/>
              <w:left w:val="nil"/>
              <w:bottom w:val="nil"/>
              <w:right w:val="nil"/>
            </w:tcBorders>
            <w:shd w:val="clear" w:color="auto" w:fill="auto"/>
            <w:noWrap/>
            <w:vAlign w:val="bottom"/>
            <w:hideMark/>
          </w:tcPr>
          <w:p w14:paraId="6C4D8F41"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w:t>
            </w:r>
          </w:p>
        </w:tc>
        <w:tc>
          <w:tcPr>
            <w:tcW w:w="1191" w:type="dxa"/>
            <w:tcBorders>
              <w:top w:val="nil"/>
              <w:left w:val="nil"/>
              <w:bottom w:val="nil"/>
              <w:right w:val="nil"/>
            </w:tcBorders>
            <w:shd w:val="clear" w:color="auto" w:fill="auto"/>
            <w:noWrap/>
            <w:vAlign w:val="bottom"/>
            <w:hideMark/>
          </w:tcPr>
          <w:p w14:paraId="767DA20D"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0.65 (0.83)</w:t>
            </w:r>
          </w:p>
        </w:tc>
        <w:tc>
          <w:tcPr>
            <w:tcW w:w="1191" w:type="dxa"/>
            <w:tcBorders>
              <w:top w:val="nil"/>
              <w:left w:val="nil"/>
              <w:bottom w:val="nil"/>
              <w:right w:val="nil"/>
            </w:tcBorders>
            <w:shd w:val="clear" w:color="auto" w:fill="auto"/>
            <w:noWrap/>
            <w:vAlign w:val="bottom"/>
            <w:hideMark/>
          </w:tcPr>
          <w:p w14:paraId="4CBECD39"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0.80 (0.94)</w:t>
            </w:r>
          </w:p>
        </w:tc>
        <w:tc>
          <w:tcPr>
            <w:tcW w:w="1191" w:type="dxa"/>
            <w:tcBorders>
              <w:top w:val="nil"/>
              <w:left w:val="nil"/>
              <w:bottom w:val="nil"/>
              <w:right w:val="nil"/>
            </w:tcBorders>
            <w:shd w:val="clear" w:color="auto" w:fill="auto"/>
            <w:noWrap/>
            <w:vAlign w:val="bottom"/>
            <w:hideMark/>
          </w:tcPr>
          <w:p w14:paraId="4ED3F154"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0.80 (0.95)</w:t>
            </w:r>
          </w:p>
        </w:tc>
        <w:tc>
          <w:tcPr>
            <w:tcW w:w="1191" w:type="dxa"/>
            <w:tcBorders>
              <w:top w:val="nil"/>
              <w:left w:val="nil"/>
              <w:bottom w:val="nil"/>
              <w:right w:val="nil"/>
            </w:tcBorders>
            <w:shd w:val="clear" w:color="auto" w:fill="auto"/>
            <w:noWrap/>
            <w:vAlign w:val="bottom"/>
            <w:hideMark/>
          </w:tcPr>
          <w:p w14:paraId="33DDF364"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0.74 (0.91)</w:t>
            </w:r>
          </w:p>
        </w:tc>
        <w:tc>
          <w:tcPr>
            <w:tcW w:w="1191" w:type="dxa"/>
            <w:tcBorders>
              <w:top w:val="nil"/>
              <w:left w:val="nil"/>
              <w:bottom w:val="nil"/>
              <w:right w:val="nil"/>
            </w:tcBorders>
            <w:shd w:val="clear" w:color="auto" w:fill="auto"/>
            <w:noWrap/>
            <w:vAlign w:val="bottom"/>
            <w:hideMark/>
          </w:tcPr>
          <w:p w14:paraId="64CF0EEE"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0.83 (0.96)</w:t>
            </w:r>
          </w:p>
        </w:tc>
      </w:tr>
      <w:tr w:rsidR="00EA6568" w:rsidRPr="00056BD0" w14:paraId="0FC1B03C" w14:textId="77777777" w:rsidTr="00295630">
        <w:trPr>
          <w:trHeight w:val="300"/>
        </w:trPr>
        <w:tc>
          <w:tcPr>
            <w:tcW w:w="1121" w:type="dxa"/>
            <w:tcBorders>
              <w:top w:val="nil"/>
              <w:left w:val="nil"/>
              <w:bottom w:val="nil"/>
              <w:right w:val="nil"/>
            </w:tcBorders>
            <w:shd w:val="clear" w:color="auto" w:fill="auto"/>
            <w:noWrap/>
            <w:vAlign w:val="bottom"/>
            <w:hideMark/>
          </w:tcPr>
          <w:p w14:paraId="26CD9B69" w14:textId="77777777" w:rsidR="00EA6568" w:rsidRPr="00056BD0" w:rsidRDefault="00EA6568" w:rsidP="00FA51D3">
            <w:pPr>
              <w:spacing w:after="0" w:line="240" w:lineRule="auto"/>
              <w:rPr>
                <w:rFonts w:ascii="Times New Roman" w:eastAsia="Times New Roman" w:hAnsi="Times New Roman" w:cs="Times New Roman"/>
                <w:bCs/>
                <w:color w:val="000000"/>
              </w:rPr>
            </w:pPr>
            <w:r w:rsidRPr="00056BD0">
              <w:rPr>
                <w:rFonts w:ascii="Times New Roman" w:eastAsia="Times New Roman" w:hAnsi="Times New Roman" w:cs="Times New Roman"/>
                <w:bCs/>
                <w:color w:val="000000"/>
              </w:rPr>
              <w:t>ABDC</w:t>
            </w:r>
          </w:p>
        </w:tc>
        <w:tc>
          <w:tcPr>
            <w:tcW w:w="1191" w:type="dxa"/>
            <w:tcBorders>
              <w:top w:val="nil"/>
              <w:left w:val="nil"/>
              <w:bottom w:val="nil"/>
              <w:right w:val="nil"/>
            </w:tcBorders>
            <w:shd w:val="clear" w:color="auto" w:fill="auto"/>
            <w:noWrap/>
            <w:vAlign w:val="bottom"/>
            <w:hideMark/>
          </w:tcPr>
          <w:p w14:paraId="38CFDEFD"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0.80 (0.94)</w:t>
            </w:r>
          </w:p>
        </w:tc>
        <w:tc>
          <w:tcPr>
            <w:tcW w:w="1191" w:type="dxa"/>
            <w:tcBorders>
              <w:top w:val="nil"/>
              <w:left w:val="nil"/>
              <w:bottom w:val="nil"/>
              <w:right w:val="nil"/>
            </w:tcBorders>
            <w:shd w:val="clear" w:color="auto" w:fill="auto"/>
            <w:noWrap/>
            <w:vAlign w:val="bottom"/>
            <w:hideMark/>
          </w:tcPr>
          <w:p w14:paraId="19AA7391"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0.65 (0.83)</w:t>
            </w:r>
          </w:p>
        </w:tc>
        <w:tc>
          <w:tcPr>
            <w:tcW w:w="1191" w:type="dxa"/>
            <w:tcBorders>
              <w:top w:val="nil"/>
              <w:left w:val="nil"/>
              <w:bottom w:val="nil"/>
              <w:right w:val="nil"/>
            </w:tcBorders>
            <w:shd w:val="clear" w:color="auto" w:fill="auto"/>
            <w:noWrap/>
            <w:vAlign w:val="bottom"/>
            <w:hideMark/>
          </w:tcPr>
          <w:p w14:paraId="3B204B7B"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w:t>
            </w:r>
          </w:p>
        </w:tc>
        <w:tc>
          <w:tcPr>
            <w:tcW w:w="1191" w:type="dxa"/>
            <w:tcBorders>
              <w:top w:val="nil"/>
              <w:left w:val="nil"/>
              <w:bottom w:val="nil"/>
              <w:right w:val="nil"/>
            </w:tcBorders>
            <w:shd w:val="clear" w:color="auto" w:fill="auto"/>
            <w:noWrap/>
            <w:vAlign w:val="bottom"/>
            <w:hideMark/>
          </w:tcPr>
          <w:p w14:paraId="60FC844D"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0.71 (0.88)</w:t>
            </w:r>
          </w:p>
        </w:tc>
        <w:tc>
          <w:tcPr>
            <w:tcW w:w="1191" w:type="dxa"/>
            <w:tcBorders>
              <w:top w:val="nil"/>
              <w:left w:val="nil"/>
              <w:bottom w:val="nil"/>
              <w:right w:val="nil"/>
            </w:tcBorders>
            <w:shd w:val="clear" w:color="auto" w:fill="auto"/>
            <w:noWrap/>
            <w:vAlign w:val="bottom"/>
            <w:hideMark/>
          </w:tcPr>
          <w:p w14:paraId="526C56E9"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0.67 (0.85)</w:t>
            </w:r>
          </w:p>
        </w:tc>
        <w:tc>
          <w:tcPr>
            <w:tcW w:w="1191" w:type="dxa"/>
            <w:tcBorders>
              <w:top w:val="nil"/>
              <w:left w:val="nil"/>
              <w:bottom w:val="nil"/>
              <w:right w:val="nil"/>
            </w:tcBorders>
            <w:shd w:val="clear" w:color="auto" w:fill="auto"/>
            <w:noWrap/>
            <w:vAlign w:val="bottom"/>
            <w:hideMark/>
          </w:tcPr>
          <w:p w14:paraId="214F19CA"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0.79 (0.94)</w:t>
            </w:r>
          </w:p>
        </w:tc>
        <w:tc>
          <w:tcPr>
            <w:tcW w:w="1191" w:type="dxa"/>
            <w:tcBorders>
              <w:top w:val="nil"/>
              <w:left w:val="nil"/>
              <w:bottom w:val="nil"/>
              <w:right w:val="nil"/>
            </w:tcBorders>
            <w:shd w:val="clear" w:color="auto" w:fill="auto"/>
            <w:noWrap/>
            <w:vAlign w:val="bottom"/>
            <w:hideMark/>
          </w:tcPr>
          <w:p w14:paraId="729D187F"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0.80 (0.94)</w:t>
            </w:r>
          </w:p>
        </w:tc>
      </w:tr>
      <w:tr w:rsidR="00EA6568" w:rsidRPr="00056BD0" w14:paraId="30512CF2" w14:textId="77777777" w:rsidTr="00295630">
        <w:trPr>
          <w:trHeight w:val="300"/>
        </w:trPr>
        <w:tc>
          <w:tcPr>
            <w:tcW w:w="1121" w:type="dxa"/>
            <w:tcBorders>
              <w:top w:val="nil"/>
              <w:left w:val="nil"/>
              <w:bottom w:val="nil"/>
              <w:right w:val="nil"/>
            </w:tcBorders>
            <w:shd w:val="clear" w:color="auto" w:fill="auto"/>
            <w:noWrap/>
            <w:vAlign w:val="bottom"/>
            <w:hideMark/>
          </w:tcPr>
          <w:p w14:paraId="14929716" w14:textId="77777777" w:rsidR="00EA6568" w:rsidRPr="00056BD0" w:rsidRDefault="00EA6568" w:rsidP="00FA51D3">
            <w:pPr>
              <w:spacing w:after="0" w:line="240" w:lineRule="auto"/>
              <w:rPr>
                <w:rFonts w:ascii="Times New Roman" w:eastAsia="Times New Roman" w:hAnsi="Times New Roman" w:cs="Times New Roman"/>
                <w:bCs/>
                <w:color w:val="000000"/>
              </w:rPr>
            </w:pPr>
            <w:proofErr w:type="spellStart"/>
            <w:r w:rsidRPr="00056BD0">
              <w:rPr>
                <w:rFonts w:ascii="Times New Roman" w:eastAsia="Times New Roman" w:hAnsi="Times New Roman" w:cs="Times New Roman"/>
                <w:bCs/>
                <w:color w:val="000000"/>
              </w:rPr>
              <w:t>Rsif</w:t>
            </w:r>
            <w:proofErr w:type="spellEnd"/>
          </w:p>
        </w:tc>
        <w:tc>
          <w:tcPr>
            <w:tcW w:w="1191" w:type="dxa"/>
            <w:tcBorders>
              <w:top w:val="nil"/>
              <w:left w:val="nil"/>
              <w:bottom w:val="nil"/>
              <w:right w:val="nil"/>
            </w:tcBorders>
            <w:shd w:val="clear" w:color="auto" w:fill="auto"/>
            <w:noWrap/>
            <w:vAlign w:val="bottom"/>
            <w:hideMark/>
          </w:tcPr>
          <w:p w14:paraId="56BADDB0"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0.82 (0.95)</w:t>
            </w:r>
          </w:p>
        </w:tc>
        <w:tc>
          <w:tcPr>
            <w:tcW w:w="1191" w:type="dxa"/>
            <w:tcBorders>
              <w:top w:val="nil"/>
              <w:left w:val="nil"/>
              <w:bottom w:val="nil"/>
              <w:right w:val="nil"/>
            </w:tcBorders>
            <w:shd w:val="clear" w:color="auto" w:fill="auto"/>
            <w:noWrap/>
            <w:vAlign w:val="bottom"/>
            <w:hideMark/>
          </w:tcPr>
          <w:p w14:paraId="59D799B4"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0.80 (0.94)</w:t>
            </w:r>
          </w:p>
        </w:tc>
        <w:tc>
          <w:tcPr>
            <w:tcW w:w="1191" w:type="dxa"/>
            <w:tcBorders>
              <w:top w:val="nil"/>
              <w:left w:val="nil"/>
              <w:bottom w:val="nil"/>
              <w:right w:val="nil"/>
            </w:tcBorders>
            <w:shd w:val="clear" w:color="auto" w:fill="auto"/>
            <w:noWrap/>
            <w:vAlign w:val="bottom"/>
            <w:hideMark/>
          </w:tcPr>
          <w:p w14:paraId="3F307664"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0.71 (0.88)</w:t>
            </w:r>
          </w:p>
        </w:tc>
        <w:tc>
          <w:tcPr>
            <w:tcW w:w="1191" w:type="dxa"/>
            <w:tcBorders>
              <w:top w:val="nil"/>
              <w:left w:val="nil"/>
              <w:bottom w:val="nil"/>
              <w:right w:val="nil"/>
            </w:tcBorders>
            <w:shd w:val="clear" w:color="auto" w:fill="auto"/>
            <w:noWrap/>
            <w:vAlign w:val="bottom"/>
            <w:hideMark/>
          </w:tcPr>
          <w:p w14:paraId="413AB8AA"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w:t>
            </w:r>
          </w:p>
        </w:tc>
        <w:tc>
          <w:tcPr>
            <w:tcW w:w="1191" w:type="dxa"/>
            <w:tcBorders>
              <w:top w:val="nil"/>
              <w:left w:val="nil"/>
              <w:bottom w:val="nil"/>
              <w:right w:val="nil"/>
            </w:tcBorders>
            <w:shd w:val="clear" w:color="auto" w:fill="auto"/>
            <w:noWrap/>
            <w:vAlign w:val="bottom"/>
            <w:hideMark/>
          </w:tcPr>
          <w:p w14:paraId="04CB1F8A"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0.88 (0.97)</w:t>
            </w:r>
          </w:p>
        </w:tc>
        <w:tc>
          <w:tcPr>
            <w:tcW w:w="1191" w:type="dxa"/>
            <w:tcBorders>
              <w:top w:val="nil"/>
              <w:left w:val="nil"/>
              <w:bottom w:val="nil"/>
              <w:right w:val="nil"/>
            </w:tcBorders>
            <w:shd w:val="clear" w:color="auto" w:fill="auto"/>
            <w:noWrap/>
            <w:vAlign w:val="bottom"/>
            <w:hideMark/>
          </w:tcPr>
          <w:p w14:paraId="7F859312"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0.81 (0.94)</w:t>
            </w:r>
          </w:p>
        </w:tc>
        <w:tc>
          <w:tcPr>
            <w:tcW w:w="1191" w:type="dxa"/>
            <w:tcBorders>
              <w:top w:val="nil"/>
              <w:left w:val="nil"/>
              <w:bottom w:val="nil"/>
              <w:right w:val="nil"/>
            </w:tcBorders>
            <w:shd w:val="clear" w:color="auto" w:fill="auto"/>
            <w:noWrap/>
            <w:vAlign w:val="bottom"/>
            <w:hideMark/>
          </w:tcPr>
          <w:p w14:paraId="4268249B"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0.88 (0.98)</w:t>
            </w:r>
          </w:p>
        </w:tc>
      </w:tr>
      <w:tr w:rsidR="00EA6568" w:rsidRPr="00056BD0" w14:paraId="38AA9DA8" w14:textId="77777777" w:rsidTr="00295630">
        <w:trPr>
          <w:trHeight w:val="300"/>
        </w:trPr>
        <w:tc>
          <w:tcPr>
            <w:tcW w:w="1121" w:type="dxa"/>
            <w:tcBorders>
              <w:top w:val="nil"/>
              <w:left w:val="nil"/>
              <w:bottom w:val="nil"/>
              <w:right w:val="nil"/>
            </w:tcBorders>
            <w:shd w:val="clear" w:color="auto" w:fill="auto"/>
            <w:noWrap/>
            <w:vAlign w:val="bottom"/>
            <w:hideMark/>
          </w:tcPr>
          <w:p w14:paraId="35360333" w14:textId="77777777" w:rsidR="00EA6568" w:rsidRPr="00056BD0" w:rsidRDefault="00EA6568" w:rsidP="00FA51D3">
            <w:pPr>
              <w:spacing w:after="0" w:line="240" w:lineRule="auto"/>
              <w:rPr>
                <w:rFonts w:ascii="Times New Roman" w:eastAsia="Times New Roman" w:hAnsi="Times New Roman" w:cs="Times New Roman"/>
                <w:bCs/>
                <w:color w:val="000000"/>
              </w:rPr>
            </w:pPr>
            <w:proofErr w:type="spellStart"/>
            <w:r w:rsidRPr="00056BD0">
              <w:rPr>
                <w:rFonts w:ascii="Times New Roman" w:eastAsia="Times New Roman" w:hAnsi="Times New Roman" w:cs="Times New Roman"/>
                <w:bCs/>
                <w:color w:val="000000"/>
              </w:rPr>
              <w:t>Rrec</w:t>
            </w:r>
            <w:proofErr w:type="spellEnd"/>
          </w:p>
        </w:tc>
        <w:tc>
          <w:tcPr>
            <w:tcW w:w="1191" w:type="dxa"/>
            <w:tcBorders>
              <w:top w:val="nil"/>
              <w:left w:val="nil"/>
              <w:bottom w:val="nil"/>
              <w:right w:val="nil"/>
            </w:tcBorders>
            <w:shd w:val="clear" w:color="auto" w:fill="auto"/>
            <w:noWrap/>
            <w:vAlign w:val="bottom"/>
            <w:hideMark/>
          </w:tcPr>
          <w:p w14:paraId="742599B6"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0.78 (0.93)</w:t>
            </w:r>
          </w:p>
        </w:tc>
        <w:tc>
          <w:tcPr>
            <w:tcW w:w="1191" w:type="dxa"/>
            <w:tcBorders>
              <w:top w:val="nil"/>
              <w:left w:val="nil"/>
              <w:bottom w:val="nil"/>
              <w:right w:val="nil"/>
            </w:tcBorders>
            <w:shd w:val="clear" w:color="auto" w:fill="auto"/>
            <w:noWrap/>
            <w:vAlign w:val="bottom"/>
            <w:hideMark/>
          </w:tcPr>
          <w:p w14:paraId="6186C151"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0.80 (0.95)</w:t>
            </w:r>
          </w:p>
        </w:tc>
        <w:tc>
          <w:tcPr>
            <w:tcW w:w="1191" w:type="dxa"/>
            <w:tcBorders>
              <w:top w:val="nil"/>
              <w:left w:val="nil"/>
              <w:bottom w:val="nil"/>
              <w:right w:val="nil"/>
            </w:tcBorders>
            <w:shd w:val="clear" w:color="auto" w:fill="auto"/>
            <w:noWrap/>
            <w:vAlign w:val="bottom"/>
            <w:hideMark/>
          </w:tcPr>
          <w:p w14:paraId="09B33757"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0.67 (0.85)</w:t>
            </w:r>
          </w:p>
        </w:tc>
        <w:tc>
          <w:tcPr>
            <w:tcW w:w="1191" w:type="dxa"/>
            <w:tcBorders>
              <w:top w:val="nil"/>
              <w:left w:val="nil"/>
              <w:bottom w:val="nil"/>
              <w:right w:val="nil"/>
            </w:tcBorders>
            <w:shd w:val="clear" w:color="auto" w:fill="auto"/>
            <w:noWrap/>
            <w:vAlign w:val="bottom"/>
            <w:hideMark/>
          </w:tcPr>
          <w:p w14:paraId="3B5EC232"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0.88 (0.97)</w:t>
            </w:r>
          </w:p>
        </w:tc>
        <w:tc>
          <w:tcPr>
            <w:tcW w:w="1191" w:type="dxa"/>
            <w:tcBorders>
              <w:top w:val="nil"/>
              <w:left w:val="nil"/>
              <w:bottom w:val="nil"/>
              <w:right w:val="nil"/>
            </w:tcBorders>
            <w:shd w:val="clear" w:color="auto" w:fill="auto"/>
            <w:noWrap/>
            <w:vAlign w:val="bottom"/>
            <w:hideMark/>
          </w:tcPr>
          <w:p w14:paraId="3D4CDDD8"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w:t>
            </w:r>
          </w:p>
        </w:tc>
        <w:tc>
          <w:tcPr>
            <w:tcW w:w="1191" w:type="dxa"/>
            <w:tcBorders>
              <w:top w:val="nil"/>
              <w:left w:val="nil"/>
              <w:bottom w:val="nil"/>
              <w:right w:val="nil"/>
            </w:tcBorders>
            <w:shd w:val="clear" w:color="auto" w:fill="auto"/>
            <w:noWrap/>
            <w:vAlign w:val="bottom"/>
            <w:hideMark/>
          </w:tcPr>
          <w:p w14:paraId="48E76D9A"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0.77 (0.92)</w:t>
            </w:r>
          </w:p>
        </w:tc>
        <w:tc>
          <w:tcPr>
            <w:tcW w:w="1191" w:type="dxa"/>
            <w:tcBorders>
              <w:top w:val="nil"/>
              <w:left w:val="nil"/>
              <w:bottom w:val="nil"/>
              <w:right w:val="nil"/>
            </w:tcBorders>
            <w:shd w:val="clear" w:color="auto" w:fill="auto"/>
            <w:noWrap/>
            <w:vAlign w:val="bottom"/>
            <w:hideMark/>
          </w:tcPr>
          <w:p w14:paraId="71648762"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0.84 (0.96)</w:t>
            </w:r>
          </w:p>
        </w:tc>
      </w:tr>
      <w:tr w:rsidR="00EA6568" w:rsidRPr="00056BD0" w14:paraId="6B7BF1EC" w14:textId="77777777" w:rsidTr="00295630">
        <w:trPr>
          <w:trHeight w:val="300"/>
        </w:trPr>
        <w:tc>
          <w:tcPr>
            <w:tcW w:w="1121" w:type="dxa"/>
            <w:tcBorders>
              <w:top w:val="nil"/>
              <w:left w:val="nil"/>
              <w:bottom w:val="nil"/>
              <w:right w:val="nil"/>
            </w:tcBorders>
            <w:shd w:val="clear" w:color="auto" w:fill="auto"/>
            <w:noWrap/>
            <w:vAlign w:val="bottom"/>
            <w:hideMark/>
          </w:tcPr>
          <w:p w14:paraId="046F14F8" w14:textId="77777777" w:rsidR="00EA6568" w:rsidRPr="00056BD0" w:rsidRDefault="00EA6568" w:rsidP="00FA51D3">
            <w:pPr>
              <w:spacing w:after="0" w:line="240" w:lineRule="auto"/>
              <w:rPr>
                <w:rFonts w:ascii="Times New Roman" w:eastAsia="Times New Roman" w:hAnsi="Times New Roman" w:cs="Times New Roman"/>
                <w:bCs/>
                <w:color w:val="000000"/>
              </w:rPr>
            </w:pPr>
            <w:r w:rsidRPr="00056BD0">
              <w:rPr>
                <w:rFonts w:ascii="Times New Roman" w:eastAsia="Times New Roman" w:hAnsi="Times New Roman" w:cs="Times New Roman"/>
                <w:bCs/>
                <w:color w:val="000000"/>
              </w:rPr>
              <w:t>NZABDC</w:t>
            </w:r>
          </w:p>
        </w:tc>
        <w:tc>
          <w:tcPr>
            <w:tcW w:w="1191" w:type="dxa"/>
            <w:tcBorders>
              <w:top w:val="nil"/>
              <w:left w:val="nil"/>
              <w:bottom w:val="nil"/>
              <w:right w:val="nil"/>
            </w:tcBorders>
            <w:shd w:val="clear" w:color="auto" w:fill="auto"/>
            <w:noWrap/>
            <w:vAlign w:val="bottom"/>
            <w:hideMark/>
          </w:tcPr>
          <w:p w14:paraId="348426E4"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0.80 (0.94)</w:t>
            </w:r>
          </w:p>
        </w:tc>
        <w:tc>
          <w:tcPr>
            <w:tcW w:w="1191" w:type="dxa"/>
            <w:tcBorders>
              <w:top w:val="nil"/>
              <w:left w:val="nil"/>
              <w:bottom w:val="nil"/>
              <w:right w:val="nil"/>
            </w:tcBorders>
            <w:shd w:val="clear" w:color="auto" w:fill="auto"/>
            <w:noWrap/>
            <w:vAlign w:val="bottom"/>
            <w:hideMark/>
          </w:tcPr>
          <w:p w14:paraId="4CD4C687"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0.74 (0.91)</w:t>
            </w:r>
          </w:p>
        </w:tc>
        <w:tc>
          <w:tcPr>
            <w:tcW w:w="1191" w:type="dxa"/>
            <w:tcBorders>
              <w:top w:val="nil"/>
              <w:left w:val="nil"/>
              <w:bottom w:val="nil"/>
              <w:right w:val="nil"/>
            </w:tcBorders>
            <w:shd w:val="clear" w:color="auto" w:fill="auto"/>
            <w:noWrap/>
            <w:vAlign w:val="bottom"/>
            <w:hideMark/>
          </w:tcPr>
          <w:p w14:paraId="19D110BF"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0.79 (0.94)</w:t>
            </w:r>
          </w:p>
        </w:tc>
        <w:tc>
          <w:tcPr>
            <w:tcW w:w="1191" w:type="dxa"/>
            <w:tcBorders>
              <w:top w:val="nil"/>
              <w:left w:val="nil"/>
              <w:bottom w:val="nil"/>
              <w:right w:val="nil"/>
            </w:tcBorders>
            <w:shd w:val="clear" w:color="auto" w:fill="auto"/>
            <w:noWrap/>
            <w:vAlign w:val="bottom"/>
            <w:hideMark/>
          </w:tcPr>
          <w:p w14:paraId="047C31DA"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0.81 (0.94)</w:t>
            </w:r>
          </w:p>
        </w:tc>
        <w:tc>
          <w:tcPr>
            <w:tcW w:w="1191" w:type="dxa"/>
            <w:tcBorders>
              <w:top w:val="nil"/>
              <w:left w:val="nil"/>
              <w:bottom w:val="nil"/>
              <w:right w:val="nil"/>
            </w:tcBorders>
            <w:shd w:val="clear" w:color="auto" w:fill="auto"/>
            <w:noWrap/>
            <w:vAlign w:val="bottom"/>
            <w:hideMark/>
          </w:tcPr>
          <w:p w14:paraId="2B913018"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0.77 (0.92)</w:t>
            </w:r>
          </w:p>
        </w:tc>
        <w:tc>
          <w:tcPr>
            <w:tcW w:w="1191" w:type="dxa"/>
            <w:tcBorders>
              <w:top w:val="nil"/>
              <w:left w:val="nil"/>
              <w:bottom w:val="nil"/>
              <w:right w:val="nil"/>
            </w:tcBorders>
            <w:shd w:val="clear" w:color="auto" w:fill="auto"/>
            <w:noWrap/>
            <w:vAlign w:val="bottom"/>
            <w:hideMark/>
          </w:tcPr>
          <w:p w14:paraId="7BEECF86"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w:t>
            </w:r>
          </w:p>
        </w:tc>
        <w:tc>
          <w:tcPr>
            <w:tcW w:w="1191" w:type="dxa"/>
            <w:tcBorders>
              <w:top w:val="nil"/>
              <w:left w:val="nil"/>
              <w:bottom w:val="nil"/>
              <w:right w:val="nil"/>
            </w:tcBorders>
            <w:shd w:val="clear" w:color="auto" w:fill="auto"/>
            <w:noWrap/>
            <w:vAlign w:val="bottom"/>
            <w:hideMark/>
          </w:tcPr>
          <w:p w14:paraId="139C3A79"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0.86 (0.97)</w:t>
            </w:r>
          </w:p>
        </w:tc>
      </w:tr>
      <w:tr w:rsidR="00EA6568" w:rsidRPr="00056BD0" w14:paraId="300141CD" w14:textId="77777777" w:rsidTr="00295630">
        <w:trPr>
          <w:trHeight w:val="300"/>
        </w:trPr>
        <w:tc>
          <w:tcPr>
            <w:tcW w:w="1121" w:type="dxa"/>
            <w:tcBorders>
              <w:top w:val="nil"/>
              <w:left w:val="nil"/>
              <w:bottom w:val="nil"/>
              <w:right w:val="nil"/>
            </w:tcBorders>
            <w:shd w:val="clear" w:color="auto" w:fill="auto"/>
            <w:noWrap/>
            <w:vAlign w:val="bottom"/>
            <w:hideMark/>
          </w:tcPr>
          <w:p w14:paraId="0CFCCCE5" w14:textId="77777777" w:rsidR="00EA6568" w:rsidRPr="00056BD0" w:rsidRDefault="00EA6568" w:rsidP="00FA51D3">
            <w:pPr>
              <w:spacing w:after="0" w:line="240" w:lineRule="auto"/>
              <w:rPr>
                <w:rFonts w:ascii="Times New Roman" w:eastAsia="Times New Roman" w:hAnsi="Times New Roman" w:cs="Times New Roman"/>
                <w:bCs/>
                <w:color w:val="000000"/>
              </w:rPr>
            </w:pPr>
            <w:r w:rsidRPr="00056BD0">
              <w:rPr>
                <w:rFonts w:ascii="Times New Roman" w:eastAsia="Times New Roman" w:hAnsi="Times New Roman" w:cs="Times New Roman"/>
                <w:bCs/>
                <w:color w:val="000000"/>
              </w:rPr>
              <w:t>AVJWS</w:t>
            </w:r>
          </w:p>
        </w:tc>
        <w:tc>
          <w:tcPr>
            <w:tcW w:w="1191" w:type="dxa"/>
            <w:tcBorders>
              <w:top w:val="nil"/>
              <w:left w:val="nil"/>
              <w:bottom w:val="nil"/>
              <w:right w:val="nil"/>
            </w:tcBorders>
            <w:shd w:val="clear" w:color="auto" w:fill="auto"/>
            <w:noWrap/>
            <w:vAlign w:val="bottom"/>
            <w:hideMark/>
          </w:tcPr>
          <w:p w14:paraId="594D1EDE"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0.92 (0.99)</w:t>
            </w:r>
          </w:p>
        </w:tc>
        <w:tc>
          <w:tcPr>
            <w:tcW w:w="1191" w:type="dxa"/>
            <w:tcBorders>
              <w:top w:val="nil"/>
              <w:left w:val="nil"/>
              <w:bottom w:val="nil"/>
              <w:right w:val="nil"/>
            </w:tcBorders>
            <w:shd w:val="clear" w:color="auto" w:fill="auto"/>
            <w:noWrap/>
            <w:vAlign w:val="bottom"/>
            <w:hideMark/>
          </w:tcPr>
          <w:p w14:paraId="7EA614E5"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0.83 (0.96)</w:t>
            </w:r>
          </w:p>
        </w:tc>
        <w:tc>
          <w:tcPr>
            <w:tcW w:w="1191" w:type="dxa"/>
            <w:tcBorders>
              <w:top w:val="nil"/>
              <w:left w:val="nil"/>
              <w:bottom w:val="nil"/>
              <w:right w:val="nil"/>
            </w:tcBorders>
            <w:shd w:val="clear" w:color="auto" w:fill="auto"/>
            <w:noWrap/>
            <w:vAlign w:val="bottom"/>
            <w:hideMark/>
          </w:tcPr>
          <w:p w14:paraId="447C84C2"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0.80 (0.94)</w:t>
            </w:r>
          </w:p>
        </w:tc>
        <w:tc>
          <w:tcPr>
            <w:tcW w:w="1191" w:type="dxa"/>
            <w:tcBorders>
              <w:top w:val="nil"/>
              <w:left w:val="nil"/>
              <w:bottom w:val="nil"/>
              <w:right w:val="nil"/>
            </w:tcBorders>
            <w:shd w:val="clear" w:color="auto" w:fill="auto"/>
            <w:noWrap/>
            <w:vAlign w:val="bottom"/>
            <w:hideMark/>
          </w:tcPr>
          <w:p w14:paraId="77FDF225"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0.88 (0.98)</w:t>
            </w:r>
          </w:p>
        </w:tc>
        <w:tc>
          <w:tcPr>
            <w:tcW w:w="1191" w:type="dxa"/>
            <w:tcBorders>
              <w:top w:val="nil"/>
              <w:left w:val="nil"/>
              <w:bottom w:val="nil"/>
              <w:right w:val="nil"/>
            </w:tcBorders>
            <w:shd w:val="clear" w:color="auto" w:fill="auto"/>
            <w:noWrap/>
            <w:vAlign w:val="bottom"/>
            <w:hideMark/>
          </w:tcPr>
          <w:p w14:paraId="643F7651"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0.84 (0.96)</w:t>
            </w:r>
          </w:p>
        </w:tc>
        <w:tc>
          <w:tcPr>
            <w:tcW w:w="1191" w:type="dxa"/>
            <w:tcBorders>
              <w:top w:val="nil"/>
              <w:left w:val="nil"/>
              <w:bottom w:val="nil"/>
              <w:right w:val="nil"/>
            </w:tcBorders>
            <w:shd w:val="clear" w:color="auto" w:fill="auto"/>
            <w:noWrap/>
            <w:vAlign w:val="bottom"/>
            <w:hideMark/>
          </w:tcPr>
          <w:p w14:paraId="71AAEB72"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0.86 (0.91)</w:t>
            </w:r>
          </w:p>
        </w:tc>
        <w:tc>
          <w:tcPr>
            <w:tcW w:w="1191" w:type="dxa"/>
            <w:tcBorders>
              <w:top w:val="nil"/>
              <w:left w:val="nil"/>
              <w:bottom w:val="nil"/>
              <w:right w:val="nil"/>
            </w:tcBorders>
            <w:shd w:val="clear" w:color="auto" w:fill="auto"/>
            <w:noWrap/>
            <w:vAlign w:val="bottom"/>
            <w:hideMark/>
          </w:tcPr>
          <w:p w14:paraId="45177571"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w:t>
            </w:r>
          </w:p>
        </w:tc>
      </w:tr>
      <w:tr w:rsidR="00EA6568" w:rsidRPr="00056BD0" w14:paraId="24515D08" w14:textId="77777777" w:rsidTr="00295630">
        <w:trPr>
          <w:trHeight w:val="300"/>
        </w:trPr>
        <w:tc>
          <w:tcPr>
            <w:tcW w:w="1121" w:type="dxa"/>
            <w:tcBorders>
              <w:top w:val="nil"/>
              <w:left w:val="nil"/>
              <w:bottom w:val="single" w:sz="4" w:space="0" w:color="auto"/>
              <w:right w:val="nil"/>
            </w:tcBorders>
            <w:shd w:val="clear" w:color="auto" w:fill="auto"/>
            <w:noWrap/>
            <w:vAlign w:val="bottom"/>
            <w:hideMark/>
          </w:tcPr>
          <w:p w14:paraId="3B460F78" w14:textId="77777777" w:rsidR="00EA6568" w:rsidRPr="00056BD0" w:rsidRDefault="00EA6568" w:rsidP="00FA51D3">
            <w:pPr>
              <w:spacing w:after="0" w:line="240" w:lineRule="auto"/>
              <w:rPr>
                <w:rFonts w:ascii="Times New Roman" w:eastAsia="Times New Roman" w:hAnsi="Times New Roman" w:cs="Times New Roman"/>
                <w:color w:val="000000"/>
              </w:rPr>
            </w:pPr>
            <w:r w:rsidRPr="00056BD0">
              <w:rPr>
                <w:rFonts w:ascii="Times New Roman" w:eastAsia="Times New Roman" w:hAnsi="Times New Roman" w:cs="Times New Roman"/>
                <w:color w:val="000000"/>
              </w:rPr>
              <w:t> </w:t>
            </w:r>
          </w:p>
        </w:tc>
        <w:tc>
          <w:tcPr>
            <w:tcW w:w="1191" w:type="dxa"/>
            <w:tcBorders>
              <w:top w:val="nil"/>
              <w:left w:val="nil"/>
              <w:bottom w:val="single" w:sz="4" w:space="0" w:color="auto"/>
              <w:right w:val="nil"/>
            </w:tcBorders>
            <w:shd w:val="clear" w:color="auto" w:fill="auto"/>
            <w:noWrap/>
            <w:vAlign w:val="bottom"/>
            <w:hideMark/>
          </w:tcPr>
          <w:p w14:paraId="09CC38B4" w14:textId="77777777" w:rsidR="00EA6568" w:rsidRPr="00056BD0" w:rsidRDefault="00EA6568" w:rsidP="00FA51D3">
            <w:pPr>
              <w:spacing w:after="0" w:line="240" w:lineRule="auto"/>
              <w:rPr>
                <w:rFonts w:ascii="Times New Roman" w:eastAsia="Times New Roman" w:hAnsi="Times New Roman" w:cs="Times New Roman"/>
                <w:color w:val="000000"/>
              </w:rPr>
            </w:pPr>
            <w:r w:rsidRPr="00056BD0">
              <w:rPr>
                <w:rFonts w:ascii="Times New Roman" w:eastAsia="Times New Roman" w:hAnsi="Times New Roman" w:cs="Times New Roman"/>
                <w:color w:val="000000"/>
              </w:rPr>
              <w:t> </w:t>
            </w:r>
          </w:p>
        </w:tc>
        <w:tc>
          <w:tcPr>
            <w:tcW w:w="1191" w:type="dxa"/>
            <w:tcBorders>
              <w:top w:val="nil"/>
              <w:left w:val="nil"/>
              <w:bottom w:val="single" w:sz="4" w:space="0" w:color="auto"/>
              <w:right w:val="nil"/>
            </w:tcBorders>
            <w:shd w:val="clear" w:color="auto" w:fill="auto"/>
            <w:noWrap/>
            <w:vAlign w:val="bottom"/>
            <w:hideMark/>
          </w:tcPr>
          <w:p w14:paraId="7AA7F727" w14:textId="77777777" w:rsidR="00EA6568" w:rsidRPr="00056BD0" w:rsidRDefault="00EA6568" w:rsidP="00FA51D3">
            <w:pPr>
              <w:spacing w:after="0" w:line="240" w:lineRule="auto"/>
              <w:rPr>
                <w:rFonts w:ascii="Times New Roman" w:eastAsia="Times New Roman" w:hAnsi="Times New Roman" w:cs="Times New Roman"/>
                <w:color w:val="000000"/>
              </w:rPr>
            </w:pPr>
            <w:r w:rsidRPr="00056BD0">
              <w:rPr>
                <w:rFonts w:ascii="Times New Roman" w:eastAsia="Times New Roman" w:hAnsi="Times New Roman" w:cs="Times New Roman"/>
                <w:color w:val="000000"/>
              </w:rPr>
              <w:t> </w:t>
            </w:r>
          </w:p>
        </w:tc>
        <w:tc>
          <w:tcPr>
            <w:tcW w:w="1191" w:type="dxa"/>
            <w:tcBorders>
              <w:top w:val="nil"/>
              <w:left w:val="nil"/>
              <w:bottom w:val="single" w:sz="4" w:space="0" w:color="auto"/>
              <w:right w:val="nil"/>
            </w:tcBorders>
            <w:shd w:val="clear" w:color="auto" w:fill="auto"/>
            <w:noWrap/>
            <w:vAlign w:val="bottom"/>
            <w:hideMark/>
          </w:tcPr>
          <w:p w14:paraId="18C181FD" w14:textId="77777777" w:rsidR="00EA6568" w:rsidRPr="00056BD0" w:rsidRDefault="00EA6568" w:rsidP="00FA51D3">
            <w:pPr>
              <w:spacing w:after="0" w:line="240" w:lineRule="auto"/>
              <w:rPr>
                <w:rFonts w:ascii="Times New Roman" w:eastAsia="Times New Roman" w:hAnsi="Times New Roman" w:cs="Times New Roman"/>
                <w:color w:val="000000"/>
              </w:rPr>
            </w:pPr>
            <w:r w:rsidRPr="00056BD0">
              <w:rPr>
                <w:rFonts w:ascii="Times New Roman" w:eastAsia="Times New Roman" w:hAnsi="Times New Roman" w:cs="Times New Roman"/>
                <w:color w:val="000000"/>
              </w:rPr>
              <w:t> </w:t>
            </w:r>
          </w:p>
        </w:tc>
        <w:tc>
          <w:tcPr>
            <w:tcW w:w="1191" w:type="dxa"/>
            <w:tcBorders>
              <w:top w:val="nil"/>
              <w:left w:val="nil"/>
              <w:bottom w:val="single" w:sz="4" w:space="0" w:color="auto"/>
              <w:right w:val="nil"/>
            </w:tcBorders>
            <w:shd w:val="clear" w:color="auto" w:fill="auto"/>
            <w:noWrap/>
            <w:vAlign w:val="bottom"/>
            <w:hideMark/>
          </w:tcPr>
          <w:p w14:paraId="52A49343" w14:textId="77777777" w:rsidR="00EA6568" w:rsidRPr="00056BD0" w:rsidRDefault="00EA6568" w:rsidP="00FA51D3">
            <w:pPr>
              <w:spacing w:after="0" w:line="240" w:lineRule="auto"/>
              <w:rPr>
                <w:rFonts w:ascii="Times New Roman" w:eastAsia="Times New Roman" w:hAnsi="Times New Roman" w:cs="Times New Roman"/>
                <w:color w:val="000000"/>
              </w:rPr>
            </w:pPr>
            <w:r w:rsidRPr="00056BD0">
              <w:rPr>
                <w:rFonts w:ascii="Times New Roman" w:eastAsia="Times New Roman" w:hAnsi="Times New Roman" w:cs="Times New Roman"/>
                <w:color w:val="000000"/>
              </w:rPr>
              <w:t> </w:t>
            </w:r>
          </w:p>
        </w:tc>
        <w:tc>
          <w:tcPr>
            <w:tcW w:w="1191" w:type="dxa"/>
            <w:tcBorders>
              <w:top w:val="nil"/>
              <w:left w:val="nil"/>
              <w:bottom w:val="single" w:sz="4" w:space="0" w:color="auto"/>
              <w:right w:val="nil"/>
            </w:tcBorders>
            <w:shd w:val="clear" w:color="auto" w:fill="auto"/>
            <w:noWrap/>
            <w:vAlign w:val="bottom"/>
            <w:hideMark/>
          </w:tcPr>
          <w:p w14:paraId="0EB24EB4" w14:textId="77777777" w:rsidR="00EA6568" w:rsidRPr="00056BD0" w:rsidRDefault="00EA6568" w:rsidP="00FA51D3">
            <w:pPr>
              <w:spacing w:after="0" w:line="240" w:lineRule="auto"/>
              <w:rPr>
                <w:rFonts w:ascii="Times New Roman" w:eastAsia="Times New Roman" w:hAnsi="Times New Roman" w:cs="Times New Roman"/>
                <w:color w:val="000000"/>
              </w:rPr>
            </w:pPr>
            <w:r w:rsidRPr="00056BD0">
              <w:rPr>
                <w:rFonts w:ascii="Times New Roman" w:eastAsia="Times New Roman" w:hAnsi="Times New Roman" w:cs="Times New Roman"/>
                <w:color w:val="000000"/>
              </w:rPr>
              <w:t> </w:t>
            </w:r>
          </w:p>
        </w:tc>
        <w:tc>
          <w:tcPr>
            <w:tcW w:w="1191" w:type="dxa"/>
            <w:tcBorders>
              <w:top w:val="nil"/>
              <w:left w:val="nil"/>
              <w:bottom w:val="single" w:sz="4" w:space="0" w:color="auto"/>
              <w:right w:val="nil"/>
            </w:tcBorders>
            <w:shd w:val="clear" w:color="auto" w:fill="auto"/>
            <w:noWrap/>
            <w:vAlign w:val="bottom"/>
            <w:hideMark/>
          </w:tcPr>
          <w:p w14:paraId="69820F4D" w14:textId="77777777" w:rsidR="00EA6568" w:rsidRPr="00056BD0" w:rsidRDefault="00EA6568" w:rsidP="00FA51D3">
            <w:pPr>
              <w:spacing w:after="0" w:line="240" w:lineRule="auto"/>
              <w:rPr>
                <w:rFonts w:ascii="Times New Roman" w:eastAsia="Times New Roman" w:hAnsi="Times New Roman" w:cs="Times New Roman"/>
                <w:color w:val="000000"/>
              </w:rPr>
            </w:pPr>
            <w:r w:rsidRPr="00056BD0">
              <w:rPr>
                <w:rFonts w:ascii="Times New Roman" w:eastAsia="Times New Roman" w:hAnsi="Times New Roman" w:cs="Times New Roman"/>
                <w:color w:val="000000"/>
              </w:rPr>
              <w:t> </w:t>
            </w:r>
          </w:p>
        </w:tc>
        <w:tc>
          <w:tcPr>
            <w:tcW w:w="1191" w:type="dxa"/>
            <w:tcBorders>
              <w:top w:val="nil"/>
              <w:left w:val="nil"/>
              <w:bottom w:val="single" w:sz="4" w:space="0" w:color="auto"/>
              <w:right w:val="nil"/>
            </w:tcBorders>
            <w:shd w:val="clear" w:color="auto" w:fill="auto"/>
            <w:noWrap/>
            <w:vAlign w:val="bottom"/>
            <w:hideMark/>
          </w:tcPr>
          <w:p w14:paraId="3D91FADA" w14:textId="77777777" w:rsidR="00EA6568" w:rsidRPr="00056BD0" w:rsidRDefault="00EA6568" w:rsidP="00FA51D3">
            <w:pPr>
              <w:spacing w:after="0" w:line="240" w:lineRule="auto"/>
              <w:rPr>
                <w:rFonts w:ascii="Times New Roman" w:eastAsia="Times New Roman" w:hAnsi="Times New Roman" w:cs="Times New Roman"/>
                <w:color w:val="000000"/>
              </w:rPr>
            </w:pPr>
            <w:r w:rsidRPr="00056BD0">
              <w:rPr>
                <w:rFonts w:ascii="Times New Roman" w:eastAsia="Times New Roman" w:hAnsi="Times New Roman" w:cs="Times New Roman"/>
                <w:color w:val="000000"/>
              </w:rPr>
              <w:t> </w:t>
            </w:r>
          </w:p>
        </w:tc>
      </w:tr>
      <w:tr w:rsidR="00EA6568" w:rsidRPr="00056BD0" w14:paraId="79AB9F31" w14:textId="77777777" w:rsidTr="00295630">
        <w:trPr>
          <w:trHeight w:val="454"/>
        </w:trPr>
        <w:tc>
          <w:tcPr>
            <w:tcW w:w="9458" w:type="dxa"/>
            <w:gridSpan w:val="8"/>
            <w:tcBorders>
              <w:top w:val="nil"/>
              <w:left w:val="nil"/>
              <w:right w:val="nil"/>
            </w:tcBorders>
            <w:shd w:val="clear" w:color="auto" w:fill="auto"/>
            <w:noWrap/>
            <w:vAlign w:val="center"/>
          </w:tcPr>
          <w:p w14:paraId="12E1DD26" w14:textId="77777777" w:rsidR="00C53F4C" w:rsidRDefault="00C53F4C" w:rsidP="00C53F4C">
            <w:pPr>
              <w:pStyle w:val="ListParagraph"/>
              <w:spacing w:after="0" w:line="240" w:lineRule="auto"/>
              <w:ind w:left="0"/>
              <w:jc w:val="center"/>
              <w:rPr>
                <w:rFonts w:ascii="Times New Roman" w:eastAsia="Times New Roman" w:hAnsi="Times New Roman" w:cs="Times New Roman"/>
                <w:b/>
                <w:bCs/>
              </w:rPr>
            </w:pPr>
          </w:p>
          <w:p w14:paraId="1B052BFD" w14:textId="77777777" w:rsidR="00C53F4C" w:rsidRDefault="00295630" w:rsidP="00C53F4C">
            <w:pPr>
              <w:pStyle w:val="ListParagraph"/>
              <w:spacing w:after="0" w:line="240" w:lineRule="auto"/>
              <w:ind w:left="0"/>
              <w:jc w:val="center"/>
              <w:rPr>
                <w:rFonts w:ascii="Times New Roman" w:eastAsia="Times New Roman" w:hAnsi="Times New Roman" w:cs="Times New Roman"/>
                <w:b/>
                <w:bCs/>
              </w:rPr>
            </w:pPr>
            <w:r w:rsidRPr="00295630">
              <w:rPr>
                <w:rFonts w:ascii="Times New Roman" w:eastAsia="Times New Roman" w:hAnsi="Times New Roman" w:cs="Times New Roman"/>
                <w:b/>
                <w:bCs/>
              </w:rPr>
              <w:t>Table 3(b)</w:t>
            </w:r>
            <w:r w:rsidR="00C53F4C">
              <w:rPr>
                <w:rFonts w:ascii="Times New Roman" w:eastAsia="Times New Roman" w:hAnsi="Times New Roman" w:cs="Times New Roman"/>
                <w:b/>
                <w:bCs/>
              </w:rPr>
              <w:t>:</w:t>
            </w:r>
            <w:r w:rsidRPr="00295630">
              <w:rPr>
                <w:rFonts w:ascii="Times New Roman" w:eastAsia="Times New Roman" w:hAnsi="Times New Roman" w:cs="Times New Roman"/>
                <w:b/>
                <w:bCs/>
              </w:rPr>
              <w:t xml:space="preserve"> </w:t>
            </w:r>
            <w:r w:rsidR="00242660">
              <w:rPr>
                <w:rFonts w:ascii="Times New Roman" w:eastAsia="Times New Roman" w:hAnsi="Times New Roman" w:cs="Times New Roman"/>
                <w:b/>
                <w:bCs/>
              </w:rPr>
              <w:t xml:space="preserve">Percentage of Discordant Pairs, </w:t>
            </w:r>
          </w:p>
          <w:p w14:paraId="606ABB98" w14:textId="1130A976" w:rsidR="00EA6568" w:rsidRPr="00295630" w:rsidRDefault="00242660" w:rsidP="00C53F4C">
            <w:pPr>
              <w:pStyle w:val="ListParagraph"/>
              <w:spacing w:after="80" w:line="240" w:lineRule="auto"/>
              <w:ind w:left="0"/>
              <w:jc w:val="center"/>
              <w:rPr>
                <w:rFonts w:ascii="Times New Roman" w:eastAsia="Times New Roman" w:hAnsi="Times New Roman" w:cs="Times New Roman"/>
                <w:b/>
                <w:bCs/>
              </w:rPr>
            </w:pPr>
            <w:r>
              <w:rPr>
                <w:rFonts w:ascii="Times New Roman" w:eastAsia="Times New Roman" w:hAnsi="Times New Roman" w:cs="Times New Roman"/>
                <w:b/>
                <w:bCs/>
              </w:rPr>
              <w:t>Active S</w:t>
            </w:r>
            <w:r w:rsidR="00EA6568" w:rsidRPr="00295630">
              <w:rPr>
                <w:rFonts w:ascii="Times New Roman" w:eastAsia="Times New Roman" w:hAnsi="Times New Roman" w:cs="Times New Roman"/>
                <w:b/>
                <w:bCs/>
              </w:rPr>
              <w:t xml:space="preserve">taff, share </w:t>
            </w:r>
            <w:r w:rsidR="00E6612C" w:rsidRPr="00295630">
              <w:rPr>
                <w:rFonts w:ascii="Times New Roman" w:eastAsia="Times New Roman" w:hAnsi="Times New Roman" w:cs="Times New Roman"/>
                <w:b/>
                <w:bCs/>
              </w:rPr>
              <w:t>and</w:t>
            </w:r>
            <w:r>
              <w:rPr>
                <w:rFonts w:ascii="Times New Roman" w:eastAsia="Times New Roman" w:hAnsi="Times New Roman" w:cs="Times New Roman"/>
                <w:b/>
                <w:bCs/>
              </w:rPr>
              <w:t xml:space="preserve"> Size Adjusted Pages,</w:t>
            </w:r>
            <w:r w:rsidR="00C53F4C">
              <w:rPr>
                <w:rFonts w:ascii="Times New Roman" w:eastAsia="Times New Roman" w:hAnsi="Times New Roman" w:cs="Times New Roman"/>
                <w:b/>
                <w:bCs/>
              </w:rPr>
              <w:t xml:space="preserve"> </w:t>
            </w:r>
            <w:r>
              <w:rPr>
                <w:rFonts w:ascii="Times New Roman" w:eastAsia="Times New Roman" w:hAnsi="Times New Roman" w:cs="Times New Roman"/>
                <w:b/>
                <w:bCs/>
              </w:rPr>
              <w:t>V</w:t>
            </w:r>
            <w:r w:rsidR="00EA6568" w:rsidRPr="00295630">
              <w:rPr>
                <w:rFonts w:ascii="Times New Roman" w:eastAsia="Times New Roman" w:hAnsi="Times New Roman" w:cs="Times New Roman"/>
                <w:b/>
                <w:bCs/>
              </w:rPr>
              <w:t>arious JWS</w:t>
            </w:r>
          </w:p>
        </w:tc>
      </w:tr>
      <w:tr w:rsidR="00EA6568" w:rsidRPr="00056BD0" w14:paraId="52C0EC1B" w14:textId="77777777" w:rsidTr="00295630">
        <w:trPr>
          <w:trHeight w:val="397"/>
        </w:trPr>
        <w:tc>
          <w:tcPr>
            <w:tcW w:w="1121" w:type="dxa"/>
            <w:tcBorders>
              <w:top w:val="single" w:sz="4" w:space="0" w:color="auto"/>
              <w:left w:val="nil"/>
              <w:bottom w:val="single" w:sz="4" w:space="0" w:color="auto"/>
              <w:right w:val="nil"/>
            </w:tcBorders>
            <w:shd w:val="clear" w:color="auto" w:fill="auto"/>
            <w:noWrap/>
            <w:vAlign w:val="center"/>
            <w:hideMark/>
          </w:tcPr>
          <w:p w14:paraId="480706FF" w14:textId="77777777" w:rsidR="00EA6568" w:rsidRPr="00056BD0" w:rsidRDefault="00EA6568" w:rsidP="00FA51D3">
            <w:pPr>
              <w:spacing w:after="0" w:line="240" w:lineRule="auto"/>
              <w:jc w:val="center"/>
              <w:rPr>
                <w:rFonts w:ascii="Times New Roman" w:eastAsia="Times New Roman" w:hAnsi="Times New Roman" w:cs="Times New Roman"/>
                <w:bCs/>
              </w:rPr>
            </w:pPr>
          </w:p>
        </w:tc>
        <w:tc>
          <w:tcPr>
            <w:tcW w:w="1191" w:type="dxa"/>
            <w:tcBorders>
              <w:top w:val="single" w:sz="4" w:space="0" w:color="auto"/>
              <w:left w:val="nil"/>
              <w:bottom w:val="single" w:sz="4" w:space="0" w:color="auto"/>
              <w:right w:val="nil"/>
            </w:tcBorders>
            <w:shd w:val="clear" w:color="auto" w:fill="auto"/>
            <w:noWrap/>
            <w:vAlign w:val="center"/>
            <w:hideMark/>
          </w:tcPr>
          <w:p w14:paraId="50A44990" w14:textId="77777777" w:rsidR="00EA6568" w:rsidRPr="00056BD0" w:rsidRDefault="00EA6568" w:rsidP="00FA51D3">
            <w:pPr>
              <w:spacing w:after="0" w:line="240" w:lineRule="auto"/>
              <w:jc w:val="center"/>
              <w:rPr>
                <w:rFonts w:ascii="Times New Roman" w:eastAsia="Times New Roman" w:hAnsi="Times New Roman" w:cs="Times New Roman"/>
                <w:bCs/>
                <w:color w:val="000000"/>
              </w:rPr>
            </w:pPr>
            <w:proofErr w:type="spellStart"/>
            <w:r w:rsidRPr="00056BD0">
              <w:rPr>
                <w:rFonts w:ascii="Times New Roman" w:eastAsia="Times New Roman" w:hAnsi="Times New Roman" w:cs="Times New Roman"/>
                <w:bCs/>
                <w:color w:val="000000"/>
              </w:rPr>
              <w:t>CLm</w:t>
            </w:r>
            <w:proofErr w:type="spellEnd"/>
          </w:p>
        </w:tc>
        <w:tc>
          <w:tcPr>
            <w:tcW w:w="1191" w:type="dxa"/>
            <w:tcBorders>
              <w:top w:val="single" w:sz="4" w:space="0" w:color="auto"/>
              <w:left w:val="nil"/>
              <w:bottom w:val="single" w:sz="4" w:space="0" w:color="auto"/>
              <w:right w:val="nil"/>
            </w:tcBorders>
            <w:shd w:val="clear" w:color="auto" w:fill="auto"/>
            <w:noWrap/>
            <w:vAlign w:val="center"/>
            <w:hideMark/>
          </w:tcPr>
          <w:p w14:paraId="49A70CDA" w14:textId="77777777" w:rsidR="00EA6568" w:rsidRPr="00056BD0" w:rsidRDefault="00EA6568" w:rsidP="00FA51D3">
            <w:pPr>
              <w:spacing w:after="0" w:line="240" w:lineRule="auto"/>
              <w:jc w:val="center"/>
              <w:rPr>
                <w:rFonts w:ascii="Times New Roman" w:eastAsia="Times New Roman" w:hAnsi="Times New Roman" w:cs="Times New Roman"/>
                <w:bCs/>
                <w:color w:val="000000"/>
              </w:rPr>
            </w:pPr>
            <w:proofErr w:type="spellStart"/>
            <w:r w:rsidRPr="00056BD0">
              <w:rPr>
                <w:rFonts w:ascii="Times New Roman" w:eastAsia="Times New Roman" w:hAnsi="Times New Roman" w:cs="Times New Roman"/>
                <w:bCs/>
                <w:color w:val="000000"/>
              </w:rPr>
              <w:t>CLh</w:t>
            </w:r>
            <w:proofErr w:type="spellEnd"/>
          </w:p>
        </w:tc>
        <w:tc>
          <w:tcPr>
            <w:tcW w:w="1191" w:type="dxa"/>
            <w:tcBorders>
              <w:top w:val="single" w:sz="4" w:space="0" w:color="auto"/>
              <w:left w:val="nil"/>
              <w:bottom w:val="single" w:sz="4" w:space="0" w:color="auto"/>
              <w:right w:val="nil"/>
            </w:tcBorders>
            <w:shd w:val="clear" w:color="auto" w:fill="auto"/>
            <w:noWrap/>
            <w:vAlign w:val="center"/>
            <w:hideMark/>
          </w:tcPr>
          <w:p w14:paraId="28A4E47C" w14:textId="77777777" w:rsidR="00EA6568" w:rsidRPr="00056BD0" w:rsidRDefault="00EA6568" w:rsidP="00FA51D3">
            <w:pPr>
              <w:spacing w:after="0" w:line="240" w:lineRule="auto"/>
              <w:jc w:val="center"/>
              <w:rPr>
                <w:rFonts w:ascii="Times New Roman" w:eastAsia="Times New Roman" w:hAnsi="Times New Roman" w:cs="Times New Roman"/>
                <w:bCs/>
                <w:color w:val="000000"/>
              </w:rPr>
            </w:pPr>
            <w:r w:rsidRPr="00056BD0">
              <w:rPr>
                <w:rFonts w:ascii="Times New Roman" w:eastAsia="Times New Roman" w:hAnsi="Times New Roman" w:cs="Times New Roman"/>
                <w:bCs/>
                <w:color w:val="000000"/>
              </w:rPr>
              <w:t>ABDC</w:t>
            </w:r>
          </w:p>
        </w:tc>
        <w:tc>
          <w:tcPr>
            <w:tcW w:w="1191" w:type="dxa"/>
            <w:tcBorders>
              <w:top w:val="single" w:sz="4" w:space="0" w:color="auto"/>
              <w:left w:val="nil"/>
              <w:bottom w:val="single" w:sz="4" w:space="0" w:color="auto"/>
              <w:right w:val="nil"/>
            </w:tcBorders>
            <w:shd w:val="clear" w:color="auto" w:fill="auto"/>
            <w:noWrap/>
            <w:vAlign w:val="center"/>
            <w:hideMark/>
          </w:tcPr>
          <w:p w14:paraId="58DE21FE" w14:textId="77777777" w:rsidR="00EA6568" w:rsidRPr="00056BD0" w:rsidRDefault="00EA6568" w:rsidP="00FA51D3">
            <w:pPr>
              <w:spacing w:after="0" w:line="240" w:lineRule="auto"/>
              <w:jc w:val="center"/>
              <w:rPr>
                <w:rFonts w:ascii="Times New Roman" w:eastAsia="Times New Roman" w:hAnsi="Times New Roman" w:cs="Times New Roman"/>
                <w:bCs/>
                <w:color w:val="000000"/>
              </w:rPr>
            </w:pPr>
            <w:proofErr w:type="spellStart"/>
            <w:r w:rsidRPr="00056BD0">
              <w:rPr>
                <w:rFonts w:ascii="Times New Roman" w:eastAsia="Times New Roman" w:hAnsi="Times New Roman" w:cs="Times New Roman"/>
                <w:bCs/>
                <w:color w:val="000000"/>
              </w:rPr>
              <w:t>Rsif</w:t>
            </w:r>
            <w:proofErr w:type="spellEnd"/>
          </w:p>
        </w:tc>
        <w:tc>
          <w:tcPr>
            <w:tcW w:w="1191" w:type="dxa"/>
            <w:tcBorders>
              <w:top w:val="single" w:sz="4" w:space="0" w:color="auto"/>
              <w:left w:val="nil"/>
              <w:bottom w:val="single" w:sz="4" w:space="0" w:color="auto"/>
              <w:right w:val="nil"/>
            </w:tcBorders>
            <w:shd w:val="clear" w:color="auto" w:fill="auto"/>
            <w:noWrap/>
            <w:vAlign w:val="center"/>
            <w:hideMark/>
          </w:tcPr>
          <w:p w14:paraId="5CCAE8E9" w14:textId="77777777" w:rsidR="00EA6568" w:rsidRPr="00056BD0" w:rsidRDefault="00EA6568" w:rsidP="00FA51D3">
            <w:pPr>
              <w:spacing w:after="0" w:line="240" w:lineRule="auto"/>
              <w:jc w:val="center"/>
              <w:rPr>
                <w:rFonts w:ascii="Times New Roman" w:eastAsia="Times New Roman" w:hAnsi="Times New Roman" w:cs="Times New Roman"/>
                <w:bCs/>
                <w:color w:val="000000"/>
              </w:rPr>
            </w:pPr>
            <w:proofErr w:type="spellStart"/>
            <w:r w:rsidRPr="00056BD0">
              <w:rPr>
                <w:rFonts w:ascii="Times New Roman" w:eastAsia="Times New Roman" w:hAnsi="Times New Roman" w:cs="Times New Roman"/>
                <w:bCs/>
                <w:color w:val="000000"/>
              </w:rPr>
              <w:t>Rrec</w:t>
            </w:r>
            <w:proofErr w:type="spellEnd"/>
          </w:p>
        </w:tc>
        <w:tc>
          <w:tcPr>
            <w:tcW w:w="1191" w:type="dxa"/>
            <w:tcBorders>
              <w:top w:val="single" w:sz="4" w:space="0" w:color="auto"/>
              <w:left w:val="nil"/>
              <w:bottom w:val="single" w:sz="4" w:space="0" w:color="auto"/>
              <w:right w:val="nil"/>
            </w:tcBorders>
            <w:shd w:val="clear" w:color="auto" w:fill="auto"/>
            <w:noWrap/>
            <w:vAlign w:val="center"/>
            <w:hideMark/>
          </w:tcPr>
          <w:p w14:paraId="6F56121A" w14:textId="77777777" w:rsidR="00EA6568" w:rsidRPr="00056BD0" w:rsidRDefault="00EA6568" w:rsidP="00FA51D3">
            <w:pPr>
              <w:spacing w:after="0" w:line="240" w:lineRule="auto"/>
              <w:jc w:val="center"/>
              <w:rPr>
                <w:rFonts w:ascii="Times New Roman" w:eastAsia="Times New Roman" w:hAnsi="Times New Roman" w:cs="Times New Roman"/>
                <w:bCs/>
                <w:color w:val="000000"/>
              </w:rPr>
            </w:pPr>
            <w:r w:rsidRPr="00056BD0">
              <w:rPr>
                <w:rFonts w:ascii="Times New Roman" w:eastAsia="Times New Roman" w:hAnsi="Times New Roman" w:cs="Times New Roman"/>
                <w:bCs/>
                <w:color w:val="000000"/>
              </w:rPr>
              <w:t>NZABDC</w:t>
            </w:r>
          </w:p>
        </w:tc>
        <w:tc>
          <w:tcPr>
            <w:tcW w:w="1191" w:type="dxa"/>
            <w:tcBorders>
              <w:top w:val="single" w:sz="4" w:space="0" w:color="auto"/>
              <w:left w:val="nil"/>
              <w:bottom w:val="single" w:sz="4" w:space="0" w:color="auto"/>
              <w:right w:val="nil"/>
            </w:tcBorders>
            <w:shd w:val="clear" w:color="auto" w:fill="auto"/>
            <w:noWrap/>
            <w:vAlign w:val="center"/>
            <w:hideMark/>
          </w:tcPr>
          <w:p w14:paraId="54015905" w14:textId="77777777" w:rsidR="00EA6568" w:rsidRPr="00056BD0" w:rsidRDefault="00EA6568" w:rsidP="00FA51D3">
            <w:pPr>
              <w:spacing w:after="0" w:line="240" w:lineRule="auto"/>
              <w:jc w:val="center"/>
              <w:rPr>
                <w:rFonts w:ascii="Times New Roman" w:eastAsia="Times New Roman" w:hAnsi="Times New Roman" w:cs="Times New Roman"/>
                <w:bCs/>
                <w:color w:val="000000"/>
              </w:rPr>
            </w:pPr>
            <w:r w:rsidRPr="00056BD0">
              <w:rPr>
                <w:rFonts w:ascii="Times New Roman" w:eastAsia="Times New Roman" w:hAnsi="Times New Roman" w:cs="Times New Roman"/>
                <w:bCs/>
                <w:color w:val="000000"/>
              </w:rPr>
              <w:t>AVJWS</w:t>
            </w:r>
          </w:p>
        </w:tc>
      </w:tr>
      <w:tr w:rsidR="00EA6568" w:rsidRPr="00056BD0" w14:paraId="295B1224" w14:textId="77777777" w:rsidTr="00295630">
        <w:trPr>
          <w:trHeight w:val="300"/>
        </w:trPr>
        <w:tc>
          <w:tcPr>
            <w:tcW w:w="1121" w:type="dxa"/>
            <w:tcBorders>
              <w:left w:val="nil"/>
              <w:bottom w:val="nil"/>
              <w:right w:val="nil"/>
            </w:tcBorders>
            <w:shd w:val="clear" w:color="auto" w:fill="auto"/>
            <w:noWrap/>
            <w:vAlign w:val="bottom"/>
            <w:hideMark/>
          </w:tcPr>
          <w:p w14:paraId="7D6933B6" w14:textId="77777777" w:rsidR="00EA6568" w:rsidRPr="00056BD0" w:rsidRDefault="00EA6568" w:rsidP="00FA51D3">
            <w:pPr>
              <w:spacing w:after="0" w:line="240" w:lineRule="auto"/>
              <w:rPr>
                <w:rFonts w:ascii="Times New Roman" w:eastAsia="Times New Roman" w:hAnsi="Times New Roman" w:cs="Times New Roman"/>
                <w:bCs/>
                <w:color w:val="000000"/>
              </w:rPr>
            </w:pPr>
            <w:proofErr w:type="spellStart"/>
            <w:r w:rsidRPr="00056BD0">
              <w:rPr>
                <w:rFonts w:ascii="Times New Roman" w:eastAsia="Times New Roman" w:hAnsi="Times New Roman" w:cs="Times New Roman"/>
                <w:bCs/>
                <w:color w:val="000000"/>
              </w:rPr>
              <w:t>CLm</w:t>
            </w:r>
            <w:proofErr w:type="spellEnd"/>
          </w:p>
        </w:tc>
        <w:tc>
          <w:tcPr>
            <w:tcW w:w="1191" w:type="dxa"/>
            <w:tcBorders>
              <w:left w:val="nil"/>
              <w:bottom w:val="nil"/>
              <w:right w:val="nil"/>
            </w:tcBorders>
            <w:shd w:val="clear" w:color="auto" w:fill="auto"/>
            <w:noWrap/>
            <w:vAlign w:val="bottom"/>
            <w:hideMark/>
          </w:tcPr>
          <w:p w14:paraId="47F1C095"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0.00</w:t>
            </w:r>
          </w:p>
        </w:tc>
        <w:tc>
          <w:tcPr>
            <w:tcW w:w="1191" w:type="dxa"/>
            <w:tcBorders>
              <w:left w:val="nil"/>
              <w:bottom w:val="nil"/>
              <w:right w:val="nil"/>
            </w:tcBorders>
            <w:shd w:val="clear" w:color="auto" w:fill="auto"/>
            <w:noWrap/>
            <w:vAlign w:val="bottom"/>
            <w:hideMark/>
          </w:tcPr>
          <w:p w14:paraId="2075EA86"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9.20</w:t>
            </w:r>
          </w:p>
        </w:tc>
        <w:tc>
          <w:tcPr>
            <w:tcW w:w="1191" w:type="dxa"/>
            <w:tcBorders>
              <w:left w:val="nil"/>
              <w:bottom w:val="nil"/>
              <w:right w:val="nil"/>
            </w:tcBorders>
            <w:shd w:val="clear" w:color="auto" w:fill="auto"/>
            <w:noWrap/>
            <w:vAlign w:val="bottom"/>
            <w:hideMark/>
          </w:tcPr>
          <w:p w14:paraId="66B2DAB6"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9.80</w:t>
            </w:r>
          </w:p>
        </w:tc>
        <w:tc>
          <w:tcPr>
            <w:tcW w:w="1191" w:type="dxa"/>
            <w:tcBorders>
              <w:left w:val="nil"/>
              <w:bottom w:val="nil"/>
              <w:right w:val="nil"/>
            </w:tcBorders>
            <w:shd w:val="clear" w:color="auto" w:fill="auto"/>
            <w:noWrap/>
            <w:vAlign w:val="bottom"/>
            <w:hideMark/>
          </w:tcPr>
          <w:p w14:paraId="767D759E"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9.04</w:t>
            </w:r>
          </w:p>
        </w:tc>
        <w:tc>
          <w:tcPr>
            <w:tcW w:w="1191" w:type="dxa"/>
            <w:tcBorders>
              <w:left w:val="nil"/>
              <w:bottom w:val="nil"/>
              <w:right w:val="nil"/>
            </w:tcBorders>
            <w:shd w:val="clear" w:color="auto" w:fill="auto"/>
            <w:noWrap/>
            <w:vAlign w:val="bottom"/>
            <w:hideMark/>
          </w:tcPr>
          <w:p w14:paraId="4616381E"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10.73</w:t>
            </w:r>
          </w:p>
        </w:tc>
        <w:tc>
          <w:tcPr>
            <w:tcW w:w="1191" w:type="dxa"/>
            <w:tcBorders>
              <w:left w:val="nil"/>
              <w:bottom w:val="nil"/>
              <w:right w:val="nil"/>
            </w:tcBorders>
            <w:shd w:val="clear" w:color="auto" w:fill="auto"/>
            <w:noWrap/>
            <w:vAlign w:val="bottom"/>
            <w:hideMark/>
          </w:tcPr>
          <w:p w14:paraId="5D73AB57"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9.77</w:t>
            </w:r>
          </w:p>
        </w:tc>
        <w:tc>
          <w:tcPr>
            <w:tcW w:w="1191" w:type="dxa"/>
            <w:tcBorders>
              <w:left w:val="nil"/>
              <w:bottom w:val="nil"/>
              <w:right w:val="nil"/>
            </w:tcBorders>
            <w:shd w:val="clear" w:color="auto" w:fill="auto"/>
            <w:noWrap/>
            <w:vAlign w:val="bottom"/>
            <w:hideMark/>
          </w:tcPr>
          <w:p w14:paraId="39811DA5"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3.87</w:t>
            </w:r>
          </w:p>
        </w:tc>
      </w:tr>
      <w:tr w:rsidR="00EA6568" w:rsidRPr="00056BD0" w14:paraId="6F5EB6D2" w14:textId="77777777" w:rsidTr="00295630">
        <w:trPr>
          <w:trHeight w:val="300"/>
        </w:trPr>
        <w:tc>
          <w:tcPr>
            <w:tcW w:w="1121" w:type="dxa"/>
            <w:tcBorders>
              <w:top w:val="nil"/>
              <w:left w:val="nil"/>
              <w:bottom w:val="nil"/>
              <w:right w:val="nil"/>
            </w:tcBorders>
            <w:shd w:val="clear" w:color="auto" w:fill="auto"/>
            <w:noWrap/>
            <w:vAlign w:val="bottom"/>
            <w:hideMark/>
          </w:tcPr>
          <w:p w14:paraId="25D3C8B2" w14:textId="77777777" w:rsidR="00EA6568" w:rsidRPr="00056BD0" w:rsidRDefault="00EA6568" w:rsidP="00FA51D3">
            <w:pPr>
              <w:spacing w:after="0" w:line="240" w:lineRule="auto"/>
              <w:rPr>
                <w:rFonts w:ascii="Times New Roman" w:eastAsia="Times New Roman" w:hAnsi="Times New Roman" w:cs="Times New Roman"/>
                <w:bCs/>
                <w:color w:val="000000"/>
              </w:rPr>
            </w:pPr>
            <w:proofErr w:type="spellStart"/>
            <w:r w:rsidRPr="00056BD0">
              <w:rPr>
                <w:rFonts w:ascii="Times New Roman" w:eastAsia="Times New Roman" w:hAnsi="Times New Roman" w:cs="Times New Roman"/>
                <w:bCs/>
                <w:color w:val="000000"/>
              </w:rPr>
              <w:t>CLh</w:t>
            </w:r>
            <w:proofErr w:type="spellEnd"/>
          </w:p>
        </w:tc>
        <w:tc>
          <w:tcPr>
            <w:tcW w:w="1191" w:type="dxa"/>
            <w:tcBorders>
              <w:top w:val="nil"/>
              <w:left w:val="nil"/>
              <w:bottom w:val="nil"/>
              <w:right w:val="nil"/>
            </w:tcBorders>
            <w:shd w:val="clear" w:color="auto" w:fill="auto"/>
            <w:noWrap/>
            <w:vAlign w:val="bottom"/>
            <w:hideMark/>
          </w:tcPr>
          <w:p w14:paraId="48C7116E"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9.20</w:t>
            </w:r>
          </w:p>
        </w:tc>
        <w:tc>
          <w:tcPr>
            <w:tcW w:w="1191" w:type="dxa"/>
            <w:tcBorders>
              <w:top w:val="nil"/>
              <w:left w:val="nil"/>
              <w:bottom w:val="nil"/>
              <w:right w:val="nil"/>
            </w:tcBorders>
            <w:shd w:val="clear" w:color="auto" w:fill="auto"/>
            <w:noWrap/>
            <w:vAlign w:val="bottom"/>
            <w:hideMark/>
          </w:tcPr>
          <w:p w14:paraId="17F48EB7"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0.00</w:t>
            </w:r>
          </w:p>
        </w:tc>
        <w:tc>
          <w:tcPr>
            <w:tcW w:w="1191" w:type="dxa"/>
            <w:tcBorders>
              <w:top w:val="nil"/>
              <w:left w:val="nil"/>
              <w:bottom w:val="nil"/>
              <w:right w:val="nil"/>
            </w:tcBorders>
            <w:shd w:val="clear" w:color="auto" w:fill="auto"/>
            <w:noWrap/>
            <w:vAlign w:val="bottom"/>
            <w:hideMark/>
          </w:tcPr>
          <w:p w14:paraId="1C13CF96"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17.73</w:t>
            </w:r>
          </w:p>
        </w:tc>
        <w:tc>
          <w:tcPr>
            <w:tcW w:w="1191" w:type="dxa"/>
            <w:tcBorders>
              <w:top w:val="nil"/>
              <w:left w:val="nil"/>
              <w:bottom w:val="nil"/>
              <w:right w:val="nil"/>
            </w:tcBorders>
            <w:shd w:val="clear" w:color="auto" w:fill="auto"/>
            <w:noWrap/>
            <w:vAlign w:val="bottom"/>
            <w:hideMark/>
          </w:tcPr>
          <w:p w14:paraId="3F0F5D72"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10.10</w:t>
            </w:r>
          </w:p>
        </w:tc>
        <w:tc>
          <w:tcPr>
            <w:tcW w:w="1191" w:type="dxa"/>
            <w:tcBorders>
              <w:top w:val="nil"/>
              <w:left w:val="nil"/>
              <w:bottom w:val="nil"/>
              <w:right w:val="nil"/>
            </w:tcBorders>
            <w:shd w:val="clear" w:color="auto" w:fill="auto"/>
            <w:noWrap/>
            <w:vAlign w:val="bottom"/>
            <w:hideMark/>
          </w:tcPr>
          <w:p w14:paraId="4B80C1D8"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9.81</w:t>
            </w:r>
          </w:p>
        </w:tc>
        <w:tc>
          <w:tcPr>
            <w:tcW w:w="1191" w:type="dxa"/>
            <w:tcBorders>
              <w:top w:val="nil"/>
              <w:left w:val="nil"/>
              <w:bottom w:val="nil"/>
              <w:right w:val="nil"/>
            </w:tcBorders>
            <w:shd w:val="clear" w:color="auto" w:fill="auto"/>
            <w:noWrap/>
            <w:vAlign w:val="bottom"/>
            <w:hideMark/>
          </w:tcPr>
          <w:p w14:paraId="259956BC"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12.83</w:t>
            </w:r>
          </w:p>
        </w:tc>
        <w:tc>
          <w:tcPr>
            <w:tcW w:w="1191" w:type="dxa"/>
            <w:tcBorders>
              <w:top w:val="nil"/>
              <w:left w:val="nil"/>
              <w:bottom w:val="nil"/>
              <w:right w:val="nil"/>
            </w:tcBorders>
            <w:shd w:val="clear" w:color="auto" w:fill="auto"/>
            <w:noWrap/>
            <w:vAlign w:val="bottom"/>
            <w:hideMark/>
          </w:tcPr>
          <w:p w14:paraId="06A126EB"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8.63</w:t>
            </w:r>
          </w:p>
        </w:tc>
      </w:tr>
      <w:tr w:rsidR="00EA6568" w:rsidRPr="00056BD0" w14:paraId="3513A1B9" w14:textId="77777777" w:rsidTr="00295630">
        <w:trPr>
          <w:trHeight w:val="300"/>
        </w:trPr>
        <w:tc>
          <w:tcPr>
            <w:tcW w:w="1121" w:type="dxa"/>
            <w:tcBorders>
              <w:top w:val="nil"/>
              <w:left w:val="nil"/>
              <w:bottom w:val="nil"/>
              <w:right w:val="nil"/>
            </w:tcBorders>
            <w:shd w:val="clear" w:color="auto" w:fill="auto"/>
            <w:noWrap/>
            <w:vAlign w:val="bottom"/>
            <w:hideMark/>
          </w:tcPr>
          <w:p w14:paraId="1F9891FF" w14:textId="77777777" w:rsidR="00EA6568" w:rsidRPr="00056BD0" w:rsidRDefault="00EA6568" w:rsidP="00FA51D3">
            <w:pPr>
              <w:spacing w:after="0" w:line="240" w:lineRule="auto"/>
              <w:rPr>
                <w:rFonts w:ascii="Times New Roman" w:eastAsia="Times New Roman" w:hAnsi="Times New Roman" w:cs="Times New Roman"/>
                <w:bCs/>
                <w:color w:val="000000"/>
              </w:rPr>
            </w:pPr>
            <w:r w:rsidRPr="00056BD0">
              <w:rPr>
                <w:rFonts w:ascii="Times New Roman" w:eastAsia="Times New Roman" w:hAnsi="Times New Roman" w:cs="Times New Roman"/>
                <w:bCs/>
                <w:color w:val="000000"/>
              </w:rPr>
              <w:t>ABDC</w:t>
            </w:r>
          </w:p>
        </w:tc>
        <w:tc>
          <w:tcPr>
            <w:tcW w:w="1191" w:type="dxa"/>
            <w:tcBorders>
              <w:top w:val="nil"/>
              <w:left w:val="nil"/>
              <w:bottom w:val="nil"/>
              <w:right w:val="nil"/>
            </w:tcBorders>
            <w:shd w:val="clear" w:color="auto" w:fill="auto"/>
            <w:noWrap/>
            <w:vAlign w:val="bottom"/>
            <w:hideMark/>
          </w:tcPr>
          <w:p w14:paraId="3B25B948"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9.80</w:t>
            </w:r>
          </w:p>
        </w:tc>
        <w:tc>
          <w:tcPr>
            <w:tcW w:w="1191" w:type="dxa"/>
            <w:tcBorders>
              <w:top w:val="nil"/>
              <w:left w:val="nil"/>
              <w:bottom w:val="nil"/>
              <w:right w:val="nil"/>
            </w:tcBorders>
            <w:shd w:val="clear" w:color="auto" w:fill="auto"/>
            <w:noWrap/>
            <w:vAlign w:val="bottom"/>
            <w:hideMark/>
          </w:tcPr>
          <w:p w14:paraId="3141CA3C"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17.73</w:t>
            </w:r>
          </w:p>
        </w:tc>
        <w:tc>
          <w:tcPr>
            <w:tcW w:w="1191" w:type="dxa"/>
            <w:tcBorders>
              <w:top w:val="nil"/>
              <w:left w:val="nil"/>
              <w:bottom w:val="nil"/>
              <w:right w:val="nil"/>
            </w:tcBorders>
            <w:shd w:val="clear" w:color="auto" w:fill="auto"/>
            <w:noWrap/>
            <w:vAlign w:val="bottom"/>
            <w:hideMark/>
          </w:tcPr>
          <w:p w14:paraId="43F839C9"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0.00</w:t>
            </w:r>
          </w:p>
        </w:tc>
        <w:tc>
          <w:tcPr>
            <w:tcW w:w="1191" w:type="dxa"/>
            <w:tcBorders>
              <w:top w:val="nil"/>
              <w:left w:val="nil"/>
              <w:bottom w:val="nil"/>
              <w:right w:val="nil"/>
            </w:tcBorders>
            <w:shd w:val="clear" w:color="auto" w:fill="auto"/>
            <w:noWrap/>
            <w:vAlign w:val="bottom"/>
            <w:hideMark/>
          </w:tcPr>
          <w:p w14:paraId="24CDB3A1"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14.14</w:t>
            </w:r>
          </w:p>
        </w:tc>
        <w:tc>
          <w:tcPr>
            <w:tcW w:w="1191" w:type="dxa"/>
            <w:tcBorders>
              <w:top w:val="nil"/>
              <w:left w:val="nil"/>
              <w:bottom w:val="nil"/>
              <w:right w:val="nil"/>
            </w:tcBorders>
            <w:shd w:val="clear" w:color="auto" w:fill="auto"/>
            <w:noWrap/>
            <w:vAlign w:val="bottom"/>
            <w:hideMark/>
          </w:tcPr>
          <w:p w14:paraId="0270F8A4"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16.51</w:t>
            </w:r>
          </w:p>
        </w:tc>
        <w:tc>
          <w:tcPr>
            <w:tcW w:w="1191" w:type="dxa"/>
            <w:tcBorders>
              <w:top w:val="nil"/>
              <w:left w:val="nil"/>
              <w:bottom w:val="nil"/>
              <w:right w:val="nil"/>
            </w:tcBorders>
            <w:shd w:val="clear" w:color="auto" w:fill="auto"/>
            <w:noWrap/>
            <w:vAlign w:val="bottom"/>
            <w:hideMark/>
          </w:tcPr>
          <w:p w14:paraId="42FF5430"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10.30</w:t>
            </w:r>
          </w:p>
        </w:tc>
        <w:tc>
          <w:tcPr>
            <w:tcW w:w="1191" w:type="dxa"/>
            <w:tcBorders>
              <w:top w:val="nil"/>
              <w:left w:val="nil"/>
              <w:bottom w:val="nil"/>
              <w:right w:val="nil"/>
            </w:tcBorders>
            <w:shd w:val="clear" w:color="auto" w:fill="auto"/>
            <w:noWrap/>
            <w:vAlign w:val="bottom"/>
            <w:hideMark/>
          </w:tcPr>
          <w:p w14:paraId="584DA083"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10.08</w:t>
            </w:r>
          </w:p>
        </w:tc>
      </w:tr>
      <w:tr w:rsidR="00EA6568" w:rsidRPr="00056BD0" w14:paraId="45EC41BA" w14:textId="77777777" w:rsidTr="00295630">
        <w:trPr>
          <w:trHeight w:val="300"/>
        </w:trPr>
        <w:tc>
          <w:tcPr>
            <w:tcW w:w="1121" w:type="dxa"/>
            <w:tcBorders>
              <w:top w:val="nil"/>
              <w:left w:val="nil"/>
              <w:bottom w:val="nil"/>
              <w:right w:val="nil"/>
            </w:tcBorders>
            <w:shd w:val="clear" w:color="auto" w:fill="auto"/>
            <w:noWrap/>
            <w:vAlign w:val="bottom"/>
            <w:hideMark/>
          </w:tcPr>
          <w:p w14:paraId="4D3011C5" w14:textId="77777777" w:rsidR="00EA6568" w:rsidRPr="00056BD0" w:rsidRDefault="00EA6568" w:rsidP="00FA51D3">
            <w:pPr>
              <w:spacing w:after="0" w:line="240" w:lineRule="auto"/>
              <w:rPr>
                <w:rFonts w:ascii="Times New Roman" w:eastAsia="Times New Roman" w:hAnsi="Times New Roman" w:cs="Times New Roman"/>
                <w:bCs/>
                <w:color w:val="000000"/>
              </w:rPr>
            </w:pPr>
            <w:proofErr w:type="spellStart"/>
            <w:r w:rsidRPr="00056BD0">
              <w:rPr>
                <w:rFonts w:ascii="Times New Roman" w:eastAsia="Times New Roman" w:hAnsi="Times New Roman" w:cs="Times New Roman"/>
                <w:bCs/>
                <w:color w:val="000000"/>
              </w:rPr>
              <w:t>Rsif</w:t>
            </w:r>
            <w:proofErr w:type="spellEnd"/>
          </w:p>
        </w:tc>
        <w:tc>
          <w:tcPr>
            <w:tcW w:w="1191" w:type="dxa"/>
            <w:tcBorders>
              <w:top w:val="nil"/>
              <w:left w:val="nil"/>
              <w:bottom w:val="nil"/>
              <w:right w:val="nil"/>
            </w:tcBorders>
            <w:shd w:val="clear" w:color="auto" w:fill="auto"/>
            <w:noWrap/>
            <w:vAlign w:val="bottom"/>
            <w:hideMark/>
          </w:tcPr>
          <w:p w14:paraId="48268B0E"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9.04</w:t>
            </w:r>
          </w:p>
        </w:tc>
        <w:tc>
          <w:tcPr>
            <w:tcW w:w="1191" w:type="dxa"/>
            <w:tcBorders>
              <w:top w:val="nil"/>
              <w:left w:val="nil"/>
              <w:bottom w:val="nil"/>
              <w:right w:val="nil"/>
            </w:tcBorders>
            <w:shd w:val="clear" w:color="auto" w:fill="auto"/>
            <w:noWrap/>
            <w:vAlign w:val="bottom"/>
            <w:hideMark/>
          </w:tcPr>
          <w:p w14:paraId="09B185C9"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10.10</w:t>
            </w:r>
          </w:p>
        </w:tc>
        <w:tc>
          <w:tcPr>
            <w:tcW w:w="1191" w:type="dxa"/>
            <w:tcBorders>
              <w:top w:val="nil"/>
              <w:left w:val="nil"/>
              <w:bottom w:val="nil"/>
              <w:right w:val="nil"/>
            </w:tcBorders>
            <w:shd w:val="clear" w:color="auto" w:fill="auto"/>
            <w:noWrap/>
            <w:vAlign w:val="bottom"/>
            <w:hideMark/>
          </w:tcPr>
          <w:p w14:paraId="7A66207F"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14.14</w:t>
            </w:r>
          </w:p>
        </w:tc>
        <w:tc>
          <w:tcPr>
            <w:tcW w:w="1191" w:type="dxa"/>
            <w:tcBorders>
              <w:top w:val="nil"/>
              <w:left w:val="nil"/>
              <w:bottom w:val="nil"/>
              <w:right w:val="nil"/>
            </w:tcBorders>
            <w:shd w:val="clear" w:color="auto" w:fill="auto"/>
            <w:noWrap/>
            <w:vAlign w:val="bottom"/>
            <w:hideMark/>
          </w:tcPr>
          <w:p w14:paraId="3AF995FB"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0.00</w:t>
            </w:r>
          </w:p>
        </w:tc>
        <w:tc>
          <w:tcPr>
            <w:tcW w:w="1191" w:type="dxa"/>
            <w:tcBorders>
              <w:top w:val="nil"/>
              <w:left w:val="nil"/>
              <w:bottom w:val="nil"/>
              <w:right w:val="nil"/>
            </w:tcBorders>
            <w:shd w:val="clear" w:color="auto" w:fill="auto"/>
            <w:noWrap/>
            <w:vAlign w:val="bottom"/>
            <w:hideMark/>
          </w:tcPr>
          <w:p w14:paraId="13FBA31D"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6.08</w:t>
            </w:r>
          </w:p>
        </w:tc>
        <w:tc>
          <w:tcPr>
            <w:tcW w:w="1191" w:type="dxa"/>
            <w:tcBorders>
              <w:top w:val="nil"/>
              <w:left w:val="nil"/>
              <w:bottom w:val="nil"/>
              <w:right w:val="nil"/>
            </w:tcBorders>
            <w:shd w:val="clear" w:color="auto" w:fill="auto"/>
            <w:noWrap/>
            <w:vAlign w:val="bottom"/>
            <w:hideMark/>
          </w:tcPr>
          <w:p w14:paraId="37AD5CB6"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9.50</w:t>
            </w:r>
          </w:p>
        </w:tc>
        <w:tc>
          <w:tcPr>
            <w:tcW w:w="1191" w:type="dxa"/>
            <w:tcBorders>
              <w:top w:val="nil"/>
              <w:left w:val="nil"/>
              <w:bottom w:val="nil"/>
              <w:right w:val="nil"/>
            </w:tcBorders>
            <w:shd w:val="clear" w:color="auto" w:fill="auto"/>
            <w:noWrap/>
            <w:vAlign w:val="bottom"/>
            <w:hideMark/>
          </w:tcPr>
          <w:p w14:paraId="10CA8F68"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6.12</w:t>
            </w:r>
          </w:p>
        </w:tc>
      </w:tr>
      <w:tr w:rsidR="00EA6568" w:rsidRPr="00056BD0" w14:paraId="3BD7D992" w14:textId="77777777" w:rsidTr="00295630">
        <w:trPr>
          <w:trHeight w:val="300"/>
        </w:trPr>
        <w:tc>
          <w:tcPr>
            <w:tcW w:w="1121" w:type="dxa"/>
            <w:tcBorders>
              <w:top w:val="nil"/>
              <w:left w:val="nil"/>
              <w:bottom w:val="nil"/>
              <w:right w:val="nil"/>
            </w:tcBorders>
            <w:shd w:val="clear" w:color="auto" w:fill="auto"/>
            <w:noWrap/>
            <w:vAlign w:val="bottom"/>
            <w:hideMark/>
          </w:tcPr>
          <w:p w14:paraId="13A25836" w14:textId="77777777" w:rsidR="00EA6568" w:rsidRPr="00056BD0" w:rsidRDefault="00EA6568" w:rsidP="00FA51D3">
            <w:pPr>
              <w:spacing w:after="0" w:line="240" w:lineRule="auto"/>
              <w:rPr>
                <w:rFonts w:ascii="Times New Roman" w:eastAsia="Times New Roman" w:hAnsi="Times New Roman" w:cs="Times New Roman"/>
                <w:bCs/>
                <w:color w:val="000000"/>
              </w:rPr>
            </w:pPr>
            <w:proofErr w:type="spellStart"/>
            <w:r w:rsidRPr="00056BD0">
              <w:rPr>
                <w:rFonts w:ascii="Times New Roman" w:eastAsia="Times New Roman" w:hAnsi="Times New Roman" w:cs="Times New Roman"/>
                <w:bCs/>
                <w:color w:val="000000"/>
              </w:rPr>
              <w:t>Rrec</w:t>
            </w:r>
            <w:proofErr w:type="spellEnd"/>
          </w:p>
        </w:tc>
        <w:tc>
          <w:tcPr>
            <w:tcW w:w="1191" w:type="dxa"/>
            <w:tcBorders>
              <w:top w:val="nil"/>
              <w:left w:val="nil"/>
              <w:bottom w:val="nil"/>
              <w:right w:val="nil"/>
            </w:tcBorders>
            <w:shd w:val="clear" w:color="auto" w:fill="auto"/>
            <w:noWrap/>
            <w:vAlign w:val="bottom"/>
            <w:hideMark/>
          </w:tcPr>
          <w:p w14:paraId="561EC8B6"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10.73</w:t>
            </w:r>
          </w:p>
        </w:tc>
        <w:tc>
          <w:tcPr>
            <w:tcW w:w="1191" w:type="dxa"/>
            <w:tcBorders>
              <w:top w:val="nil"/>
              <w:left w:val="nil"/>
              <w:bottom w:val="nil"/>
              <w:right w:val="nil"/>
            </w:tcBorders>
            <w:shd w:val="clear" w:color="auto" w:fill="auto"/>
            <w:noWrap/>
            <w:vAlign w:val="bottom"/>
            <w:hideMark/>
          </w:tcPr>
          <w:p w14:paraId="7606D7B0"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9.81</w:t>
            </w:r>
          </w:p>
        </w:tc>
        <w:tc>
          <w:tcPr>
            <w:tcW w:w="1191" w:type="dxa"/>
            <w:tcBorders>
              <w:top w:val="nil"/>
              <w:left w:val="nil"/>
              <w:bottom w:val="nil"/>
              <w:right w:val="nil"/>
            </w:tcBorders>
            <w:shd w:val="clear" w:color="auto" w:fill="auto"/>
            <w:noWrap/>
            <w:vAlign w:val="bottom"/>
            <w:hideMark/>
          </w:tcPr>
          <w:p w14:paraId="7F8D7884"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16.51</w:t>
            </w:r>
          </w:p>
        </w:tc>
        <w:tc>
          <w:tcPr>
            <w:tcW w:w="1191" w:type="dxa"/>
            <w:tcBorders>
              <w:top w:val="nil"/>
              <w:left w:val="nil"/>
              <w:bottom w:val="nil"/>
              <w:right w:val="nil"/>
            </w:tcBorders>
            <w:shd w:val="clear" w:color="auto" w:fill="auto"/>
            <w:noWrap/>
            <w:vAlign w:val="bottom"/>
            <w:hideMark/>
          </w:tcPr>
          <w:p w14:paraId="71554A46"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6.08</w:t>
            </w:r>
          </w:p>
        </w:tc>
        <w:tc>
          <w:tcPr>
            <w:tcW w:w="1191" w:type="dxa"/>
            <w:tcBorders>
              <w:top w:val="nil"/>
              <w:left w:val="nil"/>
              <w:bottom w:val="nil"/>
              <w:right w:val="nil"/>
            </w:tcBorders>
            <w:shd w:val="clear" w:color="auto" w:fill="auto"/>
            <w:noWrap/>
            <w:vAlign w:val="bottom"/>
            <w:hideMark/>
          </w:tcPr>
          <w:p w14:paraId="700F560A"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0.00</w:t>
            </w:r>
          </w:p>
        </w:tc>
        <w:tc>
          <w:tcPr>
            <w:tcW w:w="1191" w:type="dxa"/>
            <w:tcBorders>
              <w:top w:val="nil"/>
              <w:left w:val="nil"/>
              <w:bottom w:val="nil"/>
              <w:right w:val="nil"/>
            </w:tcBorders>
            <w:shd w:val="clear" w:color="auto" w:fill="auto"/>
            <w:noWrap/>
            <w:vAlign w:val="bottom"/>
            <w:hideMark/>
          </w:tcPr>
          <w:p w14:paraId="1764AC28"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11.19</w:t>
            </w:r>
          </w:p>
        </w:tc>
        <w:tc>
          <w:tcPr>
            <w:tcW w:w="1191" w:type="dxa"/>
            <w:tcBorders>
              <w:top w:val="nil"/>
              <w:left w:val="nil"/>
              <w:bottom w:val="nil"/>
              <w:right w:val="nil"/>
            </w:tcBorders>
            <w:shd w:val="clear" w:color="auto" w:fill="auto"/>
            <w:noWrap/>
            <w:vAlign w:val="bottom"/>
            <w:hideMark/>
          </w:tcPr>
          <w:p w14:paraId="0C2D2B03"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7.84</w:t>
            </w:r>
          </w:p>
        </w:tc>
      </w:tr>
      <w:tr w:rsidR="00EA6568" w:rsidRPr="00056BD0" w14:paraId="5D012769" w14:textId="77777777" w:rsidTr="00295630">
        <w:trPr>
          <w:trHeight w:val="300"/>
        </w:trPr>
        <w:tc>
          <w:tcPr>
            <w:tcW w:w="1121" w:type="dxa"/>
            <w:tcBorders>
              <w:top w:val="nil"/>
              <w:left w:val="nil"/>
              <w:bottom w:val="nil"/>
              <w:right w:val="nil"/>
            </w:tcBorders>
            <w:shd w:val="clear" w:color="auto" w:fill="auto"/>
            <w:noWrap/>
            <w:vAlign w:val="bottom"/>
            <w:hideMark/>
          </w:tcPr>
          <w:p w14:paraId="62C29AD1" w14:textId="77777777" w:rsidR="00EA6568" w:rsidRPr="00056BD0" w:rsidRDefault="00EA6568" w:rsidP="00FA51D3">
            <w:pPr>
              <w:spacing w:after="0" w:line="240" w:lineRule="auto"/>
              <w:rPr>
                <w:rFonts w:ascii="Times New Roman" w:eastAsia="Times New Roman" w:hAnsi="Times New Roman" w:cs="Times New Roman"/>
                <w:bCs/>
                <w:color w:val="000000"/>
              </w:rPr>
            </w:pPr>
            <w:r w:rsidRPr="00056BD0">
              <w:rPr>
                <w:rFonts w:ascii="Times New Roman" w:eastAsia="Times New Roman" w:hAnsi="Times New Roman" w:cs="Times New Roman"/>
                <w:bCs/>
                <w:color w:val="000000"/>
              </w:rPr>
              <w:t>NZABDC</w:t>
            </w:r>
          </w:p>
        </w:tc>
        <w:tc>
          <w:tcPr>
            <w:tcW w:w="1191" w:type="dxa"/>
            <w:tcBorders>
              <w:top w:val="nil"/>
              <w:left w:val="nil"/>
              <w:bottom w:val="nil"/>
              <w:right w:val="nil"/>
            </w:tcBorders>
            <w:shd w:val="clear" w:color="auto" w:fill="auto"/>
            <w:noWrap/>
            <w:vAlign w:val="bottom"/>
            <w:hideMark/>
          </w:tcPr>
          <w:p w14:paraId="5EBA2987"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9.77</w:t>
            </w:r>
          </w:p>
        </w:tc>
        <w:tc>
          <w:tcPr>
            <w:tcW w:w="1191" w:type="dxa"/>
            <w:tcBorders>
              <w:top w:val="nil"/>
              <w:left w:val="nil"/>
              <w:bottom w:val="nil"/>
              <w:right w:val="nil"/>
            </w:tcBorders>
            <w:shd w:val="clear" w:color="auto" w:fill="auto"/>
            <w:noWrap/>
            <w:vAlign w:val="bottom"/>
            <w:hideMark/>
          </w:tcPr>
          <w:p w14:paraId="26D80593"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12.83</w:t>
            </w:r>
          </w:p>
        </w:tc>
        <w:tc>
          <w:tcPr>
            <w:tcW w:w="1191" w:type="dxa"/>
            <w:tcBorders>
              <w:top w:val="nil"/>
              <w:left w:val="nil"/>
              <w:bottom w:val="nil"/>
              <w:right w:val="nil"/>
            </w:tcBorders>
            <w:shd w:val="clear" w:color="auto" w:fill="auto"/>
            <w:noWrap/>
            <w:vAlign w:val="bottom"/>
            <w:hideMark/>
          </w:tcPr>
          <w:p w14:paraId="485A9099"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10.30</w:t>
            </w:r>
          </w:p>
        </w:tc>
        <w:tc>
          <w:tcPr>
            <w:tcW w:w="1191" w:type="dxa"/>
            <w:tcBorders>
              <w:top w:val="nil"/>
              <w:left w:val="nil"/>
              <w:bottom w:val="nil"/>
              <w:right w:val="nil"/>
            </w:tcBorders>
            <w:shd w:val="clear" w:color="auto" w:fill="auto"/>
            <w:noWrap/>
            <w:vAlign w:val="bottom"/>
            <w:hideMark/>
          </w:tcPr>
          <w:p w14:paraId="556A2043"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9.50</w:t>
            </w:r>
          </w:p>
        </w:tc>
        <w:tc>
          <w:tcPr>
            <w:tcW w:w="1191" w:type="dxa"/>
            <w:tcBorders>
              <w:top w:val="nil"/>
              <w:left w:val="nil"/>
              <w:bottom w:val="nil"/>
              <w:right w:val="nil"/>
            </w:tcBorders>
            <w:shd w:val="clear" w:color="auto" w:fill="auto"/>
            <w:noWrap/>
            <w:vAlign w:val="bottom"/>
            <w:hideMark/>
          </w:tcPr>
          <w:p w14:paraId="63648CA5"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11.19</w:t>
            </w:r>
          </w:p>
        </w:tc>
        <w:tc>
          <w:tcPr>
            <w:tcW w:w="1191" w:type="dxa"/>
            <w:tcBorders>
              <w:top w:val="nil"/>
              <w:left w:val="nil"/>
              <w:bottom w:val="nil"/>
              <w:right w:val="nil"/>
            </w:tcBorders>
            <w:shd w:val="clear" w:color="auto" w:fill="auto"/>
            <w:noWrap/>
            <w:vAlign w:val="bottom"/>
            <w:hideMark/>
          </w:tcPr>
          <w:p w14:paraId="23747BC5"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0.00</w:t>
            </w:r>
          </w:p>
        </w:tc>
        <w:tc>
          <w:tcPr>
            <w:tcW w:w="1191" w:type="dxa"/>
            <w:tcBorders>
              <w:top w:val="nil"/>
              <w:left w:val="nil"/>
              <w:bottom w:val="nil"/>
              <w:right w:val="nil"/>
            </w:tcBorders>
            <w:shd w:val="clear" w:color="auto" w:fill="auto"/>
            <w:noWrap/>
            <w:vAlign w:val="bottom"/>
            <w:hideMark/>
          </w:tcPr>
          <w:p w14:paraId="46BD08A3"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7.08</w:t>
            </w:r>
          </w:p>
        </w:tc>
      </w:tr>
      <w:tr w:rsidR="00EA6568" w:rsidRPr="00056BD0" w14:paraId="70292604" w14:textId="77777777" w:rsidTr="00295630">
        <w:trPr>
          <w:trHeight w:val="300"/>
        </w:trPr>
        <w:tc>
          <w:tcPr>
            <w:tcW w:w="1121" w:type="dxa"/>
            <w:tcBorders>
              <w:top w:val="nil"/>
              <w:left w:val="nil"/>
              <w:bottom w:val="nil"/>
              <w:right w:val="nil"/>
            </w:tcBorders>
            <w:shd w:val="clear" w:color="auto" w:fill="auto"/>
            <w:noWrap/>
            <w:vAlign w:val="bottom"/>
            <w:hideMark/>
          </w:tcPr>
          <w:p w14:paraId="1051CAF4" w14:textId="77777777" w:rsidR="00EA6568" w:rsidRPr="00056BD0" w:rsidRDefault="00EA6568" w:rsidP="00FA51D3">
            <w:pPr>
              <w:spacing w:after="0" w:line="240" w:lineRule="auto"/>
              <w:rPr>
                <w:rFonts w:ascii="Times New Roman" w:eastAsia="Times New Roman" w:hAnsi="Times New Roman" w:cs="Times New Roman"/>
                <w:bCs/>
                <w:color w:val="000000"/>
              </w:rPr>
            </w:pPr>
            <w:r w:rsidRPr="00056BD0">
              <w:rPr>
                <w:rFonts w:ascii="Times New Roman" w:eastAsia="Times New Roman" w:hAnsi="Times New Roman" w:cs="Times New Roman"/>
                <w:bCs/>
                <w:color w:val="000000"/>
              </w:rPr>
              <w:t>AVJWS</w:t>
            </w:r>
          </w:p>
        </w:tc>
        <w:tc>
          <w:tcPr>
            <w:tcW w:w="1191" w:type="dxa"/>
            <w:tcBorders>
              <w:top w:val="nil"/>
              <w:left w:val="nil"/>
              <w:bottom w:val="nil"/>
              <w:right w:val="nil"/>
            </w:tcBorders>
            <w:shd w:val="clear" w:color="auto" w:fill="auto"/>
            <w:noWrap/>
            <w:vAlign w:val="bottom"/>
            <w:hideMark/>
          </w:tcPr>
          <w:p w14:paraId="2CE3A405"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3.87</w:t>
            </w:r>
          </w:p>
        </w:tc>
        <w:tc>
          <w:tcPr>
            <w:tcW w:w="1191" w:type="dxa"/>
            <w:tcBorders>
              <w:top w:val="nil"/>
              <w:left w:val="nil"/>
              <w:bottom w:val="nil"/>
              <w:right w:val="nil"/>
            </w:tcBorders>
            <w:shd w:val="clear" w:color="auto" w:fill="auto"/>
            <w:noWrap/>
            <w:vAlign w:val="bottom"/>
            <w:hideMark/>
          </w:tcPr>
          <w:p w14:paraId="34182231"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8.63</w:t>
            </w:r>
          </w:p>
        </w:tc>
        <w:tc>
          <w:tcPr>
            <w:tcW w:w="1191" w:type="dxa"/>
            <w:tcBorders>
              <w:top w:val="nil"/>
              <w:left w:val="nil"/>
              <w:bottom w:val="nil"/>
              <w:right w:val="nil"/>
            </w:tcBorders>
            <w:shd w:val="clear" w:color="auto" w:fill="auto"/>
            <w:noWrap/>
            <w:vAlign w:val="bottom"/>
            <w:hideMark/>
          </w:tcPr>
          <w:p w14:paraId="1CE48B7E"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10.08</w:t>
            </w:r>
          </w:p>
        </w:tc>
        <w:tc>
          <w:tcPr>
            <w:tcW w:w="1191" w:type="dxa"/>
            <w:tcBorders>
              <w:top w:val="nil"/>
              <w:left w:val="nil"/>
              <w:bottom w:val="nil"/>
              <w:right w:val="nil"/>
            </w:tcBorders>
            <w:shd w:val="clear" w:color="auto" w:fill="auto"/>
            <w:noWrap/>
            <w:vAlign w:val="bottom"/>
            <w:hideMark/>
          </w:tcPr>
          <w:p w14:paraId="06C82483"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6.12</w:t>
            </w:r>
          </w:p>
        </w:tc>
        <w:tc>
          <w:tcPr>
            <w:tcW w:w="1191" w:type="dxa"/>
            <w:tcBorders>
              <w:top w:val="nil"/>
              <w:left w:val="nil"/>
              <w:bottom w:val="nil"/>
              <w:right w:val="nil"/>
            </w:tcBorders>
            <w:shd w:val="clear" w:color="auto" w:fill="auto"/>
            <w:noWrap/>
            <w:vAlign w:val="bottom"/>
            <w:hideMark/>
          </w:tcPr>
          <w:p w14:paraId="472D70DC"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7.84</w:t>
            </w:r>
          </w:p>
        </w:tc>
        <w:tc>
          <w:tcPr>
            <w:tcW w:w="1191" w:type="dxa"/>
            <w:tcBorders>
              <w:top w:val="nil"/>
              <w:left w:val="nil"/>
              <w:bottom w:val="nil"/>
              <w:right w:val="nil"/>
            </w:tcBorders>
            <w:shd w:val="clear" w:color="auto" w:fill="auto"/>
            <w:noWrap/>
            <w:vAlign w:val="bottom"/>
            <w:hideMark/>
          </w:tcPr>
          <w:p w14:paraId="354F7566"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7.08</w:t>
            </w:r>
          </w:p>
        </w:tc>
        <w:tc>
          <w:tcPr>
            <w:tcW w:w="1191" w:type="dxa"/>
            <w:tcBorders>
              <w:top w:val="nil"/>
              <w:left w:val="nil"/>
              <w:bottom w:val="nil"/>
              <w:right w:val="nil"/>
            </w:tcBorders>
            <w:shd w:val="clear" w:color="auto" w:fill="auto"/>
            <w:noWrap/>
            <w:vAlign w:val="bottom"/>
            <w:hideMark/>
          </w:tcPr>
          <w:p w14:paraId="44579CDA" w14:textId="77777777" w:rsidR="00EA6568" w:rsidRPr="00056BD0" w:rsidRDefault="00EA6568"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0.00</w:t>
            </w:r>
          </w:p>
        </w:tc>
      </w:tr>
      <w:tr w:rsidR="00EA6568" w:rsidRPr="00056BD0" w14:paraId="16857D1E" w14:textId="77777777" w:rsidTr="00160E0C">
        <w:trPr>
          <w:trHeight w:val="300"/>
        </w:trPr>
        <w:tc>
          <w:tcPr>
            <w:tcW w:w="1121" w:type="dxa"/>
            <w:tcBorders>
              <w:top w:val="nil"/>
              <w:left w:val="nil"/>
              <w:bottom w:val="single" w:sz="4" w:space="0" w:color="auto"/>
              <w:right w:val="nil"/>
            </w:tcBorders>
            <w:shd w:val="clear" w:color="auto" w:fill="auto"/>
            <w:noWrap/>
            <w:vAlign w:val="bottom"/>
            <w:hideMark/>
          </w:tcPr>
          <w:p w14:paraId="48D42F3F" w14:textId="77777777" w:rsidR="00C53F4C" w:rsidRPr="00C53F4C" w:rsidRDefault="00C53F4C" w:rsidP="009876E0">
            <w:pPr>
              <w:spacing w:line="240" w:lineRule="auto"/>
              <w:rPr>
                <w:rFonts w:ascii="Times New Roman" w:eastAsia="Times New Roman" w:hAnsi="Times New Roman" w:cs="Times New Roman"/>
                <w:bCs/>
                <w:sz w:val="10"/>
                <w:szCs w:val="10"/>
              </w:rPr>
            </w:pPr>
          </w:p>
          <w:p w14:paraId="64622916" w14:textId="77777777" w:rsidR="00EA6568" w:rsidRPr="00056BD0" w:rsidRDefault="00EA6568" w:rsidP="009876E0">
            <w:pPr>
              <w:spacing w:line="240" w:lineRule="auto"/>
              <w:rPr>
                <w:rFonts w:ascii="Times New Roman" w:eastAsia="Times New Roman" w:hAnsi="Times New Roman" w:cs="Times New Roman"/>
                <w:bCs/>
              </w:rPr>
            </w:pPr>
            <w:r w:rsidRPr="00056BD0">
              <w:rPr>
                <w:rFonts w:ascii="Times New Roman" w:eastAsia="Times New Roman" w:hAnsi="Times New Roman" w:cs="Times New Roman"/>
                <w:bCs/>
              </w:rPr>
              <w:t>Average</w:t>
            </w:r>
          </w:p>
        </w:tc>
        <w:tc>
          <w:tcPr>
            <w:tcW w:w="1191" w:type="dxa"/>
            <w:tcBorders>
              <w:top w:val="nil"/>
              <w:left w:val="nil"/>
              <w:bottom w:val="single" w:sz="4" w:space="0" w:color="auto"/>
              <w:right w:val="nil"/>
            </w:tcBorders>
            <w:shd w:val="clear" w:color="auto" w:fill="auto"/>
            <w:noWrap/>
            <w:vAlign w:val="bottom"/>
            <w:hideMark/>
          </w:tcPr>
          <w:p w14:paraId="24CF1938" w14:textId="77777777" w:rsidR="00EA6568" w:rsidRPr="00056BD0" w:rsidRDefault="00EA6568" w:rsidP="009876E0">
            <w:pPr>
              <w:spacing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7.49</w:t>
            </w:r>
          </w:p>
        </w:tc>
        <w:tc>
          <w:tcPr>
            <w:tcW w:w="1191" w:type="dxa"/>
            <w:tcBorders>
              <w:top w:val="nil"/>
              <w:left w:val="nil"/>
              <w:bottom w:val="single" w:sz="4" w:space="0" w:color="auto"/>
              <w:right w:val="nil"/>
            </w:tcBorders>
            <w:shd w:val="clear" w:color="auto" w:fill="auto"/>
            <w:noWrap/>
            <w:vAlign w:val="bottom"/>
            <w:hideMark/>
          </w:tcPr>
          <w:p w14:paraId="38074639" w14:textId="77777777" w:rsidR="00EA6568" w:rsidRPr="00056BD0" w:rsidRDefault="00EA6568" w:rsidP="009876E0">
            <w:pPr>
              <w:spacing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9.76</w:t>
            </w:r>
          </w:p>
        </w:tc>
        <w:tc>
          <w:tcPr>
            <w:tcW w:w="1191" w:type="dxa"/>
            <w:tcBorders>
              <w:top w:val="nil"/>
              <w:left w:val="nil"/>
              <w:bottom w:val="single" w:sz="4" w:space="0" w:color="auto"/>
              <w:right w:val="nil"/>
            </w:tcBorders>
            <w:shd w:val="clear" w:color="auto" w:fill="auto"/>
            <w:noWrap/>
            <w:vAlign w:val="bottom"/>
            <w:hideMark/>
          </w:tcPr>
          <w:p w14:paraId="0A1DBA20" w14:textId="77777777" w:rsidR="00EA6568" w:rsidRPr="00056BD0" w:rsidRDefault="00EA6568" w:rsidP="009876E0">
            <w:pPr>
              <w:spacing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11.22</w:t>
            </w:r>
          </w:p>
        </w:tc>
        <w:tc>
          <w:tcPr>
            <w:tcW w:w="1191" w:type="dxa"/>
            <w:tcBorders>
              <w:top w:val="nil"/>
              <w:left w:val="nil"/>
              <w:bottom w:val="single" w:sz="4" w:space="0" w:color="auto"/>
              <w:right w:val="nil"/>
            </w:tcBorders>
            <w:shd w:val="clear" w:color="auto" w:fill="auto"/>
            <w:noWrap/>
            <w:vAlign w:val="bottom"/>
            <w:hideMark/>
          </w:tcPr>
          <w:p w14:paraId="317A00B1" w14:textId="77777777" w:rsidR="00EA6568" w:rsidRPr="00056BD0" w:rsidRDefault="00EA6568" w:rsidP="009876E0">
            <w:pPr>
              <w:spacing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7.85</w:t>
            </w:r>
          </w:p>
        </w:tc>
        <w:tc>
          <w:tcPr>
            <w:tcW w:w="1191" w:type="dxa"/>
            <w:tcBorders>
              <w:top w:val="nil"/>
              <w:left w:val="nil"/>
              <w:bottom w:val="single" w:sz="4" w:space="0" w:color="auto"/>
              <w:right w:val="nil"/>
            </w:tcBorders>
            <w:shd w:val="clear" w:color="auto" w:fill="auto"/>
            <w:noWrap/>
            <w:vAlign w:val="bottom"/>
            <w:hideMark/>
          </w:tcPr>
          <w:p w14:paraId="30796071" w14:textId="77777777" w:rsidR="00EA6568" w:rsidRPr="00056BD0" w:rsidRDefault="00EA6568" w:rsidP="009876E0">
            <w:pPr>
              <w:spacing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8.88</w:t>
            </w:r>
          </w:p>
        </w:tc>
        <w:tc>
          <w:tcPr>
            <w:tcW w:w="1191" w:type="dxa"/>
            <w:tcBorders>
              <w:top w:val="nil"/>
              <w:left w:val="nil"/>
              <w:bottom w:val="single" w:sz="4" w:space="0" w:color="auto"/>
              <w:right w:val="nil"/>
            </w:tcBorders>
            <w:shd w:val="clear" w:color="auto" w:fill="auto"/>
            <w:noWrap/>
            <w:vAlign w:val="bottom"/>
            <w:hideMark/>
          </w:tcPr>
          <w:p w14:paraId="3B75963C" w14:textId="77777777" w:rsidR="00EA6568" w:rsidRPr="00056BD0" w:rsidRDefault="00EA6568" w:rsidP="009876E0">
            <w:pPr>
              <w:spacing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8.67</w:t>
            </w:r>
          </w:p>
        </w:tc>
        <w:tc>
          <w:tcPr>
            <w:tcW w:w="1191" w:type="dxa"/>
            <w:tcBorders>
              <w:top w:val="nil"/>
              <w:left w:val="nil"/>
              <w:bottom w:val="single" w:sz="4" w:space="0" w:color="auto"/>
              <w:right w:val="nil"/>
            </w:tcBorders>
            <w:shd w:val="clear" w:color="auto" w:fill="auto"/>
            <w:noWrap/>
            <w:vAlign w:val="bottom"/>
            <w:hideMark/>
          </w:tcPr>
          <w:p w14:paraId="291144B4" w14:textId="77777777" w:rsidR="00EA6568" w:rsidRPr="00056BD0" w:rsidRDefault="00EA6568" w:rsidP="009876E0">
            <w:pPr>
              <w:spacing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6.23</w:t>
            </w:r>
          </w:p>
        </w:tc>
      </w:tr>
    </w:tbl>
    <w:p w14:paraId="0DED8D80" w14:textId="77777777" w:rsidR="00160E0C" w:rsidRDefault="00160E0C" w:rsidP="00316E1D">
      <w:pPr>
        <w:spacing w:after="0" w:line="288" w:lineRule="auto"/>
        <w:ind w:firstLine="720"/>
        <w:jc w:val="both"/>
        <w:rPr>
          <w:rFonts w:ascii="Times New Roman" w:hAnsi="Times New Roman" w:cs="Times New Roman"/>
          <w:sz w:val="24"/>
          <w:szCs w:val="24"/>
        </w:rPr>
      </w:pPr>
    </w:p>
    <w:p w14:paraId="292B6E6C" w14:textId="485B90B2" w:rsidR="00233E98" w:rsidRDefault="00233E98" w:rsidP="00316E1D">
      <w:pPr>
        <w:spacing w:after="0" w:line="288" w:lineRule="auto"/>
        <w:ind w:firstLine="720"/>
        <w:jc w:val="both"/>
        <w:rPr>
          <w:rFonts w:ascii="Times New Roman" w:hAnsi="Times New Roman" w:cs="Times New Roman"/>
          <w:sz w:val="24"/>
          <w:szCs w:val="24"/>
        </w:rPr>
      </w:pPr>
      <w:r w:rsidRPr="00B83421">
        <w:rPr>
          <w:rFonts w:ascii="Times New Roman" w:hAnsi="Times New Roman" w:cs="Times New Roman"/>
          <w:sz w:val="24"/>
          <w:szCs w:val="24"/>
        </w:rPr>
        <w:t xml:space="preserve">Another way of looking at the stability of rankings is </w:t>
      </w:r>
      <w:r w:rsidR="00367DB9">
        <w:rPr>
          <w:rFonts w:ascii="Times New Roman" w:hAnsi="Times New Roman" w:cs="Times New Roman"/>
          <w:sz w:val="24"/>
          <w:szCs w:val="24"/>
        </w:rPr>
        <w:t xml:space="preserve">also </w:t>
      </w:r>
      <w:r w:rsidRPr="00B83421">
        <w:rPr>
          <w:rFonts w:ascii="Times New Roman" w:hAnsi="Times New Roman" w:cs="Times New Roman"/>
          <w:sz w:val="24"/>
          <w:szCs w:val="24"/>
        </w:rPr>
        <w:t>displayed in Table 3</w:t>
      </w:r>
      <w:r w:rsidR="00051ED4">
        <w:rPr>
          <w:rFonts w:ascii="Times New Roman" w:hAnsi="Times New Roman" w:cs="Times New Roman"/>
          <w:sz w:val="24"/>
          <w:szCs w:val="24"/>
        </w:rPr>
        <w:t>(b)</w:t>
      </w:r>
      <w:r w:rsidRPr="00B83421">
        <w:rPr>
          <w:rFonts w:ascii="Times New Roman" w:hAnsi="Times New Roman" w:cs="Times New Roman"/>
          <w:sz w:val="24"/>
          <w:szCs w:val="24"/>
        </w:rPr>
        <w:t xml:space="preserve">.  Here we show the percentage of discordant pairs associated with the Kendall’s Tau (b) calculation.  </w:t>
      </w:r>
      <w:r w:rsidR="003E025D" w:rsidRPr="00B83421">
        <w:rPr>
          <w:rFonts w:ascii="Times New Roman" w:hAnsi="Times New Roman" w:cs="Times New Roman"/>
          <w:sz w:val="24"/>
          <w:szCs w:val="24"/>
        </w:rPr>
        <w:t xml:space="preserve">Note that for the pair </w:t>
      </w:r>
      <w:proofErr w:type="spellStart"/>
      <w:r w:rsidR="003E025D" w:rsidRPr="00B83421">
        <w:rPr>
          <w:rFonts w:ascii="Times New Roman" w:hAnsi="Times New Roman" w:cs="Times New Roman"/>
          <w:b/>
          <w:sz w:val="24"/>
          <w:szCs w:val="24"/>
        </w:rPr>
        <w:t>CLh</w:t>
      </w:r>
      <w:proofErr w:type="spellEnd"/>
      <w:r w:rsidR="003E025D" w:rsidRPr="00B83421">
        <w:rPr>
          <w:rFonts w:ascii="Times New Roman" w:hAnsi="Times New Roman" w:cs="Times New Roman"/>
          <w:sz w:val="24"/>
          <w:szCs w:val="24"/>
        </w:rPr>
        <w:t xml:space="preserve"> (an aggressive weighting scheme) and </w:t>
      </w:r>
      <w:r w:rsidR="003E025D" w:rsidRPr="00B83421">
        <w:rPr>
          <w:rFonts w:ascii="Times New Roman" w:hAnsi="Times New Roman" w:cs="Times New Roman"/>
          <w:b/>
          <w:sz w:val="24"/>
          <w:szCs w:val="24"/>
        </w:rPr>
        <w:t>ABDC</w:t>
      </w:r>
      <w:r w:rsidR="003E025D" w:rsidRPr="00B83421">
        <w:rPr>
          <w:rFonts w:ascii="Times New Roman" w:hAnsi="Times New Roman" w:cs="Times New Roman"/>
          <w:sz w:val="24"/>
          <w:szCs w:val="24"/>
        </w:rPr>
        <w:t xml:space="preserve"> (</w:t>
      </w:r>
      <w:r w:rsidR="001F35C5" w:rsidRPr="00B83421">
        <w:rPr>
          <w:rFonts w:ascii="Times New Roman" w:hAnsi="Times New Roman" w:cs="Times New Roman"/>
          <w:sz w:val="24"/>
          <w:szCs w:val="24"/>
        </w:rPr>
        <w:t>the</w:t>
      </w:r>
      <w:r w:rsidR="003E025D" w:rsidRPr="00B83421">
        <w:rPr>
          <w:rFonts w:ascii="Times New Roman" w:hAnsi="Times New Roman" w:cs="Times New Roman"/>
          <w:sz w:val="24"/>
          <w:szCs w:val="24"/>
        </w:rPr>
        <w:t xml:space="preserve"> weakest weighting scheme), 17.73 percent of pairs are discordant; although a relatively high number, the associated </w:t>
      </w:r>
      <w:r w:rsidR="00852133" w:rsidRPr="00B83421">
        <w:rPr>
          <w:rFonts w:ascii="Times New Roman" w:hAnsi="Times New Roman" w:cs="Times New Roman"/>
          <w:sz w:val="24"/>
          <w:szCs w:val="24"/>
        </w:rPr>
        <w:t xml:space="preserve">rank correlation coefficients are </w:t>
      </w:r>
      <w:r w:rsidR="003E025D" w:rsidRPr="00B83421">
        <w:rPr>
          <w:rFonts w:ascii="Times New Roman" w:hAnsi="Times New Roman" w:cs="Times New Roman"/>
          <w:sz w:val="24"/>
          <w:szCs w:val="24"/>
        </w:rPr>
        <w:t>0.65</w:t>
      </w:r>
      <w:r w:rsidR="00852133" w:rsidRPr="00B83421">
        <w:rPr>
          <w:rFonts w:ascii="Times New Roman" w:hAnsi="Times New Roman" w:cs="Times New Roman"/>
          <w:sz w:val="24"/>
          <w:szCs w:val="24"/>
        </w:rPr>
        <w:t xml:space="preserve"> (KT) and 0.83 (SP). </w:t>
      </w:r>
      <w:r w:rsidR="003E025D" w:rsidRPr="00B83421">
        <w:rPr>
          <w:rFonts w:ascii="Times New Roman" w:hAnsi="Times New Roman" w:cs="Times New Roman"/>
          <w:sz w:val="24"/>
          <w:szCs w:val="24"/>
        </w:rPr>
        <w:t xml:space="preserve"> At the other extreme, only 3.87 percent of </w:t>
      </w:r>
      <w:r w:rsidR="001F35C5" w:rsidRPr="00B83421">
        <w:rPr>
          <w:rFonts w:ascii="Times New Roman" w:hAnsi="Times New Roman" w:cs="Times New Roman"/>
          <w:sz w:val="24"/>
          <w:szCs w:val="24"/>
        </w:rPr>
        <w:t xml:space="preserve">the pair </w:t>
      </w:r>
      <w:r w:rsidR="003E025D" w:rsidRPr="00B83421">
        <w:rPr>
          <w:rFonts w:ascii="Times New Roman" w:hAnsi="Times New Roman" w:cs="Times New Roman"/>
          <w:b/>
          <w:sz w:val="24"/>
          <w:szCs w:val="24"/>
        </w:rPr>
        <w:t>ABDC</w:t>
      </w:r>
      <w:r w:rsidR="001F35C5" w:rsidRPr="00B83421">
        <w:rPr>
          <w:rFonts w:ascii="Times New Roman" w:hAnsi="Times New Roman" w:cs="Times New Roman"/>
          <w:b/>
          <w:sz w:val="24"/>
          <w:szCs w:val="24"/>
        </w:rPr>
        <w:t xml:space="preserve">: </w:t>
      </w:r>
      <w:r w:rsidR="003E025D" w:rsidRPr="00B83421">
        <w:rPr>
          <w:rFonts w:ascii="Times New Roman" w:hAnsi="Times New Roman" w:cs="Times New Roman"/>
          <w:b/>
          <w:sz w:val="24"/>
          <w:szCs w:val="24"/>
        </w:rPr>
        <w:t>AVJWS</w:t>
      </w:r>
      <w:r w:rsidR="003E025D" w:rsidRPr="00B83421">
        <w:rPr>
          <w:rFonts w:ascii="Times New Roman" w:hAnsi="Times New Roman" w:cs="Times New Roman"/>
          <w:sz w:val="24"/>
          <w:szCs w:val="24"/>
        </w:rPr>
        <w:t xml:space="preserve"> are discordant.  </w:t>
      </w:r>
      <w:r w:rsidR="001F35C5" w:rsidRPr="00B83421">
        <w:rPr>
          <w:rFonts w:ascii="Times New Roman" w:hAnsi="Times New Roman" w:cs="Times New Roman"/>
          <w:sz w:val="24"/>
          <w:szCs w:val="24"/>
        </w:rPr>
        <w:t xml:space="preserve">On average, the </w:t>
      </w:r>
      <w:r w:rsidR="00C44585" w:rsidRPr="00B83421">
        <w:rPr>
          <w:rFonts w:ascii="Times New Roman" w:hAnsi="Times New Roman" w:cs="Times New Roman"/>
          <w:sz w:val="24"/>
          <w:szCs w:val="24"/>
        </w:rPr>
        <w:t xml:space="preserve">percentage of </w:t>
      </w:r>
      <w:r w:rsidR="003E025D" w:rsidRPr="00B83421">
        <w:rPr>
          <w:rFonts w:ascii="Times New Roman" w:hAnsi="Times New Roman" w:cs="Times New Roman"/>
          <w:sz w:val="24"/>
          <w:szCs w:val="24"/>
        </w:rPr>
        <w:t xml:space="preserve">discordant pairs associated with </w:t>
      </w:r>
      <w:r w:rsidR="003E025D" w:rsidRPr="00B83421">
        <w:rPr>
          <w:rFonts w:ascii="Times New Roman" w:hAnsi="Times New Roman" w:cs="Times New Roman"/>
          <w:b/>
          <w:sz w:val="24"/>
          <w:szCs w:val="24"/>
        </w:rPr>
        <w:t>AVJWS</w:t>
      </w:r>
      <w:r w:rsidR="003E025D" w:rsidRPr="00B83421">
        <w:rPr>
          <w:rFonts w:ascii="Times New Roman" w:hAnsi="Times New Roman" w:cs="Times New Roman"/>
          <w:sz w:val="24"/>
          <w:szCs w:val="24"/>
        </w:rPr>
        <w:t xml:space="preserve"> is </w:t>
      </w:r>
      <w:r w:rsidR="00C44585" w:rsidRPr="00B83421">
        <w:rPr>
          <w:rFonts w:ascii="Times New Roman" w:hAnsi="Times New Roman" w:cs="Times New Roman"/>
          <w:sz w:val="24"/>
          <w:szCs w:val="24"/>
        </w:rPr>
        <w:t xml:space="preserve">6.23, lower than that for all other JWS.  </w:t>
      </w:r>
      <w:r w:rsidR="00E06D80" w:rsidRPr="00B83421">
        <w:rPr>
          <w:rFonts w:ascii="Times New Roman" w:hAnsi="Times New Roman" w:cs="Times New Roman"/>
          <w:sz w:val="24"/>
          <w:szCs w:val="24"/>
        </w:rPr>
        <w:t xml:space="preserve">As expected, given the SP and KT presented above, the </w:t>
      </w:r>
      <w:r w:rsidR="00002638" w:rsidRPr="00B83421">
        <w:rPr>
          <w:rFonts w:ascii="Times New Roman" w:hAnsi="Times New Roman" w:cs="Times New Roman"/>
          <w:sz w:val="24"/>
          <w:szCs w:val="24"/>
        </w:rPr>
        <w:t xml:space="preserve">journal weighting scheme </w:t>
      </w:r>
      <w:r w:rsidR="00E06D80" w:rsidRPr="00B83421">
        <w:rPr>
          <w:rFonts w:ascii="Times New Roman" w:hAnsi="Times New Roman" w:cs="Times New Roman"/>
          <w:sz w:val="24"/>
          <w:szCs w:val="24"/>
        </w:rPr>
        <w:t xml:space="preserve">displaying the highest percent of discordant pairs is </w:t>
      </w:r>
      <w:r w:rsidR="00C44585" w:rsidRPr="00B83421">
        <w:rPr>
          <w:rFonts w:ascii="Times New Roman" w:hAnsi="Times New Roman" w:cs="Times New Roman"/>
          <w:b/>
          <w:sz w:val="24"/>
          <w:szCs w:val="24"/>
        </w:rPr>
        <w:t>ABDC</w:t>
      </w:r>
      <w:r w:rsidR="00E06D80" w:rsidRPr="00B83421">
        <w:rPr>
          <w:rFonts w:ascii="Times New Roman" w:hAnsi="Times New Roman" w:cs="Times New Roman"/>
          <w:sz w:val="24"/>
          <w:szCs w:val="24"/>
        </w:rPr>
        <w:t xml:space="preserve"> (</w:t>
      </w:r>
      <w:r w:rsidR="00C44585" w:rsidRPr="00B83421">
        <w:rPr>
          <w:rFonts w:ascii="Times New Roman" w:hAnsi="Times New Roman" w:cs="Times New Roman"/>
          <w:sz w:val="24"/>
          <w:szCs w:val="24"/>
        </w:rPr>
        <w:t>11.22</w:t>
      </w:r>
      <w:r w:rsidR="00E06D80" w:rsidRPr="00B83421">
        <w:rPr>
          <w:rFonts w:ascii="Times New Roman" w:hAnsi="Times New Roman" w:cs="Times New Roman"/>
          <w:sz w:val="24"/>
          <w:szCs w:val="24"/>
        </w:rPr>
        <w:t xml:space="preserve"> percent)</w:t>
      </w:r>
      <w:r w:rsidR="00C44585" w:rsidRPr="00B83421">
        <w:rPr>
          <w:rFonts w:ascii="Times New Roman" w:hAnsi="Times New Roman" w:cs="Times New Roman"/>
          <w:sz w:val="24"/>
          <w:szCs w:val="24"/>
        </w:rPr>
        <w:t>.  Overall, the SP and KT</w:t>
      </w:r>
      <w:r w:rsidR="00E06D80" w:rsidRPr="00B83421">
        <w:rPr>
          <w:rFonts w:ascii="Times New Roman" w:hAnsi="Times New Roman" w:cs="Times New Roman"/>
          <w:sz w:val="24"/>
          <w:szCs w:val="24"/>
        </w:rPr>
        <w:t>,</w:t>
      </w:r>
      <w:r w:rsidR="00C44585" w:rsidRPr="00B83421">
        <w:rPr>
          <w:rFonts w:ascii="Times New Roman" w:hAnsi="Times New Roman" w:cs="Times New Roman"/>
          <w:sz w:val="24"/>
          <w:szCs w:val="24"/>
        </w:rPr>
        <w:t xml:space="preserve"> </w:t>
      </w:r>
      <w:r w:rsidR="00E06D80" w:rsidRPr="00B83421">
        <w:rPr>
          <w:rFonts w:ascii="Times New Roman" w:hAnsi="Times New Roman" w:cs="Times New Roman"/>
          <w:sz w:val="24"/>
          <w:szCs w:val="24"/>
        </w:rPr>
        <w:t xml:space="preserve">for output measured in terms of share adjusted and size adjusted pages, </w:t>
      </w:r>
      <w:r w:rsidR="00C44585" w:rsidRPr="00B83421">
        <w:rPr>
          <w:rFonts w:ascii="Times New Roman" w:hAnsi="Times New Roman" w:cs="Times New Roman"/>
          <w:sz w:val="24"/>
          <w:szCs w:val="24"/>
        </w:rPr>
        <w:t xml:space="preserve">suggest a strong degree of association between all pair combinations of JWS.  Nevertheless, the </w:t>
      </w:r>
      <w:r w:rsidR="008725BD" w:rsidRPr="00B83421">
        <w:rPr>
          <w:rFonts w:ascii="Times New Roman" w:hAnsi="Times New Roman" w:cs="Times New Roman"/>
          <w:sz w:val="24"/>
          <w:szCs w:val="24"/>
        </w:rPr>
        <w:t xml:space="preserve">data on </w:t>
      </w:r>
      <w:r w:rsidR="00C44585" w:rsidRPr="00B83421">
        <w:rPr>
          <w:rFonts w:ascii="Times New Roman" w:hAnsi="Times New Roman" w:cs="Times New Roman"/>
          <w:sz w:val="24"/>
          <w:szCs w:val="24"/>
        </w:rPr>
        <w:t xml:space="preserve">discordant pairs suggests that for many individual researchers rankings may differ somewhat across </w:t>
      </w:r>
      <w:r w:rsidR="009779CD" w:rsidRPr="00B83421">
        <w:rPr>
          <w:rFonts w:ascii="Times New Roman" w:hAnsi="Times New Roman" w:cs="Times New Roman"/>
          <w:sz w:val="24"/>
          <w:szCs w:val="24"/>
        </w:rPr>
        <w:t xml:space="preserve">various </w:t>
      </w:r>
      <w:r w:rsidR="00926D1F" w:rsidRPr="00B83421">
        <w:rPr>
          <w:rFonts w:ascii="Times New Roman" w:hAnsi="Times New Roman" w:cs="Times New Roman"/>
          <w:sz w:val="24"/>
          <w:szCs w:val="24"/>
        </w:rPr>
        <w:t xml:space="preserve">journal weighting schemes.  </w:t>
      </w:r>
      <w:r w:rsidR="009779CD" w:rsidRPr="00B83421">
        <w:rPr>
          <w:rFonts w:ascii="Times New Roman" w:hAnsi="Times New Roman" w:cs="Times New Roman"/>
          <w:sz w:val="24"/>
          <w:szCs w:val="24"/>
        </w:rPr>
        <w:t xml:space="preserve"> </w:t>
      </w:r>
      <w:r w:rsidR="00026078" w:rsidRPr="00B83421">
        <w:rPr>
          <w:rFonts w:ascii="Times New Roman" w:hAnsi="Times New Roman" w:cs="Times New Roman"/>
          <w:sz w:val="24"/>
          <w:szCs w:val="24"/>
        </w:rPr>
        <w:t xml:space="preserve"> </w:t>
      </w:r>
      <w:r w:rsidR="003E025D" w:rsidRPr="00B83421">
        <w:rPr>
          <w:rFonts w:ascii="Times New Roman" w:hAnsi="Times New Roman" w:cs="Times New Roman"/>
          <w:sz w:val="24"/>
          <w:szCs w:val="24"/>
        </w:rPr>
        <w:t xml:space="preserve"> </w:t>
      </w:r>
    </w:p>
    <w:p w14:paraId="6D5A2696" w14:textId="77777777" w:rsidR="00160E0C" w:rsidRPr="00B83421" w:rsidRDefault="00160E0C" w:rsidP="00316E1D">
      <w:pPr>
        <w:spacing w:after="0" w:line="288" w:lineRule="auto"/>
        <w:ind w:firstLine="720"/>
        <w:jc w:val="both"/>
        <w:rPr>
          <w:rFonts w:ascii="Times New Roman" w:hAnsi="Times New Roman" w:cs="Times New Roman"/>
          <w:sz w:val="24"/>
          <w:szCs w:val="24"/>
        </w:rPr>
      </w:pPr>
    </w:p>
    <w:p w14:paraId="299A0929" w14:textId="7771D00C" w:rsidR="00367DB9" w:rsidRDefault="00CF12AF" w:rsidP="00316E1D">
      <w:pPr>
        <w:spacing w:after="0" w:line="288" w:lineRule="auto"/>
        <w:ind w:firstLine="720"/>
        <w:jc w:val="both"/>
        <w:rPr>
          <w:rFonts w:ascii="Times New Roman" w:hAnsi="Times New Roman" w:cs="Times New Roman"/>
          <w:sz w:val="24"/>
          <w:szCs w:val="24"/>
        </w:rPr>
      </w:pPr>
      <w:r w:rsidRPr="00B83421">
        <w:rPr>
          <w:rFonts w:ascii="Times New Roman" w:hAnsi="Times New Roman" w:cs="Times New Roman"/>
          <w:sz w:val="24"/>
          <w:szCs w:val="24"/>
        </w:rPr>
        <w:t>In Table 4</w:t>
      </w:r>
      <w:r w:rsidR="00051ED4">
        <w:rPr>
          <w:rFonts w:ascii="Times New Roman" w:hAnsi="Times New Roman" w:cs="Times New Roman"/>
          <w:sz w:val="24"/>
          <w:szCs w:val="24"/>
        </w:rPr>
        <w:t>(a)</w:t>
      </w:r>
      <w:r w:rsidRPr="00B83421">
        <w:rPr>
          <w:rFonts w:ascii="Times New Roman" w:hAnsi="Times New Roman" w:cs="Times New Roman"/>
          <w:sz w:val="24"/>
          <w:szCs w:val="24"/>
        </w:rPr>
        <w:t xml:space="preserve"> we display the </w:t>
      </w:r>
      <w:r w:rsidR="00C76283" w:rsidRPr="00B83421">
        <w:rPr>
          <w:rFonts w:ascii="Times New Roman" w:hAnsi="Times New Roman" w:cs="Times New Roman"/>
          <w:sz w:val="24"/>
          <w:szCs w:val="24"/>
        </w:rPr>
        <w:t>SP and KT</w:t>
      </w:r>
      <w:r w:rsidRPr="00B83421">
        <w:rPr>
          <w:rFonts w:ascii="Times New Roman" w:hAnsi="Times New Roman" w:cs="Times New Roman"/>
          <w:sz w:val="24"/>
          <w:szCs w:val="24"/>
        </w:rPr>
        <w:t xml:space="preserve"> for pairwise combinations of JWS when output is specified </w:t>
      </w:r>
      <w:r w:rsidR="00C76283" w:rsidRPr="00B83421">
        <w:rPr>
          <w:rFonts w:ascii="Times New Roman" w:hAnsi="Times New Roman" w:cs="Times New Roman"/>
          <w:sz w:val="24"/>
          <w:szCs w:val="24"/>
        </w:rPr>
        <w:t xml:space="preserve">in terms of </w:t>
      </w:r>
      <w:r w:rsidRPr="00B83421">
        <w:rPr>
          <w:rFonts w:ascii="Times New Roman" w:hAnsi="Times New Roman" w:cs="Times New Roman"/>
          <w:sz w:val="24"/>
          <w:szCs w:val="24"/>
        </w:rPr>
        <w:t>share adjusted papers.  Note that the results are almost identical to those presented in Table 3</w:t>
      </w:r>
      <w:r w:rsidR="00051ED4">
        <w:rPr>
          <w:rFonts w:ascii="Times New Roman" w:hAnsi="Times New Roman" w:cs="Times New Roman"/>
          <w:sz w:val="24"/>
          <w:szCs w:val="24"/>
        </w:rPr>
        <w:t>(a)</w:t>
      </w:r>
      <w:r w:rsidRPr="00B83421">
        <w:rPr>
          <w:rFonts w:ascii="Times New Roman" w:hAnsi="Times New Roman" w:cs="Times New Roman"/>
          <w:sz w:val="24"/>
          <w:szCs w:val="24"/>
        </w:rPr>
        <w:t xml:space="preserve"> wherein output is measured in terms of share and size adjusted pages.  The S</w:t>
      </w:r>
      <w:r w:rsidR="00C76283" w:rsidRPr="00B83421">
        <w:rPr>
          <w:rFonts w:ascii="Times New Roman" w:hAnsi="Times New Roman" w:cs="Times New Roman"/>
          <w:sz w:val="24"/>
          <w:szCs w:val="24"/>
        </w:rPr>
        <w:t>P</w:t>
      </w:r>
      <w:r w:rsidRPr="00B83421">
        <w:rPr>
          <w:rFonts w:ascii="Times New Roman" w:hAnsi="Times New Roman" w:cs="Times New Roman"/>
          <w:sz w:val="24"/>
          <w:szCs w:val="24"/>
        </w:rPr>
        <w:t xml:space="preserve"> range from 0.</w:t>
      </w:r>
      <w:r w:rsidR="00C76283" w:rsidRPr="00B83421">
        <w:rPr>
          <w:rFonts w:ascii="Times New Roman" w:hAnsi="Times New Roman" w:cs="Times New Roman"/>
          <w:sz w:val="24"/>
          <w:szCs w:val="24"/>
        </w:rPr>
        <w:t>81</w:t>
      </w:r>
      <w:r w:rsidRPr="00B83421">
        <w:rPr>
          <w:rFonts w:ascii="Times New Roman" w:hAnsi="Times New Roman" w:cs="Times New Roman"/>
          <w:sz w:val="24"/>
          <w:szCs w:val="24"/>
        </w:rPr>
        <w:t xml:space="preserve"> (</w:t>
      </w:r>
      <w:proofErr w:type="spellStart"/>
      <w:r w:rsidR="00C76283" w:rsidRPr="00B83421">
        <w:rPr>
          <w:rFonts w:ascii="Times New Roman" w:hAnsi="Times New Roman" w:cs="Times New Roman"/>
          <w:b/>
          <w:sz w:val="24"/>
          <w:szCs w:val="24"/>
        </w:rPr>
        <w:t>CLh</w:t>
      </w:r>
      <w:proofErr w:type="gramStart"/>
      <w:r w:rsidRPr="00B83421">
        <w:rPr>
          <w:rFonts w:ascii="Times New Roman" w:hAnsi="Times New Roman" w:cs="Times New Roman"/>
          <w:b/>
          <w:sz w:val="24"/>
          <w:szCs w:val="24"/>
        </w:rPr>
        <w:t>:ABD</w:t>
      </w:r>
      <w:r w:rsidR="00C76283" w:rsidRPr="00B83421">
        <w:rPr>
          <w:rFonts w:ascii="Times New Roman" w:hAnsi="Times New Roman" w:cs="Times New Roman"/>
          <w:b/>
          <w:sz w:val="24"/>
          <w:szCs w:val="24"/>
        </w:rPr>
        <w:t>C</w:t>
      </w:r>
      <w:proofErr w:type="spellEnd"/>
      <w:proofErr w:type="gramEnd"/>
      <w:r w:rsidRPr="00B83421">
        <w:rPr>
          <w:rFonts w:ascii="Times New Roman" w:hAnsi="Times New Roman" w:cs="Times New Roman"/>
          <w:sz w:val="24"/>
          <w:szCs w:val="24"/>
        </w:rPr>
        <w:t>) to 0.9</w:t>
      </w:r>
      <w:r w:rsidR="00C76283" w:rsidRPr="00B83421">
        <w:rPr>
          <w:rFonts w:ascii="Times New Roman" w:hAnsi="Times New Roman" w:cs="Times New Roman"/>
          <w:sz w:val="24"/>
          <w:szCs w:val="24"/>
        </w:rPr>
        <w:t>8 (</w:t>
      </w:r>
      <w:proofErr w:type="spellStart"/>
      <w:r w:rsidRPr="00B83421">
        <w:rPr>
          <w:rFonts w:ascii="Times New Roman" w:hAnsi="Times New Roman" w:cs="Times New Roman"/>
          <w:b/>
          <w:sz w:val="24"/>
          <w:szCs w:val="24"/>
        </w:rPr>
        <w:t>CLm:AVJWS</w:t>
      </w:r>
      <w:proofErr w:type="spellEnd"/>
      <w:r w:rsidRPr="00B83421">
        <w:rPr>
          <w:rFonts w:ascii="Times New Roman" w:hAnsi="Times New Roman" w:cs="Times New Roman"/>
          <w:sz w:val="24"/>
          <w:szCs w:val="24"/>
        </w:rPr>
        <w:t>)</w:t>
      </w:r>
      <w:r w:rsidR="007E71FD" w:rsidRPr="00B83421">
        <w:rPr>
          <w:rFonts w:ascii="Times New Roman" w:hAnsi="Times New Roman" w:cs="Times New Roman"/>
          <w:sz w:val="24"/>
          <w:szCs w:val="24"/>
        </w:rPr>
        <w:t xml:space="preserve">, and </w:t>
      </w:r>
      <w:r w:rsidR="00C76283" w:rsidRPr="00B83421">
        <w:rPr>
          <w:rFonts w:ascii="Times New Roman" w:hAnsi="Times New Roman" w:cs="Times New Roman"/>
          <w:sz w:val="24"/>
          <w:szCs w:val="24"/>
        </w:rPr>
        <w:t xml:space="preserve">the </w:t>
      </w:r>
      <w:r w:rsidR="00C76283" w:rsidRPr="00B83421">
        <w:rPr>
          <w:rFonts w:ascii="Times New Roman" w:hAnsi="Times New Roman" w:cs="Times New Roman"/>
          <w:sz w:val="24"/>
          <w:szCs w:val="24"/>
        </w:rPr>
        <w:lastRenderedPageBreak/>
        <w:t>corresponding KT</w:t>
      </w:r>
      <w:r w:rsidR="001A46EF" w:rsidRPr="00B83421">
        <w:rPr>
          <w:rFonts w:ascii="Times New Roman" w:hAnsi="Times New Roman" w:cs="Times New Roman"/>
          <w:sz w:val="24"/>
          <w:szCs w:val="24"/>
        </w:rPr>
        <w:t xml:space="preserve"> are 0.62 and 0.90, respectively.  Although the </w:t>
      </w:r>
      <w:r w:rsidR="00DE3DD0" w:rsidRPr="00B83421">
        <w:rPr>
          <w:rFonts w:ascii="Times New Roman" w:hAnsi="Times New Roman" w:cs="Times New Roman"/>
          <w:sz w:val="24"/>
          <w:szCs w:val="24"/>
        </w:rPr>
        <w:t xml:space="preserve">reported </w:t>
      </w:r>
      <w:r w:rsidR="001A46EF" w:rsidRPr="00B83421">
        <w:rPr>
          <w:rFonts w:ascii="Times New Roman" w:hAnsi="Times New Roman" w:cs="Times New Roman"/>
          <w:sz w:val="24"/>
          <w:szCs w:val="24"/>
        </w:rPr>
        <w:t>SP</w:t>
      </w:r>
      <w:r w:rsidR="00002638" w:rsidRPr="00B83421">
        <w:rPr>
          <w:rFonts w:ascii="Times New Roman" w:hAnsi="Times New Roman" w:cs="Times New Roman"/>
          <w:sz w:val="24"/>
          <w:szCs w:val="24"/>
        </w:rPr>
        <w:t xml:space="preserve"> </w:t>
      </w:r>
      <w:r w:rsidR="001A46EF" w:rsidRPr="00B83421">
        <w:rPr>
          <w:rFonts w:ascii="Times New Roman" w:hAnsi="Times New Roman" w:cs="Times New Roman"/>
          <w:sz w:val="24"/>
          <w:szCs w:val="24"/>
        </w:rPr>
        <w:t xml:space="preserve">and KT </w:t>
      </w:r>
      <w:r w:rsidR="009779CD" w:rsidRPr="00B83421">
        <w:rPr>
          <w:rFonts w:ascii="Times New Roman" w:hAnsi="Times New Roman" w:cs="Times New Roman"/>
          <w:sz w:val="24"/>
          <w:szCs w:val="24"/>
        </w:rPr>
        <w:t>for</w:t>
      </w:r>
      <w:r w:rsidR="001A46EF" w:rsidRPr="00B83421">
        <w:rPr>
          <w:rFonts w:ascii="Times New Roman" w:hAnsi="Times New Roman" w:cs="Times New Roman"/>
          <w:sz w:val="24"/>
          <w:szCs w:val="24"/>
        </w:rPr>
        <w:t xml:space="preserve"> output measured in share adjusted pa</w:t>
      </w:r>
      <w:r w:rsidR="00F47EB2" w:rsidRPr="00B83421">
        <w:rPr>
          <w:rFonts w:ascii="Times New Roman" w:hAnsi="Times New Roman" w:cs="Times New Roman"/>
          <w:sz w:val="24"/>
          <w:szCs w:val="24"/>
        </w:rPr>
        <w:t>pers</w:t>
      </w:r>
      <w:r w:rsidR="001A46EF" w:rsidRPr="00B83421">
        <w:rPr>
          <w:rFonts w:ascii="Times New Roman" w:hAnsi="Times New Roman" w:cs="Times New Roman"/>
          <w:sz w:val="24"/>
          <w:szCs w:val="24"/>
        </w:rPr>
        <w:t xml:space="preserve"> are frequently lower than for share adjusted and size adjusted pages</w:t>
      </w:r>
      <w:r w:rsidR="00DE3DD0" w:rsidRPr="00B83421">
        <w:rPr>
          <w:rFonts w:ascii="Times New Roman" w:hAnsi="Times New Roman" w:cs="Times New Roman"/>
          <w:sz w:val="24"/>
          <w:szCs w:val="24"/>
        </w:rPr>
        <w:t xml:space="preserve">, the estimates </w:t>
      </w:r>
      <w:r w:rsidR="007E71FD" w:rsidRPr="00B83421">
        <w:rPr>
          <w:rFonts w:ascii="Times New Roman" w:hAnsi="Times New Roman" w:cs="Times New Roman"/>
          <w:sz w:val="24"/>
          <w:szCs w:val="24"/>
        </w:rPr>
        <w:t>differ by</w:t>
      </w:r>
      <w:r w:rsidR="001A46EF" w:rsidRPr="00B83421">
        <w:rPr>
          <w:rFonts w:ascii="Times New Roman" w:hAnsi="Times New Roman" w:cs="Times New Roman"/>
          <w:sz w:val="24"/>
          <w:szCs w:val="24"/>
        </w:rPr>
        <w:t xml:space="preserve"> very little</w:t>
      </w:r>
      <w:r w:rsidR="00367DB9">
        <w:rPr>
          <w:rFonts w:ascii="Times New Roman" w:hAnsi="Times New Roman" w:cs="Times New Roman"/>
          <w:sz w:val="24"/>
          <w:szCs w:val="24"/>
        </w:rPr>
        <w:t xml:space="preserve"> – at</w:t>
      </w:r>
      <w:r w:rsidR="007E71FD" w:rsidRPr="00B83421">
        <w:rPr>
          <w:rFonts w:ascii="Times New Roman" w:hAnsi="Times New Roman" w:cs="Times New Roman"/>
          <w:sz w:val="24"/>
          <w:szCs w:val="24"/>
        </w:rPr>
        <w:t xml:space="preserve"> most, 0.0</w:t>
      </w:r>
      <w:r w:rsidR="001A46EF" w:rsidRPr="00B83421">
        <w:rPr>
          <w:rFonts w:ascii="Times New Roman" w:hAnsi="Times New Roman" w:cs="Times New Roman"/>
          <w:sz w:val="24"/>
          <w:szCs w:val="24"/>
        </w:rPr>
        <w:t>3.</w:t>
      </w:r>
      <w:r w:rsidR="007E71FD" w:rsidRPr="00B83421">
        <w:rPr>
          <w:rFonts w:ascii="Times New Roman" w:hAnsi="Times New Roman" w:cs="Times New Roman"/>
          <w:sz w:val="24"/>
          <w:szCs w:val="24"/>
        </w:rPr>
        <w:t xml:space="preserve"> </w:t>
      </w:r>
      <w:r w:rsidR="001A46EF" w:rsidRPr="00B83421">
        <w:rPr>
          <w:rFonts w:ascii="Times New Roman" w:hAnsi="Times New Roman" w:cs="Times New Roman"/>
          <w:sz w:val="24"/>
          <w:szCs w:val="24"/>
        </w:rPr>
        <w:t xml:space="preserve"> </w:t>
      </w:r>
      <w:r w:rsidR="001A024F" w:rsidRPr="00B83421">
        <w:rPr>
          <w:rFonts w:ascii="Times New Roman" w:hAnsi="Times New Roman" w:cs="Times New Roman"/>
          <w:sz w:val="24"/>
          <w:szCs w:val="24"/>
        </w:rPr>
        <w:t xml:space="preserve">Hence, </w:t>
      </w:r>
      <w:r w:rsidR="004012E7" w:rsidRPr="00B83421">
        <w:rPr>
          <w:rFonts w:ascii="Times New Roman" w:hAnsi="Times New Roman" w:cs="Times New Roman"/>
          <w:sz w:val="24"/>
          <w:szCs w:val="24"/>
        </w:rPr>
        <w:t xml:space="preserve">the results </w:t>
      </w:r>
      <w:r w:rsidR="001A024F" w:rsidRPr="00B83421">
        <w:rPr>
          <w:rFonts w:ascii="Times New Roman" w:hAnsi="Times New Roman" w:cs="Times New Roman"/>
          <w:sz w:val="24"/>
          <w:szCs w:val="24"/>
        </w:rPr>
        <w:t xml:space="preserve">displayed in </w:t>
      </w:r>
      <w:r w:rsidR="004012E7" w:rsidRPr="00B83421">
        <w:rPr>
          <w:rFonts w:ascii="Times New Roman" w:hAnsi="Times New Roman" w:cs="Times New Roman"/>
          <w:sz w:val="24"/>
          <w:szCs w:val="24"/>
        </w:rPr>
        <w:t>Table 4</w:t>
      </w:r>
      <w:r w:rsidR="00051ED4">
        <w:rPr>
          <w:rFonts w:ascii="Times New Roman" w:hAnsi="Times New Roman" w:cs="Times New Roman"/>
          <w:sz w:val="24"/>
          <w:szCs w:val="24"/>
        </w:rPr>
        <w:t>(b)</w:t>
      </w:r>
      <w:r w:rsidR="004012E7" w:rsidRPr="00B83421">
        <w:rPr>
          <w:rFonts w:ascii="Times New Roman" w:hAnsi="Times New Roman" w:cs="Times New Roman"/>
          <w:sz w:val="24"/>
          <w:szCs w:val="24"/>
        </w:rPr>
        <w:t xml:space="preserve"> </w:t>
      </w:r>
      <w:r w:rsidR="001A024F" w:rsidRPr="00B83421">
        <w:rPr>
          <w:rFonts w:ascii="Times New Roman" w:hAnsi="Times New Roman" w:cs="Times New Roman"/>
          <w:sz w:val="24"/>
          <w:szCs w:val="24"/>
        </w:rPr>
        <w:t xml:space="preserve">are to be expected.  In all cases, the percent of discordant pairs for all combinations of JWS are </w:t>
      </w:r>
      <w:r w:rsidR="00B766F0" w:rsidRPr="00B83421">
        <w:rPr>
          <w:rFonts w:ascii="Times New Roman" w:hAnsi="Times New Roman" w:cs="Times New Roman"/>
          <w:sz w:val="24"/>
          <w:szCs w:val="24"/>
        </w:rPr>
        <w:t xml:space="preserve">everywhere </w:t>
      </w:r>
      <w:r w:rsidR="001A024F" w:rsidRPr="00B83421">
        <w:rPr>
          <w:rFonts w:ascii="Times New Roman" w:hAnsi="Times New Roman" w:cs="Times New Roman"/>
          <w:sz w:val="24"/>
          <w:szCs w:val="24"/>
        </w:rPr>
        <w:t>slightly higher than those reported in Table 3</w:t>
      </w:r>
      <w:r w:rsidR="00051ED4">
        <w:rPr>
          <w:rFonts w:ascii="Times New Roman" w:hAnsi="Times New Roman" w:cs="Times New Roman"/>
          <w:sz w:val="24"/>
          <w:szCs w:val="24"/>
        </w:rPr>
        <w:t>(b)</w:t>
      </w:r>
      <w:r w:rsidR="004012E7" w:rsidRPr="00B83421">
        <w:rPr>
          <w:rFonts w:ascii="Times New Roman" w:hAnsi="Times New Roman" w:cs="Times New Roman"/>
          <w:sz w:val="24"/>
          <w:szCs w:val="24"/>
        </w:rPr>
        <w:t xml:space="preserve">.  </w:t>
      </w:r>
      <w:r w:rsidR="00B766F0" w:rsidRPr="00B83421">
        <w:rPr>
          <w:rFonts w:ascii="Times New Roman" w:hAnsi="Times New Roman" w:cs="Times New Roman"/>
          <w:sz w:val="24"/>
          <w:szCs w:val="24"/>
        </w:rPr>
        <w:t>For example, when output is measured in terms of share adjusted papers, the minimum and maximum percentages of discordant pairs are 4.96 and 18.66; the corresponding values for share and size adjusted pages (see Table 3</w:t>
      </w:r>
      <w:r w:rsidR="00051ED4">
        <w:rPr>
          <w:rFonts w:ascii="Times New Roman" w:hAnsi="Times New Roman" w:cs="Times New Roman"/>
          <w:sz w:val="24"/>
          <w:szCs w:val="24"/>
        </w:rPr>
        <w:t>(b)</w:t>
      </w:r>
      <w:r w:rsidR="00B766F0" w:rsidRPr="00B83421">
        <w:rPr>
          <w:rFonts w:ascii="Times New Roman" w:hAnsi="Times New Roman" w:cs="Times New Roman"/>
          <w:sz w:val="24"/>
          <w:szCs w:val="24"/>
        </w:rPr>
        <w:t xml:space="preserve">) are 3.87 and 17.73, respectively.  In summary, rank stability appears to be slightly stronger </w:t>
      </w:r>
      <w:r w:rsidR="001C1499" w:rsidRPr="00B83421">
        <w:rPr>
          <w:rFonts w:ascii="Times New Roman" w:hAnsi="Times New Roman" w:cs="Times New Roman"/>
          <w:sz w:val="24"/>
          <w:szCs w:val="24"/>
        </w:rPr>
        <w:t xml:space="preserve">across all JWS </w:t>
      </w:r>
      <w:r w:rsidR="009B5792" w:rsidRPr="00B83421">
        <w:rPr>
          <w:rFonts w:ascii="Times New Roman" w:hAnsi="Times New Roman" w:cs="Times New Roman"/>
          <w:sz w:val="24"/>
          <w:szCs w:val="24"/>
        </w:rPr>
        <w:t xml:space="preserve">when the unit of output is specified in terms of share and size adjusted pages than share adjusted papers. </w:t>
      </w:r>
    </w:p>
    <w:p w14:paraId="29B0F289" w14:textId="77777777" w:rsidR="00D44F6C" w:rsidRDefault="00D44F6C" w:rsidP="00316E1D">
      <w:pPr>
        <w:spacing w:after="0" w:line="288" w:lineRule="auto"/>
        <w:ind w:firstLine="720"/>
        <w:jc w:val="both"/>
        <w:rPr>
          <w:rFonts w:ascii="Times New Roman" w:hAnsi="Times New Roman" w:cs="Times New Roman"/>
          <w:sz w:val="24"/>
          <w:szCs w:val="24"/>
        </w:rPr>
      </w:pPr>
    </w:p>
    <w:tbl>
      <w:tblPr>
        <w:tblW w:w="9632" w:type="dxa"/>
        <w:tblInd w:w="93" w:type="dxa"/>
        <w:tblLook w:val="04A0" w:firstRow="1" w:lastRow="0" w:firstColumn="1" w:lastColumn="0" w:noHBand="0" w:noVBand="1"/>
      </w:tblPr>
      <w:tblGrid>
        <w:gridCol w:w="1295"/>
        <w:gridCol w:w="1191"/>
        <w:gridCol w:w="1191"/>
        <w:gridCol w:w="1191"/>
        <w:gridCol w:w="1191"/>
        <w:gridCol w:w="1191"/>
        <w:gridCol w:w="1191"/>
        <w:gridCol w:w="1191"/>
      </w:tblGrid>
      <w:tr w:rsidR="00367DB9" w:rsidRPr="00DE127F" w14:paraId="3B53C975" w14:textId="77777777" w:rsidTr="00FA51D3">
        <w:trPr>
          <w:trHeight w:val="170"/>
        </w:trPr>
        <w:tc>
          <w:tcPr>
            <w:tcW w:w="1295" w:type="dxa"/>
            <w:tcBorders>
              <w:top w:val="nil"/>
              <w:left w:val="nil"/>
              <w:bottom w:val="nil"/>
              <w:right w:val="nil"/>
            </w:tcBorders>
            <w:shd w:val="clear" w:color="auto" w:fill="auto"/>
            <w:noWrap/>
            <w:hideMark/>
          </w:tcPr>
          <w:p w14:paraId="6AB91904" w14:textId="07037B04" w:rsidR="00367DB9" w:rsidRPr="00056BD0" w:rsidRDefault="00367DB9" w:rsidP="00FA51D3">
            <w:pPr>
              <w:spacing w:after="0" w:line="240" w:lineRule="auto"/>
              <w:rPr>
                <w:rFonts w:ascii="Times New Roman" w:eastAsia="Times New Roman" w:hAnsi="Times New Roman" w:cs="Times New Roman"/>
                <w:bCs/>
                <w:color w:val="000000"/>
              </w:rPr>
            </w:pPr>
          </w:p>
        </w:tc>
        <w:tc>
          <w:tcPr>
            <w:tcW w:w="8337" w:type="dxa"/>
            <w:gridSpan w:val="7"/>
            <w:tcBorders>
              <w:top w:val="nil"/>
              <w:left w:val="nil"/>
              <w:bottom w:val="nil"/>
              <w:right w:val="nil"/>
            </w:tcBorders>
            <w:shd w:val="clear" w:color="auto" w:fill="auto"/>
            <w:noWrap/>
            <w:vAlign w:val="bottom"/>
            <w:hideMark/>
          </w:tcPr>
          <w:p w14:paraId="0AD8D443" w14:textId="5F1954F0" w:rsidR="007B4174" w:rsidRPr="00056BD0" w:rsidRDefault="007B4174" w:rsidP="00FA51D3">
            <w:pPr>
              <w:spacing w:after="0" w:line="240" w:lineRule="auto"/>
              <w:rPr>
                <w:rFonts w:ascii="Times New Roman" w:eastAsia="Times New Roman" w:hAnsi="Times New Roman" w:cs="Times New Roman"/>
                <w:bCs/>
                <w:color w:val="000000"/>
              </w:rPr>
            </w:pPr>
          </w:p>
        </w:tc>
      </w:tr>
      <w:tr w:rsidR="00051ED4" w:rsidRPr="00DE127F" w14:paraId="52ACF21C" w14:textId="77777777" w:rsidTr="007B4174">
        <w:trPr>
          <w:trHeight w:val="454"/>
        </w:trPr>
        <w:tc>
          <w:tcPr>
            <w:tcW w:w="9632" w:type="dxa"/>
            <w:gridSpan w:val="8"/>
            <w:tcBorders>
              <w:top w:val="nil"/>
              <w:left w:val="nil"/>
              <w:bottom w:val="single" w:sz="4" w:space="0" w:color="auto"/>
              <w:right w:val="nil"/>
            </w:tcBorders>
            <w:shd w:val="clear" w:color="auto" w:fill="auto"/>
            <w:noWrap/>
            <w:vAlign w:val="center"/>
            <w:hideMark/>
          </w:tcPr>
          <w:p w14:paraId="04F38002" w14:textId="63B52EAF" w:rsidR="00C53F4C" w:rsidRDefault="00C53F4C" w:rsidP="007B4174">
            <w:pPr>
              <w:pStyle w:val="ListParagraph"/>
              <w:spacing w:after="0" w:line="240" w:lineRule="auto"/>
              <w:ind w:left="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Table  4(a): </w:t>
            </w:r>
            <w:r w:rsidR="00051ED4" w:rsidRPr="000610B1">
              <w:rPr>
                <w:rFonts w:ascii="Times New Roman" w:eastAsia="Times New Roman" w:hAnsi="Times New Roman" w:cs="Times New Roman"/>
                <w:b/>
                <w:bCs/>
                <w:color w:val="000000"/>
              </w:rPr>
              <w:t xml:space="preserve">Kendall's Tau </w:t>
            </w:r>
            <w:r w:rsidR="00E6612C" w:rsidRPr="000610B1">
              <w:rPr>
                <w:rFonts w:ascii="Times New Roman" w:eastAsia="Times New Roman" w:hAnsi="Times New Roman" w:cs="Times New Roman"/>
                <w:b/>
                <w:bCs/>
                <w:color w:val="000000"/>
              </w:rPr>
              <w:t>and</w:t>
            </w:r>
            <w:r w:rsidR="009876E0">
              <w:rPr>
                <w:rFonts w:ascii="Times New Roman" w:eastAsia="Times New Roman" w:hAnsi="Times New Roman" w:cs="Times New Roman"/>
                <w:b/>
                <w:bCs/>
                <w:color w:val="000000"/>
              </w:rPr>
              <w:t xml:space="preserve"> Spearman (in P</w:t>
            </w:r>
            <w:r w:rsidR="000610B1">
              <w:rPr>
                <w:rFonts w:ascii="Times New Roman" w:eastAsia="Times New Roman" w:hAnsi="Times New Roman" w:cs="Times New Roman"/>
                <w:b/>
                <w:bCs/>
                <w:color w:val="000000"/>
              </w:rPr>
              <w:t>arenthesis) Correlation Coeff</w:t>
            </w:r>
            <w:r w:rsidR="00B52297">
              <w:rPr>
                <w:rFonts w:ascii="Times New Roman" w:eastAsia="Times New Roman" w:hAnsi="Times New Roman" w:cs="Times New Roman"/>
                <w:b/>
                <w:bCs/>
                <w:color w:val="000000"/>
              </w:rPr>
              <w:t xml:space="preserve">icients  </w:t>
            </w:r>
          </w:p>
          <w:p w14:paraId="4EEF701D" w14:textId="30F5EE7F" w:rsidR="00051ED4" w:rsidRPr="007B4174" w:rsidRDefault="00051ED4" w:rsidP="00C53F4C">
            <w:pPr>
              <w:pStyle w:val="ListParagraph"/>
              <w:spacing w:after="100" w:line="240" w:lineRule="auto"/>
              <w:ind w:left="0"/>
              <w:jc w:val="center"/>
              <w:rPr>
                <w:rFonts w:ascii="Times New Roman" w:eastAsia="Times New Roman" w:hAnsi="Times New Roman" w:cs="Times New Roman"/>
                <w:b/>
                <w:color w:val="000000"/>
                <w:sz w:val="2"/>
                <w:szCs w:val="2"/>
              </w:rPr>
            </w:pPr>
          </w:p>
        </w:tc>
      </w:tr>
      <w:tr w:rsidR="00367DB9" w:rsidRPr="00DE127F" w14:paraId="672505C7" w14:textId="77777777" w:rsidTr="007B4174">
        <w:trPr>
          <w:trHeight w:val="170"/>
        </w:trPr>
        <w:tc>
          <w:tcPr>
            <w:tcW w:w="1295" w:type="dxa"/>
            <w:tcBorders>
              <w:top w:val="single" w:sz="4" w:space="0" w:color="auto"/>
              <w:left w:val="nil"/>
              <w:bottom w:val="single" w:sz="4" w:space="0" w:color="auto"/>
              <w:right w:val="nil"/>
            </w:tcBorders>
            <w:shd w:val="clear" w:color="auto" w:fill="auto"/>
            <w:noWrap/>
            <w:vAlign w:val="bottom"/>
            <w:hideMark/>
          </w:tcPr>
          <w:p w14:paraId="14D897B5" w14:textId="77777777" w:rsidR="00367DB9" w:rsidRPr="00056BD0" w:rsidRDefault="00367DB9" w:rsidP="00FA51D3">
            <w:pPr>
              <w:spacing w:after="0" w:line="240" w:lineRule="auto"/>
              <w:rPr>
                <w:rFonts w:ascii="Times New Roman" w:eastAsia="Times New Roman" w:hAnsi="Times New Roman" w:cs="Times New Roman"/>
                <w:color w:val="000000"/>
              </w:rPr>
            </w:pPr>
          </w:p>
        </w:tc>
        <w:tc>
          <w:tcPr>
            <w:tcW w:w="1191" w:type="dxa"/>
            <w:tcBorders>
              <w:top w:val="single" w:sz="4" w:space="0" w:color="auto"/>
              <w:left w:val="nil"/>
              <w:bottom w:val="single" w:sz="4" w:space="0" w:color="auto"/>
              <w:right w:val="nil"/>
            </w:tcBorders>
            <w:shd w:val="clear" w:color="auto" w:fill="auto"/>
            <w:noWrap/>
            <w:vAlign w:val="bottom"/>
            <w:hideMark/>
          </w:tcPr>
          <w:p w14:paraId="5440B738" w14:textId="77777777" w:rsidR="00367DB9" w:rsidRPr="00056BD0" w:rsidRDefault="00367DB9" w:rsidP="00FA51D3">
            <w:pPr>
              <w:spacing w:after="0" w:line="240" w:lineRule="auto"/>
              <w:jc w:val="center"/>
              <w:rPr>
                <w:rFonts w:ascii="Times New Roman" w:eastAsia="Times New Roman" w:hAnsi="Times New Roman" w:cs="Times New Roman"/>
                <w:bCs/>
                <w:color w:val="000000"/>
              </w:rPr>
            </w:pPr>
            <w:proofErr w:type="spellStart"/>
            <w:r w:rsidRPr="00056BD0">
              <w:rPr>
                <w:rFonts w:ascii="Times New Roman" w:eastAsia="Times New Roman" w:hAnsi="Times New Roman" w:cs="Times New Roman"/>
                <w:bCs/>
                <w:color w:val="000000"/>
              </w:rPr>
              <w:t>CLm</w:t>
            </w:r>
            <w:proofErr w:type="spellEnd"/>
          </w:p>
        </w:tc>
        <w:tc>
          <w:tcPr>
            <w:tcW w:w="1191" w:type="dxa"/>
            <w:tcBorders>
              <w:top w:val="single" w:sz="4" w:space="0" w:color="auto"/>
              <w:left w:val="nil"/>
              <w:bottom w:val="single" w:sz="4" w:space="0" w:color="auto"/>
              <w:right w:val="nil"/>
            </w:tcBorders>
            <w:shd w:val="clear" w:color="auto" w:fill="auto"/>
            <w:noWrap/>
            <w:vAlign w:val="bottom"/>
            <w:hideMark/>
          </w:tcPr>
          <w:p w14:paraId="51C1CF96" w14:textId="77777777" w:rsidR="00367DB9" w:rsidRPr="00056BD0" w:rsidRDefault="00367DB9" w:rsidP="00FA51D3">
            <w:pPr>
              <w:spacing w:after="0" w:line="240" w:lineRule="auto"/>
              <w:jc w:val="center"/>
              <w:rPr>
                <w:rFonts w:ascii="Times New Roman" w:eastAsia="Times New Roman" w:hAnsi="Times New Roman" w:cs="Times New Roman"/>
                <w:bCs/>
                <w:color w:val="000000"/>
              </w:rPr>
            </w:pPr>
            <w:proofErr w:type="spellStart"/>
            <w:r w:rsidRPr="00056BD0">
              <w:rPr>
                <w:rFonts w:ascii="Times New Roman" w:eastAsia="Times New Roman" w:hAnsi="Times New Roman" w:cs="Times New Roman"/>
                <w:bCs/>
                <w:color w:val="000000"/>
              </w:rPr>
              <w:t>CLh</w:t>
            </w:r>
            <w:proofErr w:type="spellEnd"/>
          </w:p>
        </w:tc>
        <w:tc>
          <w:tcPr>
            <w:tcW w:w="1191" w:type="dxa"/>
            <w:tcBorders>
              <w:top w:val="single" w:sz="4" w:space="0" w:color="auto"/>
              <w:left w:val="nil"/>
              <w:bottom w:val="single" w:sz="4" w:space="0" w:color="auto"/>
              <w:right w:val="nil"/>
            </w:tcBorders>
            <w:shd w:val="clear" w:color="auto" w:fill="auto"/>
            <w:noWrap/>
            <w:vAlign w:val="bottom"/>
            <w:hideMark/>
          </w:tcPr>
          <w:p w14:paraId="13458B15" w14:textId="77777777" w:rsidR="00367DB9" w:rsidRPr="00056BD0" w:rsidRDefault="00367DB9" w:rsidP="00FA51D3">
            <w:pPr>
              <w:spacing w:after="0" w:line="240" w:lineRule="auto"/>
              <w:jc w:val="center"/>
              <w:rPr>
                <w:rFonts w:ascii="Times New Roman" w:eastAsia="Times New Roman" w:hAnsi="Times New Roman" w:cs="Times New Roman"/>
                <w:bCs/>
                <w:color w:val="000000"/>
              </w:rPr>
            </w:pPr>
            <w:r w:rsidRPr="00056BD0">
              <w:rPr>
                <w:rFonts w:ascii="Times New Roman" w:eastAsia="Times New Roman" w:hAnsi="Times New Roman" w:cs="Times New Roman"/>
                <w:bCs/>
                <w:color w:val="000000"/>
              </w:rPr>
              <w:t>ABDC</w:t>
            </w:r>
          </w:p>
        </w:tc>
        <w:tc>
          <w:tcPr>
            <w:tcW w:w="1191" w:type="dxa"/>
            <w:tcBorders>
              <w:top w:val="single" w:sz="4" w:space="0" w:color="auto"/>
              <w:left w:val="nil"/>
              <w:bottom w:val="single" w:sz="4" w:space="0" w:color="auto"/>
              <w:right w:val="nil"/>
            </w:tcBorders>
            <w:shd w:val="clear" w:color="auto" w:fill="auto"/>
            <w:noWrap/>
            <w:vAlign w:val="bottom"/>
            <w:hideMark/>
          </w:tcPr>
          <w:p w14:paraId="6DF55315" w14:textId="77777777" w:rsidR="00367DB9" w:rsidRPr="00056BD0" w:rsidRDefault="00367DB9" w:rsidP="00FA51D3">
            <w:pPr>
              <w:spacing w:after="0" w:line="240" w:lineRule="auto"/>
              <w:jc w:val="center"/>
              <w:rPr>
                <w:rFonts w:ascii="Times New Roman" w:eastAsia="Times New Roman" w:hAnsi="Times New Roman" w:cs="Times New Roman"/>
                <w:bCs/>
                <w:color w:val="000000"/>
              </w:rPr>
            </w:pPr>
            <w:proofErr w:type="spellStart"/>
            <w:r w:rsidRPr="00056BD0">
              <w:rPr>
                <w:rFonts w:ascii="Times New Roman" w:eastAsia="Times New Roman" w:hAnsi="Times New Roman" w:cs="Times New Roman"/>
                <w:bCs/>
                <w:color w:val="000000"/>
              </w:rPr>
              <w:t>Rsif</w:t>
            </w:r>
            <w:proofErr w:type="spellEnd"/>
          </w:p>
        </w:tc>
        <w:tc>
          <w:tcPr>
            <w:tcW w:w="1191" w:type="dxa"/>
            <w:tcBorders>
              <w:top w:val="single" w:sz="4" w:space="0" w:color="auto"/>
              <w:left w:val="nil"/>
              <w:bottom w:val="single" w:sz="4" w:space="0" w:color="auto"/>
              <w:right w:val="nil"/>
            </w:tcBorders>
            <w:shd w:val="clear" w:color="auto" w:fill="auto"/>
            <w:noWrap/>
            <w:vAlign w:val="bottom"/>
            <w:hideMark/>
          </w:tcPr>
          <w:p w14:paraId="77813E24" w14:textId="77777777" w:rsidR="00367DB9" w:rsidRPr="00056BD0" w:rsidRDefault="00367DB9" w:rsidP="00FA51D3">
            <w:pPr>
              <w:spacing w:after="0" w:line="240" w:lineRule="auto"/>
              <w:jc w:val="center"/>
              <w:rPr>
                <w:rFonts w:ascii="Times New Roman" w:eastAsia="Times New Roman" w:hAnsi="Times New Roman" w:cs="Times New Roman"/>
                <w:bCs/>
                <w:color w:val="000000"/>
              </w:rPr>
            </w:pPr>
            <w:proofErr w:type="spellStart"/>
            <w:r w:rsidRPr="00056BD0">
              <w:rPr>
                <w:rFonts w:ascii="Times New Roman" w:eastAsia="Times New Roman" w:hAnsi="Times New Roman" w:cs="Times New Roman"/>
                <w:bCs/>
                <w:color w:val="000000"/>
              </w:rPr>
              <w:t>Rrec</w:t>
            </w:r>
            <w:proofErr w:type="spellEnd"/>
          </w:p>
        </w:tc>
        <w:tc>
          <w:tcPr>
            <w:tcW w:w="1191" w:type="dxa"/>
            <w:tcBorders>
              <w:top w:val="single" w:sz="4" w:space="0" w:color="auto"/>
              <w:left w:val="nil"/>
              <w:bottom w:val="single" w:sz="4" w:space="0" w:color="auto"/>
              <w:right w:val="nil"/>
            </w:tcBorders>
            <w:shd w:val="clear" w:color="auto" w:fill="auto"/>
            <w:noWrap/>
            <w:vAlign w:val="bottom"/>
            <w:hideMark/>
          </w:tcPr>
          <w:p w14:paraId="3439F279" w14:textId="77777777" w:rsidR="00367DB9" w:rsidRPr="00056BD0" w:rsidRDefault="00367DB9" w:rsidP="00FA51D3">
            <w:pPr>
              <w:spacing w:after="0" w:line="240" w:lineRule="auto"/>
              <w:jc w:val="center"/>
              <w:rPr>
                <w:rFonts w:ascii="Times New Roman" w:eastAsia="Times New Roman" w:hAnsi="Times New Roman" w:cs="Times New Roman"/>
                <w:bCs/>
                <w:color w:val="000000"/>
              </w:rPr>
            </w:pPr>
            <w:r w:rsidRPr="00056BD0">
              <w:rPr>
                <w:rFonts w:ascii="Times New Roman" w:eastAsia="Times New Roman" w:hAnsi="Times New Roman" w:cs="Times New Roman"/>
                <w:bCs/>
                <w:color w:val="000000"/>
              </w:rPr>
              <w:t>NZABDC</w:t>
            </w:r>
          </w:p>
        </w:tc>
        <w:tc>
          <w:tcPr>
            <w:tcW w:w="1191" w:type="dxa"/>
            <w:tcBorders>
              <w:top w:val="single" w:sz="4" w:space="0" w:color="auto"/>
              <w:left w:val="nil"/>
              <w:bottom w:val="single" w:sz="4" w:space="0" w:color="auto"/>
              <w:right w:val="nil"/>
            </w:tcBorders>
            <w:shd w:val="clear" w:color="auto" w:fill="auto"/>
            <w:noWrap/>
            <w:vAlign w:val="bottom"/>
            <w:hideMark/>
          </w:tcPr>
          <w:p w14:paraId="2E17EE7D" w14:textId="77777777" w:rsidR="00367DB9" w:rsidRPr="00056BD0" w:rsidRDefault="00367DB9" w:rsidP="00FA51D3">
            <w:pPr>
              <w:spacing w:after="0" w:line="240" w:lineRule="auto"/>
              <w:jc w:val="center"/>
              <w:rPr>
                <w:rFonts w:ascii="Times New Roman" w:eastAsia="Times New Roman" w:hAnsi="Times New Roman" w:cs="Times New Roman"/>
                <w:bCs/>
                <w:color w:val="000000"/>
              </w:rPr>
            </w:pPr>
            <w:r w:rsidRPr="00056BD0">
              <w:rPr>
                <w:rFonts w:ascii="Times New Roman" w:eastAsia="Times New Roman" w:hAnsi="Times New Roman" w:cs="Times New Roman"/>
                <w:bCs/>
                <w:color w:val="000000"/>
              </w:rPr>
              <w:t>AVJWS</w:t>
            </w:r>
          </w:p>
        </w:tc>
      </w:tr>
      <w:tr w:rsidR="00367DB9" w:rsidRPr="00DE127F" w14:paraId="7BF58438" w14:textId="77777777" w:rsidTr="007B4174">
        <w:trPr>
          <w:trHeight w:val="170"/>
        </w:trPr>
        <w:tc>
          <w:tcPr>
            <w:tcW w:w="1295" w:type="dxa"/>
            <w:tcBorders>
              <w:top w:val="single" w:sz="4" w:space="0" w:color="auto"/>
              <w:left w:val="nil"/>
              <w:bottom w:val="nil"/>
              <w:right w:val="nil"/>
            </w:tcBorders>
            <w:shd w:val="clear" w:color="auto" w:fill="auto"/>
            <w:noWrap/>
            <w:vAlign w:val="bottom"/>
            <w:hideMark/>
          </w:tcPr>
          <w:p w14:paraId="125B915E" w14:textId="77777777" w:rsidR="00367DB9" w:rsidRPr="00056BD0" w:rsidRDefault="00367DB9" w:rsidP="00FA51D3">
            <w:pPr>
              <w:spacing w:after="0" w:line="240" w:lineRule="auto"/>
              <w:rPr>
                <w:rFonts w:ascii="Times New Roman" w:eastAsia="Times New Roman" w:hAnsi="Times New Roman" w:cs="Times New Roman"/>
                <w:color w:val="000000"/>
              </w:rPr>
            </w:pPr>
          </w:p>
        </w:tc>
        <w:tc>
          <w:tcPr>
            <w:tcW w:w="1191" w:type="dxa"/>
            <w:tcBorders>
              <w:top w:val="single" w:sz="4" w:space="0" w:color="auto"/>
              <w:left w:val="nil"/>
              <w:bottom w:val="nil"/>
              <w:right w:val="nil"/>
            </w:tcBorders>
            <w:shd w:val="clear" w:color="auto" w:fill="auto"/>
            <w:noWrap/>
            <w:vAlign w:val="bottom"/>
            <w:hideMark/>
          </w:tcPr>
          <w:p w14:paraId="5DE4701B" w14:textId="77777777" w:rsidR="00367DB9" w:rsidRPr="00056BD0" w:rsidRDefault="00367DB9" w:rsidP="00FA51D3">
            <w:pPr>
              <w:spacing w:after="0" w:line="240" w:lineRule="auto"/>
              <w:jc w:val="center"/>
              <w:rPr>
                <w:rFonts w:ascii="Times New Roman" w:eastAsia="Times New Roman" w:hAnsi="Times New Roman" w:cs="Times New Roman"/>
                <w:bCs/>
                <w:color w:val="000000"/>
              </w:rPr>
            </w:pPr>
          </w:p>
        </w:tc>
        <w:tc>
          <w:tcPr>
            <w:tcW w:w="1191" w:type="dxa"/>
            <w:tcBorders>
              <w:top w:val="single" w:sz="4" w:space="0" w:color="auto"/>
              <w:left w:val="nil"/>
              <w:bottom w:val="nil"/>
              <w:right w:val="nil"/>
            </w:tcBorders>
            <w:shd w:val="clear" w:color="auto" w:fill="auto"/>
            <w:noWrap/>
            <w:vAlign w:val="bottom"/>
            <w:hideMark/>
          </w:tcPr>
          <w:p w14:paraId="1FAD950D" w14:textId="77777777" w:rsidR="00367DB9" w:rsidRPr="00056BD0" w:rsidRDefault="00367DB9" w:rsidP="00FA51D3">
            <w:pPr>
              <w:spacing w:after="0" w:line="240" w:lineRule="auto"/>
              <w:jc w:val="center"/>
              <w:rPr>
                <w:rFonts w:ascii="Times New Roman" w:eastAsia="Times New Roman" w:hAnsi="Times New Roman" w:cs="Times New Roman"/>
                <w:bCs/>
                <w:color w:val="000000"/>
              </w:rPr>
            </w:pPr>
          </w:p>
        </w:tc>
        <w:tc>
          <w:tcPr>
            <w:tcW w:w="1191" w:type="dxa"/>
            <w:tcBorders>
              <w:top w:val="single" w:sz="4" w:space="0" w:color="auto"/>
              <w:left w:val="nil"/>
              <w:bottom w:val="nil"/>
              <w:right w:val="nil"/>
            </w:tcBorders>
            <w:shd w:val="clear" w:color="auto" w:fill="auto"/>
            <w:noWrap/>
            <w:vAlign w:val="bottom"/>
            <w:hideMark/>
          </w:tcPr>
          <w:p w14:paraId="613BD402" w14:textId="77777777" w:rsidR="00367DB9" w:rsidRPr="00056BD0" w:rsidRDefault="00367DB9" w:rsidP="00FA51D3">
            <w:pPr>
              <w:spacing w:after="0" w:line="240" w:lineRule="auto"/>
              <w:jc w:val="center"/>
              <w:rPr>
                <w:rFonts w:ascii="Times New Roman" w:eastAsia="Times New Roman" w:hAnsi="Times New Roman" w:cs="Times New Roman"/>
                <w:bCs/>
                <w:color w:val="000000"/>
              </w:rPr>
            </w:pPr>
          </w:p>
        </w:tc>
        <w:tc>
          <w:tcPr>
            <w:tcW w:w="1191" w:type="dxa"/>
            <w:tcBorders>
              <w:top w:val="single" w:sz="4" w:space="0" w:color="auto"/>
              <w:left w:val="nil"/>
              <w:bottom w:val="nil"/>
              <w:right w:val="nil"/>
            </w:tcBorders>
            <w:shd w:val="clear" w:color="auto" w:fill="auto"/>
            <w:noWrap/>
            <w:vAlign w:val="bottom"/>
            <w:hideMark/>
          </w:tcPr>
          <w:p w14:paraId="4F414B15" w14:textId="77777777" w:rsidR="00367DB9" w:rsidRPr="00056BD0" w:rsidRDefault="00367DB9" w:rsidP="00FA51D3">
            <w:pPr>
              <w:spacing w:after="0" w:line="240" w:lineRule="auto"/>
              <w:jc w:val="center"/>
              <w:rPr>
                <w:rFonts w:ascii="Times New Roman" w:eastAsia="Times New Roman" w:hAnsi="Times New Roman" w:cs="Times New Roman"/>
                <w:bCs/>
                <w:color w:val="000000"/>
              </w:rPr>
            </w:pPr>
          </w:p>
        </w:tc>
        <w:tc>
          <w:tcPr>
            <w:tcW w:w="1191" w:type="dxa"/>
            <w:tcBorders>
              <w:top w:val="single" w:sz="4" w:space="0" w:color="auto"/>
              <w:left w:val="nil"/>
              <w:bottom w:val="nil"/>
              <w:right w:val="nil"/>
            </w:tcBorders>
            <w:shd w:val="clear" w:color="auto" w:fill="auto"/>
            <w:noWrap/>
            <w:vAlign w:val="bottom"/>
            <w:hideMark/>
          </w:tcPr>
          <w:p w14:paraId="16EA5639" w14:textId="77777777" w:rsidR="00367DB9" w:rsidRPr="00056BD0" w:rsidRDefault="00367DB9" w:rsidP="00FA51D3">
            <w:pPr>
              <w:spacing w:after="0" w:line="240" w:lineRule="auto"/>
              <w:jc w:val="center"/>
              <w:rPr>
                <w:rFonts w:ascii="Times New Roman" w:eastAsia="Times New Roman" w:hAnsi="Times New Roman" w:cs="Times New Roman"/>
                <w:bCs/>
                <w:color w:val="000000"/>
              </w:rPr>
            </w:pPr>
          </w:p>
        </w:tc>
        <w:tc>
          <w:tcPr>
            <w:tcW w:w="1191" w:type="dxa"/>
            <w:tcBorders>
              <w:top w:val="single" w:sz="4" w:space="0" w:color="auto"/>
              <w:left w:val="nil"/>
              <w:bottom w:val="nil"/>
              <w:right w:val="nil"/>
            </w:tcBorders>
            <w:shd w:val="clear" w:color="auto" w:fill="auto"/>
            <w:noWrap/>
            <w:vAlign w:val="bottom"/>
            <w:hideMark/>
          </w:tcPr>
          <w:p w14:paraId="36FA8A45" w14:textId="77777777" w:rsidR="00367DB9" w:rsidRPr="00056BD0" w:rsidRDefault="00367DB9" w:rsidP="00FA51D3">
            <w:pPr>
              <w:spacing w:after="0" w:line="240" w:lineRule="auto"/>
              <w:jc w:val="center"/>
              <w:rPr>
                <w:rFonts w:ascii="Times New Roman" w:eastAsia="Times New Roman" w:hAnsi="Times New Roman" w:cs="Times New Roman"/>
                <w:bCs/>
                <w:color w:val="000000"/>
              </w:rPr>
            </w:pPr>
          </w:p>
        </w:tc>
        <w:tc>
          <w:tcPr>
            <w:tcW w:w="1191" w:type="dxa"/>
            <w:tcBorders>
              <w:top w:val="single" w:sz="4" w:space="0" w:color="auto"/>
              <w:left w:val="nil"/>
              <w:bottom w:val="nil"/>
              <w:right w:val="nil"/>
            </w:tcBorders>
            <w:shd w:val="clear" w:color="auto" w:fill="auto"/>
            <w:noWrap/>
            <w:vAlign w:val="bottom"/>
            <w:hideMark/>
          </w:tcPr>
          <w:p w14:paraId="4497506F" w14:textId="77777777" w:rsidR="00367DB9" w:rsidRPr="00056BD0" w:rsidRDefault="00367DB9" w:rsidP="00FA51D3">
            <w:pPr>
              <w:spacing w:after="0" w:line="240" w:lineRule="auto"/>
              <w:jc w:val="center"/>
              <w:rPr>
                <w:rFonts w:ascii="Times New Roman" w:eastAsia="Times New Roman" w:hAnsi="Times New Roman" w:cs="Times New Roman"/>
                <w:bCs/>
                <w:color w:val="000000"/>
              </w:rPr>
            </w:pPr>
          </w:p>
        </w:tc>
      </w:tr>
      <w:tr w:rsidR="00367DB9" w:rsidRPr="00DE127F" w14:paraId="26880ACB" w14:textId="77777777" w:rsidTr="00FA51D3">
        <w:trPr>
          <w:trHeight w:val="170"/>
        </w:trPr>
        <w:tc>
          <w:tcPr>
            <w:tcW w:w="1295" w:type="dxa"/>
            <w:tcBorders>
              <w:top w:val="nil"/>
              <w:left w:val="nil"/>
              <w:bottom w:val="nil"/>
              <w:right w:val="nil"/>
            </w:tcBorders>
            <w:shd w:val="clear" w:color="auto" w:fill="auto"/>
            <w:noWrap/>
            <w:vAlign w:val="bottom"/>
            <w:hideMark/>
          </w:tcPr>
          <w:p w14:paraId="14DE46A4" w14:textId="77777777" w:rsidR="00367DB9" w:rsidRPr="00056BD0" w:rsidRDefault="00367DB9" w:rsidP="00FA51D3">
            <w:pPr>
              <w:spacing w:after="0" w:line="240" w:lineRule="auto"/>
              <w:rPr>
                <w:rFonts w:ascii="Times New Roman" w:eastAsia="Times New Roman" w:hAnsi="Times New Roman" w:cs="Times New Roman"/>
                <w:bCs/>
                <w:color w:val="000000"/>
              </w:rPr>
            </w:pPr>
            <w:proofErr w:type="spellStart"/>
            <w:r w:rsidRPr="00056BD0">
              <w:rPr>
                <w:rFonts w:ascii="Times New Roman" w:eastAsia="Times New Roman" w:hAnsi="Times New Roman" w:cs="Times New Roman"/>
                <w:bCs/>
                <w:color w:val="000000"/>
              </w:rPr>
              <w:t>CLm</w:t>
            </w:r>
            <w:proofErr w:type="spellEnd"/>
          </w:p>
        </w:tc>
        <w:tc>
          <w:tcPr>
            <w:tcW w:w="1191" w:type="dxa"/>
            <w:tcBorders>
              <w:top w:val="nil"/>
              <w:left w:val="nil"/>
              <w:bottom w:val="nil"/>
              <w:right w:val="nil"/>
            </w:tcBorders>
            <w:shd w:val="clear" w:color="auto" w:fill="auto"/>
            <w:noWrap/>
            <w:vAlign w:val="bottom"/>
            <w:hideMark/>
          </w:tcPr>
          <w:p w14:paraId="2E48C371"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w:t>
            </w:r>
          </w:p>
        </w:tc>
        <w:tc>
          <w:tcPr>
            <w:tcW w:w="1191" w:type="dxa"/>
            <w:tcBorders>
              <w:top w:val="nil"/>
              <w:left w:val="nil"/>
              <w:bottom w:val="nil"/>
              <w:right w:val="nil"/>
            </w:tcBorders>
            <w:shd w:val="clear" w:color="auto" w:fill="auto"/>
            <w:noWrap/>
            <w:vAlign w:val="bottom"/>
            <w:hideMark/>
          </w:tcPr>
          <w:p w14:paraId="387E92EE"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0.78 (0.93)</w:t>
            </w:r>
          </w:p>
        </w:tc>
        <w:tc>
          <w:tcPr>
            <w:tcW w:w="1191" w:type="dxa"/>
            <w:tcBorders>
              <w:top w:val="nil"/>
              <w:left w:val="nil"/>
              <w:bottom w:val="nil"/>
              <w:right w:val="nil"/>
            </w:tcBorders>
            <w:shd w:val="clear" w:color="auto" w:fill="auto"/>
            <w:noWrap/>
            <w:vAlign w:val="bottom"/>
            <w:hideMark/>
          </w:tcPr>
          <w:p w14:paraId="6AD775DF"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0.80 (0.95)</w:t>
            </w:r>
          </w:p>
        </w:tc>
        <w:tc>
          <w:tcPr>
            <w:tcW w:w="1191" w:type="dxa"/>
            <w:tcBorders>
              <w:top w:val="nil"/>
              <w:left w:val="nil"/>
              <w:bottom w:val="nil"/>
              <w:right w:val="nil"/>
            </w:tcBorders>
            <w:shd w:val="clear" w:color="auto" w:fill="auto"/>
            <w:noWrap/>
            <w:vAlign w:val="bottom"/>
            <w:hideMark/>
          </w:tcPr>
          <w:p w14:paraId="66D1DBCD"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0.79 (0.94)</w:t>
            </w:r>
          </w:p>
        </w:tc>
        <w:tc>
          <w:tcPr>
            <w:tcW w:w="1191" w:type="dxa"/>
            <w:tcBorders>
              <w:top w:val="nil"/>
              <w:left w:val="nil"/>
              <w:bottom w:val="nil"/>
              <w:right w:val="nil"/>
            </w:tcBorders>
            <w:shd w:val="clear" w:color="auto" w:fill="auto"/>
            <w:noWrap/>
            <w:vAlign w:val="bottom"/>
            <w:hideMark/>
          </w:tcPr>
          <w:p w14:paraId="1BEA47FA"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0.75 (0.91)</w:t>
            </w:r>
          </w:p>
        </w:tc>
        <w:tc>
          <w:tcPr>
            <w:tcW w:w="1191" w:type="dxa"/>
            <w:tcBorders>
              <w:top w:val="nil"/>
              <w:left w:val="nil"/>
              <w:bottom w:val="nil"/>
              <w:right w:val="nil"/>
            </w:tcBorders>
            <w:shd w:val="clear" w:color="auto" w:fill="auto"/>
            <w:noWrap/>
            <w:vAlign w:val="bottom"/>
            <w:hideMark/>
          </w:tcPr>
          <w:p w14:paraId="05D80902"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0.78 (0.93)</w:t>
            </w:r>
          </w:p>
        </w:tc>
        <w:tc>
          <w:tcPr>
            <w:tcW w:w="1191" w:type="dxa"/>
            <w:tcBorders>
              <w:top w:val="nil"/>
              <w:left w:val="nil"/>
              <w:bottom w:val="nil"/>
              <w:right w:val="nil"/>
            </w:tcBorders>
            <w:shd w:val="clear" w:color="auto" w:fill="auto"/>
            <w:noWrap/>
            <w:vAlign w:val="bottom"/>
            <w:hideMark/>
          </w:tcPr>
          <w:p w14:paraId="4BDE3445"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0.90 (0.98)</w:t>
            </w:r>
          </w:p>
        </w:tc>
      </w:tr>
      <w:tr w:rsidR="00367DB9" w:rsidRPr="00DE127F" w14:paraId="1E0975C7" w14:textId="77777777" w:rsidTr="00FA51D3">
        <w:trPr>
          <w:trHeight w:val="170"/>
        </w:trPr>
        <w:tc>
          <w:tcPr>
            <w:tcW w:w="1295" w:type="dxa"/>
            <w:tcBorders>
              <w:top w:val="nil"/>
              <w:left w:val="nil"/>
              <w:bottom w:val="nil"/>
              <w:right w:val="nil"/>
            </w:tcBorders>
            <w:shd w:val="clear" w:color="auto" w:fill="auto"/>
            <w:noWrap/>
            <w:vAlign w:val="bottom"/>
            <w:hideMark/>
          </w:tcPr>
          <w:p w14:paraId="4C12CB69" w14:textId="77777777" w:rsidR="00367DB9" w:rsidRPr="00056BD0" w:rsidRDefault="00367DB9" w:rsidP="00FA51D3">
            <w:pPr>
              <w:spacing w:after="0" w:line="240" w:lineRule="auto"/>
              <w:rPr>
                <w:rFonts w:ascii="Times New Roman" w:eastAsia="Times New Roman" w:hAnsi="Times New Roman" w:cs="Times New Roman"/>
                <w:bCs/>
                <w:color w:val="000000"/>
              </w:rPr>
            </w:pPr>
            <w:proofErr w:type="spellStart"/>
            <w:r w:rsidRPr="00056BD0">
              <w:rPr>
                <w:rFonts w:ascii="Times New Roman" w:eastAsia="Times New Roman" w:hAnsi="Times New Roman" w:cs="Times New Roman"/>
                <w:bCs/>
                <w:color w:val="000000"/>
              </w:rPr>
              <w:t>CLh</w:t>
            </w:r>
            <w:proofErr w:type="spellEnd"/>
          </w:p>
        </w:tc>
        <w:tc>
          <w:tcPr>
            <w:tcW w:w="1191" w:type="dxa"/>
            <w:tcBorders>
              <w:top w:val="nil"/>
              <w:left w:val="nil"/>
              <w:bottom w:val="nil"/>
              <w:right w:val="nil"/>
            </w:tcBorders>
            <w:shd w:val="clear" w:color="auto" w:fill="auto"/>
            <w:noWrap/>
            <w:vAlign w:val="bottom"/>
            <w:hideMark/>
          </w:tcPr>
          <w:p w14:paraId="081267CB"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0.78 (0.93)</w:t>
            </w:r>
          </w:p>
        </w:tc>
        <w:tc>
          <w:tcPr>
            <w:tcW w:w="1191" w:type="dxa"/>
            <w:tcBorders>
              <w:top w:val="nil"/>
              <w:left w:val="nil"/>
              <w:bottom w:val="nil"/>
              <w:right w:val="nil"/>
            </w:tcBorders>
            <w:shd w:val="clear" w:color="auto" w:fill="auto"/>
            <w:noWrap/>
            <w:vAlign w:val="bottom"/>
            <w:hideMark/>
          </w:tcPr>
          <w:p w14:paraId="452498C2"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w:t>
            </w:r>
          </w:p>
        </w:tc>
        <w:tc>
          <w:tcPr>
            <w:tcW w:w="1191" w:type="dxa"/>
            <w:tcBorders>
              <w:top w:val="nil"/>
              <w:left w:val="nil"/>
              <w:bottom w:val="nil"/>
              <w:right w:val="nil"/>
            </w:tcBorders>
            <w:shd w:val="clear" w:color="auto" w:fill="auto"/>
            <w:noWrap/>
            <w:vAlign w:val="bottom"/>
            <w:hideMark/>
          </w:tcPr>
          <w:p w14:paraId="2805254B"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0.62 (0.81)</w:t>
            </w:r>
          </w:p>
        </w:tc>
        <w:tc>
          <w:tcPr>
            <w:tcW w:w="1191" w:type="dxa"/>
            <w:tcBorders>
              <w:top w:val="nil"/>
              <w:left w:val="nil"/>
              <w:bottom w:val="nil"/>
              <w:right w:val="nil"/>
            </w:tcBorders>
            <w:shd w:val="clear" w:color="auto" w:fill="auto"/>
            <w:noWrap/>
            <w:vAlign w:val="bottom"/>
            <w:hideMark/>
          </w:tcPr>
          <w:p w14:paraId="6874676A"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0.79 (0.94)</w:t>
            </w:r>
          </w:p>
        </w:tc>
        <w:tc>
          <w:tcPr>
            <w:tcW w:w="1191" w:type="dxa"/>
            <w:tcBorders>
              <w:top w:val="nil"/>
              <w:left w:val="nil"/>
              <w:bottom w:val="nil"/>
              <w:right w:val="nil"/>
            </w:tcBorders>
            <w:shd w:val="clear" w:color="auto" w:fill="auto"/>
            <w:noWrap/>
            <w:vAlign w:val="bottom"/>
            <w:hideMark/>
          </w:tcPr>
          <w:p w14:paraId="54B03E0D"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0.80 (0.94)</w:t>
            </w:r>
          </w:p>
        </w:tc>
        <w:tc>
          <w:tcPr>
            <w:tcW w:w="1191" w:type="dxa"/>
            <w:tcBorders>
              <w:top w:val="nil"/>
              <w:left w:val="nil"/>
              <w:bottom w:val="nil"/>
              <w:right w:val="nil"/>
            </w:tcBorders>
            <w:shd w:val="clear" w:color="auto" w:fill="auto"/>
            <w:noWrap/>
            <w:vAlign w:val="bottom"/>
            <w:hideMark/>
          </w:tcPr>
          <w:p w14:paraId="08494BD2"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0.74 (0.90)</w:t>
            </w:r>
          </w:p>
        </w:tc>
        <w:tc>
          <w:tcPr>
            <w:tcW w:w="1191" w:type="dxa"/>
            <w:tcBorders>
              <w:top w:val="nil"/>
              <w:left w:val="nil"/>
              <w:bottom w:val="nil"/>
              <w:right w:val="nil"/>
            </w:tcBorders>
            <w:shd w:val="clear" w:color="auto" w:fill="auto"/>
            <w:noWrap/>
            <w:vAlign w:val="bottom"/>
            <w:hideMark/>
          </w:tcPr>
          <w:p w14:paraId="7EEE7B9F"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0.81 (0.95)</w:t>
            </w:r>
          </w:p>
        </w:tc>
      </w:tr>
      <w:tr w:rsidR="00367DB9" w:rsidRPr="00DE127F" w14:paraId="44243A62" w14:textId="77777777" w:rsidTr="00FA51D3">
        <w:trPr>
          <w:trHeight w:val="170"/>
        </w:trPr>
        <w:tc>
          <w:tcPr>
            <w:tcW w:w="1295" w:type="dxa"/>
            <w:tcBorders>
              <w:top w:val="nil"/>
              <w:left w:val="nil"/>
              <w:bottom w:val="nil"/>
              <w:right w:val="nil"/>
            </w:tcBorders>
            <w:shd w:val="clear" w:color="auto" w:fill="auto"/>
            <w:noWrap/>
            <w:vAlign w:val="bottom"/>
            <w:hideMark/>
          </w:tcPr>
          <w:p w14:paraId="6BF8263C" w14:textId="77777777" w:rsidR="00367DB9" w:rsidRPr="00056BD0" w:rsidRDefault="00367DB9" w:rsidP="00FA51D3">
            <w:pPr>
              <w:spacing w:after="0" w:line="240" w:lineRule="auto"/>
              <w:rPr>
                <w:rFonts w:ascii="Times New Roman" w:eastAsia="Times New Roman" w:hAnsi="Times New Roman" w:cs="Times New Roman"/>
                <w:bCs/>
                <w:color w:val="000000"/>
              </w:rPr>
            </w:pPr>
            <w:r w:rsidRPr="00056BD0">
              <w:rPr>
                <w:rFonts w:ascii="Times New Roman" w:eastAsia="Times New Roman" w:hAnsi="Times New Roman" w:cs="Times New Roman"/>
                <w:bCs/>
                <w:color w:val="000000"/>
              </w:rPr>
              <w:t>ABDC</w:t>
            </w:r>
          </w:p>
        </w:tc>
        <w:tc>
          <w:tcPr>
            <w:tcW w:w="1191" w:type="dxa"/>
            <w:tcBorders>
              <w:top w:val="nil"/>
              <w:left w:val="nil"/>
              <w:bottom w:val="nil"/>
              <w:right w:val="nil"/>
            </w:tcBorders>
            <w:shd w:val="clear" w:color="auto" w:fill="auto"/>
            <w:noWrap/>
            <w:vAlign w:val="bottom"/>
            <w:hideMark/>
          </w:tcPr>
          <w:p w14:paraId="29DFCEEC"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0.80 (0.95)</w:t>
            </w:r>
          </w:p>
        </w:tc>
        <w:tc>
          <w:tcPr>
            <w:tcW w:w="1191" w:type="dxa"/>
            <w:tcBorders>
              <w:top w:val="nil"/>
              <w:left w:val="nil"/>
              <w:bottom w:val="nil"/>
              <w:right w:val="nil"/>
            </w:tcBorders>
            <w:shd w:val="clear" w:color="auto" w:fill="auto"/>
            <w:noWrap/>
            <w:vAlign w:val="bottom"/>
            <w:hideMark/>
          </w:tcPr>
          <w:p w14:paraId="0A1208C8"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0.62 (0.81)</w:t>
            </w:r>
          </w:p>
        </w:tc>
        <w:tc>
          <w:tcPr>
            <w:tcW w:w="1191" w:type="dxa"/>
            <w:tcBorders>
              <w:top w:val="nil"/>
              <w:left w:val="nil"/>
              <w:bottom w:val="nil"/>
              <w:right w:val="nil"/>
            </w:tcBorders>
            <w:shd w:val="clear" w:color="auto" w:fill="auto"/>
            <w:noWrap/>
            <w:vAlign w:val="bottom"/>
            <w:hideMark/>
          </w:tcPr>
          <w:p w14:paraId="70E79A59"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w:t>
            </w:r>
          </w:p>
        </w:tc>
        <w:tc>
          <w:tcPr>
            <w:tcW w:w="1191" w:type="dxa"/>
            <w:tcBorders>
              <w:top w:val="nil"/>
              <w:left w:val="nil"/>
              <w:bottom w:val="nil"/>
              <w:right w:val="nil"/>
            </w:tcBorders>
            <w:shd w:val="clear" w:color="auto" w:fill="auto"/>
            <w:noWrap/>
            <w:vAlign w:val="bottom"/>
            <w:hideMark/>
          </w:tcPr>
          <w:p w14:paraId="0019434B"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0.70 (0.87)</w:t>
            </w:r>
          </w:p>
        </w:tc>
        <w:tc>
          <w:tcPr>
            <w:tcW w:w="1191" w:type="dxa"/>
            <w:tcBorders>
              <w:top w:val="nil"/>
              <w:left w:val="nil"/>
              <w:bottom w:val="nil"/>
              <w:right w:val="nil"/>
            </w:tcBorders>
            <w:shd w:val="clear" w:color="auto" w:fill="auto"/>
            <w:noWrap/>
            <w:vAlign w:val="bottom"/>
            <w:hideMark/>
          </w:tcPr>
          <w:p w14:paraId="64374A91"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0.64 (0.82)</w:t>
            </w:r>
          </w:p>
        </w:tc>
        <w:tc>
          <w:tcPr>
            <w:tcW w:w="1191" w:type="dxa"/>
            <w:tcBorders>
              <w:top w:val="nil"/>
              <w:left w:val="nil"/>
              <w:bottom w:val="nil"/>
              <w:right w:val="nil"/>
            </w:tcBorders>
            <w:shd w:val="clear" w:color="auto" w:fill="auto"/>
            <w:noWrap/>
            <w:vAlign w:val="bottom"/>
            <w:hideMark/>
          </w:tcPr>
          <w:p w14:paraId="383490F7"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0.78 (0.92)</w:t>
            </w:r>
          </w:p>
        </w:tc>
        <w:tc>
          <w:tcPr>
            <w:tcW w:w="1191" w:type="dxa"/>
            <w:tcBorders>
              <w:top w:val="nil"/>
              <w:left w:val="nil"/>
              <w:bottom w:val="nil"/>
              <w:right w:val="nil"/>
            </w:tcBorders>
            <w:shd w:val="clear" w:color="auto" w:fill="auto"/>
            <w:noWrap/>
            <w:vAlign w:val="bottom"/>
            <w:hideMark/>
          </w:tcPr>
          <w:p w14:paraId="53AA379C"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0.79 (0.93)</w:t>
            </w:r>
          </w:p>
        </w:tc>
      </w:tr>
      <w:tr w:rsidR="00367DB9" w:rsidRPr="00DE127F" w14:paraId="2842288B" w14:textId="77777777" w:rsidTr="00FA51D3">
        <w:trPr>
          <w:trHeight w:val="170"/>
        </w:trPr>
        <w:tc>
          <w:tcPr>
            <w:tcW w:w="1295" w:type="dxa"/>
            <w:tcBorders>
              <w:top w:val="nil"/>
              <w:left w:val="nil"/>
              <w:bottom w:val="nil"/>
              <w:right w:val="nil"/>
            </w:tcBorders>
            <w:shd w:val="clear" w:color="auto" w:fill="auto"/>
            <w:noWrap/>
            <w:vAlign w:val="bottom"/>
            <w:hideMark/>
          </w:tcPr>
          <w:p w14:paraId="3CE08BDB" w14:textId="77777777" w:rsidR="00367DB9" w:rsidRPr="00056BD0" w:rsidRDefault="00367DB9" w:rsidP="00FA51D3">
            <w:pPr>
              <w:spacing w:after="0" w:line="240" w:lineRule="auto"/>
              <w:rPr>
                <w:rFonts w:ascii="Times New Roman" w:eastAsia="Times New Roman" w:hAnsi="Times New Roman" w:cs="Times New Roman"/>
                <w:bCs/>
                <w:color w:val="000000"/>
              </w:rPr>
            </w:pPr>
            <w:proofErr w:type="spellStart"/>
            <w:r w:rsidRPr="00056BD0">
              <w:rPr>
                <w:rFonts w:ascii="Times New Roman" w:eastAsia="Times New Roman" w:hAnsi="Times New Roman" w:cs="Times New Roman"/>
                <w:bCs/>
                <w:color w:val="000000"/>
              </w:rPr>
              <w:t>Rsif</w:t>
            </w:r>
            <w:proofErr w:type="spellEnd"/>
          </w:p>
        </w:tc>
        <w:tc>
          <w:tcPr>
            <w:tcW w:w="1191" w:type="dxa"/>
            <w:tcBorders>
              <w:top w:val="nil"/>
              <w:left w:val="nil"/>
              <w:bottom w:val="nil"/>
              <w:right w:val="nil"/>
            </w:tcBorders>
            <w:shd w:val="clear" w:color="auto" w:fill="auto"/>
            <w:noWrap/>
            <w:vAlign w:val="bottom"/>
            <w:hideMark/>
          </w:tcPr>
          <w:p w14:paraId="0D622AA0"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0.79 (0.94)</w:t>
            </w:r>
          </w:p>
        </w:tc>
        <w:tc>
          <w:tcPr>
            <w:tcW w:w="1191" w:type="dxa"/>
            <w:tcBorders>
              <w:top w:val="nil"/>
              <w:left w:val="nil"/>
              <w:bottom w:val="nil"/>
              <w:right w:val="nil"/>
            </w:tcBorders>
            <w:shd w:val="clear" w:color="auto" w:fill="auto"/>
            <w:noWrap/>
            <w:vAlign w:val="bottom"/>
            <w:hideMark/>
          </w:tcPr>
          <w:p w14:paraId="0A09FC58"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0.79 (0.94)</w:t>
            </w:r>
          </w:p>
        </w:tc>
        <w:tc>
          <w:tcPr>
            <w:tcW w:w="1191" w:type="dxa"/>
            <w:tcBorders>
              <w:top w:val="nil"/>
              <w:left w:val="nil"/>
              <w:bottom w:val="nil"/>
              <w:right w:val="nil"/>
            </w:tcBorders>
            <w:shd w:val="clear" w:color="auto" w:fill="auto"/>
            <w:noWrap/>
            <w:vAlign w:val="bottom"/>
            <w:hideMark/>
          </w:tcPr>
          <w:p w14:paraId="3C2262A2"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0.70 (0.87)</w:t>
            </w:r>
          </w:p>
        </w:tc>
        <w:tc>
          <w:tcPr>
            <w:tcW w:w="1191" w:type="dxa"/>
            <w:tcBorders>
              <w:top w:val="nil"/>
              <w:left w:val="nil"/>
              <w:bottom w:val="nil"/>
              <w:right w:val="nil"/>
            </w:tcBorders>
            <w:shd w:val="clear" w:color="auto" w:fill="auto"/>
            <w:noWrap/>
            <w:vAlign w:val="bottom"/>
            <w:hideMark/>
          </w:tcPr>
          <w:p w14:paraId="0E2EB034"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w:t>
            </w:r>
          </w:p>
        </w:tc>
        <w:tc>
          <w:tcPr>
            <w:tcW w:w="1191" w:type="dxa"/>
            <w:tcBorders>
              <w:top w:val="nil"/>
              <w:left w:val="nil"/>
              <w:bottom w:val="nil"/>
              <w:right w:val="nil"/>
            </w:tcBorders>
            <w:shd w:val="clear" w:color="auto" w:fill="auto"/>
            <w:noWrap/>
            <w:vAlign w:val="bottom"/>
            <w:hideMark/>
          </w:tcPr>
          <w:p w14:paraId="302A7C14"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0.87 (0.97)</w:t>
            </w:r>
          </w:p>
        </w:tc>
        <w:tc>
          <w:tcPr>
            <w:tcW w:w="1191" w:type="dxa"/>
            <w:tcBorders>
              <w:top w:val="nil"/>
              <w:left w:val="nil"/>
              <w:bottom w:val="nil"/>
              <w:right w:val="nil"/>
            </w:tcBorders>
            <w:shd w:val="clear" w:color="auto" w:fill="auto"/>
            <w:noWrap/>
            <w:vAlign w:val="bottom"/>
            <w:hideMark/>
          </w:tcPr>
          <w:p w14:paraId="68E6E627"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0.81 (0.94)</w:t>
            </w:r>
          </w:p>
        </w:tc>
        <w:tc>
          <w:tcPr>
            <w:tcW w:w="1191" w:type="dxa"/>
            <w:tcBorders>
              <w:top w:val="nil"/>
              <w:left w:val="nil"/>
              <w:bottom w:val="nil"/>
              <w:right w:val="nil"/>
            </w:tcBorders>
            <w:shd w:val="clear" w:color="auto" w:fill="auto"/>
            <w:noWrap/>
            <w:vAlign w:val="bottom"/>
            <w:hideMark/>
          </w:tcPr>
          <w:p w14:paraId="7D184CAB"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0.87 (0.97)</w:t>
            </w:r>
          </w:p>
        </w:tc>
      </w:tr>
      <w:tr w:rsidR="00367DB9" w:rsidRPr="00DE127F" w14:paraId="0D4E47BF" w14:textId="77777777" w:rsidTr="00FA51D3">
        <w:trPr>
          <w:trHeight w:val="170"/>
        </w:trPr>
        <w:tc>
          <w:tcPr>
            <w:tcW w:w="1295" w:type="dxa"/>
            <w:tcBorders>
              <w:top w:val="nil"/>
              <w:left w:val="nil"/>
              <w:bottom w:val="nil"/>
              <w:right w:val="nil"/>
            </w:tcBorders>
            <w:shd w:val="clear" w:color="auto" w:fill="auto"/>
            <w:noWrap/>
            <w:vAlign w:val="bottom"/>
            <w:hideMark/>
          </w:tcPr>
          <w:p w14:paraId="0D1A300B" w14:textId="77777777" w:rsidR="00367DB9" w:rsidRPr="00056BD0" w:rsidRDefault="00367DB9" w:rsidP="00FA51D3">
            <w:pPr>
              <w:spacing w:after="0" w:line="240" w:lineRule="auto"/>
              <w:rPr>
                <w:rFonts w:ascii="Times New Roman" w:eastAsia="Times New Roman" w:hAnsi="Times New Roman" w:cs="Times New Roman"/>
                <w:bCs/>
                <w:color w:val="000000"/>
              </w:rPr>
            </w:pPr>
            <w:proofErr w:type="spellStart"/>
            <w:r w:rsidRPr="00056BD0">
              <w:rPr>
                <w:rFonts w:ascii="Times New Roman" w:eastAsia="Times New Roman" w:hAnsi="Times New Roman" w:cs="Times New Roman"/>
                <w:bCs/>
                <w:color w:val="000000"/>
              </w:rPr>
              <w:t>Rrec</w:t>
            </w:r>
            <w:proofErr w:type="spellEnd"/>
          </w:p>
        </w:tc>
        <w:tc>
          <w:tcPr>
            <w:tcW w:w="1191" w:type="dxa"/>
            <w:tcBorders>
              <w:top w:val="nil"/>
              <w:left w:val="nil"/>
              <w:bottom w:val="nil"/>
              <w:right w:val="nil"/>
            </w:tcBorders>
            <w:shd w:val="clear" w:color="auto" w:fill="auto"/>
            <w:noWrap/>
            <w:vAlign w:val="bottom"/>
            <w:hideMark/>
          </w:tcPr>
          <w:p w14:paraId="40B1DDC7"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0.75 (0.91)</w:t>
            </w:r>
          </w:p>
        </w:tc>
        <w:tc>
          <w:tcPr>
            <w:tcW w:w="1191" w:type="dxa"/>
            <w:tcBorders>
              <w:top w:val="nil"/>
              <w:left w:val="nil"/>
              <w:bottom w:val="nil"/>
              <w:right w:val="nil"/>
            </w:tcBorders>
            <w:shd w:val="clear" w:color="auto" w:fill="auto"/>
            <w:noWrap/>
            <w:vAlign w:val="bottom"/>
            <w:hideMark/>
          </w:tcPr>
          <w:p w14:paraId="0295F596"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0.80 (0.95)</w:t>
            </w:r>
          </w:p>
        </w:tc>
        <w:tc>
          <w:tcPr>
            <w:tcW w:w="1191" w:type="dxa"/>
            <w:tcBorders>
              <w:top w:val="nil"/>
              <w:left w:val="nil"/>
              <w:bottom w:val="nil"/>
              <w:right w:val="nil"/>
            </w:tcBorders>
            <w:shd w:val="clear" w:color="auto" w:fill="auto"/>
            <w:noWrap/>
            <w:vAlign w:val="bottom"/>
            <w:hideMark/>
          </w:tcPr>
          <w:p w14:paraId="4DFB2A3F"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0.64 (0.82)</w:t>
            </w:r>
          </w:p>
        </w:tc>
        <w:tc>
          <w:tcPr>
            <w:tcW w:w="1191" w:type="dxa"/>
            <w:tcBorders>
              <w:top w:val="nil"/>
              <w:left w:val="nil"/>
              <w:bottom w:val="nil"/>
              <w:right w:val="nil"/>
            </w:tcBorders>
            <w:shd w:val="clear" w:color="auto" w:fill="auto"/>
            <w:noWrap/>
            <w:vAlign w:val="bottom"/>
            <w:hideMark/>
          </w:tcPr>
          <w:p w14:paraId="379099EB"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0.87 (0.97)</w:t>
            </w:r>
          </w:p>
        </w:tc>
        <w:tc>
          <w:tcPr>
            <w:tcW w:w="1191" w:type="dxa"/>
            <w:tcBorders>
              <w:top w:val="nil"/>
              <w:left w:val="nil"/>
              <w:bottom w:val="nil"/>
              <w:right w:val="nil"/>
            </w:tcBorders>
            <w:shd w:val="clear" w:color="auto" w:fill="auto"/>
            <w:noWrap/>
            <w:vAlign w:val="bottom"/>
            <w:hideMark/>
          </w:tcPr>
          <w:p w14:paraId="416D8D7C"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w:t>
            </w:r>
          </w:p>
        </w:tc>
        <w:tc>
          <w:tcPr>
            <w:tcW w:w="1191" w:type="dxa"/>
            <w:tcBorders>
              <w:top w:val="nil"/>
              <w:left w:val="nil"/>
              <w:bottom w:val="nil"/>
              <w:right w:val="nil"/>
            </w:tcBorders>
            <w:shd w:val="clear" w:color="auto" w:fill="auto"/>
            <w:noWrap/>
            <w:vAlign w:val="bottom"/>
            <w:hideMark/>
          </w:tcPr>
          <w:p w14:paraId="22D9A1F8"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0.76 (0.91)</w:t>
            </w:r>
          </w:p>
        </w:tc>
        <w:tc>
          <w:tcPr>
            <w:tcW w:w="1191" w:type="dxa"/>
            <w:tcBorders>
              <w:top w:val="nil"/>
              <w:left w:val="nil"/>
              <w:bottom w:val="nil"/>
              <w:right w:val="nil"/>
            </w:tcBorders>
            <w:shd w:val="clear" w:color="auto" w:fill="auto"/>
            <w:noWrap/>
            <w:vAlign w:val="bottom"/>
            <w:hideMark/>
          </w:tcPr>
          <w:p w14:paraId="12276B5B"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0.83 (0.96)</w:t>
            </w:r>
          </w:p>
        </w:tc>
      </w:tr>
      <w:tr w:rsidR="00367DB9" w:rsidRPr="00DE127F" w14:paraId="1ED06065" w14:textId="77777777" w:rsidTr="007B4174">
        <w:trPr>
          <w:trHeight w:val="170"/>
        </w:trPr>
        <w:tc>
          <w:tcPr>
            <w:tcW w:w="1295" w:type="dxa"/>
            <w:tcBorders>
              <w:top w:val="nil"/>
              <w:left w:val="nil"/>
              <w:right w:val="nil"/>
            </w:tcBorders>
            <w:shd w:val="clear" w:color="auto" w:fill="auto"/>
            <w:noWrap/>
            <w:vAlign w:val="bottom"/>
            <w:hideMark/>
          </w:tcPr>
          <w:p w14:paraId="0F231B05" w14:textId="77777777" w:rsidR="00367DB9" w:rsidRPr="00056BD0" w:rsidRDefault="00367DB9" w:rsidP="00FA51D3">
            <w:pPr>
              <w:spacing w:after="0" w:line="240" w:lineRule="auto"/>
              <w:rPr>
                <w:rFonts w:ascii="Times New Roman" w:eastAsia="Times New Roman" w:hAnsi="Times New Roman" w:cs="Times New Roman"/>
                <w:bCs/>
                <w:color w:val="000000"/>
              </w:rPr>
            </w:pPr>
            <w:r w:rsidRPr="00056BD0">
              <w:rPr>
                <w:rFonts w:ascii="Times New Roman" w:eastAsia="Times New Roman" w:hAnsi="Times New Roman" w:cs="Times New Roman"/>
                <w:bCs/>
                <w:color w:val="000000"/>
              </w:rPr>
              <w:t>NZABDC</w:t>
            </w:r>
          </w:p>
        </w:tc>
        <w:tc>
          <w:tcPr>
            <w:tcW w:w="1191" w:type="dxa"/>
            <w:tcBorders>
              <w:top w:val="nil"/>
              <w:left w:val="nil"/>
              <w:right w:val="nil"/>
            </w:tcBorders>
            <w:shd w:val="clear" w:color="auto" w:fill="auto"/>
            <w:noWrap/>
            <w:vAlign w:val="bottom"/>
            <w:hideMark/>
          </w:tcPr>
          <w:p w14:paraId="50D03DDF"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0.78 (0.93)</w:t>
            </w:r>
          </w:p>
        </w:tc>
        <w:tc>
          <w:tcPr>
            <w:tcW w:w="1191" w:type="dxa"/>
            <w:tcBorders>
              <w:top w:val="nil"/>
              <w:left w:val="nil"/>
              <w:right w:val="nil"/>
            </w:tcBorders>
            <w:shd w:val="clear" w:color="auto" w:fill="auto"/>
            <w:noWrap/>
            <w:vAlign w:val="bottom"/>
            <w:hideMark/>
          </w:tcPr>
          <w:p w14:paraId="5FE2708C"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0.74 (0.90)</w:t>
            </w:r>
          </w:p>
        </w:tc>
        <w:tc>
          <w:tcPr>
            <w:tcW w:w="1191" w:type="dxa"/>
            <w:tcBorders>
              <w:top w:val="nil"/>
              <w:left w:val="nil"/>
              <w:right w:val="nil"/>
            </w:tcBorders>
            <w:shd w:val="clear" w:color="auto" w:fill="auto"/>
            <w:noWrap/>
            <w:vAlign w:val="bottom"/>
            <w:hideMark/>
          </w:tcPr>
          <w:p w14:paraId="0D049137"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0.78 (0.92)</w:t>
            </w:r>
          </w:p>
        </w:tc>
        <w:tc>
          <w:tcPr>
            <w:tcW w:w="1191" w:type="dxa"/>
            <w:tcBorders>
              <w:top w:val="nil"/>
              <w:left w:val="nil"/>
              <w:right w:val="nil"/>
            </w:tcBorders>
            <w:shd w:val="clear" w:color="auto" w:fill="auto"/>
            <w:noWrap/>
            <w:vAlign w:val="bottom"/>
            <w:hideMark/>
          </w:tcPr>
          <w:p w14:paraId="0343A31B"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0.81 (0.94)</w:t>
            </w:r>
          </w:p>
        </w:tc>
        <w:tc>
          <w:tcPr>
            <w:tcW w:w="1191" w:type="dxa"/>
            <w:tcBorders>
              <w:top w:val="nil"/>
              <w:left w:val="nil"/>
              <w:right w:val="nil"/>
            </w:tcBorders>
            <w:shd w:val="clear" w:color="auto" w:fill="auto"/>
            <w:noWrap/>
            <w:vAlign w:val="bottom"/>
            <w:hideMark/>
          </w:tcPr>
          <w:p w14:paraId="54D4F828"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0.76 (0.91)</w:t>
            </w:r>
          </w:p>
        </w:tc>
        <w:tc>
          <w:tcPr>
            <w:tcW w:w="1191" w:type="dxa"/>
            <w:tcBorders>
              <w:top w:val="nil"/>
              <w:left w:val="nil"/>
              <w:right w:val="nil"/>
            </w:tcBorders>
            <w:shd w:val="clear" w:color="auto" w:fill="auto"/>
            <w:noWrap/>
            <w:vAlign w:val="bottom"/>
            <w:hideMark/>
          </w:tcPr>
          <w:p w14:paraId="0940FCF7"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w:t>
            </w:r>
          </w:p>
        </w:tc>
        <w:tc>
          <w:tcPr>
            <w:tcW w:w="1191" w:type="dxa"/>
            <w:tcBorders>
              <w:top w:val="nil"/>
              <w:left w:val="nil"/>
              <w:right w:val="nil"/>
            </w:tcBorders>
            <w:shd w:val="clear" w:color="auto" w:fill="auto"/>
            <w:noWrap/>
            <w:vAlign w:val="bottom"/>
            <w:hideMark/>
          </w:tcPr>
          <w:p w14:paraId="1D353F76"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0.85 (0.94)</w:t>
            </w:r>
          </w:p>
        </w:tc>
      </w:tr>
      <w:tr w:rsidR="00367DB9" w:rsidRPr="00DE127F" w14:paraId="08B7C845" w14:textId="77777777" w:rsidTr="007B4174">
        <w:trPr>
          <w:trHeight w:val="170"/>
        </w:trPr>
        <w:tc>
          <w:tcPr>
            <w:tcW w:w="1295" w:type="dxa"/>
            <w:tcBorders>
              <w:top w:val="nil"/>
              <w:left w:val="nil"/>
              <w:bottom w:val="single" w:sz="4" w:space="0" w:color="auto"/>
              <w:right w:val="nil"/>
            </w:tcBorders>
            <w:shd w:val="clear" w:color="auto" w:fill="auto"/>
            <w:noWrap/>
            <w:vAlign w:val="bottom"/>
            <w:hideMark/>
          </w:tcPr>
          <w:p w14:paraId="3B0EC3F4" w14:textId="77777777" w:rsidR="00367DB9" w:rsidRPr="00056BD0" w:rsidRDefault="00367DB9" w:rsidP="00FA51D3">
            <w:pPr>
              <w:spacing w:after="0" w:line="240" w:lineRule="auto"/>
              <w:rPr>
                <w:rFonts w:ascii="Times New Roman" w:eastAsia="Times New Roman" w:hAnsi="Times New Roman" w:cs="Times New Roman"/>
                <w:bCs/>
                <w:color w:val="000000"/>
              </w:rPr>
            </w:pPr>
            <w:r w:rsidRPr="00056BD0">
              <w:rPr>
                <w:rFonts w:ascii="Times New Roman" w:eastAsia="Times New Roman" w:hAnsi="Times New Roman" w:cs="Times New Roman"/>
                <w:bCs/>
                <w:color w:val="000000"/>
              </w:rPr>
              <w:t>AVJWS</w:t>
            </w:r>
          </w:p>
        </w:tc>
        <w:tc>
          <w:tcPr>
            <w:tcW w:w="1191" w:type="dxa"/>
            <w:tcBorders>
              <w:top w:val="nil"/>
              <w:left w:val="nil"/>
              <w:bottom w:val="single" w:sz="4" w:space="0" w:color="auto"/>
              <w:right w:val="nil"/>
            </w:tcBorders>
            <w:shd w:val="clear" w:color="auto" w:fill="auto"/>
            <w:noWrap/>
            <w:vAlign w:val="bottom"/>
            <w:hideMark/>
          </w:tcPr>
          <w:p w14:paraId="4080497F"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0.90 (0.98)</w:t>
            </w:r>
          </w:p>
        </w:tc>
        <w:tc>
          <w:tcPr>
            <w:tcW w:w="1191" w:type="dxa"/>
            <w:tcBorders>
              <w:top w:val="nil"/>
              <w:left w:val="nil"/>
              <w:bottom w:val="single" w:sz="4" w:space="0" w:color="auto"/>
              <w:right w:val="nil"/>
            </w:tcBorders>
            <w:shd w:val="clear" w:color="auto" w:fill="auto"/>
            <w:noWrap/>
            <w:vAlign w:val="bottom"/>
            <w:hideMark/>
          </w:tcPr>
          <w:p w14:paraId="14906F85"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0.81 (0.95)</w:t>
            </w:r>
          </w:p>
        </w:tc>
        <w:tc>
          <w:tcPr>
            <w:tcW w:w="1191" w:type="dxa"/>
            <w:tcBorders>
              <w:top w:val="nil"/>
              <w:left w:val="nil"/>
              <w:bottom w:val="single" w:sz="4" w:space="0" w:color="auto"/>
              <w:right w:val="nil"/>
            </w:tcBorders>
            <w:shd w:val="clear" w:color="auto" w:fill="auto"/>
            <w:noWrap/>
            <w:vAlign w:val="bottom"/>
            <w:hideMark/>
          </w:tcPr>
          <w:p w14:paraId="041307C1"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0.79 (0.93)</w:t>
            </w:r>
          </w:p>
        </w:tc>
        <w:tc>
          <w:tcPr>
            <w:tcW w:w="1191" w:type="dxa"/>
            <w:tcBorders>
              <w:top w:val="nil"/>
              <w:left w:val="nil"/>
              <w:bottom w:val="single" w:sz="4" w:space="0" w:color="auto"/>
              <w:right w:val="nil"/>
            </w:tcBorders>
            <w:shd w:val="clear" w:color="auto" w:fill="auto"/>
            <w:noWrap/>
            <w:vAlign w:val="bottom"/>
            <w:hideMark/>
          </w:tcPr>
          <w:p w14:paraId="691D20B2"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0.87 (0.97)</w:t>
            </w:r>
          </w:p>
        </w:tc>
        <w:tc>
          <w:tcPr>
            <w:tcW w:w="1191" w:type="dxa"/>
            <w:tcBorders>
              <w:top w:val="nil"/>
              <w:left w:val="nil"/>
              <w:bottom w:val="single" w:sz="4" w:space="0" w:color="auto"/>
              <w:right w:val="nil"/>
            </w:tcBorders>
            <w:shd w:val="clear" w:color="auto" w:fill="auto"/>
            <w:noWrap/>
            <w:vAlign w:val="bottom"/>
            <w:hideMark/>
          </w:tcPr>
          <w:p w14:paraId="1D7C459A"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0.83 (0.96)</w:t>
            </w:r>
          </w:p>
        </w:tc>
        <w:tc>
          <w:tcPr>
            <w:tcW w:w="1191" w:type="dxa"/>
            <w:tcBorders>
              <w:top w:val="nil"/>
              <w:left w:val="nil"/>
              <w:bottom w:val="single" w:sz="4" w:space="0" w:color="auto"/>
              <w:right w:val="nil"/>
            </w:tcBorders>
            <w:shd w:val="clear" w:color="auto" w:fill="auto"/>
            <w:noWrap/>
            <w:vAlign w:val="bottom"/>
            <w:hideMark/>
          </w:tcPr>
          <w:p w14:paraId="4386DEDD"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0.85 (0.97)</w:t>
            </w:r>
          </w:p>
        </w:tc>
        <w:tc>
          <w:tcPr>
            <w:tcW w:w="1191" w:type="dxa"/>
            <w:tcBorders>
              <w:top w:val="nil"/>
              <w:left w:val="nil"/>
              <w:bottom w:val="single" w:sz="4" w:space="0" w:color="auto"/>
              <w:right w:val="nil"/>
            </w:tcBorders>
            <w:shd w:val="clear" w:color="auto" w:fill="auto"/>
            <w:noWrap/>
            <w:vAlign w:val="bottom"/>
            <w:hideMark/>
          </w:tcPr>
          <w:p w14:paraId="2820ADC9"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w:t>
            </w:r>
          </w:p>
        </w:tc>
      </w:tr>
      <w:tr w:rsidR="00367DB9" w:rsidRPr="00DE127F" w14:paraId="7BFA5D4C" w14:textId="77777777" w:rsidTr="007B4174">
        <w:trPr>
          <w:trHeight w:val="454"/>
        </w:trPr>
        <w:tc>
          <w:tcPr>
            <w:tcW w:w="9632" w:type="dxa"/>
            <w:gridSpan w:val="8"/>
            <w:tcBorders>
              <w:top w:val="single" w:sz="4" w:space="0" w:color="auto"/>
              <w:left w:val="nil"/>
              <w:bottom w:val="single" w:sz="4" w:space="0" w:color="auto"/>
              <w:right w:val="nil"/>
            </w:tcBorders>
            <w:shd w:val="clear" w:color="auto" w:fill="auto"/>
            <w:noWrap/>
            <w:vAlign w:val="center"/>
            <w:hideMark/>
          </w:tcPr>
          <w:p w14:paraId="5DE7F5BB" w14:textId="77777777" w:rsidR="007B4174" w:rsidRDefault="007B4174" w:rsidP="000610B1">
            <w:pPr>
              <w:pStyle w:val="ListParagraph"/>
              <w:spacing w:after="0" w:line="240" w:lineRule="auto"/>
              <w:ind w:left="49"/>
              <w:rPr>
                <w:rFonts w:ascii="Times New Roman" w:eastAsia="Times New Roman" w:hAnsi="Times New Roman" w:cs="Times New Roman"/>
                <w:b/>
                <w:bCs/>
              </w:rPr>
            </w:pPr>
          </w:p>
          <w:p w14:paraId="55F50058" w14:textId="77777777" w:rsidR="00D44F6C" w:rsidRDefault="00D44F6C" w:rsidP="007B4174">
            <w:pPr>
              <w:pStyle w:val="ListParagraph"/>
              <w:spacing w:after="80" w:line="240" w:lineRule="auto"/>
              <w:ind w:left="51"/>
              <w:jc w:val="center"/>
              <w:rPr>
                <w:rFonts w:ascii="Times New Roman" w:eastAsia="Times New Roman" w:hAnsi="Times New Roman" w:cs="Times New Roman"/>
                <w:b/>
                <w:bCs/>
              </w:rPr>
            </w:pPr>
          </w:p>
          <w:p w14:paraId="3132913B" w14:textId="4A91F9EE" w:rsidR="00367DB9" w:rsidRPr="000610B1" w:rsidRDefault="000610B1" w:rsidP="007B4174">
            <w:pPr>
              <w:pStyle w:val="ListParagraph"/>
              <w:spacing w:after="80" w:line="240" w:lineRule="auto"/>
              <w:ind w:left="51"/>
              <w:jc w:val="center"/>
              <w:rPr>
                <w:rFonts w:ascii="Times New Roman" w:eastAsia="Times New Roman" w:hAnsi="Times New Roman" w:cs="Times New Roman"/>
                <w:b/>
                <w:bCs/>
              </w:rPr>
            </w:pPr>
            <w:r w:rsidRPr="000610B1">
              <w:rPr>
                <w:rFonts w:ascii="Times New Roman" w:eastAsia="Times New Roman" w:hAnsi="Times New Roman" w:cs="Times New Roman"/>
                <w:b/>
                <w:bCs/>
              </w:rPr>
              <w:t>Table 4(b)</w:t>
            </w:r>
            <w:r w:rsidR="00B52297">
              <w:rPr>
                <w:rFonts w:ascii="Times New Roman" w:eastAsia="Times New Roman" w:hAnsi="Times New Roman" w:cs="Times New Roman"/>
                <w:b/>
                <w:bCs/>
              </w:rPr>
              <w:t>:</w:t>
            </w:r>
            <w:r w:rsidRPr="000610B1">
              <w:rPr>
                <w:rFonts w:ascii="Times New Roman" w:eastAsia="Times New Roman" w:hAnsi="Times New Roman" w:cs="Times New Roman"/>
                <w:b/>
                <w:bCs/>
              </w:rPr>
              <w:t xml:space="preserve"> </w:t>
            </w:r>
            <w:r>
              <w:rPr>
                <w:rFonts w:ascii="Times New Roman" w:eastAsia="Times New Roman" w:hAnsi="Times New Roman" w:cs="Times New Roman"/>
                <w:b/>
                <w:bCs/>
              </w:rPr>
              <w:t>Percentage of Discordant Pairs, Active Staff, Share Adjusted Papers, V</w:t>
            </w:r>
            <w:r w:rsidR="00367DB9" w:rsidRPr="000610B1">
              <w:rPr>
                <w:rFonts w:ascii="Times New Roman" w:eastAsia="Times New Roman" w:hAnsi="Times New Roman" w:cs="Times New Roman"/>
                <w:b/>
                <w:bCs/>
              </w:rPr>
              <w:t>arious JWS</w:t>
            </w:r>
          </w:p>
        </w:tc>
      </w:tr>
      <w:tr w:rsidR="00367DB9" w:rsidRPr="00DE127F" w14:paraId="2FC03799" w14:textId="77777777" w:rsidTr="007B4174">
        <w:trPr>
          <w:trHeight w:val="170"/>
        </w:trPr>
        <w:tc>
          <w:tcPr>
            <w:tcW w:w="1295" w:type="dxa"/>
            <w:tcBorders>
              <w:top w:val="single" w:sz="4" w:space="0" w:color="auto"/>
              <w:left w:val="nil"/>
              <w:bottom w:val="single" w:sz="4" w:space="0" w:color="auto"/>
              <w:right w:val="nil"/>
            </w:tcBorders>
            <w:shd w:val="clear" w:color="auto" w:fill="auto"/>
            <w:noWrap/>
            <w:vAlign w:val="bottom"/>
            <w:hideMark/>
          </w:tcPr>
          <w:p w14:paraId="4EDA16C8" w14:textId="77777777" w:rsidR="00367DB9" w:rsidRPr="00056BD0" w:rsidRDefault="00367DB9" w:rsidP="00FA51D3">
            <w:pPr>
              <w:spacing w:after="0" w:line="240" w:lineRule="auto"/>
              <w:rPr>
                <w:rFonts w:ascii="Times New Roman" w:eastAsia="Times New Roman" w:hAnsi="Times New Roman" w:cs="Times New Roman"/>
                <w:bCs/>
              </w:rPr>
            </w:pPr>
          </w:p>
        </w:tc>
        <w:tc>
          <w:tcPr>
            <w:tcW w:w="1191" w:type="dxa"/>
            <w:tcBorders>
              <w:top w:val="single" w:sz="4" w:space="0" w:color="auto"/>
              <w:left w:val="nil"/>
              <w:bottom w:val="single" w:sz="4" w:space="0" w:color="auto"/>
              <w:right w:val="nil"/>
            </w:tcBorders>
            <w:shd w:val="clear" w:color="auto" w:fill="auto"/>
            <w:noWrap/>
            <w:vAlign w:val="bottom"/>
            <w:hideMark/>
          </w:tcPr>
          <w:p w14:paraId="1FA8DF55" w14:textId="77777777" w:rsidR="00367DB9" w:rsidRPr="00056BD0" w:rsidRDefault="00367DB9" w:rsidP="00FA51D3">
            <w:pPr>
              <w:spacing w:after="0" w:line="240" w:lineRule="auto"/>
              <w:jc w:val="center"/>
              <w:rPr>
                <w:rFonts w:ascii="Times New Roman" w:eastAsia="Times New Roman" w:hAnsi="Times New Roman" w:cs="Times New Roman"/>
                <w:bCs/>
                <w:color w:val="000000"/>
              </w:rPr>
            </w:pPr>
            <w:proofErr w:type="spellStart"/>
            <w:r w:rsidRPr="00056BD0">
              <w:rPr>
                <w:rFonts w:ascii="Times New Roman" w:eastAsia="Times New Roman" w:hAnsi="Times New Roman" w:cs="Times New Roman"/>
                <w:bCs/>
                <w:color w:val="000000"/>
              </w:rPr>
              <w:t>CLm</w:t>
            </w:r>
            <w:proofErr w:type="spellEnd"/>
          </w:p>
        </w:tc>
        <w:tc>
          <w:tcPr>
            <w:tcW w:w="1191" w:type="dxa"/>
            <w:tcBorders>
              <w:top w:val="single" w:sz="4" w:space="0" w:color="auto"/>
              <w:left w:val="nil"/>
              <w:bottom w:val="single" w:sz="4" w:space="0" w:color="auto"/>
              <w:right w:val="nil"/>
            </w:tcBorders>
            <w:shd w:val="clear" w:color="auto" w:fill="auto"/>
            <w:noWrap/>
            <w:vAlign w:val="bottom"/>
            <w:hideMark/>
          </w:tcPr>
          <w:p w14:paraId="2C8C9034" w14:textId="77777777" w:rsidR="00367DB9" w:rsidRPr="00056BD0" w:rsidRDefault="00367DB9" w:rsidP="00FA51D3">
            <w:pPr>
              <w:spacing w:after="0" w:line="240" w:lineRule="auto"/>
              <w:jc w:val="center"/>
              <w:rPr>
                <w:rFonts w:ascii="Times New Roman" w:eastAsia="Times New Roman" w:hAnsi="Times New Roman" w:cs="Times New Roman"/>
                <w:bCs/>
                <w:color w:val="000000"/>
              </w:rPr>
            </w:pPr>
            <w:proofErr w:type="spellStart"/>
            <w:r w:rsidRPr="00056BD0">
              <w:rPr>
                <w:rFonts w:ascii="Times New Roman" w:eastAsia="Times New Roman" w:hAnsi="Times New Roman" w:cs="Times New Roman"/>
                <w:bCs/>
                <w:color w:val="000000"/>
              </w:rPr>
              <w:t>CLh</w:t>
            </w:r>
            <w:proofErr w:type="spellEnd"/>
          </w:p>
        </w:tc>
        <w:tc>
          <w:tcPr>
            <w:tcW w:w="1191" w:type="dxa"/>
            <w:tcBorders>
              <w:top w:val="single" w:sz="4" w:space="0" w:color="auto"/>
              <w:left w:val="nil"/>
              <w:bottom w:val="single" w:sz="4" w:space="0" w:color="auto"/>
              <w:right w:val="nil"/>
            </w:tcBorders>
            <w:shd w:val="clear" w:color="auto" w:fill="auto"/>
            <w:noWrap/>
            <w:vAlign w:val="bottom"/>
            <w:hideMark/>
          </w:tcPr>
          <w:p w14:paraId="2784E9F1" w14:textId="77777777" w:rsidR="00367DB9" w:rsidRPr="00056BD0" w:rsidRDefault="00367DB9" w:rsidP="00FA51D3">
            <w:pPr>
              <w:spacing w:after="0" w:line="240" w:lineRule="auto"/>
              <w:jc w:val="center"/>
              <w:rPr>
                <w:rFonts w:ascii="Times New Roman" w:eastAsia="Times New Roman" w:hAnsi="Times New Roman" w:cs="Times New Roman"/>
                <w:bCs/>
                <w:color w:val="000000"/>
              </w:rPr>
            </w:pPr>
            <w:r w:rsidRPr="00056BD0">
              <w:rPr>
                <w:rFonts w:ascii="Times New Roman" w:eastAsia="Times New Roman" w:hAnsi="Times New Roman" w:cs="Times New Roman"/>
                <w:bCs/>
                <w:color w:val="000000"/>
              </w:rPr>
              <w:t>ABDC</w:t>
            </w:r>
          </w:p>
        </w:tc>
        <w:tc>
          <w:tcPr>
            <w:tcW w:w="1191" w:type="dxa"/>
            <w:tcBorders>
              <w:top w:val="single" w:sz="4" w:space="0" w:color="auto"/>
              <w:left w:val="nil"/>
              <w:bottom w:val="single" w:sz="4" w:space="0" w:color="auto"/>
              <w:right w:val="nil"/>
            </w:tcBorders>
            <w:shd w:val="clear" w:color="auto" w:fill="auto"/>
            <w:noWrap/>
            <w:vAlign w:val="bottom"/>
            <w:hideMark/>
          </w:tcPr>
          <w:p w14:paraId="310F8E3B" w14:textId="77777777" w:rsidR="00367DB9" w:rsidRPr="00056BD0" w:rsidRDefault="00367DB9" w:rsidP="00FA51D3">
            <w:pPr>
              <w:spacing w:after="0" w:line="240" w:lineRule="auto"/>
              <w:jc w:val="center"/>
              <w:rPr>
                <w:rFonts w:ascii="Times New Roman" w:eastAsia="Times New Roman" w:hAnsi="Times New Roman" w:cs="Times New Roman"/>
                <w:bCs/>
                <w:color w:val="000000"/>
              </w:rPr>
            </w:pPr>
            <w:proofErr w:type="spellStart"/>
            <w:r w:rsidRPr="00056BD0">
              <w:rPr>
                <w:rFonts w:ascii="Times New Roman" w:eastAsia="Times New Roman" w:hAnsi="Times New Roman" w:cs="Times New Roman"/>
                <w:bCs/>
                <w:color w:val="000000"/>
              </w:rPr>
              <w:t>Rsif</w:t>
            </w:r>
            <w:proofErr w:type="spellEnd"/>
          </w:p>
        </w:tc>
        <w:tc>
          <w:tcPr>
            <w:tcW w:w="1191" w:type="dxa"/>
            <w:tcBorders>
              <w:top w:val="single" w:sz="4" w:space="0" w:color="auto"/>
              <w:left w:val="nil"/>
              <w:bottom w:val="single" w:sz="4" w:space="0" w:color="auto"/>
              <w:right w:val="nil"/>
            </w:tcBorders>
            <w:shd w:val="clear" w:color="auto" w:fill="auto"/>
            <w:noWrap/>
            <w:vAlign w:val="bottom"/>
            <w:hideMark/>
          </w:tcPr>
          <w:p w14:paraId="3CD03271" w14:textId="77777777" w:rsidR="00367DB9" w:rsidRPr="00056BD0" w:rsidRDefault="00367DB9" w:rsidP="00FA51D3">
            <w:pPr>
              <w:spacing w:after="0" w:line="240" w:lineRule="auto"/>
              <w:jc w:val="center"/>
              <w:rPr>
                <w:rFonts w:ascii="Times New Roman" w:eastAsia="Times New Roman" w:hAnsi="Times New Roman" w:cs="Times New Roman"/>
                <w:bCs/>
                <w:color w:val="000000"/>
              </w:rPr>
            </w:pPr>
            <w:proofErr w:type="spellStart"/>
            <w:r w:rsidRPr="00056BD0">
              <w:rPr>
                <w:rFonts w:ascii="Times New Roman" w:eastAsia="Times New Roman" w:hAnsi="Times New Roman" w:cs="Times New Roman"/>
                <w:bCs/>
                <w:color w:val="000000"/>
              </w:rPr>
              <w:t>Rrec</w:t>
            </w:r>
            <w:proofErr w:type="spellEnd"/>
          </w:p>
        </w:tc>
        <w:tc>
          <w:tcPr>
            <w:tcW w:w="1191" w:type="dxa"/>
            <w:tcBorders>
              <w:top w:val="single" w:sz="4" w:space="0" w:color="auto"/>
              <w:left w:val="nil"/>
              <w:bottom w:val="single" w:sz="4" w:space="0" w:color="auto"/>
              <w:right w:val="nil"/>
            </w:tcBorders>
            <w:shd w:val="clear" w:color="auto" w:fill="auto"/>
            <w:noWrap/>
            <w:vAlign w:val="bottom"/>
            <w:hideMark/>
          </w:tcPr>
          <w:p w14:paraId="1A2BFE0F" w14:textId="77777777" w:rsidR="00367DB9" w:rsidRPr="00056BD0" w:rsidRDefault="00367DB9" w:rsidP="00FA51D3">
            <w:pPr>
              <w:spacing w:after="0" w:line="240" w:lineRule="auto"/>
              <w:jc w:val="center"/>
              <w:rPr>
                <w:rFonts w:ascii="Times New Roman" w:eastAsia="Times New Roman" w:hAnsi="Times New Roman" w:cs="Times New Roman"/>
                <w:bCs/>
                <w:color w:val="000000"/>
              </w:rPr>
            </w:pPr>
            <w:r w:rsidRPr="00056BD0">
              <w:rPr>
                <w:rFonts w:ascii="Times New Roman" w:eastAsia="Times New Roman" w:hAnsi="Times New Roman" w:cs="Times New Roman"/>
                <w:bCs/>
                <w:color w:val="000000"/>
              </w:rPr>
              <w:t>NZABDC</w:t>
            </w:r>
          </w:p>
        </w:tc>
        <w:tc>
          <w:tcPr>
            <w:tcW w:w="1191" w:type="dxa"/>
            <w:tcBorders>
              <w:top w:val="single" w:sz="4" w:space="0" w:color="auto"/>
              <w:left w:val="nil"/>
              <w:bottom w:val="single" w:sz="4" w:space="0" w:color="auto"/>
              <w:right w:val="nil"/>
            </w:tcBorders>
            <w:shd w:val="clear" w:color="auto" w:fill="auto"/>
            <w:noWrap/>
            <w:vAlign w:val="bottom"/>
            <w:hideMark/>
          </w:tcPr>
          <w:p w14:paraId="24BE333B" w14:textId="77777777" w:rsidR="00367DB9" w:rsidRPr="00056BD0" w:rsidRDefault="00367DB9" w:rsidP="00FA51D3">
            <w:pPr>
              <w:spacing w:after="0" w:line="240" w:lineRule="auto"/>
              <w:jc w:val="center"/>
              <w:rPr>
                <w:rFonts w:ascii="Times New Roman" w:eastAsia="Times New Roman" w:hAnsi="Times New Roman" w:cs="Times New Roman"/>
                <w:bCs/>
                <w:color w:val="000000"/>
              </w:rPr>
            </w:pPr>
            <w:r w:rsidRPr="00056BD0">
              <w:rPr>
                <w:rFonts w:ascii="Times New Roman" w:eastAsia="Times New Roman" w:hAnsi="Times New Roman" w:cs="Times New Roman"/>
                <w:bCs/>
                <w:color w:val="000000"/>
              </w:rPr>
              <w:t>AVJWS</w:t>
            </w:r>
          </w:p>
        </w:tc>
      </w:tr>
      <w:tr w:rsidR="00367DB9" w:rsidRPr="00DE127F" w14:paraId="693BFB25" w14:textId="77777777" w:rsidTr="00FA51D3">
        <w:trPr>
          <w:trHeight w:val="170"/>
        </w:trPr>
        <w:tc>
          <w:tcPr>
            <w:tcW w:w="1295" w:type="dxa"/>
            <w:tcBorders>
              <w:top w:val="nil"/>
              <w:left w:val="nil"/>
              <w:bottom w:val="nil"/>
              <w:right w:val="nil"/>
            </w:tcBorders>
            <w:shd w:val="clear" w:color="auto" w:fill="auto"/>
            <w:noWrap/>
            <w:vAlign w:val="bottom"/>
            <w:hideMark/>
          </w:tcPr>
          <w:p w14:paraId="12140DAD" w14:textId="77777777" w:rsidR="00367DB9" w:rsidRPr="00056BD0" w:rsidRDefault="00367DB9" w:rsidP="00FA51D3">
            <w:pPr>
              <w:spacing w:after="0" w:line="240" w:lineRule="auto"/>
              <w:rPr>
                <w:rFonts w:ascii="Times New Roman" w:eastAsia="Times New Roman" w:hAnsi="Times New Roman" w:cs="Times New Roman"/>
                <w:bCs/>
                <w:color w:val="000000"/>
              </w:rPr>
            </w:pPr>
            <w:proofErr w:type="spellStart"/>
            <w:r w:rsidRPr="00056BD0">
              <w:rPr>
                <w:rFonts w:ascii="Times New Roman" w:eastAsia="Times New Roman" w:hAnsi="Times New Roman" w:cs="Times New Roman"/>
                <w:bCs/>
                <w:color w:val="000000"/>
              </w:rPr>
              <w:t>CLm</w:t>
            </w:r>
            <w:proofErr w:type="spellEnd"/>
          </w:p>
        </w:tc>
        <w:tc>
          <w:tcPr>
            <w:tcW w:w="1191" w:type="dxa"/>
            <w:tcBorders>
              <w:top w:val="nil"/>
              <w:left w:val="nil"/>
              <w:bottom w:val="nil"/>
              <w:right w:val="nil"/>
            </w:tcBorders>
            <w:shd w:val="clear" w:color="auto" w:fill="auto"/>
            <w:noWrap/>
            <w:vAlign w:val="bottom"/>
            <w:hideMark/>
          </w:tcPr>
          <w:p w14:paraId="265D6ED4"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0.00</w:t>
            </w:r>
          </w:p>
        </w:tc>
        <w:tc>
          <w:tcPr>
            <w:tcW w:w="1191" w:type="dxa"/>
            <w:tcBorders>
              <w:top w:val="nil"/>
              <w:left w:val="nil"/>
              <w:bottom w:val="nil"/>
              <w:right w:val="nil"/>
            </w:tcBorders>
            <w:shd w:val="clear" w:color="auto" w:fill="auto"/>
            <w:noWrap/>
            <w:vAlign w:val="bottom"/>
            <w:hideMark/>
          </w:tcPr>
          <w:p w14:paraId="697191B5"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10.78</w:t>
            </w:r>
          </w:p>
        </w:tc>
        <w:tc>
          <w:tcPr>
            <w:tcW w:w="1191" w:type="dxa"/>
            <w:tcBorders>
              <w:top w:val="nil"/>
              <w:left w:val="nil"/>
              <w:bottom w:val="nil"/>
              <w:right w:val="nil"/>
            </w:tcBorders>
            <w:shd w:val="clear" w:color="auto" w:fill="auto"/>
            <w:noWrap/>
            <w:vAlign w:val="bottom"/>
            <w:hideMark/>
          </w:tcPr>
          <w:p w14:paraId="44EFACAA"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9.69</w:t>
            </w:r>
          </w:p>
        </w:tc>
        <w:tc>
          <w:tcPr>
            <w:tcW w:w="1191" w:type="dxa"/>
            <w:tcBorders>
              <w:top w:val="nil"/>
              <w:left w:val="nil"/>
              <w:bottom w:val="nil"/>
              <w:right w:val="nil"/>
            </w:tcBorders>
            <w:shd w:val="clear" w:color="auto" w:fill="auto"/>
            <w:noWrap/>
            <w:vAlign w:val="bottom"/>
            <w:hideMark/>
          </w:tcPr>
          <w:p w14:paraId="39BFBC6A"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10.19</w:t>
            </w:r>
          </w:p>
        </w:tc>
        <w:tc>
          <w:tcPr>
            <w:tcW w:w="1191" w:type="dxa"/>
            <w:tcBorders>
              <w:top w:val="nil"/>
              <w:left w:val="nil"/>
              <w:bottom w:val="nil"/>
              <w:right w:val="nil"/>
            </w:tcBorders>
            <w:shd w:val="clear" w:color="auto" w:fill="auto"/>
            <w:noWrap/>
            <w:vAlign w:val="bottom"/>
            <w:hideMark/>
          </w:tcPr>
          <w:p w14:paraId="0BAC135D"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12.48</w:t>
            </w:r>
          </w:p>
        </w:tc>
        <w:tc>
          <w:tcPr>
            <w:tcW w:w="1191" w:type="dxa"/>
            <w:tcBorders>
              <w:top w:val="nil"/>
              <w:left w:val="nil"/>
              <w:bottom w:val="nil"/>
              <w:right w:val="nil"/>
            </w:tcBorders>
            <w:shd w:val="clear" w:color="auto" w:fill="auto"/>
            <w:noWrap/>
            <w:vAlign w:val="bottom"/>
            <w:hideMark/>
          </w:tcPr>
          <w:p w14:paraId="636F9CFE"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11.08</w:t>
            </w:r>
          </w:p>
        </w:tc>
        <w:tc>
          <w:tcPr>
            <w:tcW w:w="1191" w:type="dxa"/>
            <w:tcBorders>
              <w:top w:val="nil"/>
              <w:left w:val="nil"/>
              <w:bottom w:val="nil"/>
              <w:right w:val="nil"/>
            </w:tcBorders>
            <w:shd w:val="clear" w:color="auto" w:fill="auto"/>
            <w:noWrap/>
            <w:vAlign w:val="bottom"/>
            <w:hideMark/>
          </w:tcPr>
          <w:p w14:paraId="4BE69DAE"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4.96</w:t>
            </w:r>
          </w:p>
        </w:tc>
      </w:tr>
      <w:tr w:rsidR="00367DB9" w:rsidRPr="00DE127F" w14:paraId="38C721C2" w14:textId="77777777" w:rsidTr="00FA51D3">
        <w:trPr>
          <w:trHeight w:val="170"/>
        </w:trPr>
        <w:tc>
          <w:tcPr>
            <w:tcW w:w="1295" w:type="dxa"/>
            <w:tcBorders>
              <w:top w:val="nil"/>
              <w:left w:val="nil"/>
              <w:bottom w:val="nil"/>
              <w:right w:val="nil"/>
            </w:tcBorders>
            <w:shd w:val="clear" w:color="auto" w:fill="auto"/>
            <w:noWrap/>
            <w:vAlign w:val="bottom"/>
            <w:hideMark/>
          </w:tcPr>
          <w:p w14:paraId="3D1E999A" w14:textId="77777777" w:rsidR="00367DB9" w:rsidRPr="00056BD0" w:rsidRDefault="00367DB9" w:rsidP="00FA51D3">
            <w:pPr>
              <w:spacing w:after="0" w:line="240" w:lineRule="auto"/>
              <w:rPr>
                <w:rFonts w:ascii="Times New Roman" w:eastAsia="Times New Roman" w:hAnsi="Times New Roman" w:cs="Times New Roman"/>
                <w:bCs/>
                <w:color w:val="000000"/>
              </w:rPr>
            </w:pPr>
            <w:proofErr w:type="spellStart"/>
            <w:r w:rsidRPr="00056BD0">
              <w:rPr>
                <w:rFonts w:ascii="Times New Roman" w:eastAsia="Times New Roman" w:hAnsi="Times New Roman" w:cs="Times New Roman"/>
                <w:bCs/>
                <w:color w:val="000000"/>
              </w:rPr>
              <w:t>CLh</w:t>
            </w:r>
            <w:proofErr w:type="spellEnd"/>
          </w:p>
        </w:tc>
        <w:tc>
          <w:tcPr>
            <w:tcW w:w="1191" w:type="dxa"/>
            <w:tcBorders>
              <w:top w:val="nil"/>
              <w:left w:val="nil"/>
              <w:bottom w:val="nil"/>
              <w:right w:val="nil"/>
            </w:tcBorders>
            <w:shd w:val="clear" w:color="auto" w:fill="auto"/>
            <w:noWrap/>
            <w:vAlign w:val="bottom"/>
            <w:hideMark/>
          </w:tcPr>
          <w:p w14:paraId="59F776A5"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10.78</w:t>
            </w:r>
          </w:p>
        </w:tc>
        <w:tc>
          <w:tcPr>
            <w:tcW w:w="1191" w:type="dxa"/>
            <w:tcBorders>
              <w:top w:val="nil"/>
              <w:left w:val="nil"/>
              <w:bottom w:val="nil"/>
              <w:right w:val="nil"/>
            </w:tcBorders>
            <w:shd w:val="clear" w:color="auto" w:fill="auto"/>
            <w:noWrap/>
            <w:vAlign w:val="bottom"/>
            <w:hideMark/>
          </w:tcPr>
          <w:p w14:paraId="058F7FA5"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0.00</w:t>
            </w:r>
          </w:p>
        </w:tc>
        <w:tc>
          <w:tcPr>
            <w:tcW w:w="1191" w:type="dxa"/>
            <w:tcBorders>
              <w:top w:val="nil"/>
              <w:left w:val="nil"/>
              <w:bottom w:val="nil"/>
              <w:right w:val="nil"/>
            </w:tcBorders>
            <w:shd w:val="clear" w:color="auto" w:fill="auto"/>
            <w:noWrap/>
            <w:vAlign w:val="bottom"/>
            <w:hideMark/>
          </w:tcPr>
          <w:p w14:paraId="6D209F66"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18.66</w:t>
            </w:r>
          </w:p>
        </w:tc>
        <w:tc>
          <w:tcPr>
            <w:tcW w:w="1191" w:type="dxa"/>
            <w:tcBorders>
              <w:top w:val="nil"/>
              <w:left w:val="nil"/>
              <w:bottom w:val="nil"/>
              <w:right w:val="nil"/>
            </w:tcBorders>
            <w:shd w:val="clear" w:color="auto" w:fill="auto"/>
            <w:noWrap/>
            <w:vAlign w:val="bottom"/>
            <w:hideMark/>
          </w:tcPr>
          <w:p w14:paraId="179010AE"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10.59</w:t>
            </w:r>
          </w:p>
        </w:tc>
        <w:tc>
          <w:tcPr>
            <w:tcW w:w="1191" w:type="dxa"/>
            <w:tcBorders>
              <w:top w:val="nil"/>
              <w:left w:val="nil"/>
              <w:bottom w:val="nil"/>
              <w:right w:val="nil"/>
            </w:tcBorders>
            <w:shd w:val="clear" w:color="auto" w:fill="auto"/>
            <w:noWrap/>
            <w:vAlign w:val="bottom"/>
            <w:hideMark/>
          </w:tcPr>
          <w:p w14:paraId="0CDCAA2C"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9.73</w:t>
            </w:r>
          </w:p>
        </w:tc>
        <w:tc>
          <w:tcPr>
            <w:tcW w:w="1191" w:type="dxa"/>
            <w:tcBorders>
              <w:top w:val="nil"/>
              <w:left w:val="nil"/>
              <w:bottom w:val="nil"/>
              <w:right w:val="nil"/>
            </w:tcBorders>
            <w:shd w:val="clear" w:color="auto" w:fill="auto"/>
            <w:noWrap/>
            <w:vAlign w:val="bottom"/>
            <w:hideMark/>
          </w:tcPr>
          <w:p w14:paraId="08790DFD"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13.08</w:t>
            </w:r>
          </w:p>
        </w:tc>
        <w:tc>
          <w:tcPr>
            <w:tcW w:w="1191" w:type="dxa"/>
            <w:tcBorders>
              <w:top w:val="nil"/>
              <w:left w:val="nil"/>
              <w:bottom w:val="nil"/>
              <w:right w:val="nil"/>
            </w:tcBorders>
            <w:shd w:val="clear" w:color="auto" w:fill="auto"/>
            <w:noWrap/>
            <w:vAlign w:val="bottom"/>
            <w:hideMark/>
          </w:tcPr>
          <w:p w14:paraId="271A58A3"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9.18</w:t>
            </w:r>
          </w:p>
        </w:tc>
      </w:tr>
      <w:tr w:rsidR="00367DB9" w:rsidRPr="00DE127F" w14:paraId="0E3D20A1" w14:textId="77777777" w:rsidTr="00FA51D3">
        <w:trPr>
          <w:trHeight w:val="170"/>
        </w:trPr>
        <w:tc>
          <w:tcPr>
            <w:tcW w:w="1295" w:type="dxa"/>
            <w:tcBorders>
              <w:top w:val="nil"/>
              <w:left w:val="nil"/>
              <w:bottom w:val="nil"/>
              <w:right w:val="nil"/>
            </w:tcBorders>
            <w:shd w:val="clear" w:color="auto" w:fill="auto"/>
            <w:noWrap/>
            <w:vAlign w:val="bottom"/>
            <w:hideMark/>
          </w:tcPr>
          <w:p w14:paraId="4A66E053" w14:textId="77777777" w:rsidR="00367DB9" w:rsidRPr="00056BD0" w:rsidRDefault="00367DB9" w:rsidP="00FA51D3">
            <w:pPr>
              <w:spacing w:after="0" w:line="240" w:lineRule="auto"/>
              <w:rPr>
                <w:rFonts w:ascii="Times New Roman" w:eastAsia="Times New Roman" w:hAnsi="Times New Roman" w:cs="Times New Roman"/>
                <w:bCs/>
                <w:color w:val="000000"/>
              </w:rPr>
            </w:pPr>
            <w:r w:rsidRPr="00056BD0">
              <w:rPr>
                <w:rFonts w:ascii="Times New Roman" w:eastAsia="Times New Roman" w:hAnsi="Times New Roman" w:cs="Times New Roman"/>
                <w:bCs/>
                <w:color w:val="000000"/>
              </w:rPr>
              <w:t>ABDC</w:t>
            </w:r>
          </w:p>
        </w:tc>
        <w:tc>
          <w:tcPr>
            <w:tcW w:w="1191" w:type="dxa"/>
            <w:tcBorders>
              <w:top w:val="nil"/>
              <w:left w:val="nil"/>
              <w:bottom w:val="nil"/>
              <w:right w:val="nil"/>
            </w:tcBorders>
            <w:shd w:val="clear" w:color="auto" w:fill="auto"/>
            <w:noWrap/>
            <w:vAlign w:val="bottom"/>
            <w:hideMark/>
          </w:tcPr>
          <w:p w14:paraId="67B8A99D"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9.69</w:t>
            </w:r>
          </w:p>
        </w:tc>
        <w:tc>
          <w:tcPr>
            <w:tcW w:w="1191" w:type="dxa"/>
            <w:tcBorders>
              <w:top w:val="nil"/>
              <w:left w:val="nil"/>
              <w:bottom w:val="nil"/>
              <w:right w:val="nil"/>
            </w:tcBorders>
            <w:shd w:val="clear" w:color="auto" w:fill="auto"/>
            <w:noWrap/>
            <w:vAlign w:val="bottom"/>
            <w:hideMark/>
          </w:tcPr>
          <w:p w14:paraId="324FE798"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18.66</w:t>
            </w:r>
          </w:p>
        </w:tc>
        <w:tc>
          <w:tcPr>
            <w:tcW w:w="1191" w:type="dxa"/>
            <w:tcBorders>
              <w:top w:val="nil"/>
              <w:left w:val="nil"/>
              <w:bottom w:val="nil"/>
              <w:right w:val="nil"/>
            </w:tcBorders>
            <w:shd w:val="clear" w:color="auto" w:fill="auto"/>
            <w:noWrap/>
            <w:vAlign w:val="bottom"/>
            <w:hideMark/>
          </w:tcPr>
          <w:p w14:paraId="3E7479DA"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0.00</w:t>
            </w:r>
          </w:p>
        </w:tc>
        <w:tc>
          <w:tcPr>
            <w:tcW w:w="1191" w:type="dxa"/>
            <w:tcBorders>
              <w:top w:val="nil"/>
              <w:left w:val="nil"/>
              <w:bottom w:val="nil"/>
              <w:right w:val="nil"/>
            </w:tcBorders>
            <w:shd w:val="clear" w:color="auto" w:fill="auto"/>
            <w:noWrap/>
            <w:vAlign w:val="bottom"/>
            <w:hideMark/>
          </w:tcPr>
          <w:p w14:paraId="15736C8D"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14.36</w:t>
            </w:r>
          </w:p>
        </w:tc>
        <w:tc>
          <w:tcPr>
            <w:tcW w:w="1191" w:type="dxa"/>
            <w:tcBorders>
              <w:top w:val="nil"/>
              <w:left w:val="nil"/>
              <w:bottom w:val="nil"/>
              <w:right w:val="nil"/>
            </w:tcBorders>
            <w:shd w:val="clear" w:color="auto" w:fill="auto"/>
            <w:noWrap/>
            <w:vAlign w:val="bottom"/>
            <w:hideMark/>
          </w:tcPr>
          <w:p w14:paraId="08181439"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17.56</w:t>
            </w:r>
          </w:p>
        </w:tc>
        <w:tc>
          <w:tcPr>
            <w:tcW w:w="1191" w:type="dxa"/>
            <w:tcBorders>
              <w:top w:val="nil"/>
              <w:left w:val="nil"/>
              <w:bottom w:val="nil"/>
              <w:right w:val="nil"/>
            </w:tcBorders>
            <w:shd w:val="clear" w:color="auto" w:fill="auto"/>
            <w:noWrap/>
            <w:vAlign w:val="bottom"/>
            <w:hideMark/>
          </w:tcPr>
          <w:p w14:paraId="1ECC8EA0"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10.97</w:t>
            </w:r>
          </w:p>
        </w:tc>
        <w:tc>
          <w:tcPr>
            <w:tcW w:w="1191" w:type="dxa"/>
            <w:tcBorders>
              <w:top w:val="nil"/>
              <w:left w:val="nil"/>
              <w:bottom w:val="nil"/>
              <w:right w:val="nil"/>
            </w:tcBorders>
            <w:shd w:val="clear" w:color="auto" w:fill="auto"/>
            <w:noWrap/>
            <w:vAlign w:val="bottom"/>
            <w:hideMark/>
          </w:tcPr>
          <w:p w14:paraId="28884148"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10.40</w:t>
            </w:r>
          </w:p>
        </w:tc>
      </w:tr>
      <w:tr w:rsidR="00367DB9" w:rsidRPr="00DE127F" w14:paraId="558B432E" w14:textId="77777777" w:rsidTr="00FA51D3">
        <w:trPr>
          <w:trHeight w:val="170"/>
        </w:trPr>
        <w:tc>
          <w:tcPr>
            <w:tcW w:w="1295" w:type="dxa"/>
            <w:tcBorders>
              <w:top w:val="nil"/>
              <w:left w:val="nil"/>
              <w:bottom w:val="nil"/>
              <w:right w:val="nil"/>
            </w:tcBorders>
            <w:shd w:val="clear" w:color="auto" w:fill="auto"/>
            <w:noWrap/>
            <w:vAlign w:val="bottom"/>
            <w:hideMark/>
          </w:tcPr>
          <w:p w14:paraId="5A19802D" w14:textId="77777777" w:rsidR="00367DB9" w:rsidRPr="00056BD0" w:rsidRDefault="00367DB9" w:rsidP="00FA51D3">
            <w:pPr>
              <w:spacing w:after="0" w:line="240" w:lineRule="auto"/>
              <w:rPr>
                <w:rFonts w:ascii="Times New Roman" w:eastAsia="Times New Roman" w:hAnsi="Times New Roman" w:cs="Times New Roman"/>
                <w:bCs/>
                <w:color w:val="000000"/>
              </w:rPr>
            </w:pPr>
            <w:proofErr w:type="spellStart"/>
            <w:r w:rsidRPr="00056BD0">
              <w:rPr>
                <w:rFonts w:ascii="Times New Roman" w:eastAsia="Times New Roman" w:hAnsi="Times New Roman" w:cs="Times New Roman"/>
                <w:bCs/>
                <w:color w:val="000000"/>
              </w:rPr>
              <w:t>Rsif</w:t>
            </w:r>
            <w:proofErr w:type="spellEnd"/>
          </w:p>
        </w:tc>
        <w:tc>
          <w:tcPr>
            <w:tcW w:w="1191" w:type="dxa"/>
            <w:tcBorders>
              <w:top w:val="nil"/>
              <w:left w:val="nil"/>
              <w:bottom w:val="nil"/>
              <w:right w:val="nil"/>
            </w:tcBorders>
            <w:shd w:val="clear" w:color="auto" w:fill="auto"/>
            <w:noWrap/>
            <w:vAlign w:val="bottom"/>
            <w:hideMark/>
          </w:tcPr>
          <w:p w14:paraId="1F572753"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10.19</w:t>
            </w:r>
          </w:p>
        </w:tc>
        <w:tc>
          <w:tcPr>
            <w:tcW w:w="1191" w:type="dxa"/>
            <w:tcBorders>
              <w:top w:val="nil"/>
              <w:left w:val="nil"/>
              <w:bottom w:val="nil"/>
              <w:right w:val="nil"/>
            </w:tcBorders>
            <w:shd w:val="clear" w:color="auto" w:fill="auto"/>
            <w:noWrap/>
            <w:vAlign w:val="bottom"/>
            <w:hideMark/>
          </w:tcPr>
          <w:p w14:paraId="6D8C60FC"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10.59</w:t>
            </w:r>
          </w:p>
        </w:tc>
        <w:tc>
          <w:tcPr>
            <w:tcW w:w="1191" w:type="dxa"/>
            <w:tcBorders>
              <w:top w:val="nil"/>
              <w:left w:val="nil"/>
              <w:bottom w:val="nil"/>
              <w:right w:val="nil"/>
            </w:tcBorders>
            <w:shd w:val="clear" w:color="auto" w:fill="auto"/>
            <w:noWrap/>
            <w:vAlign w:val="bottom"/>
            <w:hideMark/>
          </w:tcPr>
          <w:p w14:paraId="3D71887A"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14.36</w:t>
            </w:r>
          </w:p>
        </w:tc>
        <w:tc>
          <w:tcPr>
            <w:tcW w:w="1191" w:type="dxa"/>
            <w:tcBorders>
              <w:top w:val="nil"/>
              <w:left w:val="nil"/>
              <w:bottom w:val="nil"/>
              <w:right w:val="nil"/>
            </w:tcBorders>
            <w:shd w:val="clear" w:color="auto" w:fill="auto"/>
            <w:noWrap/>
            <w:vAlign w:val="bottom"/>
            <w:hideMark/>
          </w:tcPr>
          <w:p w14:paraId="478D7D92"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0.00</w:t>
            </w:r>
          </w:p>
        </w:tc>
        <w:tc>
          <w:tcPr>
            <w:tcW w:w="1191" w:type="dxa"/>
            <w:tcBorders>
              <w:top w:val="nil"/>
              <w:left w:val="nil"/>
              <w:bottom w:val="nil"/>
              <w:right w:val="nil"/>
            </w:tcBorders>
            <w:shd w:val="clear" w:color="auto" w:fill="auto"/>
            <w:noWrap/>
            <w:vAlign w:val="bottom"/>
            <w:hideMark/>
          </w:tcPr>
          <w:p w14:paraId="1A172E4C"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6.51</w:t>
            </w:r>
          </w:p>
        </w:tc>
        <w:tc>
          <w:tcPr>
            <w:tcW w:w="1191" w:type="dxa"/>
            <w:tcBorders>
              <w:top w:val="nil"/>
              <w:left w:val="nil"/>
              <w:bottom w:val="nil"/>
              <w:right w:val="nil"/>
            </w:tcBorders>
            <w:shd w:val="clear" w:color="auto" w:fill="auto"/>
            <w:noWrap/>
            <w:vAlign w:val="bottom"/>
            <w:hideMark/>
          </w:tcPr>
          <w:p w14:paraId="0657CE70"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9.34</w:t>
            </w:r>
          </w:p>
        </w:tc>
        <w:tc>
          <w:tcPr>
            <w:tcW w:w="1191" w:type="dxa"/>
            <w:tcBorders>
              <w:top w:val="nil"/>
              <w:left w:val="nil"/>
              <w:bottom w:val="nil"/>
              <w:right w:val="nil"/>
            </w:tcBorders>
            <w:shd w:val="clear" w:color="auto" w:fill="auto"/>
            <w:noWrap/>
            <w:vAlign w:val="bottom"/>
            <w:hideMark/>
          </w:tcPr>
          <w:p w14:paraId="71975455"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6.15</w:t>
            </w:r>
          </w:p>
        </w:tc>
      </w:tr>
      <w:tr w:rsidR="00367DB9" w:rsidRPr="00DE127F" w14:paraId="6ED2B6FB" w14:textId="77777777" w:rsidTr="00FA51D3">
        <w:trPr>
          <w:trHeight w:val="170"/>
        </w:trPr>
        <w:tc>
          <w:tcPr>
            <w:tcW w:w="1295" w:type="dxa"/>
            <w:tcBorders>
              <w:top w:val="nil"/>
              <w:left w:val="nil"/>
              <w:bottom w:val="nil"/>
              <w:right w:val="nil"/>
            </w:tcBorders>
            <w:shd w:val="clear" w:color="auto" w:fill="auto"/>
            <w:noWrap/>
            <w:vAlign w:val="bottom"/>
            <w:hideMark/>
          </w:tcPr>
          <w:p w14:paraId="5A9D10C1" w14:textId="77777777" w:rsidR="00367DB9" w:rsidRPr="00056BD0" w:rsidRDefault="00367DB9" w:rsidP="00FA51D3">
            <w:pPr>
              <w:spacing w:after="0" w:line="240" w:lineRule="auto"/>
              <w:rPr>
                <w:rFonts w:ascii="Times New Roman" w:eastAsia="Times New Roman" w:hAnsi="Times New Roman" w:cs="Times New Roman"/>
                <w:bCs/>
                <w:color w:val="000000"/>
              </w:rPr>
            </w:pPr>
            <w:proofErr w:type="spellStart"/>
            <w:r w:rsidRPr="00056BD0">
              <w:rPr>
                <w:rFonts w:ascii="Times New Roman" w:eastAsia="Times New Roman" w:hAnsi="Times New Roman" w:cs="Times New Roman"/>
                <w:bCs/>
                <w:color w:val="000000"/>
              </w:rPr>
              <w:t>Rrec</w:t>
            </w:r>
            <w:proofErr w:type="spellEnd"/>
          </w:p>
        </w:tc>
        <w:tc>
          <w:tcPr>
            <w:tcW w:w="1191" w:type="dxa"/>
            <w:tcBorders>
              <w:top w:val="nil"/>
              <w:left w:val="nil"/>
              <w:bottom w:val="nil"/>
              <w:right w:val="nil"/>
            </w:tcBorders>
            <w:shd w:val="clear" w:color="auto" w:fill="auto"/>
            <w:noWrap/>
            <w:vAlign w:val="bottom"/>
            <w:hideMark/>
          </w:tcPr>
          <w:p w14:paraId="56989C2C"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12.48</w:t>
            </w:r>
          </w:p>
        </w:tc>
        <w:tc>
          <w:tcPr>
            <w:tcW w:w="1191" w:type="dxa"/>
            <w:tcBorders>
              <w:top w:val="nil"/>
              <w:left w:val="nil"/>
              <w:bottom w:val="nil"/>
              <w:right w:val="nil"/>
            </w:tcBorders>
            <w:shd w:val="clear" w:color="auto" w:fill="auto"/>
            <w:noWrap/>
            <w:vAlign w:val="bottom"/>
            <w:hideMark/>
          </w:tcPr>
          <w:p w14:paraId="37AC1894"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9.73</w:t>
            </w:r>
          </w:p>
        </w:tc>
        <w:tc>
          <w:tcPr>
            <w:tcW w:w="1191" w:type="dxa"/>
            <w:tcBorders>
              <w:top w:val="nil"/>
              <w:left w:val="nil"/>
              <w:bottom w:val="nil"/>
              <w:right w:val="nil"/>
            </w:tcBorders>
            <w:shd w:val="clear" w:color="auto" w:fill="auto"/>
            <w:noWrap/>
            <w:vAlign w:val="bottom"/>
            <w:hideMark/>
          </w:tcPr>
          <w:p w14:paraId="6037C260"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17.56</w:t>
            </w:r>
          </w:p>
        </w:tc>
        <w:tc>
          <w:tcPr>
            <w:tcW w:w="1191" w:type="dxa"/>
            <w:tcBorders>
              <w:top w:val="nil"/>
              <w:left w:val="nil"/>
              <w:bottom w:val="nil"/>
              <w:right w:val="nil"/>
            </w:tcBorders>
            <w:shd w:val="clear" w:color="auto" w:fill="auto"/>
            <w:noWrap/>
            <w:vAlign w:val="bottom"/>
            <w:hideMark/>
          </w:tcPr>
          <w:p w14:paraId="5628CA32"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6.51</w:t>
            </w:r>
          </w:p>
        </w:tc>
        <w:tc>
          <w:tcPr>
            <w:tcW w:w="1191" w:type="dxa"/>
            <w:tcBorders>
              <w:top w:val="nil"/>
              <w:left w:val="nil"/>
              <w:bottom w:val="nil"/>
              <w:right w:val="nil"/>
            </w:tcBorders>
            <w:shd w:val="clear" w:color="auto" w:fill="auto"/>
            <w:noWrap/>
            <w:vAlign w:val="bottom"/>
            <w:hideMark/>
          </w:tcPr>
          <w:p w14:paraId="75E1BA86"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0.00</w:t>
            </w:r>
          </w:p>
        </w:tc>
        <w:tc>
          <w:tcPr>
            <w:tcW w:w="1191" w:type="dxa"/>
            <w:tcBorders>
              <w:top w:val="nil"/>
              <w:left w:val="nil"/>
              <w:bottom w:val="nil"/>
              <w:right w:val="nil"/>
            </w:tcBorders>
            <w:shd w:val="clear" w:color="auto" w:fill="auto"/>
            <w:noWrap/>
            <w:vAlign w:val="bottom"/>
            <w:hideMark/>
          </w:tcPr>
          <w:p w14:paraId="6FBDA921"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11.79</w:t>
            </w:r>
          </w:p>
        </w:tc>
        <w:tc>
          <w:tcPr>
            <w:tcW w:w="1191" w:type="dxa"/>
            <w:tcBorders>
              <w:top w:val="nil"/>
              <w:left w:val="nil"/>
              <w:bottom w:val="nil"/>
              <w:right w:val="nil"/>
            </w:tcBorders>
            <w:shd w:val="clear" w:color="auto" w:fill="auto"/>
            <w:noWrap/>
            <w:vAlign w:val="bottom"/>
            <w:hideMark/>
          </w:tcPr>
          <w:p w14:paraId="5A0E39F8"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8.23</w:t>
            </w:r>
          </w:p>
        </w:tc>
      </w:tr>
      <w:tr w:rsidR="00367DB9" w:rsidRPr="00DE127F" w14:paraId="27A39C63" w14:textId="77777777" w:rsidTr="00FA51D3">
        <w:trPr>
          <w:trHeight w:val="170"/>
        </w:trPr>
        <w:tc>
          <w:tcPr>
            <w:tcW w:w="1295" w:type="dxa"/>
            <w:tcBorders>
              <w:top w:val="nil"/>
              <w:left w:val="nil"/>
              <w:bottom w:val="nil"/>
              <w:right w:val="nil"/>
            </w:tcBorders>
            <w:shd w:val="clear" w:color="auto" w:fill="auto"/>
            <w:noWrap/>
            <w:vAlign w:val="bottom"/>
            <w:hideMark/>
          </w:tcPr>
          <w:p w14:paraId="24C2BDDC" w14:textId="77777777" w:rsidR="00367DB9" w:rsidRPr="00056BD0" w:rsidRDefault="00367DB9" w:rsidP="00FA51D3">
            <w:pPr>
              <w:spacing w:after="0" w:line="240" w:lineRule="auto"/>
              <w:rPr>
                <w:rFonts w:ascii="Times New Roman" w:eastAsia="Times New Roman" w:hAnsi="Times New Roman" w:cs="Times New Roman"/>
                <w:bCs/>
                <w:color w:val="000000"/>
              </w:rPr>
            </w:pPr>
            <w:r w:rsidRPr="00056BD0">
              <w:rPr>
                <w:rFonts w:ascii="Times New Roman" w:eastAsia="Times New Roman" w:hAnsi="Times New Roman" w:cs="Times New Roman"/>
                <w:bCs/>
                <w:color w:val="000000"/>
              </w:rPr>
              <w:t>NZABDC</w:t>
            </w:r>
          </w:p>
        </w:tc>
        <w:tc>
          <w:tcPr>
            <w:tcW w:w="1191" w:type="dxa"/>
            <w:tcBorders>
              <w:top w:val="nil"/>
              <w:left w:val="nil"/>
              <w:bottom w:val="nil"/>
              <w:right w:val="nil"/>
            </w:tcBorders>
            <w:shd w:val="clear" w:color="auto" w:fill="auto"/>
            <w:noWrap/>
            <w:vAlign w:val="bottom"/>
            <w:hideMark/>
          </w:tcPr>
          <w:p w14:paraId="5DFA725E"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11.08</w:t>
            </w:r>
          </w:p>
        </w:tc>
        <w:tc>
          <w:tcPr>
            <w:tcW w:w="1191" w:type="dxa"/>
            <w:tcBorders>
              <w:top w:val="nil"/>
              <w:left w:val="nil"/>
              <w:bottom w:val="nil"/>
              <w:right w:val="nil"/>
            </w:tcBorders>
            <w:shd w:val="clear" w:color="auto" w:fill="auto"/>
            <w:noWrap/>
            <w:vAlign w:val="bottom"/>
            <w:hideMark/>
          </w:tcPr>
          <w:p w14:paraId="6C026AFE"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13.08</w:t>
            </w:r>
          </w:p>
        </w:tc>
        <w:tc>
          <w:tcPr>
            <w:tcW w:w="1191" w:type="dxa"/>
            <w:tcBorders>
              <w:top w:val="nil"/>
              <w:left w:val="nil"/>
              <w:bottom w:val="nil"/>
              <w:right w:val="nil"/>
            </w:tcBorders>
            <w:shd w:val="clear" w:color="auto" w:fill="auto"/>
            <w:noWrap/>
            <w:vAlign w:val="bottom"/>
            <w:hideMark/>
          </w:tcPr>
          <w:p w14:paraId="33CF933A"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10.97</w:t>
            </w:r>
          </w:p>
        </w:tc>
        <w:tc>
          <w:tcPr>
            <w:tcW w:w="1191" w:type="dxa"/>
            <w:tcBorders>
              <w:top w:val="nil"/>
              <w:left w:val="nil"/>
              <w:bottom w:val="nil"/>
              <w:right w:val="nil"/>
            </w:tcBorders>
            <w:shd w:val="clear" w:color="auto" w:fill="auto"/>
            <w:noWrap/>
            <w:vAlign w:val="bottom"/>
            <w:hideMark/>
          </w:tcPr>
          <w:p w14:paraId="3D4FE2C6"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9.34</w:t>
            </w:r>
          </w:p>
        </w:tc>
        <w:tc>
          <w:tcPr>
            <w:tcW w:w="1191" w:type="dxa"/>
            <w:tcBorders>
              <w:top w:val="nil"/>
              <w:left w:val="nil"/>
              <w:bottom w:val="nil"/>
              <w:right w:val="nil"/>
            </w:tcBorders>
            <w:shd w:val="clear" w:color="auto" w:fill="auto"/>
            <w:noWrap/>
            <w:vAlign w:val="bottom"/>
            <w:hideMark/>
          </w:tcPr>
          <w:p w14:paraId="3CBBA371"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11.79</w:t>
            </w:r>
          </w:p>
        </w:tc>
        <w:tc>
          <w:tcPr>
            <w:tcW w:w="1191" w:type="dxa"/>
            <w:tcBorders>
              <w:top w:val="nil"/>
              <w:left w:val="nil"/>
              <w:bottom w:val="nil"/>
              <w:right w:val="nil"/>
            </w:tcBorders>
            <w:shd w:val="clear" w:color="auto" w:fill="auto"/>
            <w:noWrap/>
            <w:vAlign w:val="bottom"/>
            <w:hideMark/>
          </w:tcPr>
          <w:p w14:paraId="0579F3E8"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0.00</w:t>
            </w:r>
          </w:p>
        </w:tc>
        <w:tc>
          <w:tcPr>
            <w:tcW w:w="1191" w:type="dxa"/>
            <w:tcBorders>
              <w:top w:val="nil"/>
              <w:left w:val="nil"/>
              <w:bottom w:val="nil"/>
              <w:right w:val="nil"/>
            </w:tcBorders>
            <w:shd w:val="clear" w:color="auto" w:fill="auto"/>
            <w:noWrap/>
            <w:vAlign w:val="bottom"/>
            <w:hideMark/>
          </w:tcPr>
          <w:p w14:paraId="328EB431"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7.41</w:t>
            </w:r>
          </w:p>
        </w:tc>
      </w:tr>
      <w:tr w:rsidR="00367DB9" w:rsidRPr="00DE127F" w14:paraId="6070126E" w14:textId="77777777" w:rsidTr="00FA51D3">
        <w:trPr>
          <w:trHeight w:val="170"/>
        </w:trPr>
        <w:tc>
          <w:tcPr>
            <w:tcW w:w="1295" w:type="dxa"/>
            <w:tcBorders>
              <w:top w:val="nil"/>
              <w:left w:val="nil"/>
              <w:bottom w:val="nil"/>
              <w:right w:val="nil"/>
            </w:tcBorders>
            <w:shd w:val="clear" w:color="auto" w:fill="auto"/>
            <w:noWrap/>
            <w:vAlign w:val="bottom"/>
            <w:hideMark/>
          </w:tcPr>
          <w:p w14:paraId="4AB33A9C" w14:textId="77777777" w:rsidR="00367DB9" w:rsidRPr="00056BD0" w:rsidRDefault="00367DB9" w:rsidP="00FA51D3">
            <w:pPr>
              <w:spacing w:after="0" w:line="240" w:lineRule="auto"/>
              <w:rPr>
                <w:rFonts w:ascii="Times New Roman" w:eastAsia="Times New Roman" w:hAnsi="Times New Roman" w:cs="Times New Roman"/>
                <w:bCs/>
                <w:color w:val="000000"/>
              </w:rPr>
            </w:pPr>
            <w:r w:rsidRPr="00056BD0">
              <w:rPr>
                <w:rFonts w:ascii="Times New Roman" w:eastAsia="Times New Roman" w:hAnsi="Times New Roman" w:cs="Times New Roman"/>
                <w:bCs/>
                <w:color w:val="000000"/>
              </w:rPr>
              <w:t>AVJWS</w:t>
            </w:r>
          </w:p>
        </w:tc>
        <w:tc>
          <w:tcPr>
            <w:tcW w:w="1191" w:type="dxa"/>
            <w:tcBorders>
              <w:top w:val="nil"/>
              <w:left w:val="nil"/>
              <w:bottom w:val="nil"/>
              <w:right w:val="nil"/>
            </w:tcBorders>
            <w:shd w:val="clear" w:color="auto" w:fill="auto"/>
            <w:noWrap/>
            <w:vAlign w:val="bottom"/>
            <w:hideMark/>
          </w:tcPr>
          <w:p w14:paraId="58DC58CC"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4.96</w:t>
            </w:r>
          </w:p>
        </w:tc>
        <w:tc>
          <w:tcPr>
            <w:tcW w:w="1191" w:type="dxa"/>
            <w:tcBorders>
              <w:top w:val="nil"/>
              <w:left w:val="nil"/>
              <w:bottom w:val="nil"/>
              <w:right w:val="nil"/>
            </w:tcBorders>
            <w:shd w:val="clear" w:color="auto" w:fill="auto"/>
            <w:noWrap/>
            <w:vAlign w:val="bottom"/>
            <w:hideMark/>
          </w:tcPr>
          <w:p w14:paraId="18477A0E"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9.18</w:t>
            </w:r>
          </w:p>
        </w:tc>
        <w:tc>
          <w:tcPr>
            <w:tcW w:w="1191" w:type="dxa"/>
            <w:tcBorders>
              <w:top w:val="nil"/>
              <w:left w:val="nil"/>
              <w:bottom w:val="nil"/>
              <w:right w:val="nil"/>
            </w:tcBorders>
            <w:shd w:val="clear" w:color="auto" w:fill="auto"/>
            <w:noWrap/>
            <w:vAlign w:val="bottom"/>
            <w:hideMark/>
          </w:tcPr>
          <w:p w14:paraId="09222CCD"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10.40</w:t>
            </w:r>
          </w:p>
        </w:tc>
        <w:tc>
          <w:tcPr>
            <w:tcW w:w="1191" w:type="dxa"/>
            <w:tcBorders>
              <w:top w:val="nil"/>
              <w:left w:val="nil"/>
              <w:bottom w:val="nil"/>
              <w:right w:val="nil"/>
            </w:tcBorders>
            <w:shd w:val="clear" w:color="auto" w:fill="auto"/>
            <w:noWrap/>
            <w:vAlign w:val="bottom"/>
            <w:hideMark/>
          </w:tcPr>
          <w:p w14:paraId="7F1D7369"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6.15</w:t>
            </w:r>
          </w:p>
        </w:tc>
        <w:tc>
          <w:tcPr>
            <w:tcW w:w="1191" w:type="dxa"/>
            <w:tcBorders>
              <w:top w:val="nil"/>
              <w:left w:val="nil"/>
              <w:bottom w:val="nil"/>
              <w:right w:val="nil"/>
            </w:tcBorders>
            <w:shd w:val="clear" w:color="auto" w:fill="auto"/>
            <w:noWrap/>
            <w:vAlign w:val="bottom"/>
            <w:hideMark/>
          </w:tcPr>
          <w:p w14:paraId="27E1732A"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8.23</w:t>
            </w:r>
          </w:p>
        </w:tc>
        <w:tc>
          <w:tcPr>
            <w:tcW w:w="1191" w:type="dxa"/>
            <w:tcBorders>
              <w:top w:val="nil"/>
              <w:left w:val="nil"/>
              <w:bottom w:val="nil"/>
              <w:right w:val="nil"/>
            </w:tcBorders>
            <w:shd w:val="clear" w:color="auto" w:fill="auto"/>
            <w:noWrap/>
            <w:vAlign w:val="bottom"/>
            <w:hideMark/>
          </w:tcPr>
          <w:p w14:paraId="0F0BDB04"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7.41</w:t>
            </w:r>
          </w:p>
        </w:tc>
        <w:tc>
          <w:tcPr>
            <w:tcW w:w="1191" w:type="dxa"/>
            <w:tcBorders>
              <w:top w:val="nil"/>
              <w:left w:val="nil"/>
              <w:bottom w:val="nil"/>
              <w:right w:val="nil"/>
            </w:tcBorders>
            <w:shd w:val="clear" w:color="auto" w:fill="auto"/>
            <w:noWrap/>
            <w:vAlign w:val="bottom"/>
            <w:hideMark/>
          </w:tcPr>
          <w:p w14:paraId="54DDEA3D"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0.00</w:t>
            </w:r>
          </w:p>
        </w:tc>
      </w:tr>
      <w:tr w:rsidR="00367DB9" w:rsidRPr="00DE127F" w14:paraId="284B3BAB" w14:textId="77777777" w:rsidTr="007B4174">
        <w:trPr>
          <w:trHeight w:val="170"/>
        </w:trPr>
        <w:tc>
          <w:tcPr>
            <w:tcW w:w="1295" w:type="dxa"/>
            <w:tcBorders>
              <w:top w:val="nil"/>
              <w:left w:val="nil"/>
              <w:right w:val="nil"/>
            </w:tcBorders>
            <w:shd w:val="clear" w:color="auto" w:fill="auto"/>
            <w:noWrap/>
            <w:vAlign w:val="bottom"/>
            <w:hideMark/>
          </w:tcPr>
          <w:p w14:paraId="467FF1DC" w14:textId="77777777" w:rsidR="00367DB9" w:rsidRPr="00056BD0" w:rsidRDefault="00367DB9" w:rsidP="00FA51D3">
            <w:pPr>
              <w:spacing w:after="0" w:line="240" w:lineRule="auto"/>
              <w:rPr>
                <w:rFonts w:ascii="Times New Roman" w:eastAsia="Times New Roman" w:hAnsi="Times New Roman" w:cs="Times New Roman"/>
                <w:bCs/>
              </w:rPr>
            </w:pPr>
          </w:p>
        </w:tc>
        <w:tc>
          <w:tcPr>
            <w:tcW w:w="1191" w:type="dxa"/>
            <w:tcBorders>
              <w:top w:val="nil"/>
              <w:left w:val="nil"/>
              <w:right w:val="nil"/>
            </w:tcBorders>
            <w:shd w:val="clear" w:color="auto" w:fill="auto"/>
            <w:noWrap/>
            <w:vAlign w:val="bottom"/>
            <w:hideMark/>
          </w:tcPr>
          <w:p w14:paraId="356E4DFA" w14:textId="77777777" w:rsidR="00367DB9" w:rsidRPr="00056BD0" w:rsidRDefault="00367DB9" w:rsidP="00FA51D3">
            <w:pPr>
              <w:spacing w:after="0" w:line="240" w:lineRule="auto"/>
              <w:jc w:val="center"/>
              <w:rPr>
                <w:rFonts w:ascii="Times New Roman" w:eastAsia="Times New Roman" w:hAnsi="Times New Roman" w:cs="Times New Roman"/>
                <w:color w:val="000000"/>
              </w:rPr>
            </w:pPr>
          </w:p>
        </w:tc>
        <w:tc>
          <w:tcPr>
            <w:tcW w:w="1191" w:type="dxa"/>
            <w:tcBorders>
              <w:top w:val="nil"/>
              <w:left w:val="nil"/>
              <w:right w:val="nil"/>
            </w:tcBorders>
            <w:shd w:val="clear" w:color="auto" w:fill="auto"/>
            <w:noWrap/>
            <w:vAlign w:val="bottom"/>
            <w:hideMark/>
          </w:tcPr>
          <w:p w14:paraId="63B24D7B" w14:textId="77777777" w:rsidR="00367DB9" w:rsidRPr="00056BD0" w:rsidRDefault="00367DB9" w:rsidP="00FA51D3">
            <w:pPr>
              <w:spacing w:after="0" w:line="240" w:lineRule="auto"/>
              <w:jc w:val="center"/>
              <w:rPr>
                <w:rFonts w:ascii="Times New Roman" w:eastAsia="Times New Roman" w:hAnsi="Times New Roman" w:cs="Times New Roman"/>
                <w:color w:val="000000"/>
              </w:rPr>
            </w:pPr>
          </w:p>
        </w:tc>
        <w:tc>
          <w:tcPr>
            <w:tcW w:w="1191" w:type="dxa"/>
            <w:tcBorders>
              <w:top w:val="nil"/>
              <w:left w:val="nil"/>
              <w:right w:val="nil"/>
            </w:tcBorders>
            <w:shd w:val="clear" w:color="auto" w:fill="auto"/>
            <w:noWrap/>
            <w:vAlign w:val="bottom"/>
            <w:hideMark/>
          </w:tcPr>
          <w:p w14:paraId="4A534378" w14:textId="77777777" w:rsidR="00367DB9" w:rsidRPr="00056BD0" w:rsidRDefault="00367DB9" w:rsidP="00FA51D3">
            <w:pPr>
              <w:spacing w:after="0" w:line="240" w:lineRule="auto"/>
              <w:jc w:val="center"/>
              <w:rPr>
                <w:rFonts w:ascii="Times New Roman" w:eastAsia="Times New Roman" w:hAnsi="Times New Roman" w:cs="Times New Roman"/>
                <w:color w:val="000000"/>
              </w:rPr>
            </w:pPr>
          </w:p>
        </w:tc>
        <w:tc>
          <w:tcPr>
            <w:tcW w:w="1191" w:type="dxa"/>
            <w:tcBorders>
              <w:top w:val="nil"/>
              <w:left w:val="nil"/>
              <w:right w:val="nil"/>
            </w:tcBorders>
            <w:shd w:val="clear" w:color="auto" w:fill="auto"/>
            <w:noWrap/>
            <w:vAlign w:val="bottom"/>
            <w:hideMark/>
          </w:tcPr>
          <w:p w14:paraId="77503FFC" w14:textId="77777777" w:rsidR="00367DB9" w:rsidRPr="00056BD0" w:rsidRDefault="00367DB9" w:rsidP="00FA51D3">
            <w:pPr>
              <w:spacing w:after="0" w:line="240" w:lineRule="auto"/>
              <w:jc w:val="center"/>
              <w:rPr>
                <w:rFonts w:ascii="Times New Roman" w:eastAsia="Times New Roman" w:hAnsi="Times New Roman" w:cs="Times New Roman"/>
                <w:color w:val="000000"/>
              </w:rPr>
            </w:pPr>
          </w:p>
        </w:tc>
        <w:tc>
          <w:tcPr>
            <w:tcW w:w="1191" w:type="dxa"/>
            <w:tcBorders>
              <w:top w:val="nil"/>
              <w:left w:val="nil"/>
              <w:right w:val="nil"/>
            </w:tcBorders>
            <w:shd w:val="clear" w:color="auto" w:fill="auto"/>
            <w:noWrap/>
            <w:vAlign w:val="bottom"/>
            <w:hideMark/>
          </w:tcPr>
          <w:p w14:paraId="5CB3AE3E" w14:textId="77777777" w:rsidR="00367DB9" w:rsidRPr="00056BD0" w:rsidRDefault="00367DB9" w:rsidP="00FA51D3">
            <w:pPr>
              <w:spacing w:after="0" w:line="240" w:lineRule="auto"/>
              <w:jc w:val="center"/>
              <w:rPr>
                <w:rFonts w:ascii="Times New Roman" w:eastAsia="Times New Roman" w:hAnsi="Times New Roman" w:cs="Times New Roman"/>
                <w:color w:val="000000"/>
              </w:rPr>
            </w:pPr>
          </w:p>
        </w:tc>
        <w:tc>
          <w:tcPr>
            <w:tcW w:w="1191" w:type="dxa"/>
            <w:tcBorders>
              <w:top w:val="nil"/>
              <w:left w:val="nil"/>
              <w:right w:val="nil"/>
            </w:tcBorders>
            <w:shd w:val="clear" w:color="auto" w:fill="auto"/>
            <w:noWrap/>
            <w:vAlign w:val="bottom"/>
            <w:hideMark/>
          </w:tcPr>
          <w:p w14:paraId="74305890" w14:textId="77777777" w:rsidR="00367DB9" w:rsidRPr="00056BD0" w:rsidRDefault="00367DB9" w:rsidP="00FA51D3">
            <w:pPr>
              <w:spacing w:after="0" w:line="240" w:lineRule="auto"/>
              <w:jc w:val="center"/>
              <w:rPr>
                <w:rFonts w:ascii="Times New Roman" w:eastAsia="Times New Roman" w:hAnsi="Times New Roman" w:cs="Times New Roman"/>
                <w:color w:val="000000"/>
              </w:rPr>
            </w:pPr>
          </w:p>
        </w:tc>
        <w:tc>
          <w:tcPr>
            <w:tcW w:w="1191" w:type="dxa"/>
            <w:tcBorders>
              <w:top w:val="nil"/>
              <w:left w:val="nil"/>
              <w:right w:val="nil"/>
            </w:tcBorders>
            <w:shd w:val="clear" w:color="auto" w:fill="auto"/>
            <w:noWrap/>
            <w:vAlign w:val="bottom"/>
            <w:hideMark/>
          </w:tcPr>
          <w:p w14:paraId="7DC2768F" w14:textId="77777777" w:rsidR="00367DB9" w:rsidRPr="00056BD0" w:rsidRDefault="00367DB9" w:rsidP="00FA51D3">
            <w:pPr>
              <w:spacing w:after="0" w:line="240" w:lineRule="auto"/>
              <w:jc w:val="center"/>
              <w:rPr>
                <w:rFonts w:ascii="Times New Roman" w:eastAsia="Times New Roman" w:hAnsi="Times New Roman" w:cs="Times New Roman"/>
                <w:color w:val="000000"/>
              </w:rPr>
            </w:pPr>
          </w:p>
        </w:tc>
      </w:tr>
      <w:tr w:rsidR="00367DB9" w:rsidRPr="00DE127F" w14:paraId="460F8C94" w14:textId="77777777" w:rsidTr="007B4174">
        <w:trPr>
          <w:trHeight w:val="170"/>
        </w:trPr>
        <w:tc>
          <w:tcPr>
            <w:tcW w:w="1295" w:type="dxa"/>
            <w:tcBorders>
              <w:top w:val="nil"/>
              <w:left w:val="nil"/>
              <w:bottom w:val="single" w:sz="4" w:space="0" w:color="auto"/>
              <w:right w:val="nil"/>
            </w:tcBorders>
            <w:shd w:val="clear" w:color="auto" w:fill="auto"/>
            <w:noWrap/>
            <w:vAlign w:val="bottom"/>
            <w:hideMark/>
          </w:tcPr>
          <w:p w14:paraId="693CE25D" w14:textId="77777777" w:rsidR="00367DB9" w:rsidRPr="00056BD0" w:rsidRDefault="00367DB9" w:rsidP="00FA51D3">
            <w:pPr>
              <w:spacing w:after="0" w:line="240" w:lineRule="auto"/>
              <w:rPr>
                <w:rFonts w:ascii="Times New Roman" w:eastAsia="Times New Roman" w:hAnsi="Times New Roman" w:cs="Times New Roman"/>
                <w:bCs/>
              </w:rPr>
            </w:pPr>
            <w:r w:rsidRPr="00056BD0">
              <w:rPr>
                <w:rFonts w:ascii="Times New Roman" w:eastAsia="Times New Roman" w:hAnsi="Times New Roman" w:cs="Times New Roman"/>
                <w:bCs/>
              </w:rPr>
              <w:t>Average</w:t>
            </w:r>
          </w:p>
        </w:tc>
        <w:tc>
          <w:tcPr>
            <w:tcW w:w="1191" w:type="dxa"/>
            <w:tcBorders>
              <w:top w:val="nil"/>
              <w:left w:val="nil"/>
              <w:bottom w:val="single" w:sz="4" w:space="0" w:color="auto"/>
              <w:right w:val="nil"/>
            </w:tcBorders>
            <w:shd w:val="clear" w:color="auto" w:fill="auto"/>
            <w:noWrap/>
            <w:vAlign w:val="bottom"/>
            <w:hideMark/>
          </w:tcPr>
          <w:p w14:paraId="5FC5026B"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8.45</w:t>
            </w:r>
          </w:p>
        </w:tc>
        <w:tc>
          <w:tcPr>
            <w:tcW w:w="1191" w:type="dxa"/>
            <w:tcBorders>
              <w:top w:val="nil"/>
              <w:left w:val="nil"/>
              <w:bottom w:val="single" w:sz="4" w:space="0" w:color="auto"/>
              <w:right w:val="nil"/>
            </w:tcBorders>
            <w:shd w:val="clear" w:color="auto" w:fill="auto"/>
            <w:noWrap/>
            <w:vAlign w:val="bottom"/>
            <w:hideMark/>
          </w:tcPr>
          <w:p w14:paraId="23FAADA5"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10.29</w:t>
            </w:r>
          </w:p>
        </w:tc>
        <w:tc>
          <w:tcPr>
            <w:tcW w:w="1191" w:type="dxa"/>
            <w:tcBorders>
              <w:top w:val="nil"/>
              <w:left w:val="nil"/>
              <w:bottom w:val="single" w:sz="4" w:space="0" w:color="auto"/>
              <w:right w:val="nil"/>
            </w:tcBorders>
            <w:shd w:val="clear" w:color="auto" w:fill="auto"/>
            <w:noWrap/>
            <w:vAlign w:val="bottom"/>
            <w:hideMark/>
          </w:tcPr>
          <w:p w14:paraId="62E4668F"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11.66</w:t>
            </w:r>
          </w:p>
        </w:tc>
        <w:tc>
          <w:tcPr>
            <w:tcW w:w="1191" w:type="dxa"/>
            <w:tcBorders>
              <w:top w:val="nil"/>
              <w:left w:val="nil"/>
              <w:bottom w:val="single" w:sz="4" w:space="0" w:color="auto"/>
              <w:right w:val="nil"/>
            </w:tcBorders>
            <w:shd w:val="clear" w:color="auto" w:fill="auto"/>
            <w:noWrap/>
            <w:vAlign w:val="bottom"/>
            <w:hideMark/>
          </w:tcPr>
          <w:p w14:paraId="6F3F710F"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8.16</w:t>
            </w:r>
          </w:p>
        </w:tc>
        <w:tc>
          <w:tcPr>
            <w:tcW w:w="1191" w:type="dxa"/>
            <w:tcBorders>
              <w:top w:val="nil"/>
              <w:left w:val="nil"/>
              <w:bottom w:val="single" w:sz="4" w:space="0" w:color="auto"/>
              <w:right w:val="nil"/>
            </w:tcBorders>
            <w:shd w:val="clear" w:color="auto" w:fill="auto"/>
            <w:noWrap/>
            <w:vAlign w:val="bottom"/>
            <w:hideMark/>
          </w:tcPr>
          <w:p w14:paraId="6FE148FA"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9.47</w:t>
            </w:r>
          </w:p>
        </w:tc>
        <w:tc>
          <w:tcPr>
            <w:tcW w:w="1191" w:type="dxa"/>
            <w:tcBorders>
              <w:top w:val="nil"/>
              <w:left w:val="nil"/>
              <w:bottom w:val="single" w:sz="4" w:space="0" w:color="auto"/>
              <w:right w:val="nil"/>
            </w:tcBorders>
            <w:shd w:val="clear" w:color="auto" w:fill="auto"/>
            <w:noWrap/>
            <w:vAlign w:val="bottom"/>
            <w:hideMark/>
          </w:tcPr>
          <w:p w14:paraId="30B99AD4"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9.10</w:t>
            </w:r>
          </w:p>
        </w:tc>
        <w:tc>
          <w:tcPr>
            <w:tcW w:w="1191" w:type="dxa"/>
            <w:tcBorders>
              <w:top w:val="nil"/>
              <w:left w:val="nil"/>
              <w:bottom w:val="single" w:sz="4" w:space="0" w:color="auto"/>
              <w:right w:val="nil"/>
            </w:tcBorders>
            <w:shd w:val="clear" w:color="auto" w:fill="auto"/>
            <w:noWrap/>
            <w:vAlign w:val="bottom"/>
            <w:hideMark/>
          </w:tcPr>
          <w:p w14:paraId="5B75822B"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6.62</w:t>
            </w:r>
          </w:p>
        </w:tc>
      </w:tr>
      <w:tr w:rsidR="00367DB9" w:rsidRPr="00DE127F" w14:paraId="42190125" w14:textId="77777777" w:rsidTr="007B4174">
        <w:trPr>
          <w:trHeight w:val="170"/>
        </w:trPr>
        <w:tc>
          <w:tcPr>
            <w:tcW w:w="1295" w:type="dxa"/>
            <w:tcBorders>
              <w:top w:val="single" w:sz="4" w:space="0" w:color="auto"/>
              <w:left w:val="nil"/>
              <w:bottom w:val="nil"/>
              <w:right w:val="nil"/>
            </w:tcBorders>
            <w:shd w:val="clear" w:color="auto" w:fill="auto"/>
            <w:noWrap/>
            <w:vAlign w:val="bottom"/>
            <w:hideMark/>
          </w:tcPr>
          <w:p w14:paraId="330EB902" w14:textId="77777777" w:rsidR="00367DB9" w:rsidRPr="00DE127F" w:rsidRDefault="00367DB9" w:rsidP="00FA51D3">
            <w:pPr>
              <w:spacing w:after="0" w:line="240" w:lineRule="auto"/>
              <w:rPr>
                <w:rFonts w:ascii="Calibri" w:eastAsia="Times New Roman" w:hAnsi="Calibri" w:cs="Calibri"/>
                <w:color w:val="000000"/>
              </w:rPr>
            </w:pPr>
          </w:p>
        </w:tc>
        <w:tc>
          <w:tcPr>
            <w:tcW w:w="1191" w:type="dxa"/>
            <w:tcBorders>
              <w:top w:val="single" w:sz="4" w:space="0" w:color="auto"/>
              <w:left w:val="nil"/>
              <w:bottom w:val="nil"/>
              <w:right w:val="nil"/>
            </w:tcBorders>
            <w:shd w:val="clear" w:color="auto" w:fill="auto"/>
            <w:noWrap/>
            <w:vAlign w:val="bottom"/>
            <w:hideMark/>
          </w:tcPr>
          <w:p w14:paraId="56DC5ABE" w14:textId="77777777" w:rsidR="00367DB9" w:rsidRPr="00DE127F" w:rsidRDefault="00367DB9" w:rsidP="00FA51D3">
            <w:pPr>
              <w:spacing w:after="0" w:line="240" w:lineRule="auto"/>
              <w:rPr>
                <w:rFonts w:ascii="Calibri" w:eastAsia="Times New Roman" w:hAnsi="Calibri" w:cs="Calibri"/>
                <w:color w:val="000000"/>
              </w:rPr>
            </w:pPr>
          </w:p>
        </w:tc>
        <w:tc>
          <w:tcPr>
            <w:tcW w:w="1191" w:type="dxa"/>
            <w:tcBorders>
              <w:top w:val="single" w:sz="4" w:space="0" w:color="auto"/>
              <w:left w:val="nil"/>
              <w:bottom w:val="nil"/>
              <w:right w:val="nil"/>
            </w:tcBorders>
            <w:shd w:val="clear" w:color="auto" w:fill="auto"/>
            <w:noWrap/>
            <w:vAlign w:val="bottom"/>
            <w:hideMark/>
          </w:tcPr>
          <w:p w14:paraId="5E91FCC5" w14:textId="77777777" w:rsidR="00367DB9" w:rsidRPr="00DE127F" w:rsidRDefault="00367DB9" w:rsidP="00FA51D3">
            <w:pPr>
              <w:spacing w:after="0" w:line="240" w:lineRule="auto"/>
              <w:rPr>
                <w:rFonts w:ascii="Calibri" w:eastAsia="Times New Roman" w:hAnsi="Calibri" w:cs="Calibri"/>
                <w:color w:val="000000"/>
              </w:rPr>
            </w:pPr>
          </w:p>
        </w:tc>
        <w:tc>
          <w:tcPr>
            <w:tcW w:w="1191" w:type="dxa"/>
            <w:tcBorders>
              <w:top w:val="single" w:sz="4" w:space="0" w:color="auto"/>
              <w:left w:val="nil"/>
              <w:bottom w:val="nil"/>
              <w:right w:val="nil"/>
            </w:tcBorders>
            <w:shd w:val="clear" w:color="auto" w:fill="auto"/>
            <w:noWrap/>
            <w:vAlign w:val="bottom"/>
            <w:hideMark/>
          </w:tcPr>
          <w:p w14:paraId="219AF1ED" w14:textId="77777777" w:rsidR="00367DB9" w:rsidRPr="00DE127F" w:rsidRDefault="00367DB9" w:rsidP="00FA51D3">
            <w:pPr>
              <w:spacing w:after="0" w:line="240" w:lineRule="auto"/>
              <w:rPr>
                <w:rFonts w:ascii="Calibri" w:eastAsia="Times New Roman" w:hAnsi="Calibri" w:cs="Calibri"/>
                <w:color w:val="000000"/>
              </w:rPr>
            </w:pPr>
          </w:p>
        </w:tc>
        <w:tc>
          <w:tcPr>
            <w:tcW w:w="1191" w:type="dxa"/>
            <w:tcBorders>
              <w:top w:val="single" w:sz="4" w:space="0" w:color="auto"/>
              <w:left w:val="nil"/>
              <w:bottom w:val="nil"/>
              <w:right w:val="nil"/>
            </w:tcBorders>
            <w:shd w:val="clear" w:color="auto" w:fill="auto"/>
            <w:noWrap/>
            <w:vAlign w:val="bottom"/>
            <w:hideMark/>
          </w:tcPr>
          <w:p w14:paraId="503FDB33" w14:textId="77777777" w:rsidR="00367DB9" w:rsidRPr="00DE127F" w:rsidRDefault="00367DB9" w:rsidP="00FA51D3">
            <w:pPr>
              <w:spacing w:after="0" w:line="240" w:lineRule="auto"/>
              <w:rPr>
                <w:rFonts w:ascii="Calibri" w:eastAsia="Times New Roman" w:hAnsi="Calibri" w:cs="Calibri"/>
                <w:color w:val="000000"/>
              </w:rPr>
            </w:pPr>
          </w:p>
        </w:tc>
        <w:tc>
          <w:tcPr>
            <w:tcW w:w="1191" w:type="dxa"/>
            <w:tcBorders>
              <w:top w:val="single" w:sz="4" w:space="0" w:color="auto"/>
              <w:left w:val="nil"/>
              <w:bottom w:val="nil"/>
              <w:right w:val="nil"/>
            </w:tcBorders>
            <w:shd w:val="clear" w:color="auto" w:fill="auto"/>
            <w:noWrap/>
            <w:vAlign w:val="bottom"/>
            <w:hideMark/>
          </w:tcPr>
          <w:p w14:paraId="3CC92605" w14:textId="77777777" w:rsidR="00367DB9" w:rsidRPr="00DE127F" w:rsidRDefault="00367DB9" w:rsidP="00FA51D3">
            <w:pPr>
              <w:spacing w:after="0" w:line="240" w:lineRule="auto"/>
              <w:rPr>
                <w:rFonts w:ascii="Calibri" w:eastAsia="Times New Roman" w:hAnsi="Calibri" w:cs="Calibri"/>
                <w:color w:val="000000"/>
              </w:rPr>
            </w:pPr>
          </w:p>
        </w:tc>
        <w:tc>
          <w:tcPr>
            <w:tcW w:w="1191" w:type="dxa"/>
            <w:tcBorders>
              <w:top w:val="single" w:sz="4" w:space="0" w:color="auto"/>
              <w:left w:val="nil"/>
              <w:bottom w:val="nil"/>
              <w:right w:val="nil"/>
            </w:tcBorders>
            <w:shd w:val="clear" w:color="auto" w:fill="auto"/>
            <w:noWrap/>
            <w:vAlign w:val="bottom"/>
            <w:hideMark/>
          </w:tcPr>
          <w:p w14:paraId="0BC45647" w14:textId="77777777" w:rsidR="00367DB9" w:rsidRPr="00DE127F" w:rsidRDefault="00367DB9" w:rsidP="00FA51D3">
            <w:pPr>
              <w:spacing w:after="0" w:line="240" w:lineRule="auto"/>
              <w:rPr>
                <w:rFonts w:ascii="Calibri" w:eastAsia="Times New Roman" w:hAnsi="Calibri" w:cs="Calibri"/>
                <w:color w:val="000000"/>
              </w:rPr>
            </w:pPr>
          </w:p>
        </w:tc>
        <w:tc>
          <w:tcPr>
            <w:tcW w:w="1191" w:type="dxa"/>
            <w:tcBorders>
              <w:top w:val="single" w:sz="4" w:space="0" w:color="auto"/>
              <w:left w:val="nil"/>
              <w:bottom w:val="nil"/>
              <w:right w:val="nil"/>
            </w:tcBorders>
            <w:shd w:val="clear" w:color="auto" w:fill="auto"/>
            <w:noWrap/>
            <w:vAlign w:val="bottom"/>
            <w:hideMark/>
          </w:tcPr>
          <w:p w14:paraId="062E87B6" w14:textId="77777777" w:rsidR="00367DB9" w:rsidRPr="00DE127F" w:rsidRDefault="00367DB9" w:rsidP="00FA51D3">
            <w:pPr>
              <w:spacing w:after="0" w:line="240" w:lineRule="auto"/>
              <w:rPr>
                <w:rFonts w:ascii="Calibri" w:eastAsia="Times New Roman" w:hAnsi="Calibri" w:cs="Calibri"/>
                <w:color w:val="000000"/>
              </w:rPr>
            </w:pPr>
          </w:p>
        </w:tc>
      </w:tr>
    </w:tbl>
    <w:p w14:paraId="4353CB68" w14:textId="77777777" w:rsidR="00567DDE" w:rsidRPr="00567DDE" w:rsidRDefault="009B5792" w:rsidP="00567DDE">
      <w:pPr>
        <w:jc w:val="both"/>
        <w:rPr>
          <w:rFonts w:ascii="Times New Roman" w:hAnsi="Times New Roman" w:cs="Times New Roman"/>
          <w:sz w:val="4"/>
          <w:szCs w:val="4"/>
        </w:rPr>
      </w:pPr>
      <w:r w:rsidRPr="00B83421">
        <w:rPr>
          <w:rFonts w:ascii="Times New Roman" w:hAnsi="Times New Roman" w:cs="Times New Roman"/>
          <w:sz w:val="24"/>
          <w:szCs w:val="24"/>
        </w:rPr>
        <w:t xml:space="preserve"> </w:t>
      </w:r>
      <w:r w:rsidR="00567DDE" w:rsidRPr="00567DDE">
        <w:rPr>
          <w:rFonts w:ascii="Times New Roman" w:hAnsi="Times New Roman" w:cs="Times New Roman"/>
          <w:sz w:val="4"/>
          <w:szCs w:val="4"/>
        </w:rPr>
        <w:tab/>
      </w:r>
    </w:p>
    <w:p w14:paraId="7939BA79" w14:textId="598B733A" w:rsidR="00367DB9" w:rsidRDefault="00567DDE" w:rsidP="00567DDE">
      <w:pPr>
        <w:jc w:val="both"/>
        <w:rPr>
          <w:rFonts w:ascii="Times New Roman" w:hAnsi="Times New Roman" w:cs="Times New Roman"/>
          <w:sz w:val="24"/>
          <w:szCs w:val="24"/>
        </w:rPr>
      </w:pPr>
      <w:r>
        <w:rPr>
          <w:rFonts w:ascii="Times New Roman" w:hAnsi="Times New Roman" w:cs="Times New Roman"/>
          <w:sz w:val="24"/>
          <w:szCs w:val="24"/>
        </w:rPr>
        <w:tab/>
      </w:r>
      <w:r w:rsidR="001C1499" w:rsidRPr="00B83421">
        <w:rPr>
          <w:rFonts w:ascii="Times New Roman" w:hAnsi="Times New Roman" w:cs="Times New Roman"/>
          <w:sz w:val="24"/>
          <w:szCs w:val="24"/>
        </w:rPr>
        <w:t>In Tables 3</w:t>
      </w:r>
      <w:r w:rsidR="00677285">
        <w:rPr>
          <w:rFonts w:ascii="Times New Roman" w:hAnsi="Times New Roman" w:cs="Times New Roman"/>
          <w:sz w:val="24"/>
          <w:szCs w:val="24"/>
        </w:rPr>
        <w:t>(a/b)</w:t>
      </w:r>
      <w:r w:rsidR="001C1499" w:rsidRPr="00B83421">
        <w:rPr>
          <w:rFonts w:ascii="Times New Roman" w:hAnsi="Times New Roman" w:cs="Times New Roman"/>
          <w:sz w:val="24"/>
          <w:szCs w:val="24"/>
        </w:rPr>
        <w:t xml:space="preserve"> and 4</w:t>
      </w:r>
      <w:r w:rsidR="00677285">
        <w:rPr>
          <w:rFonts w:ascii="Times New Roman" w:hAnsi="Times New Roman" w:cs="Times New Roman"/>
          <w:sz w:val="24"/>
          <w:szCs w:val="24"/>
        </w:rPr>
        <w:t>(a/b)</w:t>
      </w:r>
      <w:r w:rsidR="00924BFF" w:rsidRPr="00B83421">
        <w:rPr>
          <w:rFonts w:ascii="Times New Roman" w:hAnsi="Times New Roman" w:cs="Times New Roman"/>
          <w:sz w:val="24"/>
          <w:szCs w:val="24"/>
        </w:rPr>
        <w:t xml:space="preserve"> </w:t>
      </w:r>
      <w:r w:rsidR="001C1499" w:rsidRPr="00B83421">
        <w:rPr>
          <w:rFonts w:ascii="Times New Roman" w:hAnsi="Times New Roman" w:cs="Times New Roman"/>
          <w:sz w:val="24"/>
          <w:szCs w:val="24"/>
        </w:rPr>
        <w:t>our focus</w:t>
      </w:r>
      <w:r w:rsidR="00924BFF" w:rsidRPr="00B83421">
        <w:rPr>
          <w:rFonts w:ascii="Times New Roman" w:hAnsi="Times New Roman" w:cs="Times New Roman"/>
          <w:sz w:val="24"/>
          <w:szCs w:val="24"/>
        </w:rPr>
        <w:t xml:space="preserve"> was </w:t>
      </w:r>
      <w:r w:rsidR="001C1499" w:rsidRPr="00B83421">
        <w:rPr>
          <w:rFonts w:ascii="Times New Roman" w:hAnsi="Times New Roman" w:cs="Times New Roman"/>
          <w:sz w:val="24"/>
          <w:szCs w:val="24"/>
        </w:rPr>
        <w:t xml:space="preserve">on the stability of ranks across </w:t>
      </w:r>
      <w:r w:rsidR="00C67709" w:rsidRPr="00B83421">
        <w:rPr>
          <w:rFonts w:ascii="Times New Roman" w:hAnsi="Times New Roman" w:cs="Times New Roman"/>
          <w:sz w:val="24"/>
          <w:szCs w:val="24"/>
        </w:rPr>
        <w:t xml:space="preserve">various </w:t>
      </w:r>
      <w:r w:rsidR="001C1499" w:rsidRPr="00B83421">
        <w:rPr>
          <w:rFonts w:ascii="Times New Roman" w:hAnsi="Times New Roman" w:cs="Times New Roman"/>
          <w:sz w:val="24"/>
          <w:szCs w:val="24"/>
        </w:rPr>
        <w:t>journal weighting schemes</w:t>
      </w:r>
      <w:r w:rsidR="00747300" w:rsidRPr="00B83421">
        <w:rPr>
          <w:rFonts w:ascii="Times New Roman" w:hAnsi="Times New Roman" w:cs="Times New Roman"/>
          <w:sz w:val="24"/>
          <w:szCs w:val="24"/>
        </w:rPr>
        <w:t xml:space="preserve">.  </w:t>
      </w:r>
      <w:r w:rsidR="001C1499" w:rsidRPr="00B83421">
        <w:rPr>
          <w:rFonts w:ascii="Times New Roman" w:hAnsi="Times New Roman" w:cs="Times New Roman"/>
          <w:sz w:val="24"/>
          <w:szCs w:val="24"/>
        </w:rPr>
        <w:t xml:space="preserve">Now we turn </w:t>
      </w:r>
      <w:r w:rsidR="00747300" w:rsidRPr="00B83421">
        <w:rPr>
          <w:rFonts w:ascii="Times New Roman" w:hAnsi="Times New Roman" w:cs="Times New Roman"/>
          <w:sz w:val="24"/>
          <w:szCs w:val="24"/>
        </w:rPr>
        <w:t xml:space="preserve">our attention </w:t>
      </w:r>
      <w:r w:rsidR="001C1499" w:rsidRPr="00B83421">
        <w:rPr>
          <w:rFonts w:ascii="Times New Roman" w:hAnsi="Times New Roman" w:cs="Times New Roman"/>
          <w:sz w:val="24"/>
          <w:szCs w:val="24"/>
        </w:rPr>
        <w:t xml:space="preserve">to </w:t>
      </w:r>
      <w:r w:rsidR="00C67709" w:rsidRPr="00B83421">
        <w:rPr>
          <w:rFonts w:ascii="Times New Roman" w:hAnsi="Times New Roman" w:cs="Times New Roman"/>
          <w:sz w:val="24"/>
          <w:szCs w:val="24"/>
        </w:rPr>
        <w:t xml:space="preserve">another aspect of </w:t>
      </w:r>
      <w:r w:rsidR="001C1499" w:rsidRPr="00B83421">
        <w:rPr>
          <w:rFonts w:ascii="Times New Roman" w:hAnsi="Times New Roman" w:cs="Times New Roman"/>
          <w:sz w:val="24"/>
          <w:szCs w:val="24"/>
        </w:rPr>
        <w:t>rank stability</w:t>
      </w:r>
      <w:r w:rsidR="00F47EB2" w:rsidRPr="00B83421">
        <w:rPr>
          <w:rFonts w:ascii="Times New Roman" w:hAnsi="Times New Roman" w:cs="Times New Roman"/>
          <w:sz w:val="24"/>
          <w:szCs w:val="24"/>
        </w:rPr>
        <w:t xml:space="preserve">.  </w:t>
      </w:r>
      <w:r w:rsidR="00C67709" w:rsidRPr="00B83421">
        <w:rPr>
          <w:rFonts w:ascii="Times New Roman" w:hAnsi="Times New Roman" w:cs="Times New Roman"/>
          <w:sz w:val="24"/>
          <w:szCs w:val="24"/>
        </w:rPr>
        <w:t xml:space="preserve">In </w:t>
      </w:r>
      <w:r w:rsidR="00747300" w:rsidRPr="00B83421">
        <w:rPr>
          <w:rFonts w:ascii="Times New Roman" w:hAnsi="Times New Roman" w:cs="Times New Roman"/>
          <w:sz w:val="24"/>
          <w:szCs w:val="24"/>
        </w:rPr>
        <w:t>Table 5</w:t>
      </w:r>
      <w:r w:rsidR="00677285">
        <w:rPr>
          <w:rFonts w:ascii="Times New Roman" w:hAnsi="Times New Roman" w:cs="Times New Roman"/>
          <w:sz w:val="24"/>
          <w:szCs w:val="24"/>
        </w:rPr>
        <w:t>(a)</w:t>
      </w:r>
      <w:r w:rsidR="00747300" w:rsidRPr="00B83421">
        <w:rPr>
          <w:rFonts w:ascii="Times New Roman" w:hAnsi="Times New Roman" w:cs="Times New Roman"/>
          <w:sz w:val="24"/>
          <w:szCs w:val="24"/>
        </w:rPr>
        <w:t xml:space="preserve"> </w:t>
      </w:r>
      <w:r w:rsidR="00002638" w:rsidRPr="00B83421">
        <w:rPr>
          <w:rFonts w:ascii="Times New Roman" w:hAnsi="Times New Roman" w:cs="Times New Roman"/>
          <w:sz w:val="24"/>
          <w:szCs w:val="24"/>
        </w:rPr>
        <w:t>we report SP</w:t>
      </w:r>
      <w:r w:rsidR="00C67709" w:rsidRPr="00B83421">
        <w:rPr>
          <w:rFonts w:ascii="Times New Roman" w:hAnsi="Times New Roman" w:cs="Times New Roman"/>
          <w:sz w:val="24"/>
          <w:szCs w:val="24"/>
        </w:rPr>
        <w:t xml:space="preserve"> and KT for </w:t>
      </w:r>
      <w:r w:rsidR="00CB3E6E" w:rsidRPr="00B83421">
        <w:rPr>
          <w:rFonts w:ascii="Times New Roman" w:hAnsi="Times New Roman" w:cs="Times New Roman"/>
          <w:sz w:val="24"/>
          <w:szCs w:val="24"/>
        </w:rPr>
        <w:t xml:space="preserve">various combinations of output measures for </w:t>
      </w:r>
      <w:r w:rsidR="00C67709" w:rsidRPr="00B83421">
        <w:rPr>
          <w:rFonts w:ascii="Times New Roman" w:hAnsi="Times New Roman" w:cs="Times New Roman"/>
          <w:sz w:val="24"/>
          <w:szCs w:val="24"/>
        </w:rPr>
        <w:t xml:space="preserve">each </w:t>
      </w:r>
      <w:r w:rsidR="00915920" w:rsidRPr="00B83421">
        <w:rPr>
          <w:rFonts w:ascii="Times New Roman" w:hAnsi="Times New Roman" w:cs="Times New Roman"/>
          <w:sz w:val="24"/>
          <w:szCs w:val="24"/>
        </w:rPr>
        <w:t xml:space="preserve">JWS.  </w:t>
      </w:r>
      <w:r w:rsidR="00CB3E6E" w:rsidRPr="00B83421">
        <w:rPr>
          <w:rFonts w:ascii="Times New Roman" w:hAnsi="Times New Roman" w:cs="Times New Roman"/>
          <w:sz w:val="24"/>
          <w:szCs w:val="24"/>
        </w:rPr>
        <w:t xml:space="preserve">For example, consider the </w:t>
      </w:r>
      <w:r w:rsidR="00D1480A" w:rsidRPr="00B83421">
        <w:rPr>
          <w:rFonts w:ascii="Times New Roman" w:hAnsi="Times New Roman" w:cs="Times New Roman"/>
          <w:sz w:val="24"/>
          <w:szCs w:val="24"/>
        </w:rPr>
        <w:t xml:space="preserve">case of </w:t>
      </w:r>
      <w:proofErr w:type="spellStart"/>
      <w:r w:rsidR="00CB3E6E" w:rsidRPr="00B83421">
        <w:rPr>
          <w:rFonts w:ascii="Times New Roman" w:hAnsi="Times New Roman" w:cs="Times New Roman"/>
          <w:b/>
          <w:sz w:val="24"/>
          <w:szCs w:val="24"/>
        </w:rPr>
        <w:t>CLh</w:t>
      </w:r>
      <w:proofErr w:type="spellEnd"/>
      <w:r w:rsidR="00CB3E6E" w:rsidRPr="00B83421">
        <w:rPr>
          <w:rFonts w:ascii="Times New Roman" w:hAnsi="Times New Roman" w:cs="Times New Roman"/>
          <w:sz w:val="24"/>
          <w:szCs w:val="24"/>
        </w:rPr>
        <w:t xml:space="preserve">.  A comparison of the ranks associated with output measured as share and size adjusted pages (our preferred measure) and output measured in size adjusted pages (that is, no adjustment of co-authorship) yields </w:t>
      </w:r>
      <w:r w:rsidR="00002638" w:rsidRPr="00B83421">
        <w:rPr>
          <w:rFonts w:ascii="Times New Roman" w:hAnsi="Times New Roman" w:cs="Times New Roman"/>
          <w:sz w:val="24"/>
          <w:szCs w:val="24"/>
        </w:rPr>
        <w:t>S</w:t>
      </w:r>
      <w:r w:rsidR="00D8456C" w:rsidRPr="00B83421">
        <w:rPr>
          <w:rFonts w:ascii="Times New Roman" w:hAnsi="Times New Roman" w:cs="Times New Roman"/>
          <w:sz w:val="24"/>
          <w:szCs w:val="24"/>
        </w:rPr>
        <w:t>p</w:t>
      </w:r>
      <w:r w:rsidR="00002638" w:rsidRPr="00B83421">
        <w:rPr>
          <w:rFonts w:ascii="Times New Roman" w:hAnsi="Times New Roman" w:cs="Times New Roman"/>
          <w:sz w:val="24"/>
          <w:szCs w:val="24"/>
        </w:rPr>
        <w:t>earman and Kendall’s Tau</w:t>
      </w:r>
      <w:r w:rsidR="007F766D" w:rsidRPr="00B83421">
        <w:rPr>
          <w:rFonts w:ascii="Times New Roman" w:hAnsi="Times New Roman" w:cs="Times New Roman"/>
          <w:sz w:val="24"/>
          <w:szCs w:val="24"/>
        </w:rPr>
        <w:t xml:space="preserve"> </w:t>
      </w:r>
      <w:r w:rsidR="00002638" w:rsidRPr="00B83421">
        <w:rPr>
          <w:rFonts w:ascii="Times New Roman" w:hAnsi="Times New Roman" w:cs="Times New Roman"/>
          <w:sz w:val="24"/>
          <w:szCs w:val="24"/>
        </w:rPr>
        <w:t xml:space="preserve">(b) </w:t>
      </w:r>
      <w:r w:rsidR="00CB3E6E" w:rsidRPr="00B83421">
        <w:rPr>
          <w:rFonts w:ascii="Times New Roman" w:hAnsi="Times New Roman" w:cs="Times New Roman"/>
          <w:sz w:val="24"/>
          <w:szCs w:val="24"/>
        </w:rPr>
        <w:t xml:space="preserve">estimates of 0.98 and 0.88, respectively.  This suggests that if the </w:t>
      </w:r>
      <w:r w:rsidR="00747300" w:rsidRPr="00B83421">
        <w:rPr>
          <w:rFonts w:ascii="Times New Roman" w:hAnsi="Times New Roman" w:cs="Times New Roman"/>
          <w:sz w:val="24"/>
          <w:szCs w:val="24"/>
        </w:rPr>
        <w:t>‘</w:t>
      </w:r>
      <w:r w:rsidR="003E53A2" w:rsidRPr="00B83421">
        <w:rPr>
          <w:rFonts w:ascii="Times New Roman" w:hAnsi="Times New Roman" w:cs="Times New Roman"/>
          <w:sz w:val="24"/>
          <w:szCs w:val="24"/>
        </w:rPr>
        <w:t>true</w:t>
      </w:r>
      <w:r w:rsidR="00747300" w:rsidRPr="00B83421">
        <w:rPr>
          <w:rFonts w:ascii="Times New Roman" w:hAnsi="Times New Roman" w:cs="Times New Roman"/>
          <w:sz w:val="24"/>
          <w:szCs w:val="24"/>
        </w:rPr>
        <w:t xml:space="preserve">’ </w:t>
      </w:r>
      <w:r w:rsidR="00D1480A" w:rsidRPr="00B83421">
        <w:rPr>
          <w:rFonts w:ascii="Times New Roman" w:hAnsi="Times New Roman" w:cs="Times New Roman"/>
          <w:sz w:val="24"/>
          <w:szCs w:val="24"/>
        </w:rPr>
        <w:t xml:space="preserve">journal weighting scheme </w:t>
      </w:r>
      <w:r w:rsidR="00CB3E6E" w:rsidRPr="00B83421">
        <w:rPr>
          <w:rFonts w:ascii="Times New Roman" w:hAnsi="Times New Roman" w:cs="Times New Roman"/>
          <w:sz w:val="24"/>
          <w:szCs w:val="24"/>
        </w:rPr>
        <w:t xml:space="preserve">is </w:t>
      </w:r>
      <w:proofErr w:type="spellStart"/>
      <w:r w:rsidR="00CB3E6E" w:rsidRPr="00B83421">
        <w:rPr>
          <w:rFonts w:ascii="Times New Roman" w:hAnsi="Times New Roman" w:cs="Times New Roman"/>
          <w:b/>
          <w:sz w:val="24"/>
          <w:szCs w:val="24"/>
        </w:rPr>
        <w:t>CLh</w:t>
      </w:r>
      <w:proofErr w:type="spellEnd"/>
      <w:r w:rsidR="00CB3E6E" w:rsidRPr="00B83421">
        <w:rPr>
          <w:rFonts w:ascii="Times New Roman" w:hAnsi="Times New Roman" w:cs="Times New Roman"/>
          <w:sz w:val="24"/>
          <w:szCs w:val="24"/>
        </w:rPr>
        <w:t xml:space="preserve">, the rankings obtained by New Zealand economists are relatively insensitive to the assumption made with respect to </w:t>
      </w:r>
      <w:r w:rsidR="00747300" w:rsidRPr="00B83421">
        <w:rPr>
          <w:rFonts w:ascii="Times New Roman" w:hAnsi="Times New Roman" w:cs="Times New Roman"/>
          <w:sz w:val="24"/>
          <w:szCs w:val="24"/>
        </w:rPr>
        <w:t xml:space="preserve">the </w:t>
      </w:r>
      <w:r w:rsidR="00B83CFE" w:rsidRPr="00B83421">
        <w:rPr>
          <w:rFonts w:ascii="Times New Roman" w:hAnsi="Times New Roman" w:cs="Times New Roman"/>
          <w:sz w:val="24"/>
          <w:szCs w:val="24"/>
        </w:rPr>
        <w:t xml:space="preserve">allocation of shares </w:t>
      </w:r>
      <w:r w:rsidR="00747300" w:rsidRPr="00B83421">
        <w:rPr>
          <w:rFonts w:ascii="Times New Roman" w:hAnsi="Times New Roman" w:cs="Times New Roman"/>
          <w:sz w:val="24"/>
          <w:szCs w:val="24"/>
        </w:rPr>
        <w:t xml:space="preserve">for </w:t>
      </w:r>
      <w:r w:rsidR="00B83CFE" w:rsidRPr="00B83421">
        <w:rPr>
          <w:rFonts w:ascii="Times New Roman" w:hAnsi="Times New Roman" w:cs="Times New Roman"/>
          <w:sz w:val="24"/>
          <w:szCs w:val="24"/>
        </w:rPr>
        <w:t>multi-authored papers.  The results for all other JWS, as displayed in the first data column of Table 5</w:t>
      </w:r>
      <w:r w:rsidR="00677285">
        <w:rPr>
          <w:rFonts w:ascii="Times New Roman" w:hAnsi="Times New Roman" w:cs="Times New Roman"/>
          <w:sz w:val="24"/>
          <w:szCs w:val="24"/>
        </w:rPr>
        <w:t>(a)</w:t>
      </w:r>
      <w:r w:rsidR="00747300" w:rsidRPr="00B83421">
        <w:rPr>
          <w:rFonts w:ascii="Times New Roman" w:hAnsi="Times New Roman" w:cs="Times New Roman"/>
          <w:sz w:val="24"/>
          <w:szCs w:val="24"/>
        </w:rPr>
        <w:t>,</w:t>
      </w:r>
      <w:r w:rsidR="00B83CFE" w:rsidRPr="00B83421">
        <w:rPr>
          <w:rFonts w:ascii="Times New Roman" w:hAnsi="Times New Roman" w:cs="Times New Roman"/>
          <w:sz w:val="24"/>
          <w:szCs w:val="24"/>
        </w:rPr>
        <w:t xml:space="preserve"> are consistent with those for </w:t>
      </w:r>
      <w:proofErr w:type="spellStart"/>
      <w:r w:rsidR="00B83CFE" w:rsidRPr="00B83421">
        <w:rPr>
          <w:rFonts w:ascii="Times New Roman" w:hAnsi="Times New Roman" w:cs="Times New Roman"/>
          <w:b/>
          <w:sz w:val="24"/>
          <w:szCs w:val="24"/>
        </w:rPr>
        <w:t>CLh</w:t>
      </w:r>
      <w:proofErr w:type="spellEnd"/>
      <w:r w:rsidR="00B83CFE" w:rsidRPr="00B83421">
        <w:rPr>
          <w:rFonts w:ascii="Times New Roman" w:hAnsi="Times New Roman" w:cs="Times New Roman"/>
          <w:sz w:val="24"/>
          <w:szCs w:val="24"/>
        </w:rPr>
        <w:t xml:space="preserve">.   In the second data column we present the results of a pairwise comparison of ranks when output is defined as share and size adjusted pages and </w:t>
      </w:r>
      <w:r w:rsidR="00747300" w:rsidRPr="00B83421">
        <w:rPr>
          <w:rFonts w:ascii="Times New Roman" w:hAnsi="Times New Roman" w:cs="Times New Roman"/>
          <w:sz w:val="24"/>
          <w:szCs w:val="24"/>
        </w:rPr>
        <w:lastRenderedPageBreak/>
        <w:t xml:space="preserve">unadjusted </w:t>
      </w:r>
      <w:r w:rsidR="00B83CFE" w:rsidRPr="00B83421">
        <w:rPr>
          <w:rFonts w:ascii="Times New Roman" w:hAnsi="Times New Roman" w:cs="Times New Roman"/>
          <w:sz w:val="24"/>
          <w:szCs w:val="24"/>
        </w:rPr>
        <w:t>pages</w:t>
      </w:r>
      <w:r w:rsidR="00747300" w:rsidRPr="00B83421">
        <w:rPr>
          <w:rFonts w:ascii="Times New Roman" w:hAnsi="Times New Roman" w:cs="Times New Roman"/>
          <w:sz w:val="24"/>
          <w:szCs w:val="24"/>
        </w:rPr>
        <w:t xml:space="preserve">.  </w:t>
      </w:r>
      <w:r w:rsidR="00861A07" w:rsidRPr="00B83421">
        <w:rPr>
          <w:rFonts w:ascii="Times New Roman" w:hAnsi="Times New Roman" w:cs="Times New Roman"/>
          <w:sz w:val="24"/>
          <w:szCs w:val="24"/>
        </w:rPr>
        <w:t>Note that the SP</w:t>
      </w:r>
      <w:r w:rsidR="00002638" w:rsidRPr="00B83421">
        <w:rPr>
          <w:rFonts w:ascii="Times New Roman" w:hAnsi="Times New Roman" w:cs="Times New Roman"/>
          <w:sz w:val="24"/>
          <w:szCs w:val="24"/>
        </w:rPr>
        <w:t xml:space="preserve"> and KT</w:t>
      </w:r>
      <w:r w:rsidR="00861A07" w:rsidRPr="00B83421">
        <w:rPr>
          <w:rFonts w:ascii="Times New Roman" w:hAnsi="Times New Roman" w:cs="Times New Roman"/>
          <w:sz w:val="24"/>
          <w:szCs w:val="24"/>
        </w:rPr>
        <w:t xml:space="preserve"> are identical </w:t>
      </w:r>
      <w:r w:rsidR="008877B7" w:rsidRPr="00B83421">
        <w:rPr>
          <w:rFonts w:ascii="Times New Roman" w:hAnsi="Times New Roman" w:cs="Times New Roman"/>
          <w:sz w:val="24"/>
          <w:szCs w:val="24"/>
        </w:rPr>
        <w:t xml:space="preserve">to those in the first column </w:t>
      </w:r>
      <w:r w:rsidR="00861A07" w:rsidRPr="00B83421">
        <w:rPr>
          <w:rFonts w:ascii="Times New Roman" w:hAnsi="Times New Roman" w:cs="Times New Roman"/>
          <w:sz w:val="24"/>
          <w:szCs w:val="24"/>
        </w:rPr>
        <w:t>for six of the seven JWS</w:t>
      </w:r>
      <w:r w:rsidR="008877B7" w:rsidRPr="00B83421">
        <w:rPr>
          <w:rFonts w:ascii="Times New Roman" w:hAnsi="Times New Roman" w:cs="Times New Roman"/>
          <w:sz w:val="24"/>
          <w:szCs w:val="24"/>
        </w:rPr>
        <w:t xml:space="preserve">.  The exception is </w:t>
      </w:r>
      <w:r w:rsidR="008877B7" w:rsidRPr="00B83421">
        <w:rPr>
          <w:rFonts w:ascii="Times New Roman" w:hAnsi="Times New Roman" w:cs="Times New Roman"/>
          <w:b/>
          <w:sz w:val="24"/>
          <w:szCs w:val="24"/>
        </w:rPr>
        <w:t>ABDC</w:t>
      </w:r>
      <w:r w:rsidR="008877B7" w:rsidRPr="00B83421">
        <w:rPr>
          <w:rFonts w:ascii="Times New Roman" w:hAnsi="Times New Roman" w:cs="Times New Roman"/>
          <w:sz w:val="24"/>
          <w:szCs w:val="24"/>
        </w:rPr>
        <w:t>; however, the differences are trivial</w:t>
      </w:r>
      <w:r w:rsidR="00677285">
        <w:rPr>
          <w:rFonts w:ascii="Times New Roman" w:hAnsi="Times New Roman" w:cs="Times New Roman"/>
          <w:sz w:val="24"/>
          <w:szCs w:val="24"/>
        </w:rPr>
        <w:t xml:space="preserve"> – </w:t>
      </w:r>
      <w:r w:rsidR="00861A07" w:rsidRPr="00B83421">
        <w:rPr>
          <w:rFonts w:ascii="Times New Roman" w:hAnsi="Times New Roman" w:cs="Times New Roman"/>
          <w:sz w:val="24"/>
          <w:szCs w:val="24"/>
        </w:rPr>
        <w:t>0.01 and 0.02 for SP and KT, respectively.  In other words, the common practice of adjusting for page size appears to</w:t>
      </w:r>
      <w:r w:rsidR="00194912" w:rsidRPr="00B83421">
        <w:rPr>
          <w:rFonts w:ascii="Times New Roman" w:hAnsi="Times New Roman" w:cs="Times New Roman"/>
          <w:sz w:val="24"/>
          <w:szCs w:val="24"/>
        </w:rPr>
        <w:t xml:space="preserve"> have negligible impact on rankings, at least with respect to any of the JWS </w:t>
      </w:r>
      <w:r w:rsidR="00924BFF" w:rsidRPr="00B83421">
        <w:rPr>
          <w:rFonts w:ascii="Times New Roman" w:hAnsi="Times New Roman" w:cs="Times New Roman"/>
          <w:sz w:val="24"/>
          <w:szCs w:val="24"/>
        </w:rPr>
        <w:t xml:space="preserve">employed </w:t>
      </w:r>
      <w:r w:rsidR="00194912" w:rsidRPr="00B83421">
        <w:rPr>
          <w:rFonts w:ascii="Times New Roman" w:hAnsi="Times New Roman" w:cs="Times New Roman"/>
          <w:sz w:val="24"/>
          <w:szCs w:val="24"/>
        </w:rPr>
        <w:t xml:space="preserve">in this paper. </w:t>
      </w:r>
      <w:r w:rsidR="00861A07" w:rsidRPr="00B83421">
        <w:rPr>
          <w:rFonts w:ascii="Times New Roman" w:hAnsi="Times New Roman" w:cs="Times New Roman"/>
          <w:sz w:val="24"/>
          <w:szCs w:val="24"/>
        </w:rPr>
        <w:t xml:space="preserve"> </w:t>
      </w:r>
      <w:r w:rsidR="00194912" w:rsidRPr="00B83421">
        <w:rPr>
          <w:rFonts w:ascii="Times New Roman" w:hAnsi="Times New Roman" w:cs="Times New Roman"/>
          <w:sz w:val="24"/>
          <w:szCs w:val="24"/>
        </w:rPr>
        <w:t>This result is clearly demonstrated by reviewing the third data column where</w:t>
      </w:r>
      <w:r w:rsidR="00C63EE9" w:rsidRPr="00B83421">
        <w:rPr>
          <w:rFonts w:ascii="Times New Roman" w:hAnsi="Times New Roman" w:cs="Times New Roman"/>
          <w:sz w:val="24"/>
          <w:szCs w:val="24"/>
        </w:rPr>
        <w:t>in</w:t>
      </w:r>
      <w:r w:rsidR="00194912" w:rsidRPr="00B83421">
        <w:rPr>
          <w:rFonts w:ascii="Times New Roman" w:hAnsi="Times New Roman" w:cs="Times New Roman"/>
          <w:sz w:val="24"/>
          <w:szCs w:val="24"/>
        </w:rPr>
        <w:t xml:space="preserve"> the SP and KT are displayed </w:t>
      </w:r>
      <w:r w:rsidR="00E30653" w:rsidRPr="00B83421">
        <w:rPr>
          <w:rFonts w:ascii="Times New Roman" w:hAnsi="Times New Roman" w:cs="Times New Roman"/>
          <w:sz w:val="24"/>
          <w:szCs w:val="24"/>
        </w:rPr>
        <w:t>at</w:t>
      </w:r>
      <w:r w:rsidR="00194912" w:rsidRPr="00B83421">
        <w:rPr>
          <w:rFonts w:ascii="Times New Roman" w:hAnsi="Times New Roman" w:cs="Times New Roman"/>
          <w:sz w:val="24"/>
          <w:szCs w:val="24"/>
        </w:rPr>
        <w:t xml:space="preserve"> three decimal</w:t>
      </w:r>
      <w:r w:rsidR="00E30653" w:rsidRPr="00B83421">
        <w:rPr>
          <w:rFonts w:ascii="Times New Roman" w:hAnsi="Times New Roman" w:cs="Times New Roman"/>
          <w:sz w:val="24"/>
          <w:szCs w:val="24"/>
        </w:rPr>
        <w:t xml:space="preserve"> places</w:t>
      </w:r>
      <w:r w:rsidR="00194912" w:rsidRPr="00B83421">
        <w:rPr>
          <w:rFonts w:ascii="Times New Roman" w:hAnsi="Times New Roman" w:cs="Times New Roman"/>
          <w:sz w:val="24"/>
          <w:szCs w:val="24"/>
        </w:rPr>
        <w:t xml:space="preserve"> in order to reveal the impact</w:t>
      </w:r>
      <w:r w:rsidR="008877B7" w:rsidRPr="00B83421">
        <w:rPr>
          <w:rFonts w:ascii="Times New Roman" w:hAnsi="Times New Roman" w:cs="Times New Roman"/>
          <w:sz w:val="24"/>
          <w:szCs w:val="24"/>
        </w:rPr>
        <w:t xml:space="preserve"> </w:t>
      </w:r>
      <w:r w:rsidR="00C63EE9" w:rsidRPr="00B83421">
        <w:rPr>
          <w:rFonts w:ascii="Times New Roman" w:hAnsi="Times New Roman" w:cs="Times New Roman"/>
          <w:sz w:val="24"/>
          <w:szCs w:val="24"/>
        </w:rPr>
        <w:t xml:space="preserve">of page size </w:t>
      </w:r>
      <w:r w:rsidR="00747300" w:rsidRPr="00B83421">
        <w:rPr>
          <w:rFonts w:ascii="Times New Roman" w:hAnsi="Times New Roman" w:cs="Times New Roman"/>
          <w:sz w:val="24"/>
          <w:szCs w:val="24"/>
        </w:rPr>
        <w:t>adjustments</w:t>
      </w:r>
      <w:r w:rsidR="00194912" w:rsidRPr="00B83421">
        <w:rPr>
          <w:rFonts w:ascii="Times New Roman" w:hAnsi="Times New Roman" w:cs="Times New Roman"/>
          <w:sz w:val="24"/>
          <w:szCs w:val="24"/>
        </w:rPr>
        <w:t xml:space="preserve">. </w:t>
      </w:r>
    </w:p>
    <w:p w14:paraId="045542EC" w14:textId="77777777" w:rsidR="00D44F6C" w:rsidRDefault="00D44F6C" w:rsidP="00567DDE">
      <w:pPr>
        <w:jc w:val="both"/>
        <w:rPr>
          <w:rFonts w:ascii="Times New Roman" w:hAnsi="Times New Roman" w:cs="Times New Roman"/>
          <w:sz w:val="24"/>
          <w:szCs w:val="24"/>
        </w:rPr>
      </w:pPr>
    </w:p>
    <w:tbl>
      <w:tblPr>
        <w:tblW w:w="8715" w:type="dxa"/>
        <w:tblInd w:w="93" w:type="dxa"/>
        <w:tblLook w:val="04A0" w:firstRow="1" w:lastRow="0" w:firstColumn="1" w:lastColumn="0" w:noHBand="0" w:noVBand="1"/>
      </w:tblPr>
      <w:tblGrid>
        <w:gridCol w:w="1156"/>
        <w:gridCol w:w="1191"/>
        <w:gridCol w:w="1191"/>
        <w:gridCol w:w="1417"/>
        <w:gridCol w:w="1191"/>
        <w:gridCol w:w="1378"/>
        <w:gridCol w:w="1191"/>
      </w:tblGrid>
      <w:tr w:rsidR="00677285" w:rsidRPr="00056BD0" w14:paraId="40BA8D88" w14:textId="77777777" w:rsidTr="00677285">
        <w:trPr>
          <w:trHeight w:val="737"/>
        </w:trPr>
        <w:tc>
          <w:tcPr>
            <w:tcW w:w="8715" w:type="dxa"/>
            <w:gridSpan w:val="7"/>
            <w:tcBorders>
              <w:left w:val="nil"/>
              <w:bottom w:val="single" w:sz="4" w:space="0" w:color="auto"/>
              <w:right w:val="nil"/>
            </w:tcBorders>
            <w:shd w:val="clear" w:color="auto" w:fill="auto"/>
            <w:noWrap/>
            <w:vAlign w:val="center"/>
            <w:hideMark/>
          </w:tcPr>
          <w:p w14:paraId="7DD8A5A2" w14:textId="77777777" w:rsidR="00A33329" w:rsidRDefault="00B52297" w:rsidP="00A33329">
            <w:pPr>
              <w:spacing w:after="0" w:line="240" w:lineRule="auto"/>
              <w:ind w:left="45"/>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Table 5(a): </w:t>
            </w:r>
            <w:r w:rsidR="00677285" w:rsidRPr="00B52297">
              <w:rPr>
                <w:rFonts w:ascii="Times New Roman" w:eastAsia="Times New Roman" w:hAnsi="Times New Roman" w:cs="Times New Roman"/>
                <w:b/>
                <w:bCs/>
                <w:color w:val="000000"/>
              </w:rPr>
              <w:t xml:space="preserve">Kendall's Tau </w:t>
            </w:r>
            <w:r w:rsidR="00E6612C" w:rsidRPr="00B52297">
              <w:rPr>
                <w:rFonts w:ascii="Times New Roman" w:eastAsia="Times New Roman" w:hAnsi="Times New Roman" w:cs="Times New Roman"/>
                <w:b/>
                <w:bCs/>
                <w:color w:val="000000"/>
              </w:rPr>
              <w:t>and</w:t>
            </w:r>
            <w:r w:rsidR="00A33329">
              <w:rPr>
                <w:rFonts w:ascii="Times New Roman" w:eastAsia="Times New Roman" w:hAnsi="Times New Roman" w:cs="Times New Roman"/>
                <w:b/>
                <w:bCs/>
                <w:color w:val="000000"/>
              </w:rPr>
              <w:t xml:space="preserve"> Spearman (in parenthesis) Correlation C</w:t>
            </w:r>
            <w:r w:rsidR="00677285" w:rsidRPr="00B52297">
              <w:rPr>
                <w:rFonts w:ascii="Times New Roman" w:eastAsia="Times New Roman" w:hAnsi="Times New Roman" w:cs="Times New Roman"/>
                <w:b/>
                <w:bCs/>
                <w:color w:val="000000"/>
              </w:rPr>
              <w:t>oefficients</w:t>
            </w:r>
          </w:p>
          <w:p w14:paraId="5BE3798A" w14:textId="1D238842" w:rsidR="00677285" w:rsidRPr="00B52297" w:rsidRDefault="00A33329" w:rsidP="00A33329">
            <w:pPr>
              <w:spacing w:after="0" w:line="240" w:lineRule="auto"/>
              <w:ind w:left="45"/>
              <w:jc w:val="center"/>
              <w:rPr>
                <w:rFonts w:ascii="Times New Roman" w:eastAsia="Times New Roman" w:hAnsi="Times New Roman" w:cs="Times New Roman"/>
                <w:b/>
                <w:color w:val="000000"/>
              </w:rPr>
            </w:pPr>
            <w:r>
              <w:rPr>
                <w:rFonts w:ascii="Times New Roman" w:eastAsia="Times New Roman" w:hAnsi="Times New Roman" w:cs="Times New Roman"/>
                <w:b/>
                <w:bCs/>
                <w:color w:val="000000"/>
              </w:rPr>
              <w:t xml:space="preserve"> Alterative Output Measures, All active Staff, Publications 2006-2011</w:t>
            </w:r>
          </w:p>
        </w:tc>
      </w:tr>
      <w:tr w:rsidR="00367DB9" w:rsidRPr="00056BD0" w14:paraId="1DDA6EB3" w14:textId="77777777" w:rsidTr="00956765">
        <w:trPr>
          <w:trHeight w:val="600"/>
        </w:trPr>
        <w:tc>
          <w:tcPr>
            <w:tcW w:w="1156" w:type="dxa"/>
            <w:tcBorders>
              <w:top w:val="nil"/>
              <w:left w:val="nil"/>
              <w:bottom w:val="nil"/>
              <w:right w:val="nil"/>
            </w:tcBorders>
            <w:shd w:val="clear" w:color="auto" w:fill="auto"/>
            <w:noWrap/>
            <w:vAlign w:val="bottom"/>
            <w:hideMark/>
          </w:tcPr>
          <w:p w14:paraId="4FD4718C" w14:textId="77777777" w:rsidR="00367DB9" w:rsidRPr="00056BD0" w:rsidRDefault="00367DB9" w:rsidP="00FA51D3">
            <w:pPr>
              <w:spacing w:after="0" w:line="240" w:lineRule="auto"/>
              <w:rPr>
                <w:rFonts w:ascii="Times New Roman" w:eastAsia="Times New Roman" w:hAnsi="Times New Roman" w:cs="Times New Roman"/>
                <w:color w:val="000000"/>
              </w:rPr>
            </w:pPr>
          </w:p>
        </w:tc>
        <w:tc>
          <w:tcPr>
            <w:tcW w:w="3799" w:type="dxa"/>
            <w:gridSpan w:val="3"/>
            <w:tcBorders>
              <w:top w:val="nil"/>
              <w:left w:val="nil"/>
              <w:bottom w:val="single" w:sz="4" w:space="0" w:color="auto"/>
              <w:right w:val="single" w:sz="4" w:space="0" w:color="auto"/>
            </w:tcBorders>
            <w:shd w:val="clear" w:color="auto" w:fill="auto"/>
            <w:noWrap/>
            <w:vAlign w:val="center"/>
            <w:hideMark/>
          </w:tcPr>
          <w:p w14:paraId="73C3ADBA" w14:textId="77777777" w:rsidR="002904D1" w:rsidRDefault="000610B1" w:rsidP="00FA51D3">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Output: </w:t>
            </w:r>
          </w:p>
          <w:p w14:paraId="2414EB37" w14:textId="34ECC151" w:rsidR="00367DB9" w:rsidRPr="00056BD0" w:rsidRDefault="000610B1" w:rsidP="00FA51D3">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P</w:t>
            </w:r>
            <w:r w:rsidR="00367DB9" w:rsidRPr="00056BD0">
              <w:rPr>
                <w:rFonts w:ascii="Times New Roman" w:eastAsia="Times New Roman" w:hAnsi="Times New Roman" w:cs="Times New Roman"/>
                <w:bCs/>
                <w:color w:val="000000"/>
              </w:rPr>
              <w:t>ages</w:t>
            </w:r>
          </w:p>
        </w:tc>
        <w:tc>
          <w:tcPr>
            <w:tcW w:w="11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07146" w14:textId="186589A5" w:rsidR="00367DB9" w:rsidRPr="00056BD0" w:rsidRDefault="000610B1" w:rsidP="00677285">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Output: P</w:t>
            </w:r>
            <w:r w:rsidR="00367DB9" w:rsidRPr="00056BD0">
              <w:rPr>
                <w:rFonts w:ascii="Times New Roman" w:eastAsia="Times New Roman" w:hAnsi="Times New Roman" w:cs="Times New Roman"/>
                <w:bCs/>
                <w:color w:val="000000"/>
              </w:rPr>
              <w:t>apers</w:t>
            </w:r>
          </w:p>
        </w:tc>
        <w:tc>
          <w:tcPr>
            <w:tcW w:w="2569" w:type="dxa"/>
            <w:gridSpan w:val="2"/>
            <w:tcBorders>
              <w:top w:val="nil"/>
              <w:left w:val="single" w:sz="4" w:space="0" w:color="auto"/>
              <w:bottom w:val="single" w:sz="4" w:space="0" w:color="auto"/>
              <w:right w:val="nil"/>
            </w:tcBorders>
            <w:shd w:val="clear" w:color="auto" w:fill="auto"/>
            <w:vAlign w:val="center"/>
            <w:hideMark/>
          </w:tcPr>
          <w:p w14:paraId="5CF8D9C0" w14:textId="77777777" w:rsidR="000610B1" w:rsidRDefault="00367DB9" w:rsidP="000610B1">
            <w:pPr>
              <w:spacing w:after="0" w:line="240" w:lineRule="auto"/>
              <w:ind w:right="440"/>
              <w:jc w:val="center"/>
              <w:rPr>
                <w:rFonts w:ascii="Times New Roman" w:eastAsia="Times New Roman" w:hAnsi="Times New Roman" w:cs="Times New Roman"/>
                <w:bCs/>
                <w:color w:val="000000"/>
              </w:rPr>
            </w:pPr>
            <w:r w:rsidRPr="00056BD0">
              <w:rPr>
                <w:rFonts w:ascii="Times New Roman" w:eastAsia="Times New Roman" w:hAnsi="Times New Roman" w:cs="Times New Roman"/>
                <w:bCs/>
                <w:color w:val="000000"/>
              </w:rPr>
              <w:t xml:space="preserve">Output: </w:t>
            </w:r>
          </w:p>
          <w:p w14:paraId="684E45D8" w14:textId="21AF9633" w:rsidR="00367DB9" w:rsidRPr="00056BD0" w:rsidRDefault="000610B1" w:rsidP="000610B1">
            <w:pPr>
              <w:spacing w:after="0" w:line="240" w:lineRule="auto"/>
              <w:ind w:right="44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P</w:t>
            </w:r>
            <w:r w:rsidR="00367DB9" w:rsidRPr="00056BD0">
              <w:rPr>
                <w:rFonts w:ascii="Times New Roman" w:eastAsia="Times New Roman" w:hAnsi="Times New Roman" w:cs="Times New Roman"/>
                <w:bCs/>
                <w:color w:val="000000"/>
              </w:rPr>
              <w:t xml:space="preserve">ages  </w:t>
            </w:r>
            <w:r w:rsidR="00E6612C">
              <w:rPr>
                <w:rFonts w:ascii="Times New Roman" w:eastAsia="Times New Roman" w:hAnsi="Times New Roman" w:cs="Times New Roman"/>
                <w:bCs/>
                <w:color w:val="000000"/>
              </w:rPr>
              <w:t>and</w:t>
            </w:r>
            <w:r>
              <w:rPr>
                <w:rFonts w:ascii="Times New Roman" w:eastAsia="Times New Roman" w:hAnsi="Times New Roman" w:cs="Times New Roman"/>
                <w:bCs/>
                <w:color w:val="000000"/>
              </w:rPr>
              <w:t xml:space="preserve"> P</w:t>
            </w:r>
            <w:r w:rsidR="00367DB9" w:rsidRPr="00056BD0">
              <w:rPr>
                <w:rFonts w:ascii="Times New Roman" w:eastAsia="Times New Roman" w:hAnsi="Times New Roman" w:cs="Times New Roman"/>
                <w:bCs/>
                <w:color w:val="000000"/>
              </w:rPr>
              <w:t>apers</w:t>
            </w:r>
          </w:p>
        </w:tc>
      </w:tr>
      <w:tr w:rsidR="00367DB9" w:rsidRPr="00056BD0" w14:paraId="2B2970A9" w14:textId="77777777" w:rsidTr="00956765">
        <w:trPr>
          <w:trHeight w:val="1531"/>
        </w:trPr>
        <w:tc>
          <w:tcPr>
            <w:tcW w:w="1156" w:type="dxa"/>
            <w:tcBorders>
              <w:top w:val="nil"/>
              <w:left w:val="nil"/>
              <w:bottom w:val="single" w:sz="4" w:space="0" w:color="auto"/>
              <w:right w:val="nil"/>
            </w:tcBorders>
            <w:shd w:val="clear" w:color="auto" w:fill="auto"/>
            <w:vAlign w:val="center"/>
            <w:hideMark/>
          </w:tcPr>
          <w:p w14:paraId="5FD58CD6" w14:textId="77777777" w:rsidR="00367DB9" w:rsidRPr="00056BD0" w:rsidRDefault="00367DB9" w:rsidP="000610B1">
            <w:pPr>
              <w:spacing w:after="0" w:line="240" w:lineRule="auto"/>
              <w:jc w:val="center"/>
              <w:rPr>
                <w:rFonts w:ascii="Times New Roman" w:eastAsia="Times New Roman" w:hAnsi="Times New Roman" w:cs="Times New Roman"/>
                <w:bCs/>
                <w:color w:val="000000"/>
              </w:rPr>
            </w:pPr>
            <w:r w:rsidRPr="00056BD0">
              <w:rPr>
                <w:rFonts w:ascii="Times New Roman" w:eastAsia="Times New Roman" w:hAnsi="Times New Roman" w:cs="Times New Roman"/>
                <w:bCs/>
                <w:color w:val="000000"/>
              </w:rPr>
              <w:t>Journal weighting scheme</w:t>
            </w:r>
          </w:p>
        </w:tc>
        <w:tc>
          <w:tcPr>
            <w:tcW w:w="1191" w:type="dxa"/>
            <w:tcBorders>
              <w:top w:val="nil"/>
              <w:left w:val="nil"/>
              <w:bottom w:val="single" w:sz="4" w:space="0" w:color="auto"/>
              <w:right w:val="nil"/>
            </w:tcBorders>
            <w:shd w:val="clear" w:color="auto" w:fill="auto"/>
            <w:vAlign w:val="center"/>
            <w:hideMark/>
          </w:tcPr>
          <w:p w14:paraId="1E88D658" w14:textId="14B1C0FE" w:rsidR="00367DB9" w:rsidRPr="00056BD0" w:rsidRDefault="00367DB9" w:rsidP="000610B1">
            <w:pPr>
              <w:spacing w:after="0" w:line="240" w:lineRule="auto"/>
              <w:jc w:val="center"/>
              <w:rPr>
                <w:rFonts w:ascii="Times New Roman" w:eastAsia="Times New Roman" w:hAnsi="Times New Roman" w:cs="Times New Roman"/>
                <w:bCs/>
                <w:color w:val="000000"/>
              </w:rPr>
            </w:pPr>
            <w:r w:rsidRPr="00056BD0">
              <w:rPr>
                <w:rFonts w:ascii="Times New Roman" w:eastAsia="Times New Roman" w:hAnsi="Times New Roman" w:cs="Times New Roman"/>
                <w:bCs/>
                <w:color w:val="000000"/>
              </w:rPr>
              <w:t xml:space="preserve">Share </w:t>
            </w:r>
            <w:r w:rsidR="00E6612C">
              <w:rPr>
                <w:rFonts w:ascii="Times New Roman" w:eastAsia="Times New Roman" w:hAnsi="Times New Roman" w:cs="Times New Roman"/>
                <w:bCs/>
                <w:color w:val="000000"/>
              </w:rPr>
              <w:t>and</w:t>
            </w:r>
            <w:r w:rsidRPr="00056BD0">
              <w:rPr>
                <w:rFonts w:ascii="Times New Roman" w:eastAsia="Times New Roman" w:hAnsi="Times New Roman" w:cs="Times New Roman"/>
                <w:bCs/>
                <w:color w:val="000000"/>
              </w:rPr>
              <w:t xml:space="preserve"> size </w:t>
            </w:r>
            <w:proofErr w:type="spellStart"/>
            <w:r w:rsidRPr="00056BD0">
              <w:rPr>
                <w:rFonts w:ascii="Times New Roman" w:eastAsia="Times New Roman" w:hAnsi="Times New Roman" w:cs="Times New Roman"/>
                <w:bCs/>
                <w:color w:val="000000"/>
              </w:rPr>
              <w:t>adj</w:t>
            </w:r>
            <w:proofErr w:type="spellEnd"/>
            <w:r w:rsidRPr="00056BD0">
              <w:rPr>
                <w:rFonts w:ascii="Times New Roman" w:eastAsia="Times New Roman" w:hAnsi="Times New Roman" w:cs="Times New Roman"/>
                <w:bCs/>
                <w:color w:val="000000"/>
              </w:rPr>
              <w:t xml:space="preserve">: size </w:t>
            </w:r>
            <w:proofErr w:type="spellStart"/>
            <w:r w:rsidRPr="00056BD0">
              <w:rPr>
                <w:rFonts w:ascii="Times New Roman" w:eastAsia="Times New Roman" w:hAnsi="Times New Roman" w:cs="Times New Roman"/>
                <w:bCs/>
                <w:color w:val="000000"/>
              </w:rPr>
              <w:t>adj</w:t>
            </w:r>
            <w:proofErr w:type="spellEnd"/>
            <w:r w:rsidRPr="00056BD0">
              <w:rPr>
                <w:rFonts w:ascii="Times New Roman" w:eastAsia="Times New Roman" w:hAnsi="Times New Roman" w:cs="Times New Roman"/>
                <w:bCs/>
                <w:color w:val="000000"/>
              </w:rPr>
              <w:t xml:space="preserve"> only</w:t>
            </w:r>
          </w:p>
        </w:tc>
        <w:tc>
          <w:tcPr>
            <w:tcW w:w="1191" w:type="dxa"/>
            <w:tcBorders>
              <w:top w:val="nil"/>
              <w:left w:val="nil"/>
              <w:bottom w:val="single" w:sz="4" w:space="0" w:color="auto"/>
              <w:right w:val="nil"/>
            </w:tcBorders>
            <w:shd w:val="clear" w:color="auto" w:fill="auto"/>
            <w:vAlign w:val="center"/>
            <w:hideMark/>
          </w:tcPr>
          <w:p w14:paraId="0293B754" w14:textId="40FBA17D" w:rsidR="00367DB9" w:rsidRPr="00056BD0" w:rsidRDefault="00367DB9" w:rsidP="000610B1">
            <w:pPr>
              <w:spacing w:after="0" w:line="240" w:lineRule="auto"/>
              <w:jc w:val="center"/>
              <w:rPr>
                <w:rFonts w:ascii="Times New Roman" w:eastAsia="Times New Roman" w:hAnsi="Times New Roman" w:cs="Times New Roman"/>
                <w:bCs/>
                <w:color w:val="000000"/>
              </w:rPr>
            </w:pPr>
            <w:r w:rsidRPr="00056BD0">
              <w:rPr>
                <w:rFonts w:ascii="Times New Roman" w:eastAsia="Times New Roman" w:hAnsi="Times New Roman" w:cs="Times New Roman"/>
                <w:bCs/>
                <w:color w:val="000000"/>
              </w:rPr>
              <w:t xml:space="preserve">Share </w:t>
            </w:r>
            <w:r w:rsidR="00E6612C">
              <w:rPr>
                <w:rFonts w:ascii="Times New Roman" w:eastAsia="Times New Roman" w:hAnsi="Times New Roman" w:cs="Times New Roman"/>
                <w:bCs/>
                <w:color w:val="000000"/>
              </w:rPr>
              <w:t>and</w:t>
            </w:r>
            <w:r w:rsidRPr="00056BD0">
              <w:rPr>
                <w:rFonts w:ascii="Times New Roman" w:eastAsia="Times New Roman" w:hAnsi="Times New Roman" w:cs="Times New Roman"/>
                <w:bCs/>
                <w:color w:val="000000"/>
              </w:rPr>
              <w:t xml:space="preserve"> size </w:t>
            </w:r>
            <w:proofErr w:type="spellStart"/>
            <w:r w:rsidRPr="00056BD0">
              <w:rPr>
                <w:rFonts w:ascii="Times New Roman" w:eastAsia="Times New Roman" w:hAnsi="Times New Roman" w:cs="Times New Roman"/>
                <w:bCs/>
                <w:color w:val="000000"/>
              </w:rPr>
              <w:t>adj</w:t>
            </w:r>
            <w:proofErr w:type="spellEnd"/>
            <w:r w:rsidRPr="00056BD0">
              <w:rPr>
                <w:rFonts w:ascii="Times New Roman" w:eastAsia="Times New Roman" w:hAnsi="Times New Roman" w:cs="Times New Roman"/>
                <w:bCs/>
                <w:color w:val="000000"/>
              </w:rPr>
              <w:t xml:space="preserve">: NO share, NO size </w:t>
            </w:r>
            <w:proofErr w:type="spellStart"/>
            <w:r w:rsidRPr="00056BD0">
              <w:rPr>
                <w:rFonts w:ascii="Times New Roman" w:eastAsia="Times New Roman" w:hAnsi="Times New Roman" w:cs="Times New Roman"/>
                <w:bCs/>
                <w:color w:val="000000"/>
              </w:rPr>
              <w:t>adj</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77ECBE52" w14:textId="77777777" w:rsidR="00367DB9" w:rsidRPr="00056BD0" w:rsidRDefault="00367DB9" w:rsidP="000610B1">
            <w:pPr>
              <w:spacing w:after="0" w:line="240" w:lineRule="auto"/>
              <w:jc w:val="center"/>
              <w:rPr>
                <w:rFonts w:ascii="Times New Roman" w:eastAsia="Times New Roman" w:hAnsi="Times New Roman" w:cs="Times New Roman"/>
                <w:bCs/>
                <w:color w:val="000000"/>
              </w:rPr>
            </w:pPr>
            <w:r w:rsidRPr="00056BD0">
              <w:rPr>
                <w:rFonts w:ascii="Times New Roman" w:eastAsia="Times New Roman" w:hAnsi="Times New Roman" w:cs="Times New Roman"/>
                <w:bCs/>
                <w:color w:val="000000"/>
              </w:rPr>
              <w:t xml:space="preserve">Size </w:t>
            </w:r>
            <w:proofErr w:type="spellStart"/>
            <w:r w:rsidRPr="00056BD0">
              <w:rPr>
                <w:rFonts w:ascii="Times New Roman" w:eastAsia="Times New Roman" w:hAnsi="Times New Roman" w:cs="Times New Roman"/>
                <w:bCs/>
                <w:color w:val="000000"/>
              </w:rPr>
              <w:t>adj</w:t>
            </w:r>
            <w:proofErr w:type="spellEnd"/>
            <w:r w:rsidRPr="00056BD0">
              <w:rPr>
                <w:rFonts w:ascii="Times New Roman" w:eastAsia="Times New Roman" w:hAnsi="Times New Roman" w:cs="Times New Roman"/>
                <w:bCs/>
                <w:color w:val="000000"/>
              </w:rPr>
              <w:t xml:space="preserve"> only: NO share, NO size </w:t>
            </w:r>
            <w:proofErr w:type="spellStart"/>
            <w:r w:rsidRPr="00056BD0">
              <w:rPr>
                <w:rFonts w:ascii="Times New Roman" w:eastAsia="Times New Roman" w:hAnsi="Times New Roman" w:cs="Times New Roman"/>
                <w:bCs/>
                <w:color w:val="000000"/>
              </w:rPr>
              <w:t>adj</w:t>
            </w:r>
            <w:proofErr w:type="spellEnd"/>
          </w:p>
        </w:tc>
        <w:tc>
          <w:tcPr>
            <w:tcW w:w="1191" w:type="dxa"/>
            <w:tcBorders>
              <w:top w:val="nil"/>
              <w:left w:val="single" w:sz="4" w:space="0" w:color="auto"/>
              <w:bottom w:val="single" w:sz="4" w:space="0" w:color="auto"/>
              <w:right w:val="single" w:sz="4" w:space="0" w:color="auto"/>
            </w:tcBorders>
            <w:shd w:val="clear" w:color="auto" w:fill="auto"/>
            <w:vAlign w:val="center"/>
            <w:hideMark/>
          </w:tcPr>
          <w:p w14:paraId="504E4175" w14:textId="77777777" w:rsidR="00367DB9" w:rsidRPr="00056BD0" w:rsidRDefault="00367DB9" w:rsidP="000610B1">
            <w:pPr>
              <w:spacing w:after="0" w:line="240" w:lineRule="auto"/>
              <w:jc w:val="center"/>
              <w:rPr>
                <w:rFonts w:ascii="Times New Roman" w:eastAsia="Times New Roman" w:hAnsi="Times New Roman" w:cs="Times New Roman"/>
                <w:bCs/>
                <w:color w:val="000000"/>
              </w:rPr>
            </w:pPr>
            <w:r w:rsidRPr="00056BD0">
              <w:rPr>
                <w:rFonts w:ascii="Times New Roman" w:eastAsia="Times New Roman" w:hAnsi="Times New Roman" w:cs="Times New Roman"/>
                <w:bCs/>
                <w:color w:val="000000"/>
              </w:rPr>
              <w:t xml:space="preserve">Share </w:t>
            </w:r>
            <w:proofErr w:type="spellStart"/>
            <w:r w:rsidRPr="00056BD0">
              <w:rPr>
                <w:rFonts w:ascii="Times New Roman" w:eastAsia="Times New Roman" w:hAnsi="Times New Roman" w:cs="Times New Roman"/>
                <w:bCs/>
                <w:color w:val="000000"/>
              </w:rPr>
              <w:t>adj</w:t>
            </w:r>
            <w:proofErr w:type="spellEnd"/>
            <w:r w:rsidRPr="00056BD0">
              <w:rPr>
                <w:rFonts w:ascii="Times New Roman" w:eastAsia="Times New Roman" w:hAnsi="Times New Roman" w:cs="Times New Roman"/>
                <w:bCs/>
                <w:color w:val="000000"/>
              </w:rPr>
              <w:t xml:space="preserve">: NO share </w:t>
            </w:r>
            <w:proofErr w:type="spellStart"/>
            <w:r w:rsidRPr="00056BD0">
              <w:rPr>
                <w:rFonts w:ascii="Times New Roman" w:eastAsia="Times New Roman" w:hAnsi="Times New Roman" w:cs="Times New Roman"/>
                <w:bCs/>
                <w:color w:val="000000"/>
              </w:rPr>
              <w:t>adj</w:t>
            </w:r>
            <w:proofErr w:type="spellEnd"/>
          </w:p>
        </w:tc>
        <w:tc>
          <w:tcPr>
            <w:tcW w:w="1378" w:type="dxa"/>
            <w:tcBorders>
              <w:top w:val="nil"/>
              <w:left w:val="single" w:sz="4" w:space="0" w:color="auto"/>
              <w:bottom w:val="single" w:sz="4" w:space="0" w:color="auto"/>
              <w:right w:val="nil"/>
            </w:tcBorders>
            <w:shd w:val="clear" w:color="auto" w:fill="auto"/>
            <w:vAlign w:val="center"/>
            <w:hideMark/>
          </w:tcPr>
          <w:p w14:paraId="65320509" w14:textId="118639A2" w:rsidR="00367DB9" w:rsidRPr="00056BD0" w:rsidRDefault="00367DB9" w:rsidP="000610B1">
            <w:pPr>
              <w:spacing w:after="0" w:line="240" w:lineRule="auto"/>
              <w:jc w:val="center"/>
              <w:rPr>
                <w:rFonts w:ascii="Times New Roman" w:eastAsia="Times New Roman" w:hAnsi="Times New Roman" w:cs="Times New Roman"/>
                <w:bCs/>
                <w:color w:val="000000"/>
              </w:rPr>
            </w:pPr>
            <w:r w:rsidRPr="00056BD0">
              <w:rPr>
                <w:rFonts w:ascii="Times New Roman" w:eastAsia="Times New Roman" w:hAnsi="Times New Roman" w:cs="Times New Roman"/>
                <w:bCs/>
                <w:color w:val="000000"/>
              </w:rPr>
              <w:t xml:space="preserve">Share </w:t>
            </w:r>
            <w:r w:rsidR="00E6612C">
              <w:rPr>
                <w:rFonts w:ascii="Times New Roman" w:eastAsia="Times New Roman" w:hAnsi="Times New Roman" w:cs="Times New Roman"/>
                <w:bCs/>
                <w:color w:val="000000"/>
              </w:rPr>
              <w:t>and</w:t>
            </w:r>
            <w:r w:rsidRPr="00056BD0">
              <w:rPr>
                <w:rFonts w:ascii="Times New Roman" w:eastAsia="Times New Roman" w:hAnsi="Times New Roman" w:cs="Times New Roman"/>
                <w:bCs/>
                <w:color w:val="000000"/>
              </w:rPr>
              <w:t xml:space="preserve"> size </w:t>
            </w:r>
            <w:proofErr w:type="spellStart"/>
            <w:r w:rsidRPr="00056BD0">
              <w:rPr>
                <w:rFonts w:ascii="Times New Roman" w:eastAsia="Times New Roman" w:hAnsi="Times New Roman" w:cs="Times New Roman"/>
                <w:bCs/>
                <w:color w:val="000000"/>
              </w:rPr>
              <w:t>adj</w:t>
            </w:r>
            <w:proofErr w:type="spellEnd"/>
            <w:r w:rsidRPr="00056BD0">
              <w:rPr>
                <w:rFonts w:ascii="Times New Roman" w:eastAsia="Times New Roman" w:hAnsi="Times New Roman" w:cs="Times New Roman"/>
                <w:bCs/>
                <w:color w:val="000000"/>
              </w:rPr>
              <w:t xml:space="preserve"> pages: size </w:t>
            </w:r>
            <w:proofErr w:type="spellStart"/>
            <w:r w:rsidRPr="00056BD0">
              <w:rPr>
                <w:rFonts w:ascii="Times New Roman" w:eastAsia="Times New Roman" w:hAnsi="Times New Roman" w:cs="Times New Roman"/>
                <w:bCs/>
                <w:color w:val="000000"/>
              </w:rPr>
              <w:t>adj</w:t>
            </w:r>
            <w:proofErr w:type="spellEnd"/>
            <w:r w:rsidRPr="00056BD0">
              <w:rPr>
                <w:rFonts w:ascii="Times New Roman" w:eastAsia="Times New Roman" w:hAnsi="Times New Roman" w:cs="Times New Roman"/>
                <w:bCs/>
                <w:color w:val="000000"/>
              </w:rPr>
              <w:t xml:space="preserve"> papers</w:t>
            </w:r>
          </w:p>
        </w:tc>
        <w:tc>
          <w:tcPr>
            <w:tcW w:w="1191" w:type="dxa"/>
            <w:tcBorders>
              <w:top w:val="nil"/>
              <w:left w:val="nil"/>
              <w:bottom w:val="single" w:sz="4" w:space="0" w:color="auto"/>
              <w:right w:val="nil"/>
            </w:tcBorders>
            <w:shd w:val="clear" w:color="auto" w:fill="auto"/>
            <w:vAlign w:val="center"/>
            <w:hideMark/>
          </w:tcPr>
          <w:p w14:paraId="4AF81AD0" w14:textId="1990A439" w:rsidR="00367DB9" w:rsidRPr="00056BD0" w:rsidRDefault="00367DB9" w:rsidP="000610B1">
            <w:pPr>
              <w:spacing w:after="0" w:line="240" w:lineRule="auto"/>
              <w:jc w:val="center"/>
              <w:rPr>
                <w:rFonts w:ascii="Times New Roman" w:eastAsia="Times New Roman" w:hAnsi="Times New Roman" w:cs="Times New Roman"/>
                <w:bCs/>
                <w:color w:val="000000"/>
              </w:rPr>
            </w:pPr>
            <w:r w:rsidRPr="00056BD0">
              <w:rPr>
                <w:rFonts w:ascii="Times New Roman" w:eastAsia="Times New Roman" w:hAnsi="Times New Roman" w:cs="Times New Roman"/>
                <w:bCs/>
                <w:color w:val="000000"/>
              </w:rPr>
              <w:t xml:space="preserve">Share </w:t>
            </w:r>
            <w:r w:rsidR="00E6612C">
              <w:rPr>
                <w:rFonts w:ascii="Times New Roman" w:eastAsia="Times New Roman" w:hAnsi="Times New Roman" w:cs="Times New Roman"/>
                <w:bCs/>
                <w:color w:val="000000"/>
              </w:rPr>
              <w:t>and</w:t>
            </w:r>
            <w:r w:rsidRPr="00056BD0">
              <w:rPr>
                <w:rFonts w:ascii="Times New Roman" w:eastAsia="Times New Roman" w:hAnsi="Times New Roman" w:cs="Times New Roman"/>
                <w:bCs/>
                <w:color w:val="000000"/>
              </w:rPr>
              <w:t xml:space="preserve"> size </w:t>
            </w:r>
            <w:proofErr w:type="spellStart"/>
            <w:r w:rsidRPr="00056BD0">
              <w:rPr>
                <w:rFonts w:ascii="Times New Roman" w:eastAsia="Times New Roman" w:hAnsi="Times New Roman" w:cs="Times New Roman"/>
                <w:bCs/>
                <w:color w:val="000000"/>
              </w:rPr>
              <w:t>adj</w:t>
            </w:r>
            <w:proofErr w:type="spellEnd"/>
            <w:r w:rsidRPr="00056BD0">
              <w:rPr>
                <w:rFonts w:ascii="Times New Roman" w:eastAsia="Times New Roman" w:hAnsi="Times New Roman" w:cs="Times New Roman"/>
                <w:bCs/>
                <w:color w:val="000000"/>
              </w:rPr>
              <w:t xml:space="preserve"> pages: NO share </w:t>
            </w:r>
            <w:proofErr w:type="spellStart"/>
            <w:r w:rsidRPr="00056BD0">
              <w:rPr>
                <w:rFonts w:ascii="Times New Roman" w:eastAsia="Times New Roman" w:hAnsi="Times New Roman" w:cs="Times New Roman"/>
                <w:bCs/>
                <w:color w:val="000000"/>
              </w:rPr>
              <w:t>adj</w:t>
            </w:r>
            <w:proofErr w:type="spellEnd"/>
            <w:r w:rsidRPr="00056BD0">
              <w:rPr>
                <w:rFonts w:ascii="Times New Roman" w:eastAsia="Times New Roman" w:hAnsi="Times New Roman" w:cs="Times New Roman"/>
                <w:bCs/>
                <w:color w:val="000000"/>
              </w:rPr>
              <w:t xml:space="preserve"> papers</w:t>
            </w:r>
          </w:p>
        </w:tc>
      </w:tr>
      <w:tr w:rsidR="00367DB9" w:rsidRPr="00056BD0" w14:paraId="2D8FED0A" w14:textId="77777777" w:rsidTr="00956765">
        <w:trPr>
          <w:trHeight w:val="300"/>
        </w:trPr>
        <w:tc>
          <w:tcPr>
            <w:tcW w:w="1156" w:type="dxa"/>
            <w:tcBorders>
              <w:top w:val="nil"/>
              <w:left w:val="nil"/>
              <w:bottom w:val="nil"/>
              <w:right w:val="nil"/>
            </w:tcBorders>
            <w:shd w:val="clear" w:color="auto" w:fill="auto"/>
            <w:noWrap/>
            <w:vAlign w:val="bottom"/>
            <w:hideMark/>
          </w:tcPr>
          <w:p w14:paraId="5F6491AF" w14:textId="77777777" w:rsidR="00367DB9" w:rsidRPr="00056BD0" w:rsidRDefault="00367DB9" w:rsidP="00FA51D3">
            <w:pPr>
              <w:spacing w:after="0" w:line="240" w:lineRule="auto"/>
              <w:rPr>
                <w:rFonts w:ascii="Times New Roman" w:eastAsia="Times New Roman" w:hAnsi="Times New Roman" w:cs="Times New Roman"/>
                <w:bCs/>
                <w:color w:val="000000"/>
              </w:rPr>
            </w:pPr>
            <w:proofErr w:type="spellStart"/>
            <w:r w:rsidRPr="00056BD0">
              <w:rPr>
                <w:rFonts w:ascii="Times New Roman" w:eastAsia="Times New Roman" w:hAnsi="Times New Roman" w:cs="Times New Roman"/>
                <w:bCs/>
                <w:color w:val="000000"/>
              </w:rPr>
              <w:t>CLm</w:t>
            </w:r>
            <w:proofErr w:type="spellEnd"/>
          </w:p>
        </w:tc>
        <w:tc>
          <w:tcPr>
            <w:tcW w:w="1191" w:type="dxa"/>
            <w:tcBorders>
              <w:top w:val="nil"/>
              <w:left w:val="nil"/>
              <w:bottom w:val="nil"/>
              <w:right w:val="nil"/>
            </w:tcBorders>
            <w:shd w:val="clear" w:color="auto" w:fill="auto"/>
            <w:noWrap/>
            <w:vAlign w:val="bottom"/>
            <w:hideMark/>
          </w:tcPr>
          <w:p w14:paraId="3035BDB8"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0.82 (0.95)</w:t>
            </w:r>
          </w:p>
        </w:tc>
        <w:tc>
          <w:tcPr>
            <w:tcW w:w="1191" w:type="dxa"/>
            <w:tcBorders>
              <w:top w:val="nil"/>
              <w:left w:val="nil"/>
              <w:bottom w:val="nil"/>
              <w:right w:val="nil"/>
            </w:tcBorders>
            <w:shd w:val="clear" w:color="auto" w:fill="auto"/>
            <w:noWrap/>
            <w:vAlign w:val="bottom"/>
            <w:hideMark/>
          </w:tcPr>
          <w:p w14:paraId="18BBF8D7"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0.82 (0.95)</w:t>
            </w:r>
          </w:p>
        </w:tc>
        <w:tc>
          <w:tcPr>
            <w:tcW w:w="1417" w:type="dxa"/>
            <w:tcBorders>
              <w:top w:val="nil"/>
              <w:left w:val="nil"/>
              <w:bottom w:val="nil"/>
              <w:right w:val="single" w:sz="4" w:space="0" w:color="auto"/>
            </w:tcBorders>
            <w:shd w:val="clear" w:color="auto" w:fill="auto"/>
            <w:noWrap/>
            <w:vAlign w:val="bottom"/>
            <w:hideMark/>
          </w:tcPr>
          <w:p w14:paraId="7E45FE08" w14:textId="77777777" w:rsidR="00367DB9" w:rsidRPr="00056BD0" w:rsidRDefault="00367DB9" w:rsidP="00FA51D3">
            <w:pPr>
              <w:spacing w:after="0" w:line="240" w:lineRule="auto"/>
              <w:rPr>
                <w:rFonts w:ascii="Times New Roman" w:eastAsia="Times New Roman" w:hAnsi="Times New Roman" w:cs="Times New Roman"/>
                <w:color w:val="000000"/>
              </w:rPr>
            </w:pPr>
            <w:r w:rsidRPr="00056BD0">
              <w:rPr>
                <w:rFonts w:ascii="Times New Roman" w:eastAsia="Times New Roman" w:hAnsi="Times New Roman" w:cs="Times New Roman"/>
                <w:color w:val="000000"/>
              </w:rPr>
              <w:t>0.943 (0.993)</w:t>
            </w:r>
          </w:p>
        </w:tc>
        <w:tc>
          <w:tcPr>
            <w:tcW w:w="1191" w:type="dxa"/>
            <w:tcBorders>
              <w:top w:val="nil"/>
              <w:left w:val="single" w:sz="4" w:space="0" w:color="auto"/>
              <w:bottom w:val="nil"/>
              <w:right w:val="single" w:sz="4" w:space="0" w:color="auto"/>
            </w:tcBorders>
            <w:shd w:val="clear" w:color="auto" w:fill="auto"/>
            <w:noWrap/>
            <w:vAlign w:val="bottom"/>
            <w:hideMark/>
          </w:tcPr>
          <w:p w14:paraId="5E2F865F"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0.81 (0.95)</w:t>
            </w:r>
          </w:p>
        </w:tc>
        <w:tc>
          <w:tcPr>
            <w:tcW w:w="1378" w:type="dxa"/>
            <w:tcBorders>
              <w:top w:val="nil"/>
              <w:left w:val="single" w:sz="4" w:space="0" w:color="auto"/>
              <w:bottom w:val="nil"/>
              <w:right w:val="nil"/>
            </w:tcBorders>
            <w:shd w:val="clear" w:color="auto" w:fill="auto"/>
            <w:noWrap/>
            <w:vAlign w:val="bottom"/>
            <w:hideMark/>
          </w:tcPr>
          <w:p w14:paraId="6042C1F4"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0.82 (0.95)</w:t>
            </w:r>
          </w:p>
        </w:tc>
        <w:tc>
          <w:tcPr>
            <w:tcW w:w="1191" w:type="dxa"/>
            <w:tcBorders>
              <w:top w:val="nil"/>
              <w:left w:val="nil"/>
              <w:bottom w:val="nil"/>
              <w:right w:val="nil"/>
            </w:tcBorders>
            <w:shd w:val="clear" w:color="auto" w:fill="auto"/>
            <w:noWrap/>
            <w:vAlign w:val="bottom"/>
            <w:hideMark/>
          </w:tcPr>
          <w:p w14:paraId="7C178681"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0.78 (0.93)</w:t>
            </w:r>
          </w:p>
        </w:tc>
      </w:tr>
      <w:tr w:rsidR="00367DB9" w:rsidRPr="00056BD0" w14:paraId="087BCE7B" w14:textId="77777777" w:rsidTr="00956765">
        <w:trPr>
          <w:trHeight w:val="300"/>
        </w:trPr>
        <w:tc>
          <w:tcPr>
            <w:tcW w:w="1156" w:type="dxa"/>
            <w:tcBorders>
              <w:top w:val="nil"/>
              <w:left w:val="nil"/>
              <w:bottom w:val="nil"/>
              <w:right w:val="nil"/>
            </w:tcBorders>
            <w:shd w:val="clear" w:color="auto" w:fill="auto"/>
            <w:noWrap/>
            <w:vAlign w:val="bottom"/>
            <w:hideMark/>
          </w:tcPr>
          <w:p w14:paraId="05855AF3" w14:textId="77777777" w:rsidR="00367DB9" w:rsidRPr="00056BD0" w:rsidRDefault="00367DB9" w:rsidP="00FA51D3">
            <w:pPr>
              <w:spacing w:after="0" w:line="240" w:lineRule="auto"/>
              <w:rPr>
                <w:rFonts w:ascii="Times New Roman" w:eastAsia="Times New Roman" w:hAnsi="Times New Roman" w:cs="Times New Roman"/>
                <w:bCs/>
                <w:color w:val="000000"/>
              </w:rPr>
            </w:pPr>
            <w:proofErr w:type="spellStart"/>
            <w:r w:rsidRPr="00056BD0">
              <w:rPr>
                <w:rFonts w:ascii="Times New Roman" w:eastAsia="Times New Roman" w:hAnsi="Times New Roman" w:cs="Times New Roman"/>
                <w:bCs/>
                <w:color w:val="000000"/>
              </w:rPr>
              <w:t>CLh</w:t>
            </w:r>
            <w:proofErr w:type="spellEnd"/>
          </w:p>
        </w:tc>
        <w:tc>
          <w:tcPr>
            <w:tcW w:w="1191" w:type="dxa"/>
            <w:tcBorders>
              <w:top w:val="nil"/>
              <w:left w:val="nil"/>
              <w:bottom w:val="nil"/>
              <w:right w:val="nil"/>
            </w:tcBorders>
            <w:shd w:val="clear" w:color="auto" w:fill="auto"/>
            <w:noWrap/>
            <w:vAlign w:val="bottom"/>
            <w:hideMark/>
          </w:tcPr>
          <w:p w14:paraId="67FEC63C"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0.88 (0.98)</w:t>
            </w:r>
          </w:p>
        </w:tc>
        <w:tc>
          <w:tcPr>
            <w:tcW w:w="1191" w:type="dxa"/>
            <w:tcBorders>
              <w:top w:val="nil"/>
              <w:left w:val="nil"/>
              <w:bottom w:val="nil"/>
              <w:right w:val="nil"/>
            </w:tcBorders>
            <w:shd w:val="clear" w:color="auto" w:fill="auto"/>
            <w:noWrap/>
            <w:vAlign w:val="bottom"/>
            <w:hideMark/>
          </w:tcPr>
          <w:p w14:paraId="3407E136"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0.88 (0.98)</w:t>
            </w:r>
          </w:p>
        </w:tc>
        <w:tc>
          <w:tcPr>
            <w:tcW w:w="1417" w:type="dxa"/>
            <w:tcBorders>
              <w:top w:val="nil"/>
              <w:left w:val="nil"/>
              <w:bottom w:val="nil"/>
              <w:right w:val="single" w:sz="4" w:space="0" w:color="auto"/>
            </w:tcBorders>
            <w:shd w:val="clear" w:color="auto" w:fill="auto"/>
            <w:noWrap/>
            <w:vAlign w:val="bottom"/>
            <w:hideMark/>
          </w:tcPr>
          <w:p w14:paraId="2D57A04C" w14:textId="77777777" w:rsidR="00367DB9" w:rsidRPr="00056BD0" w:rsidRDefault="00367DB9" w:rsidP="00FA51D3">
            <w:pPr>
              <w:spacing w:after="0" w:line="240" w:lineRule="auto"/>
              <w:rPr>
                <w:rFonts w:ascii="Times New Roman" w:eastAsia="Times New Roman" w:hAnsi="Times New Roman" w:cs="Times New Roman"/>
                <w:color w:val="000000"/>
              </w:rPr>
            </w:pPr>
            <w:r w:rsidRPr="00056BD0">
              <w:rPr>
                <w:rFonts w:ascii="Times New Roman" w:eastAsia="Times New Roman" w:hAnsi="Times New Roman" w:cs="Times New Roman"/>
                <w:color w:val="000000"/>
              </w:rPr>
              <w:t>0.965 (0.997)</w:t>
            </w:r>
          </w:p>
        </w:tc>
        <w:tc>
          <w:tcPr>
            <w:tcW w:w="1191" w:type="dxa"/>
            <w:tcBorders>
              <w:top w:val="nil"/>
              <w:left w:val="single" w:sz="4" w:space="0" w:color="auto"/>
              <w:bottom w:val="nil"/>
              <w:right w:val="single" w:sz="4" w:space="0" w:color="auto"/>
            </w:tcBorders>
            <w:shd w:val="clear" w:color="auto" w:fill="auto"/>
            <w:noWrap/>
            <w:vAlign w:val="bottom"/>
            <w:hideMark/>
          </w:tcPr>
          <w:p w14:paraId="15AD489F"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0.87 (0.98)</w:t>
            </w:r>
          </w:p>
        </w:tc>
        <w:tc>
          <w:tcPr>
            <w:tcW w:w="1378" w:type="dxa"/>
            <w:tcBorders>
              <w:top w:val="nil"/>
              <w:left w:val="single" w:sz="4" w:space="0" w:color="auto"/>
              <w:bottom w:val="nil"/>
              <w:right w:val="nil"/>
            </w:tcBorders>
            <w:shd w:val="clear" w:color="auto" w:fill="auto"/>
            <w:noWrap/>
            <w:vAlign w:val="bottom"/>
            <w:hideMark/>
          </w:tcPr>
          <w:p w14:paraId="33C7BA67"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0.89 (0.98)</w:t>
            </w:r>
          </w:p>
        </w:tc>
        <w:tc>
          <w:tcPr>
            <w:tcW w:w="1191" w:type="dxa"/>
            <w:tcBorders>
              <w:top w:val="nil"/>
              <w:left w:val="nil"/>
              <w:bottom w:val="nil"/>
              <w:right w:val="nil"/>
            </w:tcBorders>
            <w:shd w:val="clear" w:color="auto" w:fill="auto"/>
            <w:noWrap/>
            <w:vAlign w:val="bottom"/>
            <w:hideMark/>
          </w:tcPr>
          <w:p w14:paraId="1046D591"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0.86 (0.97)</w:t>
            </w:r>
          </w:p>
        </w:tc>
      </w:tr>
      <w:tr w:rsidR="00367DB9" w:rsidRPr="00056BD0" w14:paraId="1CFBDFD9" w14:textId="77777777" w:rsidTr="00956765">
        <w:trPr>
          <w:trHeight w:val="300"/>
        </w:trPr>
        <w:tc>
          <w:tcPr>
            <w:tcW w:w="1156" w:type="dxa"/>
            <w:tcBorders>
              <w:top w:val="nil"/>
              <w:left w:val="nil"/>
              <w:bottom w:val="nil"/>
              <w:right w:val="nil"/>
            </w:tcBorders>
            <w:shd w:val="clear" w:color="auto" w:fill="auto"/>
            <w:noWrap/>
            <w:vAlign w:val="bottom"/>
            <w:hideMark/>
          </w:tcPr>
          <w:p w14:paraId="10ACFE02" w14:textId="77777777" w:rsidR="00367DB9" w:rsidRPr="00056BD0" w:rsidRDefault="00367DB9" w:rsidP="00FA51D3">
            <w:pPr>
              <w:spacing w:after="0" w:line="240" w:lineRule="auto"/>
              <w:rPr>
                <w:rFonts w:ascii="Times New Roman" w:eastAsia="Times New Roman" w:hAnsi="Times New Roman" w:cs="Times New Roman"/>
                <w:bCs/>
                <w:color w:val="000000"/>
              </w:rPr>
            </w:pPr>
            <w:r w:rsidRPr="00056BD0">
              <w:rPr>
                <w:rFonts w:ascii="Times New Roman" w:eastAsia="Times New Roman" w:hAnsi="Times New Roman" w:cs="Times New Roman"/>
                <w:bCs/>
                <w:color w:val="000000"/>
              </w:rPr>
              <w:t>ABDC</w:t>
            </w:r>
          </w:p>
        </w:tc>
        <w:tc>
          <w:tcPr>
            <w:tcW w:w="1191" w:type="dxa"/>
            <w:tcBorders>
              <w:top w:val="nil"/>
              <w:left w:val="nil"/>
              <w:bottom w:val="nil"/>
              <w:right w:val="nil"/>
            </w:tcBorders>
            <w:shd w:val="clear" w:color="auto" w:fill="auto"/>
            <w:noWrap/>
            <w:vAlign w:val="bottom"/>
            <w:hideMark/>
          </w:tcPr>
          <w:p w14:paraId="5799447A"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0.82 (0.95)</w:t>
            </w:r>
          </w:p>
        </w:tc>
        <w:tc>
          <w:tcPr>
            <w:tcW w:w="1191" w:type="dxa"/>
            <w:tcBorders>
              <w:top w:val="nil"/>
              <w:left w:val="nil"/>
              <w:bottom w:val="nil"/>
              <w:right w:val="nil"/>
            </w:tcBorders>
            <w:shd w:val="clear" w:color="auto" w:fill="auto"/>
            <w:noWrap/>
            <w:vAlign w:val="bottom"/>
            <w:hideMark/>
          </w:tcPr>
          <w:p w14:paraId="2DE4ED8A"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0.80 (0.94)</w:t>
            </w:r>
          </w:p>
        </w:tc>
        <w:tc>
          <w:tcPr>
            <w:tcW w:w="1417" w:type="dxa"/>
            <w:tcBorders>
              <w:top w:val="nil"/>
              <w:left w:val="nil"/>
              <w:bottom w:val="nil"/>
              <w:right w:val="single" w:sz="4" w:space="0" w:color="auto"/>
            </w:tcBorders>
            <w:shd w:val="clear" w:color="auto" w:fill="auto"/>
            <w:noWrap/>
            <w:vAlign w:val="bottom"/>
            <w:hideMark/>
          </w:tcPr>
          <w:p w14:paraId="42798C38" w14:textId="77777777" w:rsidR="00367DB9" w:rsidRPr="00056BD0" w:rsidRDefault="00367DB9" w:rsidP="00FA51D3">
            <w:pPr>
              <w:spacing w:after="0" w:line="240" w:lineRule="auto"/>
              <w:rPr>
                <w:rFonts w:ascii="Times New Roman" w:eastAsia="Times New Roman" w:hAnsi="Times New Roman" w:cs="Times New Roman"/>
                <w:color w:val="000000"/>
              </w:rPr>
            </w:pPr>
            <w:r w:rsidRPr="00056BD0">
              <w:rPr>
                <w:rFonts w:ascii="Times New Roman" w:eastAsia="Times New Roman" w:hAnsi="Times New Roman" w:cs="Times New Roman"/>
                <w:color w:val="000000"/>
              </w:rPr>
              <w:t>0.939 (0.992)</w:t>
            </w:r>
          </w:p>
        </w:tc>
        <w:tc>
          <w:tcPr>
            <w:tcW w:w="1191" w:type="dxa"/>
            <w:tcBorders>
              <w:top w:val="nil"/>
              <w:left w:val="single" w:sz="4" w:space="0" w:color="auto"/>
              <w:bottom w:val="nil"/>
              <w:right w:val="single" w:sz="4" w:space="0" w:color="auto"/>
            </w:tcBorders>
            <w:shd w:val="clear" w:color="auto" w:fill="auto"/>
            <w:noWrap/>
            <w:vAlign w:val="bottom"/>
            <w:hideMark/>
          </w:tcPr>
          <w:p w14:paraId="4C0505F4"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0.82 (0.95)</w:t>
            </w:r>
          </w:p>
        </w:tc>
        <w:tc>
          <w:tcPr>
            <w:tcW w:w="1378" w:type="dxa"/>
            <w:tcBorders>
              <w:top w:val="nil"/>
              <w:left w:val="single" w:sz="4" w:space="0" w:color="auto"/>
              <w:bottom w:val="nil"/>
              <w:right w:val="nil"/>
            </w:tcBorders>
            <w:shd w:val="clear" w:color="auto" w:fill="auto"/>
            <w:noWrap/>
            <w:vAlign w:val="bottom"/>
            <w:hideMark/>
          </w:tcPr>
          <w:p w14:paraId="77C231A9"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0.82 (0.95)</w:t>
            </w:r>
          </w:p>
        </w:tc>
        <w:tc>
          <w:tcPr>
            <w:tcW w:w="1191" w:type="dxa"/>
            <w:tcBorders>
              <w:top w:val="nil"/>
              <w:left w:val="nil"/>
              <w:bottom w:val="nil"/>
              <w:right w:val="nil"/>
            </w:tcBorders>
            <w:shd w:val="clear" w:color="auto" w:fill="auto"/>
            <w:noWrap/>
            <w:vAlign w:val="bottom"/>
            <w:hideMark/>
          </w:tcPr>
          <w:p w14:paraId="6FF8204B"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0.77 (0.91)</w:t>
            </w:r>
          </w:p>
        </w:tc>
      </w:tr>
      <w:tr w:rsidR="00367DB9" w:rsidRPr="00056BD0" w14:paraId="6BF737F1" w14:textId="77777777" w:rsidTr="00956765">
        <w:trPr>
          <w:trHeight w:val="300"/>
        </w:trPr>
        <w:tc>
          <w:tcPr>
            <w:tcW w:w="1156" w:type="dxa"/>
            <w:tcBorders>
              <w:top w:val="nil"/>
              <w:left w:val="nil"/>
              <w:bottom w:val="nil"/>
              <w:right w:val="nil"/>
            </w:tcBorders>
            <w:shd w:val="clear" w:color="auto" w:fill="auto"/>
            <w:noWrap/>
            <w:vAlign w:val="bottom"/>
            <w:hideMark/>
          </w:tcPr>
          <w:p w14:paraId="05C75264" w14:textId="77777777" w:rsidR="00367DB9" w:rsidRPr="00056BD0" w:rsidRDefault="00367DB9" w:rsidP="00FA51D3">
            <w:pPr>
              <w:spacing w:after="0" w:line="240" w:lineRule="auto"/>
              <w:rPr>
                <w:rFonts w:ascii="Times New Roman" w:eastAsia="Times New Roman" w:hAnsi="Times New Roman" w:cs="Times New Roman"/>
                <w:bCs/>
                <w:color w:val="000000"/>
              </w:rPr>
            </w:pPr>
            <w:proofErr w:type="spellStart"/>
            <w:r w:rsidRPr="00056BD0">
              <w:rPr>
                <w:rFonts w:ascii="Times New Roman" w:eastAsia="Times New Roman" w:hAnsi="Times New Roman" w:cs="Times New Roman"/>
                <w:bCs/>
                <w:color w:val="000000"/>
              </w:rPr>
              <w:t>Rsif</w:t>
            </w:r>
            <w:proofErr w:type="spellEnd"/>
          </w:p>
        </w:tc>
        <w:tc>
          <w:tcPr>
            <w:tcW w:w="1191" w:type="dxa"/>
            <w:tcBorders>
              <w:top w:val="nil"/>
              <w:left w:val="nil"/>
              <w:bottom w:val="nil"/>
              <w:right w:val="nil"/>
            </w:tcBorders>
            <w:shd w:val="clear" w:color="auto" w:fill="auto"/>
            <w:noWrap/>
            <w:vAlign w:val="bottom"/>
            <w:hideMark/>
          </w:tcPr>
          <w:p w14:paraId="4AB06F8A"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0.87 (0.97)</w:t>
            </w:r>
          </w:p>
        </w:tc>
        <w:tc>
          <w:tcPr>
            <w:tcW w:w="1191" w:type="dxa"/>
            <w:tcBorders>
              <w:top w:val="nil"/>
              <w:left w:val="nil"/>
              <w:bottom w:val="nil"/>
              <w:right w:val="nil"/>
            </w:tcBorders>
            <w:shd w:val="clear" w:color="auto" w:fill="auto"/>
            <w:noWrap/>
            <w:vAlign w:val="bottom"/>
            <w:hideMark/>
          </w:tcPr>
          <w:p w14:paraId="6DB3D739"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0.87 (0.97)</w:t>
            </w:r>
          </w:p>
        </w:tc>
        <w:tc>
          <w:tcPr>
            <w:tcW w:w="1417" w:type="dxa"/>
            <w:tcBorders>
              <w:top w:val="nil"/>
              <w:left w:val="nil"/>
              <w:bottom w:val="nil"/>
              <w:right w:val="single" w:sz="4" w:space="0" w:color="auto"/>
            </w:tcBorders>
            <w:shd w:val="clear" w:color="auto" w:fill="auto"/>
            <w:noWrap/>
            <w:vAlign w:val="bottom"/>
            <w:hideMark/>
          </w:tcPr>
          <w:p w14:paraId="27549A99" w14:textId="77777777" w:rsidR="00367DB9" w:rsidRPr="00056BD0" w:rsidRDefault="00367DB9" w:rsidP="00FA51D3">
            <w:pPr>
              <w:spacing w:after="0" w:line="240" w:lineRule="auto"/>
              <w:rPr>
                <w:rFonts w:ascii="Times New Roman" w:eastAsia="Times New Roman" w:hAnsi="Times New Roman" w:cs="Times New Roman"/>
                <w:color w:val="000000"/>
              </w:rPr>
            </w:pPr>
            <w:r w:rsidRPr="00056BD0">
              <w:rPr>
                <w:rFonts w:ascii="Times New Roman" w:eastAsia="Times New Roman" w:hAnsi="Times New Roman" w:cs="Times New Roman"/>
                <w:color w:val="000000"/>
              </w:rPr>
              <w:t>0.954 (0.995)</w:t>
            </w:r>
          </w:p>
        </w:tc>
        <w:tc>
          <w:tcPr>
            <w:tcW w:w="1191" w:type="dxa"/>
            <w:tcBorders>
              <w:top w:val="nil"/>
              <w:left w:val="single" w:sz="4" w:space="0" w:color="auto"/>
              <w:bottom w:val="nil"/>
              <w:right w:val="single" w:sz="4" w:space="0" w:color="auto"/>
            </w:tcBorders>
            <w:shd w:val="clear" w:color="auto" w:fill="auto"/>
            <w:noWrap/>
            <w:vAlign w:val="bottom"/>
            <w:hideMark/>
          </w:tcPr>
          <w:p w14:paraId="73BBA0D7"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0.86 (0.97)</w:t>
            </w:r>
          </w:p>
        </w:tc>
        <w:tc>
          <w:tcPr>
            <w:tcW w:w="1378" w:type="dxa"/>
            <w:tcBorders>
              <w:top w:val="nil"/>
              <w:left w:val="single" w:sz="4" w:space="0" w:color="auto"/>
              <w:bottom w:val="nil"/>
              <w:right w:val="nil"/>
            </w:tcBorders>
            <w:shd w:val="clear" w:color="auto" w:fill="auto"/>
            <w:noWrap/>
            <w:vAlign w:val="bottom"/>
            <w:hideMark/>
          </w:tcPr>
          <w:p w14:paraId="00166054"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0.87 (0.97)</w:t>
            </w:r>
          </w:p>
        </w:tc>
        <w:tc>
          <w:tcPr>
            <w:tcW w:w="1191" w:type="dxa"/>
            <w:tcBorders>
              <w:top w:val="nil"/>
              <w:left w:val="nil"/>
              <w:bottom w:val="nil"/>
              <w:right w:val="nil"/>
            </w:tcBorders>
            <w:shd w:val="clear" w:color="auto" w:fill="auto"/>
            <w:noWrap/>
            <w:vAlign w:val="bottom"/>
            <w:hideMark/>
          </w:tcPr>
          <w:p w14:paraId="757A32AE"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0.83 (0.96)</w:t>
            </w:r>
          </w:p>
        </w:tc>
      </w:tr>
      <w:tr w:rsidR="00367DB9" w:rsidRPr="00056BD0" w14:paraId="48C6BD2D" w14:textId="77777777" w:rsidTr="00956765">
        <w:trPr>
          <w:trHeight w:val="300"/>
        </w:trPr>
        <w:tc>
          <w:tcPr>
            <w:tcW w:w="1156" w:type="dxa"/>
            <w:tcBorders>
              <w:top w:val="nil"/>
              <w:left w:val="nil"/>
              <w:bottom w:val="nil"/>
              <w:right w:val="nil"/>
            </w:tcBorders>
            <w:shd w:val="clear" w:color="auto" w:fill="auto"/>
            <w:noWrap/>
            <w:vAlign w:val="bottom"/>
            <w:hideMark/>
          </w:tcPr>
          <w:p w14:paraId="062A1469" w14:textId="77777777" w:rsidR="00367DB9" w:rsidRPr="00056BD0" w:rsidRDefault="00367DB9" w:rsidP="00FA51D3">
            <w:pPr>
              <w:spacing w:after="0" w:line="240" w:lineRule="auto"/>
              <w:rPr>
                <w:rFonts w:ascii="Times New Roman" w:eastAsia="Times New Roman" w:hAnsi="Times New Roman" w:cs="Times New Roman"/>
                <w:bCs/>
                <w:color w:val="000000"/>
              </w:rPr>
            </w:pPr>
            <w:proofErr w:type="spellStart"/>
            <w:r w:rsidRPr="00056BD0">
              <w:rPr>
                <w:rFonts w:ascii="Times New Roman" w:eastAsia="Times New Roman" w:hAnsi="Times New Roman" w:cs="Times New Roman"/>
                <w:bCs/>
                <w:color w:val="000000"/>
              </w:rPr>
              <w:t>Rrec</w:t>
            </w:r>
            <w:proofErr w:type="spellEnd"/>
          </w:p>
        </w:tc>
        <w:tc>
          <w:tcPr>
            <w:tcW w:w="1191" w:type="dxa"/>
            <w:tcBorders>
              <w:top w:val="nil"/>
              <w:left w:val="nil"/>
              <w:bottom w:val="nil"/>
              <w:right w:val="nil"/>
            </w:tcBorders>
            <w:shd w:val="clear" w:color="auto" w:fill="auto"/>
            <w:noWrap/>
            <w:vAlign w:val="bottom"/>
            <w:hideMark/>
          </w:tcPr>
          <w:p w14:paraId="175DBD5D"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0.89 (0.98)</w:t>
            </w:r>
          </w:p>
        </w:tc>
        <w:tc>
          <w:tcPr>
            <w:tcW w:w="1191" w:type="dxa"/>
            <w:tcBorders>
              <w:top w:val="nil"/>
              <w:left w:val="nil"/>
              <w:bottom w:val="nil"/>
              <w:right w:val="nil"/>
            </w:tcBorders>
            <w:shd w:val="clear" w:color="auto" w:fill="auto"/>
            <w:noWrap/>
            <w:vAlign w:val="bottom"/>
            <w:hideMark/>
          </w:tcPr>
          <w:p w14:paraId="02365BA0"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0.89 (0.98)</w:t>
            </w:r>
          </w:p>
        </w:tc>
        <w:tc>
          <w:tcPr>
            <w:tcW w:w="1417" w:type="dxa"/>
            <w:tcBorders>
              <w:top w:val="nil"/>
              <w:left w:val="nil"/>
              <w:bottom w:val="nil"/>
              <w:right w:val="single" w:sz="4" w:space="0" w:color="auto"/>
            </w:tcBorders>
            <w:shd w:val="clear" w:color="auto" w:fill="auto"/>
            <w:noWrap/>
            <w:vAlign w:val="bottom"/>
            <w:hideMark/>
          </w:tcPr>
          <w:p w14:paraId="7A65BD7F" w14:textId="77777777" w:rsidR="00367DB9" w:rsidRPr="00056BD0" w:rsidRDefault="00367DB9" w:rsidP="00FA51D3">
            <w:pPr>
              <w:spacing w:after="0" w:line="240" w:lineRule="auto"/>
              <w:rPr>
                <w:rFonts w:ascii="Times New Roman" w:eastAsia="Times New Roman" w:hAnsi="Times New Roman" w:cs="Times New Roman"/>
                <w:color w:val="000000"/>
              </w:rPr>
            </w:pPr>
            <w:r w:rsidRPr="00056BD0">
              <w:rPr>
                <w:rFonts w:ascii="Times New Roman" w:eastAsia="Times New Roman" w:hAnsi="Times New Roman" w:cs="Times New Roman"/>
                <w:color w:val="000000"/>
              </w:rPr>
              <w:t>0.963 (0.996)</w:t>
            </w:r>
          </w:p>
        </w:tc>
        <w:tc>
          <w:tcPr>
            <w:tcW w:w="1191" w:type="dxa"/>
            <w:tcBorders>
              <w:top w:val="nil"/>
              <w:left w:val="single" w:sz="4" w:space="0" w:color="auto"/>
              <w:bottom w:val="nil"/>
              <w:right w:val="single" w:sz="4" w:space="0" w:color="auto"/>
            </w:tcBorders>
            <w:shd w:val="clear" w:color="auto" w:fill="auto"/>
            <w:noWrap/>
            <w:vAlign w:val="bottom"/>
            <w:hideMark/>
          </w:tcPr>
          <w:p w14:paraId="2C23B012"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0.89 (0.98)</w:t>
            </w:r>
          </w:p>
        </w:tc>
        <w:tc>
          <w:tcPr>
            <w:tcW w:w="1378" w:type="dxa"/>
            <w:tcBorders>
              <w:top w:val="nil"/>
              <w:left w:val="single" w:sz="4" w:space="0" w:color="auto"/>
              <w:bottom w:val="nil"/>
              <w:right w:val="nil"/>
            </w:tcBorders>
            <w:shd w:val="clear" w:color="auto" w:fill="auto"/>
            <w:noWrap/>
            <w:vAlign w:val="bottom"/>
            <w:hideMark/>
          </w:tcPr>
          <w:p w14:paraId="7026618D"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0.89 (0.98)</w:t>
            </w:r>
          </w:p>
        </w:tc>
        <w:tc>
          <w:tcPr>
            <w:tcW w:w="1191" w:type="dxa"/>
            <w:tcBorders>
              <w:top w:val="nil"/>
              <w:left w:val="nil"/>
              <w:bottom w:val="nil"/>
              <w:right w:val="nil"/>
            </w:tcBorders>
            <w:shd w:val="clear" w:color="auto" w:fill="auto"/>
            <w:noWrap/>
            <w:vAlign w:val="bottom"/>
            <w:hideMark/>
          </w:tcPr>
          <w:p w14:paraId="0B795536"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0.86 (0.97)</w:t>
            </w:r>
          </w:p>
        </w:tc>
      </w:tr>
      <w:tr w:rsidR="00367DB9" w:rsidRPr="00056BD0" w14:paraId="4345E96C" w14:textId="77777777" w:rsidTr="00956765">
        <w:trPr>
          <w:trHeight w:val="300"/>
        </w:trPr>
        <w:tc>
          <w:tcPr>
            <w:tcW w:w="1156" w:type="dxa"/>
            <w:tcBorders>
              <w:top w:val="nil"/>
              <w:left w:val="nil"/>
              <w:right w:val="nil"/>
            </w:tcBorders>
            <w:shd w:val="clear" w:color="auto" w:fill="auto"/>
            <w:noWrap/>
            <w:vAlign w:val="bottom"/>
            <w:hideMark/>
          </w:tcPr>
          <w:p w14:paraId="0B5448E8" w14:textId="77777777" w:rsidR="00367DB9" w:rsidRPr="00056BD0" w:rsidRDefault="00367DB9" w:rsidP="00FA51D3">
            <w:pPr>
              <w:spacing w:after="0" w:line="240" w:lineRule="auto"/>
              <w:rPr>
                <w:rFonts w:ascii="Times New Roman" w:eastAsia="Times New Roman" w:hAnsi="Times New Roman" w:cs="Times New Roman"/>
                <w:bCs/>
                <w:color w:val="000000"/>
              </w:rPr>
            </w:pPr>
            <w:r w:rsidRPr="00056BD0">
              <w:rPr>
                <w:rFonts w:ascii="Times New Roman" w:eastAsia="Times New Roman" w:hAnsi="Times New Roman" w:cs="Times New Roman"/>
                <w:bCs/>
                <w:color w:val="000000"/>
              </w:rPr>
              <w:t>NZABDC</w:t>
            </w:r>
          </w:p>
        </w:tc>
        <w:tc>
          <w:tcPr>
            <w:tcW w:w="1191" w:type="dxa"/>
            <w:tcBorders>
              <w:top w:val="nil"/>
              <w:left w:val="nil"/>
              <w:right w:val="nil"/>
            </w:tcBorders>
            <w:shd w:val="clear" w:color="auto" w:fill="auto"/>
            <w:noWrap/>
            <w:vAlign w:val="bottom"/>
            <w:hideMark/>
          </w:tcPr>
          <w:p w14:paraId="3B7DB2CA"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0.86 (0.97)</w:t>
            </w:r>
          </w:p>
        </w:tc>
        <w:tc>
          <w:tcPr>
            <w:tcW w:w="1191" w:type="dxa"/>
            <w:tcBorders>
              <w:top w:val="nil"/>
              <w:left w:val="nil"/>
              <w:right w:val="nil"/>
            </w:tcBorders>
            <w:shd w:val="clear" w:color="auto" w:fill="auto"/>
            <w:noWrap/>
            <w:vAlign w:val="bottom"/>
            <w:hideMark/>
          </w:tcPr>
          <w:p w14:paraId="6040C64C"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0.86 (0.97)</w:t>
            </w:r>
          </w:p>
        </w:tc>
        <w:tc>
          <w:tcPr>
            <w:tcW w:w="1417" w:type="dxa"/>
            <w:tcBorders>
              <w:top w:val="nil"/>
              <w:left w:val="nil"/>
              <w:right w:val="single" w:sz="4" w:space="0" w:color="auto"/>
            </w:tcBorders>
            <w:shd w:val="clear" w:color="auto" w:fill="auto"/>
            <w:noWrap/>
            <w:vAlign w:val="bottom"/>
          </w:tcPr>
          <w:p w14:paraId="3004466D" w14:textId="77777777" w:rsidR="00367DB9" w:rsidRPr="00056BD0" w:rsidRDefault="00367DB9" w:rsidP="00FA51D3">
            <w:pPr>
              <w:spacing w:after="0" w:line="240" w:lineRule="auto"/>
              <w:rPr>
                <w:rFonts w:ascii="Times New Roman" w:eastAsia="Times New Roman" w:hAnsi="Times New Roman" w:cs="Times New Roman"/>
                <w:color w:val="000000"/>
              </w:rPr>
            </w:pPr>
            <w:r w:rsidRPr="00056BD0">
              <w:rPr>
                <w:rFonts w:ascii="Times New Roman" w:eastAsia="Times New Roman" w:hAnsi="Times New Roman" w:cs="Times New Roman"/>
                <w:color w:val="000000"/>
              </w:rPr>
              <w:t>0.948 (0.995)</w:t>
            </w:r>
          </w:p>
        </w:tc>
        <w:tc>
          <w:tcPr>
            <w:tcW w:w="1191" w:type="dxa"/>
            <w:tcBorders>
              <w:top w:val="nil"/>
              <w:left w:val="single" w:sz="4" w:space="0" w:color="auto"/>
              <w:right w:val="single" w:sz="4" w:space="0" w:color="auto"/>
            </w:tcBorders>
            <w:shd w:val="clear" w:color="auto" w:fill="auto"/>
            <w:noWrap/>
            <w:vAlign w:val="bottom"/>
            <w:hideMark/>
          </w:tcPr>
          <w:p w14:paraId="2F0E7DE5"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0.85 (0.97)</w:t>
            </w:r>
          </w:p>
        </w:tc>
        <w:tc>
          <w:tcPr>
            <w:tcW w:w="1378" w:type="dxa"/>
            <w:tcBorders>
              <w:top w:val="nil"/>
              <w:left w:val="single" w:sz="4" w:space="0" w:color="auto"/>
              <w:right w:val="nil"/>
            </w:tcBorders>
            <w:shd w:val="clear" w:color="auto" w:fill="auto"/>
            <w:noWrap/>
            <w:vAlign w:val="bottom"/>
            <w:hideMark/>
          </w:tcPr>
          <w:p w14:paraId="5A0079CE"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0.86 (0.97)</w:t>
            </w:r>
          </w:p>
        </w:tc>
        <w:tc>
          <w:tcPr>
            <w:tcW w:w="1191" w:type="dxa"/>
            <w:tcBorders>
              <w:top w:val="nil"/>
              <w:left w:val="nil"/>
              <w:right w:val="nil"/>
            </w:tcBorders>
            <w:shd w:val="clear" w:color="auto" w:fill="auto"/>
            <w:noWrap/>
            <w:vAlign w:val="bottom"/>
            <w:hideMark/>
          </w:tcPr>
          <w:p w14:paraId="5F4DB5D7"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0.82 (0.95)</w:t>
            </w:r>
          </w:p>
        </w:tc>
      </w:tr>
      <w:tr w:rsidR="00367DB9" w:rsidRPr="00056BD0" w14:paraId="0E9C96C5" w14:textId="77777777" w:rsidTr="00956765">
        <w:trPr>
          <w:trHeight w:val="300"/>
        </w:trPr>
        <w:tc>
          <w:tcPr>
            <w:tcW w:w="1156" w:type="dxa"/>
            <w:tcBorders>
              <w:top w:val="nil"/>
              <w:left w:val="nil"/>
              <w:bottom w:val="single" w:sz="4" w:space="0" w:color="auto"/>
              <w:right w:val="nil"/>
            </w:tcBorders>
            <w:shd w:val="clear" w:color="auto" w:fill="auto"/>
            <w:noWrap/>
            <w:vAlign w:val="bottom"/>
            <w:hideMark/>
          </w:tcPr>
          <w:p w14:paraId="6C18B8C9" w14:textId="77777777" w:rsidR="00367DB9" w:rsidRPr="00056BD0" w:rsidRDefault="00367DB9" w:rsidP="002904D1">
            <w:pPr>
              <w:spacing w:after="100" w:line="240" w:lineRule="auto"/>
              <w:rPr>
                <w:rFonts w:ascii="Times New Roman" w:eastAsia="Times New Roman" w:hAnsi="Times New Roman" w:cs="Times New Roman"/>
                <w:bCs/>
                <w:color w:val="000000"/>
              </w:rPr>
            </w:pPr>
            <w:r w:rsidRPr="00056BD0">
              <w:rPr>
                <w:rFonts w:ascii="Times New Roman" w:eastAsia="Times New Roman" w:hAnsi="Times New Roman" w:cs="Times New Roman"/>
                <w:bCs/>
                <w:color w:val="000000"/>
              </w:rPr>
              <w:t>AVJWS</w:t>
            </w:r>
          </w:p>
        </w:tc>
        <w:tc>
          <w:tcPr>
            <w:tcW w:w="1191" w:type="dxa"/>
            <w:tcBorders>
              <w:top w:val="nil"/>
              <w:left w:val="nil"/>
              <w:bottom w:val="single" w:sz="4" w:space="0" w:color="auto"/>
              <w:right w:val="nil"/>
            </w:tcBorders>
            <w:shd w:val="clear" w:color="auto" w:fill="auto"/>
            <w:noWrap/>
            <w:vAlign w:val="bottom"/>
            <w:hideMark/>
          </w:tcPr>
          <w:p w14:paraId="0B75EE16" w14:textId="77777777" w:rsidR="00367DB9" w:rsidRPr="00056BD0" w:rsidRDefault="00367DB9" w:rsidP="002904D1">
            <w:pPr>
              <w:spacing w:after="10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0.85 (0.96)</w:t>
            </w:r>
          </w:p>
        </w:tc>
        <w:tc>
          <w:tcPr>
            <w:tcW w:w="1191" w:type="dxa"/>
            <w:tcBorders>
              <w:top w:val="nil"/>
              <w:left w:val="nil"/>
              <w:bottom w:val="single" w:sz="4" w:space="0" w:color="auto"/>
              <w:right w:val="nil"/>
            </w:tcBorders>
            <w:shd w:val="clear" w:color="auto" w:fill="auto"/>
            <w:noWrap/>
            <w:vAlign w:val="bottom"/>
            <w:hideMark/>
          </w:tcPr>
          <w:p w14:paraId="463B673B" w14:textId="77777777" w:rsidR="00367DB9" w:rsidRPr="00056BD0" w:rsidRDefault="00367DB9" w:rsidP="002904D1">
            <w:pPr>
              <w:spacing w:after="10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0.85 (0.97)</w:t>
            </w:r>
          </w:p>
        </w:tc>
        <w:tc>
          <w:tcPr>
            <w:tcW w:w="1417" w:type="dxa"/>
            <w:tcBorders>
              <w:top w:val="nil"/>
              <w:left w:val="nil"/>
              <w:bottom w:val="single" w:sz="4" w:space="0" w:color="auto"/>
              <w:right w:val="single" w:sz="4" w:space="0" w:color="auto"/>
            </w:tcBorders>
            <w:shd w:val="clear" w:color="auto" w:fill="auto"/>
            <w:noWrap/>
            <w:vAlign w:val="bottom"/>
            <w:hideMark/>
          </w:tcPr>
          <w:p w14:paraId="6FF426D6" w14:textId="77777777" w:rsidR="00367DB9" w:rsidRPr="00056BD0" w:rsidRDefault="00367DB9" w:rsidP="002904D1">
            <w:pPr>
              <w:spacing w:after="100" w:line="240" w:lineRule="auto"/>
              <w:rPr>
                <w:rFonts w:ascii="Times New Roman" w:eastAsia="Times New Roman" w:hAnsi="Times New Roman" w:cs="Times New Roman"/>
                <w:color w:val="000000"/>
              </w:rPr>
            </w:pPr>
            <w:r w:rsidRPr="00056BD0">
              <w:rPr>
                <w:rFonts w:ascii="Times New Roman" w:eastAsia="Times New Roman" w:hAnsi="Times New Roman" w:cs="Times New Roman"/>
                <w:color w:val="000000"/>
              </w:rPr>
              <w:t>0.947 (0.994)</w:t>
            </w:r>
          </w:p>
        </w:tc>
        <w:tc>
          <w:tcPr>
            <w:tcW w:w="1191" w:type="dxa"/>
            <w:tcBorders>
              <w:top w:val="nil"/>
              <w:left w:val="single" w:sz="4" w:space="0" w:color="auto"/>
              <w:bottom w:val="single" w:sz="4" w:space="0" w:color="auto"/>
              <w:right w:val="single" w:sz="4" w:space="0" w:color="auto"/>
            </w:tcBorders>
            <w:shd w:val="clear" w:color="auto" w:fill="auto"/>
            <w:noWrap/>
            <w:vAlign w:val="bottom"/>
            <w:hideMark/>
          </w:tcPr>
          <w:p w14:paraId="0482C8DF" w14:textId="77777777" w:rsidR="00367DB9" w:rsidRPr="00056BD0" w:rsidRDefault="00367DB9" w:rsidP="002904D1">
            <w:pPr>
              <w:spacing w:after="10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0.85 (0.97)</w:t>
            </w:r>
          </w:p>
        </w:tc>
        <w:tc>
          <w:tcPr>
            <w:tcW w:w="1378" w:type="dxa"/>
            <w:tcBorders>
              <w:top w:val="nil"/>
              <w:left w:val="single" w:sz="4" w:space="0" w:color="auto"/>
              <w:bottom w:val="single" w:sz="4" w:space="0" w:color="auto"/>
              <w:right w:val="nil"/>
            </w:tcBorders>
            <w:shd w:val="clear" w:color="auto" w:fill="auto"/>
            <w:noWrap/>
            <w:vAlign w:val="bottom"/>
            <w:hideMark/>
          </w:tcPr>
          <w:p w14:paraId="2860C07F" w14:textId="77777777" w:rsidR="00367DB9" w:rsidRPr="00056BD0" w:rsidRDefault="00367DB9" w:rsidP="002904D1">
            <w:pPr>
              <w:spacing w:after="10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0.85 (0.97)</w:t>
            </w:r>
          </w:p>
        </w:tc>
        <w:tc>
          <w:tcPr>
            <w:tcW w:w="1191" w:type="dxa"/>
            <w:tcBorders>
              <w:top w:val="nil"/>
              <w:left w:val="nil"/>
              <w:bottom w:val="single" w:sz="4" w:space="0" w:color="auto"/>
              <w:right w:val="nil"/>
            </w:tcBorders>
            <w:shd w:val="clear" w:color="auto" w:fill="auto"/>
            <w:noWrap/>
            <w:vAlign w:val="bottom"/>
            <w:hideMark/>
          </w:tcPr>
          <w:p w14:paraId="22C5856E" w14:textId="77777777" w:rsidR="00367DB9" w:rsidRPr="00056BD0" w:rsidRDefault="00367DB9" w:rsidP="002904D1">
            <w:pPr>
              <w:spacing w:after="10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0.82 (0.95)</w:t>
            </w:r>
          </w:p>
        </w:tc>
      </w:tr>
      <w:tr w:rsidR="00367DB9" w:rsidRPr="00056BD0" w14:paraId="54FA8B26" w14:textId="77777777" w:rsidTr="002904D1">
        <w:trPr>
          <w:trHeight w:val="567"/>
        </w:trPr>
        <w:tc>
          <w:tcPr>
            <w:tcW w:w="8715" w:type="dxa"/>
            <w:gridSpan w:val="7"/>
            <w:tcBorders>
              <w:top w:val="single" w:sz="4" w:space="0" w:color="auto"/>
              <w:left w:val="nil"/>
              <w:bottom w:val="single" w:sz="4" w:space="0" w:color="000000"/>
              <w:right w:val="nil"/>
            </w:tcBorders>
            <w:shd w:val="clear" w:color="auto" w:fill="auto"/>
            <w:noWrap/>
            <w:vAlign w:val="center"/>
          </w:tcPr>
          <w:p w14:paraId="16759612" w14:textId="77777777" w:rsidR="002904D1" w:rsidRDefault="002904D1" w:rsidP="00B52297">
            <w:pPr>
              <w:spacing w:after="0" w:line="240" w:lineRule="auto"/>
              <w:ind w:left="45"/>
              <w:rPr>
                <w:rFonts w:ascii="Times New Roman" w:eastAsia="Times New Roman" w:hAnsi="Times New Roman" w:cs="Times New Roman"/>
                <w:b/>
                <w:bCs/>
                <w:color w:val="000000"/>
              </w:rPr>
            </w:pPr>
          </w:p>
          <w:p w14:paraId="01E8A47A" w14:textId="3FA7993D" w:rsidR="00367DB9" w:rsidRPr="00B52297" w:rsidRDefault="00B52297" w:rsidP="009876E0">
            <w:pPr>
              <w:spacing w:after="60" w:line="240" w:lineRule="auto"/>
              <w:ind w:left="45"/>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Table 5(b): </w:t>
            </w:r>
            <w:r w:rsidR="00A33329">
              <w:rPr>
                <w:rFonts w:ascii="Times New Roman" w:eastAsia="Times New Roman" w:hAnsi="Times New Roman" w:cs="Times New Roman"/>
                <w:b/>
                <w:bCs/>
                <w:color w:val="000000"/>
              </w:rPr>
              <w:t>Percentage of Discordant P</w:t>
            </w:r>
            <w:r w:rsidR="00367DB9" w:rsidRPr="00B52297">
              <w:rPr>
                <w:rFonts w:ascii="Times New Roman" w:eastAsia="Times New Roman" w:hAnsi="Times New Roman" w:cs="Times New Roman"/>
                <w:b/>
                <w:bCs/>
                <w:color w:val="000000"/>
              </w:rPr>
              <w:t>airs</w:t>
            </w:r>
          </w:p>
        </w:tc>
      </w:tr>
      <w:tr w:rsidR="00367DB9" w:rsidRPr="00056BD0" w14:paraId="75F88FF2" w14:textId="77777777" w:rsidTr="00956765">
        <w:trPr>
          <w:trHeight w:val="600"/>
        </w:trPr>
        <w:tc>
          <w:tcPr>
            <w:tcW w:w="1156" w:type="dxa"/>
            <w:tcBorders>
              <w:top w:val="nil"/>
              <w:left w:val="nil"/>
              <w:bottom w:val="nil"/>
              <w:right w:val="nil"/>
            </w:tcBorders>
            <w:shd w:val="clear" w:color="auto" w:fill="auto"/>
            <w:noWrap/>
            <w:vAlign w:val="bottom"/>
            <w:hideMark/>
          </w:tcPr>
          <w:p w14:paraId="2AB91ECE" w14:textId="77777777" w:rsidR="00367DB9" w:rsidRPr="00056BD0" w:rsidRDefault="00367DB9" w:rsidP="00FA51D3">
            <w:pPr>
              <w:spacing w:after="0" w:line="240" w:lineRule="auto"/>
              <w:rPr>
                <w:rFonts w:ascii="Times New Roman" w:eastAsia="Times New Roman" w:hAnsi="Times New Roman" w:cs="Times New Roman"/>
                <w:color w:val="000000"/>
              </w:rPr>
            </w:pPr>
          </w:p>
        </w:tc>
        <w:tc>
          <w:tcPr>
            <w:tcW w:w="3799" w:type="dxa"/>
            <w:gridSpan w:val="3"/>
            <w:tcBorders>
              <w:top w:val="nil"/>
              <w:left w:val="nil"/>
              <w:bottom w:val="single" w:sz="4" w:space="0" w:color="auto"/>
              <w:right w:val="single" w:sz="4" w:space="0" w:color="auto"/>
            </w:tcBorders>
            <w:shd w:val="clear" w:color="auto" w:fill="auto"/>
            <w:noWrap/>
            <w:vAlign w:val="center"/>
            <w:hideMark/>
          </w:tcPr>
          <w:p w14:paraId="79C106EE" w14:textId="77777777" w:rsidR="002904D1" w:rsidRDefault="000610B1" w:rsidP="00FA51D3">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Output: </w:t>
            </w:r>
          </w:p>
          <w:p w14:paraId="1ADF81D5" w14:textId="7D33D5BD" w:rsidR="00367DB9" w:rsidRPr="00056BD0" w:rsidRDefault="000610B1" w:rsidP="00FA51D3">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P</w:t>
            </w:r>
            <w:r w:rsidR="00367DB9" w:rsidRPr="00056BD0">
              <w:rPr>
                <w:rFonts w:ascii="Times New Roman" w:eastAsia="Times New Roman" w:hAnsi="Times New Roman" w:cs="Times New Roman"/>
                <w:bCs/>
                <w:color w:val="000000"/>
              </w:rPr>
              <w:t>ages</w:t>
            </w:r>
          </w:p>
        </w:tc>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0B847650" w14:textId="4167C803" w:rsidR="00367DB9" w:rsidRPr="00056BD0" w:rsidRDefault="000610B1" w:rsidP="00FA51D3">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Output: P</w:t>
            </w:r>
            <w:r w:rsidR="00367DB9" w:rsidRPr="00056BD0">
              <w:rPr>
                <w:rFonts w:ascii="Times New Roman" w:eastAsia="Times New Roman" w:hAnsi="Times New Roman" w:cs="Times New Roman"/>
                <w:bCs/>
                <w:color w:val="000000"/>
              </w:rPr>
              <w:t>apers:</w:t>
            </w:r>
          </w:p>
        </w:tc>
        <w:tc>
          <w:tcPr>
            <w:tcW w:w="2569" w:type="dxa"/>
            <w:gridSpan w:val="2"/>
            <w:tcBorders>
              <w:top w:val="nil"/>
              <w:left w:val="single" w:sz="4" w:space="0" w:color="auto"/>
              <w:bottom w:val="single" w:sz="4" w:space="0" w:color="auto"/>
              <w:right w:val="nil"/>
            </w:tcBorders>
            <w:shd w:val="clear" w:color="auto" w:fill="auto"/>
            <w:vAlign w:val="center"/>
            <w:hideMark/>
          </w:tcPr>
          <w:p w14:paraId="6821E702" w14:textId="77777777" w:rsidR="000610B1" w:rsidRDefault="00367DB9" w:rsidP="00FA51D3">
            <w:pPr>
              <w:spacing w:after="0" w:line="240" w:lineRule="auto"/>
              <w:ind w:right="440"/>
              <w:jc w:val="center"/>
              <w:rPr>
                <w:rFonts w:ascii="Times New Roman" w:eastAsia="Times New Roman" w:hAnsi="Times New Roman" w:cs="Times New Roman"/>
                <w:bCs/>
                <w:color w:val="000000"/>
              </w:rPr>
            </w:pPr>
            <w:r w:rsidRPr="00056BD0">
              <w:rPr>
                <w:rFonts w:ascii="Times New Roman" w:eastAsia="Times New Roman" w:hAnsi="Times New Roman" w:cs="Times New Roman"/>
                <w:bCs/>
                <w:color w:val="000000"/>
              </w:rPr>
              <w:t xml:space="preserve">Output: </w:t>
            </w:r>
          </w:p>
          <w:p w14:paraId="7F54DEE9" w14:textId="0E2A3FE8" w:rsidR="00367DB9" w:rsidRPr="00056BD0" w:rsidRDefault="000610B1" w:rsidP="000610B1">
            <w:pPr>
              <w:spacing w:after="0" w:line="240" w:lineRule="auto"/>
              <w:ind w:right="44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P</w:t>
            </w:r>
            <w:r w:rsidR="00367DB9" w:rsidRPr="00056BD0">
              <w:rPr>
                <w:rFonts w:ascii="Times New Roman" w:eastAsia="Times New Roman" w:hAnsi="Times New Roman" w:cs="Times New Roman"/>
                <w:bCs/>
                <w:color w:val="000000"/>
              </w:rPr>
              <w:t xml:space="preserve">ages  </w:t>
            </w:r>
            <w:r w:rsidR="00E6612C">
              <w:rPr>
                <w:rFonts w:ascii="Times New Roman" w:eastAsia="Times New Roman" w:hAnsi="Times New Roman" w:cs="Times New Roman"/>
                <w:bCs/>
                <w:color w:val="000000"/>
              </w:rPr>
              <w:t>and</w:t>
            </w:r>
            <w:r>
              <w:rPr>
                <w:rFonts w:ascii="Times New Roman" w:eastAsia="Times New Roman" w:hAnsi="Times New Roman" w:cs="Times New Roman"/>
                <w:bCs/>
                <w:color w:val="000000"/>
              </w:rPr>
              <w:t xml:space="preserve"> P</w:t>
            </w:r>
            <w:r w:rsidR="00367DB9" w:rsidRPr="00056BD0">
              <w:rPr>
                <w:rFonts w:ascii="Times New Roman" w:eastAsia="Times New Roman" w:hAnsi="Times New Roman" w:cs="Times New Roman"/>
                <w:bCs/>
                <w:color w:val="000000"/>
              </w:rPr>
              <w:t>apers</w:t>
            </w:r>
          </w:p>
        </w:tc>
      </w:tr>
      <w:tr w:rsidR="00367DB9" w:rsidRPr="00056BD0" w14:paraId="1DCF9C67" w14:textId="77777777" w:rsidTr="00956765">
        <w:trPr>
          <w:trHeight w:val="1644"/>
        </w:trPr>
        <w:tc>
          <w:tcPr>
            <w:tcW w:w="1156" w:type="dxa"/>
            <w:tcBorders>
              <w:top w:val="nil"/>
              <w:left w:val="nil"/>
              <w:bottom w:val="single" w:sz="4" w:space="0" w:color="auto"/>
              <w:right w:val="nil"/>
            </w:tcBorders>
            <w:shd w:val="clear" w:color="auto" w:fill="auto"/>
            <w:vAlign w:val="center"/>
            <w:hideMark/>
          </w:tcPr>
          <w:p w14:paraId="5BB72821" w14:textId="77777777" w:rsidR="00367DB9" w:rsidRPr="00056BD0" w:rsidRDefault="00367DB9" w:rsidP="000610B1">
            <w:pPr>
              <w:spacing w:after="0" w:line="240" w:lineRule="auto"/>
              <w:jc w:val="center"/>
              <w:rPr>
                <w:rFonts w:ascii="Times New Roman" w:eastAsia="Times New Roman" w:hAnsi="Times New Roman" w:cs="Times New Roman"/>
                <w:bCs/>
                <w:color w:val="000000"/>
              </w:rPr>
            </w:pPr>
            <w:r w:rsidRPr="00056BD0">
              <w:rPr>
                <w:rFonts w:ascii="Times New Roman" w:eastAsia="Times New Roman" w:hAnsi="Times New Roman" w:cs="Times New Roman"/>
                <w:bCs/>
                <w:color w:val="000000"/>
              </w:rPr>
              <w:t>Journal weighting scheme</w:t>
            </w:r>
          </w:p>
        </w:tc>
        <w:tc>
          <w:tcPr>
            <w:tcW w:w="1191" w:type="dxa"/>
            <w:tcBorders>
              <w:top w:val="nil"/>
              <w:left w:val="nil"/>
              <w:bottom w:val="single" w:sz="4" w:space="0" w:color="auto"/>
              <w:right w:val="nil"/>
            </w:tcBorders>
            <w:shd w:val="clear" w:color="auto" w:fill="auto"/>
            <w:vAlign w:val="center"/>
            <w:hideMark/>
          </w:tcPr>
          <w:p w14:paraId="1C8B6583" w14:textId="6547F862" w:rsidR="00367DB9" w:rsidRPr="00056BD0" w:rsidRDefault="00367DB9" w:rsidP="000610B1">
            <w:pPr>
              <w:spacing w:after="0" w:line="240" w:lineRule="auto"/>
              <w:jc w:val="center"/>
              <w:rPr>
                <w:rFonts w:ascii="Times New Roman" w:eastAsia="Times New Roman" w:hAnsi="Times New Roman" w:cs="Times New Roman"/>
                <w:bCs/>
                <w:color w:val="000000"/>
              </w:rPr>
            </w:pPr>
            <w:r w:rsidRPr="00056BD0">
              <w:rPr>
                <w:rFonts w:ascii="Times New Roman" w:eastAsia="Times New Roman" w:hAnsi="Times New Roman" w:cs="Times New Roman"/>
                <w:bCs/>
                <w:color w:val="000000"/>
              </w:rPr>
              <w:t xml:space="preserve">Share </w:t>
            </w:r>
            <w:r w:rsidR="00E6612C">
              <w:rPr>
                <w:rFonts w:ascii="Times New Roman" w:eastAsia="Times New Roman" w:hAnsi="Times New Roman" w:cs="Times New Roman"/>
                <w:bCs/>
                <w:color w:val="000000"/>
              </w:rPr>
              <w:t>and</w:t>
            </w:r>
            <w:r w:rsidRPr="00056BD0">
              <w:rPr>
                <w:rFonts w:ascii="Times New Roman" w:eastAsia="Times New Roman" w:hAnsi="Times New Roman" w:cs="Times New Roman"/>
                <w:bCs/>
                <w:color w:val="000000"/>
              </w:rPr>
              <w:t xml:space="preserve"> size </w:t>
            </w:r>
            <w:proofErr w:type="spellStart"/>
            <w:r w:rsidRPr="00056BD0">
              <w:rPr>
                <w:rFonts w:ascii="Times New Roman" w:eastAsia="Times New Roman" w:hAnsi="Times New Roman" w:cs="Times New Roman"/>
                <w:bCs/>
                <w:color w:val="000000"/>
              </w:rPr>
              <w:t>adj</w:t>
            </w:r>
            <w:proofErr w:type="spellEnd"/>
            <w:r w:rsidRPr="00056BD0">
              <w:rPr>
                <w:rFonts w:ascii="Times New Roman" w:eastAsia="Times New Roman" w:hAnsi="Times New Roman" w:cs="Times New Roman"/>
                <w:bCs/>
                <w:color w:val="000000"/>
              </w:rPr>
              <w:t xml:space="preserve">: size </w:t>
            </w:r>
            <w:proofErr w:type="spellStart"/>
            <w:r w:rsidRPr="00056BD0">
              <w:rPr>
                <w:rFonts w:ascii="Times New Roman" w:eastAsia="Times New Roman" w:hAnsi="Times New Roman" w:cs="Times New Roman"/>
                <w:bCs/>
                <w:color w:val="000000"/>
              </w:rPr>
              <w:t>adj</w:t>
            </w:r>
            <w:proofErr w:type="spellEnd"/>
            <w:r w:rsidRPr="00056BD0">
              <w:rPr>
                <w:rFonts w:ascii="Times New Roman" w:eastAsia="Times New Roman" w:hAnsi="Times New Roman" w:cs="Times New Roman"/>
                <w:bCs/>
                <w:color w:val="000000"/>
              </w:rPr>
              <w:t xml:space="preserve"> only</w:t>
            </w:r>
          </w:p>
        </w:tc>
        <w:tc>
          <w:tcPr>
            <w:tcW w:w="1191" w:type="dxa"/>
            <w:tcBorders>
              <w:top w:val="nil"/>
              <w:left w:val="nil"/>
              <w:bottom w:val="single" w:sz="4" w:space="0" w:color="auto"/>
              <w:right w:val="nil"/>
            </w:tcBorders>
            <w:shd w:val="clear" w:color="auto" w:fill="auto"/>
            <w:vAlign w:val="center"/>
            <w:hideMark/>
          </w:tcPr>
          <w:p w14:paraId="2AC21F2B" w14:textId="3D8675C3" w:rsidR="00367DB9" w:rsidRPr="00056BD0" w:rsidRDefault="00367DB9" w:rsidP="000610B1">
            <w:pPr>
              <w:spacing w:after="0" w:line="240" w:lineRule="auto"/>
              <w:jc w:val="center"/>
              <w:rPr>
                <w:rFonts w:ascii="Times New Roman" w:eastAsia="Times New Roman" w:hAnsi="Times New Roman" w:cs="Times New Roman"/>
                <w:bCs/>
                <w:color w:val="000000"/>
              </w:rPr>
            </w:pPr>
            <w:r w:rsidRPr="00056BD0">
              <w:rPr>
                <w:rFonts w:ascii="Times New Roman" w:eastAsia="Times New Roman" w:hAnsi="Times New Roman" w:cs="Times New Roman"/>
                <w:bCs/>
                <w:color w:val="000000"/>
              </w:rPr>
              <w:t xml:space="preserve">Share </w:t>
            </w:r>
            <w:r w:rsidR="00E6612C">
              <w:rPr>
                <w:rFonts w:ascii="Times New Roman" w:eastAsia="Times New Roman" w:hAnsi="Times New Roman" w:cs="Times New Roman"/>
                <w:bCs/>
                <w:color w:val="000000"/>
              </w:rPr>
              <w:t>and</w:t>
            </w:r>
            <w:r w:rsidRPr="00056BD0">
              <w:rPr>
                <w:rFonts w:ascii="Times New Roman" w:eastAsia="Times New Roman" w:hAnsi="Times New Roman" w:cs="Times New Roman"/>
                <w:bCs/>
                <w:color w:val="000000"/>
              </w:rPr>
              <w:t xml:space="preserve"> size </w:t>
            </w:r>
            <w:proofErr w:type="spellStart"/>
            <w:r w:rsidRPr="00056BD0">
              <w:rPr>
                <w:rFonts w:ascii="Times New Roman" w:eastAsia="Times New Roman" w:hAnsi="Times New Roman" w:cs="Times New Roman"/>
                <w:bCs/>
                <w:color w:val="000000"/>
              </w:rPr>
              <w:t>adj</w:t>
            </w:r>
            <w:proofErr w:type="spellEnd"/>
            <w:r w:rsidRPr="00056BD0">
              <w:rPr>
                <w:rFonts w:ascii="Times New Roman" w:eastAsia="Times New Roman" w:hAnsi="Times New Roman" w:cs="Times New Roman"/>
                <w:bCs/>
                <w:color w:val="000000"/>
              </w:rPr>
              <w:t xml:space="preserve">: NO share, NO size </w:t>
            </w:r>
            <w:proofErr w:type="spellStart"/>
            <w:r w:rsidRPr="00056BD0">
              <w:rPr>
                <w:rFonts w:ascii="Times New Roman" w:eastAsia="Times New Roman" w:hAnsi="Times New Roman" w:cs="Times New Roman"/>
                <w:bCs/>
                <w:color w:val="000000"/>
              </w:rPr>
              <w:t>adj</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74328085" w14:textId="77777777" w:rsidR="00367DB9" w:rsidRPr="00056BD0" w:rsidRDefault="00367DB9" w:rsidP="000610B1">
            <w:pPr>
              <w:spacing w:after="0" w:line="240" w:lineRule="auto"/>
              <w:jc w:val="center"/>
              <w:rPr>
                <w:rFonts w:ascii="Times New Roman" w:eastAsia="Times New Roman" w:hAnsi="Times New Roman" w:cs="Times New Roman"/>
                <w:bCs/>
                <w:color w:val="000000"/>
              </w:rPr>
            </w:pPr>
            <w:r w:rsidRPr="00056BD0">
              <w:rPr>
                <w:rFonts w:ascii="Times New Roman" w:eastAsia="Times New Roman" w:hAnsi="Times New Roman" w:cs="Times New Roman"/>
                <w:bCs/>
                <w:color w:val="000000"/>
              </w:rPr>
              <w:t xml:space="preserve">Size </w:t>
            </w:r>
            <w:proofErr w:type="spellStart"/>
            <w:r w:rsidRPr="00056BD0">
              <w:rPr>
                <w:rFonts w:ascii="Times New Roman" w:eastAsia="Times New Roman" w:hAnsi="Times New Roman" w:cs="Times New Roman"/>
                <w:bCs/>
                <w:color w:val="000000"/>
              </w:rPr>
              <w:t>adj</w:t>
            </w:r>
            <w:proofErr w:type="spellEnd"/>
            <w:r w:rsidRPr="00056BD0">
              <w:rPr>
                <w:rFonts w:ascii="Times New Roman" w:eastAsia="Times New Roman" w:hAnsi="Times New Roman" w:cs="Times New Roman"/>
                <w:bCs/>
                <w:color w:val="000000"/>
              </w:rPr>
              <w:t xml:space="preserve"> only: NO share, NO size </w:t>
            </w:r>
            <w:proofErr w:type="spellStart"/>
            <w:r w:rsidRPr="00056BD0">
              <w:rPr>
                <w:rFonts w:ascii="Times New Roman" w:eastAsia="Times New Roman" w:hAnsi="Times New Roman" w:cs="Times New Roman"/>
                <w:bCs/>
                <w:color w:val="000000"/>
              </w:rPr>
              <w:t>adj</w:t>
            </w:r>
            <w:proofErr w:type="spellEnd"/>
          </w:p>
        </w:tc>
        <w:tc>
          <w:tcPr>
            <w:tcW w:w="1191" w:type="dxa"/>
            <w:tcBorders>
              <w:top w:val="nil"/>
              <w:left w:val="single" w:sz="4" w:space="0" w:color="auto"/>
              <w:bottom w:val="single" w:sz="4" w:space="0" w:color="auto"/>
              <w:right w:val="single" w:sz="4" w:space="0" w:color="auto"/>
            </w:tcBorders>
            <w:shd w:val="clear" w:color="auto" w:fill="auto"/>
            <w:vAlign w:val="center"/>
            <w:hideMark/>
          </w:tcPr>
          <w:p w14:paraId="50796E98" w14:textId="77777777" w:rsidR="00367DB9" w:rsidRPr="00056BD0" w:rsidRDefault="00367DB9" w:rsidP="000610B1">
            <w:pPr>
              <w:spacing w:after="0" w:line="240" w:lineRule="auto"/>
              <w:jc w:val="center"/>
              <w:rPr>
                <w:rFonts w:ascii="Times New Roman" w:eastAsia="Times New Roman" w:hAnsi="Times New Roman" w:cs="Times New Roman"/>
                <w:bCs/>
                <w:color w:val="000000"/>
              </w:rPr>
            </w:pPr>
            <w:r w:rsidRPr="00056BD0">
              <w:rPr>
                <w:rFonts w:ascii="Times New Roman" w:eastAsia="Times New Roman" w:hAnsi="Times New Roman" w:cs="Times New Roman"/>
                <w:bCs/>
                <w:color w:val="000000"/>
              </w:rPr>
              <w:t xml:space="preserve">Share </w:t>
            </w:r>
            <w:proofErr w:type="spellStart"/>
            <w:r w:rsidRPr="00056BD0">
              <w:rPr>
                <w:rFonts w:ascii="Times New Roman" w:eastAsia="Times New Roman" w:hAnsi="Times New Roman" w:cs="Times New Roman"/>
                <w:bCs/>
                <w:color w:val="000000"/>
              </w:rPr>
              <w:t>adj</w:t>
            </w:r>
            <w:proofErr w:type="spellEnd"/>
            <w:r w:rsidRPr="00056BD0">
              <w:rPr>
                <w:rFonts w:ascii="Times New Roman" w:eastAsia="Times New Roman" w:hAnsi="Times New Roman" w:cs="Times New Roman"/>
                <w:bCs/>
                <w:color w:val="000000"/>
              </w:rPr>
              <w:t xml:space="preserve">: NO share </w:t>
            </w:r>
            <w:proofErr w:type="spellStart"/>
            <w:r w:rsidRPr="00056BD0">
              <w:rPr>
                <w:rFonts w:ascii="Times New Roman" w:eastAsia="Times New Roman" w:hAnsi="Times New Roman" w:cs="Times New Roman"/>
                <w:bCs/>
                <w:color w:val="000000"/>
              </w:rPr>
              <w:t>adj</w:t>
            </w:r>
            <w:proofErr w:type="spellEnd"/>
          </w:p>
        </w:tc>
        <w:tc>
          <w:tcPr>
            <w:tcW w:w="1378" w:type="dxa"/>
            <w:tcBorders>
              <w:top w:val="nil"/>
              <w:left w:val="single" w:sz="4" w:space="0" w:color="auto"/>
              <w:bottom w:val="single" w:sz="4" w:space="0" w:color="auto"/>
              <w:right w:val="nil"/>
            </w:tcBorders>
            <w:shd w:val="clear" w:color="auto" w:fill="auto"/>
            <w:vAlign w:val="center"/>
            <w:hideMark/>
          </w:tcPr>
          <w:p w14:paraId="5D9495DC" w14:textId="14E07977" w:rsidR="00367DB9" w:rsidRPr="00056BD0" w:rsidRDefault="00367DB9" w:rsidP="000610B1">
            <w:pPr>
              <w:spacing w:after="0" w:line="240" w:lineRule="auto"/>
              <w:jc w:val="center"/>
              <w:rPr>
                <w:rFonts w:ascii="Times New Roman" w:eastAsia="Times New Roman" w:hAnsi="Times New Roman" w:cs="Times New Roman"/>
                <w:bCs/>
                <w:color w:val="000000"/>
              </w:rPr>
            </w:pPr>
            <w:r w:rsidRPr="00056BD0">
              <w:rPr>
                <w:rFonts w:ascii="Times New Roman" w:eastAsia="Times New Roman" w:hAnsi="Times New Roman" w:cs="Times New Roman"/>
                <w:bCs/>
                <w:color w:val="000000"/>
              </w:rPr>
              <w:t xml:space="preserve">Share </w:t>
            </w:r>
            <w:r w:rsidR="00E6612C">
              <w:rPr>
                <w:rFonts w:ascii="Times New Roman" w:eastAsia="Times New Roman" w:hAnsi="Times New Roman" w:cs="Times New Roman"/>
                <w:bCs/>
                <w:color w:val="000000"/>
              </w:rPr>
              <w:t>and</w:t>
            </w:r>
            <w:r w:rsidRPr="00056BD0">
              <w:rPr>
                <w:rFonts w:ascii="Times New Roman" w:eastAsia="Times New Roman" w:hAnsi="Times New Roman" w:cs="Times New Roman"/>
                <w:bCs/>
                <w:color w:val="000000"/>
              </w:rPr>
              <w:t xml:space="preserve"> size </w:t>
            </w:r>
            <w:proofErr w:type="spellStart"/>
            <w:r w:rsidRPr="00056BD0">
              <w:rPr>
                <w:rFonts w:ascii="Times New Roman" w:eastAsia="Times New Roman" w:hAnsi="Times New Roman" w:cs="Times New Roman"/>
                <w:bCs/>
                <w:color w:val="000000"/>
              </w:rPr>
              <w:t>adj</w:t>
            </w:r>
            <w:proofErr w:type="spellEnd"/>
            <w:r w:rsidRPr="00056BD0">
              <w:rPr>
                <w:rFonts w:ascii="Times New Roman" w:eastAsia="Times New Roman" w:hAnsi="Times New Roman" w:cs="Times New Roman"/>
                <w:bCs/>
                <w:color w:val="000000"/>
              </w:rPr>
              <w:t xml:space="preserve"> pages: share </w:t>
            </w:r>
            <w:proofErr w:type="spellStart"/>
            <w:r w:rsidRPr="00056BD0">
              <w:rPr>
                <w:rFonts w:ascii="Times New Roman" w:eastAsia="Times New Roman" w:hAnsi="Times New Roman" w:cs="Times New Roman"/>
                <w:bCs/>
                <w:color w:val="000000"/>
              </w:rPr>
              <w:t>adj</w:t>
            </w:r>
            <w:proofErr w:type="spellEnd"/>
            <w:r w:rsidRPr="00056BD0">
              <w:rPr>
                <w:rFonts w:ascii="Times New Roman" w:eastAsia="Times New Roman" w:hAnsi="Times New Roman" w:cs="Times New Roman"/>
                <w:bCs/>
                <w:color w:val="000000"/>
              </w:rPr>
              <w:t xml:space="preserve"> papers</w:t>
            </w:r>
          </w:p>
        </w:tc>
        <w:tc>
          <w:tcPr>
            <w:tcW w:w="1191" w:type="dxa"/>
            <w:tcBorders>
              <w:top w:val="nil"/>
              <w:left w:val="nil"/>
              <w:bottom w:val="single" w:sz="4" w:space="0" w:color="auto"/>
              <w:right w:val="nil"/>
            </w:tcBorders>
            <w:shd w:val="clear" w:color="auto" w:fill="auto"/>
            <w:vAlign w:val="center"/>
            <w:hideMark/>
          </w:tcPr>
          <w:p w14:paraId="2845EE31" w14:textId="638D28B5" w:rsidR="00367DB9" w:rsidRPr="00056BD0" w:rsidRDefault="00367DB9" w:rsidP="000610B1">
            <w:pPr>
              <w:spacing w:after="0" w:line="240" w:lineRule="auto"/>
              <w:jc w:val="center"/>
              <w:rPr>
                <w:rFonts w:ascii="Times New Roman" w:eastAsia="Times New Roman" w:hAnsi="Times New Roman" w:cs="Times New Roman"/>
                <w:bCs/>
                <w:color w:val="000000"/>
              </w:rPr>
            </w:pPr>
            <w:r w:rsidRPr="00056BD0">
              <w:rPr>
                <w:rFonts w:ascii="Times New Roman" w:eastAsia="Times New Roman" w:hAnsi="Times New Roman" w:cs="Times New Roman"/>
                <w:bCs/>
                <w:color w:val="000000"/>
              </w:rPr>
              <w:t xml:space="preserve">Share </w:t>
            </w:r>
            <w:r w:rsidR="00E6612C">
              <w:rPr>
                <w:rFonts w:ascii="Times New Roman" w:eastAsia="Times New Roman" w:hAnsi="Times New Roman" w:cs="Times New Roman"/>
                <w:bCs/>
                <w:color w:val="000000"/>
              </w:rPr>
              <w:t>and</w:t>
            </w:r>
            <w:r w:rsidRPr="00056BD0">
              <w:rPr>
                <w:rFonts w:ascii="Times New Roman" w:eastAsia="Times New Roman" w:hAnsi="Times New Roman" w:cs="Times New Roman"/>
                <w:bCs/>
                <w:color w:val="000000"/>
              </w:rPr>
              <w:t xml:space="preserve"> size </w:t>
            </w:r>
            <w:proofErr w:type="spellStart"/>
            <w:r w:rsidRPr="00056BD0">
              <w:rPr>
                <w:rFonts w:ascii="Times New Roman" w:eastAsia="Times New Roman" w:hAnsi="Times New Roman" w:cs="Times New Roman"/>
                <w:bCs/>
                <w:color w:val="000000"/>
              </w:rPr>
              <w:t>adj</w:t>
            </w:r>
            <w:proofErr w:type="spellEnd"/>
            <w:r w:rsidRPr="00056BD0">
              <w:rPr>
                <w:rFonts w:ascii="Times New Roman" w:eastAsia="Times New Roman" w:hAnsi="Times New Roman" w:cs="Times New Roman"/>
                <w:bCs/>
                <w:color w:val="000000"/>
              </w:rPr>
              <w:t xml:space="preserve"> pages: NO share </w:t>
            </w:r>
            <w:proofErr w:type="spellStart"/>
            <w:r w:rsidRPr="00056BD0">
              <w:rPr>
                <w:rFonts w:ascii="Times New Roman" w:eastAsia="Times New Roman" w:hAnsi="Times New Roman" w:cs="Times New Roman"/>
                <w:bCs/>
                <w:color w:val="000000"/>
              </w:rPr>
              <w:t>adj</w:t>
            </w:r>
            <w:proofErr w:type="spellEnd"/>
            <w:r w:rsidRPr="00056BD0">
              <w:rPr>
                <w:rFonts w:ascii="Times New Roman" w:eastAsia="Times New Roman" w:hAnsi="Times New Roman" w:cs="Times New Roman"/>
                <w:bCs/>
                <w:color w:val="000000"/>
              </w:rPr>
              <w:t xml:space="preserve"> papers</w:t>
            </w:r>
          </w:p>
        </w:tc>
      </w:tr>
      <w:tr w:rsidR="00367DB9" w:rsidRPr="00056BD0" w14:paraId="69C1B7FE" w14:textId="77777777" w:rsidTr="00956765">
        <w:trPr>
          <w:trHeight w:val="300"/>
        </w:trPr>
        <w:tc>
          <w:tcPr>
            <w:tcW w:w="1156" w:type="dxa"/>
            <w:tcBorders>
              <w:top w:val="nil"/>
              <w:left w:val="nil"/>
              <w:bottom w:val="nil"/>
              <w:right w:val="nil"/>
            </w:tcBorders>
            <w:shd w:val="clear" w:color="auto" w:fill="auto"/>
            <w:noWrap/>
            <w:vAlign w:val="bottom"/>
            <w:hideMark/>
          </w:tcPr>
          <w:p w14:paraId="78548041" w14:textId="77777777" w:rsidR="00367DB9" w:rsidRPr="00056BD0" w:rsidRDefault="00367DB9" w:rsidP="00FA51D3">
            <w:pPr>
              <w:spacing w:after="0" w:line="240" w:lineRule="auto"/>
              <w:rPr>
                <w:rFonts w:ascii="Times New Roman" w:eastAsia="Times New Roman" w:hAnsi="Times New Roman" w:cs="Times New Roman"/>
                <w:bCs/>
                <w:color w:val="000000"/>
              </w:rPr>
            </w:pPr>
            <w:proofErr w:type="spellStart"/>
            <w:r w:rsidRPr="00056BD0">
              <w:rPr>
                <w:rFonts w:ascii="Times New Roman" w:eastAsia="Times New Roman" w:hAnsi="Times New Roman" w:cs="Times New Roman"/>
                <w:bCs/>
                <w:color w:val="000000"/>
              </w:rPr>
              <w:t>CLm</w:t>
            </w:r>
            <w:proofErr w:type="spellEnd"/>
          </w:p>
        </w:tc>
        <w:tc>
          <w:tcPr>
            <w:tcW w:w="1191" w:type="dxa"/>
            <w:tcBorders>
              <w:top w:val="nil"/>
              <w:left w:val="nil"/>
              <w:bottom w:val="nil"/>
              <w:right w:val="nil"/>
            </w:tcBorders>
            <w:shd w:val="clear" w:color="auto" w:fill="auto"/>
            <w:noWrap/>
            <w:vAlign w:val="bottom"/>
            <w:hideMark/>
          </w:tcPr>
          <w:p w14:paraId="5CC945D5"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8.83</w:t>
            </w:r>
          </w:p>
        </w:tc>
        <w:tc>
          <w:tcPr>
            <w:tcW w:w="1191" w:type="dxa"/>
            <w:tcBorders>
              <w:top w:val="nil"/>
              <w:left w:val="nil"/>
              <w:bottom w:val="nil"/>
              <w:right w:val="nil"/>
            </w:tcBorders>
            <w:shd w:val="clear" w:color="auto" w:fill="auto"/>
            <w:noWrap/>
            <w:vAlign w:val="bottom"/>
            <w:hideMark/>
          </w:tcPr>
          <w:p w14:paraId="3088DEE9"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8.98</w:t>
            </w:r>
          </w:p>
        </w:tc>
        <w:tc>
          <w:tcPr>
            <w:tcW w:w="1417" w:type="dxa"/>
            <w:tcBorders>
              <w:top w:val="nil"/>
              <w:left w:val="nil"/>
              <w:bottom w:val="nil"/>
              <w:right w:val="single" w:sz="4" w:space="0" w:color="auto"/>
            </w:tcBorders>
            <w:shd w:val="clear" w:color="auto" w:fill="auto"/>
            <w:noWrap/>
            <w:vAlign w:val="bottom"/>
            <w:hideMark/>
          </w:tcPr>
          <w:p w14:paraId="0DDC6504"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2.86</w:t>
            </w:r>
          </w:p>
        </w:tc>
        <w:tc>
          <w:tcPr>
            <w:tcW w:w="1191" w:type="dxa"/>
            <w:tcBorders>
              <w:top w:val="nil"/>
              <w:left w:val="single" w:sz="4" w:space="0" w:color="auto"/>
              <w:bottom w:val="nil"/>
              <w:right w:val="single" w:sz="4" w:space="0" w:color="auto"/>
            </w:tcBorders>
            <w:shd w:val="clear" w:color="auto" w:fill="auto"/>
            <w:noWrap/>
            <w:vAlign w:val="bottom"/>
            <w:hideMark/>
          </w:tcPr>
          <w:p w14:paraId="5B1C1228"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9.40</w:t>
            </w:r>
          </w:p>
        </w:tc>
        <w:tc>
          <w:tcPr>
            <w:tcW w:w="1378" w:type="dxa"/>
            <w:tcBorders>
              <w:top w:val="nil"/>
              <w:left w:val="single" w:sz="4" w:space="0" w:color="auto"/>
              <w:bottom w:val="nil"/>
              <w:right w:val="nil"/>
            </w:tcBorders>
            <w:shd w:val="clear" w:color="auto" w:fill="auto"/>
            <w:noWrap/>
            <w:vAlign w:val="bottom"/>
            <w:hideMark/>
          </w:tcPr>
          <w:p w14:paraId="5EF18237"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8.75</w:t>
            </w:r>
          </w:p>
        </w:tc>
        <w:tc>
          <w:tcPr>
            <w:tcW w:w="1191" w:type="dxa"/>
            <w:tcBorders>
              <w:top w:val="nil"/>
              <w:left w:val="nil"/>
              <w:bottom w:val="nil"/>
              <w:right w:val="nil"/>
            </w:tcBorders>
            <w:shd w:val="clear" w:color="auto" w:fill="auto"/>
            <w:noWrap/>
            <w:vAlign w:val="bottom"/>
            <w:hideMark/>
          </w:tcPr>
          <w:p w14:paraId="721D5138"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10.97</w:t>
            </w:r>
          </w:p>
        </w:tc>
      </w:tr>
      <w:tr w:rsidR="00367DB9" w:rsidRPr="00056BD0" w14:paraId="69CAEE41" w14:textId="77777777" w:rsidTr="00956765">
        <w:trPr>
          <w:trHeight w:val="300"/>
        </w:trPr>
        <w:tc>
          <w:tcPr>
            <w:tcW w:w="1156" w:type="dxa"/>
            <w:tcBorders>
              <w:top w:val="nil"/>
              <w:left w:val="nil"/>
              <w:bottom w:val="nil"/>
              <w:right w:val="nil"/>
            </w:tcBorders>
            <w:shd w:val="clear" w:color="auto" w:fill="auto"/>
            <w:noWrap/>
            <w:vAlign w:val="bottom"/>
            <w:hideMark/>
          </w:tcPr>
          <w:p w14:paraId="47BC85C8" w14:textId="77777777" w:rsidR="00367DB9" w:rsidRPr="00056BD0" w:rsidRDefault="00367DB9" w:rsidP="00FA51D3">
            <w:pPr>
              <w:spacing w:after="0" w:line="240" w:lineRule="auto"/>
              <w:rPr>
                <w:rFonts w:ascii="Times New Roman" w:eastAsia="Times New Roman" w:hAnsi="Times New Roman" w:cs="Times New Roman"/>
                <w:bCs/>
                <w:color w:val="000000"/>
              </w:rPr>
            </w:pPr>
            <w:proofErr w:type="spellStart"/>
            <w:r w:rsidRPr="00056BD0">
              <w:rPr>
                <w:rFonts w:ascii="Times New Roman" w:eastAsia="Times New Roman" w:hAnsi="Times New Roman" w:cs="Times New Roman"/>
                <w:bCs/>
                <w:color w:val="000000"/>
              </w:rPr>
              <w:t>CLh</w:t>
            </w:r>
            <w:proofErr w:type="spellEnd"/>
          </w:p>
        </w:tc>
        <w:tc>
          <w:tcPr>
            <w:tcW w:w="1191" w:type="dxa"/>
            <w:tcBorders>
              <w:top w:val="nil"/>
              <w:left w:val="nil"/>
              <w:bottom w:val="nil"/>
              <w:right w:val="nil"/>
            </w:tcBorders>
            <w:shd w:val="clear" w:color="auto" w:fill="auto"/>
            <w:noWrap/>
            <w:vAlign w:val="bottom"/>
            <w:hideMark/>
          </w:tcPr>
          <w:p w14:paraId="266522D3"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5.93</w:t>
            </w:r>
          </w:p>
        </w:tc>
        <w:tc>
          <w:tcPr>
            <w:tcW w:w="1191" w:type="dxa"/>
            <w:tcBorders>
              <w:top w:val="nil"/>
              <w:left w:val="nil"/>
              <w:bottom w:val="nil"/>
              <w:right w:val="nil"/>
            </w:tcBorders>
            <w:shd w:val="clear" w:color="auto" w:fill="auto"/>
            <w:noWrap/>
            <w:vAlign w:val="bottom"/>
            <w:hideMark/>
          </w:tcPr>
          <w:p w14:paraId="10F5B1FA"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5.96</w:t>
            </w:r>
          </w:p>
        </w:tc>
        <w:tc>
          <w:tcPr>
            <w:tcW w:w="1417" w:type="dxa"/>
            <w:tcBorders>
              <w:top w:val="nil"/>
              <w:left w:val="nil"/>
              <w:bottom w:val="nil"/>
              <w:right w:val="single" w:sz="4" w:space="0" w:color="auto"/>
            </w:tcBorders>
            <w:shd w:val="clear" w:color="auto" w:fill="auto"/>
            <w:noWrap/>
            <w:vAlign w:val="bottom"/>
            <w:hideMark/>
          </w:tcPr>
          <w:p w14:paraId="3CB97593"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1.77</w:t>
            </w:r>
          </w:p>
        </w:tc>
        <w:tc>
          <w:tcPr>
            <w:tcW w:w="1191" w:type="dxa"/>
            <w:tcBorders>
              <w:top w:val="nil"/>
              <w:left w:val="single" w:sz="4" w:space="0" w:color="auto"/>
              <w:bottom w:val="nil"/>
              <w:right w:val="single" w:sz="4" w:space="0" w:color="auto"/>
            </w:tcBorders>
            <w:shd w:val="clear" w:color="auto" w:fill="auto"/>
            <w:noWrap/>
            <w:vAlign w:val="bottom"/>
            <w:hideMark/>
          </w:tcPr>
          <w:p w14:paraId="31E05342"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6.26</w:t>
            </w:r>
          </w:p>
        </w:tc>
        <w:tc>
          <w:tcPr>
            <w:tcW w:w="1378" w:type="dxa"/>
            <w:tcBorders>
              <w:top w:val="nil"/>
              <w:left w:val="single" w:sz="4" w:space="0" w:color="auto"/>
              <w:bottom w:val="nil"/>
              <w:right w:val="nil"/>
            </w:tcBorders>
            <w:shd w:val="clear" w:color="auto" w:fill="auto"/>
            <w:noWrap/>
            <w:vAlign w:val="bottom"/>
            <w:hideMark/>
          </w:tcPr>
          <w:p w14:paraId="05E6D010"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5.56</w:t>
            </w:r>
          </w:p>
        </w:tc>
        <w:tc>
          <w:tcPr>
            <w:tcW w:w="1191" w:type="dxa"/>
            <w:tcBorders>
              <w:top w:val="nil"/>
              <w:left w:val="nil"/>
              <w:bottom w:val="nil"/>
              <w:right w:val="nil"/>
            </w:tcBorders>
            <w:shd w:val="clear" w:color="auto" w:fill="auto"/>
            <w:noWrap/>
            <w:vAlign w:val="bottom"/>
            <w:hideMark/>
          </w:tcPr>
          <w:p w14:paraId="02C8BB6D"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6.94</w:t>
            </w:r>
          </w:p>
        </w:tc>
      </w:tr>
      <w:tr w:rsidR="00367DB9" w:rsidRPr="00056BD0" w14:paraId="65F4A846" w14:textId="77777777" w:rsidTr="00956765">
        <w:trPr>
          <w:trHeight w:val="300"/>
        </w:trPr>
        <w:tc>
          <w:tcPr>
            <w:tcW w:w="1156" w:type="dxa"/>
            <w:tcBorders>
              <w:top w:val="nil"/>
              <w:left w:val="nil"/>
              <w:bottom w:val="nil"/>
              <w:right w:val="nil"/>
            </w:tcBorders>
            <w:shd w:val="clear" w:color="auto" w:fill="auto"/>
            <w:noWrap/>
            <w:vAlign w:val="bottom"/>
            <w:hideMark/>
          </w:tcPr>
          <w:p w14:paraId="29233385" w14:textId="77777777" w:rsidR="00367DB9" w:rsidRPr="00056BD0" w:rsidRDefault="00367DB9" w:rsidP="00FA51D3">
            <w:pPr>
              <w:spacing w:after="0" w:line="240" w:lineRule="auto"/>
              <w:rPr>
                <w:rFonts w:ascii="Times New Roman" w:eastAsia="Times New Roman" w:hAnsi="Times New Roman" w:cs="Times New Roman"/>
                <w:bCs/>
                <w:color w:val="000000"/>
              </w:rPr>
            </w:pPr>
            <w:r w:rsidRPr="00056BD0">
              <w:rPr>
                <w:rFonts w:ascii="Times New Roman" w:eastAsia="Times New Roman" w:hAnsi="Times New Roman" w:cs="Times New Roman"/>
                <w:bCs/>
                <w:color w:val="000000"/>
              </w:rPr>
              <w:t>ABDC</w:t>
            </w:r>
          </w:p>
        </w:tc>
        <w:tc>
          <w:tcPr>
            <w:tcW w:w="1191" w:type="dxa"/>
            <w:tcBorders>
              <w:top w:val="nil"/>
              <w:left w:val="nil"/>
              <w:bottom w:val="nil"/>
              <w:right w:val="nil"/>
            </w:tcBorders>
            <w:shd w:val="clear" w:color="auto" w:fill="auto"/>
            <w:noWrap/>
            <w:vAlign w:val="bottom"/>
            <w:hideMark/>
          </w:tcPr>
          <w:p w14:paraId="467C421E"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9.20</w:t>
            </w:r>
          </w:p>
        </w:tc>
        <w:tc>
          <w:tcPr>
            <w:tcW w:w="1191" w:type="dxa"/>
            <w:tcBorders>
              <w:top w:val="nil"/>
              <w:left w:val="nil"/>
              <w:bottom w:val="nil"/>
              <w:right w:val="nil"/>
            </w:tcBorders>
            <w:shd w:val="clear" w:color="auto" w:fill="auto"/>
            <w:noWrap/>
            <w:vAlign w:val="bottom"/>
            <w:hideMark/>
          </w:tcPr>
          <w:p w14:paraId="280159B5"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9.77</w:t>
            </w:r>
          </w:p>
        </w:tc>
        <w:tc>
          <w:tcPr>
            <w:tcW w:w="1417" w:type="dxa"/>
            <w:tcBorders>
              <w:top w:val="nil"/>
              <w:left w:val="nil"/>
              <w:bottom w:val="nil"/>
              <w:right w:val="single" w:sz="4" w:space="0" w:color="auto"/>
            </w:tcBorders>
            <w:shd w:val="clear" w:color="auto" w:fill="auto"/>
            <w:noWrap/>
            <w:vAlign w:val="bottom"/>
            <w:hideMark/>
          </w:tcPr>
          <w:p w14:paraId="56DB424E"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3.02</w:t>
            </w:r>
          </w:p>
        </w:tc>
        <w:tc>
          <w:tcPr>
            <w:tcW w:w="1191" w:type="dxa"/>
            <w:tcBorders>
              <w:top w:val="nil"/>
              <w:left w:val="single" w:sz="4" w:space="0" w:color="auto"/>
              <w:bottom w:val="nil"/>
              <w:right w:val="single" w:sz="4" w:space="0" w:color="auto"/>
            </w:tcBorders>
            <w:shd w:val="clear" w:color="auto" w:fill="auto"/>
            <w:noWrap/>
            <w:vAlign w:val="bottom"/>
            <w:hideMark/>
          </w:tcPr>
          <w:p w14:paraId="348B841A"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7.93</w:t>
            </w:r>
          </w:p>
        </w:tc>
        <w:tc>
          <w:tcPr>
            <w:tcW w:w="1378" w:type="dxa"/>
            <w:tcBorders>
              <w:top w:val="nil"/>
              <w:left w:val="single" w:sz="4" w:space="0" w:color="auto"/>
              <w:bottom w:val="nil"/>
              <w:right w:val="nil"/>
            </w:tcBorders>
            <w:shd w:val="clear" w:color="auto" w:fill="auto"/>
            <w:noWrap/>
            <w:vAlign w:val="bottom"/>
            <w:hideMark/>
          </w:tcPr>
          <w:p w14:paraId="6757A426"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8.58</w:t>
            </w:r>
          </w:p>
        </w:tc>
        <w:tc>
          <w:tcPr>
            <w:tcW w:w="1191" w:type="dxa"/>
            <w:tcBorders>
              <w:top w:val="nil"/>
              <w:left w:val="nil"/>
              <w:bottom w:val="nil"/>
              <w:right w:val="nil"/>
            </w:tcBorders>
            <w:shd w:val="clear" w:color="auto" w:fill="auto"/>
            <w:noWrap/>
            <w:vAlign w:val="bottom"/>
            <w:hideMark/>
          </w:tcPr>
          <w:p w14:paraId="28412351"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10.65</w:t>
            </w:r>
          </w:p>
        </w:tc>
      </w:tr>
      <w:tr w:rsidR="00367DB9" w:rsidRPr="00056BD0" w14:paraId="01A7DDB0" w14:textId="77777777" w:rsidTr="00956765">
        <w:trPr>
          <w:trHeight w:val="300"/>
        </w:trPr>
        <w:tc>
          <w:tcPr>
            <w:tcW w:w="1156" w:type="dxa"/>
            <w:tcBorders>
              <w:top w:val="nil"/>
              <w:left w:val="nil"/>
              <w:bottom w:val="nil"/>
              <w:right w:val="nil"/>
            </w:tcBorders>
            <w:shd w:val="clear" w:color="auto" w:fill="auto"/>
            <w:noWrap/>
            <w:vAlign w:val="bottom"/>
            <w:hideMark/>
          </w:tcPr>
          <w:p w14:paraId="75E87B10" w14:textId="77777777" w:rsidR="00367DB9" w:rsidRPr="00056BD0" w:rsidRDefault="00367DB9" w:rsidP="00FA51D3">
            <w:pPr>
              <w:spacing w:after="0" w:line="240" w:lineRule="auto"/>
              <w:rPr>
                <w:rFonts w:ascii="Times New Roman" w:eastAsia="Times New Roman" w:hAnsi="Times New Roman" w:cs="Times New Roman"/>
                <w:bCs/>
                <w:color w:val="000000"/>
              </w:rPr>
            </w:pPr>
            <w:proofErr w:type="spellStart"/>
            <w:r w:rsidRPr="00056BD0">
              <w:rPr>
                <w:rFonts w:ascii="Times New Roman" w:eastAsia="Times New Roman" w:hAnsi="Times New Roman" w:cs="Times New Roman"/>
                <w:bCs/>
                <w:color w:val="000000"/>
              </w:rPr>
              <w:t>Rsif</w:t>
            </w:r>
            <w:proofErr w:type="spellEnd"/>
          </w:p>
        </w:tc>
        <w:tc>
          <w:tcPr>
            <w:tcW w:w="1191" w:type="dxa"/>
            <w:tcBorders>
              <w:top w:val="nil"/>
              <w:left w:val="nil"/>
              <w:bottom w:val="nil"/>
              <w:right w:val="nil"/>
            </w:tcBorders>
            <w:shd w:val="clear" w:color="auto" w:fill="auto"/>
            <w:noWrap/>
            <w:vAlign w:val="bottom"/>
            <w:hideMark/>
          </w:tcPr>
          <w:p w14:paraId="72C61BC1"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6.46</w:t>
            </w:r>
          </w:p>
        </w:tc>
        <w:tc>
          <w:tcPr>
            <w:tcW w:w="1191" w:type="dxa"/>
            <w:tcBorders>
              <w:top w:val="nil"/>
              <w:left w:val="nil"/>
              <w:bottom w:val="nil"/>
              <w:right w:val="nil"/>
            </w:tcBorders>
            <w:shd w:val="clear" w:color="auto" w:fill="auto"/>
            <w:noWrap/>
            <w:vAlign w:val="bottom"/>
            <w:hideMark/>
          </w:tcPr>
          <w:p w14:paraId="3523C090"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6.65</w:t>
            </w:r>
          </w:p>
        </w:tc>
        <w:tc>
          <w:tcPr>
            <w:tcW w:w="1417" w:type="dxa"/>
            <w:tcBorders>
              <w:top w:val="nil"/>
              <w:left w:val="nil"/>
              <w:bottom w:val="nil"/>
              <w:right w:val="single" w:sz="4" w:space="0" w:color="auto"/>
            </w:tcBorders>
            <w:shd w:val="clear" w:color="auto" w:fill="auto"/>
            <w:noWrap/>
            <w:vAlign w:val="bottom"/>
            <w:hideMark/>
          </w:tcPr>
          <w:p w14:paraId="379F1B1F"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2.26</w:t>
            </w:r>
          </w:p>
        </w:tc>
        <w:tc>
          <w:tcPr>
            <w:tcW w:w="1191" w:type="dxa"/>
            <w:tcBorders>
              <w:top w:val="nil"/>
              <w:left w:val="single" w:sz="4" w:space="0" w:color="auto"/>
              <w:bottom w:val="nil"/>
              <w:right w:val="single" w:sz="4" w:space="0" w:color="auto"/>
            </w:tcBorders>
            <w:shd w:val="clear" w:color="auto" w:fill="auto"/>
            <w:noWrap/>
            <w:vAlign w:val="bottom"/>
            <w:hideMark/>
          </w:tcPr>
          <w:p w14:paraId="6DE040B0"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6.80</w:t>
            </w:r>
          </w:p>
        </w:tc>
        <w:tc>
          <w:tcPr>
            <w:tcW w:w="1378" w:type="dxa"/>
            <w:tcBorders>
              <w:top w:val="nil"/>
              <w:left w:val="single" w:sz="4" w:space="0" w:color="auto"/>
              <w:bottom w:val="nil"/>
              <w:right w:val="nil"/>
            </w:tcBorders>
            <w:shd w:val="clear" w:color="auto" w:fill="auto"/>
            <w:noWrap/>
            <w:vAlign w:val="bottom"/>
            <w:hideMark/>
          </w:tcPr>
          <w:p w14:paraId="4F1E8444"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6.38</w:t>
            </w:r>
          </w:p>
        </w:tc>
        <w:tc>
          <w:tcPr>
            <w:tcW w:w="1191" w:type="dxa"/>
            <w:tcBorders>
              <w:top w:val="nil"/>
              <w:left w:val="nil"/>
              <w:bottom w:val="nil"/>
              <w:right w:val="nil"/>
            </w:tcBorders>
            <w:shd w:val="clear" w:color="auto" w:fill="auto"/>
            <w:noWrap/>
            <w:vAlign w:val="bottom"/>
            <w:hideMark/>
          </w:tcPr>
          <w:p w14:paraId="60C506EF"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8.50</w:t>
            </w:r>
          </w:p>
        </w:tc>
      </w:tr>
      <w:tr w:rsidR="00367DB9" w:rsidRPr="00056BD0" w14:paraId="4D75259E" w14:textId="77777777" w:rsidTr="00956765">
        <w:trPr>
          <w:trHeight w:val="300"/>
        </w:trPr>
        <w:tc>
          <w:tcPr>
            <w:tcW w:w="1156" w:type="dxa"/>
            <w:tcBorders>
              <w:top w:val="nil"/>
              <w:left w:val="nil"/>
              <w:bottom w:val="nil"/>
              <w:right w:val="nil"/>
            </w:tcBorders>
            <w:shd w:val="clear" w:color="auto" w:fill="auto"/>
            <w:noWrap/>
            <w:vAlign w:val="bottom"/>
            <w:hideMark/>
          </w:tcPr>
          <w:p w14:paraId="1FF05AC4" w14:textId="77777777" w:rsidR="00367DB9" w:rsidRPr="00056BD0" w:rsidRDefault="00367DB9" w:rsidP="00FA51D3">
            <w:pPr>
              <w:spacing w:after="0" w:line="240" w:lineRule="auto"/>
              <w:rPr>
                <w:rFonts w:ascii="Times New Roman" w:eastAsia="Times New Roman" w:hAnsi="Times New Roman" w:cs="Times New Roman"/>
                <w:bCs/>
                <w:color w:val="000000"/>
              </w:rPr>
            </w:pPr>
            <w:proofErr w:type="spellStart"/>
            <w:r w:rsidRPr="00056BD0">
              <w:rPr>
                <w:rFonts w:ascii="Times New Roman" w:eastAsia="Times New Roman" w:hAnsi="Times New Roman" w:cs="Times New Roman"/>
                <w:bCs/>
                <w:color w:val="000000"/>
              </w:rPr>
              <w:t>Rrec</w:t>
            </w:r>
            <w:proofErr w:type="spellEnd"/>
          </w:p>
        </w:tc>
        <w:tc>
          <w:tcPr>
            <w:tcW w:w="1191" w:type="dxa"/>
            <w:tcBorders>
              <w:top w:val="nil"/>
              <w:left w:val="nil"/>
              <w:bottom w:val="nil"/>
              <w:right w:val="nil"/>
            </w:tcBorders>
            <w:shd w:val="clear" w:color="auto" w:fill="auto"/>
            <w:noWrap/>
            <w:vAlign w:val="bottom"/>
            <w:hideMark/>
          </w:tcPr>
          <w:p w14:paraId="62D6E306"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5.47</w:t>
            </w:r>
          </w:p>
        </w:tc>
        <w:tc>
          <w:tcPr>
            <w:tcW w:w="1191" w:type="dxa"/>
            <w:tcBorders>
              <w:top w:val="nil"/>
              <w:left w:val="nil"/>
              <w:bottom w:val="nil"/>
              <w:right w:val="nil"/>
            </w:tcBorders>
            <w:shd w:val="clear" w:color="auto" w:fill="auto"/>
            <w:noWrap/>
            <w:vAlign w:val="bottom"/>
            <w:hideMark/>
          </w:tcPr>
          <w:p w14:paraId="68D05001"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5.34</w:t>
            </w:r>
          </w:p>
        </w:tc>
        <w:tc>
          <w:tcPr>
            <w:tcW w:w="1417" w:type="dxa"/>
            <w:tcBorders>
              <w:top w:val="nil"/>
              <w:left w:val="nil"/>
              <w:bottom w:val="nil"/>
              <w:right w:val="single" w:sz="4" w:space="0" w:color="auto"/>
            </w:tcBorders>
            <w:shd w:val="clear" w:color="auto" w:fill="auto"/>
            <w:noWrap/>
            <w:vAlign w:val="bottom"/>
            <w:hideMark/>
          </w:tcPr>
          <w:p w14:paraId="1A9A3166"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1.82</w:t>
            </w:r>
          </w:p>
        </w:tc>
        <w:tc>
          <w:tcPr>
            <w:tcW w:w="1191" w:type="dxa"/>
            <w:tcBorders>
              <w:top w:val="nil"/>
              <w:left w:val="single" w:sz="4" w:space="0" w:color="auto"/>
              <w:bottom w:val="nil"/>
              <w:right w:val="single" w:sz="4" w:space="0" w:color="auto"/>
            </w:tcBorders>
            <w:shd w:val="clear" w:color="auto" w:fill="auto"/>
            <w:noWrap/>
            <w:vAlign w:val="bottom"/>
            <w:hideMark/>
          </w:tcPr>
          <w:p w14:paraId="2865D346"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5.06</w:t>
            </w:r>
          </w:p>
        </w:tc>
        <w:tc>
          <w:tcPr>
            <w:tcW w:w="1378" w:type="dxa"/>
            <w:tcBorders>
              <w:top w:val="nil"/>
              <w:left w:val="single" w:sz="4" w:space="0" w:color="auto"/>
              <w:bottom w:val="nil"/>
              <w:right w:val="nil"/>
            </w:tcBorders>
            <w:shd w:val="clear" w:color="auto" w:fill="auto"/>
            <w:noWrap/>
            <w:vAlign w:val="bottom"/>
            <w:hideMark/>
          </w:tcPr>
          <w:p w14:paraId="6566E744"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5.52</w:t>
            </w:r>
          </w:p>
        </w:tc>
        <w:tc>
          <w:tcPr>
            <w:tcW w:w="1191" w:type="dxa"/>
            <w:tcBorders>
              <w:top w:val="nil"/>
              <w:left w:val="nil"/>
              <w:bottom w:val="nil"/>
              <w:right w:val="nil"/>
            </w:tcBorders>
            <w:shd w:val="clear" w:color="auto" w:fill="auto"/>
            <w:noWrap/>
            <w:vAlign w:val="bottom"/>
            <w:hideMark/>
          </w:tcPr>
          <w:p w14:paraId="37C2F671"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6.40</w:t>
            </w:r>
          </w:p>
        </w:tc>
      </w:tr>
      <w:tr w:rsidR="00367DB9" w:rsidRPr="00056BD0" w14:paraId="00A15742" w14:textId="77777777" w:rsidTr="00956765">
        <w:trPr>
          <w:trHeight w:val="300"/>
        </w:trPr>
        <w:tc>
          <w:tcPr>
            <w:tcW w:w="1156" w:type="dxa"/>
            <w:tcBorders>
              <w:top w:val="nil"/>
              <w:left w:val="nil"/>
              <w:right w:val="nil"/>
            </w:tcBorders>
            <w:shd w:val="clear" w:color="auto" w:fill="auto"/>
            <w:noWrap/>
            <w:vAlign w:val="bottom"/>
            <w:hideMark/>
          </w:tcPr>
          <w:p w14:paraId="2230ECB3" w14:textId="77777777" w:rsidR="00367DB9" w:rsidRPr="00056BD0" w:rsidRDefault="00367DB9" w:rsidP="00FA51D3">
            <w:pPr>
              <w:spacing w:after="0" w:line="240" w:lineRule="auto"/>
              <w:rPr>
                <w:rFonts w:ascii="Times New Roman" w:eastAsia="Times New Roman" w:hAnsi="Times New Roman" w:cs="Times New Roman"/>
                <w:bCs/>
                <w:color w:val="000000"/>
              </w:rPr>
            </w:pPr>
            <w:r w:rsidRPr="00056BD0">
              <w:rPr>
                <w:rFonts w:ascii="Times New Roman" w:eastAsia="Times New Roman" w:hAnsi="Times New Roman" w:cs="Times New Roman"/>
                <w:bCs/>
                <w:color w:val="000000"/>
              </w:rPr>
              <w:t>NZABDC</w:t>
            </w:r>
          </w:p>
        </w:tc>
        <w:tc>
          <w:tcPr>
            <w:tcW w:w="1191" w:type="dxa"/>
            <w:tcBorders>
              <w:top w:val="nil"/>
              <w:left w:val="nil"/>
              <w:right w:val="nil"/>
            </w:tcBorders>
            <w:shd w:val="clear" w:color="auto" w:fill="auto"/>
            <w:noWrap/>
            <w:vAlign w:val="bottom"/>
            <w:hideMark/>
          </w:tcPr>
          <w:p w14:paraId="49F561BF"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6.87</w:t>
            </w:r>
          </w:p>
        </w:tc>
        <w:tc>
          <w:tcPr>
            <w:tcW w:w="1191" w:type="dxa"/>
            <w:tcBorders>
              <w:top w:val="nil"/>
              <w:left w:val="nil"/>
              <w:right w:val="nil"/>
            </w:tcBorders>
            <w:shd w:val="clear" w:color="auto" w:fill="auto"/>
            <w:noWrap/>
            <w:vAlign w:val="bottom"/>
            <w:hideMark/>
          </w:tcPr>
          <w:p w14:paraId="65B3CA9B"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6.83</w:t>
            </w:r>
          </w:p>
        </w:tc>
        <w:tc>
          <w:tcPr>
            <w:tcW w:w="1417" w:type="dxa"/>
            <w:tcBorders>
              <w:top w:val="nil"/>
              <w:left w:val="nil"/>
              <w:right w:val="single" w:sz="4" w:space="0" w:color="auto"/>
            </w:tcBorders>
            <w:shd w:val="clear" w:color="auto" w:fill="auto"/>
            <w:noWrap/>
            <w:vAlign w:val="bottom"/>
            <w:hideMark/>
          </w:tcPr>
          <w:p w14:paraId="3D707D91"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2.58</w:t>
            </w:r>
          </w:p>
        </w:tc>
        <w:tc>
          <w:tcPr>
            <w:tcW w:w="1191" w:type="dxa"/>
            <w:tcBorders>
              <w:top w:val="nil"/>
              <w:left w:val="single" w:sz="4" w:space="0" w:color="auto"/>
              <w:right w:val="single" w:sz="4" w:space="0" w:color="auto"/>
            </w:tcBorders>
            <w:shd w:val="clear" w:color="auto" w:fill="auto"/>
            <w:noWrap/>
            <w:vAlign w:val="bottom"/>
            <w:hideMark/>
          </w:tcPr>
          <w:p w14:paraId="1F8DF4AD"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7.06</w:t>
            </w:r>
          </w:p>
        </w:tc>
        <w:tc>
          <w:tcPr>
            <w:tcW w:w="1378" w:type="dxa"/>
            <w:tcBorders>
              <w:top w:val="nil"/>
              <w:left w:val="single" w:sz="4" w:space="0" w:color="auto"/>
              <w:right w:val="nil"/>
            </w:tcBorders>
            <w:shd w:val="clear" w:color="auto" w:fill="auto"/>
            <w:noWrap/>
            <w:vAlign w:val="bottom"/>
            <w:hideMark/>
          </w:tcPr>
          <w:p w14:paraId="23F051E3"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6.89</w:t>
            </w:r>
          </w:p>
        </w:tc>
        <w:tc>
          <w:tcPr>
            <w:tcW w:w="1191" w:type="dxa"/>
            <w:tcBorders>
              <w:top w:val="nil"/>
              <w:left w:val="nil"/>
              <w:right w:val="nil"/>
            </w:tcBorders>
            <w:shd w:val="clear" w:color="auto" w:fill="auto"/>
            <w:noWrap/>
            <w:vAlign w:val="bottom"/>
            <w:hideMark/>
          </w:tcPr>
          <w:p w14:paraId="55823E6A" w14:textId="77777777" w:rsidR="00367DB9" w:rsidRPr="00056BD0" w:rsidRDefault="00367DB9" w:rsidP="00FA51D3">
            <w:pPr>
              <w:spacing w:after="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8.74</w:t>
            </w:r>
          </w:p>
        </w:tc>
      </w:tr>
      <w:tr w:rsidR="00367DB9" w:rsidRPr="00056BD0" w14:paraId="0DBE04AE" w14:textId="77777777" w:rsidTr="00956765">
        <w:trPr>
          <w:trHeight w:val="300"/>
        </w:trPr>
        <w:tc>
          <w:tcPr>
            <w:tcW w:w="1156" w:type="dxa"/>
            <w:tcBorders>
              <w:top w:val="nil"/>
              <w:left w:val="nil"/>
              <w:bottom w:val="single" w:sz="4" w:space="0" w:color="auto"/>
              <w:right w:val="nil"/>
            </w:tcBorders>
            <w:shd w:val="clear" w:color="auto" w:fill="auto"/>
            <w:noWrap/>
            <w:vAlign w:val="bottom"/>
            <w:hideMark/>
          </w:tcPr>
          <w:p w14:paraId="489D1DEC" w14:textId="77777777" w:rsidR="00367DB9" w:rsidRPr="00056BD0" w:rsidRDefault="00367DB9" w:rsidP="002904D1">
            <w:pPr>
              <w:spacing w:after="100" w:line="240" w:lineRule="auto"/>
              <w:rPr>
                <w:rFonts w:ascii="Times New Roman" w:eastAsia="Times New Roman" w:hAnsi="Times New Roman" w:cs="Times New Roman"/>
                <w:bCs/>
                <w:color w:val="000000"/>
              </w:rPr>
            </w:pPr>
            <w:r w:rsidRPr="00056BD0">
              <w:rPr>
                <w:rFonts w:ascii="Times New Roman" w:eastAsia="Times New Roman" w:hAnsi="Times New Roman" w:cs="Times New Roman"/>
                <w:bCs/>
                <w:color w:val="000000"/>
              </w:rPr>
              <w:t>AVJWS</w:t>
            </w:r>
          </w:p>
        </w:tc>
        <w:tc>
          <w:tcPr>
            <w:tcW w:w="1191" w:type="dxa"/>
            <w:tcBorders>
              <w:top w:val="nil"/>
              <w:left w:val="nil"/>
              <w:bottom w:val="single" w:sz="4" w:space="0" w:color="auto"/>
              <w:right w:val="nil"/>
            </w:tcBorders>
            <w:shd w:val="clear" w:color="auto" w:fill="auto"/>
            <w:noWrap/>
            <w:vAlign w:val="bottom"/>
            <w:hideMark/>
          </w:tcPr>
          <w:p w14:paraId="4E91C140" w14:textId="77777777" w:rsidR="00367DB9" w:rsidRPr="00056BD0" w:rsidRDefault="00367DB9" w:rsidP="002904D1">
            <w:pPr>
              <w:spacing w:after="10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7.38</w:t>
            </w:r>
          </w:p>
        </w:tc>
        <w:tc>
          <w:tcPr>
            <w:tcW w:w="1191" w:type="dxa"/>
            <w:tcBorders>
              <w:top w:val="nil"/>
              <w:left w:val="nil"/>
              <w:bottom w:val="single" w:sz="4" w:space="0" w:color="auto"/>
              <w:right w:val="nil"/>
            </w:tcBorders>
            <w:shd w:val="clear" w:color="auto" w:fill="auto"/>
            <w:noWrap/>
            <w:vAlign w:val="bottom"/>
            <w:hideMark/>
          </w:tcPr>
          <w:p w14:paraId="48AF8360" w14:textId="77777777" w:rsidR="00367DB9" w:rsidRPr="00056BD0" w:rsidRDefault="00367DB9" w:rsidP="002904D1">
            <w:pPr>
              <w:spacing w:after="10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7.43</w:t>
            </w:r>
          </w:p>
        </w:tc>
        <w:tc>
          <w:tcPr>
            <w:tcW w:w="1417" w:type="dxa"/>
            <w:tcBorders>
              <w:top w:val="nil"/>
              <w:left w:val="nil"/>
              <w:bottom w:val="single" w:sz="4" w:space="0" w:color="auto"/>
              <w:right w:val="single" w:sz="4" w:space="0" w:color="auto"/>
            </w:tcBorders>
            <w:shd w:val="clear" w:color="auto" w:fill="auto"/>
            <w:noWrap/>
            <w:vAlign w:val="bottom"/>
            <w:hideMark/>
          </w:tcPr>
          <w:p w14:paraId="104FCC86" w14:textId="77777777" w:rsidR="00367DB9" w:rsidRPr="00056BD0" w:rsidRDefault="00367DB9" w:rsidP="002904D1">
            <w:pPr>
              <w:spacing w:after="10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2.61</w:t>
            </w:r>
          </w:p>
        </w:tc>
        <w:tc>
          <w:tcPr>
            <w:tcW w:w="1191" w:type="dxa"/>
            <w:tcBorders>
              <w:top w:val="nil"/>
              <w:left w:val="single" w:sz="4" w:space="0" w:color="auto"/>
              <w:bottom w:val="single" w:sz="4" w:space="0" w:color="auto"/>
              <w:right w:val="single" w:sz="4" w:space="0" w:color="auto"/>
            </w:tcBorders>
            <w:shd w:val="clear" w:color="auto" w:fill="auto"/>
            <w:noWrap/>
            <w:vAlign w:val="bottom"/>
            <w:hideMark/>
          </w:tcPr>
          <w:p w14:paraId="6065F191" w14:textId="77777777" w:rsidR="00367DB9" w:rsidRPr="00056BD0" w:rsidRDefault="00367DB9" w:rsidP="002904D1">
            <w:pPr>
              <w:spacing w:after="10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7.33</w:t>
            </w:r>
          </w:p>
        </w:tc>
        <w:tc>
          <w:tcPr>
            <w:tcW w:w="1378" w:type="dxa"/>
            <w:tcBorders>
              <w:top w:val="nil"/>
              <w:left w:val="single" w:sz="4" w:space="0" w:color="auto"/>
              <w:bottom w:val="single" w:sz="4" w:space="0" w:color="auto"/>
              <w:right w:val="nil"/>
            </w:tcBorders>
            <w:shd w:val="clear" w:color="auto" w:fill="auto"/>
            <w:noWrap/>
            <w:vAlign w:val="bottom"/>
            <w:hideMark/>
          </w:tcPr>
          <w:p w14:paraId="41F12D0E" w14:textId="77777777" w:rsidR="00367DB9" w:rsidRPr="00056BD0" w:rsidRDefault="00367DB9" w:rsidP="002904D1">
            <w:pPr>
              <w:spacing w:after="10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7.51</w:t>
            </w:r>
          </w:p>
        </w:tc>
        <w:tc>
          <w:tcPr>
            <w:tcW w:w="1191" w:type="dxa"/>
            <w:tcBorders>
              <w:top w:val="nil"/>
              <w:left w:val="nil"/>
              <w:bottom w:val="single" w:sz="4" w:space="0" w:color="auto"/>
              <w:right w:val="nil"/>
            </w:tcBorders>
            <w:shd w:val="clear" w:color="auto" w:fill="auto"/>
            <w:noWrap/>
            <w:vAlign w:val="bottom"/>
            <w:hideMark/>
          </w:tcPr>
          <w:p w14:paraId="5C5A42B5" w14:textId="77777777" w:rsidR="00367DB9" w:rsidRPr="00056BD0" w:rsidRDefault="00367DB9" w:rsidP="002904D1">
            <w:pPr>
              <w:spacing w:after="100" w:line="240" w:lineRule="auto"/>
              <w:jc w:val="center"/>
              <w:rPr>
                <w:rFonts w:ascii="Times New Roman" w:eastAsia="Times New Roman" w:hAnsi="Times New Roman" w:cs="Times New Roman"/>
                <w:color w:val="000000"/>
              </w:rPr>
            </w:pPr>
            <w:r w:rsidRPr="00056BD0">
              <w:rPr>
                <w:rFonts w:ascii="Times New Roman" w:eastAsia="Times New Roman" w:hAnsi="Times New Roman" w:cs="Times New Roman"/>
                <w:color w:val="000000"/>
              </w:rPr>
              <w:t>9.04</w:t>
            </w:r>
          </w:p>
        </w:tc>
      </w:tr>
      <w:tr w:rsidR="00367DB9" w:rsidRPr="00056BD0" w14:paraId="071ABFB9" w14:textId="77777777" w:rsidTr="00A33329">
        <w:trPr>
          <w:trHeight w:val="300"/>
        </w:trPr>
        <w:tc>
          <w:tcPr>
            <w:tcW w:w="1156" w:type="dxa"/>
            <w:tcBorders>
              <w:top w:val="single" w:sz="4" w:space="0" w:color="auto"/>
              <w:left w:val="nil"/>
              <w:bottom w:val="nil"/>
              <w:right w:val="nil"/>
            </w:tcBorders>
            <w:shd w:val="clear" w:color="auto" w:fill="auto"/>
            <w:noWrap/>
            <w:vAlign w:val="bottom"/>
            <w:hideMark/>
          </w:tcPr>
          <w:p w14:paraId="1DCAA24A" w14:textId="77777777" w:rsidR="00367DB9" w:rsidRPr="00056BD0" w:rsidRDefault="00367DB9" w:rsidP="00FA51D3">
            <w:pPr>
              <w:spacing w:after="0" w:line="240" w:lineRule="auto"/>
              <w:rPr>
                <w:rFonts w:ascii="Times New Roman" w:eastAsia="Times New Roman" w:hAnsi="Times New Roman" w:cs="Times New Roman"/>
                <w:bCs/>
                <w:color w:val="000000"/>
                <w:sz w:val="20"/>
                <w:szCs w:val="20"/>
              </w:rPr>
            </w:pPr>
            <w:r w:rsidRPr="00056BD0">
              <w:rPr>
                <w:rFonts w:ascii="Times New Roman" w:eastAsia="Times New Roman" w:hAnsi="Times New Roman" w:cs="Times New Roman"/>
                <w:bCs/>
                <w:color w:val="000000"/>
                <w:sz w:val="20"/>
                <w:szCs w:val="20"/>
              </w:rPr>
              <w:t xml:space="preserve">N= 113 </w:t>
            </w:r>
          </w:p>
        </w:tc>
        <w:tc>
          <w:tcPr>
            <w:tcW w:w="1191" w:type="dxa"/>
            <w:tcBorders>
              <w:top w:val="single" w:sz="4" w:space="0" w:color="auto"/>
              <w:left w:val="nil"/>
              <w:bottom w:val="nil"/>
              <w:right w:val="nil"/>
            </w:tcBorders>
            <w:shd w:val="clear" w:color="auto" w:fill="auto"/>
            <w:noWrap/>
            <w:vAlign w:val="bottom"/>
            <w:hideMark/>
          </w:tcPr>
          <w:p w14:paraId="01C0C196" w14:textId="77777777" w:rsidR="00367DB9" w:rsidRPr="00056BD0" w:rsidRDefault="00367DB9" w:rsidP="00FA51D3">
            <w:pPr>
              <w:spacing w:after="0" w:line="240" w:lineRule="auto"/>
              <w:rPr>
                <w:rFonts w:ascii="Times New Roman" w:eastAsia="Times New Roman" w:hAnsi="Times New Roman" w:cs="Times New Roman"/>
                <w:color w:val="000000"/>
              </w:rPr>
            </w:pPr>
          </w:p>
        </w:tc>
        <w:tc>
          <w:tcPr>
            <w:tcW w:w="1191" w:type="dxa"/>
            <w:tcBorders>
              <w:top w:val="single" w:sz="4" w:space="0" w:color="auto"/>
              <w:left w:val="nil"/>
              <w:bottom w:val="nil"/>
              <w:right w:val="nil"/>
            </w:tcBorders>
            <w:shd w:val="clear" w:color="auto" w:fill="auto"/>
            <w:noWrap/>
            <w:vAlign w:val="bottom"/>
            <w:hideMark/>
          </w:tcPr>
          <w:p w14:paraId="5ACF3CA8" w14:textId="77777777" w:rsidR="00367DB9" w:rsidRPr="00056BD0" w:rsidRDefault="00367DB9" w:rsidP="00FA51D3">
            <w:pPr>
              <w:spacing w:after="0" w:line="240" w:lineRule="auto"/>
              <w:rPr>
                <w:rFonts w:ascii="Times New Roman" w:eastAsia="Times New Roman" w:hAnsi="Times New Roman" w:cs="Times New Roman"/>
                <w:color w:val="000000"/>
              </w:rPr>
            </w:pPr>
          </w:p>
        </w:tc>
        <w:tc>
          <w:tcPr>
            <w:tcW w:w="1417" w:type="dxa"/>
            <w:tcBorders>
              <w:top w:val="single" w:sz="4" w:space="0" w:color="auto"/>
              <w:left w:val="nil"/>
              <w:bottom w:val="nil"/>
              <w:right w:val="nil"/>
            </w:tcBorders>
            <w:shd w:val="clear" w:color="auto" w:fill="auto"/>
            <w:noWrap/>
            <w:vAlign w:val="bottom"/>
            <w:hideMark/>
          </w:tcPr>
          <w:p w14:paraId="5B56D678" w14:textId="77777777" w:rsidR="00367DB9" w:rsidRPr="00056BD0" w:rsidRDefault="00367DB9" w:rsidP="00FA51D3">
            <w:pPr>
              <w:spacing w:after="0" w:line="240" w:lineRule="auto"/>
              <w:rPr>
                <w:rFonts w:ascii="Times New Roman" w:eastAsia="Times New Roman" w:hAnsi="Times New Roman" w:cs="Times New Roman"/>
                <w:color w:val="000000"/>
              </w:rPr>
            </w:pPr>
          </w:p>
        </w:tc>
        <w:tc>
          <w:tcPr>
            <w:tcW w:w="1191" w:type="dxa"/>
            <w:tcBorders>
              <w:top w:val="single" w:sz="4" w:space="0" w:color="auto"/>
              <w:left w:val="nil"/>
              <w:bottom w:val="nil"/>
              <w:right w:val="nil"/>
            </w:tcBorders>
            <w:shd w:val="clear" w:color="auto" w:fill="auto"/>
            <w:noWrap/>
            <w:vAlign w:val="bottom"/>
            <w:hideMark/>
          </w:tcPr>
          <w:p w14:paraId="2D6E977B" w14:textId="77777777" w:rsidR="00367DB9" w:rsidRPr="00056BD0" w:rsidRDefault="00367DB9" w:rsidP="00FA51D3">
            <w:pPr>
              <w:spacing w:after="0" w:line="240" w:lineRule="auto"/>
              <w:rPr>
                <w:rFonts w:ascii="Times New Roman" w:eastAsia="Times New Roman" w:hAnsi="Times New Roman" w:cs="Times New Roman"/>
                <w:color w:val="000000"/>
              </w:rPr>
            </w:pPr>
          </w:p>
        </w:tc>
        <w:tc>
          <w:tcPr>
            <w:tcW w:w="1378" w:type="dxa"/>
            <w:tcBorders>
              <w:top w:val="single" w:sz="4" w:space="0" w:color="auto"/>
              <w:left w:val="nil"/>
              <w:bottom w:val="nil"/>
              <w:right w:val="nil"/>
            </w:tcBorders>
            <w:shd w:val="clear" w:color="auto" w:fill="auto"/>
            <w:noWrap/>
            <w:vAlign w:val="bottom"/>
            <w:hideMark/>
          </w:tcPr>
          <w:p w14:paraId="06B61404" w14:textId="77777777" w:rsidR="00367DB9" w:rsidRPr="00056BD0" w:rsidRDefault="00367DB9" w:rsidP="00FA51D3">
            <w:pPr>
              <w:spacing w:after="0" w:line="240" w:lineRule="auto"/>
              <w:rPr>
                <w:rFonts w:ascii="Times New Roman" w:eastAsia="Times New Roman" w:hAnsi="Times New Roman" w:cs="Times New Roman"/>
                <w:color w:val="000000"/>
              </w:rPr>
            </w:pPr>
          </w:p>
        </w:tc>
        <w:tc>
          <w:tcPr>
            <w:tcW w:w="1191" w:type="dxa"/>
            <w:tcBorders>
              <w:top w:val="single" w:sz="4" w:space="0" w:color="auto"/>
              <w:left w:val="nil"/>
              <w:bottom w:val="nil"/>
              <w:right w:val="nil"/>
            </w:tcBorders>
            <w:shd w:val="clear" w:color="auto" w:fill="auto"/>
            <w:noWrap/>
            <w:vAlign w:val="bottom"/>
            <w:hideMark/>
          </w:tcPr>
          <w:p w14:paraId="122A9820" w14:textId="77777777" w:rsidR="00367DB9" w:rsidRPr="00056BD0" w:rsidRDefault="00367DB9" w:rsidP="00FA51D3">
            <w:pPr>
              <w:spacing w:after="0" w:line="240" w:lineRule="auto"/>
              <w:rPr>
                <w:rFonts w:ascii="Times New Roman" w:eastAsia="Times New Roman" w:hAnsi="Times New Roman" w:cs="Times New Roman"/>
                <w:color w:val="000000"/>
              </w:rPr>
            </w:pPr>
          </w:p>
        </w:tc>
      </w:tr>
    </w:tbl>
    <w:p w14:paraId="43A83ADC" w14:textId="77777777" w:rsidR="000610B1" w:rsidRDefault="000610B1" w:rsidP="00316E1D">
      <w:pPr>
        <w:spacing w:after="0" w:line="288" w:lineRule="auto"/>
        <w:ind w:firstLine="720"/>
        <w:jc w:val="both"/>
        <w:rPr>
          <w:rFonts w:ascii="Times New Roman" w:hAnsi="Times New Roman" w:cs="Times New Roman"/>
          <w:sz w:val="24"/>
          <w:szCs w:val="24"/>
        </w:rPr>
      </w:pPr>
    </w:p>
    <w:p w14:paraId="292B6E6F" w14:textId="76F34FF8" w:rsidR="00E55991" w:rsidRDefault="008E1786" w:rsidP="00316E1D">
      <w:pPr>
        <w:spacing w:after="0" w:line="288" w:lineRule="auto"/>
        <w:ind w:firstLine="720"/>
        <w:jc w:val="both"/>
        <w:rPr>
          <w:rFonts w:ascii="Times New Roman" w:hAnsi="Times New Roman" w:cs="Times New Roman"/>
          <w:sz w:val="24"/>
          <w:szCs w:val="24"/>
        </w:rPr>
      </w:pPr>
      <w:r w:rsidRPr="00B83421">
        <w:rPr>
          <w:rFonts w:ascii="Times New Roman" w:hAnsi="Times New Roman" w:cs="Times New Roman"/>
          <w:sz w:val="24"/>
          <w:szCs w:val="24"/>
        </w:rPr>
        <w:lastRenderedPageBreak/>
        <w:t>Table 5</w:t>
      </w:r>
      <w:r w:rsidR="00677285">
        <w:rPr>
          <w:rFonts w:ascii="Times New Roman" w:hAnsi="Times New Roman" w:cs="Times New Roman"/>
          <w:sz w:val="24"/>
          <w:szCs w:val="24"/>
        </w:rPr>
        <w:t>(a)</w:t>
      </w:r>
      <w:r w:rsidRPr="00B83421">
        <w:rPr>
          <w:rFonts w:ascii="Times New Roman" w:hAnsi="Times New Roman" w:cs="Times New Roman"/>
          <w:sz w:val="24"/>
          <w:szCs w:val="24"/>
        </w:rPr>
        <w:t xml:space="preserve"> also displays information on the </w:t>
      </w:r>
      <w:r w:rsidR="008D727C" w:rsidRPr="00B83421">
        <w:rPr>
          <w:rFonts w:ascii="Times New Roman" w:hAnsi="Times New Roman" w:cs="Times New Roman"/>
          <w:sz w:val="24"/>
          <w:szCs w:val="24"/>
        </w:rPr>
        <w:t xml:space="preserve">impact of adjusting for co-authorship when output is defined in terms of papers.  </w:t>
      </w:r>
      <w:r w:rsidR="00AC6DCA" w:rsidRPr="00B83421">
        <w:rPr>
          <w:rFonts w:ascii="Times New Roman" w:hAnsi="Times New Roman" w:cs="Times New Roman"/>
          <w:sz w:val="24"/>
          <w:szCs w:val="24"/>
        </w:rPr>
        <w:t>As displayed in the fourth data column, SP for all pairs of share adjusted/ no-share adjusted papers</w:t>
      </w:r>
      <w:r w:rsidR="008D727C" w:rsidRPr="00B83421">
        <w:rPr>
          <w:rFonts w:ascii="Times New Roman" w:hAnsi="Times New Roman" w:cs="Times New Roman"/>
          <w:sz w:val="24"/>
          <w:szCs w:val="24"/>
        </w:rPr>
        <w:t xml:space="preserve"> range from 0.95 to 0.98, and for KT, from 0.81 to 0.89</w:t>
      </w:r>
      <w:r w:rsidR="00AC6DCA" w:rsidRPr="00B83421">
        <w:rPr>
          <w:rFonts w:ascii="Times New Roman" w:hAnsi="Times New Roman" w:cs="Times New Roman"/>
          <w:sz w:val="24"/>
          <w:szCs w:val="24"/>
        </w:rPr>
        <w:t xml:space="preserve">.  </w:t>
      </w:r>
      <w:r w:rsidR="008D727C" w:rsidRPr="00B83421">
        <w:rPr>
          <w:rFonts w:ascii="Times New Roman" w:hAnsi="Times New Roman" w:cs="Times New Roman"/>
          <w:sz w:val="24"/>
          <w:szCs w:val="24"/>
        </w:rPr>
        <w:t>Once</w:t>
      </w:r>
      <w:r w:rsidR="00F26F96" w:rsidRPr="00B83421">
        <w:rPr>
          <w:rFonts w:ascii="Times New Roman" w:hAnsi="Times New Roman" w:cs="Times New Roman"/>
          <w:sz w:val="24"/>
          <w:szCs w:val="24"/>
        </w:rPr>
        <w:t xml:space="preserve"> again, th</w:t>
      </w:r>
      <w:r w:rsidR="00AC6DCA" w:rsidRPr="00B83421">
        <w:rPr>
          <w:rFonts w:ascii="Times New Roman" w:hAnsi="Times New Roman" w:cs="Times New Roman"/>
          <w:sz w:val="24"/>
          <w:szCs w:val="24"/>
        </w:rPr>
        <w:t>e</w:t>
      </w:r>
      <w:r w:rsidR="00F26F96" w:rsidRPr="00B83421">
        <w:rPr>
          <w:rFonts w:ascii="Times New Roman" w:hAnsi="Times New Roman" w:cs="Times New Roman"/>
          <w:sz w:val="24"/>
          <w:szCs w:val="24"/>
        </w:rPr>
        <w:t xml:space="preserve"> </w:t>
      </w:r>
      <w:r w:rsidR="00AC6DCA" w:rsidRPr="00B83421">
        <w:rPr>
          <w:rFonts w:ascii="Times New Roman" w:hAnsi="Times New Roman" w:cs="Times New Roman"/>
          <w:sz w:val="24"/>
          <w:szCs w:val="24"/>
        </w:rPr>
        <w:t xml:space="preserve">results </w:t>
      </w:r>
      <w:r w:rsidR="00F26F96" w:rsidRPr="00B83421">
        <w:rPr>
          <w:rFonts w:ascii="Times New Roman" w:hAnsi="Times New Roman" w:cs="Times New Roman"/>
          <w:sz w:val="24"/>
          <w:szCs w:val="24"/>
        </w:rPr>
        <w:t xml:space="preserve">suggest that </w:t>
      </w:r>
      <w:r w:rsidR="00E60DE2" w:rsidRPr="00B83421">
        <w:rPr>
          <w:rFonts w:ascii="Times New Roman" w:hAnsi="Times New Roman" w:cs="Times New Roman"/>
          <w:sz w:val="24"/>
          <w:szCs w:val="24"/>
        </w:rPr>
        <w:t xml:space="preserve">the ranking of individual researchers is relatively insensitive to </w:t>
      </w:r>
      <w:r w:rsidR="00E55991" w:rsidRPr="00B83421">
        <w:rPr>
          <w:rFonts w:ascii="Times New Roman" w:hAnsi="Times New Roman" w:cs="Times New Roman"/>
          <w:sz w:val="24"/>
          <w:szCs w:val="24"/>
        </w:rPr>
        <w:t>adjust</w:t>
      </w:r>
      <w:r w:rsidR="00E60DE2" w:rsidRPr="00B83421">
        <w:rPr>
          <w:rFonts w:ascii="Times New Roman" w:hAnsi="Times New Roman" w:cs="Times New Roman"/>
          <w:sz w:val="24"/>
          <w:szCs w:val="24"/>
        </w:rPr>
        <w:t xml:space="preserve">ments </w:t>
      </w:r>
      <w:r w:rsidR="00E55991" w:rsidRPr="00B83421">
        <w:rPr>
          <w:rFonts w:ascii="Times New Roman" w:hAnsi="Times New Roman" w:cs="Times New Roman"/>
          <w:sz w:val="24"/>
          <w:szCs w:val="24"/>
        </w:rPr>
        <w:t xml:space="preserve">co-authorship.  </w:t>
      </w:r>
      <w:r w:rsidR="00F26F96" w:rsidRPr="00B83421">
        <w:rPr>
          <w:rFonts w:ascii="Times New Roman" w:hAnsi="Times New Roman" w:cs="Times New Roman"/>
          <w:sz w:val="24"/>
          <w:szCs w:val="24"/>
        </w:rPr>
        <w:t xml:space="preserve"> </w:t>
      </w:r>
      <w:r w:rsidR="00E55991" w:rsidRPr="00B83421">
        <w:rPr>
          <w:rFonts w:ascii="Times New Roman" w:hAnsi="Times New Roman" w:cs="Times New Roman"/>
          <w:sz w:val="24"/>
          <w:szCs w:val="24"/>
        </w:rPr>
        <w:t xml:space="preserve">Additional </w:t>
      </w:r>
      <w:r w:rsidR="00F26F96" w:rsidRPr="00B83421">
        <w:rPr>
          <w:rFonts w:ascii="Times New Roman" w:hAnsi="Times New Roman" w:cs="Times New Roman"/>
          <w:sz w:val="24"/>
          <w:szCs w:val="24"/>
        </w:rPr>
        <w:t xml:space="preserve">support for this </w:t>
      </w:r>
      <w:r w:rsidR="00E55991" w:rsidRPr="00B83421">
        <w:rPr>
          <w:rFonts w:ascii="Times New Roman" w:hAnsi="Times New Roman" w:cs="Times New Roman"/>
          <w:sz w:val="24"/>
          <w:szCs w:val="24"/>
        </w:rPr>
        <w:t xml:space="preserve">statement </w:t>
      </w:r>
      <w:r w:rsidR="00F26F96" w:rsidRPr="00B83421">
        <w:rPr>
          <w:rFonts w:ascii="Times New Roman" w:hAnsi="Times New Roman" w:cs="Times New Roman"/>
          <w:sz w:val="24"/>
          <w:szCs w:val="24"/>
        </w:rPr>
        <w:t>can be found in the fifth data column of Table 5</w:t>
      </w:r>
      <w:r w:rsidR="00677285">
        <w:rPr>
          <w:rFonts w:ascii="Times New Roman" w:hAnsi="Times New Roman" w:cs="Times New Roman"/>
          <w:sz w:val="24"/>
          <w:szCs w:val="24"/>
        </w:rPr>
        <w:t>(a)</w:t>
      </w:r>
      <w:r w:rsidR="00F26F96" w:rsidRPr="00B83421">
        <w:rPr>
          <w:rFonts w:ascii="Times New Roman" w:hAnsi="Times New Roman" w:cs="Times New Roman"/>
          <w:sz w:val="24"/>
          <w:szCs w:val="24"/>
        </w:rPr>
        <w:t>.  A comparison of the ranks generated by output measured in terms of share and size adjusted pages and share adjusted papers yields SP that</w:t>
      </w:r>
      <w:r w:rsidR="00E55991" w:rsidRPr="00B83421">
        <w:rPr>
          <w:rFonts w:ascii="Times New Roman" w:hAnsi="Times New Roman" w:cs="Times New Roman"/>
          <w:sz w:val="24"/>
          <w:szCs w:val="24"/>
        </w:rPr>
        <w:t xml:space="preserve"> </w:t>
      </w:r>
      <w:r w:rsidR="00F26F96" w:rsidRPr="00B83421">
        <w:rPr>
          <w:rFonts w:ascii="Times New Roman" w:hAnsi="Times New Roman" w:cs="Times New Roman"/>
          <w:sz w:val="24"/>
          <w:szCs w:val="24"/>
        </w:rPr>
        <w:t xml:space="preserve">range from 0.95 to 0.98; the corresponding values for KT are 0.81 and 0.89.  </w:t>
      </w:r>
      <w:r w:rsidRPr="00B83421">
        <w:rPr>
          <w:rFonts w:ascii="Times New Roman" w:hAnsi="Times New Roman" w:cs="Times New Roman"/>
          <w:sz w:val="24"/>
          <w:szCs w:val="24"/>
        </w:rPr>
        <w:t xml:space="preserve"> </w:t>
      </w:r>
    </w:p>
    <w:p w14:paraId="7EA66A49" w14:textId="77777777" w:rsidR="00160E0C" w:rsidRPr="00B83421" w:rsidRDefault="00160E0C" w:rsidP="00316E1D">
      <w:pPr>
        <w:spacing w:after="0" w:line="288" w:lineRule="auto"/>
        <w:ind w:firstLine="720"/>
        <w:jc w:val="both"/>
        <w:rPr>
          <w:rFonts w:ascii="Times New Roman" w:hAnsi="Times New Roman" w:cs="Times New Roman"/>
          <w:sz w:val="24"/>
          <w:szCs w:val="24"/>
        </w:rPr>
      </w:pPr>
    </w:p>
    <w:p w14:paraId="292B6E70" w14:textId="65A7BAE2" w:rsidR="001C1499" w:rsidRDefault="003B4A69" w:rsidP="00316E1D">
      <w:pPr>
        <w:spacing w:after="0" w:line="288" w:lineRule="auto"/>
        <w:ind w:firstLine="720"/>
        <w:jc w:val="both"/>
        <w:rPr>
          <w:rFonts w:ascii="Times New Roman" w:hAnsi="Times New Roman" w:cs="Times New Roman"/>
          <w:sz w:val="24"/>
          <w:szCs w:val="24"/>
        </w:rPr>
      </w:pPr>
      <w:r w:rsidRPr="00B83421">
        <w:rPr>
          <w:rFonts w:ascii="Times New Roman" w:hAnsi="Times New Roman" w:cs="Times New Roman"/>
          <w:sz w:val="24"/>
          <w:szCs w:val="24"/>
        </w:rPr>
        <w:t>Despite the very high SP displayed in Table 5</w:t>
      </w:r>
      <w:r w:rsidR="00677285">
        <w:rPr>
          <w:rFonts w:ascii="Times New Roman" w:hAnsi="Times New Roman" w:cs="Times New Roman"/>
          <w:sz w:val="24"/>
          <w:szCs w:val="24"/>
        </w:rPr>
        <w:t>(a)</w:t>
      </w:r>
      <w:r w:rsidRPr="00B83421">
        <w:rPr>
          <w:rFonts w:ascii="Times New Roman" w:hAnsi="Times New Roman" w:cs="Times New Roman"/>
          <w:sz w:val="24"/>
          <w:szCs w:val="24"/>
        </w:rPr>
        <w:t xml:space="preserve">, </w:t>
      </w:r>
      <w:r w:rsidR="00677285">
        <w:rPr>
          <w:rFonts w:ascii="Times New Roman" w:hAnsi="Times New Roman" w:cs="Times New Roman"/>
          <w:sz w:val="24"/>
          <w:szCs w:val="24"/>
        </w:rPr>
        <w:t>reference to Table 5(b)</w:t>
      </w:r>
      <w:r w:rsidR="00367DB9">
        <w:rPr>
          <w:rFonts w:ascii="Times New Roman" w:hAnsi="Times New Roman" w:cs="Times New Roman"/>
          <w:sz w:val="24"/>
          <w:szCs w:val="24"/>
        </w:rPr>
        <w:t xml:space="preserve"> s</w:t>
      </w:r>
      <w:r w:rsidRPr="00B83421">
        <w:rPr>
          <w:rFonts w:ascii="Times New Roman" w:hAnsi="Times New Roman" w:cs="Times New Roman"/>
          <w:sz w:val="24"/>
          <w:szCs w:val="24"/>
        </w:rPr>
        <w:t xml:space="preserve">uggests some caution should be exercised in interpreting the results with respect to rank stability.  For example, consider the case of </w:t>
      </w:r>
      <w:r w:rsidR="00801490" w:rsidRPr="00B83421">
        <w:rPr>
          <w:rFonts w:ascii="Times New Roman" w:hAnsi="Times New Roman" w:cs="Times New Roman"/>
          <w:b/>
          <w:sz w:val="24"/>
          <w:szCs w:val="24"/>
        </w:rPr>
        <w:t>ABDC</w:t>
      </w:r>
      <w:r w:rsidR="00801490" w:rsidRPr="00B83421">
        <w:rPr>
          <w:rFonts w:ascii="Times New Roman" w:hAnsi="Times New Roman" w:cs="Times New Roman"/>
          <w:sz w:val="24"/>
          <w:szCs w:val="24"/>
        </w:rPr>
        <w:t xml:space="preserve">.  </w:t>
      </w:r>
      <w:r w:rsidRPr="00B83421">
        <w:rPr>
          <w:rFonts w:ascii="Times New Roman" w:hAnsi="Times New Roman" w:cs="Times New Roman"/>
          <w:sz w:val="24"/>
          <w:szCs w:val="24"/>
        </w:rPr>
        <w:t>A comparison of the ranks associated with share and size adjusted pages and size adjusted</w:t>
      </w:r>
      <w:r w:rsidR="00801490" w:rsidRPr="00B83421">
        <w:rPr>
          <w:rFonts w:ascii="Times New Roman" w:hAnsi="Times New Roman" w:cs="Times New Roman"/>
          <w:sz w:val="24"/>
          <w:szCs w:val="24"/>
        </w:rPr>
        <w:t xml:space="preserve"> </w:t>
      </w:r>
      <w:r w:rsidR="008725BD" w:rsidRPr="00B83421">
        <w:rPr>
          <w:rFonts w:ascii="Times New Roman" w:hAnsi="Times New Roman" w:cs="Times New Roman"/>
          <w:sz w:val="24"/>
          <w:szCs w:val="24"/>
        </w:rPr>
        <w:t xml:space="preserve">pages </w:t>
      </w:r>
      <w:r w:rsidR="00801490" w:rsidRPr="00B83421">
        <w:rPr>
          <w:rFonts w:ascii="Times New Roman" w:hAnsi="Times New Roman" w:cs="Times New Roman"/>
          <w:sz w:val="24"/>
          <w:szCs w:val="24"/>
        </w:rPr>
        <w:t xml:space="preserve">(no adjustment for co-authorship) </w:t>
      </w:r>
      <w:r w:rsidRPr="00B83421">
        <w:rPr>
          <w:rFonts w:ascii="Times New Roman" w:hAnsi="Times New Roman" w:cs="Times New Roman"/>
          <w:sz w:val="24"/>
          <w:szCs w:val="24"/>
        </w:rPr>
        <w:t>yields a SP of 0.9</w:t>
      </w:r>
      <w:r w:rsidR="00801490" w:rsidRPr="00B83421">
        <w:rPr>
          <w:rFonts w:ascii="Times New Roman" w:hAnsi="Times New Roman" w:cs="Times New Roman"/>
          <w:sz w:val="24"/>
          <w:szCs w:val="24"/>
        </w:rPr>
        <w:t xml:space="preserve">5; however, 9.20 </w:t>
      </w:r>
      <w:r w:rsidRPr="00B83421">
        <w:rPr>
          <w:rFonts w:ascii="Times New Roman" w:hAnsi="Times New Roman" w:cs="Times New Roman"/>
          <w:sz w:val="24"/>
          <w:szCs w:val="24"/>
        </w:rPr>
        <w:t xml:space="preserve">percent of the pairs are discordant suggesting that </w:t>
      </w:r>
      <w:r w:rsidR="00747300" w:rsidRPr="00B83421">
        <w:rPr>
          <w:rFonts w:ascii="Times New Roman" w:hAnsi="Times New Roman" w:cs="Times New Roman"/>
          <w:sz w:val="24"/>
          <w:szCs w:val="24"/>
        </w:rPr>
        <w:t xml:space="preserve">for </w:t>
      </w:r>
      <w:r w:rsidRPr="00B83421">
        <w:rPr>
          <w:rFonts w:ascii="Times New Roman" w:hAnsi="Times New Roman" w:cs="Times New Roman"/>
          <w:sz w:val="24"/>
          <w:szCs w:val="24"/>
        </w:rPr>
        <w:t>some researchers</w:t>
      </w:r>
      <w:r w:rsidR="00747300" w:rsidRPr="00B83421">
        <w:rPr>
          <w:rFonts w:ascii="Times New Roman" w:hAnsi="Times New Roman" w:cs="Times New Roman"/>
          <w:sz w:val="24"/>
          <w:szCs w:val="24"/>
        </w:rPr>
        <w:t xml:space="preserve"> the specification of </w:t>
      </w:r>
      <w:r w:rsidR="00E55991" w:rsidRPr="00B83421">
        <w:rPr>
          <w:rFonts w:ascii="Times New Roman" w:hAnsi="Times New Roman" w:cs="Times New Roman"/>
          <w:sz w:val="24"/>
          <w:szCs w:val="24"/>
        </w:rPr>
        <w:t xml:space="preserve">the unit of </w:t>
      </w:r>
      <w:r w:rsidR="001D209C" w:rsidRPr="00B83421">
        <w:rPr>
          <w:rFonts w:ascii="Times New Roman" w:hAnsi="Times New Roman" w:cs="Times New Roman"/>
          <w:sz w:val="24"/>
          <w:szCs w:val="24"/>
        </w:rPr>
        <w:t xml:space="preserve">output does matter.  </w:t>
      </w:r>
      <w:r w:rsidR="006544E6" w:rsidRPr="00B83421">
        <w:rPr>
          <w:rFonts w:ascii="Times New Roman" w:hAnsi="Times New Roman" w:cs="Times New Roman"/>
          <w:sz w:val="24"/>
          <w:szCs w:val="24"/>
        </w:rPr>
        <w:t xml:space="preserve">In summary, the large values </w:t>
      </w:r>
      <w:r w:rsidR="00801490" w:rsidRPr="00B83421">
        <w:rPr>
          <w:rFonts w:ascii="Times New Roman" w:hAnsi="Times New Roman" w:cs="Times New Roman"/>
          <w:sz w:val="24"/>
          <w:szCs w:val="24"/>
        </w:rPr>
        <w:t>for</w:t>
      </w:r>
      <w:r w:rsidR="006544E6" w:rsidRPr="00B83421">
        <w:rPr>
          <w:rFonts w:ascii="Times New Roman" w:hAnsi="Times New Roman" w:cs="Times New Roman"/>
          <w:sz w:val="24"/>
          <w:szCs w:val="24"/>
        </w:rPr>
        <w:t xml:space="preserve"> SP and KT obtained when comparing rankings </w:t>
      </w:r>
      <w:r w:rsidR="00E60DE2" w:rsidRPr="00B83421">
        <w:rPr>
          <w:rFonts w:ascii="Times New Roman" w:hAnsi="Times New Roman" w:cs="Times New Roman"/>
          <w:sz w:val="24"/>
          <w:szCs w:val="24"/>
        </w:rPr>
        <w:t xml:space="preserve">based on </w:t>
      </w:r>
      <w:r w:rsidR="006544E6" w:rsidRPr="00B83421">
        <w:rPr>
          <w:rFonts w:ascii="Times New Roman" w:hAnsi="Times New Roman" w:cs="Times New Roman"/>
          <w:sz w:val="24"/>
          <w:szCs w:val="24"/>
        </w:rPr>
        <w:t>various definitions of output suggests a high degree of rank stability.  Nevertheless,</w:t>
      </w:r>
      <w:r w:rsidR="00E60DE2" w:rsidRPr="00B83421">
        <w:rPr>
          <w:rFonts w:ascii="Times New Roman" w:hAnsi="Times New Roman" w:cs="Times New Roman"/>
          <w:sz w:val="24"/>
          <w:szCs w:val="24"/>
        </w:rPr>
        <w:t xml:space="preserve"> reference to</w:t>
      </w:r>
      <w:r w:rsidR="006544E6" w:rsidRPr="00B83421">
        <w:rPr>
          <w:rFonts w:ascii="Times New Roman" w:hAnsi="Times New Roman" w:cs="Times New Roman"/>
          <w:sz w:val="24"/>
          <w:szCs w:val="24"/>
        </w:rPr>
        <w:t xml:space="preserve"> the underlying percent of discordant pairs suggest</w:t>
      </w:r>
      <w:r w:rsidR="00160E0C">
        <w:rPr>
          <w:rFonts w:ascii="Times New Roman" w:hAnsi="Times New Roman" w:cs="Times New Roman"/>
          <w:sz w:val="24"/>
          <w:szCs w:val="24"/>
        </w:rPr>
        <w:t>s</w:t>
      </w:r>
      <w:r w:rsidR="006544E6" w:rsidRPr="00B83421">
        <w:rPr>
          <w:rFonts w:ascii="Times New Roman" w:hAnsi="Times New Roman" w:cs="Times New Roman"/>
          <w:sz w:val="24"/>
          <w:szCs w:val="24"/>
        </w:rPr>
        <w:t xml:space="preserve"> </w:t>
      </w:r>
      <w:r w:rsidR="00521E5E" w:rsidRPr="00B83421">
        <w:rPr>
          <w:rFonts w:ascii="Times New Roman" w:hAnsi="Times New Roman" w:cs="Times New Roman"/>
          <w:sz w:val="24"/>
          <w:szCs w:val="24"/>
        </w:rPr>
        <w:t xml:space="preserve">that this is not always the case at the </w:t>
      </w:r>
      <w:r w:rsidR="008725BD" w:rsidRPr="00B83421">
        <w:rPr>
          <w:rFonts w:ascii="Times New Roman" w:hAnsi="Times New Roman" w:cs="Times New Roman"/>
          <w:sz w:val="24"/>
          <w:szCs w:val="24"/>
        </w:rPr>
        <w:t xml:space="preserve">level of the </w:t>
      </w:r>
      <w:r w:rsidR="00521E5E" w:rsidRPr="00B83421">
        <w:rPr>
          <w:rFonts w:ascii="Times New Roman" w:hAnsi="Times New Roman" w:cs="Times New Roman"/>
          <w:sz w:val="24"/>
          <w:szCs w:val="24"/>
        </w:rPr>
        <w:t>individual researcher</w:t>
      </w:r>
      <w:r w:rsidR="008725BD" w:rsidRPr="00B83421">
        <w:rPr>
          <w:rFonts w:ascii="Times New Roman" w:hAnsi="Times New Roman" w:cs="Times New Roman"/>
          <w:sz w:val="24"/>
          <w:szCs w:val="24"/>
        </w:rPr>
        <w:t xml:space="preserve">.  </w:t>
      </w:r>
      <w:r w:rsidR="00291A2F" w:rsidRPr="00B83421">
        <w:rPr>
          <w:rFonts w:ascii="Times New Roman" w:hAnsi="Times New Roman" w:cs="Times New Roman"/>
          <w:sz w:val="24"/>
          <w:szCs w:val="24"/>
        </w:rPr>
        <w:t xml:space="preserve">It is this matter that we </w:t>
      </w:r>
      <w:r w:rsidR="00D1480A" w:rsidRPr="00B83421">
        <w:rPr>
          <w:rFonts w:ascii="Times New Roman" w:hAnsi="Times New Roman" w:cs="Times New Roman"/>
          <w:sz w:val="24"/>
          <w:szCs w:val="24"/>
        </w:rPr>
        <w:t xml:space="preserve">now address in greater depth.  </w:t>
      </w:r>
      <w:r w:rsidR="00291A2F" w:rsidRPr="00B83421">
        <w:rPr>
          <w:rFonts w:ascii="Times New Roman" w:hAnsi="Times New Roman" w:cs="Times New Roman"/>
          <w:sz w:val="24"/>
          <w:szCs w:val="24"/>
        </w:rPr>
        <w:t xml:space="preserve">  </w:t>
      </w:r>
    </w:p>
    <w:p w14:paraId="514881C8" w14:textId="77777777" w:rsidR="00160E0C" w:rsidRPr="00B83421" w:rsidRDefault="00160E0C" w:rsidP="00316E1D">
      <w:pPr>
        <w:spacing w:after="0" w:line="288" w:lineRule="auto"/>
        <w:ind w:firstLine="720"/>
        <w:jc w:val="both"/>
        <w:rPr>
          <w:rFonts w:ascii="Times New Roman" w:hAnsi="Times New Roman" w:cs="Times New Roman"/>
          <w:sz w:val="24"/>
          <w:szCs w:val="24"/>
        </w:rPr>
      </w:pPr>
    </w:p>
    <w:p w14:paraId="2AA9DAF3" w14:textId="48251893" w:rsidR="00C7713B" w:rsidRDefault="0038209D" w:rsidP="00316E1D">
      <w:pPr>
        <w:spacing w:after="0" w:line="288" w:lineRule="auto"/>
        <w:ind w:firstLine="720"/>
        <w:jc w:val="both"/>
        <w:rPr>
          <w:rFonts w:ascii="Times New Roman" w:hAnsi="Times New Roman" w:cs="Times New Roman"/>
          <w:sz w:val="24"/>
          <w:szCs w:val="24"/>
        </w:rPr>
      </w:pPr>
      <w:r w:rsidRPr="00B83421">
        <w:rPr>
          <w:rFonts w:ascii="Times New Roman" w:hAnsi="Times New Roman" w:cs="Times New Roman"/>
          <w:sz w:val="24"/>
          <w:szCs w:val="24"/>
        </w:rPr>
        <w:t xml:space="preserve">In Table 6 we present </w:t>
      </w:r>
      <w:r w:rsidR="003B0101" w:rsidRPr="00B83421">
        <w:rPr>
          <w:rFonts w:ascii="Times New Roman" w:hAnsi="Times New Roman" w:cs="Times New Roman"/>
          <w:sz w:val="24"/>
          <w:szCs w:val="24"/>
        </w:rPr>
        <w:t xml:space="preserve">arbitrarily </w:t>
      </w:r>
      <w:r w:rsidRPr="00B83421">
        <w:rPr>
          <w:rFonts w:ascii="Times New Roman" w:hAnsi="Times New Roman" w:cs="Times New Roman"/>
          <w:sz w:val="24"/>
          <w:szCs w:val="24"/>
        </w:rPr>
        <w:t xml:space="preserve">selected rankings for individual researchers for each JWS.  More specifically, we selected three groups of researchers based on their </w:t>
      </w:r>
      <w:r w:rsidRPr="00B83421">
        <w:rPr>
          <w:rFonts w:ascii="Times New Roman" w:hAnsi="Times New Roman" w:cs="Times New Roman"/>
          <w:b/>
          <w:sz w:val="24"/>
          <w:szCs w:val="24"/>
        </w:rPr>
        <w:t>AVJWS</w:t>
      </w:r>
      <w:r w:rsidRPr="00B83421">
        <w:rPr>
          <w:rFonts w:ascii="Times New Roman" w:hAnsi="Times New Roman" w:cs="Times New Roman"/>
          <w:sz w:val="24"/>
          <w:szCs w:val="24"/>
        </w:rPr>
        <w:t xml:space="preserve"> rank when output is measured </w:t>
      </w:r>
      <w:r w:rsidR="00925E54" w:rsidRPr="00B83421">
        <w:rPr>
          <w:rFonts w:ascii="Times New Roman" w:hAnsi="Times New Roman" w:cs="Times New Roman"/>
          <w:sz w:val="24"/>
          <w:szCs w:val="24"/>
        </w:rPr>
        <w:t>as</w:t>
      </w:r>
      <w:r w:rsidRPr="00B83421">
        <w:rPr>
          <w:rFonts w:ascii="Times New Roman" w:hAnsi="Times New Roman" w:cs="Times New Roman"/>
          <w:sz w:val="24"/>
          <w:szCs w:val="24"/>
        </w:rPr>
        <w:t xml:space="preserve"> share adjusted and size adjusted pages.  The groups cover researchers ranked 1-10, 41-50 and 91-100</w:t>
      </w:r>
      <w:r w:rsidR="003E53A2" w:rsidRPr="00B83421">
        <w:rPr>
          <w:rFonts w:ascii="Times New Roman" w:hAnsi="Times New Roman" w:cs="Times New Roman"/>
          <w:sz w:val="24"/>
          <w:szCs w:val="24"/>
        </w:rPr>
        <w:t>,</w:t>
      </w:r>
      <w:r w:rsidRPr="00B83421">
        <w:rPr>
          <w:rFonts w:ascii="Times New Roman" w:hAnsi="Times New Roman" w:cs="Times New Roman"/>
          <w:sz w:val="24"/>
          <w:szCs w:val="24"/>
        </w:rPr>
        <w:t xml:space="preserve"> and for each </w:t>
      </w:r>
      <w:r w:rsidR="003B0101" w:rsidRPr="00B83421">
        <w:rPr>
          <w:rFonts w:ascii="Times New Roman" w:hAnsi="Times New Roman" w:cs="Times New Roman"/>
          <w:sz w:val="24"/>
          <w:szCs w:val="24"/>
        </w:rPr>
        <w:t xml:space="preserve">journal weighting scheme </w:t>
      </w:r>
      <w:r w:rsidRPr="00B83421">
        <w:rPr>
          <w:rFonts w:ascii="Times New Roman" w:hAnsi="Times New Roman" w:cs="Times New Roman"/>
          <w:sz w:val="24"/>
          <w:szCs w:val="24"/>
        </w:rPr>
        <w:t>we list each researcher</w:t>
      </w:r>
      <w:r w:rsidR="00925E54" w:rsidRPr="00B83421">
        <w:rPr>
          <w:rFonts w:ascii="Times New Roman" w:hAnsi="Times New Roman" w:cs="Times New Roman"/>
          <w:sz w:val="24"/>
          <w:szCs w:val="24"/>
        </w:rPr>
        <w:t>’</w:t>
      </w:r>
      <w:r w:rsidRPr="00B83421">
        <w:rPr>
          <w:rFonts w:ascii="Times New Roman" w:hAnsi="Times New Roman" w:cs="Times New Roman"/>
          <w:sz w:val="24"/>
          <w:szCs w:val="24"/>
        </w:rPr>
        <w:t xml:space="preserve">s ranking </w:t>
      </w:r>
      <w:r w:rsidR="003B0101" w:rsidRPr="00B83421">
        <w:rPr>
          <w:rFonts w:ascii="Times New Roman" w:hAnsi="Times New Roman" w:cs="Times New Roman"/>
          <w:sz w:val="24"/>
          <w:szCs w:val="24"/>
        </w:rPr>
        <w:t>for</w:t>
      </w:r>
      <w:r w:rsidRPr="00B83421">
        <w:rPr>
          <w:rFonts w:ascii="Times New Roman" w:hAnsi="Times New Roman" w:cs="Times New Roman"/>
          <w:sz w:val="24"/>
          <w:szCs w:val="24"/>
        </w:rPr>
        <w:t xml:space="preserve"> output measure</w:t>
      </w:r>
      <w:r w:rsidR="00915920" w:rsidRPr="00B83421">
        <w:rPr>
          <w:rFonts w:ascii="Times New Roman" w:hAnsi="Times New Roman" w:cs="Times New Roman"/>
          <w:sz w:val="24"/>
          <w:szCs w:val="24"/>
        </w:rPr>
        <w:t>d</w:t>
      </w:r>
      <w:r w:rsidRPr="00B83421">
        <w:rPr>
          <w:rFonts w:ascii="Times New Roman" w:hAnsi="Times New Roman" w:cs="Times New Roman"/>
          <w:sz w:val="24"/>
          <w:szCs w:val="24"/>
        </w:rPr>
        <w:t xml:space="preserve"> </w:t>
      </w:r>
      <w:r w:rsidR="00925E54" w:rsidRPr="00B83421">
        <w:rPr>
          <w:rFonts w:ascii="Times New Roman" w:hAnsi="Times New Roman" w:cs="Times New Roman"/>
          <w:sz w:val="24"/>
          <w:szCs w:val="24"/>
        </w:rPr>
        <w:t xml:space="preserve">in terms of </w:t>
      </w:r>
      <w:r w:rsidRPr="00B83421">
        <w:rPr>
          <w:rFonts w:ascii="Times New Roman" w:hAnsi="Times New Roman" w:cs="Times New Roman"/>
          <w:sz w:val="24"/>
          <w:szCs w:val="24"/>
        </w:rPr>
        <w:t xml:space="preserve">pages (share and size adjusted) and papers (share adjusted).  </w:t>
      </w:r>
      <w:r w:rsidR="00925E54" w:rsidRPr="00B83421">
        <w:rPr>
          <w:rFonts w:ascii="Times New Roman" w:hAnsi="Times New Roman" w:cs="Times New Roman"/>
          <w:sz w:val="24"/>
          <w:szCs w:val="24"/>
        </w:rPr>
        <w:t xml:space="preserve">It is apparent that despite the impressively high rank correlation coefficients displayed in Tables 3, 4 and 5, </w:t>
      </w:r>
      <w:r w:rsidR="00915920" w:rsidRPr="00B83421">
        <w:rPr>
          <w:rFonts w:ascii="Times New Roman" w:hAnsi="Times New Roman" w:cs="Times New Roman"/>
          <w:sz w:val="24"/>
          <w:szCs w:val="24"/>
        </w:rPr>
        <w:t xml:space="preserve">individual performance is </w:t>
      </w:r>
      <w:r w:rsidR="006543C3" w:rsidRPr="00B83421">
        <w:rPr>
          <w:rFonts w:ascii="Times New Roman" w:hAnsi="Times New Roman" w:cs="Times New Roman"/>
          <w:sz w:val="24"/>
          <w:szCs w:val="24"/>
        </w:rPr>
        <w:t xml:space="preserve">frequently </w:t>
      </w:r>
      <w:r w:rsidR="00915920" w:rsidRPr="00B83421">
        <w:rPr>
          <w:rFonts w:ascii="Times New Roman" w:hAnsi="Times New Roman" w:cs="Times New Roman"/>
          <w:sz w:val="24"/>
          <w:szCs w:val="24"/>
        </w:rPr>
        <w:t xml:space="preserve">sensitive </w:t>
      </w:r>
      <w:r w:rsidR="006543C3" w:rsidRPr="00B83421">
        <w:rPr>
          <w:rFonts w:ascii="Times New Roman" w:hAnsi="Times New Roman" w:cs="Times New Roman"/>
          <w:sz w:val="24"/>
          <w:szCs w:val="24"/>
        </w:rPr>
        <w:t xml:space="preserve">to </w:t>
      </w:r>
      <w:r w:rsidR="00346E75" w:rsidRPr="00B83421">
        <w:rPr>
          <w:rFonts w:ascii="Times New Roman" w:hAnsi="Times New Roman" w:cs="Times New Roman"/>
          <w:sz w:val="24"/>
          <w:szCs w:val="24"/>
        </w:rPr>
        <w:t xml:space="preserve">the RAM selection process.  For example, </w:t>
      </w:r>
      <w:r w:rsidR="00955D64" w:rsidRPr="00B83421">
        <w:rPr>
          <w:rFonts w:ascii="Times New Roman" w:hAnsi="Times New Roman" w:cs="Times New Roman"/>
          <w:sz w:val="24"/>
          <w:szCs w:val="24"/>
        </w:rPr>
        <w:t xml:space="preserve">consider </w:t>
      </w:r>
      <w:r w:rsidR="001E4D94" w:rsidRPr="00B83421">
        <w:rPr>
          <w:rFonts w:ascii="Times New Roman" w:hAnsi="Times New Roman" w:cs="Times New Roman"/>
          <w:sz w:val="24"/>
          <w:szCs w:val="24"/>
        </w:rPr>
        <w:t xml:space="preserve">the </w:t>
      </w:r>
      <w:r w:rsidR="006543C3" w:rsidRPr="00B83421">
        <w:rPr>
          <w:rFonts w:ascii="Times New Roman" w:hAnsi="Times New Roman" w:cs="Times New Roman"/>
          <w:sz w:val="24"/>
          <w:szCs w:val="24"/>
        </w:rPr>
        <w:t xml:space="preserve">case of the </w:t>
      </w:r>
      <w:r w:rsidR="001E4D94" w:rsidRPr="00B83421">
        <w:rPr>
          <w:rFonts w:ascii="Times New Roman" w:hAnsi="Times New Roman" w:cs="Times New Roman"/>
          <w:sz w:val="24"/>
          <w:szCs w:val="24"/>
        </w:rPr>
        <w:t>R</w:t>
      </w:r>
      <w:r w:rsidR="00955D64" w:rsidRPr="00B83421">
        <w:rPr>
          <w:rFonts w:ascii="Times New Roman" w:hAnsi="Times New Roman" w:cs="Times New Roman"/>
          <w:sz w:val="24"/>
          <w:szCs w:val="24"/>
        </w:rPr>
        <w:t>#69.</w:t>
      </w:r>
      <w:r w:rsidR="006543C3" w:rsidRPr="00B83421">
        <w:rPr>
          <w:rStyle w:val="FootnoteReference"/>
          <w:rFonts w:ascii="Times New Roman" w:hAnsi="Times New Roman" w:cs="Times New Roman"/>
          <w:sz w:val="24"/>
          <w:szCs w:val="24"/>
        </w:rPr>
        <w:footnoteReference w:id="18"/>
      </w:r>
      <w:r w:rsidR="00955D64" w:rsidRPr="00B83421">
        <w:rPr>
          <w:rFonts w:ascii="Times New Roman" w:hAnsi="Times New Roman" w:cs="Times New Roman"/>
          <w:sz w:val="24"/>
          <w:szCs w:val="24"/>
        </w:rPr>
        <w:t xml:space="preserve">  </w:t>
      </w:r>
      <w:r w:rsidR="006543C3" w:rsidRPr="00B83421">
        <w:rPr>
          <w:rFonts w:ascii="Times New Roman" w:hAnsi="Times New Roman" w:cs="Times New Roman"/>
          <w:sz w:val="24"/>
          <w:szCs w:val="24"/>
        </w:rPr>
        <w:t>This researcher</w:t>
      </w:r>
      <w:r w:rsidR="00955D64" w:rsidRPr="00B83421">
        <w:rPr>
          <w:rFonts w:ascii="Times New Roman" w:hAnsi="Times New Roman" w:cs="Times New Roman"/>
          <w:sz w:val="24"/>
          <w:szCs w:val="24"/>
        </w:rPr>
        <w:t xml:space="preserve"> displays extremely strong </w:t>
      </w:r>
      <w:r w:rsidR="00403186" w:rsidRPr="00B83421">
        <w:rPr>
          <w:rFonts w:ascii="Times New Roman" w:hAnsi="Times New Roman" w:cs="Times New Roman"/>
          <w:sz w:val="24"/>
          <w:szCs w:val="24"/>
        </w:rPr>
        <w:t xml:space="preserve">results </w:t>
      </w:r>
      <w:r w:rsidR="00955D64" w:rsidRPr="00B83421">
        <w:rPr>
          <w:rFonts w:ascii="Times New Roman" w:hAnsi="Times New Roman" w:cs="Times New Roman"/>
          <w:sz w:val="24"/>
          <w:szCs w:val="24"/>
        </w:rPr>
        <w:t xml:space="preserve">over all JWS for both page and paper output measures- always first or second.  Indeed, the top three performers in terms of </w:t>
      </w:r>
      <w:proofErr w:type="gramStart"/>
      <w:r w:rsidR="00955D64" w:rsidRPr="00B83421">
        <w:rPr>
          <w:rFonts w:ascii="Times New Roman" w:hAnsi="Times New Roman" w:cs="Times New Roman"/>
          <w:b/>
          <w:sz w:val="24"/>
          <w:szCs w:val="24"/>
        </w:rPr>
        <w:t>AVJWS</w:t>
      </w:r>
      <w:r w:rsidR="00955D64" w:rsidRPr="00B83421">
        <w:rPr>
          <w:rFonts w:ascii="Times New Roman" w:hAnsi="Times New Roman" w:cs="Times New Roman"/>
          <w:sz w:val="24"/>
          <w:szCs w:val="24"/>
        </w:rPr>
        <w:t>(</w:t>
      </w:r>
      <w:proofErr w:type="gramEnd"/>
      <w:r w:rsidR="00955D64" w:rsidRPr="00B83421">
        <w:rPr>
          <w:rFonts w:ascii="Times New Roman" w:hAnsi="Times New Roman" w:cs="Times New Roman"/>
          <w:sz w:val="24"/>
          <w:szCs w:val="24"/>
        </w:rPr>
        <w:t xml:space="preserve">page) dominate the rankings over all JWS.  On the other hand, consider R#55.  </w:t>
      </w:r>
      <w:r w:rsidR="00CA0508" w:rsidRPr="00B83421">
        <w:rPr>
          <w:rFonts w:ascii="Times New Roman" w:hAnsi="Times New Roman" w:cs="Times New Roman"/>
          <w:sz w:val="24"/>
          <w:szCs w:val="24"/>
        </w:rPr>
        <w:t xml:space="preserve">She/he ranks 6th per </w:t>
      </w:r>
      <w:r w:rsidR="00CA0508" w:rsidRPr="00B83421">
        <w:rPr>
          <w:rFonts w:ascii="Times New Roman" w:hAnsi="Times New Roman" w:cs="Times New Roman"/>
          <w:b/>
          <w:sz w:val="24"/>
          <w:szCs w:val="24"/>
        </w:rPr>
        <w:t>AVJWS</w:t>
      </w:r>
      <w:r w:rsidR="00CA0508" w:rsidRPr="00B83421">
        <w:rPr>
          <w:rFonts w:ascii="Times New Roman" w:hAnsi="Times New Roman" w:cs="Times New Roman"/>
          <w:sz w:val="24"/>
          <w:szCs w:val="24"/>
        </w:rPr>
        <w:t>(page), achieves relatively consistent ranks (5</w:t>
      </w:r>
      <w:r w:rsidR="00CA0508" w:rsidRPr="00B83421">
        <w:rPr>
          <w:rFonts w:ascii="Times New Roman" w:hAnsi="Times New Roman" w:cs="Times New Roman"/>
          <w:sz w:val="24"/>
          <w:szCs w:val="24"/>
          <w:vertAlign w:val="superscript"/>
        </w:rPr>
        <w:t>th</w:t>
      </w:r>
      <w:r w:rsidR="00CA0508" w:rsidRPr="00B83421">
        <w:rPr>
          <w:rFonts w:ascii="Times New Roman" w:hAnsi="Times New Roman" w:cs="Times New Roman"/>
          <w:sz w:val="24"/>
          <w:szCs w:val="24"/>
        </w:rPr>
        <w:t xml:space="preserve"> to 8</w:t>
      </w:r>
      <w:r w:rsidR="00CA0508" w:rsidRPr="00B83421">
        <w:rPr>
          <w:rFonts w:ascii="Times New Roman" w:hAnsi="Times New Roman" w:cs="Times New Roman"/>
          <w:sz w:val="24"/>
          <w:szCs w:val="24"/>
          <w:vertAlign w:val="superscript"/>
        </w:rPr>
        <w:t>th</w:t>
      </w:r>
      <w:r w:rsidR="00CA0508" w:rsidRPr="00B83421">
        <w:rPr>
          <w:rFonts w:ascii="Times New Roman" w:hAnsi="Times New Roman" w:cs="Times New Roman"/>
          <w:sz w:val="24"/>
          <w:szCs w:val="24"/>
        </w:rPr>
        <w:t xml:space="preserve">) on all other JWS save for </w:t>
      </w:r>
      <w:proofErr w:type="spellStart"/>
      <w:r w:rsidR="00CA0508" w:rsidRPr="00B83421">
        <w:rPr>
          <w:rFonts w:ascii="Times New Roman" w:hAnsi="Times New Roman" w:cs="Times New Roman"/>
          <w:sz w:val="24"/>
          <w:szCs w:val="24"/>
        </w:rPr>
        <w:t>Rrec</w:t>
      </w:r>
      <w:proofErr w:type="spellEnd"/>
      <w:r w:rsidR="00CA0508" w:rsidRPr="00B83421">
        <w:rPr>
          <w:rFonts w:ascii="Times New Roman" w:hAnsi="Times New Roman" w:cs="Times New Roman"/>
          <w:sz w:val="24"/>
          <w:szCs w:val="24"/>
        </w:rPr>
        <w:t>; in the latter case, R</w:t>
      </w:r>
      <w:r w:rsidR="001E4D94" w:rsidRPr="00B83421">
        <w:rPr>
          <w:rFonts w:ascii="Times New Roman" w:hAnsi="Times New Roman" w:cs="Times New Roman"/>
          <w:sz w:val="24"/>
          <w:szCs w:val="24"/>
        </w:rPr>
        <w:t>#</w:t>
      </w:r>
      <w:r w:rsidR="00CA0508" w:rsidRPr="00B83421">
        <w:rPr>
          <w:rFonts w:ascii="Times New Roman" w:hAnsi="Times New Roman" w:cs="Times New Roman"/>
          <w:sz w:val="24"/>
          <w:szCs w:val="24"/>
        </w:rPr>
        <w:t>55’s performance drops sharply to 19</w:t>
      </w:r>
      <w:r w:rsidR="00CA0508" w:rsidRPr="00B83421">
        <w:rPr>
          <w:rFonts w:ascii="Times New Roman" w:hAnsi="Times New Roman" w:cs="Times New Roman"/>
          <w:sz w:val="24"/>
          <w:szCs w:val="24"/>
          <w:vertAlign w:val="superscript"/>
        </w:rPr>
        <w:t>th</w:t>
      </w:r>
      <w:r w:rsidR="00CA0508" w:rsidRPr="00B83421">
        <w:rPr>
          <w:rFonts w:ascii="Times New Roman" w:hAnsi="Times New Roman" w:cs="Times New Roman"/>
          <w:sz w:val="24"/>
          <w:szCs w:val="24"/>
        </w:rPr>
        <w:t xml:space="preserve">.  </w:t>
      </w:r>
    </w:p>
    <w:p w14:paraId="6EB95926" w14:textId="77777777" w:rsidR="00160E0C" w:rsidRPr="00B83421" w:rsidRDefault="00160E0C" w:rsidP="00316E1D">
      <w:pPr>
        <w:spacing w:after="0" w:line="288" w:lineRule="auto"/>
        <w:ind w:firstLine="720"/>
        <w:jc w:val="both"/>
        <w:rPr>
          <w:rFonts w:ascii="Times New Roman" w:hAnsi="Times New Roman" w:cs="Times New Roman"/>
          <w:sz w:val="24"/>
          <w:szCs w:val="24"/>
        </w:rPr>
      </w:pPr>
    </w:p>
    <w:p w14:paraId="6B127384" w14:textId="7A31578E" w:rsidR="00367DB9" w:rsidRDefault="00CA0508" w:rsidP="00316E1D">
      <w:pPr>
        <w:spacing w:after="0" w:line="288" w:lineRule="auto"/>
        <w:ind w:firstLine="720"/>
        <w:jc w:val="both"/>
        <w:rPr>
          <w:rFonts w:ascii="Times New Roman" w:hAnsi="Times New Roman" w:cs="Times New Roman"/>
          <w:sz w:val="24"/>
          <w:szCs w:val="24"/>
        </w:rPr>
      </w:pPr>
      <w:r w:rsidRPr="00B83421">
        <w:rPr>
          <w:rFonts w:ascii="Times New Roman" w:hAnsi="Times New Roman" w:cs="Times New Roman"/>
          <w:sz w:val="24"/>
          <w:szCs w:val="24"/>
        </w:rPr>
        <w:t xml:space="preserve"> For </w:t>
      </w:r>
      <w:r w:rsidR="00403186" w:rsidRPr="00B83421">
        <w:rPr>
          <w:rFonts w:ascii="Times New Roman" w:hAnsi="Times New Roman" w:cs="Times New Roman"/>
          <w:sz w:val="24"/>
          <w:szCs w:val="24"/>
        </w:rPr>
        <w:t xml:space="preserve">researchers in the </w:t>
      </w:r>
      <w:r w:rsidRPr="00B83421">
        <w:rPr>
          <w:rFonts w:ascii="Times New Roman" w:hAnsi="Times New Roman" w:cs="Times New Roman"/>
          <w:sz w:val="24"/>
          <w:szCs w:val="24"/>
        </w:rPr>
        <w:t xml:space="preserve">second and third </w:t>
      </w:r>
      <w:r w:rsidR="003B0101" w:rsidRPr="00B83421">
        <w:rPr>
          <w:rFonts w:ascii="Times New Roman" w:hAnsi="Times New Roman" w:cs="Times New Roman"/>
          <w:sz w:val="24"/>
          <w:szCs w:val="24"/>
        </w:rPr>
        <w:t>tiers</w:t>
      </w:r>
      <w:r w:rsidR="006543C3" w:rsidRPr="00B83421">
        <w:rPr>
          <w:rFonts w:ascii="Times New Roman" w:hAnsi="Times New Roman" w:cs="Times New Roman"/>
          <w:sz w:val="24"/>
          <w:szCs w:val="24"/>
        </w:rPr>
        <w:t xml:space="preserve"> of the table</w:t>
      </w:r>
      <w:r w:rsidR="003B0101" w:rsidRPr="00B83421">
        <w:rPr>
          <w:rFonts w:ascii="Times New Roman" w:hAnsi="Times New Roman" w:cs="Times New Roman"/>
          <w:sz w:val="24"/>
          <w:szCs w:val="24"/>
        </w:rPr>
        <w:t xml:space="preserve">, </w:t>
      </w:r>
      <w:r w:rsidRPr="00B83421">
        <w:rPr>
          <w:rFonts w:ascii="Times New Roman" w:hAnsi="Times New Roman" w:cs="Times New Roman"/>
          <w:sz w:val="24"/>
          <w:szCs w:val="24"/>
        </w:rPr>
        <w:t xml:space="preserve">more variation is frequently displayed.  Consider </w:t>
      </w:r>
      <w:r w:rsidR="00BE7297" w:rsidRPr="00B83421">
        <w:rPr>
          <w:rFonts w:ascii="Times New Roman" w:hAnsi="Times New Roman" w:cs="Times New Roman"/>
          <w:sz w:val="24"/>
          <w:szCs w:val="24"/>
        </w:rPr>
        <w:t xml:space="preserve">R#16.  </w:t>
      </w:r>
      <w:r w:rsidR="00EA4BD8" w:rsidRPr="00B83421">
        <w:rPr>
          <w:rFonts w:ascii="Times New Roman" w:hAnsi="Times New Roman" w:cs="Times New Roman"/>
          <w:sz w:val="24"/>
          <w:szCs w:val="24"/>
        </w:rPr>
        <w:t>This researcher</w:t>
      </w:r>
      <w:r w:rsidR="00D73783" w:rsidRPr="00B83421">
        <w:rPr>
          <w:rFonts w:ascii="Times New Roman" w:hAnsi="Times New Roman" w:cs="Times New Roman"/>
          <w:sz w:val="24"/>
          <w:szCs w:val="24"/>
        </w:rPr>
        <w:t xml:space="preserve">’s </w:t>
      </w:r>
      <w:r w:rsidR="00403186" w:rsidRPr="00B83421">
        <w:rPr>
          <w:rFonts w:ascii="Times New Roman" w:hAnsi="Times New Roman" w:cs="Times New Roman"/>
          <w:sz w:val="24"/>
          <w:szCs w:val="24"/>
        </w:rPr>
        <w:t xml:space="preserve">ranking </w:t>
      </w:r>
      <w:r w:rsidR="00D73783" w:rsidRPr="00B83421">
        <w:rPr>
          <w:rFonts w:ascii="Times New Roman" w:hAnsi="Times New Roman" w:cs="Times New Roman"/>
          <w:sz w:val="24"/>
          <w:szCs w:val="24"/>
        </w:rPr>
        <w:t xml:space="preserve">is highly variable: </w:t>
      </w:r>
      <w:r w:rsidR="00BE7297" w:rsidRPr="00B83421">
        <w:rPr>
          <w:rFonts w:ascii="Times New Roman" w:hAnsi="Times New Roman" w:cs="Times New Roman"/>
          <w:sz w:val="24"/>
          <w:szCs w:val="24"/>
        </w:rPr>
        <w:t>92nd</w:t>
      </w:r>
      <w:r w:rsidR="00EA4BD8" w:rsidRPr="00B83421">
        <w:rPr>
          <w:rFonts w:ascii="Times New Roman" w:hAnsi="Times New Roman" w:cs="Times New Roman"/>
          <w:sz w:val="24"/>
          <w:szCs w:val="24"/>
        </w:rPr>
        <w:t xml:space="preserve"> by </w:t>
      </w:r>
      <w:proofErr w:type="gramStart"/>
      <w:r w:rsidR="00EA4BD8" w:rsidRPr="00B83421">
        <w:rPr>
          <w:rFonts w:ascii="Times New Roman" w:hAnsi="Times New Roman" w:cs="Times New Roman"/>
          <w:b/>
          <w:sz w:val="24"/>
          <w:szCs w:val="24"/>
        </w:rPr>
        <w:t>AVJWS</w:t>
      </w:r>
      <w:r w:rsidR="00EA4BD8" w:rsidRPr="00B83421">
        <w:rPr>
          <w:rFonts w:ascii="Times New Roman" w:hAnsi="Times New Roman" w:cs="Times New Roman"/>
          <w:sz w:val="24"/>
          <w:szCs w:val="24"/>
        </w:rPr>
        <w:t>(</w:t>
      </w:r>
      <w:proofErr w:type="gramEnd"/>
      <w:r w:rsidR="00EA4BD8" w:rsidRPr="00B83421">
        <w:rPr>
          <w:rFonts w:ascii="Times New Roman" w:hAnsi="Times New Roman" w:cs="Times New Roman"/>
          <w:sz w:val="24"/>
          <w:szCs w:val="24"/>
        </w:rPr>
        <w:t>page)</w:t>
      </w:r>
      <w:r w:rsidR="00D73783" w:rsidRPr="00B83421">
        <w:rPr>
          <w:rFonts w:ascii="Times New Roman" w:hAnsi="Times New Roman" w:cs="Times New Roman"/>
          <w:sz w:val="24"/>
          <w:szCs w:val="24"/>
        </w:rPr>
        <w:t xml:space="preserve">, </w:t>
      </w:r>
      <w:r w:rsidR="00BE7297" w:rsidRPr="00B83421">
        <w:rPr>
          <w:rFonts w:ascii="Times New Roman" w:hAnsi="Times New Roman" w:cs="Times New Roman"/>
          <w:sz w:val="24"/>
          <w:szCs w:val="24"/>
        </w:rPr>
        <w:t>70</w:t>
      </w:r>
      <w:r w:rsidR="00BE7297" w:rsidRPr="00B83421">
        <w:rPr>
          <w:rFonts w:ascii="Times New Roman" w:hAnsi="Times New Roman" w:cs="Times New Roman"/>
          <w:sz w:val="24"/>
          <w:szCs w:val="24"/>
          <w:vertAlign w:val="superscript"/>
        </w:rPr>
        <w:t>th</w:t>
      </w:r>
      <w:r w:rsidR="00BE7297" w:rsidRPr="00B83421">
        <w:rPr>
          <w:rFonts w:ascii="Times New Roman" w:hAnsi="Times New Roman" w:cs="Times New Roman"/>
          <w:sz w:val="24"/>
          <w:szCs w:val="24"/>
        </w:rPr>
        <w:t xml:space="preserve"> </w:t>
      </w:r>
      <w:r w:rsidR="00D73783" w:rsidRPr="00B83421">
        <w:rPr>
          <w:rFonts w:ascii="Times New Roman" w:hAnsi="Times New Roman" w:cs="Times New Roman"/>
          <w:sz w:val="24"/>
          <w:szCs w:val="24"/>
        </w:rPr>
        <w:t xml:space="preserve">under </w:t>
      </w:r>
      <w:proofErr w:type="spellStart"/>
      <w:r w:rsidR="00D73783" w:rsidRPr="00B83421">
        <w:rPr>
          <w:rFonts w:ascii="Times New Roman" w:hAnsi="Times New Roman" w:cs="Times New Roman"/>
          <w:b/>
          <w:sz w:val="24"/>
          <w:szCs w:val="24"/>
        </w:rPr>
        <w:t>CLh</w:t>
      </w:r>
      <w:proofErr w:type="spellEnd"/>
      <w:r w:rsidR="00D73783" w:rsidRPr="00B83421">
        <w:rPr>
          <w:rFonts w:ascii="Times New Roman" w:hAnsi="Times New Roman" w:cs="Times New Roman"/>
          <w:sz w:val="24"/>
          <w:szCs w:val="24"/>
        </w:rPr>
        <w:t xml:space="preserve">(page), and </w:t>
      </w:r>
      <w:r w:rsidR="00BE7297" w:rsidRPr="00B83421">
        <w:rPr>
          <w:rFonts w:ascii="Times New Roman" w:hAnsi="Times New Roman" w:cs="Times New Roman"/>
          <w:sz w:val="24"/>
          <w:szCs w:val="24"/>
        </w:rPr>
        <w:t>103rd</w:t>
      </w:r>
      <w:r w:rsidR="00D73783" w:rsidRPr="00B83421">
        <w:rPr>
          <w:rFonts w:ascii="Times New Roman" w:hAnsi="Times New Roman" w:cs="Times New Roman"/>
          <w:sz w:val="24"/>
          <w:szCs w:val="24"/>
        </w:rPr>
        <w:t xml:space="preserve"> by </w:t>
      </w:r>
      <w:r w:rsidR="00D73783" w:rsidRPr="00B83421">
        <w:rPr>
          <w:rFonts w:ascii="Times New Roman" w:hAnsi="Times New Roman" w:cs="Times New Roman"/>
          <w:b/>
          <w:sz w:val="24"/>
          <w:szCs w:val="24"/>
        </w:rPr>
        <w:t>ABDC</w:t>
      </w:r>
      <w:r w:rsidR="00D73783" w:rsidRPr="00B83421">
        <w:rPr>
          <w:rFonts w:ascii="Times New Roman" w:hAnsi="Times New Roman" w:cs="Times New Roman"/>
          <w:sz w:val="24"/>
          <w:szCs w:val="24"/>
        </w:rPr>
        <w:t xml:space="preserve"> (page).  Even more extreme are the rankings associated with R</w:t>
      </w:r>
      <w:r w:rsidR="003B0101" w:rsidRPr="00B83421">
        <w:rPr>
          <w:rFonts w:ascii="Times New Roman" w:hAnsi="Times New Roman" w:cs="Times New Roman"/>
          <w:sz w:val="24"/>
          <w:szCs w:val="24"/>
        </w:rPr>
        <w:t>#</w:t>
      </w:r>
      <w:r w:rsidR="00BE7297" w:rsidRPr="00B83421">
        <w:rPr>
          <w:rFonts w:ascii="Times New Roman" w:hAnsi="Times New Roman" w:cs="Times New Roman"/>
          <w:sz w:val="24"/>
          <w:szCs w:val="24"/>
        </w:rPr>
        <w:t>7</w:t>
      </w:r>
      <w:r w:rsidR="00D73783" w:rsidRPr="00B83421">
        <w:rPr>
          <w:rFonts w:ascii="Times New Roman" w:hAnsi="Times New Roman" w:cs="Times New Roman"/>
          <w:sz w:val="24"/>
          <w:szCs w:val="24"/>
        </w:rPr>
        <w:t xml:space="preserve">4: </w:t>
      </w:r>
      <w:r w:rsidR="00BE7297" w:rsidRPr="00B83421">
        <w:rPr>
          <w:rFonts w:ascii="Times New Roman" w:hAnsi="Times New Roman" w:cs="Times New Roman"/>
          <w:sz w:val="24"/>
          <w:szCs w:val="24"/>
        </w:rPr>
        <w:t>49th</w:t>
      </w:r>
      <w:r w:rsidR="00D73783" w:rsidRPr="00B83421">
        <w:rPr>
          <w:rFonts w:ascii="Times New Roman" w:hAnsi="Times New Roman" w:cs="Times New Roman"/>
          <w:sz w:val="24"/>
          <w:szCs w:val="24"/>
        </w:rPr>
        <w:t xml:space="preserve"> (</w:t>
      </w:r>
      <w:proofErr w:type="gramStart"/>
      <w:r w:rsidR="00D73783" w:rsidRPr="00B83421">
        <w:rPr>
          <w:rFonts w:ascii="Times New Roman" w:hAnsi="Times New Roman" w:cs="Times New Roman"/>
          <w:b/>
          <w:sz w:val="24"/>
          <w:szCs w:val="24"/>
        </w:rPr>
        <w:t>AVJWS</w:t>
      </w:r>
      <w:r w:rsidR="00D73783" w:rsidRPr="00B83421">
        <w:rPr>
          <w:rFonts w:ascii="Times New Roman" w:hAnsi="Times New Roman" w:cs="Times New Roman"/>
          <w:sz w:val="24"/>
          <w:szCs w:val="24"/>
        </w:rPr>
        <w:t>(</w:t>
      </w:r>
      <w:proofErr w:type="gramEnd"/>
      <w:r w:rsidR="00D73783" w:rsidRPr="00B83421">
        <w:rPr>
          <w:rFonts w:ascii="Times New Roman" w:hAnsi="Times New Roman" w:cs="Times New Roman"/>
          <w:sz w:val="24"/>
          <w:szCs w:val="24"/>
        </w:rPr>
        <w:t xml:space="preserve">page)), </w:t>
      </w:r>
      <w:r w:rsidR="00BE7297" w:rsidRPr="00B83421">
        <w:rPr>
          <w:rFonts w:ascii="Times New Roman" w:hAnsi="Times New Roman" w:cs="Times New Roman"/>
          <w:sz w:val="24"/>
          <w:szCs w:val="24"/>
        </w:rPr>
        <w:t>27</w:t>
      </w:r>
      <w:r w:rsidR="00BE7297" w:rsidRPr="00B83421">
        <w:rPr>
          <w:rFonts w:ascii="Times New Roman" w:hAnsi="Times New Roman" w:cs="Times New Roman"/>
          <w:sz w:val="24"/>
          <w:szCs w:val="24"/>
          <w:vertAlign w:val="superscript"/>
        </w:rPr>
        <w:t>th</w:t>
      </w:r>
      <w:r w:rsidR="00BE7297" w:rsidRPr="00B83421">
        <w:rPr>
          <w:rFonts w:ascii="Times New Roman" w:hAnsi="Times New Roman" w:cs="Times New Roman"/>
          <w:sz w:val="24"/>
          <w:szCs w:val="24"/>
        </w:rPr>
        <w:t xml:space="preserve"> </w:t>
      </w:r>
      <w:r w:rsidR="00D73783" w:rsidRPr="00B83421">
        <w:rPr>
          <w:rFonts w:ascii="Times New Roman" w:hAnsi="Times New Roman" w:cs="Times New Roman"/>
          <w:sz w:val="24"/>
          <w:szCs w:val="24"/>
        </w:rPr>
        <w:t>(</w:t>
      </w:r>
      <w:proofErr w:type="spellStart"/>
      <w:r w:rsidR="00D73783" w:rsidRPr="00B83421">
        <w:rPr>
          <w:rFonts w:ascii="Times New Roman" w:hAnsi="Times New Roman" w:cs="Times New Roman"/>
          <w:b/>
          <w:sz w:val="24"/>
          <w:szCs w:val="24"/>
        </w:rPr>
        <w:t>CLh</w:t>
      </w:r>
      <w:proofErr w:type="spellEnd"/>
      <w:r w:rsidR="00D73783" w:rsidRPr="00B83421">
        <w:rPr>
          <w:rFonts w:ascii="Times New Roman" w:hAnsi="Times New Roman" w:cs="Times New Roman"/>
          <w:sz w:val="24"/>
          <w:szCs w:val="24"/>
        </w:rPr>
        <w:t xml:space="preserve">(page)), and </w:t>
      </w:r>
      <w:r w:rsidR="00BE7297" w:rsidRPr="00B83421">
        <w:rPr>
          <w:rFonts w:ascii="Times New Roman" w:hAnsi="Times New Roman" w:cs="Times New Roman"/>
          <w:sz w:val="24"/>
          <w:szCs w:val="24"/>
        </w:rPr>
        <w:t>75th</w:t>
      </w:r>
      <w:r w:rsidR="00D73783" w:rsidRPr="00B83421">
        <w:rPr>
          <w:rFonts w:ascii="Times New Roman" w:hAnsi="Times New Roman" w:cs="Times New Roman"/>
          <w:sz w:val="24"/>
          <w:szCs w:val="24"/>
        </w:rPr>
        <w:t xml:space="preserve"> (</w:t>
      </w:r>
      <w:r w:rsidR="00BE7297" w:rsidRPr="00B83421">
        <w:rPr>
          <w:rFonts w:ascii="Times New Roman" w:hAnsi="Times New Roman" w:cs="Times New Roman"/>
          <w:b/>
          <w:sz w:val="24"/>
          <w:szCs w:val="24"/>
        </w:rPr>
        <w:t>ABDC</w:t>
      </w:r>
      <w:r w:rsidR="00D73783" w:rsidRPr="00B83421">
        <w:rPr>
          <w:rFonts w:ascii="Times New Roman" w:hAnsi="Times New Roman" w:cs="Times New Roman"/>
          <w:sz w:val="24"/>
          <w:szCs w:val="24"/>
        </w:rPr>
        <w:t>(page)</w:t>
      </w:r>
      <w:r w:rsidR="00311956" w:rsidRPr="00B83421">
        <w:rPr>
          <w:rFonts w:ascii="Times New Roman" w:hAnsi="Times New Roman" w:cs="Times New Roman"/>
          <w:sz w:val="24"/>
          <w:szCs w:val="24"/>
        </w:rPr>
        <w:t>)</w:t>
      </w:r>
      <w:r w:rsidR="00BE7297" w:rsidRPr="00B83421">
        <w:rPr>
          <w:rFonts w:ascii="Times New Roman" w:hAnsi="Times New Roman" w:cs="Times New Roman"/>
          <w:sz w:val="24"/>
          <w:szCs w:val="24"/>
        </w:rPr>
        <w:t xml:space="preserve">.  </w:t>
      </w:r>
      <w:r w:rsidR="008A3858" w:rsidRPr="00B83421">
        <w:rPr>
          <w:rFonts w:ascii="Times New Roman" w:hAnsi="Times New Roman" w:cs="Times New Roman"/>
          <w:sz w:val="24"/>
          <w:szCs w:val="24"/>
        </w:rPr>
        <w:t>We have admittedly selected individual researchers for whom the journal weighting scheme selection process</w:t>
      </w:r>
      <w:r w:rsidR="00F335DC" w:rsidRPr="00B83421">
        <w:rPr>
          <w:rFonts w:ascii="Times New Roman" w:hAnsi="Times New Roman" w:cs="Times New Roman"/>
          <w:sz w:val="24"/>
          <w:szCs w:val="24"/>
        </w:rPr>
        <w:t xml:space="preserve"> matters greatly.  </w:t>
      </w:r>
    </w:p>
    <w:p w14:paraId="5A6D4224" w14:textId="77777777" w:rsidR="00367DB9" w:rsidRDefault="00367DB9">
      <w:pPr>
        <w:rPr>
          <w:rFonts w:ascii="Times New Roman" w:hAnsi="Times New Roman" w:cs="Times New Roman"/>
          <w:sz w:val="24"/>
          <w:szCs w:val="24"/>
        </w:rPr>
        <w:sectPr w:rsidR="00367DB9" w:rsidSect="002C0BD3">
          <w:type w:val="nextColumn"/>
          <w:pgSz w:w="11907" w:h="16840" w:code="9"/>
          <w:pgMar w:top="1440" w:right="1440" w:bottom="1440" w:left="1440" w:header="709" w:footer="709" w:gutter="0"/>
          <w:cols w:space="709"/>
          <w:docGrid w:linePitch="360"/>
        </w:sectPr>
      </w:pPr>
    </w:p>
    <w:tbl>
      <w:tblPr>
        <w:tblW w:w="13829" w:type="dxa"/>
        <w:tblInd w:w="93" w:type="dxa"/>
        <w:tblLook w:val="04A0" w:firstRow="1" w:lastRow="0" w:firstColumn="1" w:lastColumn="0" w:noHBand="0" w:noVBand="1"/>
      </w:tblPr>
      <w:tblGrid>
        <w:gridCol w:w="1134"/>
        <w:gridCol w:w="559"/>
        <w:gridCol w:w="695"/>
        <w:gridCol w:w="772"/>
        <w:gridCol w:w="695"/>
        <w:gridCol w:w="772"/>
        <w:gridCol w:w="794"/>
        <w:gridCol w:w="772"/>
        <w:gridCol w:w="695"/>
        <w:gridCol w:w="772"/>
        <w:gridCol w:w="695"/>
        <w:gridCol w:w="772"/>
        <w:gridCol w:w="794"/>
        <w:gridCol w:w="772"/>
        <w:gridCol w:w="794"/>
        <w:gridCol w:w="772"/>
        <w:gridCol w:w="706"/>
        <w:gridCol w:w="772"/>
        <w:gridCol w:w="92"/>
      </w:tblGrid>
      <w:tr w:rsidR="00367DB9" w:rsidRPr="00056BD0" w14:paraId="1A997E9E" w14:textId="77777777" w:rsidTr="000C4CD0">
        <w:trPr>
          <w:gridAfter w:val="1"/>
          <w:wAfter w:w="92" w:type="dxa"/>
          <w:trHeight w:val="255"/>
        </w:trPr>
        <w:tc>
          <w:tcPr>
            <w:tcW w:w="13737" w:type="dxa"/>
            <w:gridSpan w:val="18"/>
            <w:tcBorders>
              <w:top w:val="nil"/>
              <w:left w:val="nil"/>
              <w:right w:val="nil"/>
            </w:tcBorders>
            <w:shd w:val="clear" w:color="auto" w:fill="auto"/>
            <w:noWrap/>
            <w:vAlign w:val="bottom"/>
          </w:tcPr>
          <w:p w14:paraId="05048CC8" w14:textId="4D6EFE8B" w:rsidR="00367DB9" w:rsidRPr="00056BD0" w:rsidRDefault="00B52297" w:rsidP="00B52297">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lastRenderedPageBreak/>
              <w:t>Table 6:  Rank for Various Journal Weighting Schemes, Output Share Adjusted P</w:t>
            </w:r>
            <w:r w:rsidR="00367DB9" w:rsidRPr="00056BD0">
              <w:rPr>
                <w:rFonts w:ascii="Times New Roman" w:eastAsia="Times New Roman" w:hAnsi="Times New Roman" w:cs="Times New Roman"/>
                <w:b/>
                <w:bCs/>
              </w:rPr>
              <w:t xml:space="preserve">ages </w:t>
            </w:r>
            <w:r w:rsidR="00E6612C">
              <w:rPr>
                <w:rFonts w:ascii="Times New Roman" w:eastAsia="Times New Roman" w:hAnsi="Times New Roman" w:cs="Times New Roman"/>
                <w:b/>
                <w:bCs/>
              </w:rPr>
              <w:t>and</w:t>
            </w:r>
            <w:r>
              <w:rPr>
                <w:rFonts w:ascii="Times New Roman" w:eastAsia="Times New Roman" w:hAnsi="Times New Roman" w:cs="Times New Roman"/>
                <w:b/>
                <w:bCs/>
              </w:rPr>
              <w:t xml:space="preserve"> Papers, Staff at 15 April 2012, P</w:t>
            </w:r>
            <w:r w:rsidR="00367DB9" w:rsidRPr="00056BD0">
              <w:rPr>
                <w:rFonts w:ascii="Times New Roman" w:eastAsia="Times New Roman" w:hAnsi="Times New Roman" w:cs="Times New Roman"/>
                <w:b/>
                <w:bCs/>
              </w:rPr>
              <w:t>ubl</w:t>
            </w:r>
            <w:r w:rsidR="00056BD0">
              <w:rPr>
                <w:rFonts w:ascii="Times New Roman" w:eastAsia="Times New Roman" w:hAnsi="Times New Roman" w:cs="Times New Roman"/>
                <w:b/>
                <w:bCs/>
              </w:rPr>
              <w:t>ications 2006-11</w:t>
            </w:r>
          </w:p>
        </w:tc>
      </w:tr>
      <w:tr w:rsidR="00367DB9" w:rsidRPr="00056BD0" w14:paraId="3364A7F0" w14:textId="77777777" w:rsidTr="000C4CD0">
        <w:trPr>
          <w:trHeight w:val="510"/>
        </w:trPr>
        <w:tc>
          <w:tcPr>
            <w:tcW w:w="1134" w:type="dxa"/>
            <w:tcBorders>
              <w:top w:val="single" w:sz="4" w:space="0" w:color="auto"/>
              <w:left w:val="nil"/>
              <w:bottom w:val="single" w:sz="4" w:space="0" w:color="auto"/>
              <w:right w:val="single" w:sz="4" w:space="0" w:color="auto"/>
            </w:tcBorders>
            <w:shd w:val="clear" w:color="auto" w:fill="auto"/>
            <w:vAlign w:val="center"/>
            <w:hideMark/>
          </w:tcPr>
          <w:p w14:paraId="5C1B346F" w14:textId="77777777" w:rsidR="00367DB9" w:rsidRPr="00056BD0" w:rsidRDefault="00367DB9" w:rsidP="00FA51D3">
            <w:pPr>
              <w:spacing w:after="0" w:line="240" w:lineRule="auto"/>
              <w:jc w:val="center"/>
              <w:rPr>
                <w:rFonts w:ascii="Times New Roman" w:eastAsia="Times New Roman" w:hAnsi="Times New Roman" w:cs="Times New Roman"/>
                <w:bCs/>
              </w:rPr>
            </w:pPr>
            <w:r w:rsidRPr="00056BD0">
              <w:rPr>
                <w:rFonts w:ascii="Times New Roman" w:eastAsia="Times New Roman" w:hAnsi="Times New Roman" w:cs="Times New Roman"/>
                <w:bCs/>
              </w:rPr>
              <w:t>Rank Per AVJWS</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76A0E" w14:textId="77777777" w:rsidR="00367DB9" w:rsidRPr="00056BD0" w:rsidRDefault="00367DB9" w:rsidP="00FA51D3">
            <w:pPr>
              <w:spacing w:after="0" w:line="240" w:lineRule="auto"/>
              <w:jc w:val="center"/>
              <w:rPr>
                <w:rFonts w:ascii="Times New Roman" w:eastAsia="Times New Roman" w:hAnsi="Times New Roman" w:cs="Times New Roman"/>
                <w:bCs/>
              </w:rPr>
            </w:pPr>
            <w:r w:rsidRPr="00056BD0">
              <w:rPr>
                <w:rFonts w:ascii="Times New Roman" w:eastAsia="Times New Roman" w:hAnsi="Times New Roman" w:cs="Times New Roman"/>
                <w:bCs/>
              </w:rPr>
              <w:t>ID#</w:t>
            </w:r>
          </w:p>
        </w:tc>
        <w:tc>
          <w:tcPr>
            <w:tcW w:w="14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C6BDD" w14:textId="77777777" w:rsidR="00367DB9" w:rsidRPr="00056BD0" w:rsidRDefault="00367DB9" w:rsidP="00FA51D3">
            <w:pPr>
              <w:spacing w:after="0" w:line="240" w:lineRule="auto"/>
              <w:jc w:val="center"/>
              <w:rPr>
                <w:rFonts w:ascii="Times New Roman" w:eastAsia="Times New Roman" w:hAnsi="Times New Roman" w:cs="Times New Roman"/>
                <w:bCs/>
              </w:rPr>
            </w:pPr>
            <w:proofErr w:type="spellStart"/>
            <w:r w:rsidRPr="00056BD0">
              <w:rPr>
                <w:rFonts w:ascii="Times New Roman" w:eastAsia="Times New Roman" w:hAnsi="Times New Roman" w:cs="Times New Roman"/>
                <w:bCs/>
              </w:rPr>
              <w:t>CLm</w:t>
            </w:r>
            <w:proofErr w:type="spellEnd"/>
          </w:p>
        </w:tc>
        <w:tc>
          <w:tcPr>
            <w:tcW w:w="14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2A96C" w14:textId="77777777" w:rsidR="00367DB9" w:rsidRPr="00056BD0" w:rsidRDefault="00367DB9" w:rsidP="00FA51D3">
            <w:pPr>
              <w:spacing w:after="0" w:line="240" w:lineRule="auto"/>
              <w:jc w:val="center"/>
              <w:rPr>
                <w:rFonts w:ascii="Times New Roman" w:eastAsia="Times New Roman" w:hAnsi="Times New Roman" w:cs="Times New Roman"/>
                <w:bCs/>
              </w:rPr>
            </w:pPr>
            <w:proofErr w:type="spellStart"/>
            <w:r w:rsidRPr="00056BD0">
              <w:rPr>
                <w:rFonts w:ascii="Times New Roman" w:eastAsia="Times New Roman" w:hAnsi="Times New Roman" w:cs="Times New Roman"/>
                <w:bCs/>
              </w:rPr>
              <w:t>CLh</w:t>
            </w:r>
            <w:proofErr w:type="spellEnd"/>
          </w:p>
        </w:tc>
        <w:tc>
          <w:tcPr>
            <w:tcW w:w="15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A4730" w14:textId="77777777" w:rsidR="00367DB9" w:rsidRPr="00056BD0" w:rsidRDefault="00367DB9" w:rsidP="00FA51D3">
            <w:pPr>
              <w:spacing w:after="0" w:line="240" w:lineRule="auto"/>
              <w:jc w:val="center"/>
              <w:rPr>
                <w:rFonts w:ascii="Times New Roman" w:eastAsia="Times New Roman" w:hAnsi="Times New Roman" w:cs="Times New Roman"/>
                <w:bCs/>
              </w:rPr>
            </w:pPr>
            <w:r w:rsidRPr="00056BD0">
              <w:rPr>
                <w:rFonts w:ascii="Times New Roman" w:eastAsia="Times New Roman" w:hAnsi="Times New Roman" w:cs="Times New Roman"/>
                <w:bCs/>
              </w:rPr>
              <w:t>ABDC</w:t>
            </w:r>
          </w:p>
        </w:tc>
        <w:tc>
          <w:tcPr>
            <w:tcW w:w="14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9C3B2" w14:textId="77777777" w:rsidR="00367DB9" w:rsidRPr="00056BD0" w:rsidRDefault="00367DB9" w:rsidP="00FA51D3">
            <w:pPr>
              <w:spacing w:after="0" w:line="240" w:lineRule="auto"/>
              <w:jc w:val="center"/>
              <w:rPr>
                <w:rFonts w:ascii="Times New Roman" w:eastAsia="Times New Roman" w:hAnsi="Times New Roman" w:cs="Times New Roman"/>
                <w:bCs/>
              </w:rPr>
            </w:pPr>
            <w:proofErr w:type="spellStart"/>
            <w:r w:rsidRPr="00056BD0">
              <w:rPr>
                <w:rFonts w:ascii="Times New Roman" w:eastAsia="Times New Roman" w:hAnsi="Times New Roman" w:cs="Times New Roman"/>
                <w:bCs/>
              </w:rPr>
              <w:t>Rsif</w:t>
            </w:r>
            <w:proofErr w:type="spellEnd"/>
          </w:p>
        </w:tc>
        <w:tc>
          <w:tcPr>
            <w:tcW w:w="14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5538A" w14:textId="77777777" w:rsidR="00367DB9" w:rsidRPr="00056BD0" w:rsidRDefault="00367DB9" w:rsidP="00FA51D3">
            <w:pPr>
              <w:spacing w:after="0" w:line="240" w:lineRule="auto"/>
              <w:jc w:val="center"/>
              <w:rPr>
                <w:rFonts w:ascii="Times New Roman" w:eastAsia="Times New Roman" w:hAnsi="Times New Roman" w:cs="Times New Roman"/>
                <w:bCs/>
              </w:rPr>
            </w:pPr>
            <w:proofErr w:type="spellStart"/>
            <w:r w:rsidRPr="00056BD0">
              <w:rPr>
                <w:rFonts w:ascii="Times New Roman" w:eastAsia="Times New Roman" w:hAnsi="Times New Roman" w:cs="Times New Roman"/>
                <w:bCs/>
              </w:rPr>
              <w:t>Rrec</w:t>
            </w:r>
            <w:proofErr w:type="spellEnd"/>
          </w:p>
        </w:tc>
        <w:tc>
          <w:tcPr>
            <w:tcW w:w="15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2A0BD" w14:textId="77777777" w:rsidR="00367DB9" w:rsidRPr="00056BD0" w:rsidRDefault="00367DB9" w:rsidP="00FA51D3">
            <w:pPr>
              <w:spacing w:after="0" w:line="240" w:lineRule="auto"/>
              <w:jc w:val="center"/>
              <w:rPr>
                <w:rFonts w:ascii="Times New Roman" w:eastAsia="Times New Roman" w:hAnsi="Times New Roman" w:cs="Times New Roman"/>
                <w:bCs/>
              </w:rPr>
            </w:pPr>
            <w:r w:rsidRPr="00056BD0">
              <w:rPr>
                <w:rFonts w:ascii="Times New Roman" w:eastAsia="Times New Roman" w:hAnsi="Times New Roman" w:cs="Times New Roman"/>
                <w:bCs/>
              </w:rPr>
              <w:t>NZABDC</w:t>
            </w:r>
          </w:p>
        </w:tc>
        <w:tc>
          <w:tcPr>
            <w:tcW w:w="1566" w:type="dxa"/>
            <w:gridSpan w:val="2"/>
            <w:tcBorders>
              <w:top w:val="single" w:sz="4" w:space="0" w:color="auto"/>
              <w:left w:val="single" w:sz="4" w:space="0" w:color="auto"/>
              <w:bottom w:val="nil"/>
              <w:right w:val="single" w:sz="4" w:space="0" w:color="auto"/>
            </w:tcBorders>
            <w:shd w:val="clear" w:color="auto" w:fill="auto"/>
            <w:noWrap/>
            <w:vAlign w:val="center"/>
            <w:hideMark/>
          </w:tcPr>
          <w:p w14:paraId="24BD30B4" w14:textId="77777777" w:rsidR="00367DB9" w:rsidRPr="00056BD0" w:rsidRDefault="00367DB9" w:rsidP="00FA51D3">
            <w:pPr>
              <w:spacing w:after="0" w:line="240" w:lineRule="auto"/>
              <w:jc w:val="center"/>
              <w:rPr>
                <w:rFonts w:ascii="Times New Roman" w:eastAsia="Times New Roman" w:hAnsi="Times New Roman" w:cs="Times New Roman"/>
                <w:bCs/>
              </w:rPr>
            </w:pPr>
            <w:r w:rsidRPr="00056BD0">
              <w:rPr>
                <w:rFonts w:ascii="Times New Roman" w:eastAsia="Times New Roman" w:hAnsi="Times New Roman" w:cs="Times New Roman"/>
                <w:bCs/>
              </w:rPr>
              <w:t>AVJWS</w:t>
            </w:r>
          </w:p>
        </w:tc>
        <w:tc>
          <w:tcPr>
            <w:tcW w:w="1570" w:type="dxa"/>
            <w:gridSpan w:val="3"/>
            <w:tcBorders>
              <w:top w:val="single" w:sz="4" w:space="0" w:color="auto"/>
              <w:left w:val="single" w:sz="4" w:space="0" w:color="auto"/>
              <w:bottom w:val="nil"/>
            </w:tcBorders>
            <w:shd w:val="clear" w:color="auto" w:fill="auto"/>
            <w:noWrap/>
            <w:vAlign w:val="center"/>
            <w:hideMark/>
          </w:tcPr>
          <w:p w14:paraId="09022C28" w14:textId="77777777" w:rsidR="00367DB9" w:rsidRPr="00056BD0" w:rsidRDefault="00367DB9" w:rsidP="00FA51D3">
            <w:pPr>
              <w:spacing w:after="0" w:line="240" w:lineRule="auto"/>
              <w:jc w:val="center"/>
              <w:rPr>
                <w:rFonts w:ascii="Times New Roman" w:eastAsia="Times New Roman" w:hAnsi="Times New Roman" w:cs="Times New Roman"/>
                <w:bCs/>
              </w:rPr>
            </w:pPr>
            <w:r w:rsidRPr="00056BD0">
              <w:rPr>
                <w:rFonts w:ascii="Times New Roman" w:eastAsia="Times New Roman" w:hAnsi="Times New Roman" w:cs="Times New Roman"/>
                <w:bCs/>
              </w:rPr>
              <w:t>Max Diff in Rank</w:t>
            </w:r>
          </w:p>
        </w:tc>
      </w:tr>
      <w:tr w:rsidR="00367DB9" w:rsidRPr="00056BD0" w14:paraId="493B8167" w14:textId="77777777" w:rsidTr="000C4CD0">
        <w:trPr>
          <w:gridAfter w:val="1"/>
          <w:wAfter w:w="92" w:type="dxa"/>
          <w:trHeight w:val="255"/>
        </w:trPr>
        <w:tc>
          <w:tcPr>
            <w:tcW w:w="1134" w:type="dxa"/>
            <w:tcBorders>
              <w:top w:val="single" w:sz="4" w:space="0" w:color="auto"/>
              <w:left w:val="nil"/>
              <w:bottom w:val="nil"/>
            </w:tcBorders>
            <w:shd w:val="clear" w:color="auto" w:fill="auto"/>
            <w:noWrap/>
            <w:vAlign w:val="bottom"/>
            <w:hideMark/>
          </w:tcPr>
          <w:p w14:paraId="378B7EE0" w14:textId="77777777" w:rsidR="00367DB9" w:rsidRPr="00056BD0" w:rsidRDefault="00367DB9" w:rsidP="00FA51D3">
            <w:pPr>
              <w:spacing w:after="0" w:line="240" w:lineRule="auto"/>
              <w:rPr>
                <w:rFonts w:ascii="Times New Roman" w:eastAsia="Times New Roman" w:hAnsi="Times New Roman" w:cs="Times New Roman"/>
              </w:rPr>
            </w:pPr>
          </w:p>
        </w:tc>
        <w:tc>
          <w:tcPr>
            <w:tcW w:w="559" w:type="dxa"/>
            <w:tcBorders>
              <w:top w:val="single" w:sz="4" w:space="0" w:color="auto"/>
              <w:bottom w:val="nil"/>
              <w:right w:val="single" w:sz="4" w:space="0" w:color="auto"/>
            </w:tcBorders>
            <w:shd w:val="clear" w:color="auto" w:fill="auto"/>
            <w:noWrap/>
            <w:vAlign w:val="bottom"/>
            <w:hideMark/>
          </w:tcPr>
          <w:p w14:paraId="7D8F254C" w14:textId="77777777" w:rsidR="00367DB9" w:rsidRPr="00056BD0" w:rsidRDefault="00367DB9" w:rsidP="00FA51D3">
            <w:pPr>
              <w:spacing w:after="0" w:line="240" w:lineRule="auto"/>
              <w:jc w:val="center"/>
              <w:rPr>
                <w:rFonts w:ascii="Times New Roman" w:eastAsia="Times New Roman" w:hAnsi="Times New Roman" w:cs="Times New Roman"/>
                <w:bCs/>
              </w:rPr>
            </w:pPr>
          </w:p>
        </w:tc>
        <w:tc>
          <w:tcPr>
            <w:tcW w:w="695" w:type="dxa"/>
            <w:tcBorders>
              <w:top w:val="single" w:sz="4" w:space="0" w:color="auto"/>
              <w:left w:val="single" w:sz="4" w:space="0" w:color="auto"/>
              <w:bottom w:val="single" w:sz="4" w:space="0" w:color="auto"/>
              <w:right w:val="nil"/>
            </w:tcBorders>
            <w:shd w:val="clear" w:color="auto" w:fill="auto"/>
            <w:noWrap/>
            <w:vAlign w:val="bottom"/>
            <w:hideMark/>
          </w:tcPr>
          <w:p w14:paraId="7796D136" w14:textId="77777777" w:rsidR="00367DB9" w:rsidRPr="00056BD0" w:rsidRDefault="00367DB9" w:rsidP="00FA51D3">
            <w:pPr>
              <w:spacing w:after="0" w:line="240" w:lineRule="auto"/>
              <w:jc w:val="center"/>
              <w:rPr>
                <w:rFonts w:ascii="Times New Roman" w:eastAsia="Times New Roman" w:hAnsi="Times New Roman" w:cs="Times New Roman"/>
                <w:bCs/>
              </w:rPr>
            </w:pPr>
            <w:r w:rsidRPr="00056BD0">
              <w:rPr>
                <w:rFonts w:ascii="Times New Roman" w:eastAsia="Times New Roman" w:hAnsi="Times New Roman" w:cs="Times New Roman"/>
                <w:bCs/>
              </w:rPr>
              <w:t>Page</w:t>
            </w:r>
          </w:p>
        </w:tc>
        <w:tc>
          <w:tcPr>
            <w:tcW w:w="772" w:type="dxa"/>
            <w:tcBorders>
              <w:top w:val="single" w:sz="4" w:space="0" w:color="auto"/>
              <w:left w:val="nil"/>
              <w:bottom w:val="single" w:sz="4" w:space="0" w:color="auto"/>
              <w:right w:val="single" w:sz="4" w:space="0" w:color="auto"/>
            </w:tcBorders>
            <w:shd w:val="clear" w:color="auto" w:fill="auto"/>
            <w:noWrap/>
            <w:vAlign w:val="bottom"/>
            <w:hideMark/>
          </w:tcPr>
          <w:p w14:paraId="6FE50784" w14:textId="77777777" w:rsidR="00367DB9" w:rsidRPr="00056BD0" w:rsidRDefault="00367DB9" w:rsidP="00FA51D3">
            <w:pPr>
              <w:spacing w:after="0" w:line="240" w:lineRule="auto"/>
              <w:jc w:val="center"/>
              <w:rPr>
                <w:rFonts w:ascii="Times New Roman" w:eastAsia="Times New Roman" w:hAnsi="Times New Roman" w:cs="Times New Roman"/>
                <w:bCs/>
              </w:rPr>
            </w:pPr>
            <w:r w:rsidRPr="00056BD0">
              <w:rPr>
                <w:rFonts w:ascii="Times New Roman" w:eastAsia="Times New Roman" w:hAnsi="Times New Roman" w:cs="Times New Roman"/>
                <w:bCs/>
              </w:rPr>
              <w:t>Paper</w:t>
            </w:r>
          </w:p>
        </w:tc>
        <w:tc>
          <w:tcPr>
            <w:tcW w:w="695" w:type="dxa"/>
            <w:tcBorders>
              <w:top w:val="single" w:sz="4" w:space="0" w:color="auto"/>
              <w:left w:val="single" w:sz="4" w:space="0" w:color="auto"/>
              <w:bottom w:val="single" w:sz="4" w:space="0" w:color="auto"/>
              <w:right w:val="nil"/>
            </w:tcBorders>
            <w:shd w:val="clear" w:color="auto" w:fill="auto"/>
            <w:noWrap/>
            <w:vAlign w:val="bottom"/>
            <w:hideMark/>
          </w:tcPr>
          <w:p w14:paraId="405E3961" w14:textId="77777777" w:rsidR="00367DB9" w:rsidRPr="00056BD0" w:rsidRDefault="00367DB9" w:rsidP="00FA51D3">
            <w:pPr>
              <w:spacing w:after="0" w:line="240" w:lineRule="auto"/>
              <w:jc w:val="center"/>
              <w:rPr>
                <w:rFonts w:ascii="Times New Roman" w:eastAsia="Times New Roman" w:hAnsi="Times New Roman" w:cs="Times New Roman"/>
                <w:bCs/>
              </w:rPr>
            </w:pPr>
            <w:r w:rsidRPr="00056BD0">
              <w:rPr>
                <w:rFonts w:ascii="Times New Roman" w:eastAsia="Times New Roman" w:hAnsi="Times New Roman" w:cs="Times New Roman"/>
                <w:bCs/>
              </w:rPr>
              <w:t>Page</w:t>
            </w:r>
          </w:p>
        </w:tc>
        <w:tc>
          <w:tcPr>
            <w:tcW w:w="772" w:type="dxa"/>
            <w:tcBorders>
              <w:top w:val="single" w:sz="4" w:space="0" w:color="auto"/>
              <w:left w:val="nil"/>
              <w:bottom w:val="single" w:sz="4" w:space="0" w:color="auto"/>
              <w:right w:val="single" w:sz="4" w:space="0" w:color="auto"/>
            </w:tcBorders>
            <w:shd w:val="clear" w:color="auto" w:fill="auto"/>
            <w:noWrap/>
            <w:vAlign w:val="bottom"/>
            <w:hideMark/>
          </w:tcPr>
          <w:p w14:paraId="79CC23C3" w14:textId="77777777" w:rsidR="00367DB9" w:rsidRPr="00056BD0" w:rsidRDefault="00367DB9" w:rsidP="00FA51D3">
            <w:pPr>
              <w:spacing w:after="0" w:line="240" w:lineRule="auto"/>
              <w:jc w:val="center"/>
              <w:rPr>
                <w:rFonts w:ascii="Times New Roman" w:eastAsia="Times New Roman" w:hAnsi="Times New Roman" w:cs="Times New Roman"/>
                <w:bCs/>
              </w:rPr>
            </w:pPr>
            <w:r w:rsidRPr="00056BD0">
              <w:rPr>
                <w:rFonts w:ascii="Times New Roman" w:eastAsia="Times New Roman" w:hAnsi="Times New Roman" w:cs="Times New Roman"/>
                <w:bCs/>
              </w:rPr>
              <w:t>Paper</w:t>
            </w:r>
          </w:p>
        </w:tc>
        <w:tc>
          <w:tcPr>
            <w:tcW w:w="794" w:type="dxa"/>
            <w:tcBorders>
              <w:top w:val="single" w:sz="4" w:space="0" w:color="auto"/>
              <w:left w:val="single" w:sz="4" w:space="0" w:color="auto"/>
              <w:bottom w:val="single" w:sz="4" w:space="0" w:color="auto"/>
              <w:right w:val="nil"/>
            </w:tcBorders>
            <w:shd w:val="clear" w:color="auto" w:fill="auto"/>
            <w:noWrap/>
            <w:vAlign w:val="bottom"/>
            <w:hideMark/>
          </w:tcPr>
          <w:p w14:paraId="2784F4C4" w14:textId="77777777" w:rsidR="00367DB9" w:rsidRPr="00056BD0" w:rsidRDefault="00367DB9" w:rsidP="00FA51D3">
            <w:pPr>
              <w:spacing w:after="0" w:line="240" w:lineRule="auto"/>
              <w:jc w:val="center"/>
              <w:rPr>
                <w:rFonts w:ascii="Times New Roman" w:eastAsia="Times New Roman" w:hAnsi="Times New Roman" w:cs="Times New Roman"/>
                <w:bCs/>
              </w:rPr>
            </w:pPr>
            <w:r w:rsidRPr="00056BD0">
              <w:rPr>
                <w:rFonts w:ascii="Times New Roman" w:eastAsia="Times New Roman" w:hAnsi="Times New Roman" w:cs="Times New Roman"/>
                <w:bCs/>
              </w:rPr>
              <w:t>Page</w:t>
            </w:r>
          </w:p>
        </w:tc>
        <w:tc>
          <w:tcPr>
            <w:tcW w:w="772" w:type="dxa"/>
            <w:tcBorders>
              <w:top w:val="single" w:sz="4" w:space="0" w:color="auto"/>
              <w:left w:val="nil"/>
              <w:bottom w:val="single" w:sz="4" w:space="0" w:color="auto"/>
              <w:right w:val="single" w:sz="4" w:space="0" w:color="auto"/>
            </w:tcBorders>
            <w:shd w:val="clear" w:color="auto" w:fill="auto"/>
            <w:noWrap/>
            <w:vAlign w:val="bottom"/>
            <w:hideMark/>
          </w:tcPr>
          <w:p w14:paraId="32AEBFAC" w14:textId="77777777" w:rsidR="00367DB9" w:rsidRPr="00056BD0" w:rsidRDefault="00367DB9" w:rsidP="00FA51D3">
            <w:pPr>
              <w:spacing w:after="0" w:line="240" w:lineRule="auto"/>
              <w:jc w:val="center"/>
              <w:rPr>
                <w:rFonts w:ascii="Times New Roman" w:eastAsia="Times New Roman" w:hAnsi="Times New Roman" w:cs="Times New Roman"/>
                <w:bCs/>
              </w:rPr>
            </w:pPr>
            <w:r w:rsidRPr="00056BD0">
              <w:rPr>
                <w:rFonts w:ascii="Times New Roman" w:eastAsia="Times New Roman" w:hAnsi="Times New Roman" w:cs="Times New Roman"/>
                <w:bCs/>
              </w:rPr>
              <w:t>Paper</w:t>
            </w:r>
          </w:p>
        </w:tc>
        <w:tc>
          <w:tcPr>
            <w:tcW w:w="695" w:type="dxa"/>
            <w:tcBorders>
              <w:top w:val="single" w:sz="4" w:space="0" w:color="auto"/>
              <w:left w:val="single" w:sz="4" w:space="0" w:color="auto"/>
              <w:bottom w:val="single" w:sz="4" w:space="0" w:color="auto"/>
              <w:right w:val="nil"/>
            </w:tcBorders>
            <w:shd w:val="clear" w:color="auto" w:fill="auto"/>
            <w:noWrap/>
            <w:vAlign w:val="bottom"/>
            <w:hideMark/>
          </w:tcPr>
          <w:p w14:paraId="74FBF35C" w14:textId="77777777" w:rsidR="00367DB9" w:rsidRPr="00056BD0" w:rsidRDefault="00367DB9" w:rsidP="00FA51D3">
            <w:pPr>
              <w:spacing w:after="0" w:line="240" w:lineRule="auto"/>
              <w:jc w:val="center"/>
              <w:rPr>
                <w:rFonts w:ascii="Times New Roman" w:eastAsia="Times New Roman" w:hAnsi="Times New Roman" w:cs="Times New Roman"/>
                <w:bCs/>
              </w:rPr>
            </w:pPr>
            <w:r w:rsidRPr="00056BD0">
              <w:rPr>
                <w:rFonts w:ascii="Times New Roman" w:eastAsia="Times New Roman" w:hAnsi="Times New Roman" w:cs="Times New Roman"/>
                <w:bCs/>
              </w:rPr>
              <w:t>Page</w:t>
            </w:r>
          </w:p>
        </w:tc>
        <w:tc>
          <w:tcPr>
            <w:tcW w:w="772" w:type="dxa"/>
            <w:tcBorders>
              <w:top w:val="single" w:sz="4" w:space="0" w:color="auto"/>
              <w:left w:val="nil"/>
              <w:bottom w:val="single" w:sz="4" w:space="0" w:color="auto"/>
              <w:right w:val="single" w:sz="4" w:space="0" w:color="auto"/>
            </w:tcBorders>
            <w:shd w:val="clear" w:color="auto" w:fill="auto"/>
            <w:noWrap/>
            <w:vAlign w:val="bottom"/>
            <w:hideMark/>
          </w:tcPr>
          <w:p w14:paraId="00B41460" w14:textId="77777777" w:rsidR="00367DB9" w:rsidRPr="00056BD0" w:rsidRDefault="00367DB9" w:rsidP="00FA51D3">
            <w:pPr>
              <w:spacing w:after="0" w:line="240" w:lineRule="auto"/>
              <w:jc w:val="center"/>
              <w:rPr>
                <w:rFonts w:ascii="Times New Roman" w:eastAsia="Times New Roman" w:hAnsi="Times New Roman" w:cs="Times New Roman"/>
                <w:bCs/>
              </w:rPr>
            </w:pPr>
            <w:r w:rsidRPr="00056BD0">
              <w:rPr>
                <w:rFonts w:ascii="Times New Roman" w:eastAsia="Times New Roman" w:hAnsi="Times New Roman" w:cs="Times New Roman"/>
                <w:bCs/>
              </w:rPr>
              <w:t>Paper</w:t>
            </w:r>
          </w:p>
        </w:tc>
        <w:tc>
          <w:tcPr>
            <w:tcW w:w="695" w:type="dxa"/>
            <w:tcBorders>
              <w:top w:val="single" w:sz="4" w:space="0" w:color="auto"/>
              <w:left w:val="single" w:sz="4" w:space="0" w:color="auto"/>
              <w:bottom w:val="single" w:sz="4" w:space="0" w:color="auto"/>
              <w:right w:val="nil"/>
            </w:tcBorders>
            <w:shd w:val="clear" w:color="auto" w:fill="auto"/>
            <w:noWrap/>
            <w:vAlign w:val="bottom"/>
            <w:hideMark/>
          </w:tcPr>
          <w:p w14:paraId="177E5569" w14:textId="77777777" w:rsidR="00367DB9" w:rsidRPr="00056BD0" w:rsidRDefault="00367DB9" w:rsidP="00FA51D3">
            <w:pPr>
              <w:spacing w:after="0" w:line="240" w:lineRule="auto"/>
              <w:jc w:val="center"/>
              <w:rPr>
                <w:rFonts w:ascii="Times New Roman" w:eastAsia="Times New Roman" w:hAnsi="Times New Roman" w:cs="Times New Roman"/>
                <w:bCs/>
              </w:rPr>
            </w:pPr>
            <w:r w:rsidRPr="00056BD0">
              <w:rPr>
                <w:rFonts w:ascii="Times New Roman" w:eastAsia="Times New Roman" w:hAnsi="Times New Roman" w:cs="Times New Roman"/>
                <w:bCs/>
              </w:rPr>
              <w:t>Page</w:t>
            </w:r>
          </w:p>
        </w:tc>
        <w:tc>
          <w:tcPr>
            <w:tcW w:w="772" w:type="dxa"/>
            <w:tcBorders>
              <w:top w:val="single" w:sz="4" w:space="0" w:color="auto"/>
              <w:left w:val="nil"/>
              <w:bottom w:val="single" w:sz="4" w:space="0" w:color="auto"/>
              <w:right w:val="single" w:sz="4" w:space="0" w:color="auto"/>
            </w:tcBorders>
            <w:shd w:val="clear" w:color="auto" w:fill="auto"/>
            <w:noWrap/>
            <w:vAlign w:val="bottom"/>
            <w:hideMark/>
          </w:tcPr>
          <w:p w14:paraId="649F48E7" w14:textId="77777777" w:rsidR="00367DB9" w:rsidRPr="00056BD0" w:rsidRDefault="00367DB9" w:rsidP="00FA51D3">
            <w:pPr>
              <w:spacing w:after="0" w:line="240" w:lineRule="auto"/>
              <w:jc w:val="center"/>
              <w:rPr>
                <w:rFonts w:ascii="Times New Roman" w:eastAsia="Times New Roman" w:hAnsi="Times New Roman" w:cs="Times New Roman"/>
                <w:bCs/>
              </w:rPr>
            </w:pPr>
            <w:r w:rsidRPr="00056BD0">
              <w:rPr>
                <w:rFonts w:ascii="Times New Roman" w:eastAsia="Times New Roman" w:hAnsi="Times New Roman" w:cs="Times New Roman"/>
                <w:bCs/>
              </w:rPr>
              <w:t>Paper</w:t>
            </w:r>
          </w:p>
        </w:tc>
        <w:tc>
          <w:tcPr>
            <w:tcW w:w="794" w:type="dxa"/>
            <w:tcBorders>
              <w:top w:val="single" w:sz="4" w:space="0" w:color="auto"/>
              <w:left w:val="single" w:sz="4" w:space="0" w:color="auto"/>
              <w:bottom w:val="single" w:sz="4" w:space="0" w:color="auto"/>
              <w:right w:val="nil"/>
            </w:tcBorders>
            <w:shd w:val="clear" w:color="auto" w:fill="auto"/>
            <w:noWrap/>
            <w:vAlign w:val="bottom"/>
            <w:hideMark/>
          </w:tcPr>
          <w:p w14:paraId="4DBCAE41" w14:textId="77777777" w:rsidR="00367DB9" w:rsidRPr="00056BD0" w:rsidRDefault="00367DB9" w:rsidP="00FA51D3">
            <w:pPr>
              <w:spacing w:after="0" w:line="240" w:lineRule="auto"/>
              <w:jc w:val="center"/>
              <w:rPr>
                <w:rFonts w:ascii="Times New Roman" w:eastAsia="Times New Roman" w:hAnsi="Times New Roman" w:cs="Times New Roman"/>
                <w:bCs/>
              </w:rPr>
            </w:pPr>
            <w:r w:rsidRPr="00056BD0">
              <w:rPr>
                <w:rFonts w:ascii="Times New Roman" w:eastAsia="Times New Roman" w:hAnsi="Times New Roman" w:cs="Times New Roman"/>
                <w:bCs/>
              </w:rPr>
              <w:t>Page</w:t>
            </w:r>
          </w:p>
        </w:tc>
        <w:tc>
          <w:tcPr>
            <w:tcW w:w="772" w:type="dxa"/>
            <w:tcBorders>
              <w:top w:val="single" w:sz="4" w:space="0" w:color="auto"/>
              <w:left w:val="nil"/>
              <w:bottom w:val="single" w:sz="4" w:space="0" w:color="auto"/>
              <w:right w:val="single" w:sz="4" w:space="0" w:color="auto"/>
            </w:tcBorders>
            <w:shd w:val="clear" w:color="auto" w:fill="auto"/>
            <w:noWrap/>
            <w:vAlign w:val="bottom"/>
            <w:hideMark/>
          </w:tcPr>
          <w:p w14:paraId="5A75DE29" w14:textId="77777777" w:rsidR="00367DB9" w:rsidRPr="00056BD0" w:rsidRDefault="00367DB9" w:rsidP="00FA51D3">
            <w:pPr>
              <w:spacing w:after="0" w:line="240" w:lineRule="auto"/>
              <w:jc w:val="center"/>
              <w:rPr>
                <w:rFonts w:ascii="Times New Roman" w:eastAsia="Times New Roman" w:hAnsi="Times New Roman" w:cs="Times New Roman"/>
                <w:bCs/>
              </w:rPr>
            </w:pPr>
            <w:r w:rsidRPr="00056BD0">
              <w:rPr>
                <w:rFonts w:ascii="Times New Roman" w:eastAsia="Times New Roman" w:hAnsi="Times New Roman" w:cs="Times New Roman"/>
                <w:bCs/>
              </w:rPr>
              <w:t>Paper</w:t>
            </w:r>
          </w:p>
        </w:tc>
        <w:tc>
          <w:tcPr>
            <w:tcW w:w="794" w:type="dxa"/>
            <w:tcBorders>
              <w:top w:val="single" w:sz="4" w:space="0" w:color="auto"/>
              <w:left w:val="single" w:sz="4" w:space="0" w:color="auto"/>
              <w:bottom w:val="single" w:sz="4" w:space="0" w:color="auto"/>
              <w:right w:val="nil"/>
            </w:tcBorders>
            <w:shd w:val="clear" w:color="auto" w:fill="auto"/>
            <w:noWrap/>
            <w:vAlign w:val="bottom"/>
            <w:hideMark/>
          </w:tcPr>
          <w:p w14:paraId="76D8AFF8" w14:textId="77777777" w:rsidR="00367DB9" w:rsidRPr="00056BD0" w:rsidRDefault="00367DB9" w:rsidP="00FA51D3">
            <w:pPr>
              <w:spacing w:after="0" w:line="240" w:lineRule="auto"/>
              <w:jc w:val="center"/>
              <w:rPr>
                <w:rFonts w:ascii="Times New Roman" w:eastAsia="Times New Roman" w:hAnsi="Times New Roman" w:cs="Times New Roman"/>
                <w:bCs/>
              </w:rPr>
            </w:pPr>
            <w:r w:rsidRPr="00056BD0">
              <w:rPr>
                <w:rFonts w:ascii="Times New Roman" w:eastAsia="Times New Roman" w:hAnsi="Times New Roman" w:cs="Times New Roman"/>
                <w:bCs/>
              </w:rPr>
              <w:t>Page</w:t>
            </w:r>
          </w:p>
        </w:tc>
        <w:tc>
          <w:tcPr>
            <w:tcW w:w="772" w:type="dxa"/>
            <w:tcBorders>
              <w:top w:val="single" w:sz="4" w:space="0" w:color="auto"/>
              <w:left w:val="nil"/>
              <w:bottom w:val="single" w:sz="4" w:space="0" w:color="auto"/>
              <w:right w:val="single" w:sz="4" w:space="0" w:color="auto"/>
            </w:tcBorders>
            <w:shd w:val="clear" w:color="auto" w:fill="auto"/>
            <w:noWrap/>
            <w:vAlign w:val="bottom"/>
            <w:hideMark/>
          </w:tcPr>
          <w:p w14:paraId="71E3BE91" w14:textId="77777777" w:rsidR="00367DB9" w:rsidRPr="00056BD0" w:rsidRDefault="00367DB9" w:rsidP="00FA51D3">
            <w:pPr>
              <w:spacing w:after="0" w:line="240" w:lineRule="auto"/>
              <w:jc w:val="center"/>
              <w:rPr>
                <w:rFonts w:ascii="Times New Roman" w:eastAsia="Times New Roman" w:hAnsi="Times New Roman" w:cs="Times New Roman"/>
                <w:bCs/>
              </w:rPr>
            </w:pPr>
            <w:r w:rsidRPr="00056BD0">
              <w:rPr>
                <w:rFonts w:ascii="Times New Roman" w:eastAsia="Times New Roman" w:hAnsi="Times New Roman" w:cs="Times New Roman"/>
                <w:bCs/>
              </w:rPr>
              <w:t>Paper</w:t>
            </w:r>
          </w:p>
        </w:tc>
        <w:tc>
          <w:tcPr>
            <w:tcW w:w="706" w:type="dxa"/>
            <w:tcBorders>
              <w:top w:val="single" w:sz="4" w:space="0" w:color="auto"/>
              <w:left w:val="single" w:sz="4" w:space="0" w:color="auto"/>
              <w:bottom w:val="single" w:sz="4" w:space="0" w:color="auto"/>
              <w:right w:val="nil"/>
            </w:tcBorders>
            <w:shd w:val="clear" w:color="auto" w:fill="auto"/>
            <w:noWrap/>
            <w:vAlign w:val="bottom"/>
            <w:hideMark/>
          </w:tcPr>
          <w:p w14:paraId="4912BC15" w14:textId="77777777" w:rsidR="00367DB9" w:rsidRPr="00056BD0" w:rsidRDefault="00367DB9" w:rsidP="00FA51D3">
            <w:pPr>
              <w:spacing w:after="0" w:line="240" w:lineRule="auto"/>
              <w:jc w:val="center"/>
              <w:rPr>
                <w:rFonts w:ascii="Times New Roman" w:eastAsia="Times New Roman" w:hAnsi="Times New Roman" w:cs="Times New Roman"/>
                <w:bCs/>
              </w:rPr>
            </w:pPr>
            <w:r w:rsidRPr="00056BD0">
              <w:rPr>
                <w:rFonts w:ascii="Times New Roman" w:eastAsia="Times New Roman" w:hAnsi="Times New Roman" w:cs="Times New Roman"/>
                <w:bCs/>
              </w:rPr>
              <w:t>Page</w:t>
            </w:r>
          </w:p>
        </w:tc>
        <w:tc>
          <w:tcPr>
            <w:tcW w:w="772" w:type="dxa"/>
            <w:tcBorders>
              <w:top w:val="single" w:sz="4" w:space="0" w:color="auto"/>
              <w:left w:val="nil"/>
              <w:bottom w:val="single" w:sz="4" w:space="0" w:color="auto"/>
            </w:tcBorders>
            <w:shd w:val="clear" w:color="auto" w:fill="auto"/>
            <w:noWrap/>
            <w:vAlign w:val="bottom"/>
            <w:hideMark/>
          </w:tcPr>
          <w:p w14:paraId="6EC651C2" w14:textId="77777777" w:rsidR="00367DB9" w:rsidRPr="00056BD0" w:rsidRDefault="00367DB9" w:rsidP="00FA51D3">
            <w:pPr>
              <w:spacing w:after="0" w:line="240" w:lineRule="auto"/>
              <w:jc w:val="center"/>
              <w:rPr>
                <w:rFonts w:ascii="Times New Roman" w:eastAsia="Times New Roman" w:hAnsi="Times New Roman" w:cs="Times New Roman"/>
                <w:bCs/>
              </w:rPr>
            </w:pPr>
            <w:r w:rsidRPr="00056BD0">
              <w:rPr>
                <w:rFonts w:ascii="Times New Roman" w:eastAsia="Times New Roman" w:hAnsi="Times New Roman" w:cs="Times New Roman"/>
                <w:bCs/>
              </w:rPr>
              <w:t>Paper</w:t>
            </w:r>
          </w:p>
        </w:tc>
      </w:tr>
      <w:tr w:rsidR="00367DB9" w:rsidRPr="00056BD0" w14:paraId="5B0B0601" w14:textId="77777777" w:rsidTr="000C4CD0">
        <w:trPr>
          <w:gridAfter w:val="1"/>
          <w:wAfter w:w="92" w:type="dxa"/>
          <w:trHeight w:val="255"/>
        </w:trPr>
        <w:tc>
          <w:tcPr>
            <w:tcW w:w="1134" w:type="dxa"/>
            <w:tcBorders>
              <w:top w:val="nil"/>
              <w:left w:val="nil"/>
              <w:bottom w:val="nil"/>
            </w:tcBorders>
            <w:shd w:val="clear" w:color="auto" w:fill="auto"/>
            <w:noWrap/>
            <w:vAlign w:val="bottom"/>
            <w:hideMark/>
          </w:tcPr>
          <w:p w14:paraId="0AE02510"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w:t>
            </w:r>
          </w:p>
        </w:tc>
        <w:tc>
          <w:tcPr>
            <w:tcW w:w="559" w:type="dxa"/>
            <w:tcBorders>
              <w:top w:val="nil"/>
              <w:bottom w:val="nil"/>
              <w:right w:val="single" w:sz="4" w:space="0" w:color="auto"/>
            </w:tcBorders>
            <w:shd w:val="clear" w:color="auto" w:fill="auto"/>
            <w:noWrap/>
            <w:vAlign w:val="bottom"/>
            <w:hideMark/>
          </w:tcPr>
          <w:p w14:paraId="53FA85B7"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69</w:t>
            </w:r>
          </w:p>
        </w:tc>
        <w:tc>
          <w:tcPr>
            <w:tcW w:w="695" w:type="dxa"/>
            <w:tcBorders>
              <w:top w:val="single" w:sz="4" w:space="0" w:color="auto"/>
              <w:left w:val="single" w:sz="4" w:space="0" w:color="auto"/>
              <w:bottom w:val="nil"/>
              <w:right w:val="nil"/>
            </w:tcBorders>
            <w:shd w:val="clear" w:color="auto" w:fill="auto"/>
            <w:noWrap/>
            <w:vAlign w:val="bottom"/>
            <w:hideMark/>
          </w:tcPr>
          <w:p w14:paraId="4CE8B271"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w:t>
            </w:r>
          </w:p>
        </w:tc>
        <w:tc>
          <w:tcPr>
            <w:tcW w:w="772" w:type="dxa"/>
            <w:tcBorders>
              <w:top w:val="single" w:sz="4" w:space="0" w:color="auto"/>
              <w:left w:val="nil"/>
              <w:bottom w:val="nil"/>
              <w:right w:val="single" w:sz="4" w:space="0" w:color="auto"/>
            </w:tcBorders>
            <w:shd w:val="clear" w:color="auto" w:fill="auto"/>
            <w:noWrap/>
            <w:vAlign w:val="bottom"/>
            <w:hideMark/>
          </w:tcPr>
          <w:p w14:paraId="161287A6"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w:t>
            </w:r>
          </w:p>
        </w:tc>
        <w:tc>
          <w:tcPr>
            <w:tcW w:w="695" w:type="dxa"/>
            <w:tcBorders>
              <w:top w:val="single" w:sz="4" w:space="0" w:color="auto"/>
              <w:left w:val="single" w:sz="4" w:space="0" w:color="auto"/>
              <w:bottom w:val="nil"/>
              <w:right w:val="nil"/>
            </w:tcBorders>
            <w:shd w:val="clear" w:color="auto" w:fill="auto"/>
            <w:noWrap/>
            <w:vAlign w:val="bottom"/>
            <w:hideMark/>
          </w:tcPr>
          <w:p w14:paraId="5FEAA2AD"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w:t>
            </w:r>
          </w:p>
        </w:tc>
        <w:tc>
          <w:tcPr>
            <w:tcW w:w="772" w:type="dxa"/>
            <w:tcBorders>
              <w:top w:val="single" w:sz="4" w:space="0" w:color="auto"/>
              <w:left w:val="nil"/>
              <w:bottom w:val="nil"/>
              <w:right w:val="single" w:sz="4" w:space="0" w:color="auto"/>
            </w:tcBorders>
            <w:shd w:val="clear" w:color="auto" w:fill="auto"/>
            <w:noWrap/>
            <w:vAlign w:val="bottom"/>
            <w:hideMark/>
          </w:tcPr>
          <w:p w14:paraId="476FA99A"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w:t>
            </w:r>
          </w:p>
        </w:tc>
        <w:tc>
          <w:tcPr>
            <w:tcW w:w="794" w:type="dxa"/>
            <w:tcBorders>
              <w:top w:val="single" w:sz="4" w:space="0" w:color="auto"/>
              <w:left w:val="single" w:sz="4" w:space="0" w:color="auto"/>
              <w:bottom w:val="nil"/>
              <w:right w:val="nil"/>
            </w:tcBorders>
            <w:shd w:val="clear" w:color="auto" w:fill="auto"/>
            <w:noWrap/>
            <w:vAlign w:val="bottom"/>
            <w:hideMark/>
          </w:tcPr>
          <w:p w14:paraId="21CA6239"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w:t>
            </w:r>
          </w:p>
        </w:tc>
        <w:tc>
          <w:tcPr>
            <w:tcW w:w="772" w:type="dxa"/>
            <w:tcBorders>
              <w:top w:val="single" w:sz="4" w:space="0" w:color="auto"/>
              <w:left w:val="nil"/>
              <w:bottom w:val="nil"/>
              <w:right w:val="single" w:sz="4" w:space="0" w:color="auto"/>
            </w:tcBorders>
            <w:shd w:val="clear" w:color="auto" w:fill="auto"/>
            <w:noWrap/>
            <w:vAlign w:val="bottom"/>
            <w:hideMark/>
          </w:tcPr>
          <w:p w14:paraId="6C26E00C"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w:t>
            </w:r>
          </w:p>
        </w:tc>
        <w:tc>
          <w:tcPr>
            <w:tcW w:w="695" w:type="dxa"/>
            <w:tcBorders>
              <w:top w:val="single" w:sz="4" w:space="0" w:color="auto"/>
              <w:left w:val="single" w:sz="4" w:space="0" w:color="auto"/>
              <w:bottom w:val="nil"/>
              <w:right w:val="nil"/>
            </w:tcBorders>
            <w:shd w:val="clear" w:color="auto" w:fill="auto"/>
            <w:noWrap/>
            <w:vAlign w:val="bottom"/>
            <w:hideMark/>
          </w:tcPr>
          <w:p w14:paraId="2A6E272B"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w:t>
            </w:r>
          </w:p>
        </w:tc>
        <w:tc>
          <w:tcPr>
            <w:tcW w:w="772" w:type="dxa"/>
            <w:tcBorders>
              <w:top w:val="single" w:sz="4" w:space="0" w:color="auto"/>
              <w:left w:val="nil"/>
              <w:bottom w:val="nil"/>
              <w:right w:val="single" w:sz="4" w:space="0" w:color="auto"/>
            </w:tcBorders>
            <w:shd w:val="clear" w:color="auto" w:fill="auto"/>
            <w:noWrap/>
            <w:vAlign w:val="bottom"/>
            <w:hideMark/>
          </w:tcPr>
          <w:p w14:paraId="5EE16B5F"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w:t>
            </w:r>
          </w:p>
        </w:tc>
        <w:tc>
          <w:tcPr>
            <w:tcW w:w="695" w:type="dxa"/>
            <w:tcBorders>
              <w:top w:val="single" w:sz="4" w:space="0" w:color="auto"/>
              <w:left w:val="single" w:sz="4" w:space="0" w:color="auto"/>
              <w:bottom w:val="nil"/>
              <w:right w:val="nil"/>
            </w:tcBorders>
            <w:shd w:val="clear" w:color="auto" w:fill="auto"/>
            <w:noWrap/>
            <w:vAlign w:val="bottom"/>
            <w:hideMark/>
          </w:tcPr>
          <w:p w14:paraId="08E0F1AF"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w:t>
            </w:r>
          </w:p>
        </w:tc>
        <w:tc>
          <w:tcPr>
            <w:tcW w:w="772" w:type="dxa"/>
            <w:tcBorders>
              <w:top w:val="single" w:sz="4" w:space="0" w:color="auto"/>
              <w:left w:val="nil"/>
              <w:bottom w:val="nil"/>
              <w:right w:val="single" w:sz="4" w:space="0" w:color="auto"/>
            </w:tcBorders>
            <w:shd w:val="clear" w:color="auto" w:fill="auto"/>
            <w:noWrap/>
            <w:vAlign w:val="bottom"/>
            <w:hideMark/>
          </w:tcPr>
          <w:p w14:paraId="38A475B4"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w:t>
            </w:r>
          </w:p>
        </w:tc>
        <w:tc>
          <w:tcPr>
            <w:tcW w:w="794" w:type="dxa"/>
            <w:tcBorders>
              <w:top w:val="single" w:sz="4" w:space="0" w:color="auto"/>
              <w:left w:val="single" w:sz="4" w:space="0" w:color="auto"/>
              <w:bottom w:val="nil"/>
              <w:right w:val="nil"/>
            </w:tcBorders>
            <w:shd w:val="clear" w:color="auto" w:fill="auto"/>
            <w:noWrap/>
            <w:vAlign w:val="bottom"/>
            <w:hideMark/>
          </w:tcPr>
          <w:p w14:paraId="18445DE6"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w:t>
            </w:r>
          </w:p>
        </w:tc>
        <w:tc>
          <w:tcPr>
            <w:tcW w:w="772" w:type="dxa"/>
            <w:tcBorders>
              <w:top w:val="single" w:sz="4" w:space="0" w:color="auto"/>
              <w:left w:val="nil"/>
              <w:bottom w:val="nil"/>
              <w:right w:val="single" w:sz="4" w:space="0" w:color="auto"/>
            </w:tcBorders>
            <w:shd w:val="clear" w:color="auto" w:fill="auto"/>
            <w:noWrap/>
            <w:vAlign w:val="bottom"/>
            <w:hideMark/>
          </w:tcPr>
          <w:p w14:paraId="11D2FC6D"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w:t>
            </w:r>
          </w:p>
        </w:tc>
        <w:tc>
          <w:tcPr>
            <w:tcW w:w="794" w:type="dxa"/>
            <w:tcBorders>
              <w:top w:val="single" w:sz="4" w:space="0" w:color="auto"/>
              <w:left w:val="single" w:sz="4" w:space="0" w:color="auto"/>
              <w:bottom w:val="nil"/>
              <w:right w:val="nil"/>
            </w:tcBorders>
            <w:shd w:val="clear" w:color="auto" w:fill="auto"/>
            <w:noWrap/>
            <w:vAlign w:val="bottom"/>
            <w:hideMark/>
          </w:tcPr>
          <w:p w14:paraId="662A9A17"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w:t>
            </w:r>
          </w:p>
        </w:tc>
        <w:tc>
          <w:tcPr>
            <w:tcW w:w="772" w:type="dxa"/>
            <w:tcBorders>
              <w:top w:val="single" w:sz="4" w:space="0" w:color="auto"/>
              <w:left w:val="nil"/>
              <w:bottom w:val="nil"/>
              <w:right w:val="single" w:sz="4" w:space="0" w:color="auto"/>
            </w:tcBorders>
            <w:shd w:val="clear" w:color="auto" w:fill="auto"/>
            <w:noWrap/>
            <w:vAlign w:val="bottom"/>
            <w:hideMark/>
          </w:tcPr>
          <w:p w14:paraId="0B6662EA"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w:t>
            </w:r>
          </w:p>
        </w:tc>
        <w:tc>
          <w:tcPr>
            <w:tcW w:w="706" w:type="dxa"/>
            <w:tcBorders>
              <w:top w:val="single" w:sz="4" w:space="0" w:color="auto"/>
              <w:left w:val="single" w:sz="4" w:space="0" w:color="auto"/>
              <w:bottom w:val="nil"/>
              <w:right w:val="nil"/>
            </w:tcBorders>
            <w:shd w:val="clear" w:color="auto" w:fill="auto"/>
            <w:noWrap/>
            <w:vAlign w:val="bottom"/>
            <w:hideMark/>
          </w:tcPr>
          <w:p w14:paraId="71ED5677"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w:t>
            </w:r>
          </w:p>
        </w:tc>
        <w:tc>
          <w:tcPr>
            <w:tcW w:w="772" w:type="dxa"/>
            <w:tcBorders>
              <w:top w:val="single" w:sz="4" w:space="0" w:color="auto"/>
              <w:left w:val="nil"/>
              <w:bottom w:val="nil"/>
            </w:tcBorders>
            <w:shd w:val="clear" w:color="auto" w:fill="auto"/>
            <w:noWrap/>
            <w:vAlign w:val="bottom"/>
            <w:hideMark/>
          </w:tcPr>
          <w:p w14:paraId="391AFA8F"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w:t>
            </w:r>
          </w:p>
        </w:tc>
      </w:tr>
      <w:tr w:rsidR="00367DB9" w:rsidRPr="00056BD0" w14:paraId="3FE8635A" w14:textId="77777777" w:rsidTr="000C4CD0">
        <w:trPr>
          <w:gridAfter w:val="1"/>
          <w:wAfter w:w="92" w:type="dxa"/>
          <w:trHeight w:val="255"/>
        </w:trPr>
        <w:tc>
          <w:tcPr>
            <w:tcW w:w="1134" w:type="dxa"/>
            <w:tcBorders>
              <w:top w:val="nil"/>
              <w:left w:val="nil"/>
              <w:bottom w:val="nil"/>
            </w:tcBorders>
            <w:shd w:val="clear" w:color="auto" w:fill="auto"/>
            <w:noWrap/>
            <w:vAlign w:val="bottom"/>
            <w:hideMark/>
          </w:tcPr>
          <w:p w14:paraId="50F24E32"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w:t>
            </w:r>
          </w:p>
        </w:tc>
        <w:tc>
          <w:tcPr>
            <w:tcW w:w="559" w:type="dxa"/>
            <w:tcBorders>
              <w:top w:val="nil"/>
              <w:bottom w:val="nil"/>
              <w:right w:val="single" w:sz="4" w:space="0" w:color="auto"/>
            </w:tcBorders>
            <w:shd w:val="clear" w:color="auto" w:fill="auto"/>
            <w:noWrap/>
            <w:vAlign w:val="bottom"/>
            <w:hideMark/>
          </w:tcPr>
          <w:p w14:paraId="7AAEBB56"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37</w:t>
            </w:r>
          </w:p>
        </w:tc>
        <w:tc>
          <w:tcPr>
            <w:tcW w:w="695" w:type="dxa"/>
            <w:tcBorders>
              <w:top w:val="nil"/>
              <w:left w:val="single" w:sz="4" w:space="0" w:color="auto"/>
              <w:bottom w:val="nil"/>
              <w:right w:val="nil"/>
            </w:tcBorders>
            <w:shd w:val="clear" w:color="auto" w:fill="auto"/>
            <w:noWrap/>
            <w:vAlign w:val="bottom"/>
            <w:hideMark/>
          </w:tcPr>
          <w:p w14:paraId="1C55D705"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w:t>
            </w:r>
          </w:p>
        </w:tc>
        <w:tc>
          <w:tcPr>
            <w:tcW w:w="772" w:type="dxa"/>
            <w:tcBorders>
              <w:top w:val="nil"/>
              <w:left w:val="nil"/>
              <w:bottom w:val="nil"/>
              <w:right w:val="single" w:sz="4" w:space="0" w:color="auto"/>
            </w:tcBorders>
            <w:shd w:val="clear" w:color="auto" w:fill="auto"/>
            <w:noWrap/>
            <w:vAlign w:val="bottom"/>
            <w:hideMark/>
          </w:tcPr>
          <w:p w14:paraId="24268933"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w:t>
            </w:r>
          </w:p>
        </w:tc>
        <w:tc>
          <w:tcPr>
            <w:tcW w:w="695" w:type="dxa"/>
            <w:tcBorders>
              <w:top w:val="nil"/>
              <w:left w:val="single" w:sz="4" w:space="0" w:color="auto"/>
              <w:bottom w:val="nil"/>
              <w:right w:val="nil"/>
            </w:tcBorders>
            <w:shd w:val="clear" w:color="auto" w:fill="auto"/>
            <w:noWrap/>
            <w:vAlign w:val="bottom"/>
            <w:hideMark/>
          </w:tcPr>
          <w:p w14:paraId="756A2DB6"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w:t>
            </w:r>
          </w:p>
        </w:tc>
        <w:tc>
          <w:tcPr>
            <w:tcW w:w="772" w:type="dxa"/>
            <w:tcBorders>
              <w:top w:val="nil"/>
              <w:left w:val="nil"/>
              <w:bottom w:val="nil"/>
              <w:right w:val="single" w:sz="4" w:space="0" w:color="auto"/>
            </w:tcBorders>
            <w:shd w:val="clear" w:color="auto" w:fill="auto"/>
            <w:noWrap/>
            <w:vAlign w:val="bottom"/>
            <w:hideMark/>
          </w:tcPr>
          <w:p w14:paraId="05688433"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w:t>
            </w:r>
          </w:p>
        </w:tc>
        <w:tc>
          <w:tcPr>
            <w:tcW w:w="794" w:type="dxa"/>
            <w:tcBorders>
              <w:top w:val="nil"/>
              <w:left w:val="single" w:sz="4" w:space="0" w:color="auto"/>
              <w:bottom w:val="nil"/>
              <w:right w:val="nil"/>
            </w:tcBorders>
            <w:shd w:val="clear" w:color="auto" w:fill="auto"/>
            <w:noWrap/>
            <w:vAlign w:val="bottom"/>
            <w:hideMark/>
          </w:tcPr>
          <w:p w14:paraId="15A44D5B"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w:t>
            </w:r>
          </w:p>
        </w:tc>
        <w:tc>
          <w:tcPr>
            <w:tcW w:w="772" w:type="dxa"/>
            <w:tcBorders>
              <w:top w:val="nil"/>
              <w:left w:val="nil"/>
              <w:bottom w:val="nil"/>
              <w:right w:val="single" w:sz="4" w:space="0" w:color="auto"/>
            </w:tcBorders>
            <w:shd w:val="clear" w:color="auto" w:fill="auto"/>
            <w:noWrap/>
            <w:vAlign w:val="bottom"/>
            <w:hideMark/>
          </w:tcPr>
          <w:p w14:paraId="5B3851B5"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w:t>
            </w:r>
          </w:p>
        </w:tc>
        <w:tc>
          <w:tcPr>
            <w:tcW w:w="695" w:type="dxa"/>
            <w:tcBorders>
              <w:top w:val="nil"/>
              <w:left w:val="single" w:sz="4" w:space="0" w:color="auto"/>
              <w:bottom w:val="nil"/>
              <w:right w:val="nil"/>
            </w:tcBorders>
            <w:shd w:val="clear" w:color="auto" w:fill="auto"/>
            <w:noWrap/>
            <w:vAlign w:val="bottom"/>
            <w:hideMark/>
          </w:tcPr>
          <w:p w14:paraId="1AA368B2"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w:t>
            </w:r>
          </w:p>
        </w:tc>
        <w:tc>
          <w:tcPr>
            <w:tcW w:w="772" w:type="dxa"/>
            <w:tcBorders>
              <w:top w:val="nil"/>
              <w:left w:val="nil"/>
              <w:bottom w:val="nil"/>
              <w:right w:val="single" w:sz="4" w:space="0" w:color="auto"/>
            </w:tcBorders>
            <w:shd w:val="clear" w:color="auto" w:fill="auto"/>
            <w:noWrap/>
            <w:vAlign w:val="bottom"/>
            <w:hideMark/>
          </w:tcPr>
          <w:p w14:paraId="09F42346"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w:t>
            </w:r>
          </w:p>
        </w:tc>
        <w:tc>
          <w:tcPr>
            <w:tcW w:w="695" w:type="dxa"/>
            <w:tcBorders>
              <w:top w:val="nil"/>
              <w:left w:val="single" w:sz="4" w:space="0" w:color="auto"/>
              <w:bottom w:val="nil"/>
              <w:right w:val="nil"/>
            </w:tcBorders>
            <w:shd w:val="clear" w:color="auto" w:fill="auto"/>
            <w:noWrap/>
            <w:vAlign w:val="bottom"/>
            <w:hideMark/>
          </w:tcPr>
          <w:p w14:paraId="75F9E727"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w:t>
            </w:r>
          </w:p>
        </w:tc>
        <w:tc>
          <w:tcPr>
            <w:tcW w:w="772" w:type="dxa"/>
            <w:tcBorders>
              <w:top w:val="nil"/>
              <w:left w:val="nil"/>
              <w:bottom w:val="nil"/>
              <w:right w:val="single" w:sz="4" w:space="0" w:color="auto"/>
            </w:tcBorders>
            <w:shd w:val="clear" w:color="auto" w:fill="auto"/>
            <w:noWrap/>
            <w:vAlign w:val="bottom"/>
            <w:hideMark/>
          </w:tcPr>
          <w:p w14:paraId="0F25C240"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w:t>
            </w:r>
          </w:p>
        </w:tc>
        <w:tc>
          <w:tcPr>
            <w:tcW w:w="794" w:type="dxa"/>
            <w:tcBorders>
              <w:top w:val="nil"/>
              <w:left w:val="single" w:sz="4" w:space="0" w:color="auto"/>
              <w:bottom w:val="nil"/>
              <w:right w:val="nil"/>
            </w:tcBorders>
            <w:shd w:val="clear" w:color="auto" w:fill="auto"/>
            <w:noWrap/>
            <w:vAlign w:val="bottom"/>
            <w:hideMark/>
          </w:tcPr>
          <w:p w14:paraId="3699C720"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w:t>
            </w:r>
          </w:p>
        </w:tc>
        <w:tc>
          <w:tcPr>
            <w:tcW w:w="772" w:type="dxa"/>
            <w:tcBorders>
              <w:top w:val="nil"/>
              <w:left w:val="nil"/>
              <w:bottom w:val="nil"/>
              <w:right w:val="single" w:sz="4" w:space="0" w:color="auto"/>
            </w:tcBorders>
            <w:shd w:val="clear" w:color="auto" w:fill="auto"/>
            <w:noWrap/>
            <w:vAlign w:val="bottom"/>
            <w:hideMark/>
          </w:tcPr>
          <w:p w14:paraId="4478E11B"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w:t>
            </w:r>
          </w:p>
        </w:tc>
        <w:tc>
          <w:tcPr>
            <w:tcW w:w="794" w:type="dxa"/>
            <w:tcBorders>
              <w:top w:val="nil"/>
              <w:left w:val="single" w:sz="4" w:space="0" w:color="auto"/>
              <w:bottom w:val="nil"/>
              <w:right w:val="nil"/>
            </w:tcBorders>
            <w:shd w:val="clear" w:color="auto" w:fill="auto"/>
            <w:noWrap/>
            <w:vAlign w:val="bottom"/>
            <w:hideMark/>
          </w:tcPr>
          <w:p w14:paraId="6C609169"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w:t>
            </w:r>
          </w:p>
        </w:tc>
        <w:tc>
          <w:tcPr>
            <w:tcW w:w="772" w:type="dxa"/>
            <w:tcBorders>
              <w:top w:val="nil"/>
              <w:left w:val="nil"/>
              <w:bottom w:val="nil"/>
              <w:right w:val="single" w:sz="4" w:space="0" w:color="auto"/>
            </w:tcBorders>
            <w:shd w:val="clear" w:color="auto" w:fill="auto"/>
            <w:noWrap/>
            <w:vAlign w:val="bottom"/>
            <w:hideMark/>
          </w:tcPr>
          <w:p w14:paraId="4FB769B9"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w:t>
            </w:r>
          </w:p>
        </w:tc>
        <w:tc>
          <w:tcPr>
            <w:tcW w:w="706" w:type="dxa"/>
            <w:tcBorders>
              <w:top w:val="nil"/>
              <w:left w:val="single" w:sz="4" w:space="0" w:color="auto"/>
              <w:bottom w:val="nil"/>
              <w:right w:val="nil"/>
            </w:tcBorders>
            <w:shd w:val="clear" w:color="auto" w:fill="auto"/>
            <w:noWrap/>
            <w:vAlign w:val="bottom"/>
            <w:hideMark/>
          </w:tcPr>
          <w:p w14:paraId="4A5FAC5B"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w:t>
            </w:r>
          </w:p>
        </w:tc>
        <w:tc>
          <w:tcPr>
            <w:tcW w:w="772" w:type="dxa"/>
            <w:tcBorders>
              <w:top w:val="nil"/>
              <w:left w:val="nil"/>
              <w:bottom w:val="nil"/>
            </w:tcBorders>
            <w:shd w:val="clear" w:color="auto" w:fill="auto"/>
            <w:noWrap/>
            <w:vAlign w:val="bottom"/>
            <w:hideMark/>
          </w:tcPr>
          <w:p w14:paraId="53640A35"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w:t>
            </w:r>
          </w:p>
        </w:tc>
      </w:tr>
      <w:tr w:rsidR="00367DB9" w:rsidRPr="00056BD0" w14:paraId="6709D5DD" w14:textId="77777777" w:rsidTr="000C4CD0">
        <w:trPr>
          <w:gridAfter w:val="1"/>
          <w:wAfter w:w="92" w:type="dxa"/>
          <w:trHeight w:val="255"/>
        </w:trPr>
        <w:tc>
          <w:tcPr>
            <w:tcW w:w="1134" w:type="dxa"/>
            <w:tcBorders>
              <w:top w:val="nil"/>
              <w:left w:val="nil"/>
              <w:bottom w:val="nil"/>
            </w:tcBorders>
            <w:shd w:val="clear" w:color="auto" w:fill="auto"/>
            <w:noWrap/>
            <w:vAlign w:val="bottom"/>
            <w:hideMark/>
          </w:tcPr>
          <w:p w14:paraId="51385434"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w:t>
            </w:r>
          </w:p>
        </w:tc>
        <w:tc>
          <w:tcPr>
            <w:tcW w:w="559" w:type="dxa"/>
            <w:tcBorders>
              <w:top w:val="nil"/>
              <w:bottom w:val="nil"/>
              <w:right w:val="single" w:sz="4" w:space="0" w:color="auto"/>
            </w:tcBorders>
            <w:shd w:val="clear" w:color="auto" w:fill="auto"/>
            <w:noWrap/>
            <w:vAlign w:val="bottom"/>
            <w:hideMark/>
          </w:tcPr>
          <w:p w14:paraId="790326EE"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w:t>
            </w:r>
          </w:p>
        </w:tc>
        <w:tc>
          <w:tcPr>
            <w:tcW w:w="695" w:type="dxa"/>
            <w:tcBorders>
              <w:top w:val="nil"/>
              <w:left w:val="single" w:sz="4" w:space="0" w:color="auto"/>
              <w:bottom w:val="nil"/>
              <w:right w:val="nil"/>
            </w:tcBorders>
            <w:shd w:val="clear" w:color="auto" w:fill="auto"/>
            <w:noWrap/>
            <w:vAlign w:val="bottom"/>
            <w:hideMark/>
          </w:tcPr>
          <w:p w14:paraId="08F962B7"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w:t>
            </w:r>
          </w:p>
        </w:tc>
        <w:tc>
          <w:tcPr>
            <w:tcW w:w="772" w:type="dxa"/>
            <w:tcBorders>
              <w:top w:val="nil"/>
              <w:left w:val="nil"/>
              <w:bottom w:val="nil"/>
              <w:right w:val="single" w:sz="4" w:space="0" w:color="auto"/>
            </w:tcBorders>
            <w:shd w:val="clear" w:color="auto" w:fill="auto"/>
            <w:noWrap/>
            <w:vAlign w:val="bottom"/>
            <w:hideMark/>
          </w:tcPr>
          <w:p w14:paraId="624CA978"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w:t>
            </w:r>
          </w:p>
        </w:tc>
        <w:tc>
          <w:tcPr>
            <w:tcW w:w="695" w:type="dxa"/>
            <w:tcBorders>
              <w:top w:val="nil"/>
              <w:left w:val="single" w:sz="4" w:space="0" w:color="auto"/>
              <w:bottom w:val="nil"/>
              <w:right w:val="nil"/>
            </w:tcBorders>
            <w:shd w:val="clear" w:color="auto" w:fill="auto"/>
            <w:noWrap/>
            <w:vAlign w:val="bottom"/>
            <w:hideMark/>
          </w:tcPr>
          <w:p w14:paraId="320E5A21"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w:t>
            </w:r>
          </w:p>
        </w:tc>
        <w:tc>
          <w:tcPr>
            <w:tcW w:w="772" w:type="dxa"/>
            <w:tcBorders>
              <w:top w:val="nil"/>
              <w:left w:val="nil"/>
              <w:bottom w:val="nil"/>
              <w:right w:val="single" w:sz="4" w:space="0" w:color="auto"/>
            </w:tcBorders>
            <w:shd w:val="clear" w:color="auto" w:fill="auto"/>
            <w:noWrap/>
            <w:vAlign w:val="bottom"/>
            <w:hideMark/>
          </w:tcPr>
          <w:p w14:paraId="6BA46F4A"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w:t>
            </w:r>
          </w:p>
        </w:tc>
        <w:tc>
          <w:tcPr>
            <w:tcW w:w="794" w:type="dxa"/>
            <w:tcBorders>
              <w:top w:val="nil"/>
              <w:left w:val="single" w:sz="4" w:space="0" w:color="auto"/>
              <w:bottom w:val="nil"/>
              <w:right w:val="nil"/>
            </w:tcBorders>
            <w:shd w:val="clear" w:color="auto" w:fill="auto"/>
            <w:noWrap/>
            <w:vAlign w:val="bottom"/>
            <w:hideMark/>
          </w:tcPr>
          <w:p w14:paraId="1E4E58C7"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w:t>
            </w:r>
          </w:p>
        </w:tc>
        <w:tc>
          <w:tcPr>
            <w:tcW w:w="772" w:type="dxa"/>
            <w:tcBorders>
              <w:top w:val="nil"/>
              <w:left w:val="nil"/>
              <w:bottom w:val="nil"/>
              <w:right w:val="single" w:sz="4" w:space="0" w:color="auto"/>
            </w:tcBorders>
            <w:shd w:val="clear" w:color="auto" w:fill="auto"/>
            <w:noWrap/>
            <w:vAlign w:val="bottom"/>
            <w:hideMark/>
          </w:tcPr>
          <w:p w14:paraId="3EB09D8A"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w:t>
            </w:r>
          </w:p>
        </w:tc>
        <w:tc>
          <w:tcPr>
            <w:tcW w:w="695" w:type="dxa"/>
            <w:tcBorders>
              <w:top w:val="nil"/>
              <w:left w:val="single" w:sz="4" w:space="0" w:color="auto"/>
              <w:bottom w:val="nil"/>
              <w:right w:val="nil"/>
            </w:tcBorders>
            <w:shd w:val="clear" w:color="auto" w:fill="auto"/>
            <w:noWrap/>
            <w:vAlign w:val="bottom"/>
            <w:hideMark/>
          </w:tcPr>
          <w:p w14:paraId="18988968"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w:t>
            </w:r>
          </w:p>
        </w:tc>
        <w:tc>
          <w:tcPr>
            <w:tcW w:w="772" w:type="dxa"/>
            <w:tcBorders>
              <w:top w:val="nil"/>
              <w:left w:val="nil"/>
              <w:bottom w:val="nil"/>
              <w:right w:val="single" w:sz="4" w:space="0" w:color="auto"/>
            </w:tcBorders>
            <w:shd w:val="clear" w:color="auto" w:fill="auto"/>
            <w:noWrap/>
            <w:vAlign w:val="bottom"/>
            <w:hideMark/>
          </w:tcPr>
          <w:p w14:paraId="2EDC1F31"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w:t>
            </w:r>
          </w:p>
        </w:tc>
        <w:tc>
          <w:tcPr>
            <w:tcW w:w="695" w:type="dxa"/>
            <w:tcBorders>
              <w:top w:val="nil"/>
              <w:left w:val="single" w:sz="4" w:space="0" w:color="auto"/>
              <w:bottom w:val="nil"/>
              <w:right w:val="nil"/>
            </w:tcBorders>
            <w:shd w:val="clear" w:color="auto" w:fill="auto"/>
            <w:noWrap/>
            <w:vAlign w:val="bottom"/>
            <w:hideMark/>
          </w:tcPr>
          <w:p w14:paraId="4DA56E6C"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w:t>
            </w:r>
          </w:p>
        </w:tc>
        <w:tc>
          <w:tcPr>
            <w:tcW w:w="772" w:type="dxa"/>
            <w:tcBorders>
              <w:top w:val="nil"/>
              <w:left w:val="nil"/>
              <w:bottom w:val="nil"/>
              <w:right w:val="single" w:sz="4" w:space="0" w:color="auto"/>
            </w:tcBorders>
            <w:shd w:val="clear" w:color="auto" w:fill="auto"/>
            <w:noWrap/>
            <w:vAlign w:val="bottom"/>
            <w:hideMark/>
          </w:tcPr>
          <w:p w14:paraId="5E89F3FC"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w:t>
            </w:r>
          </w:p>
        </w:tc>
        <w:tc>
          <w:tcPr>
            <w:tcW w:w="794" w:type="dxa"/>
            <w:tcBorders>
              <w:top w:val="nil"/>
              <w:left w:val="single" w:sz="4" w:space="0" w:color="auto"/>
              <w:bottom w:val="nil"/>
              <w:right w:val="nil"/>
            </w:tcBorders>
            <w:shd w:val="clear" w:color="auto" w:fill="auto"/>
            <w:noWrap/>
            <w:vAlign w:val="bottom"/>
            <w:hideMark/>
          </w:tcPr>
          <w:p w14:paraId="6D61E0B6"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w:t>
            </w:r>
          </w:p>
        </w:tc>
        <w:tc>
          <w:tcPr>
            <w:tcW w:w="772" w:type="dxa"/>
            <w:tcBorders>
              <w:top w:val="nil"/>
              <w:left w:val="nil"/>
              <w:bottom w:val="nil"/>
              <w:right w:val="single" w:sz="4" w:space="0" w:color="auto"/>
            </w:tcBorders>
            <w:shd w:val="clear" w:color="auto" w:fill="auto"/>
            <w:noWrap/>
            <w:vAlign w:val="bottom"/>
            <w:hideMark/>
          </w:tcPr>
          <w:p w14:paraId="5EF6A1F9"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w:t>
            </w:r>
          </w:p>
        </w:tc>
        <w:tc>
          <w:tcPr>
            <w:tcW w:w="794" w:type="dxa"/>
            <w:tcBorders>
              <w:top w:val="nil"/>
              <w:left w:val="single" w:sz="4" w:space="0" w:color="auto"/>
              <w:bottom w:val="nil"/>
              <w:right w:val="nil"/>
            </w:tcBorders>
            <w:shd w:val="clear" w:color="auto" w:fill="auto"/>
            <w:noWrap/>
            <w:vAlign w:val="bottom"/>
            <w:hideMark/>
          </w:tcPr>
          <w:p w14:paraId="36B0B10A"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w:t>
            </w:r>
          </w:p>
        </w:tc>
        <w:tc>
          <w:tcPr>
            <w:tcW w:w="772" w:type="dxa"/>
            <w:tcBorders>
              <w:top w:val="nil"/>
              <w:left w:val="nil"/>
              <w:bottom w:val="nil"/>
              <w:right w:val="single" w:sz="4" w:space="0" w:color="auto"/>
            </w:tcBorders>
            <w:shd w:val="clear" w:color="auto" w:fill="auto"/>
            <w:noWrap/>
            <w:vAlign w:val="bottom"/>
            <w:hideMark/>
          </w:tcPr>
          <w:p w14:paraId="33848F78"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w:t>
            </w:r>
          </w:p>
        </w:tc>
        <w:tc>
          <w:tcPr>
            <w:tcW w:w="706" w:type="dxa"/>
            <w:tcBorders>
              <w:top w:val="nil"/>
              <w:left w:val="single" w:sz="4" w:space="0" w:color="auto"/>
              <w:bottom w:val="nil"/>
              <w:right w:val="nil"/>
            </w:tcBorders>
            <w:shd w:val="clear" w:color="auto" w:fill="auto"/>
            <w:noWrap/>
            <w:vAlign w:val="bottom"/>
            <w:hideMark/>
          </w:tcPr>
          <w:p w14:paraId="7F80C954"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w:t>
            </w:r>
          </w:p>
        </w:tc>
        <w:tc>
          <w:tcPr>
            <w:tcW w:w="772" w:type="dxa"/>
            <w:tcBorders>
              <w:top w:val="nil"/>
              <w:left w:val="nil"/>
              <w:bottom w:val="nil"/>
            </w:tcBorders>
            <w:shd w:val="clear" w:color="auto" w:fill="auto"/>
            <w:noWrap/>
            <w:vAlign w:val="bottom"/>
            <w:hideMark/>
          </w:tcPr>
          <w:p w14:paraId="0AB89A73"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w:t>
            </w:r>
          </w:p>
        </w:tc>
      </w:tr>
      <w:tr w:rsidR="00367DB9" w:rsidRPr="00056BD0" w14:paraId="65690CA7" w14:textId="77777777" w:rsidTr="000C4CD0">
        <w:trPr>
          <w:gridAfter w:val="1"/>
          <w:wAfter w:w="92" w:type="dxa"/>
          <w:trHeight w:val="255"/>
        </w:trPr>
        <w:tc>
          <w:tcPr>
            <w:tcW w:w="1134" w:type="dxa"/>
            <w:tcBorders>
              <w:top w:val="nil"/>
              <w:left w:val="nil"/>
              <w:bottom w:val="nil"/>
            </w:tcBorders>
            <w:shd w:val="clear" w:color="auto" w:fill="auto"/>
            <w:noWrap/>
            <w:vAlign w:val="bottom"/>
            <w:hideMark/>
          </w:tcPr>
          <w:p w14:paraId="7F5E5FF0"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w:t>
            </w:r>
          </w:p>
        </w:tc>
        <w:tc>
          <w:tcPr>
            <w:tcW w:w="559" w:type="dxa"/>
            <w:tcBorders>
              <w:top w:val="nil"/>
              <w:bottom w:val="nil"/>
              <w:right w:val="single" w:sz="4" w:space="0" w:color="auto"/>
            </w:tcBorders>
            <w:shd w:val="clear" w:color="auto" w:fill="auto"/>
            <w:noWrap/>
            <w:vAlign w:val="bottom"/>
            <w:hideMark/>
          </w:tcPr>
          <w:p w14:paraId="62938687"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28</w:t>
            </w:r>
          </w:p>
        </w:tc>
        <w:tc>
          <w:tcPr>
            <w:tcW w:w="695" w:type="dxa"/>
            <w:tcBorders>
              <w:top w:val="nil"/>
              <w:left w:val="single" w:sz="4" w:space="0" w:color="auto"/>
              <w:bottom w:val="nil"/>
              <w:right w:val="nil"/>
            </w:tcBorders>
            <w:shd w:val="clear" w:color="auto" w:fill="auto"/>
            <w:noWrap/>
            <w:vAlign w:val="bottom"/>
            <w:hideMark/>
          </w:tcPr>
          <w:p w14:paraId="509CCB20"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7</w:t>
            </w:r>
          </w:p>
        </w:tc>
        <w:tc>
          <w:tcPr>
            <w:tcW w:w="772" w:type="dxa"/>
            <w:tcBorders>
              <w:top w:val="nil"/>
              <w:left w:val="nil"/>
              <w:bottom w:val="nil"/>
              <w:right w:val="single" w:sz="4" w:space="0" w:color="auto"/>
            </w:tcBorders>
            <w:shd w:val="clear" w:color="auto" w:fill="auto"/>
            <w:noWrap/>
            <w:vAlign w:val="bottom"/>
            <w:hideMark/>
          </w:tcPr>
          <w:p w14:paraId="2A295B8D"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12</w:t>
            </w:r>
          </w:p>
        </w:tc>
        <w:tc>
          <w:tcPr>
            <w:tcW w:w="695" w:type="dxa"/>
            <w:tcBorders>
              <w:top w:val="nil"/>
              <w:left w:val="single" w:sz="4" w:space="0" w:color="auto"/>
              <w:bottom w:val="nil"/>
              <w:right w:val="nil"/>
            </w:tcBorders>
            <w:shd w:val="clear" w:color="auto" w:fill="auto"/>
            <w:noWrap/>
            <w:vAlign w:val="bottom"/>
            <w:hideMark/>
          </w:tcPr>
          <w:p w14:paraId="0FA9EA4C"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w:t>
            </w:r>
          </w:p>
        </w:tc>
        <w:tc>
          <w:tcPr>
            <w:tcW w:w="772" w:type="dxa"/>
            <w:tcBorders>
              <w:top w:val="nil"/>
              <w:left w:val="nil"/>
              <w:bottom w:val="nil"/>
              <w:right w:val="single" w:sz="4" w:space="0" w:color="auto"/>
            </w:tcBorders>
            <w:shd w:val="clear" w:color="auto" w:fill="auto"/>
            <w:noWrap/>
            <w:vAlign w:val="bottom"/>
            <w:hideMark/>
          </w:tcPr>
          <w:p w14:paraId="048E1053"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7</w:t>
            </w:r>
          </w:p>
        </w:tc>
        <w:tc>
          <w:tcPr>
            <w:tcW w:w="794" w:type="dxa"/>
            <w:tcBorders>
              <w:top w:val="nil"/>
              <w:left w:val="single" w:sz="4" w:space="0" w:color="auto"/>
              <w:bottom w:val="nil"/>
              <w:right w:val="nil"/>
            </w:tcBorders>
            <w:shd w:val="clear" w:color="auto" w:fill="auto"/>
            <w:noWrap/>
            <w:vAlign w:val="bottom"/>
            <w:hideMark/>
          </w:tcPr>
          <w:p w14:paraId="5914E1CB"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11</w:t>
            </w:r>
          </w:p>
        </w:tc>
        <w:tc>
          <w:tcPr>
            <w:tcW w:w="772" w:type="dxa"/>
            <w:tcBorders>
              <w:top w:val="nil"/>
              <w:left w:val="nil"/>
              <w:bottom w:val="nil"/>
              <w:right w:val="single" w:sz="4" w:space="0" w:color="auto"/>
            </w:tcBorders>
            <w:shd w:val="clear" w:color="auto" w:fill="auto"/>
            <w:noWrap/>
            <w:vAlign w:val="bottom"/>
            <w:hideMark/>
          </w:tcPr>
          <w:p w14:paraId="112717F1"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20</w:t>
            </w:r>
          </w:p>
        </w:tc>
        <w:tc>
          <w:tcPr>
            <w:tcW w:w="695" w:type="dxa"/>
            <w:tcBorders>
              <w:top w:val="nil"/>
              <w:left w:val="single" w:sz="4" w:space="0" w:color="auto"/>
              <w:bottom w:val="nil"/>
              <w:right w:val="nil"/>
            </w:tcBorders>
            <w:shd w:val="clear" w:color="auto" w:fill="auto"/>
            <w:noWrap/>
            <w:vAlign w:val="bottom"/>
            <w:hideMark/>
          </w:tcPr>
          <w:p w14:paraId="23CE414F"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w:t>
            </w:r>
          </w:p>
        </w:tc>
        <w:tc>
          <w:tcPr>
            <w:tcW w:w="772" w:type="dxa"/>
            <w:tcBorders>
              <w:top w:val="nil"/>
              <w:left w:val="nil"/>
              <w:bottom w:val="nil"/>
              <w:right w:val="single" w:sz="4" w:space="0" w:color="auto"/>
            </w:tcBorders>
            <w:shd w:val="clear" w:color="auto" w:fill="auto"/>
            <w:noWrap/>
            <w:vAlign w:val="bottom"/>
            <w:hideMark/>
          </w:tcPr>
          <w:p w14:paraId="3AAC357D"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8</w:t>
            </w:r>
          </w:p>
        </w:tc>
        <w:tc>
          <w:tcPr>
            <w:tcW w:w="695" w:type="dxa"/>
            <w:tcBorders>
              <w:top w:val="nil"/>
              <w:left w:val="single" w:sz="4" w:space="0" w:color="auto"/>
              <w:bottom w:val="nil"/>
              <w:right w:val="nil"/>
            </w:tcBorders>
            <w:shd w:val="clear" w:color="auto" w:fill="auto"/>
            <w:noWrap/>
            <w:vAlign w:val="bottom"/>
            <w:hideMark/>
          </w:tcPr>
          <w:p w14:paraId="7B8CC251"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w:t>
            </w:r>
          </w:p>
        </w:tc>
        <w:tc>
          <w:tcPr>
            <w:tcW w:w="772" w:type="dxa"/>
            <w:tcBorders>
              <w:top w:val="nil"/>
              <w:left w:val="nil"/>
              <w:bottom w:val="nil"/>
              <w:right w:val="single" w:sz="4" w:space="0" w:color="auto"/>
            </w:tcBorders>
            <w:shd w:val="clear" w:color="auto" w:fill="auto"/>
            <w:noWrap/>
            <w:vAlign w:val="bottom"/>
            <w:hideMark/>
          </w:tcPr>
          <w:p w14:paraId="62078952"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w:t>
            </w:r>
          </w:p>
        </w:tc>
        <w:tc>
          <w:tcPr>
            <w:tcW w:w="794" w:type="dxa"/>
            <w:tcBorders>
              <w:top w:val="nil"/>
              <w:left w:val="single" w:sz="4" w:space="0" w:color="auto"/>
              <w:bottom w:val="nil"/>
              <w:right w:val="nil"/>
            </w:tcBorders>
            <w:shd w:val="clear" w:color="auto" w:fill="auto"/>
            <w:noWrap/>
            <w:vAlign w:val="bottom"/>
            <w:hideMark/>
          </w:tcPr>
          <w:p w14:paraId="562BFE35"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8</w:t>
            </w:r>
          </w:p>
        </w:tc>
        <w:tc>
          <w:tcPr>
            <w:tcW w:w="772" w:type="dxa"/>
            <w:tcBorders>
              <w:top w:val="nil"/>
              <w:left w:val="nil"/>
              <w:bottom w:val="nil"/>
              <w:right w:val="single" w:sz="4" w:space="0" w:color="auto"/>
            </w:tcBorders>
            <w:shd w:val="clear" w:color="auto" w:fill="auto"/>
            <w:noWrap/>
            <w:vAlign w:val="bottom"/>
            <w:hideMark/>
          </w:tcPr>
          <w:p w14:paraId="70C414E9"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15</w:t>
            </w:r>
          </w:p>
        </w:tc>
        <w:tc>
          <w:tcPr>
            <w:tcW w:w="794" w:type="dxa"/>
            <w:tcBorders>
              <w:top w:val="nil"/>
              <w:left w:val="single" w:sz="4" w:space="0" w:color="auto"/>
              <w:bottom w:val="nil"/>
              <w:right w:val="nil"/>
            </w:tcBorders>
            <w:shd w:val="clear" w:color="auto" w:fill="auto"/>
            <w:noWrap/>
            <w:vAlign w:val="bottom"/>
            <w:hideMark/>
          </w:tcPr>
          <w:p w14:paraId="2D6330CC"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w:t>
            </w:r>
          </w:p>
        </w:tc>
        <w:tc>
          <w:tcPr>
            <w:tcW w:w="772" w:type="dxa"/>
            <w:tcBorders>
              <w:top w:val="nil"/>
              <w:left w:val="nil"/>
              <w:bottom w:val="nil"/>
              <w:right w:val="single" w:sz="4" w:space="0" w:color="auto"/>
            </w:tcBorders>
            <w:shd w:val="clear" w:color="auto" w:fill="auto"/>
            <w:noWrap/>
            <w:vAlign w:val="bottom"/>
            <w:hideMark/>
          </w:tcPr>
          <w:p w14:paraId="5153C937"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12</w:t>
            </w:r>
          </w:p>
        </w:tc>
        <w:tc>
          <w:tcPr>
            <w:tcW w:w="706" w:type="dxa"/>
            <w:tcBorders>
              <w:top w:val="nil"/>
              <w:left w:val="single" w:sz="4" w:space="0" w:color="auto"/>
              <w:bottom w:val="nil"/>
              <w:right w:val="nil"/>
            </w:tcBorders>
            <w:shd w:val="clear" w:color="auto" w:fill="auto"/>
            <w:noWrap/>
            <w:vAlign w:val="bottom"/>
            <w:hideMark/>
          </w:tcPr>
          <w:p w14:paraId="165B2B49"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8</w:t>
            </w:r>
          </w:p>
        </w:tc>
        <w:tc>
          <w:tcPr>
            <w:tcW w:w="772" w:type="dxa"/>
            <w:tcBorders>
              <w:top w:val="nil"/>
              <w:left w:val="nil"/>
              <w:bottom w:val="nil"/>
            </w:tcBorders>
            <w:shd w:val="clear" w:color="auto" w:fill="auto"/>
            <w:noWrap/>
            <w:vAlign w:val="bottom"/>
            <w:hideMark/>
          </w:tcPr>
          <w:p w14:paraId="42983D00"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15</w:t>
            </w:r>
          </w:p>
        </w:tc>
      </w:tr>
      <w:tr w:rsidR="00367DB9" w:rsidRPr="00056BD0" w14:paraId="12769113" w14:textId="77777777" w:rsidTr="000C4CD0">
        <w:trPr>
          <w:gridAfter w:val="1"/>
          <w:wAfter w:w="92" w:type="dxa"/>
          <w:trHeight w:val="255"/>
        </w:trPr>
        <w:tc>
          <w:tcPr>
            <w:tcW w:w="1134" w:type="dxa"/>
            <w:tcBorders>
              <w:top w:val="nil"/>
              <w:left w:val="nil"/>
              <w:bottom w:val="nil"/>
            </w:tcBorders>
            <w:shd w:val="clear" w:color="auto" w:fill="auto"/>
            <w:noWrap/>
            <w:vAlign w:val="bottom"/>
            <w:hideMark/>
          </w:tcPr>
          <w:p w14:paraId="0A1752D7"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w:t>
            </w:r>
          </w:p>
        </w:tc>
        <w:tc>
          <w:tcPr>
            <w:tcW w:w="559" w:type="dxa"/>
            <w:tcBorders>
              <w:top w:val="nil"/>
              <w:bottom w:val="nil"/>
              <w:right w:val="single" w:sz="4" w:space="0" w:color="auto"/>
            </w:tcBorders>
            <w:shd w:val="clear" w:color="auto" w:fill="auto"/>
            <w:noWrap/>
            <w:vAlign w:val="bottom"/>
            <w:hideMark/>
          </w:tcPr>
          <w:p w14:paraId="3BD1B25C"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86</w:t>
            </w:r>
          </w:p>
        </w:tc>
        <w:tc>
          <w:tcPr>
            <w:tcW w:w="695" w:type="dxa"/>
            <w:tcBorders>
              <w:top w:val="nil"/>
              <w:left w:val="single" w:sz="4" w:space="0" w:color="auto"/>
              <w:bottom w:val="nil"/>
              <w:right w:val="nil"/>
            </w:tcBorders>
            <w:shd w:val="clear" w:color="auto" w:fill="auto"/>
            <w:noWrap/>
            <w:vAlign w:val="bottom"/>
            <w:hideMark/>
          </w:tcPr>
          <w:p w14:paraId="76B44C5C"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w:t>
            </w:r>
          </w:p>
        </w:tc>
        <w:tc>
          <w:tcPr>
            <w:tcW w:w="772" w:type="dxa"/>
            <w:tcBorders>
              <w:top w:val="nil"/>
              <w:left w:val="nil"/>
              <w:bottom w:val="nil"/>
              <w:right w:val="single" w:sz="4" w:space="0" w:color="auto"/>
            </w:tcBorders>
            <w:shd w:val="clear" w:color="auto" w:fill="auto"/>
            <w:noWrap/>
            <w:vAlign w:val="bottom"/>
            <w:hideMark/>
          </w:tcPr>
          <w:p w14:paraId="7DE2568F"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8</w:t>
            </w:r>
          </w:p>
        </w:tc>
        <w:tc>
          <w:tcPr>
            <w:tcW w:w="695" w:type="dxa"/>
            <w:tcBorders>
              <w:top w:val="nil"/>
              <w:left w:val="single" w:sz="4" w:space="0" w:color="auto"/>
              <w:bottom w:val="nil"/>
              <w:right w:val="nil"/>
            </w:tcBorders>
            <w:shd w:val="clear" w:color="auto" w:fill="auto"/>
            <w:noWrap/>
            <w:vAlign w:val="bottom"/>
            <w:hideMark/>
          </w:tcPr>
          <w:p w14:paraId="6F1FB6F0"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6</w:t>
            </w:r>
          </w:p>
        </w:tc>
        <w:tc>
          <w:tcPr>
            <w:tcW w:w="772" w:type="dxa"/>
            <w:tcBorders>
              <w:top w:val="nil"/>
              <w:left w:val="nil"/>
              <w:bottom w:val="nil"/>
              <w:right w:val="single" w:sz="4" w:space="0" w:color="auto"/>
            </w:tcBorders>
            <w:shd w:val="clear" w:color="auto" w:fill="auto"/>
            <w:noWrap/>
            <w:vAlign w:val="bottom"/>
            <w:hideMark/>
          </w:tcPr>
          <w:p w14:paraId="2EBA134B"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6</w:t>
            </w:r>
          </w:p>
        </w:tc>
        <w:tc>
          <w:tcPr>
            <w:tcW w:w="794" w:type="dxa"/>
            <w:tcBorders>
              <w:top w:val="nil"/>
              <w:left w:val="single" w:sz="4" w:space="0" w:color="auto"/>
              <w:bottom w:val="nil"/>
              <w:right w:val="nil"/>
            </w:tcBorders>
            <w:shd w:val="clear" w:color="auto" w:fill="auto"/>
            <w:noWrap/>
            <w:vAlign w:val="bottom"/>
            <w:hideMark/>
          </w:tcPr>
          <w:p w14:paraId="3382F2B2"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6</w:t>
            </w:r>
          </w:p>
        </w:tc>
        <w:tc>
          <w:tcPr>
            <w:tcW w:w="772" w:type="dxa"/>
            <w:tcBorders>
              <w:top w:val="nil"/>
              <w:left w:val="nil"/>
              <w:bottom w:val="nil"/>
              <w:right w:val="single" w:sz="4" w:space="0" w:color="auto"/>
            </w:tcBorders>
            <w:shd w:val="clear" w:color="auto" w:fill="auto"/>
            <w:noWrap/>
            <w:vAlign w:val="bottom"/>
            <w:hideMark/>
          </w:tcPr>
          <w:p w14:paraId="41A57752"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w:t>
            </w:r>
          </w:p>
        </w:tc>
        <w:tc>
          <w:tcPr>
            <w:tcW w:w="695" w:type="dxa"/>
            <w:tcBorders>
              <w:top w:val="nil"/>
              <w:left w:val="single" w:sz="4" w:space="0" w:color="auto"/>
              <w:bottom w:val="nil"/>
              <w:right w:val="nil"/>
            </w:tcBorders>
            <w:shd w:val="clear" w:color="auto" w:fill="auto"/>
            <w:noWrap/>
            <w:vAlign w:val="bottom"/>
            <w:hideMark/>
          </w:tcPr>
          <w:p w14:paraId="03DF6AC5"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10</w:t>
            </w:r>
          </w:p>
        </w:tc>
        <w:tc>
          <w:tcPr>
            <w:tcW w:w="772" w:type="dxa"/>
            <w:tcBorders>
              <w:top w:val="nil"/>
              <w:left w:val="nil"/>
              <w:bottom w:val="nil"/>
              <w:right w:val="single" w:sz="4" w:space="0" w:color="auto"/>
            </w:tcBorders>
            <w:shd w:val="clear" w:color="auto" w:fill="auto"/>
            <w:noWrap/>
            <w:vAlign w:val="bottom"/>
            <w:hideMark/>
          </w:tcPr>
          <w:p w14:paraId="2D0FC336"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12</w:t>
            </w:r>
          </w:p>
        </w:tc>
        <w:tc>
          <w:tcPr>
            <w:tcW w:w="695" w:type="dxa"/>
            <w:tcBorders>
              <w:top w:val="nil"/>
              <w:left w:val="single" w:sz="4" w:space="0" w:color="auto"/>
              <w:bottom w:val="nil"/>
              <w:right w:val="nil"/>
            </w:tcBorders>
            <w:shd w:val="clear" w:color="auto" w:fill="auto"/>
            <w:noWrap/>
            <w:vAlign w:val="bottom"/>
            <w:hideMark/>
          </w:tcPr>
          <w:p w14:paraId="50C0B892"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7</w:t>
            </w:r>
          </w:p>
        </w:tc>
        <w:tc>
          <w:tcPr>
            <w:tcW w:w="772" w:type="dxa"/>
            <w:tcBorders>
              <w:top w:val="nil"/>
              <w:left w:val="nil"/>
              <w:bottom w:val="nil"/>
              <w:right w:val="single" w:sz="4" w:space="0" w:color="auto"/>
            </w:tcBorders>
            <w:shd w:val="clear" w:color="auto" w:fill="auto"/>
            <w:noWrap/>
            <w:vAlign w:val="bottom"/>
            <w:hideMark/>
          </w:tcPr>
          <w:p w14:paraId="0C759D99"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10</w:t>
            </w:r>
          </w:p>
        </w:tc>
        <w:tc>
          <w:tcPr>
            <w:tcW w:w="794" w:type="dxa"/>
            <w:tcBorders>
              <w:top w:val="nil"/>
              <w:left w:val="single" w:sz="4" w:space="0" w:color="auto"/>
              <w:bottom w:val="nil"/>
              <w:right w:val="nil"/>
            </w:tcBorders>
            <w:shd w:val="clear" w:color="auto" w:fill="auto"/>
            <w:noWrap/>
            <w:vAlign w:val="bottom"/>
            <w:hideMark/>
          </w:tcPr>
          <w:p w14:paraId="172BA0EB"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6</w:t>
            </w:r>
          </w:p>
        </w:tc>
        <w:tc>
          <w:tcPr>
            <w:tcW w:w="772" w:type="dxa"/>
            <w:tcBorders>
              <w:top w:val="nil"/>
              <w:left w:val="nil"/>
              <w:bottom w:val="nil"/>
              <w:right w:val="single" w:sz="4" w:space="0" w:color="auto"/>
            </w:tcBorders>
            <w:shd w:val="clear" w:color="auto" w:fill="auto"/>
            <w:noWrap/>
            <w:vAlign w:val="bottom"/>
            <w:hideMark/>
          </w:tcPr>
          <w:p w14:paraId="7FC922E5"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8</w:t>
            </w:r>
          </w:p>
        </w:tc>
        <w:tc>
          <w:tcPr>
            <w:tcW w:w="794" w:type="dxa"/>
            <w:tcBorders>
              <w:top w:val="nil"/>
              <w:left w:val="single" w:sz="4" w:space="0" w:color="auto"/>
              <w:bottom w:val="nil"/>
              <w:right w:val="nil"/>
            </w:tcBorders>
            <w:shd w:val="clear" w:color="auto" w:fill="auto"/>
            <w:noWrap/>
            <w:vAlign w:val="bottom"/>
            <w:hideMark/>
          </w:tcPr>
          <w:p w14:paraId="624CAEFD"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w:t>
            </w:r>
          </w:p>
        </w:tc>
        <w:tc>
          <w:tcPr>
            <w:tcW w:w="772" w:type="dxa"/>
            <w:tcBorders>
              <w:top w:val="nil"/>
              <w:left w:val="nil"/>
              <w:bottom w:val="nil"/>
              <w:right w:val="single" w:sz="4" w:space="0" w:color="auto"/>
            </w:tcBorders>
            <w:shd w:val="clear" w:color="auto" w:fill="auto"/>
            <w:noWrap/>
            <w:vAlign w:val="bottom"/>
            <w:hideMark/>
          </w:tcPr>
          <w:p w14:paraId="32E20D3B"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w:t>
            </w:r>
          </w:p>
        </w:tc>
        <w:tc>
          <w:tcPr>
            <w:tcW w:w="706" w:type="dxa"/>
            <w:tcBorders>
              <w:top w:val="nil"/>
              <w:left w:val="single" w:sz="4" w:space="0" w:color="auto"/>
              <w:bottom w:val="nil"/>
              <w:right w:val="nil"/>
            </w:tcBorders>
            <w:shd w:val="clear" w:color="auto" w:fill="auto"/>
            <w:noWrap/>
            <w:vAlign w:val="bottom"/>
            <w:hideMark/>
          </w:tcPr>
          <w:p w14:paraId="25226ACD"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6</w:t>
            </w:r>
          </w:p>
        </w:tc>
        <w:tc>
          <w:tcPr>
            <w:tcW w:w="772" w:type="dxa"/>
            <w:tcBorders>
              <w:top w:val="nil"/>
              <w:left w:val="nil"/>
              <w:bottom w:val="nil"/>
            </w:tcBorders>
            <w:shd w:val="clear" w:color="auto" w:fill="auto"/>
            <w:noWrap/>
            <w:vAlign w:val="bottom"/>
            <w:hideMark/>
          </w:tcPr>
          <w:p w14:paraId="3467F033"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6</w:t>
            </w:r>
          </w:p>
        </w:tc>
      </w:tr>
      <w:tr w:rsidR="00367DB9" w:rsidRPr="00056BD0" w14:paraId="7AAEE083" w14:textId="77777777" w:rsidTr="000C4CD0">
        <w:trPr>
          <w:gridAfter w:val="1"/>
          <w:wAfter w:w="92" w:type="dxa"/>
          <w:trHeight w:val="255"/>
        </w:trPr>
        <w:tc>
          <w:tcPr>
            <w:tcW w:w="1134" w:type="dxa"/>
            <w:tcBorders>
              <w:top w:val="nil"/>
              <w:left w:val="nil"/>
              <w:bottom w:val="nil"/>
            </w:tcBorders>
            <w:shd w:val="clear" w:color="auto" w:fill="auto"/>
            <w:noWrap/>
            <w:vAlign w:val="bottom"/>
            <w:hideMark/>
          </w:tcPr>
          <w:p w14:paraId="69A83062"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6</w:t>
            </w:r>
          </w:p>
        </w:tc>
        <w:tc>
          <w:tcPr>
            <w:tcW w:w="559" w:type="dxa"/>
            <w:tcBorders>
              <w:top w:val="nil"/>
              <w:bottom w:val="nil"/>
              <w:right w:val="single" w:sz="4" w:space="0" w:color="auto"/>
            </w:tcBorders>
            <w:shd w:val="clear" w:color="auto" w:fill="auto"/>
            <w:noWrap/>
            <w:vAlign w:val="bottom"/>
            <w:hideMark/>
          </w:tcPr>
          <w:p w14:paraId="74551F6D"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55</w:t>
            </w:r>
          </w:p>
        </w:tc>
        <w:tc>
          <w:tcPr>
            <w:tcW w:w="695" w:type="dxa"/>
            <w:tcBorders>
              <w:top w:val="nil"/>
              <w:left w:val="single" w:sz="4" w:space="0" w:color="auto"/>
              <w:bottom w:val="nil"/>
              <w:right w:val="nil"/>
            </w:tcBorders>
            <w:shd w:val="clear" w:color="auto" w:fill="auto"/>
            <w:noWrap/>
            <w:vAlign w:val="bottom"/>
            <w:hideMark/>
          </w:tcPr>
          <w:p w14:paraId="00A39429"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w:t>
            </w:r>
          </w:p>
        </w:tc>
        <w:tc>
          <w:tcPr>
            <w:tcW w:w="772" w:type="dxa"/>
            <w:tcBorders>
              <w:top w:val="nil"/>
              <w:left w:val="nil"/>
              <w:bottom w:val="nil"/>
              <w:right w:val="single" w:sz="4" w:space="0" w:color="auto"/>
            </w:tcBorders>
            <w:shd w:val="clear" w:color="auto" w:fill="auto"/>
            <w:noWrap/>
            <w:vAlign w:val="bottom"/>
            <w:hideMark/>
          </w:tcPr>
          <w:p w14:paraId="1E778A3D"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6</w:t>
            </w:r>
          </w:p>
        </w:tc>
        <w:tc>
          <w:tcPr>
            <w:tcW w:w="695" w:type="dxa"/>
            <w:tcBorders>
              <w:top w:val="nil"/>
              <w:left w:val="single" w:sz="4" w:space="0" w:color="auto"/>
              <w:bottom w:val="nil"/>
              <w:right w:val="nil"/>
            </w:tcBorders>
            <w:shd w:val="clear" w:color="auto" w:fill="auto"/>
            <w:noWrap/>
            <w:vAlign w:val="bottom"/>
            <w:hideMark/>
          </w:tcPr>
          <w:p w14:paraId="6AFF197B"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8</w:t>
            </w:r>
          </w:p>
        </w:tc>
        <w:tc>
          <w:tcPr>
            <w:tcW w:w="772" w:type="dxa"/>
            <w:tcBorders>
              <w:top w:val="nil"/>
              <w:left w:val="nil"/>
              <w:bottom w:val="nil"/>
              <w:right w:val="single" w:sz="4" w:space="0" w:color="auto"/>
            </w:tcBorders>
            <w:shd w:val="clear" w:color="auto" w:fill="auto"/>
            <w:noWrap/>
            <w:vAlign w:val="bottom"/>
            <w:hideMark/>
          </w:tcPr>
          <w:p w14:paraId="5781686C"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w:t>
            </w:r>
          </w:p>
        </w:tc>
        <w:tc>
          <w:tcPr>
            <w:tcW w:w="794" w:type="dxa"/>
            <w:tcBorders>
              <w:top w:val="nil"/>
              <w:left w:val="single" w:sz="4" w:space="0" w:color="auto"/>
              <w:bottom w:val="nil"/>
              <w:right w:val="nil"/>
            </w:tcBorders>
            <w:shd w:val="clear" w:color="auto" w:fill="auto"/>
            <w:noWrap/>
            <w:vAlign w:val="bottom"/>
            <w:hideMark/>
          </w:tcPr>
          <w:p w14:paraId="1A8FECA6"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w:t>
            </w:r>
          </w:p>
        </w:tc>
        <w:tc>
          <w:tcPr>
            <w:tcW w:w="772" w:type="dxa"/>
            <w:tcBorders>
              <w:top w:val="nil"/>
              <w:left w:val="nil"/>
              <w:bottom w:val="nil"/>
              <w:right w:val="single" w:sz="4" w:space="0" w:color="auto"/>
            </w:tcBorders>
            <w:shd w:val="clear" w:color="auto" w:fill="auto"/>
            <w:noWrap/>
            <w:vAlign w:val="bottom"/>
            <w:hideMark/>
          </w:tcPr>
          <w:p w14:paraId="1E7667FC"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w:t>
            </w:r>
          </w:p>
        </w:tc>
        <w:tc>
          <w:tcPr>
            <w:tcW w:w="695" w:type="dxa"/>
            <w:tcBorders>
              <w:top w:val="nil"/>
              <w:left w:val="single" w:sz="4" w:space="0" w:color="auto"/>
              <w:bottom w:val="nil"/>
              <w:right w:val="nil"/>
            </w:tcBorders>
            <w:shd w:val="clear" w:color="auto" w:fill="auto"/>
            <w:noWrap/>
            <w:vAlign w:val="bottom"/>
            <w:hideMark/>
          </w:tcPr>
          <w:p w14:paraId="3F7FF38E"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7</w:t>
            </w:r>
          </w:p>
        </w:tc>
        <w:tc>
          <w:tcPr>
            <w:tcW w:w="772" w:type="dxa"/>
            <w:tcBorders>
              <w:top w:val="nil"/>
              <w:left w:val="nil"/>
              <w:bottom w:val="nil"/>
              <w:right w:val="single" w:sz="4" w:space="0" w:color="auto"/>
            </w:tcBorders>
            <w:shd w:val="clear" w:color="auto" w:fill="auto"/>
            <w:noWrap/>
            <w:vAlign w:val="bottom"/>
            <w:hideMark/>
          </w:tcPr>
          <w:p w14:paraId="2AAF7397"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7</w:t>
            </w:r>
          </w:p>
        </w:tc>
        <w:tc>
          <w:tcPr>
            <w:tcW w:w="695" w:type="dxa"/>
            <w:tcBorders>
              <w:top w:val="nil"/>
              <w:left w:val="single" w:sz="4" w:space="0" w:color="auto"/>
              <w:bottom w:val="nil"/>
              <w:right w:val="nil"/>
            </w:tcBorders>
            <w:shd w:val="clear" w:color="auto" w:fill="auto"/>
            <w:noWrap/>
            <w:vAlign w:val="bottom"/>
            <w:hideMark/>
          </w:tcPr>
          <w:p w14:paraId="27F23C00"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19</w:t>
            </w:r>
          </w:p>
        </w:tc>
        <w:tc>
          <w:tcPr>
            <w:tcW w:w="772" w:type="dxa"/>
            <w:tcBorders>
              <w:top w:val="nil"/>
              <w:left w:val="nil"/>
              <w:bottom w:val="nil"/>
              <w:right w:val="single" w:sz="4" w:space="0" w:color="auto"/>
            </w:tcBorders>
            <w:shd w:val="clear" w:color="auto" w:fill="auto"/>
            <w:noWrap/>
            <w:vAlign w:val="bottom"/>
            <w:hideMark/>
          </w:tcPr>
          <w:p w14:paraId="12F4A52B"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20</w:t>
            </w:r>
          </w:p>
        </w:tc>
        <w:tc>
          <w:tcPr>
            <w:tcW w:w="794" w:type="dxa"/>
            <w:tcBorders>
              <w:top w:val="nil"/>
              <w:left w:val="single" w:sz="4" w:space="0" w:color="auto"/>
              <w:bottom w:val="nil"/>
              <w:right w:val="nil"/>
            </w:tcBorders>
            <w:shd w:val="clear" w:color="auto" w:fill="auto"/>
            <w:noWrap/>
            <w:vAlign w:val="bottom"/>
            <w:hideMark/>
          </w:tcPr>
          <w:p w14:paraId="4E711BF1"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w:t>
            </w:r>
          </w:p>
        </w:tc>
        <w:tc>
          <w:tcPr>
            <w:tcW w:w="772" w:type="dxa"/>
            <w:tcBorders>
              <w:top w:val="nil"/>
              <w:left w:val="nil"/>
              <w:bottom w:val="nil"/>
              <w:right w:val="single" w:sz="4" w:space="0" w:color="auto"/>
            </w:tcBorders>
            <w:shd w:val="clear" w:color="auto" w:fill="auto"/>
            <w:noWrap/>
            <w:vAlign w:val="bottom"/>
            <w:hideMark/>
          </w:tcPr>
          <w:p w14:paraId="6449C4AA"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w:t>
            </w:r>
          </w:p>
        </w:tc>
        <w:tc>
          <w:tcPr>
            <w:tcW w:w="794" w:type="dxa"/>
            <w:tcBorders>
              <w:top w:val="nil"/>
              <w:left w:val="single" w:sz="4" w:space="0" w:color="auto"/>
              <w:bottom w:val="nil"/>
              <w:right w:val="nil"/>
            </w:tcBorders>
            <w:shd w:val="clear" w:color="auto" w:fill="auto"/>
            <w:noWrap/>
            <w:vAlign w:val="bottom"/>
            <w:hideMark/>
          </w:tcPr>
          <w:p w14:paraId="7D0A9EF9"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6</w:t>
            </w:r>
          </w:p>
        </w:tc>
        <w:tc>
          <w:tcPr>
            <w:tcW w:w="772" w:type="dxa"/>
            <w:tcBorders>
              <w:top w:val="nil"/>
              <w:left w:val="nil"/>
              <w:bottom w:val="nil"/>
              <w:right w:val="single" w:sz="4" w:space="0" w:color="auto"/>
            </w:tcBorders>
            <w:shd w:val="clear" w:color="auto" w:fill="auto"/>
            <w:noWrap/>
            <w:vAlign w:val="bottom"/>
            <w:hideMark/>
          </w:tcPr>
          <w:p w14:paraId="1B81A1E8"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7</w:t>
            </w:r>
          </w:p>
        </w:tc>
        <w:tc>
          <w:tcPr>
            <w:tcW w:w="706" w:type="dxa"/>
            <w:tcBorders>
              <w:top w:val="nil"/>
              <w:left w:val="single" w:sz="4" w:space="0" w:color="auto"/>
              <w:bottom w:val="nil"/>
              <w:right w:val="nil"/>
            </w:tcBorders>
            <w:shd w:val="clear" w:color="auto" w:fill="auto"/>
            <w:noWrap/>
            <w:vAlign w:val="bottom"/>
            <w:hideMark/>
          </w:tcPr>
          <w:p w14:paraId="572D070A"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15</w:t>
            </w:r>
          </w:p>
        </w:tc>
        <w:tc>
          <w:tcPr>
            <w:tcW w:w="772" w:type="dxa"/>
            <w:tcBorders>
              <w:top w:val="nil"/>
              <w:left w:val="nil"/>
              <w:bottom w:val="nil"/>
            </w:tcBorders>
            <w:shd w:val="clear" w:color="auto" w:fill="auto"/>
            <w:noWrap/>
            <w:vAlign w:val="bottom"/>
            <w:hideMark/>
          </w:tcPr>
          <w:p w14:paraId="7573E897"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16</w:t>
            </w:r>
          </w:p>
        </w:tc>
      </w:tr>
      <w:tr w:rsidR="00367DB9" w:rsidRPr="00056BD0" w14:paraId="0CE5D609" w14:textId="77777777" w:rsidTr="000C4CD0">
        <w:trPr>
          <w:gridAfter w:val="1"/>
          <w:wAfter w:w="92" w:type="dxa"/>
          <w:trHeight w:val="255"/>
        </w:trPr>
        <w:tc>
          <w:tcPr>
            <w:tcW w:w="1134" w:type="dxa"/>
            <w:tcBorders>
              <w:top w:val="nil"/>
              <w:left w:val="nil"/>
              <w:bottom w:val="nil"/>
            </w:tcBorders>
            <w:shd w:val="clear" w:color="auto" w:fill="auto"/>
            <w:noWrap/>
            <w:vAlign w:val="bottom"/>
            <w:hideMark/>
          </w:tcPr>
          <w:p w14:paraId="21E804F1"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7</w:t>
            </w:r>
          </w:p>
        </w:tc>
        <w:tc>
          <w:tcPr>
            <w:tcW w:w="559" w:type="dxa"/>
            <w:tcBorders>
              <w:top w:val="nil"/>
              <w:bottom w:val="nil"/>
              <w:right w:val="single" w:sz="4" w:space="0" w:color="auto"/>
            </w:tcBorders>
            <w:shd w:val="clear" w:color="auto" w:fill="auto"/>
            <w:noWrap/>
            <w:vAlign w:val="bottom"/>
            <w:hideMark/>
          </w:tcPr>
          <w:p w14:paraId="5D12550F"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66</w:t>
            </w:r>
          </w:p>
        </w:tc>
        <w:tc>
          <w:tcPr>
            <w:tcW w:w="695" w:type="dxa"/>
            <w:tcBorders>
              <w:top w:val="nil"/>
              <w:left w:val="single" w:sz="4" w:space="0" w:color="auto"/>
              <w:bottom w:val="nil"/>
              <w:right w:val="nil"/>
            </w:tcBorders>
            <w:shd w:val="clear" w:color="auto" w:fill="auto"/>
            <w:noWrap/>
            <w:vAlign w:val="bottom"/>
            <w:hideMark/>
          </w:tcPr>
          <w:p w14:paraId="2356138B"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6</w:t>
            </w:r>
          </w:p>
        </w:tc>
        <w:tc>
          <w:tcPr>
            <w:tcW w:w="772" w:type="dxa"/>
            <w:tcBorders>
              <w:top w:val="nil"/>
              <w:left w:val="nil"/>
              <w:bottom w:val="nil"/>
              <w:right w:val="single" w:sz="4" w:space="0" w:color="auto"/>
            </w:tcBorders>
            <w:shd w:val="clear" w:color="auto" w:fill="auto"/>
            <w:noWrap/>
            <w:vAlign w:val="bottom"/>
            <w:hideMark/>
          </w:tcPr>
          <w:p w14:paraId="38386EF9"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10</w:t>
            </w:r>
          </w:p>
        </w:tc>
        <w:tc>
          <w:tcPr>
            <w:tcW w:w="695" w:type="dxa"/>
            <w:tcBorders>
              <w:top w:val="nil"/>
              <w:left w:val="single" w:sz="4" w:space="0" w:color="auto"/>
              <w:bottom w:val="nil"/>
              <w:right w:val="nil"/>
            </w:tcBorders>
            <w:shd w:val="clear" w:color="auto" w:fill="auto"/>
            <w:noWrap/>
            <w:vAlign w:val="bottom"/>
            <w:hideMark/>
          </w:tcPr>
          <w:p w14:paraId="68061820"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w:t>
            </w:r>
          </w:p>
        </w:tc>
        <w:tc>
          <w:tcPr>
            <w:tcW w:w="772" w:type="dxa"/>
            <w:tcBorders>
              <w:top w:val="nil"/>
              <w:left w:val="nil"/>
              <w:bottom w:val="nil"/>
              <w:right w:val="single" w:sz="4" w:space="0" w:color="auto"/>
            </w:tcBorders>
            <w:shd w:val="clear" w:color="auto" w:fill="auto"/>
            <w:noWrap/>
            <w:vAlign w:val="bottom"/>
            <w:hideMark/>
          </w:tcPr>
          <w:p w14:paraId="4CD88361"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w:t>
            </w:r>
          </w:p>
        </w:tc>
        <w:tc>
          <w:tcPr>
            <w:tcW w:w="794" w:type="dxa"/>
            <w:tcBorders>
              <w:top w:val="nil"/>
              <w:left w:val="single" w:sz="4" w:space="0" w:color="auto"/>
              <w:bottom w:val="nil"/>
              <w:right w:val="nil"/>
            </w:tcBorders>
            <w:shd w:val="clear" w:color="auto" w:fill="auto"/>
            <w:noWrap/>
            <w:vAlign w:val="bottom"/>
            <w:hideMark/>
          </w:tcPr>
          <w:p w14:paraId="2934EE77"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13</w:t>
            </w:r>
          </w:p>
        </w:tc>
        <w:tc>
          <w:tcPr>
            <w:tcW w:w="772" w:type="dxa"/>
            <w:tcBorders>
              <w:top w:val="nil"/>
              <w:left w:val="nil"/>
              <w:bottom w:val="nil"/>
              <w:right w:val="single" w:sz="4" w:space="0" w:color="auto"/>
            </w:tcBorders>
            <w:shd w:val="clear" w:color="auto" w:fill="auto"/>
            <w:noWrap/>
            <w:vAlign w:val="bottom"/>
            <w:hideMark/>
          </w:tcPr>
          <w:p w14:paraId="6EAD16FB"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13</w:t>
            </w:r>
          </w:p>
        </w:tc>
        <w:tc>
          <w:tcPr>
            <w:tcW w:w="695" w:type="dxa"/>
            <w:tcBorders>
              <w:top w:val="nil"/>
              <w:left w:val="single" w:sz="4" w:space="0" w:color="auto"/>
              <w:bottom w:val="nil"/>
              <w:right w:val="nil"/>
            </w:tcBorders>
            <w:shd w:val="clear" w:color="auto" w:fill="auto"/>
            <w:noWrap/>
            <w:vAlign w:val="bottom"/>
            <w:hideMark/>
          </w:tcPr>
          <w:p w14:paraId="01578D87"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12</w:t>
            </w:r>
          </w:p>
        </w:tc>
        <w:tc>
          <w:tcPr>
            <w:tcW w:w="772" w:type="dxa"/>
            <w:tcBorders>
              <w:top w:val="nil"/>
              <w:left w:val="nil"/>
              <w:bottom w:val="nil"/>
              <w:right w:val="single" w:sz="4" w:space="0" w:color="auto"/>
            </w:tcBorders>
            <w:shd w:val="clear" w:color="auto" w:fill="auto"/>
            <w:noWrap/>
            <w:vAlign w:val="bottom"/>
            <w:hideMark/>
          </w:tcPr>
          <w:p w14:paraId="16DD2EB7"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13</w:t>
            </w:r>
          </w:p>
        </w:tc>
        <w:tc>
          <w:tcPr>
            <w:tcW w:w="695" w:type="dxa"/>
            <w:tcBorders>
              <w:top w:val="nil"/>
              <w:left w:val="single" w:sz="4" w:space="0" w:color="auto"/>
              <w:bottom w:val="nil"/>
              <w:right w:val="nil"/>
            </w:tcBorders>
            <w:shd w:val="clear" w:color="auto" w:fill="auto"/>
            <w:noWrap/>
            <w:vAlign w:val="bottom"/>
            <w:hideMark/>
          </w:tcPr>
          <w:p w14:paraId="3E55DE93"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w:t>
            </w:r>
          </w:p>
        </w:tc>
        <w:tc>
          <w:tcPr>
            <w:tcW w:w="772" w:type="dxa"/>
            <w:tcBorders>
              <w:top w:val="nil"/>
              <w:left w:val="nil"/>
              <w:bottom w:val="nil"/>
              <w:right w:val="single" w:sz="4" w:space="0" w:color="auto"/>
            </w:tcBorders>
            <w:shd w:val="clear" w:color="auto" w:fill="auto"/>
            <w:noWrap/>
            <w:vAlign w:val="bottom"/>
            <w:hideMark/>
          </w:tcPr>
          <w:p w14:paraId="7F48864D"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13</w:t>
            </w:r>
          </w:p>
        </w:tc>
        <w:tc>
          <w:tcPr>
            <w:tcW w:w="794" w:type="dxa"/>
            <w:tcBorders>
              <w:top w:val="nil"/>
              <w:left w:val="single" w:sz="4" w:space="0" w:color="auto"/>
              <w:bottom w:val="nil"/>
              <w:right w:val="nil"/>
            </w:tcBorders>
            <w:shd w:val="clear" w:color="auto" w:fill="auto"/>
            <w:noWrap/>
            <w:vAlign w:val="bottom"/>
            <w:hideMark/>
          </w:tcPr>
          <w:p w14:paraId="1C5538DA"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w:t>
            </w:r>
          </w:p>
        </w:tc>
        <w:tc>
          <w:tcPr>
            <w:tcW w:w="772" w:type="dxa"/>
            <w:tcBorders>
              <w:top w:val="nil"/>
              <w:left w:val="nil"/>
              <w:bottom w:val="nil"/>
              <w:right w:val="single" w:sz="4" w:space="0" w:color="auto"/>
            </w:tcBorders>
            <w:shd w:val="clear" w:color="auto" w:fill="auto"/>
            <w:noWrap/>
            <w:vAlign w:val="bottom"/>
            <w:hideMark/>
          </w:tcPr>
          <w:p w14:paraId="0C72C6DC"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6</w:t>
            </w:r>
          </w:p>
        </w:tc>
        <w:tc>
          <w:tcPr>
            <w:tcW w:w="794" w:type="dxa"/>
            <w:tcBorders>
              <w:top w:val="nil"/>
              <w:left w:val="single" w:sz="4" w:space="0" w:color="auto"/>
              <w:bottom w:val="nil"/>
              <w:right w:val="nil"/>
            </w:tcBorders>
            <w:shd w:val="clear" w:color="auto" w:fill="auto"/>
            <w:noWrap/>
            <w:vAlign w:val="bottom"/>
            <w:hideMark/>
          </w:tcPr>
          <w:p w14:paraId="2A439A39"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7</w:t>
            </w:r>
          </w:p>
        </w:tc>
        <w:tc>
          <w:tcPr>
            <w:tcW w:w="772" w:type="dxa"/>
            <w:tcBorders>
              <w:top w:val="nil"/>
              <w:left w:val="nil"/>
              <w:bottom w:val="nil"/>
              <w:right w:val="single" w:sz="4" w:space="0" w:color="auto"/>
            </w:tcBorders>
            <w:shd w:val="clear" w:color="auto" w:fill="auto"/>
            <w:noWrap/>
            <w:vAlign w:val="bottom"/>
            <w:hideMark/>
          </w:tcPr>
          <w:p w14:paraId="7E804E4D"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11</w:t>
            </w:r>
          </w:p>
        </w:tc>
        <w:tc>
          <w:tcPr>
            <w:tcW w:w="706" w:type="dxa"/>
            <w:tcBorders>
              <w:top w:val="nil"/>
              <w:left w:val="single" w:sz="4" w:space="0" w:color="auto"/>
              <w:bottom w:val="nil"/>
              <w:right w:val="nil"/>
            </w:tcBorders>
            <w:shd w:val="clear" w:color="auto" w:fill="auto"/>
            <w:noWrap/>
            <w:vAlign w:val="bottom"/>
            <w:hideMark/>
          </w:tcPr>
          <w:p w14:paraId="1B48D8C2"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10</w:t>
            </w:r>
          </w:p>
        </w:tc>
        <w:tc>
          <w:tcPr>
            <w:tcW w:w="772" w:type="dxa"/>
            <w:tcBorders>
              <w:top w:val="nil"/>
              <w:left w:val="nil"/>
              <w:bottom w:val="nil"/>
            </w:tcBorders>
            <w:shd w:val="clear" w:color="auto" w:fill="auto"/>
            <w:noWrap/>
            <w:vAlign w:val="bottom"/>
            <w:hideMark/>
          </w:tcPr>
          <w:p w14:paraId="54B05CD2"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10</w:t>
            </w:r>
          </w:p>
        </w:tc>
      </w:tr>
      <w:tr w:rsidR="00367DB9" w:rsidRPr="00056BD0" w14:paraId="40EDC57A" w14:textId="77777777" w:rsidTr="000C4CD0">
        <w:trPr>
          <w:gridAfter w:val="1"/>
          <w:wAfter w:w="92" w:type="dxa"/>
          <w:trHeight w:val="255"/>
        </w:trPr>
        <w:tc>
          <w:tcPr>
            <w:tcW w:w="1134" w:type="dxa"/>
            <w:tcBorders>
              <w:top w:val="nil"/>
              <w:left w:val="nil"/>
              <w:bottom w:val="nil"/>
            </w:tcBorders>
            <w:shd w:val="clear" w:color="auto" w:fill="auto"/>
            <w:noWrap/>
            <w:vAlign w:val="bottom"/>
            <w:hideMark/>
          </w:tcPr>
          <w:p w14:paraId="6850C067"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8</w:t>
            </w:r>
          </w:p>
        </w:tc>
        <w:tc>
          <w:tcPr>
            <w:tcW w:w="559" w:type="dxa"/>
            <w:tcBorders>
              <w:top w:val="nil"/>
              <w:bottom w:val="nil"/>
              <w:right w:val="single" w:sz="4" w:space="0" w:color="auto"/>
            </w:tcBorders>
            <w:shd w:val="clear" w:color="auto" w:fill="auto"/>
            <w:noWrap/>
            <w:vAlign w:val="bottom"/>
            <w:hideMark/>
          </w:tcPr>
          <w:p w14:paraId="7CF224E7"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12</w:t>
            </w:r>
          </w:p>
        </w:tc>
        <w:tc>
          <w:tcPr>
            <w:tcW w:w="695" w:type="dxa"/>
            <w:tcBorders>
              <w:top w:val="nil"/>
              <w:left w:val="single" w:sz="4" w:space="0" w:color="auto"/>
              <w:bottom w:val="nil"/>
              <w:right w:val="nil"/>
            </w:tcBorders>
            <w:shd w:val="clear" w:color="auto" w:fill="auto"/>
            <w:noWrap/>
            <w:vAlign w:val="bottom"/>
            <w:hideMark/>
          </w:tcPr>
          <w:p w14:paraId="707EAAED"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11</w:t>
            </w:r>
          </w:p>
        </w:tc>
        <w:tc>
          <w:tcPr>
            <w:tcW w:w="772" w:type="dxa"/>
            <w:tcBorders>
              <w:top w:val="nil"/>
              <w:left w:val="nil"/>
              <w:bottom w:val="nil"/>
              <w:right w:val="single" w:sz="4" w:space="0" w:color="auto"/>
            </w:tcBorders>
            <w:shd w:val="clear" w:color="auto" w:fill="auto"/>
            <w:noWrap/>
            <w:vAlign w:val="bottom"/>
            <w:hideMark/>
          </w:tcPr>
          <w:p w14:paraId="46702D6C"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11</w:t>
            </w:r>
          </w:p>
        </w:tc>
        <w:tc>
          <w:tcPr>
            <w:tcW w:w="695" w:type="dxa"/>
            <w:tcBorders>
              <w:top w:val="nil"/>
              <w:left w:val="single" w:sz="4" w:space="0" w:color="auto"/>
              <w:bottom w:val="nil"/>
              <w:right w:val="nil"/>
            </w:tcBorders>
            <w:shd w:val="clear" w:color="auto" w:fill="auto"/>
            <w:noWrap/>
            <w:vAlign w:val="bottom"/>
            <w:hideMark/>
          </w:tcPr>
          <w:p w14:paraId="588B74A8"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15</w:t>
            </w:r>
          </w:p>
        </w:tc>
        <w:tc>
          <w:tcPr>
            <w:tcW w:w="772" w:type="dxa"/>
            <w:tcBorders>
              <w:top w:val="nil"/>
              <w:left w:val="nil"/>
              <w:bottom w:val="nil"/>
              <w:right w:val="single" w:sz="4" w:space="0" w:color="auto"/>
            </w:tcBorders>
            <w:shd w:val="clear" w:color="auto" w:fill="auto"/>
            <w:noWrap/>
            <w:vAlign w:val="bottom"/>
            <w:hideMark/>
          </w:tcPr>
          <w:p w14:paraId="79072480"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15</w:t>
            </w:r>
          </w:p>
        </w:tc>
        <w:tc>
          <w:tcPr>
            <w:tcW w:w="794" w:type="dxa"/>
            <w:tcBorders>
              <w:top w:val="nil"/>
              <w:left w:val="single" w:sz="4" w:space="0" w:color="auto"/>
              <w:bottom w:val="nil"/>
              <w:right w:val="nil"/>
            </w:tcBorders>
            <w:shd w:val="clear" w:color="auto" w:fill="auto"/>
            <w:noWrap/>
            <w:vAlign w:val="bottom"/>
            <w:hideMark/>
          </w:tcPr>
          <w:p w14:paraId="221029AE"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7</w:t>
            </w:r>
          </w:p>
        </w:tc>
        <w:tc>
          <w:tcPr>
            <w:tcW w:w="772" w:type="dxa"/>
            <w:tcBorders>
              <w:top w:val="nil"/>
              <w:left w:val="nil"/>
              <w:bottom w:val="nil"/>
              <w:right w:val="single" w:sz="4" w:space="0" w:color="auto"/>
            </w:tcBorders>
            <w:shd w:val="clear" w:color="auto" w:fill="auto"/>
            <w:noWrap/>
            <w:vAlign w:val="bottom"/>
            <w:hideMark/>
          </w:tcPr>
          <w:p w14:paraId="611BB055"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8</w:t>
            </w:r>
          </w:p>
        </w:tc>
        <w:tc>
          <w:tcPr>
            <w:tcW w:w="695" w:type="dxa"/>
            <w:tcBorders>
              <w:top w:val="nil"/>
              <w:left w:val="single" w:sz="4" w:space="0" w:color="auto"/>
              <w:bottom w:val="nil"/>
              <w:right w:val="nil"/>
            </w:tcBorders>
            <w:shd w:val="clear" w:color="auto" w:fill="auto"/>
            <w:noWrap/>
            <w:vAlign w:val="bottom"/>
            <w:hideMark/>
          </w:tcPr>
          <w:p w14:paraId="7E488896"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w:t>
            </w:r>
          </w:p>
        </w:tc>
        <w:tc>
          <w:tcPr>
            <w:tcW w:w="772" w:type="dxa"/>
            <w:tcBorders>
              <w:top w:val="nil"/>
              <w:left w:val="nil"/>
              <w:bottom w:val="nil"/>
              <w:right w:val="single" w:sz="4" w:space="0" w:color="auto"/>
            </w:tcBorders>
            <w:shd w:val="clear" w:color="auto" w:fill="auto"/>
            <w:noWrap/>
            <w:vAlign w:val="bottom"/>
            <w:hideMark/>
          </w:tcPr>
          <w:p w14:paraId="3FACEF48"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w:t>
            </w:r>
          </w:p>
        </w:tc>
        <w:tc>
          <w:tcPr>
            <w:tcW w:w="695" w:type="dxa"/>
            <w:tcBorders>
              <w:top w:val="nil"/>
              <w:left w:val="single" w:sz="4" w:space="0" w:color="auto"/>
              <w:bottom w:val="nil"/>
              <w:right w:val="nil"/>
            </w:tcBorders>
            <w:shd w:val="clear" w:color="auto" w:fill="auto"/>
            <w:noWrap/>
            <w:vAlign w:val="bottom"/>
            <w:hideMark/>
          </w:tcPr>
          <w:p w14:paraId="686482AF"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w:t>
            </w:r>
          </w:p>
        </w:tc>
        <w:tc>
          <w:tcPr>
            <w:tcW w:w="772" w:type="dxa"/>
            <w:tcBorders>
              <w:top w:val="nil"/>
              <w:left w:val="nil"/>
              <w:bottom w:val="nil"/>
              <w:right w:val="single" w:sz="4" w:space="0" w:color="auto"/>
            </w:tcBorders>
            <w:shd w:val="clear" w:color="auto" w:fill="auto"/>
            <w:noWrap/>
            <w:vAlign w:val="bottom"/>
            <w:hideMark/>
          </w:tcPr>
          <w:p w14:paraId="72F65222"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8</w:t>
            </w:r>
          </w:p>
        </w:tc>
        <w:tc>
          <w:tcPr>
            <w:tcW w:w="794" w:type="dxa"/>
            <w:tcBorders>
              <w:top w:val="nil"/>
              <w:left w:val="single" w:sz="4" w:space="0" w:color="auto"/>
              <w:bottom w:val="nil"/>
              <w:right w:val="nil"/>
            </w:tcBorders>
            <w:shd w:val="clear" w:color="auto" w:fill="auto"/>
            <w:noWrap/>
            <w:vAlign w:val="bottom"/>
            <w:hideMark/>
          </w:tcPr>
          <w:p w14:paraId="6EB9C508"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7</w:t>
            </w:r>
          </w:p>
        </w:tc>
        <w:tc>
          <w:tcPr>
            <w:tcW w:w="772" w:type="dxa"/>
            <w:tcBorders>
              <w:top w:val="nil"/>
              <w:left w:val="nil"/>
              <w:bottom w:val="nil"/>
              <w:right w:val="single" w:sz="4" w:space="0" w:color="auto"/>
            </w:tcBorders>
            <w:shd w:val="clear" w:color="auto" w:fill="auto"/>
            <w:noWrap/>
            <w:vAlign w:val="bottom"/>
            <w:hideMark/>
          </w:tcPr>
          <w:p w14:paraId="67C8A649"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7</w:t>
            </w:r>
          </w:p>
        </w:tc>
        <w:tc>
          <w:tcPr>
            <w:tcW w:w="794" w:type="dxa"/>
            <w:tcBorders>
              <w:top w:val="nil"/>
              <w:left w:val="single" w:sz="4" w:space="0" w:color="auto"/>
              <w:bottom w:val="nil"/>
              <w:right w:val="nil"/>
            </w:tcBorders>
            <w:shd w:val="clear" w:color="auto" w:fill="auto"/>
            <w:noWrap/>
            <w:vAlign w:val="bottom"/>
            <w:hideMark/>
          </w:tcPr>
          <w:p w14:paraId="17A02B65"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8</w:t>
            </w:r>
          </w:p>
        </w:tc>
        <w:tc>
          <w:tcPr>
            <w:tcW w:w="772" w:type="dxa"/>
            <w:tcBorders>
              <w:top w:val="nil"/>
              <w:left w:val="nil"/>
              <w:bottom w:val="nil"/>
              <w:right w:val="single" w:sz="4" w:space="0" w:color="auto"/>
            </w:tcBorders>
            <w:shd w:val="clear" w:color="auto" w:fill="auto"/>
            <w:noWrap/>
            <w:vAlign w:val="bottom"/>
            <w:hideMark/>
          </w:tcPr>
          <w:p w14:paraId="76AD723E"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10</w:t>
            </w:r>
          </w:p>
        </w:tc>
        <w:tc>
          <w:tcPr>
            <w:tcW w:w="706" w:type="dxa"/>
            <w:tcBorders>
              <w:top w:val="nil"/>
              <w:left w:val="single" w:sz="4" w:space="0" w:color="auto"/>
              <w:bottom w:val="nil"/>
              <w:right w:val="nil"/>
            </w:tcBorders>
            <w:shd w:val="clear" w:color="auto" w:fill="auto"/>
            <w:noWrap/>
            <w:vAlign w:val="bottom"/>
            <w:hideMark/>
          </w:tcPr>
          <w:p w14:paraId="7704A955"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10</w:t>
            </w:r>
          </w:p>
        </w:tc>
        <w:tc>
          <w:tcPr>
            <w:tcW w:w="772" w:type="dxa"/>
            <w:tcBorders>
              <w:top w:val="nil"/>
              <w:left w:val="nil"/>
              <w:bottom w:val="nil"/>
            </w:tcBorders>
            <w:shd w:val="clear" w:color="auto" w:fill="auto"/>
            <w:noWrap/>
            <w:vAlign w:val="bottom"/>
            <w:hideMark/>
          </w:tcPr>
          <w:p w14:paraId="08E128FA"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10</w:t>
            </w:r>
          </w:p>
        </w:tc>
      </w:tr>
      <w:tr w:rsidR="00367DB9" w:rsidRPr="00056BD0" w14:paraId="7E1602A0" w14:textId="77777777" w:rsidTr="000C4CD0">
        <w:trPr>
          <w:gridAfter w:val="1"/>
          <w:wAfter w:w="92" w:type="dxa"/>
          <w:trHeight w:val="255"/>
        </w:trPr>
        <w:tc>
          <w:tcPr>
            <w:tcW w:w="1134" w:type="dxa"/>
            <w:tcBorders>
              <w:top w:val="nil"/>
              <w:left w:val="nil"/>
            </w:tcBorders>
            <w:shd w:val="clear" w:color="auto" w:fill="auto"/>
            <w:noWrap/>
            <w:vAlign w:val="bottom"/>
            <w:hideMark/>
          </w:tcPr>
          <w:p w14:paraId="7CBDBE2C"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w:t>
            </w:r>
          </w:p>
        </w:tc>
        <w:tc>
          <w:tcPr>
            <w:tcW w:w="559" w:type="dxa"/>
            <w:tcBorders>
              <w:top w:val="nil"/>
              <w:right w:val="single" w:sz="4" w:space="0" w:color="auto"/>
            </w:tcBorders>
            <w:shd w:val="clear" w:color="auto" w:fill="auto"/>
            <w:noWrap/>
            <w:vAlign w:val="bottom"/>
            <w:hideMark/>
          </w:tcPr>
          <w:p w14:paraId="16358A8F"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48</w:t>
            </w:r>
          </w:p>
        </w:tc>
        <w:tc>
          <w:tcPr>
            <w:tcW w:w="695" w:type="dxa"/>
            <w:tcBorders>
              <w:top w:val="nil"/>
              <w:left w:val="single" w:sz="4" w:space="0" w:color="auto"/>
              <w:right w:val="nil"/>
            </w:tcBorders>
            <w:shd w:val="clear" w:color="auto" w:fill="auto"/>
            <w:noWrap/>
            <w:vAlign w:val="bottom"/>
            <w:hideMark/>
          </w:tcPr>
          <w:p w14:paraId="1F114B12"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10</w:t>
            </w:r>
          </w:p>
        </w:tc>
        <w:tc>
          <w:tcPr>
            <w:tcW w:w="772" w:type="dxa"/>
            <w:tcBorders>
              <w:top w:val="nil"/>
              <w:left w:val="nil"/>
              <w:right w:val="single" w:sz="4" w:space="0" w:color="auto"/>
            </w:tcBorders>
            <w:shd w:val="clear" w:color="auto" w:fill="auto"/>
            <w:noWrap/>
            <w:vAlign w:val="bottom"/>
            <w:hideMark/>
          </w:tcPr>
          <w:p w14:paraId="7579B113"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7</w:t>
            </w:r>
          </w:p>
        </w:tc>
        <w:tc>
          <w:tcPr>
            <w:tcW w:w="695" w:type="dxa"/>
            <w:tcBorders>
              <w:top w:val="nil"/>
              <w:left w:val="single" w:sz="4" w:space="0" w:color="auto"/>
              <w:right w:val="nil"/>
            </w:tcBorders>
            <w:shd w:val="clear" w:color="auto" w:fill="auto"/>
            <w:noWrap/>
            <w:vAlign w:val="bottom"/>
            <w:hideMark/>
          </w:tcPr>
          <w:p w14:paraId="588B274D"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7</w:t>
            </w:r>
          </w:p>
        </w:tc>
        <w:tc>
          <w:tcPr>
            <w:tcW w:w="772" w:type="dxa"/>
            <w:tcBorders>
              <w:top w:val="nil"/>
              <w:left w:val="nil"/>
              <w:right w:val="single" w:sz="4" w:space="0" w:color="auto"/>
            </w:tcBorders>
            <w:shd w:val="clear" w:color="auto" w:fill="auto"/>
            <w:noWrap/>
            <w:vAlign w:val="bottom"/>
            <w:hideMark/>
          </w:tcPr>
          <w:p w14:paraId="6D6FA97C"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w:t>
            </w:r>
          </w:p>
        </w:tc>
        <w:tc>
          <w:tcPr>
            <w:tcW w:w="794" w:type="dxa"/>
            <w:tcBorders>
              <w:top w:val="nil"/>
              <w:left w:val="single" w:sz="4" w:space="0" w:color="auto"/>
              <w:right w:val="nil"/>
            </w:tcBorders>
            <w:shd w:val="clear" w:color="auto" w:fill="auto"/>
            <w:noWrap/>
            <w:vAlign w:val="bottom"/>
            <w:hideMark/>
          </w:tcPr>
          <w:p w14:paraId="6FC5E531"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10</w:t>
            </w:r>
          </w:p>
        </w:tc>
        <w:tc>
          <w:tcPr>
            <w:tcW w:w="772" w:type="dxa"/>
            <w:tcBorders>
              <w:top w:val="nil"/>
              <w:left w:val="nil"/>
              <w:right w:val="single" w:sz="4" w:space="0" w:color="auto"/>
            </w:tcBorders>
            <w:shd w:val="clear" w:color="auto" w:fill="auto"/>
            <w:noWrap/>
            <w:vAlign w:val="bottom"/>
            <w:hideMark/>
          </w:tcPr>
          <w:p w14:paraId="15F67F6A"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10</w:t>
            </w:r>
          </w:p>
        </w:tc>
        <w:tc>
          <w:tcPr>
            <w:tcW w:w="695" w:type="dxa"/>
            <w:tcBorders>
              <w:top w:val="nil"/>
              <w:left w:val="single" w:sz="4" w:space="0" w:color="auto"/>
              <w:right w:val="nil"/>
            </w:tcBorders>
            <w:shd w:val="clear" w:color="auto" w:fill="auto"/>
            <w:noWrap/>
            <w:vAlign w:val="bottom"/>
            <w:hideMark/>
          </w:tcPr>
          <w:p w14:paraId="2C82CDAA"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w:t>
            </w:r>
          </w:p>
        </w:tc>
        <w:tc>
          <w:tcPr>
            <w:tcW w:w="772" w:type="dxa"/>
            <w:tcBorders>
              <w:top w:val="nil"/>
              <w:left w:val="nil"/>
              <w:right w:val="single" w:sz="4" w:space="0" w:color="auto"/>
            </w:tcBorders>
            <w:shd w:val="clear" w:color="auto" w:fill="auto"/>
            <w:noWrap/>
            <w:vAlign w:val="bottom"/>
            <w:hideMark/>
          </w:tcPr>
          <w:p w14:paraId="3118C987"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10</w:t>
            </w:r>
          </w:p>
        </w:tc>
        <w:tc>
          <w:tcPr>
            <w:tcW w:w="695" w:type="dxa"/>
            <w:tcBorders>
              <w:top w:val="nil"/>
              <w:left w:val="single" w:sz="4" w:space="0" w:color="auto"/>
              <w:right w:val="nil"/>
            </w:tcBorders>
            <w:shd w:val="clear" w:color="auto" w:fill="auto"/>
            <w:noWrap/>
            <w:vAlign w:val="bottom"/>
            <w:hideMark/>
          </w:tcPr>
          <w:p w14:paraId="1EF8008F"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8</w:t>
            </w:r>
          </w:p>
        </w:tc>
        <w:tc>
          <w:tcPr>
            <w:tcW w:w="772" w:type="dxa"/>
            <w:tcBorders>
              <w:top w:val="nil"/>
              <w:left w:val="nil"/>
              <w:right w:val="single" w:sz="4" w:space="0" w:color="auto"/>
            </w:tcBorders>
            <w:shd w:val="clear" w:color="auto" w:fill="auto"/>
            <w:noWrap/>
            <w:vAlign w:val="bottom"/>
            <w:hideMark/>
          </w:tcPr>
          <w:p w14:paraId="2B3A307D"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6</w:t>
            </w:r>
          </w:p>
        </w:tc>
        <w:tc>
          <w:tcPr>
            <w:tcW w:w="794" w:type="dxa"/>
            <w:tcBorders>
              <w:top w:val="nil"/>
              <w:left w:val="single" w:sz="4" w:space="0" w:color="auto"/>
              <w:right w:val="nil"/>
            </w:tcBorders>
            <w:shd w:val="clear" w:color="auto" w:fill="auto"/>
            <w:noWrap/>
            <w:vAlign w:val="bottom"/>
            <w:hideMark/>
          </w:tcPr>
          <w:p w14:paraId="7262EA46"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10</w:t>
            </w:r>
          </w:p>
        </w:tc>
        <w:tc>
          <w:tcPr>
            <w:tcW w:w="772" w:type="dxa"/>
            <w:tcBorders>
              <w:top w:val="nil"/>
              <w:left w:val="nil"/>
              <w:right w:val="single" w:sz="4" w:space="0" w:color="auto"/>
            </w:tcBorders>
            <w:shd w:val="clear" w:color="auto" w:fill="auto"/>
            <w:noWrap/>
            <w:vAlign w:val="bottom"/>
            <w:hideMark/>
          </w:tcPr>
          <w:p w14:paraId="57C2687A"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10</w:t>
            </w:r>
          </w:p>
        </w:tc>
        <w:tc>
          <w:tcPr>
            <w:tcW w:w="794" w:type="dxa"/>
            <w:tcBorders>
              <w:top w:val="nil"/>
              <w:left w:val="single" w:sz="4" w:space="0" w:color="auto"/>
              <w:right w:val="nil"/>
            </w:tcBorders>
            <w:shd w:val="clear" w:color="auto" w:fill="auto"/>
            <w:noWrap/>
            <w:vAlign w:val="bottom"/>
            <w:hideMark/>
          </w:tcPr>
          <w:p w14:paraId="582F03A2"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w:t>
            </w:r>
          </w:p>
        </w:tc>
        <w:tc>
          <w:tcPr>
            <w:tcW w:w="772" w:type="dxa"/>
            <w:tcBorders>
              <w:top w:val="nil"/>
              <w:left w:val="nil"/>
              <w:right w:val="single" w:sz="4" w:space="0" w:color="auto"/>
            </w:tcBorders>
            <w:shd w:val="clear" w:color="auto" w:fill="auto"/>
            <w:noWrap/>
            <w:vAlign w:val="bottom"/>
            <w:hideMark/>
          </w:tcPr>
          <w:p w14:paraId="1EAB4C99"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w:t>
            </w:r>
          </w:p>
        </w:tc>
        <w:tc>
          <w:tcPr>
            <w:tcW w:w="706" w:type="dxa"/>
            <w:tcBorders>
              <w:top w:val="nil"/>
              <w:left w:val="single" w:sz="4" w:space="0" w:color="auto"/>
              <w:right w:val="nil"/>
            </w:tcBorders>
            <w:shd w:val="clear" w:color="auto" w:fill="auto"/>
            <w:noWrap/>
            <w:vAlign w:val="bottom"/>
            <w:hideMark/>
          </w:tcPr>
          <w:p w14:paraId="2CA64EE4"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w:t>
            </w:r>
          </w:p>
        </w:tc>
        <w:tc>
          <w:tcPr>
            <w:tcW w:w="772" w:type="dxa"/>
            <w:tcBorders>
              <w:top w:val="nil"/>
              <w:left w:val="nil"/>
            </w:tcBorders>
            <w:shd w:val="clear" w:color="auto" w:fill="auto"/>
            <w:noWrap/>
            <w:vAlign w:val="bottom"/>
            <w:hideMark/>
          </w:tcPr>
          <w:p w14:paraId="032D5B58"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6</w:t>
            </w:r>
          </w:p>
        </w:tc>
      </w:tr>
      <w:tr w:rsidR="00367DB9" w:rsidRPr="00056BD0" w14:paraId="212FFB31" w14:textId="77777777" w:rsidTr="000C4CD0">
        <w:trPr>
          <w:gridAfter w:val="1"/>
          <w:wAfter w:w="92" w:type="dxa"/>
          <w:trHeight w:val="255"/>
        </w:trPr>
        <w:tc>
          <w:tcPr>
            <w:tcW w:w="1134" w:type="dxa"/>
            <w:tcBorders>
              <w:bottom w:val="dashed" w:sz="8" w:space="0" w:color="auto"/>
            </w:tcBorders>
            <w:shd w:val="clear" w:color="auto" w:fill="auto"/>
            <w:noWrap/>
            <w:vAlign w:val="bottom"/>
            <w:hideMark/>
          </w:tcPr>
          <w:p w14:paraId="2D6FB528"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10</w:t>
            </w:r>
          </w:p>
        </w:tc>
        <w:tc>
          <w:tcPr>
            <w:tcW w:w="559" w:type="dxa"/>
            <w:tcBorders>
              <w:bottom w:val="dashed" w:sz="8" w:space="0" w:color="auto"/>
              <w:right w:val="single" w:sz="4" w:space="0" w:color="auto"/>
            </w:tcBorders>
            <w:shd w:val="clear" w:color="auto" w:fill="auto"/>
            <w:noWrap/>
            <w:vAlign w:val="bottom"/>
            <w:hideMark/>
          </w:tcPr>
          <w:p w14:paraId="318581D8"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63</w:t>
            </w:r>
          </w:p>
        </w:tc>
        <w:tc>
          <w:tcPr>
            <w:tcW w:w="695" w:type="dxa"/>
            <w:tcBorders>
              <w:left w:val="single" w:sz="4" w:space="0" w:color="auto"/>
              <w:bottom w:val="dashed" w:sz="8" w:space="0" w:color="auto"/>
              <w:right w:val="nil"/>
            </w:tcBorders>
            <w:shd w:val="clear" w:color="auto" w:fill="auto"/>
            <w:noWrap/>
            <w:vAlign w:val="bottom"/>
            <w:hideMark/>
          </w:tcPr>
          <w:p w14:paraId="69D30BCA"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8</w:t>
            </w:r>
          </w:p>
        </w:tc>
        <w:tc>
          <w:tcPr>
            <w:tcW w:w="772" w:type="dxa"/>
            <w:tcBorders>
              <w:left w:val="nil"/>
              <w:bottom w:val="dashed" w:sz="8" w:space="0" w:color="auto"/>
              <w:right w:val="single" w:sz="4" w:space="0" w:color="auto"/>
            </w:tcBorders>
            <w:shd w:val="clear" w:color="auto" w:fill="auto"/>
            <w:noWrap/>
            <w:vAlign w:val="bottom"/>
            <w:hideMark/>
          </w:tcPr>
          <w:p w14:paraId="607839CB"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w:t>
            </w:r>
          </w:p>
        </w:tc>
        <w:tc>
          <w:tcPr>
            <w:tcW w:w="695" w:type="dxa"/>
            <w:tcBorders>
              <w:left w:val="single" w:sz="4" w:space="0" w:color="auto"/>
              <w:bottom w:val="dashed" w:sz="8" w:space="0" w:color="auto"/>
              <w:right w:val="nil"/>
            </w:tcBorders>
            <w:shd w:val="clear" w:color="auto" w:fill="auto"/>
            <w:noWrap/>
            <w:vAlign w:val="bottom"/>
            <w:hideMark/>
          </w:tcPr>
          <w:p w14:paraId="7F4E12C9"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12</w:t>
            </w:r>
          </w:p>
        </w:tc>
        <w:tc>
          <w:tcPr>
            <w:tcW w:w="772" w:type="dxa"/>
            <w:tcBorders>
              <w:left w:val="nil"/>
              <w:bottom w:val="dashed" w:sz="8" w:space="0" w:color="auto"/>
              <w:right w:val="single" w:sz="4" w:space="0" w:color="auto"/>
            </w:tcBorders>
            <w:shd w:val="clear" w:color="auto" w:fill="auto"/>
            <w:noWrap/>
            <w:vAlign w:val="bottom"/>
            <w:hideMark/>
          </w:tcPr>
          <w:p w14:paraId="71339464"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11</w:t>
            </w:r>
          </w:p>
        </w:tc>
        <w:tc>
          <w:tcPr>
            <w:tcW w:w="794" w:type="dxa"/>
            <w:tcBorders>
              <w:left w:val="single" w:sz="4" w:space="0" w:color="auto"/>
              <w:bottom w:val="dashed" w:sz="8" w:space="0" w:color="auto"/>
              <w:right w:val="nil"/>
            </w:tcBorders>
            <w:shd w:val="clear" w:color="auto" w:fill="auto"/>
            <w:noWrap/>
            <w:vAlign w:val="bottom"/>
            <w:hideMark/>
          </w:tcPr>
          <w:p w14:paraId="62D0A568"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8</w:t>
            </w:r>
          </w:p>
        </w:tc>
        <w:tc>
          <w:tcPr>
            <w:tcW w:w="772" w:type="dxa"/>
            <w:tcBorders>
              <w:left w:val="nil"/>
              <w:bottom w:val="dashed" w:sz="8" w:space="0" w:color="auto"/>
              <w:right w:val="single" w:sz="4" w:space="0" w:color="auto"/>
            </w:tcBorders>
            <w:shd w:val="clear" w:color="auto" w:fill="auto"/>
            <w:noWrap/>
            <w:vAlign w:val="bottom"/>
            <w:hideMark/>
          </w:tcPr>
          <w:p w14:paraId="796661F7"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6</w:t>
            </w:r>
          </w:p>
        </w:tc>
        <w:tc>
          <w:tcPr>
            <w:tcW w:w="695" w:type="dxa"/>
            <w:tcBorders>
              <w:left w:val="single" w:sz="4" w:space="0" w:color="auto"/>
              <w:bottom w:val="dashed" w:sz="8" w:space="0" w:color="auto"/>
              <w:right w:val="nil"/>
            </w:tcBorders>
            <w:shd w:val="clear" w:color="auto" w:fill="auto"/>
            <w:noWrap/>
            <w:vAlign w:val="bottom"/>
            <w:hideMark/>
          </w:tcPr>
          <w:p w14:paraId="67C9431B"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8</w:t>
            </w:r>
          </w:p>
        </w:tc>
        <w:tc>
          <w:tcPr>
            <w:tcW w:w="772" w:type="dxa"/>
            <w:tcBorders>
              <w:left w:val="nil"/>
              <w:bottom w:val="dashed" w:sz="8" w:space="0" w:color="auto"/>
              <w:right w:val="single" w:sz="4" w:space="0" w:color="auto"/>
            </w:tcBorders>
            <w:shd w:val="clear" w:color="auto" w:fill="auto"/>
            <w:noWrap/>
            <w:vAlign w:val="bottom"/>
            <w:hideMark/>
          </w:tcPr>
          <w:p w14:paraId="2F203EBF"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6</w:t>
            </w:r>
          </w:p>
        </w:tc>
        <w:tc>
          <w:tcPr>
            <w:tcW w:w="695" w:type="dxa"/>
            <w:tcBorders>
              <w:left w:val="single" w:sz="4" w:space="0" w:color="auto"/>
              <w:bottom w:val="dashed" w:sz="8" w:space="0" w:color="auto"/>
              <w:right w:val="nil"/>
            </w:tcBorders>
            <w:shd w:val="clear" w:color="auto" w:fill="auto"/>
            <w:noWrap/>
            <w:vAlign w:val="bottom"/>
            <w:hideMark/>
          </w:tcPr>
          <w:p w14:paraId="0313FA5C"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11</w:t>
            </w:r>
          </w:p>
        </w:tc>
        <w:tc>
          <w:tcPr>
            <w:tcW w:w="772" w:type="dxa"/>
            <w:tcBorders>
              <w:left w:val="nil"/>
              <w:bottom w:val="dashed" w:sz="8" w:space="0" w:color="auto"/>
              <w:right w:val="single" w:sz="4" w:space="0" w:color="auto"/>
            </w:tcBorders>
            <w:shd w:val="clear" w:color="auto" w:fill="auto"/>
            <w:noWrap/>
            <w:vAlign w:val="bottom"/>
            <w:hideMark/>
          </w:tcPr>
          <w:p w14:paraId="30784E26"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12</w:t>
            </w:r>
          </w:p>
        </w:tc>
        <w:tc>
          <w:tcPr>
            <w:tcW w:w="794" w:type="dxa"/>
            <w:tcBorders>
              <w:left w:val="single" w:sz="4" w:space="0" w:color="auto"/>
              <w:bottom w:val="dashed" w:sz="8" w:space="0" w:color="auto"/>
              <w:right w:val="nil"/>
            </w:tcBorders>
            <w:shd w:val="clear" w:color="auto" w:fill="auto"/>
            <w:noWrap/>
            <w:vAlign w:val="bottom"/>
            <w:hideMark/>
          </w:tcPr>
          <w:p w14:paraId="125AE086"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11</w:t>
            </w:r>
          </w:p>
        </w:tc>
        <w:tc>
          <w:tcPr>
            <w:tcW w:w="772" w:type="dxa"/>
            <w:tcBorders>
              <w:left w:val="nil"/>
              <w:bottom w:val="dashed" w:sz="8" w:space="0" w:color="auto"/>
              <w:right w:val="single" w:sz="4" w:space="0" w:color="auto"/>
            </w:tcBorders>
            <w:shd w:val="clear" w:color="auto" w:fill="auto"/>
            <w:noWrap/>
            <w:vAlign w:val="bottom"/>
            <w:hideMark/>
          </w:tcPr>
          <w:p w14:paraId="4364418E"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11</w:t>
            </w:r>
          </w:p>
        </w:tc>
        <w:tc>
          <w:tcPr>
            <w:tcW w:w="794" w:type="dxa"/>
            <w:tcBorders>
              <w:left w:val="single" w:sz="4" w:space="0" w:color="auto"/>
              <w:bottom w:val="dashed" w:sz="8" w:space="0" w:color="auto"/>
              <w:right w:val="nil"/>
            </w:tcBorders>
            <w:shd w:val="clear" w:color="auto" w:fill="auto"/>
            <w:noWrap/>
            <w:vAlign w:val="bottom"/>
            <w:hideMark/>
          </w:tcPr>
          <w:p w14:paraId="7833CC5C"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w:t>
            </w:r>
          </w:p>
        </w:tc>
        <w:tc>
          <w:tcPr>
            <w:tcW w:w="772" w:type="dxa"/>
            <w:tcBorders>
              <w:left w:val="nil"/>
              <w:bottom w:val="dashed" w:sz="8" w:space="0" w:color="auto"/>
              <w:right w:val="single" w:sz="4" w:space="0" w:color="auto"/>
            </w:tcBorders>
            <w:shd w:val="clear" w:color="auto" w:fill="auto"/>
            <w:noWrap/>
            <w:vAlign w:val="bottom"/>
            <w:hideMark/>
          </w:tcPr>
          <w:p w14:paraId="7633D536"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w:t>
            </w:r>
          </w:p>
        </w:tc>
        <w:tc>
          <w:tcPr>
            <w:tcW w:w="706" w:type="dxa"/>
            <w:tcBorders>
              <w:left w:val="single" w:sz="4" w:space="0" w:color="auto"/>
              <w:bottom w:val="dashed" w:sz="8" w:space="0" w:color="auto"/>
              <w:right w:val="nil"/>
            </w:tcBorders>
            <w:shd w:val="clear" w:color="auto" w:fill="auto"/>
            <w:noWrap/>
            <w:vAlign w:val="bottom"/>
            <w:hideMark/>
          </w:tcPr>
          <w:p w14:paraId="3D87791F"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w:t>
            </w:r>
          </w:p>
        </w:tc>
        <w:tc>
          <w:tcPr>
            <w:tcW w:w="772" w:type="dxa"/>
            <w:tcBorders>
              <w:left w:val="nil"/>
              <w:bottom w:val="dashed" w:sz="8" w:space="0" w:color="auto"/>
            </w:tcBorders>
            <w:shd w:val="clear" w:color="auto" w:fill="auto"/>
            <w:noWrap/>
            <w:vAlign w:val="bottom"/>
            <w:hideMark/>
          </w:tcPr>
          <w:p w14:paraId="113E6186"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7</w:t>
            </w:r>
          </w:p>
        </w:tc>
      </w:tr>
      <w:tr w:rsidR="00367DB9" w:rsidRPr="00056BD0" w14:paraId="38DDEABA" w14:textId="77777777" w:rsidTr="000C4CD0">
        <w:trPr>
          <w:gridAfter w:val="1"/>
          <w:wAfter w:w="92" w:type="dxa"/>
          <w:trHeight w:val="255"/>
        </w:trPr>
        <w:tc>
          <w:tcPr>
            <w:tcW w:w="1134" w:type="dxa"/>
            <w:tcBorders>
              <w:top w:val="dashed" w:sz="8" w:space="0" w:color="auto"/>
              <w:left w:val="nil"/>
              <w:bottom w:val="nil"/>
            </w:tcBorders>
            <w:shd w:val="clear" w:color="auto" w:fill="auto"/>
            <w:noWrap/>
            <w:vAlign w:val="bottom"/>
            <w:hideMark/>
          </w:tcPr>
          <w:p w14:paraId="48C45267"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41</w:t>
            </w:r>
          </w:p>
        </w:tc>
        <w:tc>
          <w:tcPr>
            <w:tcW w:w="559" w:type="dxa"/>
            <w:tcBorders>
              <w:top w:val="dashed" w:sz="8" w:space="0" w:color="auto"/>
              <w:bottom w:val="nil"/>
              <w:right w:val="single" w:sz="4" w:space="0" w:color="auto"/>
            </w:tcBorders>
            <w:shd w:val="clear" w:color="auto" w:fill="auto"/>
            <w:noWrap/>
            <w:vAlign w:val="bottom"/>
            <w:hideMark/>
          </w:tcPr>
          <w:p w14:paraId="2E9A1DD3"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38</w:t>
            </w:r>
          </w:p>
        </w:tc>
        <w:tc>
          <w:tcPr>
            <w:tcW w:w="695" w:type="dxa"/>
            <w:tcBorders>
              <w:top w:val="dashed" w:sz="8" w:space="0" w:color="auto"/>
              <w:left w:val="single" w:sz="4" w:space="0" w:color="auto"/>
              <w:bottom w:val="nil"/>
              <w:right w:val="nil"/>
            </w:tcBorders>
            <w:shd w:val="clear" w:color="auto" w:fill="auto"/>
            <w:noWrap/>
            <w:vAlign w:val="bottom"/>
            <w:hideMark/>
          </w:tcPr>
          <w:p w14:paraId="6976EA69"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40</w:t>
            </w:r>
          </w:p>
        </w:tc>
        <w:tc>
          <w:tcPr>
            <w:tcW w:w="772" w:type="dxa"/>
            <w:tcBorders>
              <w:top w:val="dashed" w:sz="8" w:space="0" w:color="auto"/>
              <w:left w:val="nil"/>
              <w:bottom w:val="nil"/>
              <w:right w:val="single" w:sz="4" w:space="0" w:color="auto"/>
            </w:tcBorders>
            <w:shd w:val="clear" w:color="auto" w:fill="auto"/>
            <w:noWrap/>
            <w:vAlign w:val="bottom"/>
            <w:hideMark/>
          </w:tcPr>
          <w:p w14:paraId="120BB848"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56</w:t>
            </w:r>
          </w:p>
        </w:tc>
        <w:tc>
          <w:tcPr>
            <w:tcW w:w="695" w:type="dxa"/>
            <w:tcBorders>
              <w:top w:val="dashed" w:sz="8" w:space="0" w:color="auto"/>
              <w:left w:val="single" w:sz="4" w:space="0" w:color="auto"/>
              <w:bottom w:val="nil"/>
              <w:right w:val="nil"/>
            </w:tcBorders>
            <w:shd w:val="clear" w:color="auto" w:fill="auto"/>
            <w:noWrap/>
            <w:vAlign w:val="bottom"/>
            <w:hideMark/>
          </w:tcPr>
          <w:p w14:paraId="66A9587A"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38</w:t>
            </w:r>
          </w:p>
        </w:tc>
        <w:tc>
          <w:tcPr>
            <w:tcW w:w="772" w:type="dxa"/>
            <w:tcBorders>
              <w:top w:val="dashed" w:sz="8" w:space="0" w:color="auto"/>
              <w:left w:val="nil"/>
              <w:bottom w:val="nil"/>
              <w:right w:val="single" w:sz="4" w:space="0" w:color="auto"/>
            </w:tcBorders>
            <w:shd w:val="clear" w:color="auto" w:fill="auto"/>
            <w:noWrap/>
            <w:vAlign w:val="bottom"/>
            <w:hideMark/>
          </w:tcPr>
          <w:p w14:paraId="09B4349D"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48</w:t>
            </w:r>
          </w:p>
        </w:tc>
        <w:tc>
          <w:tcPr>
            <w:tcW w:w="794" w:type="dxa"/>
            <w:tcBorders>
              <w:top w:val="dashed" w:sz="8" w:space="0" w:color="auto"/>
              <w:left w:val="single" w:sz="4" w:space="0" w:color="auto"/>
              <w:bottom w:val="nil"/>
              <w:right w:val="nil"/>
            </w:tcBorders>
            <w:shd w:val="clear" w:color="auto" w:fill="auto"/>
            <w:noWrap/>
            <w:vAlign w:val="bottom"/>
            <w:hideMark/>
          </w:tcPr>
          <w:p w14:paraId="61531AEA"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50</w:t>
            </w:r>
          </w:p>
        </w:tc>
        <w:tc>
          <w:tcPr>
            <w:tcW w:w="772" w:type="dxa"/>
            <w:tcBorders>
              <w:top w:val="dashed" w:sz="8" w:space="0" w:color="auto"/>
              <w:left w:val="nil"/>
              <w:bottom w:val="nil"/>
              <w:right w:val="single" w:sz="4" w:space="0" w:color="auto"/>
            </w:tcBorders>
            <w:shd w:val="clear" w:color="auto" w:fill="auto"/>
            <w:noWrap/>
            <w:vAlign w:val="bottom"/>
            <w:hideMark/>
          </w:tcPr>
          <w:p w14:paraId="4C3C5F78"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66</w:t>
            </w:r>
          </w:p>
        </w:tc>
        <w:tc>
          <w:tcPr>
            <w:tcW w:w="695" w:type="dxa"/>
            <w:tcBorders>
              <w:top w:val="dashed" w:sz="8" w:space="0" w:color="auto"/>
              <w:left w:val="single" w:sz="4" w:space="0" w:color="auto"/>
              <w:bottom w:val="nil"/>
              <w:right w:val="nil"/>
            </w:tcBorders>
            <w:shd w:val="clear" w:color="auto" w:fill="auto"/>
            <w:noWrap/>
            <w:vAlign w:val="bottom"/>
            <w:hideMark/>
          </w:tcPr>
          <w:p w14:paraId="43275DFA"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38</w:t>
            </w:r>
          </w:p>
        </w:tc>
        <w:tc>
          <w:tcPr>
            <w:tcW w:w="772" w:type="dxa"/>
            <w:tcBorders>
              <w:top w:val="dashed" w:sz="8" w:space="0" w:color="auto"/>
              <w:left w:val="nil"/>
              <w:bottom w:val="nil"/>
              <w:right w:val="single" w:sz="4" w:space="0" w:color="auto"/>
            </w:tcBorders>
            <w:shd w:val="clear" w:color="auto" w:fill="auto"/>
            <w:noWrap/>
            <w:vAlign w:val="bottom"/>
            <w:hideMark/>
          </w:tcPr>
          <w:p w14:paraId="584D226D"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54</w:t>
            </w:r>
          </w:p>
        </w:tc>
        <w:tc>
          <w:tcPr>
            <w:tcW w:w="695" w:type="dxa"/>
            <w:tcBorders>
              <w:top w:val="dashed" w:sz="8" w:space="0" w:color="auto"/>
              <w:left w:val="single" w:sz="4" w:space="0" w:color="auto"/>
              <w:bottom w:val="nil"/>
              <w:right w:val="nil"/>
            </w:tcBorders>
            <w:shd w:val="clear" w:color="auto" w:fill="auto"/>
            <w:noWrap/>
            <w:vAlign w:val="bottom"/>
            <w:hideMark/>
          </w:tcPr>
          <w:p w14:paraId="222E8AF0"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32</w:t>
            </w:r>
          </w:p>
        </w:tc>
        <w:tc>
          <w:tcPr>
            <w:tcW w:w="772" w:type="dxa"/>
            <w:tcBorders>
              <w:top w:val="dashed" w:sz="8" w:space="0" w:color="auto"/>
              <w:left w:val="nil"/>
              <w:bottom w:val="nil"/>
              <w:right w:val="single" w:sz="4" w:space="0" w:color="auto"/>
            </w:tcBorders>
            <w:shd w:val="clear" w:color="auto" w:fill="auto"/>
            <w:noWrap/>
            <w:vAlign w:val="bottom"/>
            <w:hideMark/>
          </w:tcPr>
          <w:p w14:paraId="6E94DCC5"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44</w:t>
            </w:r>
          </w:p>
        </w:tc>
        <w:tc>
          <w:tcPr>
            <w:tcW w:w="794" w:type="dxa"/>
            <w:tcBorders>
              <w:top w:val="dashed" w:sz="8" w:space="0" w:color="auto"/>
              <w:left w:val="single" w:sz="4" w:space="0" w:color="auto"/>
              <w:bottom w:val="nil"/>
              <w:right w:val="nil"/>
            </w:tcBorders>
            <w:shd w:val="clear" w:color="auto" w:fill="auto"/>
            <w:noWrap/>
            <w:vAlign w:val="bottom"/>
            <w:hideMark/>
          </w:tcPr>
          <w:p w14:paraId="5FE66B9F"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45</w:t>
            </w:r>
          </w:p>
        </w:tc>
        <w:tc>
          <w:tcPr>
            <w:tcW w:w="772" w:type="dxa"/>
            <w:tcBorders>
              <w:top w:val="dashed" w:sz="8" w:space="0" w:color="auto"/>
              <w:left w:val="nil"/>
              <w:bottom w:val="nil"/>
              <w:right w:val="single" w:sz="4" w:space="0" w:color="auto"/>
            </w:tcBorders>
            <w:shd w:val="clear" w:color="auto" w:fill="auto"/>
            <w:noWrap/>
            <w:vAlign w:val="bottom"/>
            <w:hideMark/>
          </w:tcPr>
          <w:p w14:paraId="25BBAEEB"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63</w:t>
            </w:r>
          </w:p>
        </w:tc>
        <w:tc>
          <w:tcPr>
            <w:tcW w:w="794" w:type="dxa"/>
            <w:tcBorders>
              <w:top w:val="dashed" w:sz="8" w:space="0" w:color="auto"/>
              <w:left w:val="single" w:sz="4" w:space="0" w:color="auto"/>
              <w:bottom w:val="nil"/>
              <w:right w:val="nil"/>
            </w:tcBorders>
            <w:shd w:val="clear" w:color="auto" w:fill="auto"/>
            <w:noWrap/>
            <w:vAlign w:val="bottom"/>
            <w:hideMark/>
          </w:tcPr>
          <w:p w14:paraId="2C324663"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41</w:t>
            </w:r>
          </w:p>
        </w:tc>
        <w:tc>
          <w:tcPr>
            <w:tcW w:w="772" w:type="dxa"/>
            <w:tcBorders>
              <w:top w:val="dashed" w:sz="8" w:space="0" w:color="auto"/>
              <w:left w:val="nil"/>
              <w:bottom w:val="nil"/>
              <w:right w:val="single" w:sz="4" w:space="0" w:color="auto"/>
            </w:tcBorders>
            <w:shd w:val="clear" w:color="auto" w:fill="auto"/>
            <w:noWrap/>
            <w:vAlign w:val="bottom"/>
            <w:hideMark/>
          </w:tcPr>
          <w:p w14:paraId="1FC315B7"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56</w:t>
            </w:r>
          </w:p>
        </w:tc>
        <w:tc>
          <w:tcPr>
            <w:tcW w:w="706" w:type="dxa"/>
            <w:tcBorders>
              <w:top w:val="dashed" w:sz="8" w:space="0" w:color="auto"/>
              <w:left w:val="single" w:sz="4" w:space="0" w:color="auto"/>
              <w:bottom w:val="nil"/>
              <w:right w:val="nil"/>
            </w:tcBorders>
            <w:shd w:val="clear" w:color="auto" w:fill="auto"/>
            <w:noWrap/>
            <w:vAlign w:val="bottom"/>
            <w:hideMark/>
          </w:tcPr>
          <w:p w14:paraId="1A24C77A"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18</w:t>
            </w:r>
          </w:p>
        </w:tc>
        <w:tc>
          <w:tcPr>
            <w:tcW w:w="772" w:type="dxa"/>
            <w:tcBorders>
              <w:top w:val="dashed" w:sz="8" w:space="0" w:color="auto"/>
              <w:left w:val="nil"/>
              <w:bottom w:val="nil"/>
            </w:tcBorders>
            <w:shd w:val="clear" w:color="auto" w:fill="auto"/>
            <w:noWrap/>
            <w:vAlign w:val="bottom"/>
            <w:hideMark/>
          </w:tcPr>
          <w:p w14:paraId="10055D6D"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22</w:t>
            </w:r>
          </w:p>
        </w:tc>
      </w:tr>
      <w:tr w:rsidR="00367DB9" w:rsidRPr="00056BD0" w14:paraId="05D443F2" w14:textId="77777777" w:rsidTr="000C4CD0">
        <w:trPr>
          <w:gridAfter w:val="1"/>
          <w:wAfter w:w="92" w:type="dxa"/>
          <w:trHeight w:val="255"/>
        </w:trPr>
        <w:tc>
          <w:tcPr>
            <w:tcW w:w="1134" w:type="dxa"/>
            <w:tcBorders>
              <w:top w:val="nil"/>
              <w:left w:val="nil"/>
              <w:bottom w:val="nil"/>
            </w:tcBorders>
            <w:shd w:val="clear" w:color="auto" w:fill="auto"/>
            <w:noWrap/>
            <w:vAlign w:val="bottom"/>
            <w:hideMark/>
          </w:tcPr>
          <w:p w14:paraId="3482AA07"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42</w:t>
            </w:r>
          </w:p>
        </w:tc>
        <w:tc>
          <w:tcPr>
            <w:tcW w:w="559" w:type="dxa"/>
            <w:tcBorders>
              <w:top w:val="nil"/>
              <w:bottom w:val="nil"/>
              <w:right w:val="single" w:sz="4" w:space="0" w:color="auto"/>
            </w:tcBorders>
            <w:shd w:val="clear" w:color="auto" w:fill="auto"/>
            <w:noWrap/>
            <w:vAlign w:val="bottom"/>
            <w:hideMark/>
          </w:tcPr>
          <w:p w14:paraId="13C19AD3"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49</w:t>
            </w:r>
          </w:p>
        </w:tc>
        <w:tc>
          <w:tcPr>
            <w:tcW w:w="695" w:type="dxa"/>
            <w:tcBorders>
              <w:top w:val="nil"/>
              <w:left w:val="single" w:sz="4" w:space="0" w:color="auto"/>
              <w:bottom w:val="nil"/>
              <w:right w:val="nil"/>
            </w:tcBorders>
            <w:shd w:val="clear" w:color="auto" w:fill="auto"/>
            <w:noWrap/>
            <w:vAlign w:val="bottom"/>
            <w:hideMark/>
          </w:tcPr>
          <w:p w14:paraId="055D40AF"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37</w:t>
            </w:r>
          </w:p>
        </w:tc>
        <w:tc>
          <w:tcPr>
            <w:tcW w:w="772" w:type="dxa"/>
            <w:tcBorders>
              <w:top w:val="nil"/>
              <w:left w:val="nil"/>
              <w:bottom w:val="nil"/>
              <w:right w:val="single" w:sz="4" w:space="0" w:color="auto"/>
            </w:tcBorders>
            <w:shd w:val="clear" w:color="auto" w:fill="auto"/>
            <w:noWrap/>
            <w:vAlign w:val="bottom"/>
            <w:hideMark/>
          </w:tcPr>
          <w:p w14:paraId="65873D9B"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23</w:t>
            </w:r>
          </w:p>
        </w:tc>
        <w:tc>
          <w:tcPr>
            <w:tcW w:w="695" w:type="dxa"/>
            <w:tcBorders>
              <w:top w:val="nil"/>
              <w:left w:val="single" w:sz="4" w:space="0" w:color="auto"/>
              <w:bottom w:val="nil"/>
              <w:right w:val="nil"/>
            </w:tcBorders>
            <w:shd w:val="clear" w:color="auto" w:fill="auto"/>
            <w:noWrap/>
            <w:vAlign w:val="bottom"/>
            <w:hideMark/>
          </w:tcPr>
          <w:p w14:paraId="105360D1"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35</w:t>
            </w:r>
          </w:p>
        </w:tc>
        <w:tc>
          <w:tcPr>
            <w:tcW w:w="772" w:type="dxa"/>
            <w:tcBorders>
              <w:top w:val="nil"/>
              <w:left w:val="nil"/>
              <w:bottom w:val="nil"/>
              <w:right w:val="single" w:sz="4" w:space="0" w:color="auto"/>
            </w:tcBorders>
            <w:shd w:val="clear" w:color="auto" w:fill="auto"/>
            <w:noWrap/>
            <w:vAlign w:val="bottom"/>
            <w:hideMark/>
          </w:tcPr>
          <w:p w14:paraId="69B5EEEA"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25</w:t>
            </w:r>
          </w:p>
        </w:tc>
        <w:tc>
          <w:tcPr>
            <w:tcW w:w="794" w:type="dxa"/>
            <w:tcBorders>
              <w:top w:val="nil"/>
              <w:left w:val="single" w:sz="4" w:space="0" w:color="auto"/>
              <w:bottom w:val="nil"/>
              <w:right w:val="nil"/>
            </w:tcBorders>
            <w:shd w:val="clear" w:color="auto" w:fill="auto"/>
            <w:noWrap/>
            <w:vAlign w:val="bottom"/>
            <w:hideMark/>
          </w:tcPr>
          <w:p w14:paraId="039B81AB"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39</w:t>
            </w:r>
          </w:p>
        </w:tc>
        <w:tc>
          <w:tcPr>
            <w:tcW w:w="772" w:type="dxa"/>
            <w:tcBorders>
              <w:top w:val="nil"/>
              <w:left w:val="nil"/>
              <w:bottom w:val="nil"/>
              <w:right w:val="single" w:sz="4" w:space="0" w:color="auto"/>
            </w:tcBorders>
            <w:shd w:val="clear" w:color="auto" w:fill="auto"/>
            <w:noWrap/>
            <w:vAlign w:val="bottom"/>
            <w:hideMark/>
          </w:tcPr>
          <w:p w14:paraId="7FCA3DDB"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25</w:t>
            </w:r>
          </w:p>
        </w:tc>
        <w:tc>
          <w:tcPr>
            <w:tcW w:w="695" w:type="dxa"/>
            <w:tcBorders>
              <w:top w:val="nil"/>
              <w:left w:val="single" w:sz="4" w:space="0" w:color="auto"/>
              <w:bottom w:val="nil"/>
              <w:right w:val="nil"/>
            </w:tcBorders>
            <w:shd w:val="clear" w:color="auto" w:fill="auto"/>
            <w:noWrap/>
            <w:vAlign w:val="bottom"/>
            <w:hideMark/>
          </w:tcPr>
          <w:p w14:paraId="0CB3F85E"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45</w:t>
            </w:r>
          </w:p>
        </w:tc>
        <w:tc>
          <w:tcPr>
            <w:tcW w:w="772" w:type="dxa"/>
            <w:tcBorders>
              <w:top w:val="nil"/>
              <w:left w:val="nil"/>
              <w:bottom w:val="nil"/>
              <w:right w:val="single" w:sz="4" w:space="0" w:color="auto"/>
            </w:tcBorders>
            <w:shd w:val="clear" w:color="auto" w:fill="auto"/>
            <w:noWrap/>
            <w:vAlign w:val="bottom"/>
            <w:hideMark/>
          </w:tcPr>
          <w:p w14:paraId="6F4BE0B9"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33</w:t>
            </w:r>
          </w:p>
        </w:tc>
        <w:tc>
          <w:tcPr>
            <w:tcW w:w="695" w:type="dxa"/>
            <w:tcBorders>
              <w:top w:val="nil"/>
              <w:left w:val="single" w:sz="4" w:space="0" w:color="auto"/>
              <w:bottom w:val="nil"/>
              <w:right w:val="nil"/>
            </w:tcBorders>
            <w:shd w:val="clear" w:color="auto" w:fill="auto"/>
            <w:noWrap/>
            <w:vAlign w:val="bottom"/>
            <w:hideMark/>
          </w:tcPr>
          <w:p w14:paraId="4CF90A59"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50</w:t>
            </w:r>
          </w:p>
        </w:tc>
        <w:tc>
          <w:tcPr>
            <w:tcW w:w="772" w:type="dxa"/>
            <w:tcBorders>
              <w:top w:val="nil"/>
              <w:left w:val="nil"/>
              <w:bottom w:val="nil"/>
              <w:right w:val="single" w:sz="4" w:space="0" w:color="auto"/>
            </w:tcBorders>
            <w:shd w:val="clear" w:color="auto" w:fill="auto"/>
            <w:noWrap/>
            <w:vAlign w:val="bottom"/>
            <w:hideMark/>
          </w:tcPr>
          <w:p w14:paraId="090EDCF7"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40</w:t>
            </w:r>
          </w:p>
        </w:tc>
        <w:tc>
          <w:tcPr>
            <w:tcW w:w="794" w:type="dxa"/>
            <w:tcBorders>
              <w:top w:val="nil"/>
              <w:left w:val="single" w:sz="4" w:space="0" w:color="auto"/>
              <w:bottom w:val="nil"/>
              <w:right w:val="nil"/>
            </w:tcBorders>
            <w:shd w:val="clear" w:color="auto" w:fill="auto"/>
            <w:noWrap/>
            <w:vAlign w:val="bottom"/>
            <w:hideMark/>
          </w:tcPr>
          <w:p w14:paraId="1A3FA109"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41</w:t>
            </w:r>
          </w:p>
        </w:tc>
        <w:tc>
          <w:tcPr>
            <w:tcW w:w="772" w:type="dxa"/>
            <w:tcBorders>
              <w:top w:val="nil"/>
              <w:left w:val="nil"/>
              <w:bottom w:val="nil"/>
              <w:right w:val="single" w:sz="4" w:space="0" w:color="auto"/>
            </w:tcBorders>
            <w:shd w:val="clear" w:color="auto" w:fill="auto"/>
            <w:noWrap/>
            <w:vAlign w:val="bottom"/>
            <w:hideMark/>
          </w:tcPr>
          <w:p w14:paraId="16119DAE"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30</w:t>
            </w:r>
          </w:p>
        </w:tc>
        <w:tc>
          <w:tcPr>
            <w:tcW w:w="794" w:type="dxa"/>
            <w:tcBorders>
              <w:top w:val="nil"/>
              <w:left w:val="single" w:sz="4" w:space="0" w:color="auto"/>
              <w:bottom w:val="nil"/>
              <w:right w:val="nil"/>
            </w:tcBorders>
            <w:shd w:val="clear" w:color="auto" w:fill="auto"/>
            <w:noWrap/>
            <w:vAlign w:val="bottom"/>
            <w:hideMark/>
          </w:tcPr>
          <w:p w14:paraId="3CDAD3A9"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42</w:t>
            </w:r>
          </w:p>
        </w:tc>
        <w:tc>
          <w:tcPr>
            <w:tcW w:w="772" w:type="dxa"/>
            <w:tcBorders>
              <w:top w:val="nil"/>
              <w:left w:val="nil"/>
              <w:bottom w:val="nil"/>
              <w:right w:val="single" w:sz="4" w:space="0" w:color="auto"/>
            </w:tcBorders>
            <w:shd w:val="clear" w:color="auto" w:fill="auto"/>
            <w:noWrap/>
            <w:vAlign w:val="bottom"/>
            <w:hideMark/>
          </w:tcPr>
          <w:p w14:paraId="31F6BDC2"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27</w:t>
            </w:r>
          </w:p>
        </w:tc>
        <w:tc>
          <w:tcPr>
            <w:tcW w:w="706" w:type="dxa"/>
            <w:tcBorders>
              <w:top w:val="nil"/>
              <w:left w:val="single" w:sz="4" w:space="0" w:color="auto"/>
              <w:bottom w:val="nil"/>
              <w:right w:val="nil"/>
            </w:tcBorders>
            <w:shd w:val="clear" w:color="auto" w:fill="auto"/>
            <w:noWrap/>
            <w:vAlign w:val="bottom"/>
            <w:hideMark/>
          </w:tcPr>
          <w:p w14:paraId="61DA7A44"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15</w:t>
            </w:r>
          </w:p>
        </w:tc>
        <w:tc>
          <w:tcPr>
            <w:tcW w:w="772" w:type="dxa"/>
            <w:tcBorders>
              <w:top w:val="nil"/>
              <w:left w:val="nil"/>
              <w:bottom w:val="nil"/>
            </w:tcBorders>
            <w:shd w:val="clear" w:color="auto" w:fill="auto"/>
            <w:noWrap/>
            <w:vAlign w:val="bottom"/>
            <w:hideMark/>
          </w:tcPr>
          <w:p w14:paraId="159164CA"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17</w:t>
            </w:r>
          </w:p>
        </w:tc>
      </w:tr>
      <w:tr w:rsidR="00367DB9" w:rsidRPr="00056BD0" w14:paraId="71475430" w14:textId="77777777" w:rsidTr="000C4CD0">
        <w:trPr>
          <w:gridAfter w:val="1"/>
          <w:wAfter w:w="92" w:type="dxa"/>
          <w:trHeight w:val="255"/>
        </w:trPr>
        <w:tc>
          <w:tcPr>
            <w:tcW w:w="1134" w:type="dxa"/>
            <w:tcBorders>
              <w:top w:val="nil"/>
              <w:left w:val="nil"/>
              <w:bottom w:val="nil"/>
            </w:tcBorders>
            <w:shd w:val="clear" w:color="auto" w:fill="auto"/>
            <w:noWrap/>
            <w:vAlign w:val="bottom"/>
            <w:hideMark/>
          </w:tcPr>
          <w:p w14:paraId="3B3F54FC"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43</w:t>
            </w:r>
          </w:p>
        </w:tc>
        <w:tc>
          <w:tcPr>
            <w:tcW w:w="559" w:type="dxa"/>
            <w:tcBorders>
              <w:top w:val="nil"/>
              <w:bottom w:val="nil"/>
              <w:right w:val="single" w:sz="4" w:space="0" w:color="auto"/>
            </w:tcBorders>
            <w:shd w:val="clear" w:color="auto" w:fill="auto"/>
            <w:noWrap/>
            <w:vAlign w:val="bottom"/>
            <w:hideMark/>
          </w:tcPr>
          <w:p w14:paraId="07AC18A0"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41</w:t>
            </w:r>
          </w:p>
        </w:tc>
        <w:tc>
          <w:tcPr>
            <w:tcW w:w="695" w:type="dxa"/>
            <w:tcBorders>
              <w:top w:val="nil"/>
              <w:left w:val="single" w:sz="4" w:space="0" w:color="auto"/>
              <w:bottom w:val="nil"/>
              <w:right w:val="nil"/>
            </w:tcBorders>
            <w:shd w:val="clear" w:color="auto" w:fill="auto"/>
            <w:noWrap/>
            <w:vAlign w:val="bottom"/>
            <w:hideMark/>
          </w:tcPr>
          <w:p w14:paraId="703953C4"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42</w:t>
            </w:r>
          </w:p>
        </w:tc>
        <w:tc>
          <w:tcPr>
            <w:tcW w:w="772" w:type="dxa"/>
            <w:tcBorders>
              <w:top w:val="nil"/>
              <w:left w:val="nil"/>
              <w:bottom w:val="nil"/>
              <w:right w:val="single" w:sz="4" w:space="0" w:color="auto"/>
            </w:tcBorders>
            <w:shd w:val="clear" w:color="auto" w:fill="auto"/>
            <w:noWrap/>
            <w:vAlign w:val="bottom"/>
            <w:hideMark/>
          </w:tcPr>
          <w:p w14:paraId="624F7565"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44</w:t>
            </w:r>
          </w:p>
        </w:tc>
        <w:tc>
          <w:tcPr>
            <w:tcW w:w="695" w:type="dxa"/>
            <w:tcBorders>
              <w:top w:val="nil"/>
              <w:left w:val="single" w:sz="4" w:space="0" w:color="auto"/>
              <w:bottom w:val="nil"/>
              <w:right w:val="nil"/>
            </w:tcBorders>
            <w:shd w:val="clear" w:color="auto" w:fill="auto"/>
            <w:noWrap/>
            <w:vAlign w:val="bottom"/>
            <w:hideMark/>
          </w:tcPr>
          <w:p w14:paraId="1D5792D0"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34</w:t>
            </w:r>
          </w:p>
        </w:tc>
        <w:tc>
          <w:tcPr>
            <w:tcW w:w="772" w:type="dxa"/>
            <w:tcBorders>
              <w:top w:val="nil"/>
              <w:left w:val="nil"/>
              <w:bottom w:val="nil"/>
              <w:right w:val="single" w:sz="4" w:space="0" w:color="auto"/>
            </w:tcBorders>
            <w:shd w:val="clear" w:color="auto" w:fill="auto"/>
            <w:noWrap/>
            <w:vAlign w:val="bottom"/>
            <w:hideMark/>
          </w:tcPr>
          <w:p w14:paraId="43A7F75A"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32</w:t>
            </w:r>
          </w:p>
        </w:tc>
        <w:tc>
          <w:tcPr>
            <w:tcW w:w="794" w:type="dxa"/>
            <w:tcBorders>
              <w:top w:val="nil"/>
              <w:left w:val="single" w:sz="4" w:space="0" w:color="auto"/>
              <w:bottom w:val="nil"/>
              <w:right w:val="nil"/>
            </w:tcBorders>
            <w:shd w:val="clear" w:color="auto" w:fill="auto"/>
            <w:noWrap/>
            <w:vAlign w:val="bottom"/>
            <w:hideMark/>
          </w:tcPr>
          <w:p w14:paraId="1DC8FD9B"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45</w:t>
            </w:r>
          </w:p>
        </w:tc>
        <w:tc>
          <w:tcPr>
            <w:tcW w:w="772" w:type="dxa"/>
            <w:tcBorders>
              <w:top w:val="nil"/>
              <w:left w:val="nil"/>
              <w:bottom w:val="nil"/>
              <w:right w:val="single" w:sz="4" w:space="0" w:color="auto"/>
            </w:tcBorders>
            <w:shd w:val="clear" w:color="auto" w:fill="auto"/>
            <w:noWrap/>
            <w:vAlign w:val="bottom"/>
            <w:hideMark/>
          </w:tcPr>
          <w:p w14:paraId="42B5E8D8"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47</w:t>
            </w:r>
          </w:p>
        </w:tc>
        <w:tc>
          <w:tcPr>
            <w:tcW w:w="695" w:type="dxa"/>
            <w:tcBorders>
              <w:top w:val="nil"/>
              <w:left w:val="single" w:sz="4" w:space="0" w:color="auto"/>
              <w:bottom w:val="nil"/>
              <w:right w:val="nil"/>
            </w:tcBorders>
            <w:shd w:val="clear" w:color="auto" w:fill="auto"/>
            <w:noWrap/>
            <w:vAlign w:val="bottom"/>
            <w:hideMark/>
          </w:tcPr>
          <w:p w14:paraId="57B26F86"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46</w:t>
            </w:r>
          </w:p>
        </w:tc>
        <w:tc>
          <w:tcPr>
            <w:tcW w:w="772" w:type="dxa"/>
            <w:tcBorders>
              <w:top w:val="nil"/>
              <w:left w:val="nil"/>
              <w:bottom w:val="nil"/>
              <w:right w:val="single" w:sz="4" w:space="0" w:color="auto"/>
            </w:tcBorders>
            <w:shd w:val="clear" w:color="auto" w:fill="auto"/>
            <w:noWrap/>
            <w:vAlign w:val="bottom"/>
            <w:hideMark/>
          </w:tcPr>
          <w:p w14:paraId="736D4556"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51</w:t>
            </w:r>
          </w:p>
        </w:tc>
        <w:tc>
          <w:tcPr>
            <w:tcW w:w="695" w:type="dxa"/>
            <w:tcBorders>
              <w:top w:val="nil"/>
              <w:left w:val="single" w:sz="4" w:space="0" w:color="auto"/>
              <w:bottom w:val="nil"/>
              <w:right w:val="nil"/>
            </w:tcBorders>
            <w:shd w:val="clear" w:color="auto" w:fill="auto"/>
            <w:noWrap/>
            <w:vAlign w:val="bottom"/>
            <w:hideMark/>
          </w:tcPr>
          <w:p w14:paraId="4209F665"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39</w:t>
            </w:r>
          </w:p>
        </w:tc>
        <w:tc>
          <w:tcPr>
            <w:tcW w:w="772" w:type="dxa"/>
            <w:tcBorders>
              <w:top w:val="nil"/>
              <w:left w:val="nil"/>
              <w:bottom w:val="nil"/>
              <w:right w:val="single" w:sz="4" w:space="0" w:color="auto"/>
            </w:tcBorders>
            <w:shd w:val="clear" w:color="auto" w:fill="auto"/>
            <w:noWrap/>
            <w:vAlign w:val="bottom"/>
            <w:hideMark/>
          </w:tcPr>
          <w:p w14:paraId="133E47CD"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37</w:t>
            </w:r>
          </w:p>
        </w:tc>
        <w:tc>
          <w:tcPr>
            <w:tcW w:w="794" w:type="dxa"/>
            <w:tcBorders>
              <w:top w:val="nil"/>
              <w:left w:val="single" w:sz="4" w:space="0" w:color="auto"/>
              <w:bottom w:val="nil"/>
              <w:right w:val="nil"/>
            </w:tcBorders>
            <w:shd w:val="clear" w:color="auto" w:fill="auto"/>
            <w:noWrap/>
            <w:vAlign w:val="bottom"/>
            <w:hideMark/>
          </w:tcPr>
          <w:p w14:paraId="57554569"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43</w:t>
            </w:r>
          </w:p>
        </w:tc>
        <w:tc>
          <w:tcPr>
            <w:tcW w:w="772" w:type="dxa"/>
            <w:tcBorders>
              <w:top w:val="nil"/>
              <w:left w:val="nil"/>
              <w:bottom w:val="nil"/>
              <w:right w:val="single" w:sz="4" w:space="0" w:color="auto"/>
            </w:tcBorders>
            <w:shd w:val="clear" w:color="auto" w:fill="auto"/>
            <w:noWrap/>
            <w:vAlign w:val="bottom"/>
            <w:hideMark/>
          </w:tcPr>
          <w:p w14:paraId="7D54A0FC"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43</w:t>
            </w:r>
          </w:p>
        </w:tc>
        <w:tc>
          <w:tcPr>
            <w:tcW w:w="794" w:type="dxa"/>
            <w:tcBorders>
              <w:top w:val="nil"/>
              <w:left w:val="single" w:sz="4" w:space="0" w:color="auto"/>
              <w:bottom w:val="nil"/>
              <w:right w:val="nil"/>
            </w:tcBorders>
            <w:shd w:val="clear" w:color="auto" w:fill="auto"/>
            <w:noWrap/>
            <w:vAlign w:val="bottom"/>
            <w:hideMark/>
          </w:tcPr>
          <w:p w14:paraId="32B0ED91"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43</w:t>
            </w:r>
          </w:p>
        </w:tc>
        <w:tc>
          <w:tcPr>
            <w:tcW w:w="772" w:type="dxa"/>
            <w:tcBorders>
              <w:top w:val="nil"/>
              <w:left w:val="nil"/>
              <w:bottom w:val="nil"/>
              <w:right w:val="single" w:sz="4" w:space="0" w:color="auto"/>
            </w:tcBorders>
            <w:shd w:val="clear" w:color="auto" w:fill="auto"/>
            <w:noWrap/>
            <w:vAlign w:val="bottom"/>
            <w:hideMark/>
          </w:tcPr>
          <w:p w14:paraId="48969DA1"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43</w:t>
            </w:r>
          </w:p>
        </w:tc>
        <w:tc>
          <w:tcPr>
            <w:tcW w:w="706" w:type="dxa"/>
            <w:tcBorders>
              <w:top w:val="nil"/>
              <w:left w:val="single" w:sz="4" w:space="0" w:color="auto"/>
              <w:bottom w:val="nil"/>
              <w:right w:val="nil"/>
            </w:tcBorders>
            <w:shd w:val="clear" w:color="auto" w:fill="auto"/>
            <w:noWrap/>
            <w:vAlign w:val="bottom"/>
            <w:hideMark/>
          </w:tcPr>
          <w:p w14:paraId="552A0E0B"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12</w:t>
            </w:r>
          </w:p>
        </w:tc>
        <w:tc>
          <w:tcPr>
            <w:tcW w:w="772" w:type="dxa"/>
            <w:tcBorders>
              <w:top w:val="nil"/>
              <w:left w:val="nil"/>
              <w:bottom w:val="nil"/>
            </w:tcBorders>
            <w:shd w:val="clear" w:color="auto" w:fill="auto"/>
            <w:noWrap/>
            <w:vAlign w:val="bottom"/>
            <w:hideMark/>
          </w:tcPr>
          <w:p w14:paraId="49698CB2"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19</w:t>
            </w:r>
          </w:p>
        </w:tc>
      </w:tr>
      <w:tr w:rsidR="00367DB9" w:rsidRPr="00056BD0" w14:paraId="6CABCDAD" w14:textId="77777777" w:rsidTr="000C4CD0">
        <w:trPr>
          <w:gridAfter w:val="1"/>
          <w:wAfter w:w="92" w:type="dxa"/>
          <w:trHeight w:val="255"/>
        </w:trPr>
        <w:tc>
          <w:tcPr>
            <w:tcW w:w="1134" w:type="dxa"/>
            <w:tcBorders>
              <w:top w:val="nil"/>
              <w:left w:val="nil"/>
              <w:bottom w:val="nil"/>
            </w:tcBorders>
            <w:shd w:val="clear" w:color="auto" w:fill="auto"/>
            <w:noWrap/>
            <w:vAlign w:val="bottom"/>
            <w:hideMark/>
          </w:tcPr>
          <w:p w14:paraId="5875B93C"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44</w:t>
            </w:r>
          </w:p>
        </w:tc>
        <w:tc>
          <w:tcPr>
            <w:tcW w:w="559" w:type="dxa"/>
            <w:tcBorders>
              <w:top w:val="nil"/>
              <w:bottom w:val="nil"/>
              <w:right w:val="single" w:sz="4" w:space="0" w:color="auto"/>
            </w:tcBorders>
            <w:shd w:val="clear" w:color="auto" w:fill="auto"/>
            <w:noWrap/>
            <w:vAlign w:val="bottom"/>
            <w:hideMark/>
          </w:tcPr>
          <w:p w14:paraId="3750201E"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51</w:t>
            </w:r>
          </w:p>
        </w:tc>
        <w:tc>
          <w:tcPr>
            <w:tcW w:w="695" w:type="dxa"/>
            <w:tcBorders>
              <w:top w:val="nil"/>
              <w:left w:val="single" w:sz="4" w:space="0" w:color="auto"/>
              <w:bottom w:val="nil"/>
              <w:right w:val="nil"/>
            </w:tcBorders>
            <w:shd w:val="clear" w:color="auto" w:fill="auto"/>
            <w:noWrap/>
            <w:vAlign w:val="bottom"/>
            <w:hideMark/>
          </w:tcPr>
          <w:p w14:paraId="17ECF944"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53</w:t>
            </w:r>
          </w:p>
        </w:tc>
        <w:tc>
          <w:tcPr>
            <w:tcW w:w="772" w:type="dxa"/>
            <w:tcBorders>
              <w:top w:val="nil"/>
              <w:left w:val="nil"/>
              <w:bottom w:val="nil"/>
              <w:right w:val="single" w:sz="4" w:space="0" w:color="auto"/>
            </w:tcBorders>
            <w:shd w:val="clear" w:color="auto" w:fill="auto"/>
            <w:noWrap/>
            <w:vAlign w:val="bottom"/>
            <w:hideMark/>
          </w:tcPr>
          <w:p w14:paraId="79235B6C"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53</w:t>
            </w:r>
          </w:p>
        </w:tc>
        <w:tc>
          <w:tcPr>
            <w:tcW w:w="695" w:type="dxa"/>
            <w:tcBorders>
              <w:top w:val="nil"/>
              <w:left w:val="single" w:sz="4" w:space="0" w:color="auto"/>
              <w:bottom w:val="nil"/>
              <w:right w:val="nil"/>
            </w:tcBorders>
            <w:shd w:val="clear" w:color="auto" w:fill="auto"/>
            <w:noWrap/>
            <w:vAlign w:val="bottom"/>
            <w:hideMark/>
          </w:tcPr>
          <w:p w14:paraId="5C774780"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52</w:t>
            </w:r>
          </w:p>
        </w:tc>
        <w:tc>
          <w:tcPr>
            <w:tcW w:w="772" w:type="dxa"/>
            <w:tcBorders>
              <w:top w:val="nil"/>
              <w:left w:val="nil"/>
              <w:bottom w:val="nil"/>
              <w:right w:val="single" w:sz="4" w:space="0" w:color="auto"/>
            </w:tcBorders>
            <w:shd w:val="clear" w:color="auto" w:fill="auto"/>
            <w:noWrap/>
            <w:vAlign w:val="bottom"/>
            <w:hideMark/>
          </w:tcPr>
          <w:p w14:paraId="66FEF0B5"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54</w:t>
            </w:r>
          </w:p>
        </w:tc>
        <w:tc>
          <w:tcPr>
            <w:tcW w:w="794" w:type="dxa"/>
            <w:tcBorders>
              <w:top w:val="nil"/>
              <w:left w:val="single" w:sz="4" w:space="0" w:color="auto"/>
              <w:bottom w:val="nil"/>
              <w:right w:val="nil"/>
            </w:tcBorders>
            <w:shd w:val="clear" w:color="auto" w:fill="auto"/>
            <w:noWrap/>
            <w:vAlign w:val="bottom"/>
            <w:hideMark/>
          </w:tcPr>
          <w:p w14:paraId="5D654F95"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43</w:t>
            </w:r>
          </w:p>
        </w:tc>
        <w:tc>
          <w:tcPr>
            <w:tcW w:w="772" w:type="dxa"/>
            <w:tcBorders>
              <w:top w:val="nil"/>
              <w:left w:val="nil"/>
              <w:bottom w:val="nil"/>
              <w:right w:val="single" w:sz="4" w:space="0" w:color="auto"/>
            </w:tcBorders>
            <w:shd w:val="clear" w:color="auto" w:fill="auto"/>
            <w:noWrap/>
            <w:vAlign w:val="bottom"/>
            <w:hideMark/>
          </w:tcPr>
          <w:p w14:paraId="12AADC53"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40</w:t>
            </w:r>
          </w:p>
        </w:tc>
        <w:tc>
          <w:tcPr>
            <w:tcW w:w="695" w:type="dxa"/>
            <w:tcBorders>
              <w:top w:val="nil"/>
              <w:left w:val="single" w:sz="4" w:space="0" w:color="auto"/>
              <w:bottom w:val="nil"/>
              <w:right w:val="nil"/>
            </w:tcBorders>
            <w:shd w:val="clear" w:color="auto" w:fill="auto"/>
            <w:noWrap/>
            <w:vAlign w:val="bottom"/>
            <w:hideMark/>
          </w:tcPr>
          <w:p w14:paraId="3FD323C9"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37</w:t>
            </w:r>
          </w:p>
        </w:tc>
        <w:tc>
          <w:tcPr>
            <w:tcW w:w="772" w:type="dxa"/>
            <w:tcBorders>
              <w:top w:val="nil"/>
              <w:left w:val="nil"/>
              <w:bottom w:val="nil"/>
              <w:right w:val="single" w:sz="4" w:space="0" w:color="auto"/>
            </w:tcBorders>
            <w:shd w:val="clear" w:color="auto" w:fill="auto"/>
            <w:noWrap/>
            <w:vAlign w:val="bottom"/>
            <w:hideMark/>
          </w:tcPr>
          <w:p w14:paraId="2210A260"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37</w:t>
            </w:r>
          </w:p>
        </w:tc>
        <w:tc>
          <w:tcPr>
            <w:tcW w:w="695" w:type="dxa"/>
            <w:tcBorders>
              <w:top w:val="nil"/>
              <w:left w:val="single" w:sz="4" w:space="0" w:color="auto"/>
              <w:bottom w:val="nil"/>
              <w:right w:val="nil"/>
            </w:tcBorders>
            <w:shd w:val="clear" w:color="auto" w:fill="auto"/>
            <w:noWrap/>
            <w:vAlign w:val="bottom"/>
            <w:hideMark/>
          </w:tcPr>
          <w:p w14:paraId="7331F3DF"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41</w:t>
            </w:r>
          </w:p>
        </w:tc>
        <w:tc>
          <w:tcPr>
            <w:tcW w:w="772" w:type="dxa"/>
            <w:tcBorders>
              <w:top w:val="nil"/>
              <w:left w:val="nil"/>
              <w:bottom w:val="nil"/>
              <w:right w:val="single" w:sz="4" w:space="0" w:color="auto"/>
            </w:tcBorders>
            <w:shd w:val="clear" w:color="auto" w:fill="auto"/>
            <w:noWrap/>
            <w:vAlign w:val="bottom"/>
            <w:hideMark/>
          </w:tcPr>
          <w:p w14:paraId="5E65984A"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46</w:t>
            </w:r>
          </w:p>
        </w:tc>
        <w:tc>
          <w:tcPr>
            <w:tcW w:w="794" w:type="dxa"/>
            <w:tcBorders>
              <w:top w:val="nil"/>
              <w:left w:val="single" w:sz="4" w:space="0" w:color="auto"/>
              <w:bottom w:val="nil"/>
              <w:right w:val="nil"/>
            </w:tcBorders>
            <w:shd w:val="clear" w:color="auto" w:fill="auto"/>
            <w:noWrap/>
            <w:vAlign w:val="bottom"/>
            <w:hideMark/>
          </w:tcPr>
          <w:p w14:paraId="7A902679"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46</w:t>
            </w:r>
          </w:p>
        </w:tc>
        <w:tc>
          <w:tcPr>
            <w:tcW w:w="772" w:type="dxa"/>
            <w:tcBorders>
              <w:top w:val="nil"/>
              <w:left w:val="nil"/>
              <w:bottom w:val="nil"/>
              <w:right w:val="single" w:sz="4" w:space="0" w:color="auto"/>
            </w:tcBorders>
            <w:shd w:val="clear" w:color="auto" w:fill="auto"/>
            <w:noWrap/>
            <w:vAlign w:val="bottom"/>
            <w:hideMark/>
          </w:tcPr>
          <w:p w14:paraId="0720D6C3"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52</w:t>
            </w:r>
          </w:p>
        </w:tc>
        <w:tc>
          <w:tcPr>
            <w:tcW w:w="794" w:type="dxa"/>
            <w:tcBorders>
              <w:top w:val="nil"/>
              <w:left w:val="single" w:sz="4" w:space="0" w:color="auto"/>
              <w:bottom w:val="nil"/>
              <w:right w:val="nil"/>
            </w:tcBorders>
            <w:shd w:val="clear" w:color="auto" w:fill="auto"/>
            <w:noWrap/>
            <w:vAlign w:val="bottom"/>
            <w:hideMark/>
          </w:tcPr>
          <w:p w14:paraId="11DBB269"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44</w:t>
            </w:r>
          </w:p>
        </w:tc>
        <w:tc>
          <w:tcPr>
            <w:tcW w:w="772" w:type="dxa"/>
            <w:tcBorders>
              <w:top w:val="nil"/>
              <w:left w:val="nil"/>
              <w:bottom w:val="nil"/>
              <w:right w:val="single" w:sz="4" w:space="0" w:color="auto"/>
            </w:tcBorders>
            <w:shd w:val="clear" w:color="auto" w:fill="auto"/>
            <w:noWrap/>
            <w:vAlign w:val="bottom"/>
            <w:hideMark/>
          </w:tcPr>
          <w:p w14:paraId="34582922"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49</w:t>
            </w:r>
          </w:p>
        </w:tc>
        <w:tc>
          <w:tcPr>
            <w:tcW w:w="706" w:type="dxa"/>
            <w:tcBorders>
              <w:top w:val="nil"/>
              <w:left w:val="single" w:sz="4" w:space="0" w:color="auto"/>
              <w:bottom w:val="nil"/>
              <w:right w:val="nil"/>
            </w:tcBorders>
            <w:shd w:val="clear" w:color="auto" w:fill="auto"/>
            <w:noWrap/>
            <w:vAlign w:val="bottom"/>
            <w:hideMark/>
          </w:tcPr>
          <w:p w14:paraId="352EBFAA"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16</w:t>
            </w:r>
          </w:p>
        </w:tc>
        <w:tc>
          <w:tcPr>
            <w:tcW w:w="772" w:type="dxa"/>
            <w:tcBorders>
              <w:top w:val="nil"/>
              <w:left w:val="nil"/>
              <w:bottom w:val="nil"/>
            </w:tcBorders>
            <w:shd w:val="clear" w:color="auto" w:fill="auto"/>
            <w:noWrap/>
            <w:vAlign w:val="bottom"/>
            <w:hideMark/>
          </w:tcPr>
          <w:p w14:paraId="5D7BAD14"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17</w:t>
            </w:r>
          </w:p>
        </w:tc>
      </w:tr>
      <w:tr w:rsidR="00367DB9" w:rsidRPr="00056BD0" w14:paraId="0BF71733" w14:textId="77777777" w:rsidTr="000C4CD0">
        <w:trPr>
          <w:gridAfter w:val="1"/>
          <w:wAfter w:w="92" w:type="dxa"/>
          <w:trHeight w:val="255"/>
        </w:trPr>
        <w:tc>
          <w:tcPr>
            <w:tcW w:w="1134" w:type="dxa"/>
            <w:tcBorders>
              <w:top w:val="nil"/>
              <w:left w:val="nil"/>
              <w:bottom w:val="nil"/>
            </w:tcBorders>
            <w:shd w:val="clear" w:color="auto" w:fill="auto"/>
            <w:noWrap/>
            <w:vAlign w:val="bottom"/>
            <w:hideMark/>
          </w:tcPr>
          <w:p w14:paraId="15FE57E4"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45</w:t>
            </w:r>
          </w:p>
        </w:tc>
        <w:tc>
          <w:tcPr>
            <w:tcW w:w="559" w:type="dxa"/>
            <w:tcBorders>
              <w:top w:val="nil"/>
              <w:bottom w:val="nil"/>
              <w:right w:val="single" w:sz="4" w:space="0" w:color="auto"/>
            </w:tcBorders>
            <w:shd w:val="clear" w:color="auto" w:fill="auto"/>
            <w:noWrap/>
            <w:vAlign w:val="bottom"/>
            <w:hideMark/>
          </w:tcPr>
          <w:p w14:paraId="597E8AFC"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93</w:t>
            </w:r>
          </w:p>
        </w:tc>
        <w:tc>
          <w:tcPr>
            <w:tcW w:w="695" w:type="dxa"/>
            <w:tcBorders>
              <w:top w:val="nil"/>
              <w:left w:val="single" w:sz="4" w:space="0" w:color="auto"/>
              <w:bottom w:val="nil"/>
              <w:right w:val="nil"/>
            </w:tcBorders>
            <w:shd w:val="clear" w:color="auto" w:fill="auto"/>
            <w:noWrap/>
            <w:vAlign w:val="bottom"/>
            <w:hideMark/>
          </w:tcPr>
          <w:p w14:paraId="66A6D87C"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44</w:t>
            </w:r>
          </w:p>
        </w:tc>
        <w:tc>
          <w:tcPr>
            <w:tcW w:w="772" w:type="dxa"/>
            <w:tcBorders>
              <w:top w:val="nil"/>
              <w:left w:val="nil"/>
              <w:bottom w:val="nil"/>
              <w:right w:val="single" w:sz="4" w:space="0" w:color="auto"/>
            </w:tcBorders>
            <w:shd w:val="clear" w:color="auto" w:fill="auto"/>
            <w:noWrap/>
            <w:vAlign w:val="bottom"/>
            <w:hideMark/>
          </w:tcPr>
          <w:p w14:paraId="29CBFF50"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40</w:t>
            </w:r>
          </w:p>
        </w:tc>
        <w:tc>
          <w:tcPr>
            <w:tcW w:w="695" w:type="dxa"/>
            <w:tcBorders>
              <w:top w:val="nil"/>
              <w:left w:val="single" w:sz="4" w:space="0" w:color="auto"/>
              <w:bottom w:val="nil"/>
              <w:right w:val="nil"/>
            </w:tcBorders>
            <w:shd w:val="clear" w:color="auto" w:fill="auto"/>
            <w:noWrap/>
            <w:vAlign w:val="bottom"/>
            <w:hideMark/>
          </w:tcPr>
          <w:p w14:paraId="120E79FB"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32</w:t>
            </w:r>
          </w:p>
        </w:tc>
        <w:tc>
          <w:tcPr>
            <w:tcW w:w="772" w:type="dxa"/>
            <w:tcBorders>
              <w:top w:val="nil"/>
              <w:left w:val="nil"/>
              <w:bottom w:val="nil"/>
              <w:right w:val="single" w:sz="4" w:space="0" w:color="auto"/>
            </w:tcBorders>
            <w:shd w:val="clear" w:color="auto" w:fill="auto"/>
            <w:noWrap/>
            <w:vAlign w:val="bottom"/>
            <w:hideMark/>
          </w:tcPr>
          <w:p w14:paraId="506A4476"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29</w:t>
            </w:r>
          </w:p>
        </w:tc>
        <w:tc>
          <w:tcPr>
            <w:tcW w:w="794" w:type="dxa"/>
            <w:tcBorders>
              <w:top w:val="nil"/>
              <w:left w:val="single" w:sz="4" w:space="0" w:color="auto"/>
              <w:bottom w:val="nil"/>
              <w:right w:val="nil"/>
            </w:tcBorders>
            <w:shd w:val="clear" w:color="auto" w:fill="auto"/>
            <w:noWrap/>
            <w:vAlign w:val="bottom"/>
            <w:hideMark/>
          </w:tcPr>
          <w:p w14:paraId="17D13823"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56</w:t>
            </w:r>
          </w:p>
        </w:tc>
        <w:tc>
          <w:tcPr>
            <w:tcW w:w="772" w:type="dxa"/>
            <w:tcBorders>
              <w:top w:val="nil"/>
              <w:left w:val="nil"/>
              <w:bottom w:val="nil"/>
              <w:right w:val="single" w:sz="4" w:space="0" w:color="auto"/>
            </w:tcBorders>
            <w:shd w:val="clear" w:color="auto" w:fill="auto"/>
            <w:noWrap/>
            <w:vAlign w:val="bottom"/>
            <w:hideMark/>
          </w:tcPr>
          <w:p w14:paraId="50636550"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58</w:t>
            </w:r>
          </w:p>
        </w:tc>
        <w:tc>
          <w:tcPr>
            <w:tcW w:w="695" w:type="dxa"/>
            <w:tcBorders>
              <w:top w:val="nil"/>
              <w:left w:val="single" w:sz="4" w:space="0" w:color="auto"/>
              <w:bottom w:val="nil"/>
              <w:right w:val="nil"/>
            </w:tcBorders>
            <w:shd w:val="clear" w:color="auto" w:fill="auto"/>
            <w:noWrap/>
            <w:vAlign w:val="bottom"/>
            <w:hideMark/>
          </w:tcPr>
          <w:p w14:paraId="10329CA9"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51</w:t>
            </w:r>
          </w:p>
        </w:tc>
        <w:tc>
          <w:tcPr>
            <w:tcW w:w="772" w:type="dxa"/>
            <w:tcBorders>
              <w:top w:val="nil"/>
              <w:left w:val="nil"/>
              <w:bottom w:val="nil"/>
              <w:right w:val="single" w:sz="4" w:space="0" w:color="auto"/>
            </w:tcBorders>
            <w:shd w:val="clear" w:color="auto" w:fill="auto"/>
            <w:noWrap/>
            <w:vAlign w:val="bottom"/>
            <w:hideMark/>
          </w:tcPr>
          <w:p w14:paraId="00B0B6C5"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48</w:t>
            </w:r>
          </w:p>
        </w:tc>
        <w:tc>
          <w:tcPr>
            <w:tcW w:w="695" w:type="dxa"/>
            <w:tcBorders>
              <w:top w:val="nil"/>
              <w:left w:val="single" w:sz="4" w:space="0" w:color="auto"/>
              <w:bottom w:val="nil"/>
              <w:right w:val="nil"/>
            </w:tcBorders>
            <w:shd w:val="clear" w:color="auto" w:fill="auto"/>
            <w:noWrap/>
            <w:vAlign w:val="bottom"/>
            <w:hideMark/>
          </w:tcPr>
          <w:p w14:paraId="16605FF6"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45</w:t>
            </w:r>
          </w:p>
        </w:tc>
        <w:tc>
          <w:tcPr>
            <w:tcW w:w="772" w:type="dxa"/>
            <w:tcBorders>
              <w:top w:val="nil"/>
              <w:left w:val="nil"/>
              <w:bottom w:val="nil"/>
              <w:right w:val="single" w:sz="4" w:space="0" w:color="auto"/>
            </w:tcBorders>
            <w:shd w:val="clear" w:color="auto" w:fill="auto"/>
            <w:noWrap/>
            <w:vAlign w:val="bottom"/>
            <w:hideMark/>
          </w:tcPr>
          <w:p w14:paraId="0A4E2348"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41</w:t>
            </w:r>
          </w:p>
        </w:tc>
        <w:tc>
          <w:tcPr>
            <w:tcW w:w="794" w:type="dxa"/>
            <w:tcBorders>
              <w:top w:val="nil"/>
              <w:left w:val="single" w:sz="4" w:space="0" w:color="auto"/>
              <w:bottom w:val="nil"/>
              <w:right w:val="nil"/>
            </w:tcBorders>
            <w:shd w:val="clear" w:color="auto" w:fill="auto"/>
            <w:noWrap/>
            <w:vAlign w:val="bottom"/>
            <w:hideMark/>
          </w:tcPr>
          <w:p w14:paraId="72AC4800"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57</w:t>
            </w:r>
          </w:p>
        </w:tc>
        <w:tc>
          <w:tcPr>
            <w:tcW w:w="772" w:type="dxa"/>
            <w:tcBorders>
              <w:top w:val="nil"/>
              <w:left w:val="nil"/>
              <w:bottom w:val="nil"/>
              <w:right w:val="single" w:sz="4" w:space="0" w:color="auto"/>
            </w:tcBorders>
            <w:shd w:val="clear" w:color="auto" w:fill="auto"/>
            <w:noWrap/>
            <w:vAlign w:val="bottom"/>
            <w:hideMark/>
          </w:tcPr>
          <w:p w14:paraId="56530B17"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54</w:t>
            </w:r>
          </w:p>
        </w:tc>
        <w:tc>
          <w:tcPr>
            <w:tcW w:w="794" w:type="dxa"/>
            <w:tcBorders>
              <w:top w:val="nil"/>
              <w:left w:val="single" w:sz="4" w:space="0" w:color="auto"/>
              <w:bottom w:val="nil"/>
              <w:right w:val="nil"/>
            </w:tcBorders>
            <w:shd w:val="clear" w:color="auto" w:fill="auto"/>
            <w:noWrap/>
            <w:vAlign w:val="bottom"/>
            <w:hideMark/>
          </w:tcPr>
          <w:p w14:paraId="4ADD66EB"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45</w:t>
            </w:r>
          </w:p>
        </w:tc>
        <w:tc>
          <w:tcPr>
            <w:tcW w:w="772" w:type="dxa"/>
            <w:tcBorders>
              <w:top w:val="nil"/>
              <w:left w:val="nil"/>
              <w:bottom w:val="nil"/>
              <w:right w:val="single" w:sz="4" w:space="0" w:color="auto"/>
            </w:tcBorders>
            <w:shd w:val="clear" w:color="auto" w:fill="auto"/>
            <w:noWrap/>
            <w:vAlign w:val="bottom"/>
            <w:hideMark/>
          </w:tcPr>
          <w:p w14:paraId="2AC21EFD"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45</w:t>
            </w:r>
          </w:p>
        </w:tc>
        <w:tc>
          <w:tcPr>
            <w:tcW w:w="706" w:type="dxa"/>
            <w:tcBorders>
              <w:top w:val="nil"/>
              <w:left w:val="single" w:sz="4" w:space="0" w:color="auto"/>
              <w:bottom w:val="nil"/>
              <w:right w:val="nil"/>
            </w:tcBorders>
            <w:shd w:val="clear" w:color="auto" w:fill="auto"/>
            <w:noWrap/>
            <w:vAlign w:val="bottom"/>
            <w:hideMark/>
          </w:tcPr>
          <w:p w14:paraId="742B8CAD"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25</w:t>
            </w:r>
          </w:p>
        </w:tc>
        <w:tc>
          <w:tcPr>
            <w:tcW w:w="772" w:type="dxa"/>
            <w:tcBorders>
              <w:top w:val="nil"/>
              <w:left w:val="nil"/>
              <w:bottom w:val="nil"/>
            </w:tcBorders>
            <w:shd w:val="clear" w:color="auto" w:fill="auto"/>
            <w:noWrap/>
            <w:vAlign w:val="bottom"/>
            <w:hideMark/>
          </w:tcPr>
          <w:p w14:paraId="45C0AE9A"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29</w:t>
            </w:r>
          </w:p>
        </w:tc>
      </w:tr>
      <w:tr w:rsidR="00367DB9" w:rsidRPr="00056BD0" w14:paraId="6BD8CB99" w14:textId="77777777" w:rsidTr="000C4CD0">
        <w:trPr>
          <w:gridAfter w:val="1"/>
          <w:wAfter w:w="92" w:type="dxa"/>
          <w:trHeight w:val="255"/>
        </w:trPr>
        <w:tc>
          <w:tcPr>
            <w:tcW w:w="1134" w:type="dxa"/>
            <w:tcBorders>
              <w:top w:val="nil"/>
              <w:left w:val="nil"/>
              <w:bottom w:val="nil"/>
            </w:tcBorders>
            <w:shd w:val="clear" w:color="auto" w:fill="auto"/>
            <w:noWrap/>
            <w:vAlign w:val="bottom"/>
            <w:hideMark/>
          </w:tcPr>
          <w:p w14:paraId="2141BD6C"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46</w:t>
            </w:r>
          </w:p>
        </w:tc>
        <w:tc>
          <w:tcPr>
            <w:tcW w:w="559" w:type="dxa"/>
            <w:tcBorders>
              <w:top w:val="nil"/>
              <w:bottom w:val="nil"/>
              <w:right w:val="single" w:sz="4" w:space="0" w:color="auto"/>
            </w:tcBorders>
            <w:shd w:val="clear" w:color="auto" w:fill="auto"/>
            <w:noWrap/>
            <w:vAlign w:val="bottom"/>
            <w:hideMark/>
          </w:tcPr>
          <w:p w14:paraId="720C8D0E"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43</w:t>
            </w:r>
          </w:p>
        </w:tc>
        <w:tc>
          <w:tcPr>
            <w:tcW w:w="695" w:type="dxa"/>
            <w:tcBorders>
              <w:top w:val="nil"/>
              <w:left w:val="single" w:sz="4" w:space="0" w:color="auto"/>
              <w:bottom w:val="nil"/>
              <w:right w:val="nil"/>
            </w:tcBorders>
            <w:shd w:val="clear" w:color="auto" w:fill="auto"/>
            <w:noWrap/>
            <w:vAlign w:val="bottom"/>
            <w:hideMark/>
          </w:tcPr>
          <w:p w14:paraId="668C5476"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45</w:t>
            </w:r>
          </w:p>
        </w:tc>
        <w:tc>
          <w:tcPr>
            <w:tcW w:w="772" w:type="dxa"/>
            <w:tcBorders>
              <w:top w:val="nil"/>
              <w:left w:val="nil"/>
              <w:bottom w:val="nil"/>
              <w:right w:val="single" w:sz="4" w:space="0" w:color="auto"/>
            </w:tcBorders>
            <w:shd w:val="clear" w:color="auto" w:fill="auto"/>
            <w:noWrap/>
            <w:vAlign w:val="bottom"/>
            <w:hideMark/>
          </w:tcPr>
          <w:p w14:paraId="30910ECE"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32</w:t>
            </w:r>
          </w:p>
        </w:tc>
        <w:tc>
          <w:tcPr>
            <w:tcW w:w="695" w:type="dxa"/>
            <w:tcBorders>
              <w:top w:val="nil"/>
              <w:left w:val="single" w:sz="4" w:space="0" w:color="auto"/>
              <w:bottom w:val="nil"/>
              <w:right w:val="nil"/>
            </w:tcBorders>
            <w:shd w:val="clear" w:color="auto" w:fill="auto"/>
            <w:noWrap/>
            <w:vAlign w:val="bottom"/>
            <w:hideMark/>
          </w:tcPr>
          <w:p w14:paraId="47F1C9CE"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31</w:t>
            </w:r>
          </w:p>
        </w:tc>
        <w:tc>
          <w:tcPr>
            <w:tcW w:w="772" w:type="dxa"/>
            <w:tcBorders>
              <w:top w:val="nil"/>
              <w:left w:val="nil"/>
              <w:bottom w:val="nil"/>
              <w:right w:val="single" w:sz="4" w:space="0" w:color="auto"/>
            </w:tcBorders>
            <w:shd w:val="clear" w:color="auto" w:fill="auto"/>
            <w:noWrap/>
            <w:vAlign w:val="bottom"/>
            <w:hideMark/>
          </w:tcPr>
          <w:p w14:paraId="21D7BCEE"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26</w:t>
            </w:r>
          </w:p>
        </w:tc>
        <w:tc>
          <w:tcPr>
            <w:tcW w:w="794" w:type="dxa"/>
            <w:tcBorders>
              <w:top w:val="nil"/>
              <w:left w:val="single" w:sz="4" w:space="0" w:color="auto"/>
              <w:bottom w:val="nil"/>
              <w:right w:val="nil"/>
            </w:tcBorders>
            <w:shd w:val="clear" w:color="auto" w:fill="auto"/>
            <w:noWrap/>
            <w:vAlign w:val="bottom"/>
            <w:hideMark/>
          </w:tcPr>
          <w:p w14:paraId="6C77A8CF"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65</w:t>
            </w:r>
          </w:p>
        </w:tc>
        <w:tc>
          <w:tcPr>
            <w:tcW w:w="772" w:type="dxa"/>
            <w:tcBorders>
              <w:top w:val="nil"/>
              <w:left w:val="nil"/>
              <w:bottom w:val="nil"/>
              <w:right w:val="single" w:sz="4" w:space="0" w:color="auto"/>
            </w:tcBorders>
            <w:shd w:val="clear" w:color="auto" w:fill="auto"/>
            <w:noWrap/>
            <w:vAlign w:val="bottom"/>
            <w:hideMark/>
          </w:tcPr>
          <w:p w14:paraId="45940FCD"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47</w:t>
            </w:r>
          </w:p>
        </w:tc>
        <w:tc>
          <w:tcPr>
            <w:tcW w:w="695" w:type="dxa"/>
            <w:tcBorders>
              <w:top w:val="nil"/>
              <w:left w:val="single" w:sz="4" w:space="0" w:color="auto"/>
              <w:bottom w:val="nil"/>
              <w:right w:val="nil"/>
            </w:tcBorders>
            <w:shd w:val="clear" w:color="auto" w:fill="auto"/>
            <w:noWrap/>
            <w:vAlign w:val="bottom"/>
            <w:hideMark/>
          </w:tcPr>
          <w:p w14:paraId="5C2EF606"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47</w:t>
            </w:r>
          </w:p>
        </w:tc>
        <w:tc>
          <w:tcPr>
            <w:tcW w:w="772" w:type="dxa"/>
            <w:tcBorders>
              <w:top w:val="nil"/>
              <w:left w:val="nil"/>
              <w:bottom w:val="nil"/>
              <w:right w:val="single" w:sz="4" w:space="0" w:color="auto"/>
            </w:tcBorders>
            <w:shd w:val="clear" w:color="auto" w:fill="auto"/>
            <w:noWrap/>
            <w:vAlign w:val="bottom"/>
            <w:hideMark/>
          </w:tcPr>
          <w:p w14:paraId="10A13A1F"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39</w:t>
            </w:r>
          </w:p>
        </w:tc>
        <w:tc>
          <w:tcPr>
            <w:tcW w:w="695" w:type="dxa"/>
            <w:tcBorders>
              <w:top w:val="nil"/>
              <w:left w:val="single" w:sz="4" w:space="0" w:color="auto"/>
              <w:bottom w:val="nil"/>
              <w:right w:val="nil"/>
            </w:tcBorders>
            <w:shd w:val="clear" w:color="auto" w:fill="auto"/>
            <w:noWrap/>
            <w:vAlign w:val="bottom"/>
            <w:hideMark/>
          </w:tcPr>
          <w:p w14:paraId="143F66FE"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42</w:t>
            </w:r>
          </w:p>
        </w:tc>
        <w:tc>
          <w:tcPr>
            <w:tcW w:w="772" w:type="dxa"/>
            <w:tcBorders>
              <w:top w:val="nil"/>
              <w:left w:val="nil"/>
              <w:bottom w:val="nil"/>
              <w:right w:val="single" w:sz="4" w:space="0" w:color="auto"/>
            </w:tcBorders>
            <w:shd w:val="clear" w:color="auto" w:fill="auto"/>
            <w:noWrap/>
            <w:vAlign w:val="bottom"/>
            <w:hideMark/>
          </w:tcPr>
          <w:p w14:paraId="5F5EECCC"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33</w:t>
            </w:r>
          </w:p>
        </w:tc>
        <w:tc>
          <w:tcPr>
            <w:tcW w:w="794" w:type="dxa"/>
            <w:tcBorders>
              <w:top w:val="nil"/>
              <w:left w:val="single" w:sz="4" w:space="0" w:color="auto"/>
              <w:bottom w:val="nil"/>
              <w:right w:val="nil"/>
            </w:tcBorders>
            <w:shd w:val="clear" w:color="auto" w:fill="auto"/>
            <w:noWrap/>
            <w:vAlign w:val="bottom"/>
            <w:hideMark/>
          </w:tcPr>
          <w:p w14:paraId="57AF35BC"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44</w:t>
            </w:r>
          </w:p>
        </w:tc>
        <w:tc>
          <w:tcPr>
            <w:tcW w:w="772" w:type="dxa"/>
            <w:tcBorders>
              <w:top w:val="nil"/>
              <w:left w:val="nil"/>
              <w:bottom w:val="nil"/>
              <w:right w:val="single" w:sz="4" w:space="0" w:color="auto"/>
            </w:tcBorders>
            <w:shd w:val="clear" w:color="auto" w:fill="auto"/>
            <w:noWrap/>
            <w:vAlign w:val="bottom"/>
            <w:hideMark/>
          </w:tcPr>
          <w:p w14:paraId="77AD4F26"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36</w:t>
            </w:r>
          </w:p>
        </w:tc>
        <w:tc>
          <w:tcPr>
            <w:tcW w:w="794" w:type="dxa"/>
            <w:tcBorders>
              <w:top w:val="nil"/>
              <w:left w:val="single" w:sz="4" w:space="0" w:color="auto"/>
              <w:bottom w:val="nil"/>
              <w:right w:val="nil"/>
            </w:tcBorders>
            <w:shd w:val="clear" w:color="auto" w:fill="auto"/>
            <w:noWrap/>
            <w:vAlign w:val="bottom"/>
            <w:hideMark/>
          </w:tcPr>
          <w:p w14:paraId="4EC26D8C"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46</w:t>
            </w:r>
          </w:p>
        </w:tc>
        <w:tc>
          <w:tcPr>
            <w:tcW w:w="772" w:type="dxa"/>
            <w:tcBorders>
              <w:top w:val="nil"/>
              <w:left w:val="nil"/>
              <w:bottom w:val="nil"/>
              <w:right w:val="single" w:sz="4" w:space="0" w:color="auto"/>
            </w:tcBorders>
            <w:shd w:val="clear" w:color="auto" w:fill="auto"/>
            <w:noWrap/>
            <w:vAlign w:val="bottom"/>
            <w:hideMark/>
          </w:tcPr>
          <w:p w14:paraId="13F180BC"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35</w:t>
            </w:r>
          </w:p>
        </w:tc>
        <w:tc>
          <w:tcPr>
            <w:tcW w:w="706" w:type="dxa"/>
            <w:tcBorders>
              <w:top w:val="nil"/>
              <w:left w:val="single" w:sz="4" w:space="0" w:color="auto"/>
              <w:bottom w:val="nil"/>
              <w:right w:val="nil"/>
            </w:tcBorders>
            <w:shd w:val="clear" w:color="auto" w:fill="auto"/>
            <w:noWrap/>
            <w:vAlign w:val="bottom"/>
            <w:hideMark/>
          </w:tcPr>
          <w:p w14:paraId="32E45CDA"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34</w:t>
            </w:r>
          </w:p>
        </w:tc>
        <w:tc>
          <w:tcPr>
            <w:tcW w:w="772" w:type="dxa"/>
            <w:tcBorders>
              <w:top w:val="nil"/>
              <w:left w:val="nil"/>
              <w:bottom w:val="nil"/>
            </w:tcBorders>
            <w:shd w:val="clear" w:color="auto" w:fill="auto"/>
            <w:noWrap/>
            <w:vAlign w:val="bottom"/>
            <w:hideMark/>
          </w:tcPr>
          <w:p w14:paraId="7DCAE5A4"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21</w:t>
            </w:r>
          </w:p>
        </w:tc>
      </w:tr>
      <w:tr w:rsidR="00367DB9" w:rsidRPr="00056BD0" w14:paraId="2889A722" w14:textId="77777777" w:rsidTr="000C4CD0">
        <w:trPr>
          <w:gridAfter w:val="1"/>
          <w:wAfter w:w="92" w:type="dxa"/>
          <w:trHeight w:val="255"/>
        </w:trPr>
        <w:tc>
          <w:tcPr>
            <w:tcW w:w="1134" w:type="dxa"/>
            <w:tcBorders>
              <w:top w:val="nil"/>
              <w:left w:val="nil"/>
              <w:bottom w:val="nil"/>
            </w:tcBorders>
            <w:shd w:val="clear" w:color="auto" w:fill="auto"/>
            <w:noWrap/>
            <w:vAlign w:val="bottom"/>
            <w:hideMark/>
          </w:tcPr>
          <w:p w14:paraId="770792B5"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47</w:t>
            </w:r>
          </w:p>
        </w:tc>
        <w:tc>
          <w:tcPr>
            <w:tcW w:w="559" w:type="dxa"/>
            <w:tcBorders>
              <w:top w:val="nil"/>
              <w:bottom w:val="nil"/>
              <w:right w:val="single" w:sz="4" w:space="0" w:color="auto"/>
            </w:tcBorders>
            <w:shd w:val="clear" w:color="auto" w:fill="auto"/>
            <w:noWrap/>
            <w:vAlign w:val="bottom"/>
            <w:hideMark/>
          </w:tcPr>
          <w:p w14:paraId="789419C5"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99</w:t>
            </w:r>
          </w:p>
        </w:tc>
        <w:tc>
          <w:tcPr>
            <w:tcW w:w="695" w:type="dxa"/>
            <w:tcBorders>
              <w:top w:val="nil"/>
              <w:left w:val="single" w:sz="4" w:space="0" w:color="auto"/>
              <w:bottom w:val="nil"/>
              <w:right w:val="nil"/>
            </w:tcBorders>
            <w:shd w:val="clear" w:color="auto" w:fill="auto"/>
            <w:noWrap/>
            <w:vAlign w:val="bottom"/>
            <w:hideMark/>
          </w:tcPr>
          <w:p w14:paraId="64AD89AF"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48</w:t>
            </w:r>
          </w:p>
        </w:tc>
        <w:tc>
          <w:tcPr>
            <w:tcW w:w="772" w:type="dxa"/>
            <w:tcBorders>
              <w:top w:val="nil"/>
              <w:left w:val="nil"/>
              <w:bottom w:val="nil"/>
              <w:right w:val="single" w:sz="4" w:space="0" w:color="auto"/>
            </w:tcBorders>
            <w:shd w:val="clear" w:color="auto" w:fill="auto"/>
            <w:noWrap/>
            <w:vAlign w:val="bottom"/>
            <w:hideMark/>
          </w:tcPr>
          <w:p w14:paraId="7087E6CC"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57</w:t>
            </w:r>
          </w:p>
        </w:tc>
        <w:tc>
          <w:tcPr>
            <w:tcW w:w="695" w:type="dxa"/>
            <w:tcBorders>
              <w:top w:val="nil"/>
              <w:left w:val="single" w:sz="4" w:space="0" w:color="auto"/>
              <w:bottom w:val="nil"/>
              <w:right w:val="nil"/>
            </w:tcBorders>
            <w:shd w:val="clear" w:color="auto" w:fill="auto"/>
            <w:noWrap/>
            <w:vAlign w:val="bottom"/>
            <w:hideMark/>
          </w:tcPr>
          <w:p w14:paraId="28AE135A"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51</w:t>
            </w:r>
          </w:p>
        </w:tc>
        <w:tc>
          <w:tcPr>
            <w:tcW w:w="772" w:type="dxa"/>
            <w:tcBorders>
              <w:top w:val="nil"/>
              <w:left w:val="nil"/>
              <w:bottom w:val="nil"/>
              <w:right w:val="single" w:sz="4" w:space="0" w:color="auto"/>
            </w:tcBorders>
            <w:shd w:val="clear" w:color="auto" w:fill="auto"/>
            <w:noWrap/>
            <w:vAlign w:val="bottom"/>
            <w:hideMark/>
          </w:tcPr>
          <w:p w14:paraId="39292542"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58</w:t>
            </w:r>
          </w:p>
        </w:tc>
        <w:tc>
          <w:tcPr>
            <w:tcW w:w="794" w:type="dxa"/>
            <w:tcBorders>
              <w:top w:val="nil"/>
              <w:left w:val="single" w:sz="4" w:space="0" w:color="auto"/>
              <w:bottom w:val="nil"/>
              <w:right w:val="nil"/>
            </w:tcBorders>
            <w:shd w:val="clear" w:color="auto" w:fill="auto"/>
            <w:noWrap/>
            <w:vAlign w:val="bottom"/>
            <w:hideMark/>
          </w:tcPr>
          <w:p w14:paraId="7A872C57"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53</w:t>
            </w:r>
          </w:p>
        </w:tc>
        <w:tc>
          <w:tcPr>
            <w:tcW w:w="772" w:type="dxa"/>
            <w:tcBorders>
              <w:top w:val="nil"/>
              <w:left w:val="nil"/>
              <w:bottom w:val="nil"/>
              <w:right w:val="single" w:sz="4" w:space="0" w:color="auto"/>
            </w:tcBorders>
            <w:shd w:val="clear" w:color="auto" w:fill="auto"/>
            <w:noWrap/>
            <w:vAlign w:val="bottom"/>
            <w:hideMark/>
          </w:tcPr>
          <w:p w14:paraId="2EBCFDDE"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62</w:t>
            </w:r>
          </w:p>
        </w:tc>
        <w:tc>
          <w:tcPr>
            <w:tcW w:w="695" w:type="dxa"/>
            <w:tcBorders>
              <w:top w:val="nil"/>
              <w:left w:val="single" w:sz="4" w:space="0" w:color="auto"/>
              <w:bottom w:val="nil"/>
              <w:right w:val="nil"/>
            </w:tcBorders>
            <w:shd w:val="clear" w:color="auto" w:fill="auto"/>
            <w:noWrap/>
            <w:vAlign w:val="bottom"/>
            <w:hideMark/>
          </w:tcPr>
          <w:p w14:paraId="2363F5A8"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42</w:t>
            </w:r>
          </w:p>
        </w:tc>
        <w:tc>
          <w:tcPr>
            <w:tcW w:w="772" w:type="dxa"/>
            <w:tcBorders>
              <w:top w:val="nil"/>
              <w:left w:val="nil"/>
              <w:bottom w:val="nil"/>
              <w:right w:val="single" w:sz="4" w:space="0" w:color="auto"/>
            </w:tcBorders>
            <w:shd w:val="clear" w:color="auto" w:fill="auto"/>
            <w:noWrap/>
            <w:vAlign w:val="bottom"/>
            <w:hideMark/>
          </w:tcPr>
          <w:p w14:paraId="4CD3F6DC"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53</w:t>
            </w:r>
          </w:p>
        </w:tc>
        <w:tc>
          <w:tcPr>
            <w:tcW w:w="695" w:type="dxa"/>
            <w:tcBorders>
              <w:top w:val="nil"/>
              <w:left w:val="single" w:sz="4" w:space="0" w:color="auto"/>
              <w:bottom w:val="nil"/>
              <w:right w:val="nil"/>
            </w:tcBorders>
            <w:shd w:val="clear" w:color="auto" w:fill="auto"/>
            <w:noWrap/>
            <w:vAlign w:val="bottom"/>
            <w:hideMark/>
          </w:tcPr>
          <w:p w14:paraId="7AB2450A"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37</w:t>
            </w:r>
          </w:p>
        </w:tc>
        <w:tc>
          <w:tcPr>
            <w:tcW w:w="772" w:type="dxa"/>
            <w:tcBorders>
              <w:top w:val="nil"/>
              <w:left w:val="nil"/>
              <w:bottom w:val="nil"/>
              <w:right w:val="single" w:sz="4" w:space="0" w:color="auto"/>
            </w:tcBorders>
            <w:shd w:val="clear" w:color="auto" w:fill="auto"/>
            <w:noWrap/>
            <w:vAlign w:val="bottom"/>
            <w:hideMark/>
          </w:tcPr>
          <w:p w14:paraId="240F78C9"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43</w:t>
            </w:r>
          </w:p>
        </w:tc>
        <w:tc>
          <w:tcPr>
            <w:tcW w:w="794" w:type="dxa"/>
            <w:tcBorders>
              <w:top w:val="nil"/>
              <w:left w:val="single" w:sz="4" w:space="0" w:color="auto"/>
              <w:bottom w:val="nil"/>
              <w:right w:val="nil"/>
            </w:tcBorders>
            <w:shd w:val="clear" w:color="auto" w:fill="auto"/>
            <w:noWrap/>
            <w:vAlign w:val="bottom"/>
            <w:hideMark/>
          </w:tcPr>
          <w:p w14:paraId="00997D15"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55</w:t>
            </w:r>
          </w:p>
        </w:tc>
        <w:tc>
          <w:tcPr>
            <w:tcW w:w="772" w:type="dxa"/>
            <w:tcBorders>
              <w:top w:val="nil"/>
              <w:left w:val="nil"/>
              <w:bottom w:val="nil"/>
              <w:right w:val="single" w:sz="4" w:space="0" w:color="auto"/>
            </w:tcBorders>
            <w:shd w:val="clear" w:color="auto" w:fill="auto"/>
            <w:noWrap/>
            <w:vAlign w:val="bottom"/>
            <w:hideMark/>
          </w:tcPr>
          <w:p w14:paraId="1B603BBD"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60</w:t>
            </w:r>
          </w:p>
        </w:tc>
        <w:tc>
          <w:tcPr>
            <w:tcW w:w="794" w:type="dxa"/>
            <w:tcBorders>
              <w:top w:val="nil"/>
              <w:left w:val="single" w:sz="4" w:space="0" w:color="auto"/>
              <w:bottom w:val="nil"/>
              <w:right w:val="nil"/>
            </w:tcBorders>
            <w:shd w:val="clear" w:color="auto" w:fill="auto"/>
            <w:noWrap/>
            <w:vAlign w:val="bottom"/>
            <w:hideMark/>
          </w:tcPr>
          <w:p w14:paraId="55E08279"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47</w:t>
            </w:r>
          </w:p>
        </w:tc>
        <w:tc>
          <w:tcPr>
            <w:tcW w:w="772" w:type="dxa"/>
            <w:tcBorders>
              <w:top w:val="nil"/>
              <w:left w:val="nil"/>
              <w:bottom w:val="nil"/>
              <w:right w:val="single" w:sz="4" w:space="0" w:color="auto"/>
            </w:tcBorders>
            <w:shd w:val="clear" w:color="auto" w:fill="auto"/>
            <w:noWrap/>
            <w:vAlign w:val="bottom"/>
            <w:hideMark/>
          </w:tcPr>
          <w:p w14:paraId="20FA45DF"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55</w:t>
            </w:r>
          </w:p>
        </w:tc>
        <w:tc>
          <w:tcPr>
            <w:tcW w:w="706" w:type="dxa"/>
            <w:tcBorders>
              <w:top w:val="nil"/>
              <w:left w:val="single" w:sz="4" w:space="0" w:color="auto"/>
              <w:bottom w:val="nil"/>
              <w:right w:val="nil"/>
            </w:tcBorders>
            <w:shd w:val="clear" w:color="auto" w:fill="auto"/>
            <w:noWrap/>
            <w:vAlign w:val="bottom"/>
            <w:hideMark/>
          </w:tcPr>
          <w:p w14:paraId="3C573901"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18</w:t>
            </w:r>
          </w:p>
        </w:tc>
        <w:tc>
          <w:tcPr>
            <w:tcW w:w="772" w:type="dxa"/>
            <w:tcBorders>
              <w:top w:val="nil"/>
              <w:left w:val="nil"/>
              <w:bottom w:val="nil"/>
            </w:tcBorders>
            <w:shd w:val="clear" w:color="auto" w:fill="auto"/>
            <w:noWrap/>
            <w:vAlign w:val="bottom"/>
            <w:hideMark/>
          </w:tcPr>
          <w:p w14:paraId="7932AFA8"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19</w:t>
            </w:r>
          </w:p>
        </w:tc>
      </w:tr>
      <w:tr w:rsidR="00367DB9" w:rsidRPr="00056BD0" w14:paraId="57FE0476" w14:textId="77777777" w:rsidTr="000C4CD0">
        <w:trPr>
          <w:gridAfter w:val="1"/>
          <w:wAfter w:w="92" w:type="dxa"/>
          <w:trHeight w:val="255"/>
        </w:trPr>
        <w:tc>
          <w:tcPr>
            <w:tcW w:w="1134" w:type="dxa"/>
            <w:tcBorders>
              <w:top w:val="nil"/>
              <w:left w:val="nil"/>
              <w:bottom w:val="nil"/>
            </w:tcBorders>
            <w:shd w:val="clear" w:color="auto" w:fill="auto"/>
            <w:noWrap/>
            <w:vAlign w:val="bottom"/>
            <w:hideMark/>
          </w:tcPr>
          <w:p w14:paraId="43DD9ACB"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48</w:t>
            </w:r>
          </w:p>
        </w:tc>
        <w:tc>
          <w:tcPr>
            <w:tcW w:w="559" w:type="dxa"/>
            <w:tcBorders>
              <w:top w:val="nil"/>
              <w:bottom w:val="nil"/>
              <w:right w:val="single" w:sz="4" w:space="0" w:color="auto"/>
            </w:tcBorders>
            <w:shd w:val="clear" w:color="auto" w:fill="auto"/>
            <w:noWrap/>
            <w:vAlign w:val="bottom"/>
            <w:hideMark/>
          </w:tcPr>
          <w:p w14:paraId="2788369D"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75</w:t>
            </w:r>
          </w:p>
        </w:tc>
        <w:tc>
          <w:tcPr>
            <w:tcW w:w="695" w:type="dxa"/>
            <w:tcBorders>
              <w:top w:val="nil"/>
              <w:left w:val="single" w:sz="4" w:space="0" w:color="auto"/>
              <w:bottom w:val="nil"/>
              <w:right w:val="nil"/>
            </w:tcBorders>
            <w:shd w:val="clear" w:color="auto" w:fill="auto"/>
            <w:noWrap/>
            <w:vAlign w:val="bottom"/>
            <w:hideMark/>
          </w:tcPr>
          <w:p w14:paraId="2FA3E8D9"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47</w:t>
            </w:r>
          </w:p>
        </w:tc>
        <w:tc>
          <w:tcPr>
            <w:tcW w:w="772" w:type="dxa"/>
            <w:tcBorders>
              <w:top w:val="nil"/>
              <w:left w:val="nil"/>
              <w:bottom w:val="nil"/>
              <w:right w:val="single" w:sz="4" w:space="0" w:color="auto"/>
            </w:tcBorders>
            <w:shd w:val="clear" w:color="auto" w:fill="auto"/>
            <w:noWrap/>
            <w:vAlign w:val="bottom"/>
            <w:hideMark/>
          </w:tcPr>
          <w:p w14:paraId="3E288F12"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52</w:t>
            </w:r>
          </w:p>
        </w:tc>
        <w:tc>
          <w:tcPr>
            <w:tcW w:w="695" w:type="dxa"/>
            <w:tcBorders>
              <w:top w:val="nil"/>
              <w:left w:val="single" w:sz="4" w:space="0" w:color="auto"/>
              <w:bottom w:val="nil"/>
              <w:right w:val="nil"/>
            </w:tcBorders>
            <w:shd w:val="clear" w:color="auto" w:fill="auto"/>
            <w:noWrap/>
            <w:vAlign w:val="bottom"/>
            <w:hideMark/>
          </w:tcPr>
          <w:p w14:paraId="35056EE5"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47</w:t>
            </w:r>
          </w:p>
        </w:tc>
        <w:tc>
          <w:tcPr>
            <w:tcW w:w="772" w:type="dxa"/>
            <w:tcBorders>
              <w:top w:val="nil"/>
              <w:left w:val="nil"/>
              <w:bottom w:val="nil"/>
              <w:right w:val="single" w:sz="4" w:space="0" w:color="auto"/>
            </w:tcBorders>
            <w:shd w:val="clear" w:color="auto" w:fill="auto"/>
            <w:noWrap/>
            <w:vAlign w:val="bottom"/>
            <w:hideMark/>
          </w:tcPr>
          <w:p w14:paraId="2C7C1A5D"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50</w:t>
            </w:r>
          </w:p>
        </w:tc>
        <w:tc>
          <w:tcPr>
            <w:tcW w:w="794" w:type="dxa"/>
            <w:tcBorders>
              <w:top w:val="nil"/>
              <w:left w:val="single" w:sz="4" w:space="0" w:color="auto"/>
              <w:bottom w:val="nil"/>
              <w:right w:val="nil"/>
            </w:tcBorders>
            <w:shd w:val="clear" w:color="auto" w:fill="auto"/>
            <w:noWrap/>
            <w:vAlign w:val="bottom"/>
            <w:hideMark/>
          </w:tcPr>
          <w:p w14:paraId="300C2D17"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44</w:t>
            </w:r>
          </w:p>
        </w:tc>
        <w:tc>
          <w:tcPr>
            <w:tcW w:w="772" w:type="dxa"/>
            <w:tcBorders>
              <w:top w:val="nil"/>
              <w:left w:val="nil"/>
              <w:bottom w:val="nil"/>
              <w:right w:val="single" w:sz="4" w:space="0" w:color="auto"/>
            </w:tcBorders>
            <w:shd w:val="clear" w:color="auto" w:fill="auto"/>
            <w:noWrap/>
            <w:vAlign w:val="bottom"/>
            <w:hideMark/>
          </w:tcPr>
          <w:p w14:paraId="5E2A93E2"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44</w:t>
            </w:r>
          </w:p>
        </w:tc>
        <w:tc>
          <w:tcPr>
            <w:tcW w:w="695" w:type="dxa"/>
            <w:tcBorders>
              <w:top w:val="nil"/>
              <w:left w:val="single" w:sz="4" w:space="0" w:color="auto"/>
              <w:bottom w:val="nil"/>
              <w:right w:val="nil"/>
            </w:tcBorders>
            <w:shd w:val="clear" w:color="auto" w:fill="auto"/>
            <w:noWrap/>
            <w:vAlign w:val="bottom"/>
            <w:hideMark/>
          </w:tcPr>
          <w:p w14:paraId="22783EB6"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40</w:t>
            </w:r>
          </w:p>
        </w:tc>
        <w:tc>
          <w:tcPr>
            <w:tcW w:w="772" w:type="dxa"/>
            <w:tcBorders>
              <w:top w:val="nil"/>
              <w:left w:val="nil"/>
              <w:bottom w:val="nil"/>
              <w:right w:val="single" w:sz="4" w:space="0" w:color="auto"/>
            </w:tcBorders>
            <w:shd w:val="clear" w:color="auto" w:fill="auto"/>
            <w:noWrap/>
            <w:vAlign w:val="bottom"/>
            <w:hideMark/>
          </w:tcPr>
          <w:p w14:paraId="7A0A9E63"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45</w:t>
            </w:r>
          </w:p>
        </w:tc>
        <w:tc>
          <w:tcPr>
            <w:tcW w:w="695" w:type="dxa"/>
            <w:tcBorders>
              <w:top w:val="nil"/>
              <w:left w:val="single" w:sz="4" w:space="0" w:color="auto"/>
              <w:bottom w:val="nil"/>
              <w:right w:val="nil"/>
            </w:tcBorders>
            <w:shd w:val="clear" w:color="auto" w:fill="auto"/>
            <w:noWrap/>
            <w:vAlign w:val="bottom"/>
            <w:hideMark/>
          </w:tcPr>
          <w:p w14:paraId="046B26BE"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67</w:t>
            </w:r>
          </w:p>
        </w:tc>
        <w:tc>
          <w:tcPr>
            <w:tcW w:w="772" w:type="dxa"/>
            <w:tcBorders>
              <w:top w:val="nil"/>
              <w:left w:val="nil"/>
              <w:bottom w:val="nil"/>
              <w:right w:val="single" w:sz="4" w:space="0" w:color="auto"/>
            </w:tcBorders>
            <w:shd w:val="clear" w:color="auto" w:fill="auto"/>
            <w:noWrap/>
            <w:vAlign w:val="bottom"/>
            <w:hideMark/>
          </w:tcPr>
          <w:p w14:paraId="1DB9F45C"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65</w:t>
            </w:r>
          </w:p>
        </w:tc>
        <w:tc>
          <w:tcPr>
            <w:tcW w:w="794" w:type="dxa"/>
            <w:tcBorders>
              <w:top w:val="nil"/>
              <w:left w:val="single" w:sz="4" w:space="0" w:color="auto"/>
              <w:bottom w:val="nil"/>
              <w:right w:val="nil"/>
            </w:tcBorders>
            <w:shd w:val="clear" w:color="auto" w:fill="auto"/>
            <w:noWrap/>
            <w:vAlign w:val="bottom"/>
            <w:hideMark/>
          </w:tcPr>
          <w:p w14:paraId="01E01CC8"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36</w:t>
            </w:r>
          </w:p>
        </w:tc>
        <w:tc>
          <w:tcPr>
            <w:tcW w:w="772" w:type="dxa"/>
            <w:tcBorders>
              <w:top w:val="nil"/>
              <w:left w:val="nil"/>
              <w:bottom w:val="nil"/>
              <w:right w:val="single" w:sz="4" w:space="0" w:color="auto"/>
            </w:tcBorders>
            <w:shd w:val="clear" w:color="auto" w:fill="auto"/>
            <w:noWrap/>
            <w:vAlign w:val="bottom"/>
            <w:hideMark/>
          </w:tcPr>
          <w:p w14:paraId="0DBCD058"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37</w:t>
            </w:r>
          </w:p>
        </w:tc>
        <w:tc>
          <w:tcPr>
            <w:tcW w:w="794" w:type="dxa"/>
            <w:tcBorders>
              <w:top w:val="nil"/>
              <w:left w:val="single" w:sz="4" w:space="0" w:color="auto"/>
              <w:bottom w:val="nil"/>
              <w:right w:val="nil"/>
            </w:tcBorders>
            <w:shd w:val="clear" w:color="auto" w:fill="auto"/>
            <w:noWrap/>
            <w:vAlign w:val="bottom"/>
            <w:hideMark/>
          </w:tcPr>
          <w:p w14:paraId="1F916F7A"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48</w:t>
            </w:r>
          </w:p>
        </w:tc>
        <w:tc>
          <w:tcPr>
            <w:tcW w:w="772" w:type="dxa"/>
            <w:tcBorders>
              <w:top w:val="nil"/>
              <w:left w:val="nil"/>
              <w:bottom w:val="nil"/>
              <w:right w:val="single" w:sz="4" w:space="0" w:color="auto"/>
            </w:tcBorders>
            <w:shd w:val="clear" w:color="auto" w:fill="auto"/>
            <w:noWrap/>
            <w:vAlign w:val="bottom"/>
            <w:hideMark/>
          </w:tcPr>
          <w:p w14:paraId="296E6BF2"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50</w:t>
            </w:r>
          </w:p>
        </w:tc>
        <w:tc>
          <w:tcPr>
            <w:tcW w:w="706" w:type="dxa"/>
            <w:tcBorders>
              <w:top w:val="nil"/>
              <w:left w:val="single" w:sz="4" w:space="0" w:color="auto"/>
              <w:bottom w:val="nil"/>
              <w:right w:val="nil"/>
            </w:tcBorders>
            <w:shd w:val="clear" w:color="auto" w:fill="auto"/>
            <w:noWrap/>
            <w:vAlign w:val="bottom"/>
            <w:hideMark/>
          </w:tcPr>
          <w:p w14:paraId="0C2FE77A"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31</w:t>
            </w:r>
          </w:p>
        </w:tc>
        <w:tc>
          <w:tcPr>
            <w:tcW w:w="772" w:type="dxa"/>
            <w:tcBorders>
              <w:top w:val="nil"/>
              <w:left w:val="nil"/>
              <w:bottom w:val="nil"/>
            </w:tcBorders>
            <w:shd w:val="clear" w:color="auto" w:fill="auto"/>
            <w:noWrap/>
            <w:vAlign w:val="bottom"/>
            <w:hideMark/>
          </w:tcPr>
          <w:p w14:paraId="24CFEE84"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28</w:t>
            </w:r>
          </w:p>
        </w:tc>
      </w:tr>
      <w:tr w:rsidR="00367DB9" w:rsidRPr="00056BD0" w14:paraId="26FE7A0B" w14:textId="77777777" w:rsidTr="000C4CD0">
        <w:trPr>
          <w:gridAfter w:val="1"/>
          <w:wAfter w:w="92" w:type="dxa"/>
          <w:trHeight w:val="255"/>
        </w:trPr>
        <w:tc>
          <w:tcPr>
            <w:tcW w:w="1134" w:type="dxa"/>
            <w:tcBorders>
              <w:top w:val="nil"/>
              <w:left w:val="nil"/>
            </w:tcBorders>
            <w:shd w:val="clear" w:color="auto" w:fill="auto"/>
            <w:noWrap/>
            <w:vAlign w:val="bottom"/>
            <w:hideMark/>
          </w:tcPr>
          <w:p w14:paraId="46FDF9C9"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49</w:t>
            </w:r>
          </w:p>
        </w:tc>
        <w:tc>
          <w:tcPr>
            <w:tcW w:w="559" w:type="dxa"/>
            <w:tcBorders>
              <w:top w:val="nil"/>
              <w:right w:val="single" w:sz="4" w:space="0" w:color="auto"/>
            </w:tcBorders>
            <w:shd w:val="clear" w:color="auto" w:fill="auto"/>
            <w:noWrap/>
            <w:vAlign w:val="bottom"/>
            <w:hideMark/>
          </w:tcPr>
          <w:p w14:paraId="18646279"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74</w:t>
            </w:r>
          </w:p>
        </w:tc>
        <w:tc>
          <w:tcPr>
            <w:tcW w:w="695" w:type="dxa"/>
            <w:tcBorders>
              <w:top w:val="nil"/>
              <w:left w:val="single" w:sz="4" w:space="0" w:color="auto"/>
              <w:right w:val="nil"/>
            </w:tcBorders>
            <w:shd w:val="clear" w:color="auto" w:fill="auto"/>
            <w:noWrap/>
            <w:vAlign w:val="bottom"/>
            <w:hideMark/>
          </w:tcPr>
          <w:p w14:paraId="5E227640"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52</w:t>
            </w:r>
          </w:p>
        </w:tc>
        <w:tc>
          <w:tcPr>
            <w:tcW w:w="772" w:type="dxa"/>
            <w:tcBorders>
              <w:top w:val="nil"/>
              <w:left w:val="nil"/>
              <w:right w:val="single" w:sz="4" w:space="0" w:color="auto"/>
            </w:tcBorders>
            <w:shd w:val="clear" w:color="auto" w:fill="auto"/>
            <w:noWrap/>
            <w:vAlign w:val="bottom"/>
            <w:hideMark/>
          </w:tcPr>
          <w:p w14:paraId="6B1F5B3A"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37</w:t>
            </w:r>
          </w:p>
        </w:tc>
        <w:tc>
          <w:tcPr>
            <w:tcW w:w="695" w:type="dxa"/>
            <w:tcBorders>
              <w:top w:val="nil"/>
              <w:left w:val="single" w:sz="4" w:space="0" w:color="auto"/>
              <w:right w:val="nil"/>
            </w:tcBorders>
            <w:shd w:val="clear" w:color="auto" w:fill="auto"/>
            <w:noWrap/>
            <w:vAlign w:val="bottom"/>
            <w:hideMark/>
          </w:tcPr>
          <w:p w14:paraId="2CFBA214"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27</w:t>
            </w:r>
          </w:p>
        </w:tc>
        <w:tc>
          <w:tcPr>
            <w:tcW w:w="772" w:type="dxa"/>
            <w:tcBorders>
              <w:top w:val="nil"/>
              <w:left w:val="nil"/>
              <w:right w:val="single" w:sz="4" w:space="0" w:color="auto"/>
            </w:tcBorders>
            <w:shd w:val="clear" w:color="auto" w:fill="auto"/>
            <w:noWrap/>
            <w:vAlign w:val="bottom"/>
            <w:hideMark/>
          </w:tcPr>
          <w:p w14:paraId="4C85A338"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23</w:t>
            </w:r>
          </w:p>
        </w:tc>
        <w:tc>
          <w:tcPr>
            <w:tcW w:w="794" w:type="dxa"/>
            <w:tcBorders>
              <w:top w:val="nil"/>
              <w:left w:val="single" w:sz="4" w:space="0" w:color="auto"/>
              <w:right w:val="nil"/>
            </w:tcBorders>
            <w:shd w:val="clear" w:color="auto" w:fill="auto"/>
            <w:noWrap/>
            <w:vAlign w:val="bottom"/>
            <w:hideMark/>
          </w:tcPr>
          <w:p w14:paraId="3DD37FE6"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75</w:t>
            </w:r>
          </w:p>
        </w:tc>
        <w:tc>
          <w:tcPr>
            <w:tcW w:w="772" w:type="dxa"/>
            <w:tcBorders>
              <w:top w:val="nil"/>
              <w:left w:val="nil"/>
              <w:right w:val="single" w:sz="4" w:space="0" w:color="auto"/>
            </w:tcBorders>
            <w:shd w:val="clear" w:color="auto" w:fill="auto"/>
            <w:noWrap/>
            <w:vAlign w:val="bottom"/>
            <w:hideMark/>
          </w:tcPr>
          <w:p w14:paraId="75DE6B40"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62</w:t>
            </w:r>
          </w:p>
        </w:tc>
        <w:tc>
          <w:tcPr>
            <w:tcW w:w="695" w:type="dxa"/>
            <w:tcBorders>
              <w:top w:val="nil"/>
              <w:left w:val="single" w:sz="4" w:space="0" w:color="auto"/>
              <w:right w:val="nil"/>
            </w:tcBorders>
            <w:shd w:val="clear" w:color="auto" w:fill="auto"/>
            <w:noWrap/>
            <w:vAlign w:val="bottom"/>
            <w:hideMark/>
          </w:tcPr>
          <w:p w14:paraId="70C56823"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54</w:t>
            </w:r>
          </w:p>
        </w:tc>
        <w:tc>
          <w:tcPr>
            <w:tcW w:w="772" w:type="dxa"/>
            <w:tcBorders>
              <w:top w:val="nil"/>
              <w:left w:val="nil"/>
              <w:right w:val="single" w:sz="4" w:space="0" w:color="auto"/>
            </w:tcBorders>
            <w:shd w:val="clear" w:color="auto" w:fill="auto"/>
            <w:noWrap/>
            <w:vAlign w:val="bottom"/>
            <w:hideMark/>
          </w:tcPr>
          <w:p w14:paraId="60390A83"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47</w:t>
            </w:r>
          </w:p>
        </w:tc>
        <w:tc>
          <w:tcPr>
            <w:tcW w:w="695" w:type="dxa"/>
            <w:tcBorders>
              <w:top w:val="nil"/>
              <w:left w:val="single" w:sz="4" w:space="0" w:color="auto"/>
              <w:right w:val="nil"/>
            </w:tcBorders>
            <w:shd w:val="clear" w:color="auto" w:fill="auto"/>
            <w:noWrap/>
            <w:vAlign w:val="bottom"/>
            <w:hideMark/>
          </w:tcPr>
          <w:p w14:paraId="075530EA"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40</w:t>
            </w:r>
          </w:p>
        </w:tc>
        <w:tc>
          <w:tcPr>
            <w:tcW w:w="772" w:type="dxa"/>
            <w:tcBorders>
              <w:top w:val="nil"/>
              <w:left w:val="nil"/>
              <w:right w:val="single" w:sz="4" w:space="0" w:color="auto"/>
            </w:tcBorders>
            <w:shd w:val="clear" w:color="auto" w:fill="auto"/>
            <w:noWrap/>
            <w:vAlign w:val="bottom"/>
            <w:hideMark/>
          </w:tcPr>
          <w:p w14:paraId="6A423501"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32</w:t>
            </w:r>
          </w:p>
        </w:tc>
        <w:tc>
          <w:tcPr>
            <w:tcW w:w="794" w:type="dxa"/>
            <w:tcBorders>
              <w:top w:val="nil"/>
              <w:left w:val="single" w:sz="4" w:space="0" w:color="auto"/>
              <w:right w:val="nil"/>
            </w:tcBorders>
            <w:shd w:val="clear" w:color="auto" w:fill="auto"/>
            <w:noWrap/>
            <w:vAlign w:val="bottom"/>
            <w:hideMark/>
          </w:tcPr>
          <w:p w14:paraId="08F869D1"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42</w:t>
            </w:r>
          </w:p>
        </w:tc>
        <w:tc>
          <w:tcPr>
            <w:tcW w:w="772" w:type="dxa"/>
            <w:tcBorders>
              <w:top w:val="nil"/>
              <w:left w:val="nil"/>
              <w:right w:val="single" w:sz="4" w:space="0" w:color="auto"/>
            </w:tcBorders>
            <w:shd w:val="clear" w:color="auto" w:fill="auto"/>
            <w:noWrap/>
            <w:vAlign w:val="bottom"/>
            <w:hideMark/>
          </w:tcPr>
          <w:p w14:paraId="3D003378"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31</w:t>
            </w:r>
          </w:p>
        </w:tc>
        <w:tc>
          <w:tcPr>
            <w:tcW w:w="794" w:type="dxa"/>
            <w:tcBorders>
              <w:top w:val="nil"/>
              <w:left w:val="single" w:sz="4" w:space="0" w:color="auto"/>
              <w:right w:val="nil"/>
            </w:tcBorders>
            <w:shd w:val="clear" w:color="auto" w:fill="auto"/>
            <w:noWrap/>
            <w:vAlign w:val="bottom"/>
            <w:hideMark/>
          </w:tcPr>
          <w:p w14:paraId="4BC35371"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49</w:t>
            </w:r>
          </w:p>
        </w:tc>
        <w:tc>
          <w:tcPr>
            <w:tcW w:w="772" w:type="dxa"/>
            <w:tcBorders>
              <w:top w:val="nil"/>
              <w:left w:val="nil"/>
              <w:right w:val="single" w:sz="4" w:space="0" w:color="auto"/>
            </w:tcBorders>
            <w:shd w:val="clear" w:color="auto" w:fill="auto"/>
            <w:noWrap/>
            <w:vAlign w:val="bottom"/>
            <w:hideMark/>
          </w:tcPr>
          <w:p w14:paraId="1F64EF84"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40</w:t>
            </w:r>
          </w:p>
        </w:tc>
        <w:tc>
          <w:tcPr>
            <w:tcW w:w="706" w:type="dxa"/>
            <w:tcBorders>
              <w:top w:val="nil"/>
              <w:left w:val="single" w:sz="4" w:space="0" w:color="auto"/>
              <w:right w:val="nil"/>
            </w:tcBorders>
            <w:shd w:val="clear" w:color="auto" w:fill="auto"/>
            <w:noWrap/>
            <w:vAlign w:val="bottom"/>
            <w:hideMark/>
          </w:tcPr>
          <w:p w14:paraId="7E457025"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48</w:t>
            </w:r>
          </w:p>
        </w:tc>
        <w:tc>
          <w:tcPr>
            <w:tcW w:w="772" w:type="dxa"/>
            <w:tcBorders>
              <w:top w:val="nil"/>
              <w:left w:val="nil"/>
            </w:tcBorders>
            <w:shd w:val="clear" w:color="auto" w:fill="auto"/>
            <w:noWrap/>
            <w:vAlign w:val="bottom"/>
            <w:hideMark/>
          </w:tcPr>
          <w:p w14:paraId="48EC2970"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39</w:t>
            </w:r>
          </w:p>
        </w:tc>
      </w:tr>
      <w:tr w:rsidR="00367DB9" w:rsidRPr="00056BD0" w14:paraId="1DE2BAC3" w14:textId="77777777" w:rsidTr="000C4CD0">
        <w:trPr>
          <w:gridAfter w:val="1"/>
          <w:wAfter w:w="92" w:type="dxa"/>
          <w:trHeight w:val="255"/>
        </w:trPr>
        <w:tc>
          <w:tcPr>
            <w:tcW w:w="1134" w:type="dxa"/>
            <w:tcBorders>
              <w:top w:val="nil"/>
              <w:left w:val="nil"/>
              <w:bottom w:val="dashed" w:sz="8" w:space="0" w:color="auto"/>
            </w:tcBorders>
            <w:shd w:val="clear" w:color="auto" w:fill="auto"/>
            <w:noWrap/>
            <w:vAlign w:val="bottom"/>
            <w:hideMark/>
          </w:tcPr>
          <w:p w14:paraId="0B9CAEFF"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50</w:t>
            </w:r>
          </w:p>
        </w:tc>
        <w:tc>
          <w:tcPr>
            <w:tcW w:w="559" w:type="dxa"/>
            <w:tcBorders>
              <w:top w:val="nil"/>
              <w:bottom w:val="dashed" w:sz="8" w:space="0" w:color="auto"/>
              <w:right w:val="single" w:sz="4" w:space="0" w:color="auto"/>
            </w:tcBorders>
            <w:shd w:val="clear" w:color="auto" w:fill="auto"/>
            <w:noWrap/>
            <w:vAlign w:val="bottom"/>
            <w:hideMark/>
          </w:tcPr>
          <w:p w14:paraId="14F22C8E"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59</w:t>
            </w:r>
          </w:p>
        </w:tc>
        <w:tc>
          <w:tcPr>
            <w:tcW w:w="695" w:type="dxa"/>
            <w:tcBorders>
              <w:top w:val="nil"/>
              <w:left w:val="single" w:sz="4" w:space="0" w:color="auto"/>
              <w:bottom w:val="dashed" w:sz="8" w:space="0" w:color="auto"/>
              <w:right w:val="nil"/>
            </w:tcBorders>
            <w:shd w:val="clear" w:color="auto" w:fill="auto"/>
            <w:noWrap/>
            <w:vAlign w:val="bottom"/>
            <w:hideMark/>
          </w:tcPr>
          <w:p w14:paraId="29A3F4BE"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50</w:t>
            </w:r>
          </w:p>
        </w:tc>
        <w:tc>
          <w:tcPr>
            <w:tcW w:w="772" w:type="dxa"/>
            <w:tcBorders>
              <w:top w:val="nil"/>
              <w:left w:val="nil"/>
              <w:bottom w:val="dashed" w:sz="8" w:space="0" w:color="auto"/>
              <w:right w:val="single" w:sz="4" w:space="0" w:color="auto"/>
            </w:tcBorders>
            <w:shd w:val="clear" w:color="auto" w:fill="auto"/>
            <w:noWrap/>
            <w:vAlign w:val="bottom"/>
            <w:hideMark/>
          </w:tcPr>
          <w:p w14:paraId="11F0D67F"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30</w:t>
            </w:r>
          </w:p>
        </w:tc>
        <w:tc>
          <w:tcPr>
            <w:tcW w:w="695" w:type="dxa"/>
            <w:tcBorders>
              <w:top w:val="nil"/>
              <w:left w:val="single" w:sz="4" w:space="0" w:color="auto"/>
              <w:bottom w:val="dashed" w:sz="8" w:space="0" w:color="auto"/>
              <w:right w:val="nil"/>
            </w:tcBorders>
            <w:shd w:val="clear" w:color="auto" w:fill="auto"/>
            <w:noWrap/>
            <w:vAlign w:val="bottom"/>
            <w:hideMark/>
          </w:tcPr>
          <w:p w14:paraId="5F6185D3"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61</w:t>
            </w:r>
          </w:p>
        </w:tc>
        <w:tc>
          <w:tcPr>
            <w:tcW w:w="772" w:type="dxa"/>
            <w:tcBorders>
              <w:top w:val="nil"/>
              <w:left w:val="nil"/>
              <w:bottom w:val="dashed" w:sz="8" w:space="0" w:color="auto"/>
              <w:right w:val="single" w:sz="4" w:space="0" w:color="auto"/>
            </w:tcBorders>
            <w:shd w:val="clear" w:color="auto" w:fill="auto"/>
            <w:noWrap/>
            <w:vAlign w:val="bottom"/>
            <w:hideMark/>
          </w:tcPr>
          <w:p w14:paraId="3B57D8A1"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51</w:t>
            </w:r>
          </w:p>
        </w:tc>
        <w:tc>
          <w:tcPr>
            <w:tcW w:w="794" w:type="dxa"/>
            <w:tcBorders>
              <w:top w:val="nil"/>
              <w:left w:val="single" w:sz="4" w:space="0" w:color="auto"/>
              <w:bottom w:val="dashed" w:sz="8" w:space="0" w:color="auto"/>
              <w:right w:val="nil"/>
            </w:tcBorders>
            <w:shd w:val="clear" w:color="auto" w:fill="auto"/>
            <w:noWrap/>
            <w:vAlign w:val="bottom"/>
            <w:hideMark/>
          </w:tcPr>
          <w:p w14:paraId="341E5E53"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42</w:t>
            </w:r>
          </w:p>
        </w:tc>
        <w:tc>
          <w:tcPr>
            <w:tcW w:w="772" w:type="dxa"/>
            <w:tcBorders>
              <w:top w:val="nil"/>
              <w:left w:val="nil"/>
              <w:bottom w:val="dashed" w:sz="8" w:space="0" w:color="auto"/>
              <w:right w:val="single" w:sz="4" w:space="0" w:color="auto"/>
            </w:tcBorders>
            <w:shd w:val="clear" w:color="auto" w:fill="auto"/>
            <w:noWrap/>
            <w:vAlign w:val="bottom"/>
            <w:hideMark/>
          </w:tcPr>
          <w:p w14:paraId="0C1554B9"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18</w:t>
            </w:r>
          </w:p>
        </w:tc>
        <w:tc>
          <w:tcPr>
            <w:tcW w:w="695" w:type="dxa"/>
            <w:tcBorders>
              <w:top w:val="nil"/>
              <w:left w:val="single" w:sz="4" w:space="0" w:color="auto"/>
              <w:bottom w:val="dashed" w:sz="8" w:space="0" w:color="auto"/>
              <w:right w:val="nil"/>
            </w:tcBorders>
            <w:shd w:val="clear" w:color="auto" w:fill="auto"/>
            <w:noWrap/>
            <w:vAlign w:val="bottom"/>
            <w:hideMark/>
          </w:tcPr>
          <w:p w14:paraId="295FE406"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48</w:t>
            </w:r>
          </w:p>
        </w:tc>
        <w:tc>
          <w:tcPr>
            <w:tcW w:w="772" w:type="dxa"/>
            <w:tcBorders>
              <w:top w:val="nil"/>
              <w:left w:val="nil"/>
              <w:bottom w:val="dashed" w:sz="8" w:space="0" w:color="auto"/>
              <w:right w:val="single" w:sz="4" w:space="0" w:color="auto"/>
            </w:tcBorders>
            <w:shd w:val="clear" w:color="auto" w:fill="auto"/>
            <w:noWrap/>
            <w:vAlign w:val="bottom"/>
            <w:hideMark/>
          </w:tcPr>
          <w:p w14:paraId="5EBB711A"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32</w:t>
            </w:r>
          </w:p>
        </w:tc>
        <w:tc>
          <w:tcPr>
            <w:tcW w:w="695" w:type="dxa"/>
            <w:tcBorders>
              <w:top w:val="nil"/>
              <w:left w:val="single" w:sz="4" w:space="0" w:color="auto"/>
              <w:bottom w:val="dashed" w:sz="8" w:space="0" w:color="auto"/>
              <w:right w:val="nil"/>
            </w:tcBorders>
            <w:shd w:val="clear" w:color="auto" w:fill="auto"/>
            <w:noWrap/>
            <w:vAlign w:val="bottom"/>
            <w:hideMark/>
          </w:tcPr>
          <w:p w14:paraId="57EED1C1"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54</w:t>
            </w:r>
          </w:p>
        </w:tc>
        <w:tc>
          <w:tcPr>
            <w:tcW w:w="772" w:type="dxa"/>
            <w:tcBorders>
              <w:top w:val="nil"/>
              <w:left w:val="nil"/>
              <w:bottom w:val="dashed" w:sz="8" w:space="0" w:color="auto"/>
              <w:right w:val="single" w:sz="4" w:space="0" w:color="auto"/>
            </w:tcBorders>
            <w:shd w:val="clear" w:color="auto" w:fill="auto"/>
            <w:noWrap/>
            <w:vAlign w:val="bottom"/>
            <w:hideMark/>
          </w:tcPr>
          <w:p w14:paraId="7FF1B4BF"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51</w:t>
            </w:r>
          </w:p>
        </w:tc>
        <w:tc>
          <w:tcPr>
            <w:tcW w:w="794" w:type="dxa"/>
            <w:tcBorders>
              <w:top w:val="nil"/>
              <w:left w:val="single" w:sz="4" w:space="0" w:color="auto"/>
              <w:bottom w:val="dashed" w:sz="8" w:space="0" w:color="auto"/>
              <w:right w:val="nil"/>
            </w:tcBorders>
            <w:shd w:val="clear" w:color="auto" w:fill="auto"/>
            <w:noWrap/>
            <w:vAlign w:val="bottom"/>
            <w:hideMark/>
          </w:tcPr>
          <w:p w14:paraId="76B00935"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56</w:t>
            </w:r>
          </w:p>
        </w:tc>
        <w:tc>
          <w:tcPr>
            <w:tcW w:w="772" w:type="dxa"/>
            <w:tcBorders>
              <w:top w:val="nil"/>
              <w:left w:val="nil"/>
              <w:bottom w:val="dashed" w:sz="8" w:space="0" w:color="auto"/>
              <w:right w:val="single" w:sz="4" w:space="0" w:color="auto"/>
            </w:tcBorders>
            <w:shd w:val="clear" w:color="auto" w:fill="auto"/>
            <w:noWrap/>
            <w:vAlign w:val="bottom"/>
            <w:hideMark/>
          </w:tcPr>
          <w:p w14:paraId="5A5E1FFA"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39</w:t>
            </w:r>
          </w:p>
        </w:tc>
        <w:tc>
          <w:tcPr>
            <w:tcW w:w="794" w:type="dxa"/>
            <w:tcBorders>
              <w:top w:val="nil"/>
              <w:left w:val="single" w:sz="4" w:space="0" w:color="auto"/>
              <w:bottom w:val="dashed" w:sz="8" w:space="0" w:color="auto"/>
              <w:right w:val="nil"/>
            </w:tcBorders>
            <w:shd w:val="clear" w:color="auto" w:fill="auto"/>
            <w:noWrap/>
            <w:vAlign w:val="bottom"/>
            <w:hideMark/>
          </w:tcPr>
          <w:p w14:paraId="67FD9F0C"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50</w:t>
            </w:r>
          </w:p>
        </w:tc>
        <w:tc>
          <w:tcPr>
            <w:tcW w:w="772" w:type="dxa"/>
            <w:tcBorders>
              <w:top w:val="nil"/>
              <w:left w:val="nil"/>
              <w:bottom w:val="dashed" w:sz="8" w:space="0" w:color="auto"/>
              <w:right w:val="single" w:sz="4" w:space="0" w:color="auto"/>
            </w:tcBorders>
            <w:shd w:val="clear" w:color="auto" w:fill="auto"/>
            <w:noWrap/>
            <w:vAlign w:val="bottom"/>
            <w:hideMark/>
          </w:tcPr>
          <w:p w14:paraId="07CB786A"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33</w:t>
            </w:r>
          </w:p>
        </w:tc>
        <w:tc>
          <w:tcPr>
            <w:tcW w:w="706" w:type="dxa"/>
            <w:tcBorders>
              <w:top w:val="nil"/>
              <w:left w:val="single" w:sz="4" w:space="0" w:color="auto"/>
              <w:bottom w:val="dashed" w:sz="8" w:space="0" w:color="auto"/>
              <w:right w:val="nil"/>
            </w:tcBorders>
            <w:shd w:val="clear" w:color="auto" w:fill="auto"/>
            <w:noWrap/>
            <w:vAlign w:val="bottom"/>
            <w:hideMark/>
          </w:tcPr>
          <w:p w14:paraId="23D720F3"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19</w:t>
            </w:r>
          </w:p>
        </w:tc>
        <w:tc>
          <w:tcPr>
            <w:tcW w:w="772" w:type="dxa"/>
            <w:tcBorders>
              <w:top w:val="nil"/>
              <w:left w:val="nil"/>
              <w:bottom w:val="dashed" w:sz="8" w:space="0" w:color="auto"/>
            </w:tcBorders>
            <w:shd w:val="clear" w:color="auto" w:fill="auto"/>
            <w:noWrap/>
            <w:vAlign w:val="bottom"/>
            <w:hideMark/>
          </w:tcPr>
          <w:p w14:paraId="0F17C4BA"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33</w:t>
            </w:r>
          </w:p>
        </w:tc>
      </w:tr>
      <w:tr w:rsidR="00367DB9" w:rsidRPr="00056BD0" w14:paraId="2DD1106E" w14:textId="77777777" w:rsidTr="000C4CD0">
        <w:trPr>
          <w:gridAfter w:val="1"/>
          <w:wAfter w:w="92" w:type="dxa"/>
          <w:trHeight w:val="255"/>
        </w:trPr>
        <w:tc>
          <w:tcPr>
            <w:tcW w:w="1134" w:type="dxa"/>
            <w:tcBorders>
              <w:top w:val="dashed" w:sz="8" w:space="0" w:color="auto"/>
              <w:left w:val="nil"/>
              <w:bottom w:val="nil"/>
            </w:tcBorders>
            <w:shd w:val="clear" w:color="auto" w:fill="auto"/>
            <w:noWrap/>
            <w:vAlign w:val="bottom"/>
            <w:hideMark/>
          </w:tcPr>
          <w:p w14:paraId="1E237E3E"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91</w:t>
            </w:r>
          </w:p>
        </w:tc>
        <w:tc>
          <w:tcPr>
            <w:tcW w:w="559" w:type="dxa"/>
            <w:tcBorders>
              <w:top w:val="dashed" w:sz="8" w:space="0" w:color="auto"/>
              <w:bottom w:val="nil"/>
              <w:right w:val="single" w:sz="4" w:space="0" w:color="auto"/>
            </w:tcBorders>
            <w:shd w:val="clear" w:color="auto" w:fill="auto"/>
            <w:noWrap/>
            <w:vAlign w:val="bottom"/>
            <w:hideMark/>
          </w:tcPr>
          <w:p w14:paraId="52AEDB3A"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35</w:t>
            </w:r>
          </w:p>
        </w:tc>
        <w:tc>
          <w:tcPr>
            <w:tcW w:w="695" w:type="dxa"/>
            <w:tcBorders>
              <w:top w:val="dashed" w:sz="8" w:space="0" w:color="auto"/>
              <w:left w:val="single" w:sz="4" w:space="0" w:color="auto"/>
              <w:bottom w:val="nil"/>
              <w:right w:val="nil"/>
            </w:tcBorders>
            <w:shd w:val="clear" w:color="auto" w:fill="auto"/>
            <w:noWrap/>
            <w:vAlign w:val="bottom"/>
            <w:hideMark/>
          </w:tcPr>
          <w:p w14:paraId="191D1D95"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89</w:t>
            </w:r>
          </w:p>
        </w:tc>
        <w:tc>
          <w:tcPr>
            <w:tcW w:w="772" w:type="dxa"/>
            <w:tcBorders>
              <w:top w:val="dashed" w:sz="8" w:space="0" w:color="auto"/>
              <w:left w:val="nil"/>
              <w:bottom w:val="nil"/>
              <w:right w:val="single" w:sz="4" w:space="0" w:color="auto"/>
            </w:tcBorders>
            <w:shd w:val="clear" w:color="auto" w:fill="auto"/>
            <w:noWrap/>
            <w:vAlign w:val="bottom"/>
            <w:hideMark/>
          </w:tcPr>
          <w:p w14:paraId="0D04AAFC"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88</w:t>
            </w:r>
          </w:p>
        </w:tc>
        <w:tc>
          <w:tcPr>
            <w:tcW w:w="695" w:type="dxa"/>
            <w:tcBorders>
              <w:top w:val="dashed" w:sz="8" w:space="0" w:color="auto"/>
              <w:left w:val="single" w:sz="4" w:space="0" w:color="auto"/>
              <w:bottom w:val="nil"/>
              <w:right w:val="nil"/>
            </w:tcBorders>
            <w:shd w:val="clear" w:color="auto" w:fill="auto"/>
            <w:noWrap/>
            <w:vAlign w:val="bottom"/>
            <w:hideMark/>
          </w:tcPr>
          <w:p w14:paraId="07202E76"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71</w:t>
            </w:r>
          </w:p>
        </w:tc>
        <w:tc>
          <w:tcPr>
            <w:tcW w:w="772" w:type="dxa"/>
            <w:tcBorders>
              <w:top w:val="dashed" w:sz="8" w:space="0" w:color="auto"/>
              <w:left w:val="nil"/>
              <w:bottom w:val="nil"/>
              <w:right w:val="single" w:sz="4" w:space="0" w:color="auto"/>
            </w:tcBorders>
            <w:shd w:val="clear" w:color="auto" w:fill="auto"/>
            <w:noWrap/>
            <w:vAlign w:val="bottom"/>
            <w:hideMark/>
          </w:tcPr>
          <w:p w14:paraId="78A31F15"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64</w:t>
            </w:r>
          </w:p>
        </w:tc>
        <w:tc>
          <w:tcPr>
            <w:tcW w:w="794" w:type="dxa"/>
            <w:tcBorders>
              <w:top w:val="dashed" w:sz="8" w:space="0" w:color="auto"/>
              <w:left w:val="single" w:sz="4" w:space="0" w:color="auto"/>
              <w:bottom w:val="nil"/>
              <w:right w:val="nil"/>
            </w:tcBorders>
            <w:shd w:val="clear" w:color="auto" w:fill="auto"/>
            <w:noWrap/>
            <w:vAlign w:val="bottom"/>
            <w:hideMark/>
          </w:tcPr>
          <w:p w14:paraId="24EC6E01"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97</w:t>
            </w:r>
          </w:p>
        </w:tc>
        <w:tc>
          <w:tcPr>
            <w:tcW w:w="772" w:type="dxa"/>
            <w:tcBorders>
              <w:top w:val="dashed" w:sz="8" w:space="0" w:color="auto"/>
              <w:left w:val="nil"/>
              <w:bottom w:val="nil"/>
              <w:right w:val="single" w:sz="4" w:space="0" w:color="auto"/>
            </w:tcBorders>
            <w:shd w:val="clear" w:color="auto" w:fill="auto"/>
            <w:noWrap/>
            <w:vAlign w:val="bottom"/>
            <w:hideMark/>
          </w:tcPr>
          <w:p w14:paraId="1D44DC21"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96</w:t>
            </w:r>
          </w:p>
        </w:tc>
        <w:tc>
          <w:tcPr>
            <w:tcW w:w="695" w:type="dxa"/>
            <w:tcBorders>
              <w:top w:val="dashed" w:sz="8" w:space="0" w:color="auto"/>
              <w:left w:val="single" w:sz="4" w:space="0" w:color="auto"/>
              <w:bottom w:val="nil"/>
              <w:right w:val="nil"/>
            </w:tcBorders>
            <w:shd w:val="clear" w:color="auto" w:fill="auto"/>
            <w:noWrap/>
            <w:vAlign w:val="bottom"/>
            <w:hideMark/>
          </w:tcPr>
          <w:p w14:paraId="75BDA791"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88</w:t>
            </w:r>
          </w:p>
        </w:tc>
        <w:tc>
          <w:tcPr>
            <w:tcW w:w="772" w:type="dxa"/>
            <w:tcBorders>
              <w:top w:val="dashed" w:sz="8" w:space="0" w:color="auto"/>
              <w:left w:val="nil"/>
              <w:bottom w:val="nil"/>
              <w:right w:val="single" w:sz="4" w:space="0" w:color="auto"/>
            </w:tcBorders>
            <w:shd w:val="clear" w:color="auto" w:fill="auto"/>
            <w:noWrap/>
            <w:vAlign w:val="bottom"/>
            <w:hideMark/>
          </w:tcPr>
          <w:p w14:paraId="07D24DC1"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88</w:t>
            </w:r>
          </w:p>
        </w:tc>
        <w:tc>
          <w:tcPr>
            <w:tcW w:w="695" w:type="dxa"/>
            <w:tcBorders>
              <w:top w:val="dashed" w:sz="8" w:space="0" w:color="auto"/>
              <w:left w:val="single" w:sz="4" w:space="0" w:color="auto"/>
              <w:bottom w:val="nil"/>
              <w:right w:val="nil"/>
            </w:tcBorders>
            <w:shd w:val="clear" w:color="auto" w:fill="auto"/>
            <w:noWrap/>
            <w:vAlign w:val="bottom"/>
            <w:hideMark/>
          </w:tcPr>
          <w:p w14:paraId="29FDA421"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94</w:t>
            </w:r>
          </w:p>
        </w:tc>
        <w:tc>
          <w:tcPr>
            <w:tcW w:w="772" w:type="dxa"/>
            <w:tcBorders>
              <w:top w:val="dashed" w:sz="8" w:space="0" w:color="auto"/>
              <w:left w:val="nil"/>
              <w:bottom w:val="nil"/>
              <w:right w:val="single" w:sz="4" w:space="0" w:color="auto"/>
            </w:tcBorders>
            <w:shd w:val="clear" w:color="auto" w:fill="auto"/>
            <w:noWrap/>
            <w:vAlign w:val="bottom"/>
            <w:hideMark/>
          </w:tcPr>
          <w:p w14:paraId="028E569D"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94</w:t>
            </w:r>
          </w:p>
        </w:tc>
        <w:tc>
          <w:tcPr>
            <w:tcW w:w="794" w:type="dxa"/>
            <w:tcBorders>
              <w:top w:val="dashed" w:sz="8" w:space="0" w:color="auto"/>
              <w:left w:val="single" w:sz="4" w:space="0" w:color="auto"/>
              <w:bottom w:val="nil"/>
              <w:right w:val="nil"/>
            </w:tcBorders>
            <w:shd w:val="clear" w:color="auto" w:fill="auto"/>
            <w:noWrap/>
            <w:vAlign w:val="bottom"/>
            <w:hideMark/>
          </w:tcPr>
          <w:p w14:paraId="299D8999"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89</w:t>
            </w:r>
          </w:p>
        </w:tc>
        <w:tc>
          <w:tcPr>
            <w:tcW w:w="772" w:type="dxa"/>
            <w:tcBorders>
              <w:top w:val="dashed" w:sz="8" w:space="0" w:color="auto"/>
              <w:left w:val="nil"/>
              <w:bottom w:val="nil"/>
              <w:right w:val="single" w:sz="4" w:space="0" w:color="auto"/>
            </w:tcBorders>
            <w:shd w:val="clear" w:color="auto" w:fill="auto"/>
            <w:noWrap/>
            <w:vAlign w:val="bottom"/>
            <w:hideMark/>
          </w:tcPr>
          <w:p w14:paraId="1BB46DC8"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84</w:t>
            </w:r>
          </w:p>
        </w:tc>
        <w:tc>
          <w:tcPr>
            <w:tcW w:w="794" w:type="dxa"/>
            <w:tcBorders>
              <w:top w:val="dashed" w:sz="8" w:space="0" w:color="auto"/>
              <w:left w:val="single" w:sz="4" w:space="0" w:color="auto"/>
              <w:bottom w:val="nil"/>
              <w:right w:val="nil"/>
            </w:tcBorders>
            <w:shd w:val="clear" w:color="auto" w:fill="auto"/>
            <w:noWrap/>
            <w:vAlign w:val="bottom"/>
            <w:hideMark/>
          </w:tcPr>
          <w:p w14:paraId="73E448CD"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91</w:t>
            </w:r>
          </w:p>
        </w:tc>
        <w:tc>
          <w:tcPr>
            <w:tcW w:w="772" w:type="dxa"/>
            <w:tcBorders>
              <w:top w:val="dashed" w:sz="8" w:space="0" w:color="auto"/>
              <w:left w:val="nil"/>
              <w:bottom w:val="nil"/>
              <w:right w:val="single" w:sz="4" w:space="0" w:color="auto"/>
            </w:tcBorders>
            <w:shd w:val="clear" w:color="auto" w:fill="auto"/>
            <w:noWrap/>
            <w:vAlign w:val="bottom"/>
            <w:hideMark/>
          </w:tcPr>
          <w:p w14:paraId="17C9D4B0"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87</w:t>
            </w:r>
          </w:p>
        </w:tc>
        <w:tc>
          <w:tcPr>
            <w:tcW w:w="706" w:type="dxa"/>
            <w:tcBorders>
              <w:top w:val="dashed" w:sz="8" w:space="0" w:color="auto"/>
              <w:left w:val="single" w:sz="4" w:space="0" w:color="auto"/>
              <w:bottom w:val="nil"/>
              <w:right w:val="nil"/>
            </w:tcBorders>
            <w:shd w:val="clear" w:color="auto" w:fill="auto"/>
            <w:noWrap/>
            <w:vAlign w:val="bottom"/>
            <w:hideMark/>
          </w:tcPr>
          <w:p w14:paraId="34F1334A"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26</w:t>
            </w:r>
          </w:p>
        </w:tc>
        <w:tc>
          <w:tcPr>
            <w:tcW w:w="772" w:type="dxa"/>
            <w:tcBorders>
              <w:top w:val="dashed" w:sz="8" w:space="0" w:color="auto"/>
              <w:left w:val="nil"/>
              <w:bottom w:val="nil"/>
            </w:tcBorders>
            <w:shd w:val="clear" w:color="auto" w:fill="auto"/>
            <w:noWrap/>
            <w:vAlign w:val="bottom"/>
            <w:hideMark/>
          </w:tcPr>
          <w:p w14:paraId="24495F13"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32</w:t>
            </w:r>
          </w:p>
        </w:tc>
      </w:tr>
      <w:tr w:rsidR="00367DB9" w:rsidRPr="00056BD0" w14:paraId="4AE3D848" w14:textId="77777777" w:rsidTr="000C4CD0">
        <w:trPr>
          <w:gridAfter w:val="1"/>
          <w:wAfter w:w="92" w:type="dxa"/>
          <w:trHeight w:val="255"/>
        </w:trPr>
        <w:tc>
          <w:tcPr>
            <w:tcW w:w="1134" w:type="dxa"/>
            <w:tcBorders>
              <w:top w:val="nil"/>
              <w:left w:val="nil"/>
              <w:bottom w:val="nil"/>
            </w:tcBorders>
            <w:shd w:val="clear" w:color="auto" w:fill="auto"/>
            <w:noWrap/>
            <w:vAlign w:val="bottom"/>
            <w:hideMark/>
          </w:tcPr>
          <w:p w14:paraId="48700C19"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92</w:t>
            </w:r>
          </w:p>
        </w:tc>
        <w:tc>
          <w:tcPr>
            <w:tcW w:w="559" w:type="dxa"/>
            <w:tcBorders>
              <w:top w:val="nil"/>
              <w:bottom w:val="nil"/>
              <w:right w:val="single" w:sz="4" w:space="0" w:color="auto"/>
            </w:tcBorders>
            <w:shd w:val="clear" w:color="auto" w:fill="auto"/>
            <w:noWrap/>
            <w:vAlign w:val="bottom"/>
            <w:hideMark/>
          </w:tcPr>
          <w:p w14:paraId="0D8D0782"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16</w:t>
            </w:r>
          </w:p>
        </w:tc>
        <w:tc>
          <w:tcPr>
            <w:tcW w:w="695" w:type="dxa"/>
            <w:tcBorders>
              <w:top w:val="nil"/>
              <w:left w:val="single" w:sz="4" w:space="0" w:color="auto"/>
              <w:bottom w:val="nil"/>
              <w:right w:val="nil"/>
            </w:tcBorders>
            <w:shd w:val="clear" w:color="auto" w:fill="auto"/>
            <w:noWrap/>
            <w:vAlign w:val="bottom"/>
            <w:hideMark/>
          </w:tcPr>
          <w:p w14:paraId="7665B355"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96</w:t>
            </w:r>
          </w:p>
        </w:tc>
        <w:tc>
          <w:tcPr>
            <w:tcW w:w="772" w:type="dxa"/>
            <w:tcBorders>
              <w:top w:val="nil"/>
              <w:left w:val="nil"/>
              <w:bottom w:val="nil"/>
              <w:right w:val="single" w:sz="4" w:space="0" w:color="auto"/>
            </w:tcBorders>
            <w:shd w:val="clear" w:color="auto" w:fill="auto"/>
            <w:noWrap/>
            <w:vAlign w:val="bottom"/>
            <w:hideMark/>
          </w:tcPr>
          <w:p w14:paraId="369DAB0E"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95</w:t>
            </w:r>
          </w:p>
        </w:tc>
        <w:tc>
          <w:tcPr>
            <w:tcW w:w="695" w:type="dxa"/>
            <w:tcBorders>
              <w:top w:val="nil"/>
              <w:left w:val="single" w:sz="4" w:space="0" w:color="auto"/>
              <w:bottom w:val="nil"/>
              <w:right w:val="nil"/>
            </w:tcBorders>
            <w:shd w:val="clear" w:color="auto" w:fill="auto"/>
            <w:noWrap/>
            <w:vAlign w:val="bottom"/>
            <w:hideMark/>
          </w:tcPr>
          <w:p w14:paraId="59B81692"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70</w:t>
            </w:r>
          </w:p>
        </w:tc>
        <w:tc>
          <w:tcPr>
            <w:tcW w:w="772" w:type="dxa"/>
            <w:tcBorders>
              <w:top w:val="nil"/>
              <w:left w:val="nil"/>
              <w:bottom w:val="nil"/>
              <w:right w:val="single" w:sz="4" w:space="0" w:color="auto"/>
            </w:tcBorders>
            <w:shd w:val="clear" w:color="auto" w:fill="auto"/>
            <w:noWrap/>
            <w:vAlign w:val="bottom"/>
            <w:hideMark/>
          </w:tcPr>
          <w:p w14:paraId="0646BAC1"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61</w:t>
            </w:r>
          </w:p>
        </w:tc>
        <w:tc>
          <w:tcPr>
            <w:tcW w:w="794" w:type="dxa"/>
            <w:tcBorders>
              <w:top w:val="nil"/>
              <w:left w:val="single" w:sz="4" w:space="0" w:color="auto"/>
              <w:bottom w:val="nil"/>
              <w:right w:val="nil"/>
            </w:tcBorders>
            <w:shd w:val="clear" w:color="auto" w:fill="auto"/>
            <w:noWrap/>
            <w:vAlign w:val="bottom"/>
            <w:hideMark/>
          </w:tcPr>
          <w:p w14:paraId="62773E2D"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103</w:t>
            </w:r>
          </w:p>
        </w:tc>
        <w:tc>
          <w:tcPr>
            <w:tcW w:w="772" w:type="dxa"/>
            <w:tcBorders>
              <w:top w:val="nil"/>
              <w:left w:val="nil"/>
              <w:bottom w:val="nil"/>
              <w:right w:val="single" w:sz="4" w:space="0" w:color="auto"/>
            </w:tcBorders>
            <w:shd w:val="clear" w:color="auto" w:fill="auto"/>
            <w:noWrap/>
            <w:vAlign w:val="bottom"/>
            <w:hideMark/>
          </w:tcPr>
          <w:p w14:paraId="139929CE"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105</w:t>
            </w:r>
          </w:p>
        </w:tc>
        <w:tc>
          <w:tcPr>
            <w:tcW w:w="695" w:type="dxa"/>
            <w:tcBorders>
              <w:top w:val="nil"/>
              <w:left w:val="single" w:sz="4" w:space="0" w:color="auto"/>
              <w:bottom w:val="nil"/>
              <w:right w:val="nil"/>
            </w:tcBorders>
            <w:shd w:val="clear" w:color="auto" w:fill="auto"/>
            <w:noWrap/>
            <w:vAlign w:val="bottom"/>
            <w:hideMark/>
          </w:tcPr>
          <w:p w14:paraId="75E57510"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90</w:t>
            </w:r>
          </w:p>
        </w:tc>
        <w:tc>
          <w:tcPr>
            <w:tcW w:w="772" w:type="dxa"/>
            <w:tcBorders>
              <w:top w:val="nil"/>
              <w:left w:val="nil"/>
              <w:bottom w:val="nil"/>
              <w:right w:val="single" w:sz="4" w:space="0" w:color="auto"/>
            </w:tcBorders>
            <w:shd w:val="clear" w:color="auto" w:fill="auto"/>
            <w:noWrap/>
            <w:vAlign w:val="bottom"/>
            <w:hideMark/>
          </w:tcPr>
          <w:p w14:paraId="7EC8CD9C"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87</w:t>
            </w:r>
          </w:p>
        </w:tc>
        <w:tc>
          <w:tcPr>
            <w:tcW w:w="695" w:type="dxa"/>
            <w:tcBorders>
              <w:top w:val="nil"/>
              <w:left w:val="single" w:sz="4" w:space="0" w:color="auto"/>
              <w:bottom w:val="nil"/>
              <w:right w:val="nil"/>
            </w:tcBorders>
            <w:shd w:val="clear" w:color="auto" w:fill="auto"/>
            <w:noWrap/>
            <w:vAlign w:val="bottom"/>
            <w:hideMark/>
          </w:tcPr>
          <w:p w14:paraId="7884E1F7"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76</w:t>
            </w:r>
          </w:p>
        </w:tc>
        <w:tc>
          <w:tcPr>
            <w:tcW w:w="772" w:type="dxa"/>
            <w:tcBorders>
              <w:top w:val="nil"/>
              <w:left w:val="nil"/>
              <w:bottom w:val="nil"/>
              <w:right w:val="single" w:sz="4" w:space="0" w:color="auto"/>
            </w:tcBorders>
            <w:shd w:val="clear" w:color="auto" w:fill="auto"/>
            <w:noWrap/>
            <w:vAlign w:val="bottom"/>
            <w:hideMark/>
          </w:tcPr>
          <w:p w14:paraId="1CDDAA28"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68</w:t>
            </w:r>
          </w:p>
        </w:tc>
        <w:tc>
          <w:tcPr>
            <w:tcW w:w="794" w:type="dxa"/>
            <w:tcBorders>
              <w:top w:val="nil"/>
              <w:left w:val="single" w:sz="4" w:space="0" w:color="auto"/>
              <w:bottom w:val="nil"/>
              <w:right w:val="nil"/>
            </w:tcBorders>
            <w:shd w:val="clear" w:color="auto" w:fill="auto"/>
            <w:noWrap/>
            <w:vAlign w:val="bottom"/>
            <w:hideMark/>
          </w:tcPr>
          <w:p w14:paraId="7ED589E2"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93</w:t>
            </w:r>
          </w:p>
        </w:tc>
        <w:tc>
          <w:tcPr>
            <w:tcW w:w="772" w:type="dxa"/>
            <w:tcBorders>
              <w:top w:val="nil"/>
              <w:left w:val="nil"/>
              <w:bottom w:val="nil"/>
              <w:right w:val="single" w:sz="4" w:space="0" w:color="auto"/>
            </w:tcBorders>
            <w:shd w:val="clear" w:color="auto" w:fill="auto"/>
            <w:noWrap/>
            <w:vAlign w:val="bottom"/>
            <w:hideMark/>
          </w:tcPr>
          <w:p w14:paraId="61179CA2"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95</w:t>
            </w:r>
          </w:p>
        </w:tc>
        <w:tc>
          <w:tcPr>
            <w:tcW w:w="794" w:type="dxa"/>
            <w:tcBorders>
              <w:top w:val="nil"/>
              <w:left w:val="single" w:sz="4" w:space="0" w:color="auto"/>
              <w:bottom w:val="nil"/>
              <w:right w:val="nil"/>
            </w:tcBorders>
            <w:shd w:val="clear" w:color="auto" w:fill="auto"/>
            <w:noWrap/>
            <w:vAlign w:val="bottom"/>
            <w:hideMark/>
          </w:tcPr>
          <w:p w14:paraId="61E0E4AA"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92</w:t>
            </w:r>
          </w:p>
        </w:tc>
        <w:tc>
          <w:tcPr>
            <w:tcW w:w="772" w:type="dxa"/>
            <w:tcBorders>
              <w:top w:val="nil"/>
              <w:left w:val="nil"/>
              <w:bottom w:val="nil"/>
              <w:right w:val="single" w:sz="4" w:space="0" w:color="auto"/>
            </w:tcBorders>
            <w:shd w:val="clear" w:color="auto" w:fill="auto"/>
            <w:noWrap/>
            <w:vAlign w:val="bottom"/>
            <w:hideMark/>
          </w:tcPr>
          <w:p w14:paraId="0BB14A98"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89</w:t>
            </w:r>
          </w:p>
        </w:tc>
        <w:tc>
          <w:tcPr>
            <w:tcW w:w="706" w:type="dxa"/>
            <w:tcBorders>
              <w:top w:val="nil"/>
              <w:left w:val="single" w:sz="4" w:space="0" w:color="auto"/>
              <w:bottom w:val="nil"/>
              <w:right w:val="nil"/>
            </w:tcBorders>
            <w:shd w:val="clear" w:color="auto" w:fill="auto"/>
            <w:noWrap/>
            <w:vAlign w:val="bottom"/>
            <w:hideMark/>
          </w:tcPr>
          <w:p w14:paraId="2B874DDC"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33</w:t>
            </w:r>
          </w:p>
        </w:tc>
        <w:tc>
          <w:tcPr>
            <w:tcW w:w="772" w:type="dxa"/>
            <w:tcBorders>
              <w:top w:val="nil"/>
              <w:left w:val="nil"/>
              <w:bottom w:val="nil"/>
            </w:tcBorders>
            <w:shd w:val="clear" w:color="auto" w:fill="auto"/>
            <w:noWrap/>
            <w:vAlign w:val="bottom"/>
            <w:hideMark/>
          </w:tcPr>
          <w:p w14:paraId="00C2C3F2"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44</w:t>
            </w:r>
          </w:p>
        </w:tc>
      </w:tr>
      <w:tr w:rsidR="00367DB9" w:rsidRPr="00056BD0" w14:paraId="283CC82C" w14:textId="77777777" w:rsidTr="000C4CD0">
        <w:trPr>
          <w:gridAfter w:val="1"/>
          <w:wAfter w:w="92" w:type="dxa"/>
          <w:trHeight w:val="255"/>
        </w:trPr>
        <w:tc>
          <w:tcPr>
            <w:tcW w:w="1134" w:type="dxa"/>
            <w:tcBorders>
              <w:top w:val="nil"/>
              <w:left w:val="nil"/>
              <w:bottom w:val="nil"/>
            </w:tcBorders>
            <w:shd w:val="clear" w:color="auto" w:fill="auto"/>
            <w:noWrap/>
            <w:vAlign w:val="bottom"/>
            <w:hideMark/>
          </w:tcPr>
          <w:p w14:paraId="21ED12EF"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93</w:t>
            </w:r>
          </w:p>
        </w:tc>
        <w:tc>
          <w:tcPr>
            <w:tcW w:w="559" w:type="dxa"/>
            <w:tcBorders>
              <w:top w:val="nil"/>
              <w:bottom w:val="nil"/>
              <w:right w:val="single" w:sz="4" w:space="0" w:color="auto"/>
            </w:tcBorders>
            <w:shd w:val="clear" w:color="auto" w:fill="auto"/>
            <w:noWrap/>
            <w:vAlign w:val="bottom"/>
            <w:hideMark/>
          </w:tcPr>
          <w:p w14:paraId="1EFC126C"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68</w:t>
            </w:r>
          </w:p>
        </w:tc>
        <w:tc>
          <w:tcPr>
            <w:tcW w:w="695" w:type="dxa"/>
            <w:tcBorders>
              <w:top w:val="nil"/>
              <w:left w:val="single" w:sz="4" w:space="0" w:color="auto"/>
              <w:bottom w:val="nil"/>
              <w:right w:val="nil"/>
            </w:tcBorders>
            <w:shd w:val="clear" w:color="auto" w:fill="auto"/>
            <w:noWrap/>
            <w:vAlign w:val="bottom"/>
            <w:hideMark/>
          </w:tcPr>
          <w:p w14:paraId="475B8A88"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82</w:t>
            </w:r>
          </w:p>
        </w:tc>
        <w:tc>
          <w:tcPr>
            <w:tcW w:w="772" w:type="dxa"/>
            <w:tcBorders>
              <w:top w:val="nil"/>
              <w:left w:val="nil"/>
              <w:bottom w:val="nil"/>
              <w:right w:val="single" w:sz="4" w:space="0" w:color="auto"/>
            </w:tcBorders>
            <w:shd w:val="clear" w:color="auto" w:fill="auto"/>
            <w:noWrap/>
            <w:vAlign w:val="bottom"/>
            <w:hideMark/>
          </w:tcPr>
          <w:p w14:paraId="1DDE6052"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76</w:t>
            </w:r>
          </w:p>
        </w:tc>
        <w:tc>
          <w:tcPr>
            <w:tcW w:w="695" w:type="dxa"/>
            <w:tcBorders>
              <w:top w:val="nil"/>
              <w:left w:val="single" w:sz="4" w:space="0" w:color="auto"/>
              <w:bottom w:val="nil"/>
              <w:right w:val="nil"/>
            </w:tcBorders>
            <w:shd w:val="clear" w:color="auto" w:fill="auto"/>
            <w:noWrap/>
            <w:vAlign w:val="bottom"/>
            <w:hideMark/>
          </w:tcPr>
          <w:p w14:paraId="7721E641"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92</w:t>
            </w:r>
          </w:p>
        </w:tc>
        <w:tc>
          <w:tcPr>
            <w:tcW w:w="772" w:type="dxa"/>
            <w:tcBorders>
              <w:top w:val="nil"/>
              <w:left w:val="nil"/>
              <w:bottom w:val="nil"/>
              <w:right w:val="single" w:sz="4" w:space="0" w:color="auto"/>
            </w:tcBorders>
            <w:shd w:val="clear" w:color="auto" w:fill="auto"/>
            <w:noWrap/>
            <w:vAlign w:val="bottom"/>
            <w:hideMark/>
          </w:tcPr>
          <w:p w14:paraId="6A8B3BDB"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90</w:t>
            </w:r>
          </w:p>
        </w:tc>
        <w:tc>
          <w:tcPr>
            <w:tcW w:w="794" w:type="dxa"/>
            <w:tcBorders>
              <w:top w:val="nil"/>
              <w:left w:val="single" w:sz="4" w:space="0" w:color="auto"/>
              <w:bottom w:val="nil"/>
              <w:right w:val="nil"/>
            </w:tcBorders>
            <w:shd w:val="clear" w:color="auto" w:fill="auto"/>
            <w:noWrap/>
            <w:vAlign w:val="bottom"/>
            <w:hideMark/>
          </w:tcPr>
          <w:p w14:paraId="7A841E4A"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86</w:t>
            </w:r>
          </w:p>
        </w:tc>
        <w:tc>
          <w:tcPr>
            <w:tcW w:w="772" w:type="dxa"/>
            <w:tcBorders>
              <w:top w:val="nil"/>
              <w:left w:val="nil"/>
              <w:bottom w:val="nil"/>
              <w:right w:val="single" w:sz="4" w:space="0" w:color="auto"/>
            </w:tcBorders>
            <w:shd w:val="clear" w:color="auto" w:fill="auto"/>
            <w:noWrap/>
            <w:vAlign w:val="bottom"/>
            <w:hideMark/>
          </w:tcPr>
          <w:p w14:paraId="398B0601"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76</w:t>
            </w:r>
          </w:p>
        </w:tc>
        <w:tc>
          <w:tcPr>
            <w:tcW w:w="695" w:type="dxa"/>
            <w:tcBorders>
              <w:top w:val="nil"/>
              <w:left w:val="single" w:sz="4" w:space="0" w:color="auto"/>
              <w:bottom w:val="nil"/>
              <w:right w:val="nil"/>
            </w:tcBorders>
            <w:shd w:val="clear" w:color="auto" w:fill="auto"/>
            <w:noWrap/>
            <w:vAlign w:val="bottom"/>
            <w:hideMark/>
          </w:tcPr>
          <w:p w14:paraId="2572176D"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93</w:t>
            </w:r>
          </w:p>
        </w:tc>
        <w:tc>
          <w:tcPr>
            <w:tcW w:w="772" w:type="dxa"/>
            <w:tcBorders>
              <w:top w:val="nil"/>
              <w:left w:val="nil"/>
              <w:bottom w:val="nil"/>
              <w:right w:val="single" w:sz="4" w:space="0" w:color="auto"/>
            </w:tcBorders>
            <w:shd w:val="clear" w:color="auto" w:fill="auto"/>
            <w:noWrap/>
            <w:vAlign w:val="bottom"/>
            <w:hideMark/>
          </w:tcPr>
          <w:p w14:paraId="24F979E1"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94</w:t>
            </w:r>
          </w:p>
        </w:tc>
        <w:tc>
          <w:tcPr>
            <w:tcW w:w="695" w:type="dxa"/>
            <w:tcBorders>
              <w:top w:val="nil"/>
              <w:left w:val="single" w:sz="4" w:space="0" w:color="auto"/>
              <w:bottom w:val="nil"/>
              <w:right w:val="nil"/>
            </w:tcBorders>
            <w:shd w:val="clear" w:color="auto" w:fill="auto"/>
            <w:noWrap/>
            <w:vAlign w:val="bottom"/>
            <w:hideMark/>
          </w:tcPr>
          <w:p w14:paraId="11C578F2"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89</w:t>
            </w:r>
          </w:p>
        </w:tc>
        <w:tc>
          <w:tcPr>
            <w:tcW w:w="772" w:type="dxa"/>
            <w:tcBorders>
              <w:top w:val="nil"/>
              <w:left w:val="nil"/>
              <w:bottom w:val="nil"/>
              <w:right w:val="single" w:sz="4" w:space="0" w:color="auto"/>
            </w:tcBorders>
            <w:shd w:val="clear" w:color="auto" w:fill="auto"/>
            <w:noWrap/>
            <w:vAlign w:val="bottom"/>
            <w:hideMark/>
          </w:tcPr>
          <w:p w14:paraId="5FBD84F9"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89</w:t>
            </w:r>
          </w:p>
        </w:tc>
        <w:tc>
          <w:tcPr>
            <w:tcW w:w="794" w:type="dxa"/>
            <w:tcBorders>
              <w:top w:val="nil"/>
              <w:left w:val="single" w:sz="4" w:space="0" w:color="auto"/>
              <w:bottom w:val="nil"/>
              <w:right w:val="nil"/>
            </w:tcBorders>
            <w:shd w:val="clear" w:color="auto" w:fill="auto"/>
            <w:noWrap/>
            <w:vAlign w:val="bottom"/>
            <w:hideMark/>
          </w:tcPr>
          <w:p w14:paraId="04A332FB"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99</w:t>
            </w:r>
          </w:p>
        </w:tc>
        <w:tc>
          <w:tcPr>
            <w:tcW w:w="772" w:type="dxa"/>
            <w:tcBorders>
              <w:top w:val="nil"/>
              <w:left w:val="nil"/>
              <w:bottom w:val="nil"/>
              <w:right w:val="single" w:sz="4" w:space="0" w:color="auto"/>
            </w:tcBorders>
            <w:shd w:val="clear" w:color="auto" w:fill="auto"/>
            <w:noWrap/>
            <w:vAlign w:val="bottom"/>
            <w:hideMark/>
          </w:tcPr>
          <w:p w14:paraId="03E77797"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99</w:t>
            </w:r>
          </w:p>
        </w:tc>
        <w:tc>
          <w:tcPr>
            <w:tcW w:w="794" w:type="dxa"/>
            <w:tcBorders>
              <w:top w:val="nil"/>
              <w:left w:val="single" w:sz="4" w:space="0" w:color="auto"/>
              <w:bottom w:val="nil"/>
              <w:right w:val="nil"/>
            </w:tcBorders>
            <w:shd w:val="clear" w:color="auto" w:fill="auto"/>
            <w:noWrap/>
            <w:vAlign w:val="bottom"/>
            <w:hideMark/>
          </w:tcPr>
          <w:p w14:paraId="61E39C5E"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93</w:t>
            </w:r>
          </w:p>
        </w:tc>
        <w:tc>
          <w:tcPr>
            <w:tcW w:w="772" w:type="dxa"/>
            <w:tcBorders>
              <w:top w:val="nil"/>
              <w:left w:val="nil"/>
              <w:bottom w:val="nil"/>
              <w:right w:val="single" w:sz="4" w:space="0" w:color="auto"/>
            </w:tcBorders>
            <w:shd w:val="clear" w:color="auto" w:fill="auto"/>
            <w:noWrap/>
            <w:vAlign w:val="bottom"/>
            <w:hideMark/>
          </w:tcPr>
          <w:p w14:paraId="73F2AB0C"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88</w:t>
            </w:r>
          </w:p>
        </w:tc>
        <w:tc>
          <w:tcPr>
            <w:tcW w:w="706" w:type="dxa"/>
            <w:tcBorders>
              <w:top w:val="nil"/>
              <w:left w:val="single" w:sz="4" w:space="0" w:color="auto"/>
              <w:bottom w:val="nil"/>
              <w:right w:val="nil"/>
            </w:tcBorders>
            <w:shd w:val="clear" w:color="auto" w:fill="auto"/>
            <w:noWrap/>
            <w:vAlign w:val="bottom"/>
            <w:hideMark/>
          </w:tcPr>
          <w:p w14:paraId="3F98D096"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17</w:t>
            </w:r>
          </w:p>
        </w:tc>
        <w:tc>
          <w:tcPr>
            <w:tcW w:w="772" w:type="dxa"/>
            <w:tcBorders>
              <w:top w:val="nil"/>
              <w:left w:val="nil"/>
              <w:bottom w:val="nil"/>
            </w:tcBorders>
            <w:shd w:val="clear" w:color="auto" w:fill="auto"/>
            <w:noWrap/>
            <w:vAlign w:val="bottom"/>
            <w:hideMark/>
          </w:tcPr>
          <w:p w14:paraId="6486F39D"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23</w:t>
            </w:r>
          </w:p>
        </w:tc>
      </w:tr>
      <w:tr w:rsidR="00367DB9" w:rsidRPr="00056BD0" w14:paraId="7663CED8" w14:textId="77777777" w:rsidTr="000C4CD0">
        <w:trPr>
          <w:gridAfter w:val="1"/>
          <w:wAfter w:w="92" w:type="dxa"/>
          <w:trHeight w:val="255"/>
        </w:trPr>
        <w:tc>
          <w:tcPr>
            <w:tcW w:w="1134" w:type="dxa"/>
            <w:tcBorders>
              <w:top w:val="nil"/>
              <w:left w:val="nil"/>
              <w:bottom w:val="nil"/>
            </w:tcBorders>
            <w:shd w:val="clear" w:color="auto" w:fill="auto"/>
            <w:noWrap/>
            <w:vAlign w:val="bottom"/>
            <w:hideMark/>
          </w:tcPr>
          <w:p w14:paraId="3ED7F64F"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94</w:t>
            </w:r>
          </w:p>
        </w:tc>
        <w:tc>
          <w:tcPr>
            <w:tcW w:w="559" w:type="dxa"/>
            <w:tcBorders>
              <w:top w:val="nil"/>
              <w:bottom w:val="nil"/>
              <w:right w:val="single" w:sz="4" w:space="0" w:color="auto"/>
            </w:tcBorders>
            <w:shd w:val="clear" w:color="auto" w:fill="auto"/>
            <w:noWrap/>
            <w:vAlign w:val="bottom"/>
            <w:hideMark/>
          </w:tcPr>
          <w:p w14:paraId="7E11029F"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103</w:t>
            </w:r>
          </w:p>
        </w:tc>
        <w:tc>
          <w:tcPr>
            <w:tcW w:w="695" w:type="dxa"/>
            <w:tcBorders>
              <w:top w:val="nil"/>
              <w:left w:val="single" w:sz="4" w:space="0" w:color="auto"/>
              <w:bottom w:val="nil"/>
              <w:right w:val="nil"/>
            </w:tcBorders>
            <w:shd w:val="clear" w:color="auto" w:fill="auto"/>
            <w:noWrap/>
            <w:vAlign w:val="bottom"/>
            <w:hideMark/>
          </w:tcPr>
          <w:p w14:paraId="6D9E8A5D"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92</w:t>
            </w:r>
          </w:p>
        </w:tc>
        <w:tc>
          <w:tcPr>
            <w:tcW w:w="772" w:type="dxa"/>
            <w:tcBorders>
              <w:top w:val="nil"/>
              <w:left w:val="nil"/>
              <w:bottom w:val="nil"/>
              <w:right w:val="single" w:sz="4" w:space="0" w:color="auto"/>
            </w:tcBorders>
            <w:shd w:val="clear" w:color="auto" w:fill="auto"/>
            <w:noWrap/>
            <w:vAlign w:val="bottom"/>
            <w:hideMark/>
          </w:tcPr>
          <w:p w14:paraId="762F14AF"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92</w:t>
            </w:r>
          </w:p>
        </w:tc>
        <w:tc>
          <w:tcPr>
            <w:tcW w:w="695" w:type="dxa"/>
            <w:tcBorders>
              <w:top w:val="nil"/>
              <w:left w:val="single" w:sz="4" w:space="0" w:color="auto"/>
              <w:bottom w:val="nil"/>
              <w:right w:val="nil"/>
            </w:tcBorders>
            <w:shd w:val="clear" w:color="auto" w:fill="auto"/>
            <w:noWrap/>
            <w:vAlign w:val="bottom"/>
            <w:hideMark/>
          </w:tcPr>
          <w:p w14:paraId="07396401"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88</w:t>
            </w:r>
          </w:p>
        </w:tc>
        <w:tc>
          <w:tcPr>
            <w:tcW w:w="772" w:type="dxa"/>
            <w:tcBorders>
              <w:top w:val="nil"/>
              <w:left w:val="nil"/>
              <w:bottom w:val="nil"/>
              <w:right w:val="single" w:sz="4" w:space="0" w:color="auto"/>
            </w:tcBorders>
            <w:shd w:val="clear" w:color="auto" w:fill="auto"/>
            <w:noWrap/>
            <w:vAlign w:val="bottom"/>
            <w:hideMark/>
          </w:tcPr>
          <w:p w14:paraId="3FBE3987"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88</w:t>
            </w:r>
          </w:p>
        </w:tc>
        <w:tc>
          <w:tcPr>
            <w:tcW w:w="794" w:type="dxa"/>
            <w:tcBorders>
              <w:top w:val="nil"/>
              <w:left w:val="single" w:sz="4" w:space="0" w:color="auto"/>
              <w:bottom w:val="nil"/>
              <w:right w:val="nil"/>
            </w:tcBorders>
            <w:shd w:val="clear" w:color="auto" w:fill="auto"/>
            <w:noWrap/>
            <w:vAlign w:val="bottom"/>
            <w:hideMark/>
          </w:tcPr>
          <w:p w14:paraId="7FB1CE99"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96</w:t>
            </w:r>
          </w:p>
        </w:tc>
        <w:tc>
          <w:tcPr>
            <w:tcW w:w="772" w:type="dxa"/>
            <w:tcBorders>
              <w:top w:val="nil"/>
              <w:left w:val="nil"/>
              <w:bottom w:val="nil"/>
              <w:right w:val="single" w:sz="4" w:space="0" w:color="auto"/>
            </w:tcBorders>
            <w:shd w:val="clear" w:color="auto" w:fill="auto"/>
            <w:noWrap/>
            <w:vAlign w:val="bottom"/>
            <w:hideMark/>
          </w:tcPr>
          <w:p w14:paraId="634FCCA0"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93</w:t>
            </w:r>
          </w:p>
        </w:tc>
        <w:tc>
          <w:tcPr>
            <w:tcW w:w="695" w:type="dxa"/>
            <w:tcBorders>
              <w:top w:val="nil"/>
              <w:left w:val="single" w:sz="4" w:space="0" w:color="auto"/>
              <w:bottom w:val="nil"/>
              <w:right w:val="nil"/>
            </w:tcBorders>
            <w:shd w:val="clear" w:color="auto" w:fill="auto"/>
            <w:noWrap/>
            <w:vAlign w:val="bottom"/>
            <w:hideMark/>
          </w:tcPr>
          <w:p w14:paraId="0769F882"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70</w:t>
            </w:r>
          </w:p>
        </w:tc>
        <w:tc>
          <w:tcPr>
            <w:tcW w:w="772" w:type="dxa"/>
            <w:tcBorders>
              <w:top w:val="nil"/>
              <w:left w:val="nil"/>
              <w:bottom w:val="nil"/>
              <w:right w:val="single" w:sz="4" w:space="0" w:color="auto"/>
            </w:tcBorders>
            <w:shd w:val="clear" w:color="auto" w:fill="auto"/>
            <w:noWrap/>
            <w:vAlign w:val="bottom"/>
            <w:hideMark/>
          </w:tcPr>
          <w:p w14:paraId="076F59AA"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71</w:t>
            </w:r>
          </w:p>
        </w:tc>
        <w:tc>
          <w:tcPr>
            <w:tcW w:w="695" w:type="dxa"/>
            <w:tcBorders>
              <w:top w:val="nil"/>
              <w:left w:val="single" w:sz="4" w:space="0" w:color="auto"/>
              <w:bottom w:val="nil"/>
              <w:right w:val="nil"/>
            </w:tcBorders>
            <w:shd w:val="clear" w:color="auto" w:fill="auto"/>
            <w:noWrap/>
            <w:vAlign w:val="bottom"/>
            <w:hideMark/>
          </w:tcPr>
          <w:p w14:paraId="55CF7858"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93</w:t>
            </w:r>
          </w:p>
        </w:tc>
        <w:tc>
          <w:tcPr>
            <w:tcW w:w="772" w:type="dxa"/>
            <w:tcBorders>
              <w:top w:val="nil"/>
              <w:left w:val="nil"/>
              <w:bottom w:val="nil"/>
              <w:right w:val="single" w:sz="4" w:space="0" w:color="auto"/>
            </w:tcBorders>
            <w:shd w:val="clear" w:color="auto" w:fill="auto"/>
            <w:noWrap/>
            <w:vAlign w:val="bottom"/>
            <w:hideMark/>
          </w:tcPr>
          <w:p w14:paraId="13489A8B"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94</w:t>
            </w:r>
          </w:p>
        </w:tc>
        <w:tc>
          <w:tcPr>
            <w:tcW w:w="794" w:type="dxa"/>
            <w:tcBorders>
              <w:top w:val="nil"/>
              <w:left w:val="single" w:sz="4" w:space="0" w:color="auto"/>
              <w:bottom w:val="nil"/>
              <w:right w:val="nil"/>
            </w:tcBorders>
            <w:shd w:val="clear" w:color="auto" w:fill="auto"/>
            <w:noWrap/>
            <w:vAlign w:val="bottom"/>
            <w:hideMark/>
          </w:tcPr>
          <w:p w14:paraId="635D806A"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95</w:t>
            </w:r>
          </w:p>
        </w:tc>
        <w:tc>
          <w:tcPr>
            <w:tcW w:w="772" w:type="dxa"/>
            <w:tcBorders>
              <w:top w:val="nil"/>
              <w:left w:val="nil"/>
              <w:bottom w:val="nil"/>
              <w:right w:val="single" w:sz="4" w:space="0" w:color="auto"/>
            </w:tcBorders>
            <w:shd w:val="clear" w:color="auto" w:fill="auto"/>
            <w:noWrap/>
            <w:vAlign w:val="bottom"/>
            <w:hideMark/>
          </w:tcPr>
          <w:p w14:paraId="15144C03"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93</w:t>
            </w:r>
          </w:p>
        </w:tc>
        <w:tc>
          <w:tcPr>
            <w:tcW w:w="794" w:type="dxa"/>
            <w:tcBorders>
              <w:top w:val="nil"/>
              <w:left w:val="single" w:sz="4" w:space="0" w:color="auto"/>
              <w:bottom w:val="nil"/>
              <w:right w:val="nil"/>
            </w:tcBorders>
            <w:shd w:val="clear" w:color="auto" w:fill="auto"/>
            <w:noWrap/>
            <w:vAlign w:val="bottom"/>
            <w:hideMark/>
          </w:tcPr>
          <w:p w14:paraId="46B4B8FA"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94</w:t>
            </w:r>
          </w:p>
        </w:tc>
        <w:tc>
          <w:tcPr>
            <w:tcW w:w="772" w:type="dxa"/>
            <w:tcBorders>
              <w:top w:val="nil"/>
              <w:left w:val="nil"/>
              <w:bottom w:val="nil"/>
              <w:right w:val="single" w:sz="4" w:space="0" w:color="auto"/>
            </w:tcBorders>
            <w:shd w:val="clear" w:color="auto" w:fill="auto"/>
            <w:noWrap/>
            <w:vAlign w:val="bottom"/>
            <w:hideMark/>
          </w:tcPr>
          <w:p w14:paraId="1E2916E7"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91</w:t>
            </w:r>
          </w:p>
        </w:tc>
        <w:tc>
          <w:tcPr>
            <w:tcW w:w="706" w:type="dxa"/>
            <w:tcBorders>
              <w:top w:val="nil"/>
              <w:left w:val="single" w:sz="4" w:space="0" w:color="auto"/>
              <w:bottom w:val="nil"/>
              <w:right w:val="nil"/>
            </w:tcBorders>
            <w:shd w:val="clear" w:color="auto" w:fill="auto"/>
            <w:noWrap/>
            <w:vAlign w:val="bottom"/>
            <w:hideMark/>
          </w:tcPr>
          <w:p w14:paraId="29606BB8"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26</w:t>
            </w:r>
          </w:p>
        </w:tc>
        <w:tc>
          <w:tcPr>
            <w:tcW w:w="772" w:type="dxa"/>
            <w:tcBorders>
              <w:top w:val="nil"/>
              <w:left w:val="nil"/>
              <w:bottom w:val="nil"/>
            </w:tcBorders>
            <w:shd w:val="clear" w:color="auto" w:fill="auto"/>
            <w:noWrap/>
            <w:vAlign w:val="bottom"/>
            <w:hideMark/>
          </w:tcPr>
          <w:p w14:paraId="7311367A"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23</w:t>
            </w:r>
          </w:p>
        </w:tc>
      </w:tr>
      <w:tr w:rsidR="00367DB9" w:rsidRPr="00056BD0" w14:paraId="511F383D" w14:textId="77777777" w:rsidTr="000C4CD0">
        <w:trPr>
          <w:gridAfter w:val="1"/>
          <w:wAfter w:w="92" w:type="dxa"/>
          <w:trHeight w:val="255"/>
        </w:trPr>
        <w:tc>
          <w:tcPr>
            <w:tcW w:w="1134" w:type="dxa"/>
            <w:tcBorders>
              <w:top w:val="nil"/>
              <w:left w:val="nil"/>
              <w:bottom w:val="nil"/>
            </w:tcBorders>
            <w:shd w:val="clear" w:color="auto" w:fill="auto"/>
            <w:noWrap/>
            <w:vAlign w:val="bottom"/>
            <w:hideMark/>
          </w:tcPr>
          <w:p w14:paraId="6E031D4A"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95</w:t>
            </w:r>
          </w:p>
        </w:tc>
        <w:tc>
          <w:tcPr>
            <w:tcW w:w="559" w:type="dxa"/>
            <w:tcBorders>
              <w:top w:val="nil"/>
              <w:bottom w:val="nil"/>
              <w:right w:val="single" w:sz="4" w:space="0" w:color="auto"/>
            </w:tcBorders>
            <w:shd w:val="clear" w:color="auto" w:fill="auto"/>
            <w:noWrap/>
            <w:vAlign w:val="bottom"/>
            <w:hideMark/>
          </w:tcPr>
          <w:p w14:paraId="0887A496"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w:t>
            </w:r>
          </w:p>
        </w:tc>
        <w:tc>
          <w:tcPr>
            <w:tcW w:w="695" w:type="dxa"/>
            <w:tcBorders>
              <w:top w:val="nil"/>
              <w:left w:val="single" w:sz="4" w:space="0" w:color="auto"/>
              <w:bottom w:val="nil"/>
              <w:right w:val="nil"/>
            </w:tcBorders>
            <w:shd w:val="clear" w:color="auto" w:fill="auto"/>
            <w:noWrap/>
            <w:vAlign w:val="bottom"/>
            <w:hideMark/>
          </w:tcPr>
          <w:p w14:paraId="56C1B5FA"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94</w:t>
            </w:r>
          </w:p>
        </w:tc>
        <w:tc>
          <w:tcPr>
            <w:tcW w:w="772" w:type="dxa"/>
            <w:tcBorders>
              <w:top w:val="nil"/>
              <w:left w:val="nil"/>
              <w:bottom w:val="nil"/>
              <w:right w:val="single" w:sz="4" w:space="0" w:color="auto"/>
            </w:tcBorders>
            <w:shd w:val="clear" w:color="auto" w:fill="auto"/>
            <w:noWrap/>
            <w:vAlign w:val="bottom"/>
            <w:hideMark/>
          </w:tcPr>
          <w:p w14:paraId="606F2D75"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91</w:t>
            </w:r>
          </w:p>
        </w:tc>
        <w:tc>
          <w:tcPr>
            <w:tcW w:w="695" w:type="dxa"/>
            <w:tcBorders>
              <w:top w:val="nil"/>
              <w:left w:val="single" w:sz="4" w:space="0" w:color="auto"/>
              <w:bottom w:val="nil"/>
              <w:right w:val="nil"/>
            </w:tcBorders>
            <w:shd w:val="clear" w:color="auto" w:fill="auto"/>
            <w:noWrap/>
            <w:vAlign w:val="bottom"/>
            <w:hideMark/>
          </w:tcPr>
          <w:p w14:paraId="242FC217"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98</w:t>
            </w:r>
          </w:p>
        </w:tc>
        <w:tc>
          <w:tcPr>
            <w:tcW w:w="772" w:type="dxa"/>
            <w:tcBorders>
              <w:top w:val="nil"/>
              <w:left w:val="nil"/>
              <w:bottom w:val="nil"/>
              <w:right w:val="single" w:sz="4" w:space="0" w:color="auto"/>
            </w:tcBorders>
            <w:shd w:val="clear" w:color="auto" w:fill="auto"/>
            <w:noWrap/>
            <w:vAlign w:val="bottom"/>
            <w:hideMark/>
          </w:tcPr>
          <w:p w14:paraId="5735A500"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94</w:t>
            </w:r>
          </w:p>
        </w:tc>
        <w:tc>
          <w:tcPr>
            <w:tcW w:w="794" w:type="dxa"/>
            <w:tcBorders>
              <w:top w:val="nil"/>
              <w:left w:val="single" w:sz="4" w:space="0" w:color="auto"/>
              <w:bottom w:val="nil"/>
              <w:right w:val="nil"/>
            </w:tcBorders>
            <w:shd w:val="clear" w:color="auto" w:fill="auto"/>
            <w:noWrap/>
            <w:vAlign w:val="bottom"/>
            <w:hideMark/>
          </w:tcPr>
          <w:p w14:paraId="4007D721"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85</w:t>
            </w:r>
          </w:p>
        </w:tc>
        <w:tc>
          <w:tcPr>
            <w:tcW w:w="772" w:type="dxa"/>
            <w:tcBorders>
              <w:top w:val="nil"/>
              <w:left w:val="nil"/>
              <w:bottom w:val="nil"/>
              <w:right w:val="single" w:sz="4" w:space="0" w:color="auto"/>
            </w:tcBorders>
            <w:shd w:val="clear" w:color="auto" w:fill="auto"/>
            <w:noWrap/>
            <w:vAlign w:val="bottom"/>
            <w:hideMark/>
          </w:tcPr>
          <w:p w14:paraId="07D4D692"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82</w:t>
            </w:r>
          </w:p>
        </w:tc>
        <w:tc>
          <w:tcPr>
            <w:tcW w:w="695" w:type="dxa"/>
            <w:tcBorders>
              <w:top w:val="nil"/>
              <w:left w:val="single" w:sz="4" w:space="0" w:color="auto"/>
              <w:bottom w:val="nil"/>
              <w:right w:val="nil"/>
            </w:tcBorders>
            <w:shd w:val="clear" w:color="auto" w:fill="auto"/>
            <w:noWrap/>
            <w:vAlign w:val="bottom"/>
            <w:hideMark/>
          </w:tcPr>
          <w:p w14:paraId="0B3860C1"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95</w:t>
            </w:r>
          </w:p>
        </w:tc>
        <w:tc>
          <w:tcPr>
            <w:tcW w:w="772" w:type="dxa"/>
            <w:tcBorders>
              <w:top w:val="nil"/>
              <w:left w:val="nil"/>
              <w:bottom w:val="nil"/>
              <w:right w:val="single" w:sz="4" w:space="0" w:color="auto"/>
            </w:tcBorders>
            <w:shd w:val="clear" w:color="auto" w:fill="auto"/>
            <w:noWrap/>
            <w:vAlign w:val="bottom"/>
            <w:hideMark/>
          </w:tcPr>
          <w:p w14:paraId="0CE48B0E"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96</w:t>
            </w:r>
          </w:p>
        </w:tc>
        <w:tc>
          <w:tcPr>
            <w:tcW w:w="695" w:type="dxa"/>
            <w:tcBorders>
              <w:top w:val="nil"/>
              <w:left w:val="single" w:sz="4" w:space="0" w:color="auto"/>
              <w:bottom w:val="nil"/>
              <w:right w:val="nil"/>
            </w:tcBorders>
            <w:shd w:val="clear" w:color="auto" w:fill="auto"/>
            <w:noWrap/>
            <w:vAlign w:val="bottom"/>
            <w:hideMark/>
          </w:tcPr>
          <w:p w14:paraId="36B761BE"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90</w:t>
            </w:r>
          </w:p>
        </w:tc>
        <w:tc>
          <w:tcPr>
            <w:tcW w:w="772" w:type="dxa"/>
            <w:tcBorders>
              <w:top w:val="nil"/>
              <w:left w:val="nil"/>
              <w:bottom w:val="nil"/>
              <w:right w:val="single" w:sz="4" w:space="0" w:color="auto"/>
            </w:tcBorders>
            <w:shd w:val="clear" w:color="auto" w:fill="auto"/>
            <w:noWrap/>
            <w:vAlign w:val="bottom"/>
            <w:hideMark/>
          </w:tcPr>
          <w:p w14:paraId="342D7EB4"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89</w:t>
            </w:r>
          </w:p>
        </w:tc>
        <w:tc>
          <w:tcPr>
            <w:tcW w:w="794" w:type="dxa"/>
            <w:tcBorders>
              <w:top w:val="nil"/>
              <w:left w:val="single" w:sz="4" w:space="0" w:color="auto"/>
              <w:bottom w:val="nil"/>
              <w:right w:val="nil"/>
            </w:tcBorders>
            <w:shd w:val="clear" w:color="auto" w:fill="auto"/>
            <w:noWrap/>
            <w:vAlign w:val="bottom"/>
            <w:hideMark/>
          </w:tcPr>
          <w:p w14:paraId="5062A092"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92</w:t>
            </w:r>
          </w:p>
        </w:tc>
        <w:tc>
          <w:tcPr>
            <w:tcW w:w="772" w:type="dxa"/>
            <w:tcBorders>
              <w:top w:val="nil"/>
              <w:left w:val="nil"/>
              <w:bottom w:val="nil"/>
              <w:right w:val="single" w:sz="4" w:space="0" w:color="auto"/>
            </w:tcBorders>
            <w:shd w:val="clear" w:color="auto" w:fill="auto"/>
            <w:noWrap/>
            <w:vAlign w:val="bottom"/>
            <w:hideMark/>
          </w:tcPr>
          <w:p w14:paraId="72B6F16E"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88</w:t>
            </w:r>
          </w:p>
        </w:tc>
        <w:tc>
          <w:tcPr>
            <w:tcW w:w="794" w:type="dxa"/>
            <w:tcBorders>
              <w:top w:val="nil"/>
              <w:left w:val="single" w:sz="4" w:space="0" w:color="auto"/>
              <w:bottom w:val="nil"/>
              <w:right w:val="nil"/>
            </w:tcBorders>
            <w:shd w:val="clear" w:color="auto" w:fill="auto"/>
            <w:noWrap/>
            <w:vAlign w:val="bottom"/>
            <w:hideMark/>
          </w:tcPr>
          <w:p w14:paraId="6F58F47B"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95</w:t>
            </w:r>
          </w:p>
        </w:tc>
        <w:tc>
          <w:tcPr>
            <w:tcW w:w="772" w:type="dxa"/>
            <w:tcBorders>
              <w:top w:val="nil"/>
              <w:left w:val="nil"/>
              <w:bottom w:val="nil"/>
              <w:right w:val="single" w:sz="4" w:space="0" w:color="auto"/>
            </w:tcBorders>
            <w:shd w:val="clear" w:color="auto" w:fill="auto"/>
            <w:noWrap/>
            <w:vAlign w:val="bottom"/>
            <w:hideMark/>
          </w:tcPr>
          <w:p w14:paraId="42A805B3"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97</w:t>
            </w:r>
          </w:p>
        </w:tc>
        <w:tc>
          <w:tcPr>
            <w:tcW w:w="706" w:type="dxa"/>
            <w:tcBorders>
              <w:top w:val="nil"/>
              <w:left w:val="single" w:sz="4" w:space="0" w:color="auto"/>
              <w:bottom w:val="nil"/>
              <w:right w:val="nil"/>
            </w:tcBorders>
            <w:shd w:val="clear" w:color="auto" w:fill="auto"/>
            <w:noWrap/>
            <w:vAlign w:val="bottom"/>
            <w:hideMark/>
          </w:tcPr>
          <w:p w14:paraId="42EF76F9"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13</w:t>
            </w:r>
          </w:p>
        </w:tc>
        <w:tc>
          <w:tcPr>
            <w:tcW w:w="772" w:type="dxa"/>
            <w:tcBorders>
              <w:top w:val="nil"/>
              <w:left w:val="nil"/>
              <w:bottom w:val="nil"/>
            </w:tcBorders>
            <w:shd w:val="clear" w:color="auto" w:fill="auto"/>
            <w:noWrap/>
            <w:vAlign w:val="bottom"/>
            <w:hideMark/>
          </w:tcPr>
          <w:p w14:paraId="77B40B37"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15</w:t>
            </w:r>
          </w:p>
        </w:tc>
      </w:tr>
      <w:tr w:rsidR="00367DB9" w:rsidRPr="00056BD0" w14:paraId="3E846CF9" w14:textId="77777777" w:rsidTr="000C4CD0">
        <w:trPr>
          <w:gridAfter w:val="1"/>
          <w:wAfter w:w="92" w:type="dxa"/>
          <w:trHeight w:val="255"/>
        </w:trPr>
        <w:tc>
          <w:tcPr>
            <w:tcW w:w="1134" w:type="dxa"/>
            <w:tcBorders>
              <w:top w:val="nil"/>
              <w:left w:val="nil"/>
              <w:bottom w:val="nil"/>
            </w:tcBorders>
            <w:shd w:val="clear" w:color="auto" w:fill="auto"/>
            <w:noWrap/>
            <w:vAlign w:val="bottom"/>
            <w:hideMark/>
          </w:tcPr>
          <w:p w14:paraId="35BD4E5C"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96</w:t>
            </w:r>
          </w:p>
        </w:tc>
        <w:tc>
          <w:tcPr>
            <w:tcW w:w="559" w:type="dxa"/>
            <w:tcBorders>
              <w:top w:val="nil"/>
              <w:bottom w:val="nil"/>
              <w:right w:val="single" w:sz="4" w:space="0" w:color="auto"/>
            </w:tcBorders>
            <w:shd w:val="clear" w:color="auto" w:fill="auto"/>
            <w:noWrap/>
            <w:vAlign w:val="bottom"/>
            <w:hideMark/>
          </w:tcPr>
          <w:p w14:paraId="3A73DCDD"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97</w:t>
            </w:r>
          </w:p>
        </w:tc>
        <w:tc>
          <w:tcPr>
            <w:tcW w:w="695" w:type="dxa"/>
            <w:tcBorders>
              <w:top w:val="nil"/>
              <w:left w:val="single" w:sz="4" w:space="0" w:color="auto"/>
              <w:bottom w:val="nil"/>
              <w:right w:val="nil"/>
            </w:tcBorders>
            <w:shd w:val="clear" w:color="auto" w:fill="auto"/>
            <w:noWrap/>
            <w:vAlign w:val="bottom"/>
            <w:hideMark/>
          </w:tcPr>
          <w:p w14:paraId="09ECE208"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91</w:t>
            </w:r>
          </w:p>
        </w:tc>
        <w:tc>
          <w:tcPr>
            <w:tcW w:w="772" w:type="dxa"/>
            <w:tcBorders>
              <w:top w:val="nil"/>
              <w:left w:val="nil"/>
              <w:bottom w:val="nil"/>
              <w:right w:val="single" w:sz="4" w:space="0" w:color="auto"/>
            </w:tcBorders>
            <w:shd w:val="clear" w:color="auto" w:fill="auto"/>
            <w:noWrap/>
            <w:vAlign w:val="bottom"/>
            <w:hideMark/>
          </w:tcPr>
          <w:p w14:paraId="5FA7F4EB"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83</w:t>
            </w:r>
          </w:p>
        </w:tc>
        <w:tc>
          <w:tcPr>
            <w:tcW w:w="695" w:type="dxa"/>
            <w:tcBorders>
              <w:top w:val="nil"/>
              <w:left w:val="single" w:sz="4" w:space="0" w:color="auto"/>
              <w:bottom w:val="nil"/>
              <w:right w:val="nil"/>
            </w:tcBorders>
            <w:shd w:val="clear" w:color="auto" w:fill="auto"/>
            <w:noWrap/>
            <w:vAlign w:val="bottom"/>
            <w:hideMark/>
          </w:tcPr>
          <w:p w14:paraId="496BB50F"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93</w:t>
            </w:r>
          </w:p>
        </w:tc>
        <w:tc>
          <w:tcPr>
            <w:tcW w:w="772" w:type="dxa"/>
            <w:tcBorders>
              <w:top w:val="nil"/>
              <w:left w:val="nil"/>
              <w:bottom w:val="nil"/>
              <w:right w:val="single" w:sz="4" w:space="0" w:color="auto"/>
            </w:tcBorders>
            <w:shd w:val="clear" w:color="auto" w:fill="auto"/>
            <w:noWrap/>
            <w:vAlign w:val="bottom"/>
            <w:hideMark/>
          </w:tcPr>
          <w:p w14:paraId="440DEA8C"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94</w:t>
            </w:r>
          </w:p>
        </w:tc>
        <w:tc>
          <w:tcPr>
            <w:tcW w:w="794" w:type="dxa"/>
            <w:tcBorders>
              <w:top w:val="nil"/>
              <w:left w:val="single" w:sz="4" w:space="0" w:color="auto"/>
              <w:bottom w:val="nil"/>
              <w:right w:val="nil"/>
            </w:tcBorders>
            <w:shd w:val="clear" w:color="auto" w:fill="auto"/>
            <w:noWrap/>
            <w:vAlign w:val="bottom"/>
            <w:hideMark/>
          </w:tcPr>
          <w:p w14:paraId="64EBDE7D"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88</w:t>
            </w:r>
          </w:p>
        </w:tc>
        <w:tc>
          <w:tcPr>
            <w:tcW w:w="772" w:type="dxa"/>
            <w:tcBorders>
              <w:top w:val="nil"/>
              <w:left w:val="nil"/>
              <w:bottom w:val="nil"/>
              <w:right w:val="single" w:sz="4" w:space="0" w:color="auto"/>
            </w:tcBorders>
            <w:shd w:val="clear" w:color="auto" w:fill="auto"/>
            <w:noWrap/>
            <w:vAlign w:val="bottom"/>
            <w:hideMark/>
          </w:tcPr>
          <w:p w14:paraId="47C35540"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85</w:t>
            </w:r>
          </w:p>
        </w:tc>
        <w:tc>
          <w:tcPr>
            <w:tcW w:w="695" w:type="dxa"/>
            <w:tcBorders>
              <w:top w:val="nil"/>
              <w:left w:val="single" w:sz="4" w:space="0" w:color="auto"/>
              <w:bottom w:val="nil"/>
              <w:right w:val="nil"/>
            </w:tcBorders>
            <w:shd w:val="clear" w:color="auto" w:fill="auto"/>
            <w:noWrap/>
            <w:vAlign w:val="bottom"/>
            <w:hideMark/>
          </w:tcPr>
          <w:p w14:paraId="2BAA4B0C"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99</w:t>
            </w:r>
          </w:p>
        </w:tc>
        <w:tc>
          <w:tcPr>
            <w:tcW w:w="772" w:type="dxa"/>
            <w:tcBorders>
              <w:top w:val="nil"/>
              <w:left w:val="nil"/>
              <w:bottom w:val="nil"/>
              <w:right w:val="single" w:sz="4" w:space="0" w:color="auto"/>
            </w:tcBorders>
            <w:shd w:val="clear" w:color="auto" w:fill="auto"/>
            <w:noWrap/>
            <w:vAlign w:val="bottom"/>
            <w:hideMark/>
          </w:tcPr>
          <w:p w14:paraId="3F0DDA2F"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103</w:t>
            </w:r>
          </w:p>
        </w:tc>
        <w:tc>
          <w:tcPr>
            <w:tcW w:w="695" w:type="dxa"/>
            <w:tcBorders>
              <w:top w:val="nil"/>
              <w:left w:val="single" w:sz="4" w:space="0" w:color="auto"/>
              <w:bottom w:val="nil"/>
              <w:right w:val="nil"/>
            </w:tcBorders>
            <w:shd w:val="clear" w:color="auto" w:fill="auto"/>
            <w:noWrap/>
            <w:vAlign w:val="bottom"/>
            <w:hideMark/>
          </w:tcPr>
          <w:p w14:paraId="11781A37"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96</w:t>
            </w:r>
          </w:p>
        </w:tc>
        <w:tc>
          <w:tcPr>
            <w:tcW w:w="772" w:type="dxa"/>
            <w:tcBorders>
              <w:top w:val="nil"/>
              <w:left w:val="nil"/>
              <w:bottom w:val="nil"/>
              <w:right w:val="single" w:sz="4" w:space="0" w:color="auto"/>
            </w:tcBorders>
            <w:shd w:val="clear" w:color="auto" w:fill="auto"/>
            <w:noWrap/>
            <w:vAlign w:val="bottom"/>
            <w:hideMark/>
          </w:tcPr>
          <w:p w14:paraId="47925AFD"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103</w:t>
            </w:r>
          </w:p>
        </w:tc>
        <w:tc>
          <w:tcPr>
            <w:tcW w:w="794" w:type="dxa"/>
            <w:tcBorders>
              <w:top w:val="nil"/>
              <w:left w:val="single" w:sz="4" w:space="0" w:color="auto"/>
              <w:bottom w:val="nil"/>
              <w:right w:val="nil"/>
            </w:tcBorders>
            <w:shd w:val="clear" w:color="auto" w:fill="auto"/>
            <w:noWrap/>
            <w:vAlign w:val="bottom"/>
            <w:hideMark/>
          </w:tcPr>
          <w:p w14:paraId="54B97FCA"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97</w:t>
            </w:r>
          </w:p>
        </w:tc>
        <w:tc>
          <w:tcPr>
            <w:tcW w:w="772" w:type="dxa"/>
            <w:tcBorders>
              <w:top w:val="nil"/>
              <w:left w:val="nil"/>
              <w:bottom w:val="nil"/>
              <w:right w:val="single" w:sz="4" w:space="0" w:color="auto"/>
            </w:tcBorders>
            <w:shd w:val="clear" w:color="auto" w:fill="auto"/>
            <w:noWrap/>
            <w:vAlign w:val="bottom"/>
            <w:hideMark/>
          </w:tcPr>
          <w:p w14:paraId="6B684717"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102</w:t>
            </w:r>
          </w:p>
        </w:tc>
        <w:tc>
          <w:tcPr>
            <w:tcW w:w="794" w:type="dxa"/>
            <w:tcBorders>
              <w:top w:val="nil"/>
              <w:left w:val="single" w:sz="4" w:space="0" w:color="auto"/>
              <w:bottom w:val="nil"/>
              <w:right w:val="nil"/>
            </w:tcBorders>
            <w:shd w:val="clear" w:color="auto" w:fill="auto"/>
            <w:noWrap/>
            <w:vAlign w:val="bottom"/>
            <w:hideMark/>
          </w:tcPr>
          <w:p w14:paraId="1A7C2DFA"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96</w:t>
            </w:r>
          </w:p>
        </w:tc>
        <w:tc>
          <w:tcPr>
            <w:tcW w:w="772" w:type="dxa"/>
            <w:tcBorders>
              <w:top w:val="nil"/>
              <w:left w:val="nil"/>
              <w:bottom w:val="nil"/>
              <w:right w:val="single" w:sz="4" w:space="0" w:color="auto"/>
            </w:tcBorders>
            <w:shd w:val="clear" w:color="auto" w:fill="auto"/>
            <w:noWrap/>
            <w:vAlign w:val="bottom"/>
            <w:hideMark/>
          </w:tcPr>
          <w:p w14:paraId="28FC8399"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100</w:t>
            </w:r>
          </w:p>
        </w:tc>
        <w:tc>
          <w:tcPr>
            <w:tcW w:w="706" w:type="dxa"/>
            <w:tcBorders>
              <w:top w:val="nil"/>
              <w:left w:val="single" w:sz="4" w:space="0" w:color="auto"/>
              <w:bottom w:val="nil"/>
              <w:right w:val="nil"/>
            </w:tcBorders>
            <w:shd w:val="clear" w:color="auto" w:fill="auto"/>
            <w:noWrap/>
            <w:vAlign w:val="bottom"/>
            <w:hideMark/>
          </w:tcPr>
          <w:p w14:paraId="7A514BC3"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11</w:t>
            </w:r>
          </w:p>
        </w:tc>
        <w:tc>
          <w:tcPr>
            <w:tcW w:w="772" w:type="dxa"/>
            <w:tcBorders>
              <w:top w:val="nil"/>
              <w:left w:val="nil"/>
              <w:bottom w:val="nil"/>
            </w:tcBorders>
            <w:shd w:val="clear" w:color="auto" w:fill="auto"/>
            <w:noWrap/>
            <w:vAlign w:val="bottom"/>
            <w:hideMark/>
          </w:tcPr>
          <w:p w14:paraId="1BD4671C"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20</w:t>
            </w:r>
          </w:p>
        </w:tc>
      </w:tr>
      <w:tr w:rsidR="00367DB9" w:rsidRPr="00056BD0" w14:paraId="79606542" w14:textId="77777777" w:rsidTr="000C4CD0">
        <w:trPr>
          <w:gridAfter w:val="1"/>
          <w:wAfter w:w="92" w:type="dxa"/>
          <w:trHeight w:val="255"/>
        </w:trPr>
        <w:tc>
          <w:tcPr>
            <w:tcW w:w="1134" w:type="dxa"/>
            <w:tcBorders>
              <w:top w:val="nil"/>
              <w:left w:val="nil"/>
              <w:bottom w:val="nil"/>
            </w:tcBorders>
            <w:shd w:val="clear" w:color="auto" w:fill="auto"/>
            <w:noWrap/>
            <w:vAlign w:val="bottom"/>
            <w:hideMark/>
          </w:tcPr>
          <w:p w14:paraId="79555117"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97</w:t>
            </w:r>
          </w:p>
        </w:tc>
        <w:tc>
          <w:tcPr>
            <w:tcW w:w="559" w:type="dxa"/>
            <w:tcBorders>
              <w:top w:val="nil"/>
              <w:bottom w:val="nil"/>
              <w:right w:val="single" w:sz="4" w:space="0" w:color="auto"/>
            </w:tcBorders>
            <w:shd w:val="clear" w:color="auto" w:fill="auto"/>
            <w:noWrap/>
            <w:vAlign w:val="bottom"/>
            <w:hideMark/>
          </w:tcPr>
          <w:p w14:paraId="5914C7E1"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100</w:t>
            </w:r>
          </w:p>
        </w:tc>
        <w:tc>
          <w:tcPr>
            <w:tcW w:w="695" w:type="dxa"/>
            <w:tcBorders>
              <w:top w:val="nil"/>
              <w:left w:val="single" w:sz="4" w:space="0" w:color="auto"/>
              <w:bottom w:val="nil"/>
              <w:right w:val="nil"/>
            </w:tcBorders>
            <w:shd w:val="clear" w:color="auto" w:fill="auto"/>
            <w:noWrap/>
            <w:vAlign w:val="bottom"/>
            <w:hideMark/>
          </w:tcPr>
          <w:p w14:paraId="0D44EB91"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97</w:t>
            </w:r>
          </w:p>
        </w:tc>
        <w:tc>
          <w:tcPr>
            <w:tcW w:w="772" w:type="dxa"/>
            <w:tcBorders>
              <w:top w:val="nil"/>
              <w:left w:val="nil"/>
              <w:bottom w:val="nil"/>
              <w:right w:val="single" w:sz="4" w:space="0" w:color="auto"/>
            </w:tcBorders>
            <w:shd w:val="clear" w:color="auto" w:fill="auto"/>
            <w:noWrap/>
            <w:vAlign w:val="bottom"/>
            <w:hideMark/>
          </w:tcPr>
          <w:p w14:paraId="280DD193"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94</w:t>
            </w:r>
          </w:p>
        </w:tc>
        <w:tc>
          <w:tcPr>
            <w:tcW w:w="695" w:type="dxa"/>
            <w:tcBorders>
              <w:top w:val="nil"/>
              <w:left w:val="single" w:sz="4" w:space="0" w:color="auto"/>
              <w:bottom w:val="nil"/>
              <w:right w:val="nil"/>
            </w:tcBorders>
            <w:shd w:val="clear" w:color="auto" w:fill="auto"/>
            <w:noWrap/>
            <w:vAlign w:val="bottom"/>
            <w:hideMark/>
          </w:tcPr>
          <w:p w14:paraId="352DBB36"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94</w:t>
            </w:r>
          </w:p>
        </w:tc>
        <w:tc>
          <w:tcPr>
            <w:tcW w:w="772" w:type="dxa"/>
            <w:tcBorders>
              <w:top w:val="nil"/>
              <w:left w:val="nil"/>
              <w:bottom w:val="nil"/>
              <w:right w:val="single" w:sz="4" w:space="0" w:color="auto"/>
            </w:tcBorders>
            <w:shd w:val="clear" w:color="auto" w:fill="auto"/>
            <w:noWrap/>
            <w:vAlign w:val="bottom"/>
            <w:hideMark/>
          </w:tcPr>
          <w:p w14:paraId="3673D30C"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89</w:t>
            </w:r>
          </w:p>
        </w:tc>
        <w:tc>
          <w:tcPr>
            <w:tcW w:w="794" w:type="dxa"/>
            <w:tcBorders>
              <w:top w:val="nil"/>
              <w:left w:val="single" w:sz="4" w:space="0" w:color="auto"/>
              <w:bottom w:val="nil"/>
              <w:right w:val="nil"/>
            </w:tcBorders>
            <w:shd w:val="clear" w:color="auto" w:fill="auto"/>
            <w:noWrap/>
            <w:vAlign w:val="bottom"/>
            <w:hideMark/>
          </w:tcPr>
          <w:p w14:paraId="14743154"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98</w:t>
            </w:r>
          </w:p>
        </w:tc>
        <w:tc>
          <w:tcPr>
            <w:tcW w:w="772" w:type="dxa"/>
            <w:tcBorders>
              <w:top w:val="nil"/>
              <w:left w:val="nil"/>
              <w:bottom w:val="nil"/>
              <w:right w:val="single" w:sz="4" w:space="0" w:color="auto"/>
            </w:tcBorders>
            <w:shd w:val="clear" w:color="auto" w:fill="auto"/>
            <w:noWrap/>
            <w:vAlign w:val="bottom"/>
            <w:hideMark/>
          </w:tcPr>
          <w:p w14:paraId="48951F4F"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88</w:t>
            </w:r>
          </w:p>
        </w:tc>
        <w:tc>
          <w:tcPr>
            <w:tcW w:w="695" w:type="dxa"/>
            <w:tcBorders>
              <w:top w:val="nil"/>
              <w:left w:val="single" w:sz="4" w:space="0" w:color="auto"/>
              <w:bottom w:val="nil"/>
              <w:right w:val="nil"/>
            </w:tcBorders>
            <w:shd w:val="clear" w:color="auto" w:fill="auto"/>
            <w:noWrap/>
            <w:vAlign w:val="bottom"/>
            <w:hideMark/>
          </w:tcPr>
          <w:p w14:paraId="1BDEF198"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96</w:t>
            </w:r>
          </w:p>
        </w:tc>
        <w:tc>
          <w:tcPr>
            <w:tcW w:w="772" w:type="dxa"/>
            <w:tcBorders>
              <w:top w:val="nil"/>
              <w:left w:val="nil"/>
              <w:bottom w:val="nil"/>
              <w:right w:val="single" w:sz="4" w:space="0" w:color="auto"/>
            </w:tcBorders>
            <w:shd w:val="clear" w:color="auto" w:fill="auto"/>
            <w:noWrap/>
            <w:vAlign w:val="bottom"/>
            <w:hideMark/>
          </w:tcPr>
          <w:p w14:paraId="52E70A2B"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92</w:t>
            </w:r>
          </w:p>
        </w:tc>
        <w:tc>
          <w:tcPr>
            <w:tcW w:w="695" w:type="dxa"/>
            <w:tcBorders>
              <w:top w:val="nil"/>
              <w:left w:val="single" w:sz="4" w:space="0" w:color="auto"/>
              <w:bottom w:val="nil"/>
              <w:right w:val="nil"/>
            </w:tcBorders>
            <w:shd w:val="clear" w:color="auto" w:fill="auto"/>
            <w:noWrap/>
            <w:vAlign w:val="bottom"/>
            <w:hideMark/>
          </w:tcPr>
          <w:p w14:paraId="047DE512"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95</w:t>
            </w:r>
          </w:p>
        </w:tc>
        <w:tc>
          <w:tcPr>
            <w:tcW w:w="772" w:type="dxa"/>
            <w:tcBorders>
              <w:top w:val="nil"/>
              <w:left w:val="nil"/>
              <w:bottom w:val="nil"/>
              <w:right w:val="single" w:sz="4" w:space="0" w:color="auto"/>
            </w:tcBorders>
            <w:shd w:val="clear" w:color="auto" w:fill="auto"/>
            <w:noWrap/>
            <w:vAlign w:val="bottom"/>
            <w:hideMark/>
          </w:tcPr>
          <w:p w14:paraId="6CC9A805"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88</w:t>
            </w:r>
          </w:p>
        </w:tc>
        <w:tc>
          <w:tcPr>
            <w:tcW w:w="794" w:type="dxa"/>
            <w:tcBorders>
              <w:top w:val="nil"/>
              <w:left w:val="single" w:sz="4" w:space="0" w:color="auto"/>
              <w:bottom w:val="nil"/>
              <w:right w:val="nil"/>
            </w:tcBorders>
            <w:shd w:val="clear" w:color="auto" w:fill="auto"/>
            <w:noWrap/>
            <w:vAlign w:val="bottom"/>
            <w:hideMark/>
          </w:tcPr>
          <w:p w14:paraId="0F3FC8C5"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98</w:t>
            </w:r>
          </w:p>
        </w:tc>
        <w:tc>
          <w:tcPr>
            <w:tcW w:w="772" w:type="dxa"/>
            <w:tcBorders>
              <w:top w:val="nil"/>
              <w:left w:val="nil"/>
              <w:bottom w:val="nil"/>
              <w:right w:val="single" w:sz="4" w:space="0" w:color="auto"/>
            </w:tcBorders>
            <w:shd w:val="clear" w:color="auto" w:fill="auto"/>
            <w:noWrap/>
            <w:vAlign w:val="bottom"/>
            <w:hideMark/>
          </w:tcPr>
          <w:p w14:paraId="1D05F846"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96</w:t>
            </w:r>
          </w:p>
        </w:tc>
        <w:tc>
          <w:tcPr>
            <w:tcW w:w="794" w:type="dxa"/>
            <w:tcBorders>
              <w:top w:val="nil"/>
              <w:left w:val="single" w:sz="4" w:space="0" w:color="auto"/>
              <w:bottom w:val="nil"/>
              <w:right w:val="nil"/>
            </w:tcBorders>
            <w:shd w:val="clear" w:color="auto" w:fill="auto"/>
            <w:noWrap/>
            <w:vAlign w:val="bottom"/>
            <w:hideMark/>
          </w:tcPr>
          <w:p w14:paraId="09124C95"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97</w:t>
            </w:r>
          </w:p>
        </w:tc>
        <w:tc>
          <w:tcPr>
            <w:tcW w:w="772" w:type="dxa"/>
            <w:tcBorders>
              <w:top w:val="nil"/>
              <w:left w:val="nil"/>
              <w:bottom w:val="nil"/>
              <w:right w:val="single" w:sz="4" w:space="0" w:color="auto"/>
            </w:tcBorders>
            <w:shd w:val="clear" w:color="auto" w:fill="auto"/>
            <w:noWrap/>
            <w:vAlign w:val="bottom"/>
            <w:hideMark/>
          </w:tcPr>
          <w:p w14:paraId="1E10979E"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94</w:t>
            </w:r>
          </w:p>
        </w:tc>
        <w:tc>
          <w:tcPr>
            <w:tcW w:w="706" w:type="dxa"/>
            <w:tcBorders>
              <w:top w:val="nil"/>
              <w:left w:val="single" w:sz="4" w:space="0" w:color="auto"/>
              <w:bottom w:val="nil"/>
              <w:right w:val="nil"/>
            </w:tcBorders>
            <w:shd w:val="clear" w:color="auto" w:fill="auto"/>
            <w:noWrap/>
            <w:vAlign w:val="bottom"/>
            <w:hideMark/>
          </w:tcPr>
          <w:p w14:paraId="7D9557AB"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w:t>
            </w:r>
          </w:p>
        </w:tc>
        <w:tc>
          <w:tcPr>
            <w:tcW w:w="772" w:type="dxa"/>
            <w:tcBorders>
              <w:top w:val="nil"/>
              <w:left w:val="nil"/>
              <w:bottom w:val="nil"/>
            </w:tcBorders>
            <w:shd w:val="clear" w:color="auto" w:fill="auto"/>
            <w:noWrap/>
            <w:vAlign w:val="bottom"/>
            <w:hideMark/>
          </w:tcPr>
          <w:p w14:paraId="65514211"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8</w:t>
            </w:r>
          </w:p>
        </w:tc>
      </w:tr>
      <w:tr w:rsidR="00367DB9" w:rsidRPr="00056BD0" w14:paraId="252E2009" w14:textId="77777777" w:rsidTr="000C4CD0">
        <w:trPr>
          <w:gridAfter w:val="1"/>
          <w:wAfter w:w="92" w:type="dxa"/>
          <w:trHeight w:val="255"/>
        </w:trPr>
        <w:tc>
          <w:tcPr>
            <w:tcW w:w="1134" w:type="dxa"/>
            <w:tcBorders>
              <w:top w:val="nil"/>
              <w:left w:val="nil"/>
              <w:bottom w:val="nil"/>
            </w:tcBorders>
            <w:shd w:val="clear" w:color="auto" w:fill="auto"/>
            <w:noWrap/>
            <w:vAlign w:val="bottom"/>
            <w:hideMark/>
          </w:tcPr>
          <w:p w14:paraId="02198214"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98</w:t>
            </w:r>
          </w:p>
        </w:tc>
        <w:tc>
          <w:tcPr>
            <w:tcW w:w="559" w:type="dxa"/>
            <w:tcBorders>
              <w:top w:val="nil"/>
              <w:bottom w:val="nil"/>
              <w:right w:val="single" w:sz="4" w:space="0" w:color="auto"/>
            </w:tcBorders>
            <w:shd w:val="clear" w:color="auto" w:fill="auto"/>
            <w:noWrap/>
            <w:vAlign w:val="bottom"/>
            <w:hideMark/>
          </w:tcPr>
          <w:p w14:paraId="279FD85D"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24</w:t>
            </w:r>
          </w:p>
        </w:tc>
        <w:tc>
          <w:tcPr>
            <w:tcW w:w="695" w:type="dxa"/>
            <w:tcBorders>
              <w:top w:val="nil"/>
              <w:left w:val="single" w:sz="4" w:space="0" w:color="auto"/>
              <w:bottom w:val="nil"/>
              <w:right w:val="nil"/>
            </w:tcBorders>
            <w:shd w:val="clear" w:color="auto" w:fill="auto"/>
            <w:noWrap/>
            <w:vAlign w:val="bottom"/>
            <w:hideMark/>
          </w:tcPr>
          <w:p w14:paraId="3A3C29E0"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100</w:t>
            </w:r>
          </w:p>
        </w:tc>
        <w:tc>
          <w:tcPr>
            <w:tcW w:w="772" w:type="dxa"/>
            <w:tcBorders>
              <w:top w:val="nil"/>
              <w:left w:val="nil"/>
              <w:bottom w:val="nil"/>
              <w:right w:val="single" w:sz="4" w:space="0" w:color="auto"/>
            </w:tcBorders>
            <w:shd w:val="clear" w:color="auto" w:fill="auto"/>
            <w:noWrap/>
            <w:vAlign w:val="bottom"/>
            <w:hideMark/>
          </w:tcPr>
          <w:p w14:paraId="311F48CC"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99</w:t>
            </w:r>
          </w:p>
        </w:tc>
        <w:tc>
          <w:tcPr>
            <w:tcW w:w="695" w:type="dxa"/>
            <w:tcBorders>
              <w:top w:val="nil"/>
              <w:left w:val="single" w:sz="4" w:space="0" w:color="auto"/>
              <w:bottom w:val="nil"/>
              <w:right w:val="nil"/>
            </w:tcBorders>
            <w:shd w:val="clear" w:color="auto" w:fill="auto"/>
            <w:noWrap/>
            <w:vAlign w:val="bottom"/>
            <w:hideMark/>
          </w:tcPr>
          <w:p w14:paraId="18388C75"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89</w:t>
            </w:r>
          </w:p>
        </w:tc>
        <w:tc>
          <w:tcPr>
            <w:tcW w:w="772" w:type="dxa"/>
            <w:tcBorders>
              <w:top w:val="nil"/>
              <w:left w:val="nil"/>
              <w:bottom w:val="nil"/>
              <w:right w:val="single" w:sz="4" w:space="0" w:color="auto"/>
            </w:tcBorders>
            <w:shd w:val="clear" w:color="auto" w:fill="auto"/>
            <w:noWrap/>
            <w:vAlign w:val="bottom"/>
            <w:hideMark/>
          </w:tcPr>
          <w:p w14:paraId="4C712FE2"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85</w:t>
            </w:r>
          </w:p>
        </w:tc>
        <w:tc>
          <w:tcPr>
            <w:tcW w:w="794" w:type="dxa"/>
            <w:tcBorders>
              <w:top w:val="nil"/>
              <w:left w:val="single" w:sz="4" w:space="0" w:color="auto"/>
              <w:bottom w:val="nil"/>
              <w:right w:val="nil"/>
            </w:tcBorders>
            <w:shd w:val="clear" w:color="auto" w:fill="auto"/>
            <w:noWrap/>
            <w:vAlign w:val="bottom"/>
            <w:hideMark/>
          </w:tcPr>
          <w:p w14:paraId="2D46C09A"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104</w:t>
            </w:r>
          </w:p>
        </w:tc>
        <w:tc>
          <w:tcPr>
            <w:tcW w:w="772" w:type="dxa"/>
            <w:tcBorders>
              <w:top w:val="nil"/>
              <w:left w:val="nil"/>
              <w:bottom w:val="nil"/>
              <w:right w:val="single" w:sz="4" w:space="0" w:color="auto"/>
            </w:tcBorders>
            <w:shd w:val="clear" w:color="auto" w:fill="auto"/>
            <w:noWrap/>
            <w:vAlign w:val="bottom"/>
            <w:hideMark/>
          </w:tcPr>
          <w:p w14:paraId="0E57A313"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99</w:t>
            </w:r>
          </w:p>
        </w:tc>
        <w:tc>
          <w:tcPr>
            <w:tcW w:w="695" w:type="dxa"/>
            <w:tcBorders>
              <w:top w:val="nil"/>
              <w:left w:val="single" w:sz="4" w:space="0" w:color="auto"/>
              <w:bottom w:val="nil"/>
              <w:right w:val="nil"/>
            </w:tcBorders>
            <w:shd w:val="clear" w:color="auto" w:fill="auto"/>
            <w:noWrap/>
            <w:vAlign w:val="bottom"/>
            <w:hideMark/>
          </w:tcPr>
          <w:p w14:paraId="5317BC2F"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92</w:t>
            </w:r>
          </w:p>
        </w:tc>
        <w:tc>
          <w:tcPr>
            <w:tcW w:w="772" w:type="dxa"/>
            <w:tcBorders>
              <w:top w:val="nil"/>
              <w:left w:val="nil"/>
              <w:bottom w:val="nil"/>
              <w:right w:val="single" w:sz="4" w:space="0" w:color="auto"/>
            </w:tcBorders>
            <w:shd w:val="clear" w:color="auto" w:fill="auto"/>
            <w:noWrap/>
            <w:vAlign w:val="bottom"/>
            <w:hideMark/>
          </w:tcPr>
          <w:p w14:paraId="509B3E53"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85</w:t>
            </w:r>
          </w:p>
        </w:tc>
        <w:tc>
          <w:tcPr>
            <w:tcW w:w="695" w:type="dxa"/>
            <w:tcBorders>
              <w:top w:val="nil"/>
              <w:left w:val="single" w:sz="4" w:space="0" w:color="auto"/>
              <w:bottom w:val="nil"/>
              <w:right w:val="nil"/>
            </w:tcBorders>
            <w:shd w:val="clear" w:color="auto" w:fill="auto"/>
            <w:noWrap/>
            <w:vAlign w:val="bottom"/>
            <w:hideMark/>
          </w:tcPr>
          <w:p w14:paraId="6EB2DB87"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97</w:t>
            </w:r>
          </w:p>
        </w:tc>
        <w:tc>
          <w:tcPr>
            <w:tcW w:w="772" w:type="dxa"/>
            <w:tcBorders>
              <w:top w:val="nil"/>
              <w:left w:val="nil"/>
              <w:bottom w:val="nil"/>
              <w:right w:val="single" w:sz="4" w:space="0" w:color="auto"/>
            </w:tcBorders>
            <w:shd w:val="clear" w:color="auto" w:fill="auto"/>
            <w:noWrap/>
            <w:vAlign w:val="bottom"/>
            <w:hideMark/>
          </w:tcPr>
          <w:p w14:paraId="5E9CC107"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91</w:t>
            </w:r>
          </w:p>
        </w:tc>
        <w:tc>
          <w:tcPr>
            <w:tcW w:w="794" w:type="dxa"/>
            <w:tcBorders>
              <w:top w:val="nil"/>
              <w:left w:val="single" w:sz="4" w:space="0" w:color="auto"/>
              <w:bottom w:val="nil"/>
              <w:right w:val="nil"/>
            </w:tcBorders>
            <w:shd w:val="clear" w:color="auto" w:fill="auto"/>
            <w:noWrap/>
            <w:vAlign w:val="bottom"/>
            <w:hideMark/>
          </w:tcPr>
          <w:p w14:paraId="3EA61477"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94</w:t>
            </w:r>
          </w:p>
        </w:tc>
        <w:tc>
          <w:tcPr>
            <w:tcW w:w="772" w:type="dxa"/>
            <w:tcBorders>
              <w:top w:val="nil"/>
              <w:left w:val="nil"/>
              <w:bottom w:val="nil"/>
              <w:right w:val="single" w:sz="4" w:space="0" w:color="auto"/>
            </w:tcBorders>
            <w:shd w:val="clear" w:color="auto" w:fill="auto"/>
            <w:noWrap/>
            <w:vAlign w:val="bottom"/>
            <w:hideMark/>
          </w:tcPr>
          <w:p w14:paraId="046BFACB"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85</w:t>
            </w:r>
          </w:p>
        </w:tc>
        <w:tc>
          <w:tcPr>
            <w:tcW w:w="794" w:type="dxa"/>
            <w:tcBorders>
              <w:top w:val="nil"/>
              <w:left w:val="single" w:sz="4" w:space="0" w:color="auto"/>
              <w:bottom w:val="nil"/>
              <w:right w:val="nil"/>
            </w:tcBorders>
            <w:shd w:val="clear" w:color="auto" w:fill="auto"/>
            <w:noWrap/>
            <w:vAlign w:val="bottom"/>
            <w:hideMark/>
          </w:tcPr>
          <w:p w14:paraId="3D80DDE4"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98</w:t>
            </w:r>
          </w:p>
        </w:tc>
        <w:tc>
          <w:tcPr>
            <w:tcW w:w="772" w:type="dxa"/>
            <w:tcBorders>
              <w:top w:val="nil"/>
              <w:left w:val="nil"/>
              <w:bottom w:val="nil"/>
              <w:right w:val="single" w:sz="4" w:space="0" w:color="auto"/>
            </w:tcBorders>
            <w:shd w:val="clear" w:color="auto" w:fill="auto"/>
            <w:noWrap/>
            <w:vAlign w:val="bottom"/>
            <w:hideMark/>
          </w:tcPr>
          <w:p w14:paraId="13CD4ABF"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94</w:t>
            </w:r>
          </w:p>
        </w:tc>
        <w:tc>
          <w:tcPr>
            <w:tcW w:w="706" w:type="dxa"/>
            <w:tcBorders>
              <w:top w:val="nil"/>
              <w:left w:val="single" w:sz="4" w:space="0" w:color="auto"/>
              <w:bottom w:val="nil"/>
              <w:right w:val="nil"/>
            </w:tcBorders>
            <w:shd w:val="clear" w:color="auto" w:fill="auto"/>
            <w:noWrap/>
            <w:vAlign w:val="bottom"/>
            <w:hideMark/>
          </w:tcPr>
          <w:p w14:paraId="45B94FD6"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15</w:t>
            </w:r>
          </w:p>
        </w:tc>
        <w:tc>
          <w:tcPr>
            <w:tcW w:w="772" w:type="dxa"/>
            <w:tcBorders>
              <w:top w:val="nil"/>
              <w:left w:val="nil"/>
              <w:bottom w:val="nil"/>
            </w:tcBorders>
            <w:shd w:val="clear" w:color="auto" w:fill="auto"/>
            <w:noWrap/>
            <w:vAlign w:val="bottom"/>
            <w:hideMark/>
          </w:tcPr>
          <w:p w14:paraId="7138A566"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14</w:t>
            </w:r>
          </w:p>
        </w:tc>
      </w:tr>
      <w:tr w:rsidR="00367DB9" w:rsidRPr="00056BD0" w14:paraId="688A0138" w14:textId="77777777" w:rsidTr="000C4CD0">
        <w:trPr>
          <w:gridAfter w:val="1"/>
          <w:wAfter w:w="92" w:type="dxa"/>
          <w:trHeight w:val="255"/>
        </w:trPr>
        <w:tc>
          <w:tcPr>
            <w:tcW w:w="1134" w:type="dxa"/>
            <w:tcBorders>
              <w:top w:val="nil"/>
              <w:left w:val="nil"/>
            </w:tcBorders>
            <w:shd w:val="clear" w:color="auto" w:fill="auto"/>
            <w:noWrap/>
            <w:vAlign w:val="bottom"/>
            <w:hideMark/>
          </w:tcPr>
          <w:p w14:paraId="758FB4FC"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99</w:t>
            </w:r>
          </w:p>
        </w:tc>
        <w:tc>
          <w:tcPr>
            <w:tcW w:w="559" w:type="dxa"/>
            <w:tcBorders>
              <w:top w:val="nil"/>
              <w:right w:val="single" w:sz="4" w:space="0" w:color="auto"/>
            </w:tcBorders>
            <w:shd w:val="clear" w:color="auto" w:fill="auto"/>
            <w:noWrap/>
            <w:vAlign w:val="bottom"/>
            <w:hideMark/>
          </w:tcPr>
          <w:p w14:paraId="251F1ED6"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45</w:t>
            </w:r>
          </w:p>
        </w:tc>
        <w:tc>
          <w:tcPr>
            <w:tcW w:w="695" w:type="dxa"/>
            <w:tcBorders>
              <w:top w:val="nil"/>
              <w:left w:val="single" w:sz="4" w:space="0" w:color="auto"/>
              <w:right w:val="nil"/>
            </w:tcBorders>
            <w:shd w:val="clear" w:color="auto" w:fill="auto"/>
            <w:noWrap/>
            <w:vAlign w:val="bottom"/>
            <w:hideMark/>
          </w:tcPr>
          <w:p w14:paraId="35EEB1D0"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95</w:t>
            </w:r>
          </w:p>
        </w:tc>
        <w:tc>
          <w:tcPr>
            <w:tcW w:w="772" w:type="dxa"/>
            <w:tcBorders>
              <w:top w:val="nil"/>
              <w:left w:val="nil"/>
              <w:right w:val="single" w:sz="4" w:space="0" w:color="auto"/>
            </w:tcBorders>
            <w:shd w:val="clear" w:color="auto" w:fill="auto"/>
            <w:noWrap/>
            <w:vAlign w:val="bottom"/>
            <w:hideMark/>
          </w:tcPr>
          <w:p w14:paraId="212849A3"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80</w:t>
            </w:r>
          </w:p>
        </w:tc>
        <w:tc>
          <w:tcPr>
            <w:tcW w:w="695" w:type="dxa"/>
            <w:tcBorders>
              <w:top w:val="nil"/>
              <w:left w:val="single" w:sz="4" w:space="0" w:color="auto"/>
              <w:right w:val="nil"/>
            </w:tcBorders>
            <w:shd w:val="clear" w:color="auto" w:fill="auto"/>
            <w:noWrap/>
            <w:vAlign w:val="bottom"/>
            <w:hideMark/>
          </w:tcPr>
          <w:p w14:paraId="219DBA39"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99</w:t>
            </w:r>
          </w:p>
        </w:tc>
        <w:tc>
          <w:tcPr>
            <w:tcW w:w="772" w:type="dxa"/>
            <w:tcBorders>
              <w:top w:val="nil"/>
              <w:left w:val="nil"/>
              <w:right w:val="single" w:sz="4" w:space="0" w:color="auto"/>
            </w:tcBorders>
            <w:shd w:val="clear" w:color="auto" w:fill="auto"/>
            <w:noWrap/>
            <w:vAlign w:val="bottom"/>
            <w:hideMark/>
          </w:tcPr>
          <w:p w14:paraId="3AFDE58A"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92</w:t>
            </w:r>
          </w:p>
        </w:tc>
        <w:tc>
          <w:tcPr>
            <w:tcW w:w="794" w:type="dxa"/>
            <w:tcBorders>
              <w:top w:val="nil"/>
              <w:left w:val="single" w:sz="4" w:space="0" w:color="auto"/>
              <w:right w:val="nil"/>
            </w:tcBorders>
            <w:shd w:val="clear" w:color="auto" w:fill="auto"/>
            <w:noWrap/>
            <w:vAlign w:val="bottom"/>
            <w:hideMark/>
          </w:tcPr>
          <w:p w14:paraId="395BA7E4"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90</w:t>
            </w:r>
          </w:p>
        </w:tc>
        <w:tc>
          <w:tcPr>
            <w:tcW w:w="772" w:type="dxa"/>
            <w:tcBorders>
              <w:top w:val="nil"/>
              <w:left w:val="nil"/>
              <w:right w:val="single" w:sz="4" w:space="0" w:color="auto"/>
            </w:tcBorders>
            <w:shd w:val="clear" w:color="auto" w:fill="auto"/>
            <w:noWrap/>
            <w:vAlign w:val="bottom"/>
            <w:hideMark/>
          </w:tcPr>
          <w:p w14:paraId="0C44979E"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81</w:t>
            </w:r>
          </w:p>
        </w:tc>
        <w:tc>
          <w:tcPr>
            <w:tcW w:w="695" w:type="dxa"/>
            <w:tcBorders>
              <w:top w:val="nil"/>
              <w:left w:val="single" w:sz="4" w:space="0" w:color="auto"/>
              <w:right w:val="nil"/>
            </w:tcBorders>
            <w:shd w:val="clear" w:color="auto" w:fill="auto"/>
            <w:noWrap/>
            <w:vAlign w:val="bottom"/>
            <w:hideMark/>
          </w:tcPr>
          <w:p w14:paraId="3E794E4F"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98</w:t>
            </w:r>
          </w:p>
        </w:tc>
        <w:tc>
          <w:tcPr>
            <w:tcW w:w="772" w:type="dxa"/>
            <w:tcBorders>
              <w:top w:val="nil"/>
              <w:left w:val="nil"/>
              <w:right w:val="single" w:sz="4" w:space="0" w:color="auto"/>
            </w:tcBorders>
            <w:shd w:val="clear" w:color="auto" w:fill="auto"/>
            <w:noWrap/>
            <w:vAlign w:val="bottom"/>
            <w:hideMark/>
          </w:tcPr>
          <w:p w14:paraId="4EBDF23B"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93</w:t>
            </w:r>
          </w:p>
        </w:tc>
        <w:tc>
          <w:tcPr>
            <w:tcW w:w="695" w:type="dxa"/>
            <w:tcBorders>
              <w:top w:val="nil"/>
              <w:left w:val="single" w:sz="4" w:space="0" w:color="auto"/>
              <w:right w:val="nil"/>
            </w:tcBorders>
            <w:shd w:val="clear" w:color="auto" w:fill="auto"/>
            <w:noWrap/>
            <w:vAlign w:val="bottom"/>
            <w:hideMark/>
          </w:tcPr>
          <w:p w14:paraId="6802B0DA"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100</w:t>
            </w:r>
          </w:p>
        </w:tc>
        <w:tc>
          <w:tcPr>
            <w:tcW w:w="772" w:type="dxa"/>
            <w:tcBorders>
              <w:top w:val="nil"/>
              <w:left w:val="nil"/>
              <w:right w:val="single" w:sz="4" w:space="0" w:color="auto"/>
            </w:tcBorders>
            <w:shd w:val="clear" w:color="auto" w:fill="auto"/>
            <w:noWrap/>
            <w:vAlign w:val="bottom"/>
            <w:hideMark/>
          </w:tcPr>
          <w:p w14:paraId="4A4778DB"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93</w:t>
            </w:r>
          </w:p>
        </w:tc>
        <w:tc>
          <w:tcPr>
            <w:tcW w:w="794" w:type="dxa"/>
            <w:tcBorders>
              <w:top w:val="nil"/>
              <w:left w:val="single" w:sz="4" w:space="0" w:color="auto"/>
              <w:right w:val="nil"/>
            </w:tcBorders>
            <w:shd w:val="clear" w:color="auto" w:fill="auto"/>
            <w:noWrap/>
            <w:vAlign w:val="bottom"/>
            <w:hideMark/>
          </w:tcPr>
          <w:p w14:paraId="32F44559"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106</w:t>
            </w:r>
          </w:p>
        </w:tc>
        <w:tc>
          <w:tcPr>
            <w:tcW w:w="772" w:type="dxa"/>
            <w:tcBorders>
              <w:top w:val="nil"/>
              <w:left w:val="nil"/>
              <w:right w:val="single" w:sz="4" w:space="0" w:color="auto"/>
            </w:tcBorders>
            <w:shd w:val="clear" w:color="auto" w:fill="auto"/>
            <w:noWrap/>
            <w:vAlign w:val="bottom"/>
            <w:hideMark/>
          </w:tcPr>
          <w:p w14:paraId="60152E5D"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106</w:t>
            </w:r>
          </w:p>
        </w:tc>
        <w:tc>
          <w:tcPr>
            <w:tcW w:w="794" w:type="dxa"/>
            <w:tcBorders>
              <w:top w:val="nil"/>
              <w:left w:val="single" w:sz="4" w:space="0" w:color="auto"/>
              <w:right w:val="nil"/>
            </w:tcBorders>
            <w:shd w:val="clear" w:color="auto" w:fill="auto"/>
            <w:noWrap/>
            <w:vAlign w:val="bottom"/>
            <w:hideMark/>
          </w:tcPr>
          <w:p w14:paraId="27A0871E"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99</w:t>
            </w:r>
          </w:p>
        </w:tc>
        <w:tc>
          <w:tcPr>
            <w:tcW w:w="772" w:type="dxa"/>
            <w:tcBorders>
              <w:top w:val="nil"/>
              <w:left w:val="nil"/>
              <w:right w:val="single" w:sz="4" w:space="0" w:color="auto"/>
            </w:tcBorders>
            <w:shd w:val="clear" w:color="auto" w:fill="auto"/>
            <w:noWrap/>
            <w:vAlign w:val="bottom"/>
            <w:hideMark/>
          </w:tcPr>
          <w:p w14:paraId="546C61DD"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90</w:t>
            </w:r>
          </w:p>
        </w:tc>
        <w:tc>
          <w:tcPr>
            <w:tcW w:w="706" w:type="dxa"/>
            <w:tcBorders>
              <w:top w:val="nil"/>
              <w:left w:val="single" w:sz="4" w:space="0" w:color="auto"/>
              <w:right w:val="nil"/>
            </w:tcBorders>
            <w:shd w:val="clear" w:color="auto" w:fill="auto"/>
            <w:noWrap/>
            <w:vAlign w:val="bottom"/>
            <w:hideMark/>
          </w:tcPr>
          <w:p w14:paraId="5CF33E90"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16</w:t>
            </w:r>
          </w:p>
        </w:tc>
        <w:tc>
          <w:tcPr>
            <w:tcW w:w="772" w:type="dxa"/>
            <w:tcBorders>
              <w:top w:val="nil"/>
              <w:left w:val="nil"/>
            </w:tcBorders>
            <w:shd w:val="clear" w:color="auto" w:fill="auto"/>
            <w:noWrap/>
            <w:vAlign w:val="bottom"/>
            <w:hideMark/>
          </w:tcPr>
          <w:p w14:paraId="7AB40E00"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26</w:t>
            </w:r>
          </w:p>
        </w:tc>
      </w:tr>
      <w:tr w:rsidR="00367DB9" w:rsidRPr="00056BD0" w14:paraId="49534C0B" w14:textId="77777777" w:rsidTr="000C4CD0">
        <w:trPr>
          <w:gridAfter w:val="1"/>
          <w:wAfter w:w="92" w:type="dxa"/>
          <w:trHeight w:val="255"/>
        </w:trPr>
        <w:tc>
          <w:tcPr>
            <w:tcW w:w="1134" w:type="dxa"/>
            <w:tcBorders>
              <w:top w:val="nil"/>
              <w:left w:val="nil"/>
              <w:bottom w:val="single" w:sz="4" w:space="0" w:color="auto"/>
            </w:tcBorders>
            <w:shd w:val="clear" w:color="auto" w:fill="auto"/>
            <w:noWrap/>
            <w:vAlign w:val="bottom"/>
            <w:hideMark/>
          </w:tcPr>
          <w:p w14:paraId="115DBEDA"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100</w:t>
            </w:r>
          </w:p>
        </w:tc>
        <w:tc>
          <w:tcPr>
            <w:tcW w:w="559" w:type="dxa"/>
            <w:tcBorders>
              <w:top w:val="nil"/>
              <w:bottom w:val="single" w:sz="4" w:space="0" w:color="auto"/>
              <w:right w:val="single" w:sz="4" w:space="0" w:color="auto"/>
            </w:tcBorders>
            <w:shd w:val="clear" w:color="auto" w:fill="auto"/>
            <w:noWrap/>
            <w:vAlign w:val="bottom"/>
            <w:hideMark/>
          </w:tcPr>
          <w:p w14:paraId="546F6E30"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w:t>
            </w:r>
          </w:p>
        </w:tc>
        <w:tc>
          <w:tcPr>
            <w:tcW w:w="695" w:type="dxa"/>
            <w:tcBorders>
              <w:top w:val="nil"/>
              <w:left w:val="single" w:sz="4" w:space="0" w:color="auto"/>
              <w:bottom w:val="single" w:sz="4" w:space="0" w:color="auto"/>
              <w:right w:val="nil"/>
            </w:tcBorders>
            <w:shd w:val="clear" w:color="auto" w:fill="auto"/>
            <w:noWrap/>
            <w:vAlign w:val="bottom"/>
            <w:hideMark/>
          </w:tcPr>
          <w:p w14:paraId="51E2FBBB"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93</w:t>
            </w:r>
          </w:p>
        </w:tc>
        <w:tc>
          <w:tcPr>
            <w:tcW w:w="772" w:type="dxa"/>
            <w:tcBorders>
              <w:top w:val="nil"/>
              <w:left w:val="nil"/>
              <w:bottom w:val="single" w:sz="4" w:space="0" w:color="auto"/>
              <w:right w:val="single" w:sz="4" w:space="0" w:color="auto"/>
            </w:tcBorders>
            <w:shd w:val="clear" w:color="auto" w:fill="auto"/>
            <w:noWrap/>
            <w:vAlign w:val="bottom"/>
            <w:hideMark/>
          </w:tcPr>
          <w:p w14:paraId="0BE01C0A"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55</w:t>
            </w:r>
          </w:p>
        </w:tc>
        <w:tc>
          <w:tcPr>
            <w:tcW w:w="695" w:type="dxa"/>
            <w:tcBorders>
              <w:top w:val="nil"/>
              <w:left w:val="single" w:sz="4" w:space="0" w:color="auto"/>
              <w:bottom w:val="single" w:sz="4" w:space="0" w:color="auto"/>
              <w:right w:val="nil"/>
            </w:tcBorders>
            <w:shd w:val="clear" w:color="auto" w:fill="auto"/>
            <w:noWrap/>
            <w:vAlign w:val="bottom"/>
            <w:hideMark/>
          </w:tcPr>
          <w:p w14:paraId="2FA05CB6"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103</w:t>
            </w:r>
          </w:p>
        </w:tc>
        <w:tc>
          <w:tcPr>
            <w:tcW w:w="772" w:type="dxa"/>
            <w:tcBorders>
              <w:top w:val="nil"/>
              <w:left w:val="nil"/>
              <w:bottom w:val="single" w:sz="4" w:space="0" w:color="auto"/>
              <w:right w:val="single" w:sz="4" w:space="0" w:color="auto"/>
            </w:tcBorders>
            <w:shd w:val="clear" w:color="auto" w:fill="auto"/>
            <w:noWrap/>
            <w:vAlign w:val="bottom"/>
            <w:hideMark/>
          </w:tcPr>
          <w:p w14:paraId="36118AFC"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101</w:t>
            </w:r>
          </w:p>
        </w:tc>
        <w:tc>
          <w:tcPr>
            <w:tcW w:w="794" w:type="dxa"/>
            <w:tcBorders>
              <w:top w:val="nil"/>
              <w:left w:val="single" w:sz="4" w:space="0" w:color="auto"/>
              <w:bottom w:val="single" w:sz="4" w:space="0" w:color="auto"/>
              <w:right w:val="nil"/>
            </w:tcBorders>
            <w:shd w:val="clear" w:color="auto" w:fill="auto"/>
            <w:noWrap/>
            <w:vAlign w:val="bottom"/>
            <w:hideMark/>
          </w:tcPr>
          <w:p w14:paraId="5A0DA95B"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94</w:t>
            </w:r>
          </w:p>
        </w:tc>
        <w:tc>
          <w:tcPr>
            <w:tcW w:w="772" w:type="dxa"/>
            <w:tcBorders>
              <w:top w:val="nil"/>
              <w:left w:val="nil"/>
              <w:bottom w:val="single" w:sz="4" w:space="0" w:color="auto"/>
              <w:right w:val="single" w:sz="4" w:space="0" w:color="auto"/>
            </w:tcBorders>
            <w:shd w:val="clear" w:color="auto" w:fill="auto"/>
            <w:noWrap/>
            <w:vAlign w:val="bottom"/>
            <w:hideMark/>
          </w:tcPr>
          <w:p w14:paraId="5926F0A8"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55</w:t>
            </w:r>
          </w:p>
        </w:tc>
        <w:tc>
          <w:tcPr>
            <w:tcW w:w="695" w:type="dxa"/>
            <w:tcBorders>
              <w:top w:val="nil"/>
              <w:left w:val="single" w:sz="4" w:space="0" w:color="auto"/>
              <w:bottom w:val="single" w:sz="4" w:space="0" w:color="auto"/>
              <w:right w:val="nil"/>
            </w:tcBorders>
            <w:shd w:val="clear" w:color="auto" w:fill="auto"/>
            <w:noWrap/>
            <w:vAlign w:val="bottom"/>
            <w:hideMark/>
          </w:tcPr>
          <w:p w14:paraId="45EB4CC0"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104</w:t>
            </w:r>
          </w:p>
        </w:tc>
        <w:tc>
          <w:tcPr>
            <w:tcW w:w="772" w:type="dxa"/>
            <w:tcBorders>
              <w:top w:val="nil"/>
              <w:left w:val="nil"/>
              <w:bottom w:val="single" w:sz="4" w:space="0" w:color="auto"/>
              <w:right w:val="single" w:sz="4" w:space="0" w:color="auto"/>
            </w:tcBorders>
            <w:shd w:val="clear" w:color="auto" w:fill="auto"/>
            <w:noWrap/>
            <w:vAlign w:val="bottom"/>
            <w:hideMark/>
          </w:tcPr>
          <w:p w14:paraId="6EEC34EB"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104</w:t>
            </w:r>
          </w:p>
        </w:tc>
        <w:tc>
          <w:tcPr>
            <w:tcW w:w="695" w:type="dxa"/>
            <w:tcBorders>
              <w:top w:val="nil"/>
              <w:left w:val="single" w:sz="4" w:space="0" w:color="auto"/>
              <w:bottom w:val="single" w:sz="4" w:space="0" w:color="auto"/>
              <w:right w:val="nil"/>
            </w:tcBorders>
            <w:shd w:val="clear" w:color="auto" w:fill="auto"/>
            <w:noWrap/>
            <w:vAlign w:val="bottom"/>
            <w:hideMark/>
          </w:tcPr>
          <w:p w14:paraId="76B70D09"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105</w:t>
            </w:r>
          </w:p>
        </w:tc>
        <w:tc>
          <w:tcPr>
            <w:tcW w:w="772" w:type="dxa"/>
            <w:tcBorders>
              <w:top w:val="nil"/>
              <w:left w:val="nil"/>
              <w:bottom w:val="single" w:sz="4" w:space="0" w:color="auto"/>
              <w:right w:val="single" w:sz="4" w:space="0" w:color="auto"/>
            </w:tcBorders>
            <w:shd w:val="clear" w:color="auto" w:fill="auto"/>
            <w:noWrap/>
            <w:vAlign w:val="bottom"/>
            <w:hideMark/>
          </w:tcPr>
          <w:p w14:paraId="677C013C"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104</w:t>
            </w:r>
          </w:p>
        </w:tc>
        <w:tc>
          <w:tcPr>
            <w:tcW w:w="794" w:type="dxa"/>
            <w:tcBorders>
              <w:top w:val="nil"/>
              <w:left w:val="single" w:sz="4" w:space="0" w:color="auto"/>
              <w:bottom w:val="single" w:sz="4" w:space="0" w:color="auto"/>
              <w:right w:val="nil"/>
            </w:tcBorders>
            <w:shd w:val="clear" w:color="auto" w:fill="auto"/>
            <w:noWrap/>
            <w:vAlign w:val="bottom"/>
            <w:hideMark/>
          </w:tcPr>
          <w:p w14:paraId="1B485B74"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103</w:t>
            </w:r>
          </w:p>
        </w:tc>
        <w:tc>
          <w:tcPr>
            <w:tcW w:w="772" w:type="dxa"/>
            <w:tcBorders>
              <w:top w:val="nil"/>
              <w:left w:val="nil"/>
              <w:bottom w:val="single" w:sz="4" w:space="0" w:color="auto"/>
              <w:right w:val="single" w:sz="4" w:space="0" w:color="auto"/>
            </w:tcBorders>
            <w:shd w:val="clear" w:color="auto" w:fill="auto"/>
            <w:noWrap/>
            <w:vAlign w:val="bottom"/>
            <w:hideMark/>
          </w:tcPr>
          <w:p w14:paraId="41E91FE5"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91</w:t>
            </w:r>
          </w:p>
        </w:tc>
        <w:tc>
          <w:tcPr>
            <w:tcW w:w="794" w:type="dxa"/>
            <w:tcBorders>
              <w:top w:val="nil"/>
              <w:left w:val="single" w:sz="4" w:space="0" w:color="auto"/>
              <w:bottom w:val="single" w:sz="4" w:space="0" w:color="auto"/>
              <w:right w:val="nil"/>
            </w:tcBorders>
            <w:shd w:val="clear" w:color="auto" w:fill="auto"/>
            <w:noWrap/>
            <w:vAlign w:val="bottom"/>
            <w:hideMark/>
          </w:tcPr>
          <w:p w14:paraId="27797B38"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100</w:t>
            </w:r>
          </w:p>
        </w:tc>
        <w:tc>
          <w:tcPr>
            <w:tcW w:w="772" w:type="dxa"/>
            <w:tcBorders>
              <w:top w:val="nil"/>
              <w:left w:val="nil"/>
              <w:bottom w:val="single" w:sz="4" w:space="0" w:color="auto"/>
              <w:right w:val="single" w:sz="4" w:space="0" w:color="auto"/>
            </w:tcBorders>
            <w:shd w:val="clear" w:color="auto" w:fill="auto"/>
            <w:noWrap/>
            <w:vAlign w:val="bottom"/>
            <w:hideMark/>
          </w:tcPr>
          <w:p w14:paraId="7A78E3D0"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83</w:t>
            </w:r>
          </w:p>
        </w:tc>
        <w:tc>
          <w:tcPr>
            <w:tcW w:w="706" w:type="dxa"/>
            <w:tcBorders>
              <w:top w:val="nil"/>
              <w:left w:val="single" w:sz="4" w:space="0" w:color="auto"/>
              <w:bottom w:val="single" w:sz="4" w:space="0" w:color="auto"/>
              <w:right w:val="nil"/>
            </w:tcBorders>
            <w:shd w:val="clear" w:color="auto" w:fill="auto"/>
            <w:noWrap/>
            <w:vAlign w:val="bottom"/>
            <w:hideMark/>
          </w:tcPr>
          <w:p w14:paraId="0AC8A5EA"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12</w:t>
            </w:r>
          </w:p>
        </w:tc>
        <w:tc>
          <w:tcPr>
            <w:tcW w:w="772" w:type="dxa"/>
            <w:tcBorders>
              <w:top w:val="nil"/>
              <w:left w:val="nil"/>
              <w:bottom w:val="single" w:sz="4" w:space="0" w:color="auto"/>
            </w:tcBorders>
            <w:shd w:val="clear" w:color="auto" w:fill="auto"/>
            <w:noWrap/>
            <w:vAlign w:val="bottom"/>
            <w:hideMark/>
          </w:tcPr>
          <w:p w14:paraId="4E91C585" w14:textId="77777777" w:rsidR="00367DB9" w:rsidRPr="00056BD0" w:rsidRDefault="00367DB9" w:rsidP="00FA51D3">
            <w:pPr>
              <w:spacing w:after="0" w:line="240" w:lineRule="auto"/>
              <w:jc w:val="center"/>
              <w:rPr>
                <w:rFonts w:ascii="Times New Roman" w:eastAsia="Times New Roman" w:hAnsi="Times New Roman" w:cs="Times New Roman"/>
              </w:rPr>
            </w:pPr>
            <w:r w:rsidRPr="00056BD0">
              <w:rPr>
                <w:rFonts w:ascii="Times New Roman" w:eastAsia="Times New Roman" w:hAnsi="Times New Roman" w:cs="Times New Roman"/>
              </w:rPr>
              <w:t>49</w:t>
            </w:r>
          </w:p>
        </w:tc>
      </w:tr>
    </w:tbl>
    <w:p w14:paraId="4DF9B6D1" w14:textId="4FA3CFF1" w:rsidR="00367DB9" w:rsidRDefault="00367DB9">
      <w:pPr>
        <w:rPr>
          <w:rFonts w:ascii="Times New Roman" w:hAnsi="Times New Roman" w:cs="Times New Roman"/>
          <w:sz w:val="24"/>
          <w:szCs w:val="24"/>
        </w:rPr>
      </w:pPr>
      <w:r>
        <w:rPr>
          <w:rFonts w:ascii="Times New Roman" w:hAnsi="Times New Roman" w:cs="Times New Roman"/>
          <w:sz w:val="24"/>
          <w:szCs w:val="24"/>
        </w:rPr>
        <w:br w:type="page"/>
      </w:r>
    </w:p>
    <w:p w14:paraId="5BCDB26A" w14:textId="77777777" w:rsidR="00367DB9" w:rsidRDefault="00367DB9" w:rsidP="00367DB9">
      <w:pPr>
        <w:jc w:val="both"/>
        <w:rPr>
          <w:rFonts w:ascii="Times New Roman" w:hAnsi="Times New Roman" w:cs="Times New Roman"/>
          <w:sz w:val="24"/>
          <w:szCs w:val="24"/>
        </w:rPr>
        <w:sectPr w:rsidR="00367DB9" w:rsidSect="006A76A1">
          <w:pgSz w:w="16840" w:h="11907" w:orient="landscape" w:code="9"/>
          <w:pgMar w:top="1440" w:right="1440" w:bottom="1440" w:left="1440" w:header="709" w:footer="709" w:gutter="0"/>
          <w:cols w:space="709"/>
          <w:docGrid w:linePitch="360"/>
        </w:sectPr>
      </w:pPr>
    </w:p>
    <w:p w14:paraId="292B6E71" w14:textId="53008EF7" w:rsidR="00285F36" w:rsidRDefault="00BA0F48" w:rsidP="00316E1D">
      <w:pPr>
        <w:spacing w:after="0" w:line="288"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B83421">
        <w:rPr>
          <w:rFonts w:ascii="Times New Roman" w:hAnsi="Times New Roman" w:cs="Times New Roman"/>
          <w:sz w:val="24"/>
          <w:szCs w:val="24"/>
        </w:rPr>
        <w:t xml:space="preserve">More generally, the extent of rank variation </w:t>
      </w:r>
      <w:r>
        <w:rPr>
          <w:rFonts w:ascii="Times New Roman" w:hAnsi="Times New Roman" w:cs="Times New Roman"/>
          <w:sz w:val="24"/>
          <w:szCs w:val="24"/>
        </w:rPr>
        <w:t>a</w:t>
      </w:r>
      <w:r w:rsidRPr="00B83421">
        <w:rPr>
          <w:rFonts w:ascii="Times New Roman" w:hAnsi="Times New Roman" w:cs="Times New Roman"/>
          <w:sz w:val="24"/>
          <w:szCs w:val="24"/>
        </w:rPr>
        <w:t>cross JWS can be seen in the final column of the table.  For explanatory reasons, let us revisit</w:t>
      </w:r>
      <w:r>
        <w:rPr>
          <w:rFonts w:ascii="Times New Roman" w:hAnsi="Times New Roman" w:cs="Times New Roman"/>
          <w:sz w:val="24"/>
          <w:szCs w:val="24"/>
        </w:rPr>
        <w:t xml:space="preserve"> </w:t>
      </w:r>
      <w:r w:rsidR="002127D7" w:rsidRPr="00B83421">
        <w:rPr>
          <w:rFonts w:ascii="Times New Roman" w:hAnsi="Times New Roman" w:cs="Times New Roman"/>
          <w:sz w:val="24"/>
          <w:szCs w:val="24"/>
        </w:rPr>
        <w:t>researchers referenced above.  At one extreme we see that R</w:t>
      </w:r>
      <w:r w:rsidR="003B0101" w:rsidRPr="00B83421">
        <w:rPr>
          <w:rFonts w:ascii="Times New Roman" w:hAnsi="Times New Roman" w:cs="Times New Roman"/>
          <w:sz w:val="24"/>
          <w:szCs w:val="24"/>
        </w:rPr>
        <w:t>#</w:t>
      </w:r>
      <w:r w:rsidR="002127D7" w:rsidRPr="00B83421">
        <w:rPr>
          <w:rFonts w:ascii="Times New Roman" w:hAnsi="Times New Roman" w:cs="Times New Roman"/>
          <w:sz w:val="24"/>
          <w:szCs w:val="24"/>
        </w:rPr>
        <w:t>69 is largely indifferent between JWS as the maximum difference between her/his ranking</w:t>
      </w:r>
      <w:r w:rsidR="00B75201" w:rsidRPr="00B83421">
        <w:rPr>
          <w:rFonts w:ascii="Times New Roman" w:hAnsi="Times New Roman" w:cs="Times New Roman"/>
          <w:sz w:val="24"/>
          <w:szCs w:val="24"/>
        </w:rPr>
        <w:t xml:space="preserve"> across all JWS </w:t>
      </w:r>
      <w:r w:rsidR="002127D7" w:rsidRPr="00B83421">
        <w:rPr>
          <w:rFonts w:ascii="Times New Roman" w:hAnsi="Times New Roman" w:cs="Times New Roman"/>
          <w:sz w:val="24"/>
          <w:szCs w:val="24"/>
        </w:rPr>
        <w:t>is 1.  On the other hand, the maximum difference in rank for R</w:t>
      </w:r>
      <w:r w:rsidR="003B0101" w:rsidRPr="00B83421">
        <w:rPr>
          <w:rFonts w:ascii="Times New Roman" w:hAnsi="Times New Roman" w:cs="Times New Roman"/>
          <w:sz w:val="24"/>
          <w:szCs w:val="24"/>
        </w:rPr>
        <w:t>#</w:t>
      </w:r>
      <w:r w:rsidR="002127D7" w:rsidRPr="00B83421">
        <w:rPr>
          <w:rFonts w:ascii="Times New Roman" w:hAnsi="Times New Roman" w:cs="Times New Roman"/>
          <w:sz w:val="24"/>
          <w:szCs w:val="24"/>
        </w:rPr>
        <w:t xml:space="preserve">74 </w:t>
      </w:r>
      <w:r w:rsidR="004D1903" w:rsidRPr="00B83421">
        <w:rPr>
          <w:rFonts w:ascii="Times New Roman" w:hAnsi="Times New Roman" w:cs="Times New Roman"/>
          <w:sz w:val="24"/>
          <w:szCs w:val="24"/>
        </w:rPr>
        <w:t>is much higher: 48 positions for pages and 39 for papers.  For R</w:t>
      </w:r>
      <w:r w:rsidR="003B0101" w:rsidRPr="00B83421">
        <w:rPr>
          <w:rFonts w:ascii="Times New Roman" w:hAnsi="Times New Roman" w:cs="Times New Roman"/>
          <w:sz w:val="24"/>
          <w:szCs w:val="24"/>
        </w:rPr>
        <w:t>#</w:t>
      </w:r>
      <w:r w:rsidR="00BE7297" w:rsidRPr="00B83421">
        <w:rPr>
          <w:rFonts w:ascii="Times New Roman" w:hAnsi="Times New Roman" w:cs="Times New Roman"/>
          <w:sz w:val="24"/>
          <w:szCs w:val="24"/>
        </w:rPr>
        <w:t>16</w:t>
      </w:r>
      <w:r w:rsidR="004D1903" w:rsidRPr="00B83421">
        <w:rPr>
          <w:rFonts w:ascii="Times New Roman" w:hAnsi="Times New Roman" w:cs="Times New Roman"/>
          <w:sz w:val="24"/>
          <w:szCs w:val="24"/>
        </w:rPr>
        <w:t xml:space="preserve">, the variation </w:t>
      </w:r>
      <w:r w:rsidR="003B0101" w:rsidRPr="00B83421">
        <w:rPr>
          <w:rFonts w:ascii="Times New Roman" w:hAnsi="Times New Roman" w:cs="Times New Roman"/>
          <w:sz w:val="24"/>
          <w:szCs w:val="24"/>
        </w:rPr>
        <w:t xml:space="preserve">is </w:t>
      </w:r>
      <w:r w:rsidR="00BE7297" w:rsidRPr="00B83421">
        <w:rPr>
          <w:rFonts w:ascii="Times New Roman" w:hAnsi="Times New Roman" w:cs="Times New Roman"/>
          <w:sz w:val="24"/>
          <w:szCs w:val="24"/>
        </w:rPr>
        <w:t xml:space="preserve">equally extreme: 33 </w:t>
      </w:r>
      <w:r w:rsidR="004D1903" w:rsidRPr="00B83421">
        <w:rPr>
          <w:rFonts w:ascii="Times New Roman" w:hAnsi="Times New Roman" w:cs="Times New Roman"/>
          <w:sz w:val="24"/>
          <w:szCs w:val="24"/>
        </w:rPr>
        <w:t xml:space="preserve">positions when output is measured in pages and </w:t>
      </w:r>
      <w:r w:rsidR="00BE7297" w:rsidRPr="00B83421">
        <w:rPr>
          <w:rFonts w:ascii="Times New Roman" w:hAnsi="Times New Roman" w:cs="Times New Roman"/>
          <w:sz w:val="24"/>
          <w:szCs w:val="24"/>
        </w:rPr>
        <w:t>44</w:t>
      </w:r>
      <w:r w:rsidR="004D1903" w:rsidRPr="00B83421">
        <w:rPr>
          <w:rFonts w:ascii="Times New Roman" w:hAnsi="Times New Roman" w:cs="Times New Roman"/>
          <w:sz w:val="24"/>
          <w:szCs w:val="24"/>
        </w:rPr>
        <w:t xml:space="preserve"> when measured in papers. Although </w:t>
      </w:r>
      <w:r w:rsidR="003B0101" w:rsidRPr="00B83421">
        <w:rPr>
          <w:rFonts w:ascii="Times New Roman" w:hAnsi="Times New Roman" w:cs="Times New Roman"/>
          <w:sz w:val="24"/>
          <w:szCs w:val="24"/>
        </w:rPr>
        <w:t xml:space="preserve">less extreme, </w:t>
      </w:r>
      <w:r w:rsidR="004D1903" w:rsidRPr="00B83421">
        <w:rPr>
          <w:rFonts w:ascii="Times New Roman" w:hAnsi="Times New Roman" w:cs="Times New Roman"/>
          <w:sz w:val="24"/>
          <w:szCs w:val="24"/>
        </w:rPr>
        <w:t>i</w:t>
      </w:r>
      <w:r w:rsidR="008A3858" w:rsidRPr="00B83421">
        <w:rPr>
          <w:rFonts w:ascii="Times New Roman" w:hAnsi="Times New Roman" w:cs="Times New Roman"/>
          <w:sz w:val="24"/>
          <w:szCs w:val="24"/>
        </w:rPr>
        <w:t xml:space="preserve">t can also be seen </w:t>
      </w:r>
      <w:r w:rsidR="004D1903" w:rsidRPr="00B83421">
        <w:rPr>
          <w:rFonts w:ascii="Times New Roman" w:hAnsi="Times New Roman" w:cs="Times New Roman"/>
          <w:sz w:val="24"/>
          <w:szCs w:val="24"/>
        </w:rPr>
        <w:t xml:space="preserve">from a perusal of Table 6 </w:t>
      </w:r>
      <w:r w:rsidR="008A3858" w:rsidRPr="00B83421">
        <w:rPr>
          <w:rFonts w:ascii="Times New Roman" w:hAnsi="Times New Roman" w:cs="Times New Roman"/>
          <w:sz w:val="24"/>
          <w:szCs w:val="24"/>
        </w:rPr>
        <w:t xml:space="preserve">that </w:t>
      </w:r>
      <w:r w:rsidR="004D1903" w:rsidRPr="00B83421">
        <w:rPr>
          <w:rFonts w:ascii="Times New Roman" w:hAnsi="Times New Roman" w:cs="Times New Roman"/>
          <w:sz w:val="24"/>
          <w:szCs w:val="24"/>
        </w:rPr>
        <w:t xml:space="preserve">the </w:t>
      </w:r>
      <w:r w:rsidR="008A3858" w:rsidRPr="00B83421">
        <w:rPr>
          <w:rFonts w:ascii="Times New Roman" w:hAnsi="Times New Roman" w:cs="Times New Roman"/>
          <w:sz w:val="24"/>
          <w:szCs w:val="24"/>
        </w:rPr>
        <w:t xml:space="preserve">decision to select the page or the paper as the official unit of account matters </w:t>
      </w:r>
      <w:proofErr w:type="gramStart"/>
      <w:r w:rsidR="008A3858" w:rsidRPr="00B83421">
        <w:rPr>
          <w:rFonts w:ascii="Times New Roman" w:hAnsi="Times New Roman" w:cs="Times New Roman"/>
          <w:sz w:val="24"/>
          <w:szCs w:val="24"/>
        </w:rPr>
        <w:t>to</w:t>
      </w:r>
      <w:proofErr w:type="gramEnd"/>
      <w:r w:rsidR="008A3858" w:rsidRPr="00B83421">
        <w:rPr>
          <w:rFonts w:ascii="Times New Roman" w:hAnsi="Times New Roman" w:cs="Times New Roman"/>
          <w:sz w:val="24"/>
          <w:szCs w:val="24"/>
        </w:rPr>
        <w:t xml:space="preserve"> many.  For example, </w:t>
      </w:r>
      <w:r w:rsidR="00CF3397" w:rsidRPr="00B83421">
        <w:rPr>
          <w:rFonts w:ascii="Times New Roman" w:hAnsi="Times New Roman" w:cs="Times New Roman"/>
          <w:sz w:val="24"/>
          <w:szCs w:val="24"/>
        </w:rPr>
        <w:t xml:space="preserve">consider </w:t>
      </w:r>
      <w:r w:rsidR="008A3858" w:rsidRPr="00B83421">
        <w:rPr>
          <w:rFonts w:ascii="Times New Roman" w:hAnsi="Times New Roman" w:cs="Times New Roman"/>
          <w:sz w:val="24"/>
          <w:szCs w:val="24"/>
        </w:rPr>
        <w:t>R</w:t>
      </w:r>
      <w:r w:rsidR="003B0101" w:rsidRPr="00B83421">
        <w:rPr>
          <w:rFonts w:ascii="Times New Roman" w:hAnsi="Times New Roman" w:cs="Times New Roman"/>
          <w:sz w:val="24"/>
          <w:szCs w:val="24"/>
        </w:rPr>
        <w:t>#</w:t>
      </w:r>
      <w:r w:rsidR="00CF3397" w:rsidRPr="00B83421">
        <w:rPr>
          <w:rFonts w:ascii="Times New Roman" w:hAnsi="Times New Roman" w:cs="Times New Roman"/>
          <w:sz w:val="24"/>
          <w:szCs w:val="24"/>
        </w:rPr>
        <w:t>59</w:t>
      </w:r>
      <w:r w:rsidR="002904D1">
        <w:rPr>
          <w:rFonts w:ascii="Times New Roman" w:hAnsi="Times New Roman" w:cs="Times New Roman"/>
          <w:sz w:val="24"/>
          <w:szCs w:val="24"/>
        </w:rPr>
        <w:t>. T</w:t>
      </w:r>
      <w:r w:rsidR="004D1903" w:rsidRPr="00B83421">
        <w:rPr>
          <w:rFonts w:ascii="Times New Roman" w:hAnsi="Times New Roman" w:cs="Times New Roman"/>
          <w:sz w:val="24"/>
          <w:szCs w:val="24"/>
        </w:rPr>
        <w:t xml:space="preserve">his researcher is </w:t>
      </w:r>
      <w:r w:rsidR="00F335DC" w:rsidRPr="00B83421">
        <w:rPr>
          <w:rFonts w:ascii="Times New Roman" w:hAnsi="Times New Roman" w:cs="Times New Roman"/>
          <w:sz w:val="24"/>
          <w:szCs w:val="24"/>
        </w:rPr>
        <w:t>ranked 42</w:t>
      </w:r>
      <w:r w:rsidR="00F335DC" w:rsidRPr="00B83421">
        <w:rPr>
          <w:rFonts w:ascii="Times New Roman" w:hAnsi="Times New Roman" w:cs="Times New Roman"/>
          <w:sz w:val="24"/>
          <w:szCs w:val="24"/>
          <w:vertAlign w:val="superscript"/>
        </w:rPr>
        <w:t>nd</w:t>
      </w:r>
      <w:r w:rsidR="00F335DC" w:rsidRPr="00B83421">
        <w:rPr>
          <w:rFonts w:ascii="Times New Roman" w:hAnsi="Times New Roman" w:cs="Times New Roman"/>
          <w:sz w:val="24"/>
          <w:szCs w:val="24"/>
        </w:rPr>
        <w:t xml:space="preserve"> for pages and 18</w:t>
      </w:r>
      <w:r w:rsidR="00F335DC" w:rsidRPr="00B83421">
        <w:rPr>
          <w:rFonts w:ascii="Times New Roman" w:hAnsi="Times New Roman" w:cs="Times New Roman"/>
          <w:sz w:val="24"/>
          <w:szCs w:val="24"/>
          <w:vertAlign w:val="superscript"/>
        </w:rPr>
        <w:t>th</w:t>
      </w:r>
      <w:r w:rsidR="00F335DC" w:rsidRPr="00B83421">
        <w:rPr>
          <w:rFonts w:ascii="Times New Roman" w:hAnsi="Times New Roman" w:cs="Times New Roman"/>
          <w:sz w:val="24"/>
          <w:szCs w:val="24"/>
        </w:rPr>
        <w:t xml:space="preserve"> for papers under </w:t>
      </w:r>
      <w:r w:rsidR="00F335DC" w:rsidRPr="00B83421">
        <w:rPr>
          <w:rFonts w:ascii="Times New Roman" w:hAnsi="Times New Roman" w:cs="Times New Roman"/>
          <w:b/>
          <w:sz w:val="24"/>
          <w:szCs w:val="24"/>
        </w:rPr>
        <w:t>ABDC</w:t>
      </w:r>
      <w:r w:rsidR="00F335DC" w:rsidRPr="00B83421">
        <w:rPr>
          <w:rFonts w:ascii="Times New Roman" w:hAnsi="Times New Roman" w:cs="Times New Roman"/>
          <w:sz w:val="24"/>
          <w:szCs w:val="24"/>
        </w:rPr>
        <w:t xml:space="preserve"> (as expected, this person publishes many short papers).  </w:t>
      </w:r>
    </w:p>
    <w:p w14:paraId="41115EED" w14:textId="77777777" w:rsidR="00567DDE" w:rsidRDefault="00567DDE" w:rsidP="00316E1D">
      <w:pPr>
        <w:spacing w:after="0" w:line="288" w:lineRule="auto"/>
        <w:jc w:val="both"/>
        <w:rPr>
          <w:rFonts w:ascii="Times New Roman" w:hAnsi="Times New Roman" w:cs="Times New Roman"/>
          <w:sz w:val="24"/>
          <w:szCs w:val="24"/>
        </w:rPr>
      </w:pPr>
    </w:p>
    <w:p w14:paraId="3323BC23" w14:textId="77777777" w:rsidR="00567DDE" w:rsidRDefault="00567DDE" w:rsidP="00567DDE">
      <w:pPr>
        <w:spacing w:after="0" w:line="288" w:lineRule="auto"/>
        <w:ind w:firstLine="720"/>
        <w:jc w:val="both"/>
        <w:rPr>
          <w:rFonts w:ascii="Times New Roman" w:hAnsi="Times New Roman" w:cs="Times New Roman"/>
          <w:sz w:val="24"/>
          <w:szCs w:val="24"/>
        </w:rPr>
      </w:pPr>
      <w:r w:rsidRPr="00B83421">
        <w:rPr>
          <w:rFonts w:ascii="Times New Roman" w:hAnsi="Times New Roman" w:cs="Times New Roman"/>
          <w:sz w:val="24"/>
          <w:szCs w:val="24"/>
        </w:rPr>
        <w:t>In Table 7 we display the impact of alternative JWS on researcher rankings in the context of New Zealand’s PBRF.  For the 2012 round of the PBRF (covering the period 2006 to 2011), the assignment of letter grades for the economics group was as follows: 17 ‘As’, 55 ‘</w:t>
      </w:r>
      <w:proofErr w:type="spellStart"/>
      <w:r w:rsidRPr="00B83421">
        <w:rPr>
          <w:rFonts w:ascii="Times New Roman" w:hAnsi="Times New Roman" w:cs="Times New Roman"/>
          <w:sz w:val="24"/>
          <w:szCs w:val="24"/>
        </w:rPr>
        <w:t>Bs</w:t>
      </w:r>
      <w:proofErr w:type="spellEnd"/>
      <w:r w:rsidRPr="00B83421">
        <w:rPr>
          <w:rFonts w:ascii="Times New Roman" w:hAnsi="Times New Roman" w:cs="Times New Roman"/>
          <w:sz w:val="24"/>
          <w:szCs w:val="24"/>
        </w:rPr>
        <w:t xml:space="preserve">’ and ‘Cs’ for all others given a ranking.  Using these results, and arbitrarily selecting </w:t>
      </w:r>
      <w:proofErr w:type="spellStart"/>
      <w:r w:rsidRPr="00B83421">
        <w:rPr>
          <w:rFonts w:ascii="Times New Roman" w:hAnsi="Times New Roman" w:cs="Times New Roman"/>
          <w:b/>
          <w:sz w:val="24"/>
          <w:szCs w:val="24"/>
        </w:rPr>
        <w:t>CLh</w:t>
      </w:r>
      <w:proofErr w:type="spellEnd"/>
      <w:r w:rsidRPr="00B83421">
        <w:rPr>
          <w:rFonts w:ascii="Times New Roman" w:hAnsi="Times New Roman" w:cs="Times New Roman"/>
          <w:sz w:val="24"/>
          <w:szCs w:val="24"/>
        </w:rPr>
        <w:t xml:space="preserve"> as our ‘true’ journal weighting scheme (henceforth, the individual journal weighting scheme is noted as ‘</w:t>
      </w:r>
      <w:r>
        <w:rPr>
          <w:rFonts w:ascii="Times New Roman" w:hAnsi="Times New Roman" w:cs="Times New Roman"/>
          <w:sz w:val="24"/>
          <w:szCs w:val="24"/>
        </w:rPr>
        <w:t>JWS</w:t>
      </w:r>
      <w:r w:rsidRPr="00B83421">
        <w:rPr>
          <w:rFonts w:ascii="Times New Roman" w:hAnsi="Times New Roman" w:cs="Times New Roman"/>
          <w:sz w:val="24"/>
          <w:szCs w:val="24"/>
        </w:rPr>
        <w:t xml:space="preserve">’), we assign researchers 1 to 17 (per </w:t>
      </w:r>
      <w:proofErr w:type="spellStart"/>
      <w:r w:rsidRPr="00B83421">
        <w:rPr>
          <w:rFonts w:ascii="Times New Roman" w:hAnsi="Times New Roman" w:cs="Times New Roman"/>
          <w:b/>
          <w:sz w:val="24"/>
          <w:szCs w:val="24"/>
        </w:rPr>
        <w:t>CLh</w:t>
      </w:r>
      <w:proofErr w:type="spellEnd"/>
      <w:r w:rsidRPr="00B83421">
        <w:rPr>
          <w:rFonts w:ascii="Times New Roman" w:hAnsi="Times New Roman" w:cs="Times New Roman"/>
          <w:sz w:val="24"/>
          <w:szCs w:val="24"/>
        </w:rPr>
        <w:t xml:space="preserve">) a grade of ‘A’, researchers ranked 18 to 72 a ‘B’ and those ranked 73 to 113 a ‘C’.  </w:t>
      </w:r>
    </w:p>
    <w:p w14:paraId="52737A32" w14:textId="77777777" w:rsidR="00567DDE" w:rsidRDefault="00567DDE" w:rsidP="00316E1D">
      <w:pPr>
        <w:spacing w:after="0" w:line="288" w:lineRule="auto"/>
        <w:jc w:val="both"/>
        <w:rPr>
          <w:rFonts w:ascii="Times New Roman" w:hAnsi="Times New Roman" w:cs="Times New Roman"/>
          <w:sz w:val="24"/>
          <w:szCs w:val="24"/>
        </w:rPr>
      </w:pPr>
    </w:p>
    <w:tbl>
      <w:tblPr>
        <w:tblW w:w="9811" w:type="dxa"/>
        <w:jc w:val="center"/>
        <w:tblInd w:w="93" w:type="dxa"/>
        <w:tblLook w:val="04A0" w:firstRow="1" w:lastRow="0" w:firstColumn="1" w:lastColumn="0" w:noHBand="0" w:noVBand="1"/>
      </w:tblPr>
      <w:tblGrid>
        <w:gridCol w:w="2570"/>
        <w:gridCol w:w="1020"/>
        <w:gridCol w:w="1020"/>
        <w:gridCol w:w="1020"/>
        <w:gridCol w:w="1020"/>
        <w:gridCol w:w="1020"/>
        <w:gridCol w:w="1020"/>
        <w:gridCol w:w="1121"/>
      </w:tblGrid>
      <w:tr w:rsidR="00845BBA" w:rsidRPr="000C4CD0" w14:paraId="2914C611" w14:textId="77777777" w:rsidTr="0012696E">
        <w:trPr>
          <w:trHeight w:val="315"/>
          <w:jc w:val="center"/>
        </w:trPr>
        <w:tc>
          <w:tcPr>
            <w:tcW w:w="2570" w:type="dxa"/>
            <w:tcBorders>
              <w:top w:val="nil"/>
              <w:left w:val="nil"/>
              <w:right w:val="nil"/>
            </w:tcBorders>
            <w:shd w:val="clear" w:color="auto" w:fill="auto"/>
            <w:noWrap/>
            <w:vAlign w:val="bottom"/>
          </w:tcPr>
          <w:p w14:paraId="33141A2D" w14:textId="77777777" w:rsidR="00387FEB" w:rsidRDefault="00387FEB" w:rsidP="00922F54">
            <w:pPr>
              <w:spacing w:after="60" w:line="240" w:lineRule="auto"/>
              <w:jc w:val="center"/>
              <w:rPr>
                <w:rFonts w:ascii="Times New Roman" w:eastAsia="Times New Roman" w:hAnsi="Times New Roman" w:cs="Times New Roman"/>
                <w:b/>
                <w:bCs/>
                <w:color w:val="000000"/>
              </w:rPr>
            </w:pPr>
          </w:p>
          <w:p w14:paraId="68F15AF8" w14:textId="54F044D2" w:rsidR="00845BBA" w:rsidRPr="00B52297" w:rsidRDefault="0012696E" w:rsidP="00922F54">
            <w:pPr>
              <w:spacing w:after="60" w:line="240" w:lineRule="auto"/>
              <w:ind w:right="-16"/>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r>
            <w:r w:rsidR="004E75F0">
              <w:rPr>
                <w:rFonts w:ascii="Times New Roman" w:eastAsia="Times New Roman" w:hAnsi="Times New Roman" w:cs="Times New Roman"/>
                <w:b/>
                <w:bCs/>
                <w:color w:val="000000"/>
              </w:rPr>
              <w:t xml:space="preserve">  </w:t>
            </w:r>
            <w:r w:rsidR="00B52297">
              <w:rPr>
                <w:rFonts w:ascii="Times New Roman" w:eastAsia="Times New Roman" w:hAnsi="Times New Roman" w:cs="Times New Roman"/>
                <w:b/>
                <w:bCs/>
                <w:color w:val="000000"/>
              </w:rPr>
              <w:t>Table 7:</w:t>
            </w:r>
          </w:p>
        </w:tc>
        <w:tc>
          <w:tcPr>
            <w:tcW w:w="7241" w:type="dxa"/>
            <w:gridSpan w:val="7"/>
            <w:tcBorders>
              <w:top w:val="nil"/>
              <w:left w:val="nil"/>
              <w:right w:val="nil"/>
            </w:tcBorders>
            <w:shd w:val="clear" w:color="auto" w:fill="auto"/>
            <w:noWrap/>
            <w:vAlign w:val="bottom"/>
          </w:tcPr>
          <w:p w14:paraId="0E3BD987" w14:textId="0EE3A0E5" w:rsidR="00845BBA" w:rsidRPr="00B52297" w:rsidRDefault="00B52297" w:rsidP="00922F54">
            <w:pPr>
              <w:spacing w:after="6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Rank C</w:t>
            </w:r>
            <w:r w:rsidR="00387FEB">
              <w:rPr>
                <w:rFonts w:ascii="Times New Roman" w:eastAsia="Times New Roman" w:hAnsi="Times New Roman" w:cs="Times New Roman"/>
                <w:b/>
                <w:bCs/>
                <w:color w:val="000000"/>
              </w:rPr>
              <w:t xml:space="preserve">hanges Relative to </w:t>
            </w:r>
            <w:proofErr w:type="spellStart"/>
            <w:r w:rsidR="00387FEB">
              <w:rPr>
                <w:rFonts w:ascii="Times New Roman" w:eastAsia="Times New Roman" w:hAnsi="Times New Roman" w:cs="Times New Roman"/>
                <w:b/>
                <w:bCs/>
                <w:color w:val="000000"/>
              </w:rPr>
              <w:t>CLh</w:t>
            </w:r>
            <w:proofErr w:type="spellEnd"/>
            <w:r w:rsidR="00387FEB">
              <w:rPr>
                <w:rFonts w:ascii="Times New Roman" w:eastAsia="Times New Roman" w:hAnsi="Times New Roman" w:cs="Times New Roman"/>
                <w:b/>
                <w:bCs/>
                <w:color w:val="000000"/>
              </w:rPr>
              <w:t>, S</w:t>
            </w:r>
            <w:r w:rsidR="00845BBA" w:rsidRPr="00B52297">
              <w:rPr>
                <w:rFonts w:ascii="Times New Roman" w:eastAsia="Times New Roman" w:hAnsi="Times New Roman" w:cs="Times New Roman"/>
                <w:b/>
                <w:bCs/>
                <w:color w:val="000000"/>
              </w:rPr>
              <w:t xml:space="preserve">hare </w:t>
            </w:r>
            <w:r w:rsidR="00E6612C" w:rsidRPr="00B52297">
              <w:rPr>
                <w:rFonts w:ascii="Times New Roman" w:eastAsia="Times New Roman" w:hAnsi="Times New Roman" w:cs="Times New Roman"/>
                <w:b/>
                <w:bCs/>
                <w:color w:val="000000"/>
              </w:rPr>
              <w:t>and</w:t>
            </w:r>
            <w:r w:rsidR="00387FEB">
              <w:rPr>
                <w:rFonts w:ascii="Times New Roman" w:eastAsia="Times New Roman" w:hAnsi="Times New Roman" w:cs="Times New Roman"/>
                <w:b/>
                <w:bCs/>
                <w:color w:val="000000"/>
              </w:rPr>
              <w:t xml:space="preserve"> Size Adjusted Pages</w:t>
            </w:r>
          </w:p>
        </w:tc>
      </w:tr>
      <w:tr w:rsidR="00845BBA" w:rsidRPr="000C4CD0" w14:paraId="7D9A18EE" w14:textId="77777777" w:rsidTr="0012696E">
        <w:trPr>
          <w:trHeight w:val="454"/>
          <w:jc w:val="center"/>
        </w:trPr>
        <w:tc>
          <w:tcPr>
            <w:tcW w:w="9811" w:type="dxa"/>
            <w:gridSpan w:val="8"/>
            <w:tcBorders>
              <w:top w:val="single" w:sz="4" w:space="0" w:color="auto"/>
              <w:left w:val="nil"/>
              <w:right w:val="nil"/>
            </w:tcBorders>
            <w:shd w:val="clear" w:color="auto" w:fill="auto"/>
            <w:noWrap/>
            <w:vAlign w:val="center"/>
            <w:hideMark/>
          </w:tcPr>
          <w:p w14:paraId="3C1B47B1" w14:textId="0DAB2901" w:rsidR="00845BBA" w:rsidRPr="00956765" w:rsidRDefault="00845BBA" w:rsidP="00956765">
            <w:pPr>
              <w:spacing w:after="0" w:line="240" w:lineRule="auto"/>
              <w:jc w:val="center"/>
              <w:rPr>
                <w:rFonts w:ascii="Times New Roman" w:eastAsia="Times New Roman" w:hAnsi="Times New Roman" w:cs="Times New Roman"/>
                <w:b/>
                <w:color w:val="000000"/>
              </w:rPr>
            </w:pPr>
            <w:r w:rsidRPr="00956765">
              <w:rPr>
                <w:rFonts w:ascii="Times New Roman" w:eastAsia="Times New Roman" w:hAnsi="Times New Roman" w:cs="Times New Roman"/>
                <w:b/>
                <w:color w:val="000000"/>
              </w:rPr>
              <w:t xml:space="preserve">Top 17 per </w:t>
            </w:r>
            <w:proofErr w:type="spellStart"/>
            <w:r w:rsidRPr="00956765">
              <w:rPr>
                <w:rFonts w:ascii="Times New Roman" w:eastAsia="Times New Roman" w:hAnsi="Times New Roman" w:cs="Times New Roman"/>
                <w:b/>
                <w:color w:val="000000"/>
              </w:rPr>
              <w:t>CLh</w:t>
            </w:r>
            <w:proofErr w:type="spellEnd"/>
            <w:r w:rsidRPr="00956765">
              <w:rPr>
                <w:rFonts w:ascii="Times New Roman" w:eastAsia="Times New Roman" w:hAnsi="Times New Roman" w:cs="Times New Roman"/>
                <w:b/>
                <w:color w:val="000000"/>
              </w:rPr>
              <w:t xml:space="preserve">, output: share </w:t>
            </w:r>
            <w:r w:rsidR="00E6612C" w:rsidRPr="00956765">
              <w:rPr>
                <w:rFonts w:ascii="Times New Roman" w:eastAsia="Times New Roman" w:hAnsi="Times New Roman" w:cs="Times New Roman"/>
                <w:b/>
                <w:color w:val="000000"/>
              </w:rPr>
              <w:t>and</w:t>
            </w:r>
            <w:r w:rsidRPr="00956765">
              <w:rPr>
                <w:rFonts w:ascii="Times New Roman" w:eastAsia="Times New Roman" w:hAnsi="Times New Roman" w:cs="Times New Roman"/>
                <w:b/>
                <w:color w:val="000000"/>
              </w:rPr>
              <w:t xml:space="preserve"> size adjusted pages</w:t>
            </w:r>
          </w:p>
        </w:tc>
      </w:tr>
      <w:tr w:rsidR="00845BBA" w:rsidRPr="000C4CD0" w14:paraId="17C7E078" w14:textId="77777777" w:rsidTr="0012696E">
        <w:trPr>
          <w:trHeight w:val="454"/>
          <w:jc w:val="center"/>
        </w:trPr>
        <w:tc>
          <w:tcPr>
            <w:tcW w:w="2570" w:type="dxa"/>
            <w:tcBorders>
              <w:left w:val="nil"/>
              <w:bottom w:val="single" w:sz="4" w:space="0" w:color="auto"/>
              <w:right w:val="nil"/>
            </w:tcBorders>
            <w:shd w:val="clear" w:color="auto" w:fill="auto"/>
            <w:noWrap/>
            <w:vAlign w:val="center"/>
            <w:hideMark/>
          </w:tcPr>
          <w:p w14:paraId="1BBB552E" w14:textId="77777777" w:rsidR="00845BBA" w:rsidRPr="000C4CD0" w:rsidRDefault="00845BBA" w:rsidP="00FA51D3">
            <w:pPr>
              <w:spacing w:after="0" w:line="240" w:lineRule="auto"/>
              <w:jc w:val="center"/>
              <w:rPr>
                <w:rFonts w:ascii="Times New Roman" w:eastAsia="Times New Roman" w:hAnsi="Times New Roman" w:cs="Times New Roman"/>
                <w:bCs/>
                <w:color w:val="000000"/>
              </w:rPr>
            </w:pPr>
            <w:r w:rsidRPr="000C4CD0">
              <w:rPr>
                <w:rFonts w:ascii="Times New Roman" w:eastAsia="Times New Roman" w:hAnsi="Times New Roman" w:cs="Times New Roman"/>
                <w:bCs/>
                <w:color w:val="000000"/>
              </w:rPr>
              <w:t>PBRF Gr</w:t>
            </w:r>
          </w:p>
        </w:tc>
        <w:tc>
          <w:tcPr>
            <w:tcW w:w="1020" w:type="dxa"/>
            <w:tcBorders>
              <w:left w:val="nil"/>
              <w:bottom w:val="single" w:sz="4" w:space="0" w:color="auto"/>
              <w:right w:val="nil"/>
            </w:tcBorders>
            <w:shd w:val="clear" w:color="auto" w:fill="auto"/>
            <w:noWrap/>
            <w:vAlign w:val="center"/>
            <w:hideMark/>
          </w:tcPr>
          <w:p w14:paraId="7CBF7CC8" w14:textId="77777777" w:rsidR="00845BBA" w:rsidRPr="000C4CD0" w:rsidRDefault="00845BBA" w:rsidP="00FA51D3">
            <w:pPr>
              <w:spacing w:after="0" w:line="240" w:lineRule="auto"/>
              <w:jc w:val="center"/>
              <w:rPr>
                <w:rFonts w:ascii="Times New Roman" w:eastAsia="Times New Roman" w:hAnsi="Times New Roman" w:cs="Times New Roman"/>
                <w:bCs/>
                <w:color w:val="000000"/>
              </w:rPr>
            </w:pPr>
            <w:r w:rsidRPr="000C4CD0">
              <w:rPr>
                <w:rFonts w:ascii="Times New Roman" w:eastAsia="Times New Roman" w:hAnsi="Times New Roman" w:cs="Times New Roman"/>
                <w:bCs/>
                <w:color w:val="000000"/>
              </w:rPr>
              <w:t>AVJWS</w:t>
            </w:r>
          </w:p>
        </w:tc>
        <w:tc>
          <w:tcPr>
            <w:tcW w:w="1020" w:type="dxa"/>
            <w:tcBorders>
              <w:left w:val="nil"/>
              <w:bottom w:val="single" w:sz="4" w:space="0" w:color="auto"/>
              <w:right w:val="nil"/>
            </w:tcBorders>
            <w:shd w:val="clear" w:color="auto" w:fill="auto"/>
            <w:noWrap/>
            <w:vAlign w:val="center"/>
            <w:hideMark/>
          </w:tcPr>
          <w:p w14:paraId="5922F1E7" w14:textId="77777777" w:rsidR="00845BBA" w:rsidRPr="000C4CD0" w:rsidRDefault="00845BBA" w:rsidP="00FA51D3">
            <w:pPr>
              <w:spacing w:after="0" w:line="240" w:lineRule="auto"/>
              <w:jc w:val="center"/>
              <w:rPr>
                <w:rFonts w:ascii="Times New Roman" w:eastAsia="Times New Roman" w:hAnsi="Times New Roman" w:cs="Times New Roman"/>
                <w:bCs/>
                <w:color w:val="000000"/>
              </w:rPr>
            </w:pPr>
            <w:proofErr w:type="spellStart"/>
            <w:r w:rsidRPr="000C4CD0">
              <w:rPr>
                <w:rFonts w:ascii="Times New Roman" w:eastAsia="Times New Roman" w:hAnsi="Times New Roman" w:cs="Times New Roman"/>
                <w:bCs/>
                <w:color w:val="000000"/>
              </w:rPr>
              <w:t>CLm</w:t>
            </w:r>
            <w:proofErr w:type="spellEnd"/>
          </w:p>
        </w:tc>
        <w:tc>
          <w:tcPr>
            <w:tcW w:w="1020" w:type="dxa"/>
            <w:tcBorders>
              <w:left w:val="nil"/>
              <w:bottom w:val="single" w:sz="4" w:space="0" w:color="auto"/>
              <w:right w:val="nil"/>
            </w:tcBorders>
            <w:shd w:val="clear" w:color="auto" w:fill="auto"/>
            <w:noWrap/>
            <w:vAlign w:val="center"/>
            <w:hideMark/>
          </w:tcPr>
          <w:p w14:paraId="2CA6FE77" w14:textId="77777777" w:rsidR="00845BBA" w:rsidRPr="000C4CD0" w:rsidRDefault="00845BBA" w:rsidP="00FA51D3">
            <w:pPr>
              <w:spacing w:after="0" w:line="240" w:lineRule="auto"/>
              <w:jc w:val="center"/>
              <w:rPr>
                <w:rFonts w:ascii="Times New Roman" w:eastAsia="Times New Roman" w:hAnsi="Times New Roman" w:cs="Times New Roman"/>
                <w:bCs/>
                <w:color w:val="000000"/>
              </w:rPr>
            </w:pPr>
            <w:proofErr w:type="spellStart"/>
            <w:r w:rsidRPr="000C4CD0">
              <w:rPr>
                <w:rFonts w:ascii="Times New Roman" w:eastAsia="Times New Roman" w:hAnsi="Times New Roman" w:cs="Times New Roman"/>
                <w:bCs/>
                <w:color w:val="000000"/>
              </w:rPr>
              <w:t>CLh</w:t>
            </w:r>
            <w:proofErr w:type="spellEnd"/>
          </w:p>
        </w:tc>
        <w:tc>
          <w:tcPr>
            <w:tcW w:w="1020" w:type="dxa"/>
            <w:tcBorders>
              <w:left w:val="nil"/>
              <w:bottom w:val="single" w:sz="4" w:space="0" w:color="auto"/>
              <w:right w:val="nil"/>
            </w:tcBorders>
            <w:shd w:val="clear" w:color="auto" w:fill="auto"/>
            <w:noWrap/>
            <w:vAlign w:val="center"/>
            <w:hideMark/>
          </w:tcPr>
          <w:p w14:paraId="1D7CE304" w14:textId="77777777" w:rsidR="00845BBA" w:rsidRPr="000C4CD0" w:rsidRDefault="00845BBA" w:rsidP="00FA51D3">
            <w:pPr>
              <w:spacing w:after="0" w:line="240" w:lineRule="auto"/>
              <w:jc w:val="center"/>
              <w:rPr>
                <w:rFonts w:ascii="Times New Roman" w:eastAsia="Times New Roman" w:hAnsi="Times New Roman" w:cs="Times New Roman"/>
                <w:bCs/>
                <w:color w:val="000000"/>
              </w:rPr>
            </w:pPr>
            <w:r w:rsidRPr="000C4CD0">
              <w:rPr>
                <w:rFonts w:ascii="Times New Roman" w:eastAsia="Times New Roman" w:hAnsi="Times New Roman" w:cs="Times New Roman"/>
                <w:bCs/>
                <w:color w:val="000000"/>
              </w:rPr>
              <w:t>ABDC</w:t>
            </w:r>
          </w:p>
        </w:tc>
        <w:tc>
          <w:tcPr>
            <w:tcW w:w="1020" w:type="dxa"/>
            <w:tcBorders>
              <w:left w:val="nil"/>
              <w:bottom w:val="single" w:sz="4" w:space="0" w:color="auto"/>
              <w:right w:val="nil"/>
            </w:tcBorders>
            <w:shd w:val="clear" w:color="auto" w:fill="auto"/>
            <w:noWrap/>
            <w:vAlign w:val="center"/>
            <w:hideMark/>
          </w:tcPr>
          <w:p w14:paraId="5B1DC461" w14:textId="77777777" w:rsidR="00845BBA" w:rsidRPr="000C4CD0" w:rsidRDefault="00845BBA" w:rsidP="00FA51D3">
            <w:pPr>
              <w:spacing w:after="0" w:line="240" w:lineRule="auto"/>
              <w:jc w:val="center"/>
              <w:rPr>
                <w:rFonts w:ascii="Times New Roman" w:eastAsia="Times New Roman" w:hAnsi="Times New Roman" w:cs="Times New Roman"/>
                <w:bCs/>
                <w:color w:val="000000"/>
              </w:rPr>
            </w:pPr>
            <w:proofErr w:type="spellStart"/>
            <w:r w:rsidRPr="000C4CD0">
              <w:rPr>
                <w:rFonts w:ascii="Times New Roman" w:eastAsia="Times New Roman" w:hAnsi="Times New Roman" w:cs="Times New Roman"/>
                <w:bCs/>
                <w:color w:val="000000"/>
              </w:rPr>
              <w:t>Rsif</w:t>
            </w:r>
            <w:proofErr w:type="spellEnd"/>
          </w:p>
        </w:tc>
        <w:tc>
          <w:tcPr>
            <w:tcW w:w="1020" w:type="dxa"/>
            <w:tcBorders>
              <w:left w:val="nil"/>
              <w:bottom w:val="single" w:sz="4" w:space="0" w:color="auto"/>
              <w:right w:val="nil"/>
            </w:tcBorders>
            <w:shd w:val="clear" w:color="auto" w:fill="auto"/>
            <w:noWrap/>
            <w:vAlign w:val="center"/>
            <w:hideMark/>
          </w:tcPr>
          <w:p w14:paraId="2003925C" w14:textId="77777777" w:rsidR="00845BBA" w:rsidRPr="000C4CD0" w:rsidRDefault="00845BBA" w:rsidP="00FA51D3">
            <w:pPr>
              <w:spacing w:after="0" w:line="240" w:lineRule="auto"/>
              <w:jc w:val="center"/>
              <w:rPr>
                <w:rFonts w:ascii="Times New Roman" w:eastAsia="Times New Roman" w:hAnsi="Times New Roman" w:cs="Times New Roman"/>
                <w:bCs/>
                <w:color w:val="000000"/>
              </w:rPr>
            </w:pPr>
            <w:proofErr w:type="spellStart"/>
            <w:r w:rsidRPr="000C4CD0">
              <w:rPr>
                <w:rFonts w:ascii="Times New Roman" w:eastAsia="Times New Roman" w:hAnsi="Times New Roman" w:cs="Times New Roman"/>
                <w:bCs/>
                <w:color w:val="000000"/>
              </w:rPr>
              <w:t>Rrec</w:t>
            </w:r>
            <w:proofErr w:type="spellEnd"/>
          </w:p>
        </w:tc>
        <w:tc>
          <w:tcPr>
            <w:tcW w:w="1121" w:type="dxa"/>
            <w:tcBorders>
              <w:left w:val="nil"/>
              <w:bottom w:val="single" w:sz="4" w:space="0" w:color="auto"/>
              <w:right w:val="nil"/>
            </w:tcBorders>
            <w:shd w:val="clear" w:color="auto" w:fill="auto"/>
            <w:noWrap/>
            <w:vAlign w:val="center"/>
            <w:hideMark/>
          </w:tcPr>
          <w:p w14:paraId="44129416" w14:textId="77777777" w:rsidR="00845BBA" w:rsidRPr="000C4CD0" w:rsidRDefault="00845BBA" w:rsidP="00FA51D3">
            <w:pPr>
              <w:spacing w:after="0" w:line="240" w:lineRule="auto"/>
              <w:jc w:val="center"/>
              <w:rPr>
                <w:rFonts w:ascii="Times New Roman" w:eastAsia="Times New Roman" w:hAnsi="Times New Roman" w:cs="Times New Roman"/>
                <w:bCs/>
                <w:color w:val="000000"/>
              </w:rPr>
            </w:pPr>
            <w:r w:rsidRPr="000C4CD0">
              <w:rPr>
                <w:rFonts w:ascii="Times New Roman" w:eastAsia="Times New Roman" w:hAnsi="Times New Roman" w:cs="Times New Roman"/>
                <w:bCs/>
                <w:color w:val="000000"/>
              </w:rPr>
              <w:t>NZABDC</w:t>
            </w:r>
          </w:p>
        </w:tc>
      </w:tr>
      <w:tr w:rsidR="00845BBA" w:rsidRPr="000C4CD0" w14:paraId="0ADC59ED" w14:textId="77777777" w:rsidTr="0012696E">
        <w:trPr>
          <w:trHeight w:val="315"/>
          <w:jc w:val="center"/>
        </w:trPr>
        <w:tc>
          <w:tcPr>
            <w:tcW w:w="2570" w:type="dxa"/>
            <w:tcBorders>
              <w:top w:val="nil"/>
              <w:left w:val="nil"/>
              <w:bottom w:val="nil"/>
              <w:right w:val="nil"/>
            </w:tcBorders>
            <w:shd w:val="clear" w:color="auto" w:fill="auto"/>
            <w:noWrap/>
            <w:vAlign w:val="bottom"/>
            <w:hideMark/>
          </w:tcPr>
          <w:p w14:paraId="55FCEC6E" w14:textId="77777777" w:rsidR="00845BBA" w:rsidRPr="000C4CD0" w:rsidRDefault="00845BBA" w:rsidP="00387FEB">
            <w:pPr>
              <w:spacing w:after="0" w:line="240" w:lineRule="auto"/>
              <w:jc w:val="center"/>
              <w:rPr>
                <w:rFonts w:ascii="Times New Roman" w:eastAsia="Times New Roman" w:hAnsi="Times New Roman" w:cs="Times New Roman"/>
                <w:bCs/>
                <w:color w:val="000000"/>
              </w:rPr>
            </w:pPr>
            <w:r w:rsidRPr="000C4CD0">
              <w:rPr>
                <w:rFonts w:ascii="Times New Roman" w:eastAsia="Times New Roman" w:hAnsi="Times New Roman" w:cs="Times New Roman"/>
                <w:bCs/>
                <w:color w:val="000000"/>
              </w:rPr>
              <w:t>A</w:t>
            </w:r>
          </w:p>
        </w:tc>
        <w:tc>
          <w:tcPr>
            <w:tcW w:w="1020" w:type="dxa"/>
            <w:tcBorders>
              <w:top w:val="nil"/>
              <w:left w:val="nil"/>
              <w:bottom w:val="nil"/>
              <w:right w:val="nil"/>
            </w:tcBorders>
            <w:shd w:val="clear" w:color="auto" w:fill="auto"/>
            <w:noWrap/>
            <w:vAlign w:val="bottom"/>
            <w:hideMark/>
          </w:tcPr>
          <w:p w14:paraId="6307297A"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14</w:t>
            </w:r>
          </w:p>
        </w:tc>
        <w:tc>
          <w:tcPr>
            <w:tcW w:w="1020" w:type="dxa"/>
            <w:tcBorders>
              <w:top w:val="nil"/>
              <w:left w:val="nil"/>
              <w:bottom w:val="nil"/>
              <w:right w:val="nil"/>
            </w:tcBorders>
            <w:shd w:val="clear" w:color="auto" w:fill="auto"/>
            <w:noWrap/>
            <w:vAlign w:val="bottom"/>
            <w:hideMark/>
          </w:tcPr>
          <w:p w14:paraId="24CF0E48"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15</w:t>
            </w:r>
          </w:p>
        </w:tc>
        <w:tc>
          <w:tcPr>
            <w:tcW w:w="1020" w:type="dxa"/>
            <w:tcBorders>
              <w:top w:val="nil"/>
              <w:left w:val="nil"/>
              <w:bottom w:val="nil"/>
              <w:right w:val="nil"/>
            </w:tcBorders>
            <w:shd w:val="clear" w:color="auto" w:fill="auto"/>
            <w:noWrap/>
            <w:vAlign w:val="bottom"/>
            <w:hideMark/>
          </w:tcPr>
          <w:p w14:paraId="36639548"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17</w:t>
            </w:r>
          </w:p>
        </w:tc>
        <w:tc>
          <w:tcPr>
            <w:tcW w:w="1020" w:type="dxa"/>
            <w:tcBorders>
              <w:top w:val="nil"/>
              <w:left w:val="nil"/>
              <w:bottom w:val="nil"/>
              <w:right w:val="nil"/>
            </w:tcBorders>
            <w:shd w:val="clear" w:color="auto" w:fill="auto"/>
            <w:noWrap/>
            <w:vAlign w:val="bottom"/>
            <w:hideMark/>
          </w:tcPr>
          <w:p w14:paraId="2562BCAE"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12</w:t>
            </w:r>
          </w:p>
        </w:tc>
        <w:tc>
          <w:tcPr>
            <w:tcW w:w="1020" w:type="dxa"/>
            <w:tcBorders>
              <w:top w:val="nil"/>
              <w:left w:val="nil"/>
              <w:bottom w:val="nil"/>
              <w:right w:val="nil"/>
            </w:tcBorders>
            <w:shd w:val="clear" w:color="auto" w:fill="auto"/>
            <w:noWrap/>
            <w:vAlign w:val="bottom"/>
            <w:hideMark/>
          </w:tcPr>
          <w:p w14:paraId="57ED2AAA"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14</w:t>
            </w:r>
          </w:p>
        </w:tc>
        <w:tc>
          <w:tcPr>
            <w:tcW w:w="1020" w:type="dxa"/>
            <w:tcBorders>
              <w:top w:val="nil"/>
              <w:left w:val="nil"/>
              <w:bottom w:val="nil"/>
              <w:right w:val="nil"/>
            </w:tcBorders>
            <w:shd w:val="clear" w:color="auto" w:fill="auto"/>
            <w:noWrap/>
            <w:vAlign w:val="bottom"/>
            <w:hideMark/>
          </w:tcPr>
          <w:p w14:paraId="408A923A"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14</w:t>
            </w:r>
          </w:p>
        </w:tc>
        <w:tc>
          <w:tcPr>
            <w:tcW w:w="1121" w:type="dxa"/>
            <w:tcBorders>
              <w:top w:val="nil"/>
              <w:left w:val="nil"/>
              <w:bottom w:val="nil"/>
              <w:right w:val="nil"/>
            </w:tcBorders>
            <w:shd w:val="clear" w:color="auto" w:fill="auto"/>
            <w:noWrap/>
            <w:vAlign w:val="bottom"/>
            <w:hideMark/>
          </w:tcPr>
          <w:p w14:paraId="1F188613"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12</w:t>
            </w:r>
          </w:p>
        </w:tc>
      </w:tr>
      <w:tr w:rsidR="00845BBA" w:rsidRPr="000C4CD0" w14:paraId="1AB2B231" w14:textId="77777777" w:rsidTr="0012696E">
        <w:trPr>
          <w:trHeight w:val="315"/>
          <w:jc w:val="center"/>
        </w:trPr>
        <w:tc>
          <w:tcPr>
            <w:tcW w:w="2570" w:type="dxa"/>
            <w:tcBorders>
              <w:top w:val="nil"/>
              <w:left w:val="nil"/>
              <w:right w:val="nil"/>
            </w:tcBorders>
            <w:shd w:val="clear" w:color="auto" w:fill="auto"/>
            <w:noWrap/>
            <w:vAlign w:val="bottom"/>
            <w:hideMark/>
          </w:tcPr>
          <w:p w14:paraId="42729677" w14:textId="77777777" w:rsidR="00845BBA" w:rsidRPr="000C4CD0" w:rsidRDefault="00845BBA" w:rsidP="00387FEB">
            <w:pPr>
              <w:spacing w:after="0" w:line="240" w:lineRule="auto"/>
              <w:jc w:val="center"/>
              <w:rPr>
                <w:rFonts w:ascii="Times New Roman" w:eastAsia="Times New Roman" w:hAnsi="Times New Roman" w:cs="Times New Roman"/>
                <w:bCs/>
                <w:color w:val="000000"/>
              </w:rPr>
            </w:pPr>
            <w:r w:rsidRPr="000C4CD0">
              <w:rPr>
                <w:rFonts w:ascii="Times New Roman" w:eastAsia="Times New Roman" w:hAnsi="Times New Roman" w:cs="Times New Roman"/>
                <w:bCs/>
                <w:color w:val="000000"/>
              </w:rPr>
              <w:t>B</w:t>
            </w:r>
          </w:p>
        </w:tc>
        <w:tc>
          <w:tcPr>
            <w:tcW w:w="1020" w:type="dxa"/>
            <w:tcBorders>
              <w:top w:val="nil"/>
              <w:left w:val="nil"/>
              <w:right w:val="nil"/>
            </w:tcBorders>
            <w:shd w:val="clear" w:color="auto" w:fill="auto"/>
            <w:noWrap/>
            <w:vAlign w:val="bottom"/>
            <w:hideMark/>
          </w:tcPr>
          <w:p w14:paraId="41032401"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3</w:t>
            </w:r>
          </w:p>
        </w:tc>
        <w:tc>
          <w:tcPr>
            <w:tcW w:w="1020" w:type="dxa"/>
            <w:tcBorders>
              <w:top w:val="nil"/>
              <w:left w:val="nil"/>
              <w:right w:val="nil"/>
            </w:tcBorders>
            <w:shd w:val="clear" w:color="auto" w:fill="auto"/>
            <w:noWrap/>
            <w:vAlign w:val="bottom"/>
            <w:hideMark/>
          </w:tcPr>
          <w:p w14:paraId="30890CDC"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2</w:t>
            </w:r>
          </w:p>
        </w:tc>
        <w:tc>
          <w:tcPr>
            <w:tcW w:w="1020" w:type="dxa"/>
            <w:tcBorders>
              <w:top w:val="nil"/>
              <w:left w:val="nil"/>
              <w:right w:val="nil"/>
            </w:tcBorders>
            <w:shd w:val="clear" w:color="auto" w:fill="auto"/>
            <w:noWrap/>
            <w:vAlign w:val="bottom"/>
            <w:hideMark/>
          </w:tcPr>
          <w:p w14:paraId="14BF2D3D"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0</w:t>
            </w:r>
          </w:p>
        </w:tc>
        <w:tc>
          <w:tcPr>
            <w:tcW w:w="1020" w:type="dxa"/>
            <w:tcBorders>
              <w:top w:val="nil"/>
              <w:left w:val="nil"/>
              <w:right w:val="nil"/>
            </w:tcBorders>
            <w:shd w:val="clear" w:color="auto" w:fill="auto"/>
            <w:noWrap/>
            <w:vAlign w:val="bottom"/>
            <w:hideMark/>
          </w:tcPr>
          <w:p w14:paraId="0537446C"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5</w:t>
            </w:r>
          </w:p>
        </w:tc>
        <w:tc>
          <w:tcPr>
            <w:tcW w:w="1020" w:type="dxa"/>
            <w:tcBorders>
              <w:top w:val="nil"/>
              <w:left w:val="nil"/>
              <w:right w:val="nil"/>
            </w:tcBorders>
            <w:shd w:val="clear" w:color="auto" w:fill="auto"/>
            <w:noWrap/>
            <w:vAlign w:val="bottom"/>
            <w:hideMark/>
          </w:tcPr>
          <w:p w14:paraId="34488CBF"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3</w:t>
            </w:r>
          </w:p>
        </w:tc>
        <w:tc>
          <w:tcPr>
            <w:tcW w:w="1020" w:type="dxa"/>
            <w:tcBorders>
              <w:top w:val="nil"/>
              <w:left w:val="nil"/>
              <w:right w:val="nil"/>
            </w:tcBorders>
            <w:shd w:val="clear" w:color="auto" w:fill="auto"/>
            <w:noWrap/>
            <w:vAlign w:val="bottom"/>
            <w:hideMark/>
          </w:tcPr>
          <w:p w14:paraId="5E4C46FD"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3</w:t>
            </w:r>
          </w:p>
        </w:tc>
        <w:tc>
          <w:tcPr>
            <w:tcW w:w="1121" w:type="dxa"/>
            <w:tcBorders>
              <w:top w:val="nil"/>
              <w:left w:val="nil"/>
              <w:right w:val="nil"/>
            </w:tcBorders>
            <w:shd w:val="clear" w:color="auto" w:fill="auto"/>
            <w:noWrap/>
            <w:vAlign w:val="bottom"/>
            <w:hideMark/>
          </w:tcPr>
          <w:p w14:paraId="2F4C3C51"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5</w:t>
            </w:r>
          </w:p>
        </w:tc>
      </w:tr>
      <w:tr w:rsidR="00845BBA" w:rsidRPr="000C4CD0" w14:paraId="7764F886" w14:textId="77777777" w:rsidTr="0012696E">
        <w:trPr>
          <w:trHeight w:val="315"/>
          <w:jc w:val="center"/>
        </w:trPr>
        <w:tc>
          <w:tcPr>
            <w:tcW w:w="2570" w:type="dxa"/>
            <w:tcBorders>
              <w:top w:val="nil"/>
              <w:left w:val="nil"/>
              <w:right w:val="nil"/>
            </w:tcBorders>
            <w:shd w:val="clear" w:color="auto" w:fill="auto"/>
            <w:noWrap/>
            <w:vAlign w:val="bottom"/>
            <w:hideMark/>
          </w:tcPr>
          <w:p w14:paraId="546AAF35" w14:textId="77777777" w:rsidR="00845BBA" w:rsidRPr="000C4CD0" w:rsidRDefault="00845BBA" w:rsidP="00387FEB">
            <w:pPr>
              <w:spacing w:after="0" w:line="240" w:lineRule="auto"/>
              <w:jc w:val="center"/>
              <w:rPr>
                <w:rFonts w:ascii="Times New Roman" w:eastAsia="Times New Roman" w:hAnsi="Times New Roman" w:cs="Times New Roman"/>
                <w:bCs/>
                <w:color w:val="000000"/>
              </w:rPr>
            </w:pPr>
            <w:r w:rsidRPr="000C4CD0">
              <w:rPr>
                <w:rFonts w:ascii="Times New Roman" w:eastAsia="Times New Roman" w:hAnsi="Times New Roman" w:cs="Times New Roman"/>
                <w:bCs/>
                <w:color w:val="000000"/>
              </w:rPr>
              <w:t>C</w:t>
            </w:r>
          </w:p>
        </w:tc>
        <w:tc>
          <w:tcPr>
            <w:tcW w:w="1020" w:type="dxa"/>
            <w:tcBorders>
              <w:top w:val="nil"/>
              <w:left w:val="nil"/>
              <w:right w:val="nil"/>
            </w:tcBorders>
            <w:shd w:val="clear" w:color="auto" w:fill="auto"/>
            <w:noWrap/>
            <w:vAlign w:val="bottom"/>
            <w:hideMark/>
          </w:tcPr>
          <w:p w14:paraId="1BD060F1"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0</w:t>
            </w:r>
          </w:p>
        </w:tc>
        <w:tc>
          <w:tcPr>
            <w:tcW w:w="1020" w:type="dxa"/>
            <w:tcBorders>
              <w:top w:val="nil"/>
              <w:left w:val="nil"/>
              <w:right w:val="nil"/>
            </w:tcBorders>
            <w:shd w:val="clear" w:color="auto" w:fill="auto"/>
            <w:noWrap/>
            <w:vAlign w:val="bottom"/>
            <w:hideMark/>
          </w:tcPr>
          <w:p w14:paraId="2423CB7A"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0</w:t>
            </w:r>
          </w:p>
        </w:tc>
        <w:tc>
          <w:tcPr>
            <w:tcW w:w="1020" w:type="dxa"/>
            <w:tcBorders>
              <w:top w:val="nil"/>
              <w:left w:val="nil"/>
              <w:right w:val="nil"/>
            </w:tcBorders>
            <w:shd w:val="clear" w:color="auto" w:fill="auto"/>
            <w:noWrap/>
            <w:vAlign w:val="bottom"/>
            <w:hideMark/>
          </w:tcPr>
          <w:p w14:paraId="0C41DD91"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0</w:t>
            </w:r>
          </w:p>
        </w:tc>
        <w:tc>
          <w:tcPr>
            <w:tcW w:w="1020" w:type="dxa"/>
            <w:tcBorders>
              <w:top w:val="nil"/>
              <w:left w:val="nil"/>
              <w:right w:val="nil"/>
            </w:tcBorders>
            <w:shd w:val="clear" w:color="auto" w:fill="auto"/>
            <w:noWrap/>
            <w:vAlign w:val="bottom"/>
            <w:hideMark/>
          </w:tcPr>
          <w:p w14:paraId="55DDB9C6"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0</w:t>
            </w:r>
          </w:p>
        </w:tc>
        <w:tc>
          <w:tcPr>
            <w:tcW w:w="1020" w:type="dxa"/>
            <w:tcBorders>
              <w:top w:val="nil"/>
              <w:left w:val="nil"/>
              <w:right w:val="nil"/>
            </w:tcBorders>
            <w:shd w:val="clear" w:color="auto" w:fill="auto"/>
            <w:noWrap/>
            <w:vAlign w:val="bottom"/>
            <w:hideMark/>
          </w:tcPr>
          <w:p w14:paraId="362CC050"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0</w:t>
            </w:r>
          </w:p>
        </w:tc>
        <w:tc>
          <w:tcPr>
            <w:tcW w:w="1020" w:type="dxa"/>
            <w:tcBorders>
              <w:top w:val="nil"/>
              <w:left w:val="nil"/>
              <w:right w:val="nil"/>
            </w:tcBorders>
            <w:shd w:val="clear" w:color="auto" w:fill="auto"/>
            <w:noWrap/>
            <w:vAlign w:val="bottom"/>
            <w:hideMark/>
          </w:tcPr>
          <w:p w14:paraId="6DDA9FAA"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0</w:t>
            </w:r>
          </w:p>
        </w:tc>
        <w:tc>
          <w:tcPr>
            <w:tcW w:w="1121" w:type="dxa"/>
            <w:tcBorders>
              <w:top w:val="nil"/>
              <w:left w:val="nil"/>
              <w:right w:val="nil"/>
            </w:tcBorders>
            <w:shd w:val="clear" w:color="auto" w:fill="auto"/>
            <w:noWrap/>
            <w:vAlign w:val="bottom"/>
            <w:hideMark/>
          </w:tcPr>
          <w:p w14:paraId="772C3E75"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0</w:t>
            </w:r>
          </w:p>
        </w:tc>
      </w:tr>
      <w:tr w:rsidR="00845BBA" w:rsidRPr="000C4CD0" w14:paraId="4B5817E1" w14:textId="77777777" w:rsidTr="0012696E">
        <w:trPr>
          <w:trHeight w:val="454"/>
          <w:jc w:val="center"/>
        </w:trPr>
        <w:tc>
          <w:tcPr>
            <w:tcW w:w="9811" w:type="dxa"/>
            <w:gridSpan w:val="8"/>
            <w:tcBorders>
              <w:left w:val="nil"/>
              <w:bottom w:val="single" w:sz="4" w:space="0" w:color="auto"/>
              <w:right w:val="nil"/>
            </w:tcBorders>
            <w:shd w:val="clear" w:color="auto" w:fill="auto"/>
            <w:noWrap/>
            <w:vAlign w:val="center"/>
            <w:hideMark/>
          </w:tcPr>
          <w:p w14:paraId="146D9775" w14:textId="375E1EE2" w:rsidR="00845BBA" w:rsidRPr="002904D1" w:rsidRDefault="009876E0" w:rsidP="00387FEB">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Rank 18 to 72 per </w:t>
            </w:r>
            <w:proofErr w:type="spellStart"/>
            <w:r>
              <w:rPr>
                <w:rFonts w:ascii="Times New Roman" w:eastAsia="Times New Roman" w:hAnsi="Times New Roman" w:cs="Times New Roman"/>
                <w:b/>
                <w:bCs/>
                <w:color w:val="000000"/>
              </w:rPr>
              <w:t>CLh</w:t>
            </w:r>
            <w:proofErr w:type="spellEnd"/>
            <w:r>
              <w:rPr>
                <w:rFonts w:ascii="Times New Roman" w:eastAsia="Times New Roman" w:hAnsi="Times New Roman" w:cs="Times New Roman"/>
                <w:b/>
                <w:bCs/>
                <w:color w:val="000000"/>
              </w:rPr>
              <w:t>, Output: S</w:t>
            </w:r>
            <w:r w:rsidR="00845BBA" w:rsidRPr="002904D1">
              <w:rPr>
                <w:rFonts w:ascii="Times New Roman" w:eastAsia="Times New Roman" w:hAnsi="Times New Roman" w:cs="Times New Roman"/>
                <w:b/>
                <w:bCs/>
                <w:color w:val="000000"/>
              </w:rPr>
              <w:t xml:space="preserve">hare </w:t>
            </w:r>
            <w:r w:rsidR="00E6612C" w:rsidRPr="002904D1">
              <w:rPr>
                <w:rFonts w:ascii="Times New Roman" w:eastAsia="Times New Roman" w:hAnsi="Times New Roman" w:cs="Times New Roman"/>
                <w:b/>
                <w:bCs/>
                <w:color w:val="000000"/>
              </w:rPr>
              <w:t>and</w:t>
            </w:r>
            <w:r>
              <w:rPr>
                <w:rFonts w:ascii="Times New Roman" w:eastAsia="Times New Roman" w:hAnsi="Times New Roman" w:cs="Times New Roman"/>
                <w:b/>
                <w:bCs/>
                <w:color w:val="000000"/>
              </w:rPr>
              <w:t xml:space="preserve"> Size Adjusted P</w:t>
            </w:r>
            <w:r w:rsidR="00845BBA" w:rsidRPr="002904D1">
              <w:rPr>
                <w:rFonts w:ascii="Times New Roman" w:eastAsia="Times New Roman" w:hAnsi="Times New Roman" w:cs="Times New Roman"/>
                <w:b/>
                <w:bCs/>
                <w:color w:val="000000"/>
              </w:rPr>
              <w:t>ages</w:t>
            </w:r>
          </w:p>
        </w:tc>
      </w:tr>
      <w:tr w:rsidR="00845BBA" w:rsidRPr="000C4CD0" w14:paraId="16BE0250" w14:textId="77777777" w:rsidTr="0012696E">
        <w:trPr>
          <w:trHeight w:val="454"/>
          <w:jc w:val="center"/>
        </w:trPr>
        <w:tc>
          <w:tcPr>
            <w:tcW w:w="2570" w:type="dxa"/>
            <w:tcBorders>
              <w:top w:val="single" w:sz="4" w:space="0" w:color="auto"/>
              <w:left w:val="nil"/>
              <w:bottom w:val="single" w:sz="4" w:space="0" w:color="auto"/>
              <w:right w:val="nil"/>
            </w:tcBorders>
            <w:shd w:val="clear" w:color="auto" w:fill="auto"/>
            <w:noWrap/>
            <w:vAlign w:val="center"/>
            <w:hideMark/>
          </w:tcPr>
          <w:p w14:paraId="0D98EB4F" w14:textId="77777777" w:rsidR="00845BBA" w:rsidRPr="000C4CD0" w:rsidRDefault="00845BBA" w:rsidP="00387FEB">
            <w:pPr>
              <w:spacing w:after="0" w:line="240" w:lineRule="auto"/>
              <w:jc w:val="center"/>
              <w:rPr>
                <w:rFonts w:ascii="Times New Roman" w:eastAsia="Times New Roman" w:hAnsi="Times New Roman" w:cs="Times New Roman"/>
                <w:bCs/>
                <w:color w:val="000000"/>
              </w:rPr>
            </w:pPr>
            <w:r w:rsidRPr="000C4CD0">
              <w:rPr>
                <w:rFonts w:ascii="Times New Roman" w:eastAsia="Times New Roman" w:hAnsi="Times New Roman" w:cs="Times New Roman"/>
                <w:bCs/>
                <w:color w:val="000000"/>
              </w:rPr>
              <w:t>PBRF Gr</w:t>
            </w:r>
          </w:p>
        </w:tc>
        <w:tc>
          <w:tcPr>
            <w:tcW w:w="1020" w:type="dxa"/>
            <w:tcBorders>
              <w:top w:val="single" w:sz="4" w:space="0" w:color="auto"/>
              <w:left w:val="nil"/>
              <w:bottom w:val="single" w:sz="4" w:space="0" w:color="auto"/>
              <w:right w:val="nil"/>
            </w:tcBorders>
            <w:shd w:val="clear" w:color="auto" w:fill="auto"/>
            <w:noWrap/>
            <w:vAlign w:val="center"/>
            <w:hideMark/>
          </w:tcPr>
          <w:p w14:paraId="3E87DDA3" w14:textId="77777777" w:rsidR="00845BBA" w:rsidRPr="000C4CD0" w:rsidRDefault="00845BBA" w:rsidP="00FA51D3">
            <w:pPr>
              <w:spacing w:after="0" w:line="240" w:lineRule="auto"/>
              <w:jc w:val="center"/>
              <w:rPr>
                <w:rFonts w:ascii="Times New Roman" w:eastAsia="Times New Roman" w:hAnsi="Times New Roman" w:cs="Times New Roman"/>
                <w:bCs/>
                <w:color w:val="000000"/>
              </w:rPr>
            </w:pPr>
            <w:r w:rsidRPr="000C4CD0">
              <w:rPr>
                <w:rFonts w:ascii="Times New Roman" w:eastAsia="Times New Roman" w:hAnsi="Times New Roman" w:cs="Times New Roman"/>
                <w:bCs/>
                <w:color w:val="000000"/>
              </w:rPr>
              <w:t>AVJWS</w:t>
            </w:r>
          </w:p>
        </w:tc>
        <w:tc>
          <w:tcPr>
            <w:tcW w:w="1020" w:type="dxa"/>
            <w:tcBorders>
              <w:top w:val="single" w:sz="4" w:space="0" w:color="auto"/>
              <w:left w:val="nil"/>
              <w:bottom w:val="single" w:sz="4" w:space="0" w:color="auto"/>
              <w:right w:val="nil"/>
            </w:tcBorders>
            <w:shd w:val="clear" w:color="auto" w:fill="auto"/>
            <w:noWrap/>
            <w:vAlign w:val="center"/>
            <w:hideMark/>
          </w:tcPr>
          <w:p w14:paraId="7D4E88EF" w14:textId="77777777" w:rsidR="00845BBA" w:rsidRPr="000C4CD0" w:rsidRDefault="00845BBA" w:rsidP="00FA51D3">
            <w:pPr>
              <w:spacing w:after="0" w:line="240" w:lineRule="auto"/>
              <w:jc w:val="center"/>
              <w:rPr>
                <w:rFonts w:ascii="Times New Roman" w:eastAsia="Times New Roman" w:hAnsi="Times New Roman" w:cs="Times New Roman"/>
                <w:bCs/>
                <w:color w:val="000000"/>
              </w:rPr>
            </w:pPr>
            <w:proofErr w:type="spellStart"/>
            <w:r w:rsidRPr="000C4CD0">
              <w:rPr>
                <w:rFonts w:ascii="Times New Roman" w:eastAsia="Times New Roman" w:hAnsi="Times New Roman" w:cs="Times New Roman"/>
                <w:bCs/>
                <w:color w:val="000000"/>
              </w:rPr>
              <w:t>CLm</w:t>
            </w:r>
            <w:proofErr w:type="spellEnd"/>
          </w:p>
        </w:tc>
        <w:tc>
          <w:tcPr>
            <w:tcW w:w="1020" w:type="dxa"/>
            <w:tcBorders>
              <w:top w:val="single" w:sz="4" w:space="0" w:color="auto"/>
              <w:left w:val="nil"/>
              <w:bottom w:val="single" w:sz="4" w:space="0" w:color="auto"/>
              <w:right w:val="nil"/>
            </w:tcBorders>
            <w:shd w:val="clear" w:color="auto" w:fill="auto"/>
            <w:noWrap/>
            <w:vAlign w:val="center"/>
            <w:hideMark/>
          </w:tcPr>
          <w:p w14:paraId="48E8270B" w14:textId="77777777" w:rsidR="00845BBA" w:rsidRPr="000C4CD0" w:rsidRDefault="00845BBA" w:rsidP="00FA51D3">
            <w:pPr>
              <w:spacing w:after="0" w:line="240" w:lineRule="auto"/>
              <w:jc w:val="center"/>
              <w:rPr>
                <w:rFonts w:ascii="Times New Roman" w:eastAsia="Times New Roman" w:hAnsi="Times New Roman" w:cs="Times New Roman"/>
                <w:bCs/>
                <w:color w:val="000000"/>
              </w:rPr>
            </w:pPr>
            <w:proofErr w:type="spellStart"/>
            <w:r w:rsidRPr="000C4CD0">
              <w:rPr>
                <w:rFonts w:ascii="Times New Roman" w:eastAsia="Times New Roman" w:hAnsi="Times New Roman" w:cs="Times New Roman"/>
                <w:bCs/>
                <w:color w:val="000000"/>
              </w:rPr>
              <w:t>CLh</w:t>
            </w:r>
            <w:proofErr w:type="spellEnd"/>
          </w:p>
        </w:tc>
        <w:tc>
          <w:tcPr>
            <w:tcW w:w="1020" w:type="dxa"/>
            <w:tcBorders>
              <w:top w:val="single" w:sz="4" w:space="0" w:color="auto"/>
              <w:left w:val="nil"/>
              <w:bottom w:val="single" w:sz="4" w:space="0" w:color="auto"/>
              <w:right w:val="nil"/>
            </w:tcBorders>
            <w:shd w:val="clear" w:color="auto" w:fill="auto"/>
            <w:noWrap/>
            <w:vAlign w:val="center"/>
            <w:hideMark/>
          </w:tcPr>
          <w:p w14:paraId="0D2EB255" w14:textId="77777777" w:rsidR="00845BBA" w:rsidRPr="000C4CD0" w:rsidRDefault="00845BBA" w:rsidP="00FA51D3">
            <w:pPr>
              <w:spacing w:after="0" w:line="240" w:lineRule="auto"/>
              <w:jc w:val="center"/>
              <w:rPr>
                <w:rFonts w:ascii="Times New Roman" w:eastAsia="Times New Roman" w:hAnsi="Times New Roman" w:cs="Times New Roman"/>
                <w:bCs/>
                <w:color w:val="000000"/>
              </w:rPr>
            </w:pPr>
            <w:r w:rsidRPr="000C4CD0">
              <w:rPr>
                <w:rFonts w:ascii="Times New Roman" w:eastAsia="Times New Roman" w:hAnsi="Times New Roman" w:cs="Times New Roman"/>
                <w:bCs/>
                <w:color w:val="000000"/>
              </w:rPr>
              <w:t>ABDC</w:t>
            </w:r>
          </w:p>
        </w:tc>
        <w:tc>
          <w:tcPr>
            <w:tcW w:w="1020" w:type="dxa"/>
            <w:tcBorders>
              <w:top w:val="single" w:sz="4" w:space="0" w:color="auto"/>
              <w:left w:val="nil"/>
              <w:bottom w:val="single" w:sz="4" w:space="0" w:color="auto"/>
              <w:right w:val="nil"/>
            </w:tcBorders>
            <w:shd w:val="clear" w:color="auto" w:fill="auto"/>
            <w:noWrap/>
            <w:vAlign w:val="center"/>
            <w:hideMark/>
          </w:tcPr>
          <w:p w14:paraId="537C187B" w14:textId="77777777" w:rsidR="00845BBA" w:rsidRPr="000C4CD0" w:rsidRDefault="00845BBA" w:rsidP="00FA51D3">
            <w:pPr>
              <w:spacing w:after="0" w:line="240" w:lineRule="auto"/>
              <w:jc w:val="center"/>
              <w:rPr>
                <w:rFonts w:ascii="Times New Roman" w:eastAsia="Times New Roman" w:hAnsi="Times New Roman" w:cs="Times New Roman"/>
                <w:bCs/>
                <w:color w:val="000000"/>
              </w:rPr>
            </w:pPr>
            <w:proofErr w:type="spellStart"/>
            <w:r w:rsidRPr="000C4CD0">
              <w:rPr>
                <w:rFonts w:ascii="Times New Roman" w:eastAsia="Times New Roman" w:hAnsi="Times New Roman" w:cs="Times New Roman"/>
                <w:bCs/>
                <w:color w:val="000000"/>
              </w:rPr>
              <w:t>Rsif</w:t>
            </w:r>
            <w:proofErr w:type="spellEnd"/>
          </w:p>
        </w:tc>
        <w:tc>
          <w:tcPr>
            <w:tcW w:w="1020" w:type="dxa"/>
            <w:tcBorders>
              <w:top w:val="single" w:sz="4" w:space="0" w:color="auto"/>
              <w:left w:val="nil"/>
              <w:bottom w:val="single" w:sz="4" w:space="0" w:color="auto"/>
              <w:right w:val="nil"/>
            </w:tcBorders>
            <w:shd w:val="clear" w:color="auto" w:fill="auto"/>
            <w:noWrap/>
            <w:vAlign w:val="center"/>
            <w:hideMark/>
          </w:tcPr>
          <w:p w14:paraId="5AC409F6" w14:textId="77777777" w:rsidR="00845BBA" w:rsidRPr="000C4CD0" w:rsidRDefault="00845BBA" w:rsidP="00FA51D3">
            <w:pPr>
              <w:spacing w:after="0" w:line="240" w:lineRule="auto"/>
              <w:jc w:val="center"/>
              <w:rPr>
                <w:rFonts w:ascii="Times New Roman" w:eastAsia="Times New Roman" w:hAnsi="Times New Roman" w:cs="Times New Roman"/>
                <w:bCs/>
                <w:color w:val="000000"/>
              </w:rPr>
            </w:pPr>
            <w:proofErr w:type="spellStart"/>
            <w:r w:rsidRPr="000C4CD0">
              <w:rPr>
                <w:rFonts w:ascii="Times New Roman" w:eastAsia="Times New Roman" w:hAnsi="Times New Roman" w:cs="Times New Roman"/>
                <w:bCs/>
                <w:color w:val="000000"/>
              </w:rPr>
              <w:t>Rrec</w:t>
            </w:r>
            <w:proofErr w:type="spellEnd"/>
          </w:p>
        </w:tc>
        <w:tc>
          <w:tcPr>
            <w:tcW w:w="1121" w:type="dxa"/>
            <w:tcBorders>
              <w:top w:val="single" w:sz="4" w:space="0" w:color="auto"/>
              <w:left w:val="nil"/>
              <w:bottom w:val="single" w:sz="4" w:space="0" w:color="auto"/>
              <w:right w:val="nil"/>
            </w:tcBorders>
            <w:shd w:val="clear" w:color="auto" w:fill="auto"/>
            <w:noWrap/>
            <w:vAlign w:val="center"/>
            <w:hideMark/>
          </w:tcPr>
          <w:p w14:paraId="2DBF160F" w14:textId="77777777" w:rsidR="00845BBA" w:rsidRPr="000C4CD0" w:rsidRDefault="00845BBA" w:rsidP="00FA51D3">
            <w:pPr>
              <w:spacing w:after="0" w:line="240" w:lineRule="auto"/>
              <w:jc w:val="center"/>
              <w:rPr>
                <w:rFonts w:ascii="Times New Roman" w:eastAsia="Times New Roman" w:hAnsi="Times New Roman" w:cs="Times New Roman"/>
                <w:bCs/>
                <w:color w:val="000000"/>
              </w:rPr>
            </w:pPr>
            <w:r w:rsidRPr="000C4CD0">
              <w:rPr>
                <w:rFonts w:ascii="Times New Roman" w:eastAsia="Times New Roman" w:hAnsi="Times New Roman" w:cs="Times New Roman"/>
                <w:bCs/>
                <w:color w:val="000000"/>
              </w:rPr>
              <w:t>NZABDC</w:t>
            </w:r>
          </w:p>
        </w:tc>
      </w:tr>
      <w:tr w:rsidR="00845BBA" w:rsidRPr="000C4CD0" w14:paraId="3A4263EC" w14:textId="77777777" w:rsidTr="0012696E">
        <w:trPr>
          <w:trHeight w:val="315"/>
          <w:jc w:val="center"/>
        </w:trPr>
        <w:tc>
          <w:tcPr>
            <w:tcW w:w="2570" w:type="dxa"/>
            <w:tcBorders>
              <w:top w:val="nil"/>
              <w:left w:val="nil"/>
              <w:bottom w:val="nil"/>
              <w:right w:val="nil"/>
            </w:tcBorders>
            <w:shd w:val="clear" w:color="auto" w:fill="auto"/>
            <w:noWrap/>
            <w:vAlign w:val="bottom"/>
            <w:hideMark/>
          </w:tcPr>
          <w:p w14:paraId="0B0ABB6A" w14:textId="77777777" w:rsidR="00845BBA" w:rsidRPr="000C4CD0" w:rsidRDefault="00845BBA" w:rsidP="00387FEB">
            <w:pPr>
              <w:spacing w:after="0" w:line="240" w:lineRule="auto"/>
              <w:jc w:val="center"/>
              <w:rPr>
                <w:rFonts w:ascii="Times New Roman" w:eastAsia="Times New Roman" w:hAnsi="Times New Roman" w:cs="Times New Roman"/>
                <w:bCs/>
                <w:color w:val="000000"/>
              </w:rPr>
            </w:pPr>
            <w:r w:rsidRPr="000C4CD0">
              <w:rPr>
                <w:rFonts w:ascii="Times New Roman" w:eastAsia="Times New Roman" w:hAnsi="Times New Roman" w:cs="Times New Roman"/>
                <w:bCs/>
                <w:color w:val="000000"/>
              </w:rPr>
              <w:t>A</w:t>
            </w:r>
          </w:p>
        </w:tc>
        <w:tc>
          <w:tcPr>
            <w:tcW w:w="1020" w:type="dxa"/>
            <w:tcBorders>
              <w:top w:val="nil"/>
              <w:left w:val="nil"/>
              <w:bottom w:val="nil"/>
              <w:right w:val="nil"/>
            </w:tcBorders>
            <w:shd w:val="clear" w:color="auto" w:fill="auto"/>
            <w:noWrap/>
            <w:vAlign w:val="bottom"/>
            <w:hideMark/>
          </w:tcPr>
          <w:p w14:paraId="35C47B65"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3</w:t>
            </w:r>
          </w:p>
        </w:tc>
        <w:tc>
          <w:tcPr>
            <w:tcW w:w="1020" w:type="dxa"/>
            <w:tcBorders>
              <w:top w:val="nil"/>
              <w:left w:val="nil"/>
              <w:bottom w:val="nil"/>
              <w:right w:val="nil"/>
            </w:tcBorders>
            <w:shd w:val="clear" w:color="auto" w:fill="auto"/>
            <w:noWrap/>
            <w:vAlign w:val="bottom"/>
            <w:hideMark/>
          </w:tcPr>
          <w:p w14:paraId="4DBE99C6"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2</w:t>
            </w:r>
          </w:p>
        </w:tc>
        <w:tc>
          <w:tcPr>
            <w:tcW w:w="1020" w:type="dxa"/>
            <w:tcBorders>
              <w:top w:val="nil"/>
              <w:left w:val="nil"/>
              <w:bottom w:val="nil"/>
              <w:right w:val="nil"/>
            </w:tcBorders>
            <w:shd w:val="clear" w:color="auto" w:fill="auto"/>
            <w:noWrap/>
            <w:vAlign w:val="bottom"/>
            <w:hideMark/>
          </w:tcPr>
          <w:p w14:paraId="241E10BB"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0</w:t>
            </w:r>
          </w:p>
        </w:tc>
        <w:tc>
          <w:tcPr>
            <w:tcW w:w="1020" w:type="dxa"/>
            <w:tcBorders>
              <w:top w:val="nil"/>
              <w:left w:val="nil"/>
              <w:bottom w:val="nil"/>
              <w:right w:val="nil"/>
            </w:tcBorders>
            <w:shd w:val="clear" w:color="auto" w:fill="auto"/>
            <w:noWrap/>
            <w:vAlign w:val="bottom"/>
            <w:hideMark/>
          </w:tcPr>
          <w:p w14:paraId="30749A92"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5</w:t>
            </w:r>
          </w:p>
        </w:tc>
        <w:tc>
          <w:tcPr>
            <w:tcW w:w="1020" w:type="dxa"/>
            <w:tcBorders>
              <w:top w:val="nil"/>
              <w:left w:val="nil"/>
              <w:bottom w:val="nil"/>
              <w:right w:val="nil"/>
            </w:tcBorders>
            <w:shd w:val="clear" w:color="auto" w:fill="auto"/>
            <w:noWrap/>
            <w:vAlign w:val="bottom"/>
            <w:hideMark/>
          </w:tcPr>
          <w:p w14:paraId="045A9534"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3</w:t>
            </w:r>
          </w:p>
        </w:tc>
        <w:tc>
          <w:tcPr>
            <w:tcW w:w="1020" w:type="dxa"/>
            <w:tcBorders>
              <w:top w:val="nil"/>
              <w:left w:val="nil"/>
              <w:bottom w:val="nil"/>
              <w:right w:val="nil"/>
            </w:tcBorders>
            <w:shd w:val="clear" w:color="auto" w:fill="auto"/>
            <w:noWrap/>
            <w:vAlign w:val="bottom"/>
            <w:hideMark/>
          </w:tcPr>
          <w:p w14:paraId="221AAE47"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3</w:t>
            </w:r>
          </w:p>
        </w:tc>
        <w:tc>
          <w:tcPr>
            <w:tcW w:w="1121" w:type="dxa"/>
            <w:tcBorders>
              <w:top w:val="nil"/>
              <w:left w:val="nil"/>
              <w:bottom w:val="nil"/>
              <w:right w:val="nil"/>
            </w:tcBorders>
            <w:shd w:val="clear" w:color="auto" w:fill="auto"/>
            <w:noWrap/>
            <w:vAlign w:val="bottom"/>
            <w:hideMark/>
          </w:tcPr>
          <w:p w14:paraId="749CB115"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5</w:t>
            </w:r>
          </w:p>
        </w:tc>
      </w:tr>
      <w:tr w:rsidR="00845BBA" w:rsidRPr="000C4CD0" w14:paraId="5D815265" w14:textId="77777777" w:rsidTr="0012696E">
        <w:trPr>
          <w:trHeight w:val="315"/>
          <w:jc w:val="center"/>
        </w:trPr>
        <w:tc>
          <w:tcPr>
            <w:tcW w:w="2570" w:type="dxa"/>
            <w:tcBorders>
              <w:top w:val="nil"/>
              <w:left w:val="nil"/>
              <w:right w:val="nil"/>
            </w:tcBorders>
            <w:shd w:val="clear" w:color="auto" w:fill="auto"/>
            <w:noWrap/>
            <w:vAlign w:val="bottom"/>
            <w:hideMark/>
          </w:tcPr>
          <w:p w14:paraId="200020CA" w14:textId="77777777" w:rsidR="00845BBA" w:rsidRPr="000C4CD0" w:rsidRDefault="00845BBA" w:rsidP="00387FEB">
            <w:pPr>
              <w:spacing w:after="0" w:line="240" w:lineRule="auto"/>
              <w:jc w:val="center"/>
              <w:rPr>
                <w:rFonts w:ascii="Times New Roman" w:eastAsia="Times New Roman" w:hAnsi="Times New Roman" w:cs="Times New Roman"/>
                <w:bCs/>
                <w:color w:val="000000"/>
              </w:rPr>
            </w:pPr>
            <w:r w:rsidRPr="000C4CD0">
              <w:rPr>
                <w:rFonts w:ascii="Times New Roman" w:eastAsia="Times New Roman" w:hAnsi="Times New Roman" w:cs="Times New Roman"/>
                <w:bCs/>
                <w:color w:val="000000"/>
              </w:rPr>
              <w:t>B</w:t>
            </w:r>
          </w:p>
        </w:tc>
        <w:tc>
          <w:tcPr>
            <w:tcW w:w="1020" w:type="dxa"/>
            <w:tcBorders>
              <w:top w:val="nil"/>
              <w:left w:val="nil"/>
              <w:right w:val="nil"/>
            </w:tcBorders>
            <w:shd w:val="clear" w:color="auto" w:fill="auto"/>
            <w:noWrap/>
            <w:vAlign w:val="bottom"/>
            <w:hideMark/>
          </w:tcPr>
          <w:p w14:paraId="3FF6A6DF"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47</w:t>
            </w:r>
          </w:p>
        </w:tc>
        <w:tc>
          <w:tcPr>
            <w:tcW w:w="1020" w:type="dxa"/>
            <w:tcBorders>
              <w:top w:val="nil"/>
              <w:left w:val="nil"/>
              <w:right w:val="nil"/>
            </w:tcBorders>
            <w:shd w:val="clear" w:color="auto" w:fill="auto"/>
            <w:noWrap/>
            <w:vAlign w:val="bottom"/>
            <w:hideMark/>
          </w:tcPr>
          <w:p w14:paraId="746C8968"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47</w:t>
            </w:r>
          </w:p>
        </w:tc>
        <w:tc>
          <w:tcPr>
            <w:tcW w:w="1020" w:type="dxa"/>
            <w:tcBorders>
              <w:top w:val="nil"/>
              <w:left w:val="nil"/>
              <w:right w:val="nil"/>
            </w:tcBorders>
            <w:shd w:val="clear" w:color="auto" w:fill="auto"/>
            <w:noWrap/>
            <w:vAlign w:val="bottom"/>
            <w:hideMark/>
          </w:tcPr>
          <w:p w14:paraId="02E0572B"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55</w:t>
            </w:r>
          </w:p>
        </w:tc>
        <w:tc>
          <w:tcPr>
            <w:tcW w:w="1020" w:type="dxa"/>
            <w:tcBorders>
              <w:top w:val="nil"/>
              <w:left w:val="nil"/>
              <w:right w:val="nil"/>
            </w:tcBorders>
            <w:shd w:val="clear" w:color="auto" w:fill="auto"/>
            <w:noWrap/>
            <w:vAlign w:val="bottom"/>
            <w:hideMark/>
          </w:tcPr>
          <w:p w14:paraId="737CADD0"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38</w:t>
            </w:r>
          </w:p>
        </w:tc>
        <w:tc>
          <w:tcPr>
            <w:tcW w:w="1020" w:type="dxa"/>
            <w:tcBorders>
              <w:top w:val="nil"/>
              <w:left w:val="nil"/>
              <w:right w:val="nil"/>
            </w:tcBorders>
            <w:shd w:val="clear" w:color="auto" w:fill="auto"/>
            <w:noWrap/>
            <w:vAlign w:val="bottom"/>
            <w:hideMark/>
          </w:tcPr>
          <w:p w14:paraId="1124F051"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46</w:t>
            </w:r>
          </w:p>
        </w:tc>
        <w:tc>
          <w:tcPr>
            <w:tcW w:w="1020" w:type="dxa"/>
            <w:tcBorders>
              <w:top w:val="nil"/>
              <w:left w:val="nil"/>
              <w:right w:val="nil"/>
            </w:tcBorders>
            <w:shd w:val="clear" w:color="auto" w:fill="auto"/>
            <w:noWrap/>
            <w:vAlign w:val="bottom"/>
            <w:hideMark/>
          </w:tcPr>
          <w:p w14:paraId="5123FF42"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44</w:t>
            </w:r>
          </w:p>
        </w:tc>
        <w:tc>
          <w:tcPr>
            <w:tcW w:w="1121" w:type="dxa"/>
            <w:tcBorders>
              <w:top w:val="nil"/>
              <w:left w:val="nil"/>
              <w:right w:val="nil"/>
            </w:tcBorders>
            <w:shd w:val="clear" w:color="auto" w:fill="auto"/>
            <w:noWrap/>
            <w:vAlign w:val="bottom"/>
            <w:hideMark/>
          </w:tcPr>
          <w:p w14:paraId="6D046AC7"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41</w:t>
            </w:r>
          </w:p>
        </w:tc>
      </w:tr>
      <w:tr w:rsidR="00845BBA" w:rsidRPr="000C4CD0" w14:paraId="33B17554" w14:textId="77777777" w:rsidTr="0012696E">
        <w:trPr>
          <w:trHeight w:val="315"/>
          <w:jc w:val="center"/>
        </w:trPr>
        <w:tc>
          <w:tcPr>
            <w:tcW w:w="2570" w:type="dxa"/>
            <w:tcBorders>
              <w:top w:val="nil"/>
              <w:left w:val="nil"/>
              <w:right w:val="nil"/>
            </w:tcBorders>
            <w:shd w:val="clear" w:color="auto" w:fill="auto"/>
            <w:noWrap/>
            <w:vAlign w:val="bottom"/>
            <w:hideMark/>
          </w:tcPr>
          <w:p w14:paraId="4542E181" w14:textId="77777777" w:rsidR="00845BBA" w:rsidRPr="000C4CD0" w:rsidRDefault="00845BBA" w:rsidP="00387FEB">
            <w:pPr>
              <w:spacing w:after="0" w:line="240" w:lineRule="auto"/>
              <w:jc w:val="center"/>
              <w:rPr>
                <w:rFonts w:ascii="Times New Roman" w:eastAsia="Times New Roman" w:hAnsi="Times New Roman" w:cs="Times New Roman"/>
                <w:bCs/>
                <w:color w:val="000000"/>
              </w:rPr>
            </w:pPr>
            <w:r w:rsidRPr="000C4CD0">
              <w:rPr>
                <w:rFonts w:ascii="Times New Roman" w:eastAsia="Times New Roman" w:hAnsi="Times New Roman" w:cs="Times New Roman"/>
                <w:bCs/>
                <w:color w:val="000000"/>
              </w:rPr>
              <w:t>C</w:t>
            </w:r>
          </w:p>
        </w:tc>
        <w:tc>
          <w:tcPr>
            <w:tcW w:w="1020" w:type="dxa"/>
            <w:tcBorders>
              <w:top w:val="nil"/>
              <w:left w:val="nil"/>
              <w:right w:val="nil"/>
            </w:tcBorders>
            <w:shd w:val="clear" w:color="auto" w:fill="auto"/>
            <w:noWrap/>
            <w:vAlign w:val="bottom"/>
            <w:hideMark/>
          </w:tcPr>
          <w:p w14:paraId="31D1F286"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5</w:t>
            </w:r>
          </w:p>
        </w:tc>
        <w:tc>
          <w:tcPr>
            <w:tcW w:w="1020" w:type="dxa"/>
            <w:tcBorders>
              <w:top w:val="nil"/>
              <w:left w:val="nil"/>
              <w:right w:val="nil"/>
            </w:tcBorders>
            <w:shd w:val="clear" w:color="auto" w:fill="auto"/>
            <w:noWrap/>
            <w:vAlign w:val="bottom"/>
            <w:hideMark/>
          </w:tcPr>
          <w:p w14:paraId="5E51BE4B"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6</w:t>
            </w:r>
          </w:p>
        </w:tc>
        <w:tc>
          <w:tcPr>
            <w:tcW w:w="1020" w:type="dxa"/>
            <w:tcBorders>
              <w:top w:val="nil"/>
              <w:left w:val="nil"/>
              <w:right w:val="nil"/>
            </w:tcBorders>
            <w:shd w:val="clear" w:color="auto" w:fill="auto"/>
            <w:noWrap/>
            <w:vAlign w:val="bottom"/>
            <w:hideMark/>
          </w:tcPr>
          <w:p w14:paraId="00FE2542"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0</w:t>
            </w:r>
          </w:p>
        </w:tc>
        <w:tc>
          <w:tcPr>
            <w:tcW w:w="1020" w:type="dxa"/>
            <w:tcBorders>
              <w:top w:val="nil"/>
              <w:left w:val="nil"/>
              <w:right w:val="nil"/>
            </w:tcBorders>
            <w:shd w:val="clear" w:color="auto" w:fill="auto"/>
            <w:noWrap/>
            <w:vAlign w:val="bottom"/>
            <w:hideMark/>
          </w:tcPr>
          <w:p w14:paraId="30E7F892"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12</w:t>
            </w:r>
          </w:p>
        </w:tc>
        <w:tc>
          <w:tcPr>
            <w:tcW w:w="1020" w:type="dxa"/>
            <w:tcBorders>
              <w:top w:val="nil"/>
              <w:left w:val="nil"/>
              <w:right w:val="nil"/>
            </w:tcBorders>
            <w:shd w:val="clear" w:color="auto" w:fill="auto"/>
            <w:noWrap/>
            <w:vAlign w:val="bottom"/>
            <w:hideMark/>
          </w:tcPr>
          <w:p w14:paraId="4E37B73B"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6</w:t>
            </w:r>
          </w:p>
        </w:tc>
        <w:tc>
          <w:tcPr>
            <w:tcW w:w="1020" w:type="dxa"/>
            <w:tcBorders>
              <w:top w:val="nil"/>
              <w:left w:val="nil"/>
              <w:right w:val="nil"/>
            </w:tcBorders>
            <w:shd w:val="clear" w:color="auto" w:fill="auto"/>
            <w:noWrap/>
            <w:vAlign w:val="bottom"/>
            <w:hideMark/>
          </w:tcPr>
          <w:p w14:paraId="4A7D2EA2"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8</w:t>
            </w:r>
          </w:p>
        </w:tc>
        <w:tc>
          <w:tcPr>
            <w:tcW w:w="1121" w:type="dxa"/>
            <w:tcBorders>
              <w:top w:val="nil"/>
              <w:left w:val="nil"/>
              <w:right w:val="nil"/>
            </w:tcBorders>
            <w:shd w:val="clear" w:color="auto" w:fill="auto"/>
            <w:noWrap/>
            <w:vAlign w:val="bottom"/>
            <w:hideMark/>
          </w:tcPr>
          <w:p w14:paraId="3F72D711"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9</w:t>
            </w:r>
          </w:p>
        </w:tc>
      </w:tr>
      <w:tr w:rsidR="00845BBA" w:rsidRPr="000C4CD0" w14:paraId="4268F76F" w14:textId="77777777" w:rsidTr="0012696E">
        <w:trPr>
          <w:trHeight w:val="454"/>
          <w:jc w:val="center"/>
        </w:trPr>
        <w:tc>
          <w:tcPr>
            <w:tcW w:w="9811" w:type="dxa"/>
            <w:gridSpan w:val="8"/>
            <w:tcBorders>
              <w:left w:val="nil"/>
              <w:bottom w:val="single" w:sz="4" w:space="0" w:color="auto"/>
              <w:right w:val="nil"/>
            </w:tcBorders>
            <w:shd w:val="clear" w:color="auto" w:fill="auto"/>
            <w:noWrap/>
            <w:vAlign w:val="center"/>
            <w:hideMark/>
          </w:tcPr>
          <w:p w14:paraId="20FDC485" w14:textId="72B17FCA" w:rsidR="00845BBA" w:rsidRPr="002904D1" w:rsidRDefault="009876E0" w:rsidP="00387FEB">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Rank 73 to 113 per </w:t>
            </w:r>
            <w:proofErr w:type="spellStart"/>
            <w:r>
              <w:rPr>
                <w:rFonts w:ascii="Times New Roman" w:eastAsia="Times New Roman" w:hAnsi="Times New Roman" w:cs="Times New Roman"/>
                <w:b/>
                <w:bCs/>
                <w:color w:val="000000"/>
              </w:rPr>
              <w:t>CLh</w:t>
            </w:r>
            <w:proofErr w:type="spellEnd"/>
            <w:r>
              <w:rPr>
                <w:rFonts w:ascii="Times New Roman" w:eastAsia="Times New Roman" w:hAnsi="Times New Roman" w:cs="Times New Roman"/>
                <w:b/>
                <w:bCs/>
                <w:color w:val="000000"/>
              </w:rPr>
              <w:t>, Output: S</w:t>
            </w:r>
            <w:r w:rsidR="00845BBA" w:rsidRPr="002904D1">
              <w:rPr>
                <w:rFonts w:ascii="Times New Roman" w:eastAsia="Times New Roman" w:hAnsi="Times New Roman" w:cs="Times New Roman"/>
                <w:b/>
                <w:bCs/>
                <w:color w:val="000000"/>
              </w:rPr>
              <w:t xml:space="preserve">hare </w:t>
            </w:r>
            <w:r w:rsidR="00E6612C" w:rsidRPr="002904D1">
              <w:rPr>
                <w:rFonts w:ascii="Times New Roman" w:eastAsia="Times New Roman" w:hAnsi="Times New Roman" w:cs="Times New Roman"/>
                <w:b/>
                <w:bCs/>
                <w:color w:val="000000"/>
              </w:rPr>
              <w:t>and</w:t>
            </w:r>
            <w:r>
              <w:rPr>
                <w:rFonts w:ascii="Times New Roman" w:eastAsia="Times New Roman" w:hAnsi="Times New Roman" w:cs="Times New Roman"/>
                <w:b/>
                <w:bCs/>
                <w:color w:val="000000"/>
              </w:rPr>
              <w:t xml:space="preserve"> Size Adjusted P</w:t>
            </w:r>
            <w:r w:rsidR="00845BBA" w:rsidRPr="002904D1">
              <w:rPr>
                <w:rFonts w:ascii="Times New Roman" w:eastAsia="Times New Roman" w:hAnsi="Times New Roman" w:cs="Times New Roman"/>
                <w:b/>
                <w:bCs/>
                <w:color w:val="000000"/>
              </w:rPr>
              <w:t>ages</w:t>
            </w:r>
          </w:p>
        </w:tc>
      </w:tr>
      <w:tr w:rsidR="00845BBA" w:rsidRPr="000C4CD0" w14:paraId="79B9E241" w14:textId="77777777" w:rsidTr="0012696E">
        <w:trPr>
          <w:trHeight w:val="454"/>
          <w:jc w:val="center"/>
        </w:trPr>
        <w:tc>
          <w:tcPr>
            <w:tcW w:w="2570" w:type="dxa"/>
            <w:tcBorders>
              <w:top w:val="single" w:sz="4" w:space="0" w:color="auto"/>
              <w:left w:val="nil"/>
              <w:bottom w:val="single" w:sz="4" w:space="0" w:color="auto"/>
              <w:right w:val="nil"/>
            </w:tcBorders>
            <w:shd w:val="clear" w:color="auto" w:fill="auto"/>
            <w:noWrap/>
            <w:vAlign w:val="center"/>
            <w:hideMark/>
          </w:tcPr>
          <w:p w14:paraId="4FE9445A" w14:textId="77777777" w:rsidR="00845BBA" w:rsidRPr="000C4CD0" w:rsidRDefault="00845BBA" w:rsidP="00387FEB">
            <w:pPr>
              <w:spacing w:after="0" w:line="240" w:lineRule="auto"/>
              <w:jc w:val="center"/>
              <w:rPr>
                <w:rFonts w:ascii="Times New Roman" w:eastAsia="Times New Roman" w:hAnsi="Times New Roman" w:cs="Times New Roman"/>
                <w:bCs/>
                <w:color w:val="000000"/>
              </w:rPr>
            </w:pPr>
            <w:r w:rsidRPr="000C4CD0">
              <w:rPr>
                <w:rFonts w:ascii="Times New Roman" w:eastAsia="Times New Roman" w:hAnsi="Times New Roman" w:cs="Times New Roman"/>
                <w:bCs/>
                <w:color w:val="000000"/>
              </w:rPr>
              <w:t>PBRF Gr</w:t>
            </w:r>
          </w:p>
        </w:tc>
        <w:tc>
          <w:tcPr>
            <w:tcW w:w="1020" w:type="dxa"/>
            <w:tcBorders>
              <w:top w:val="single" w:sz="4" w:space="0" w:color="auto"/>
              <w:left w:val="nil"/>
              <w:bottom w:val="single" w:sz="4" w:space="0" w:color="auto"/>
              <w:right w:val="nil"/>
            </w:tcBorders>
            <w:shd w:val="clear" w:color="auto" w:fill="auto"/>
            <w:noWrap/>
            <w:vAlign w:val="center"/>
            <w:hideMark/>
          </w:tcPr>
          <w:p w14:paraId="42F0012B" w14:textId="77777777" w:rsidR="00845BBA" w:rsidRPr="000C4CD0" w:rsidRDefault="00845BBA" w:rsidP="00FA51D3">
            <w:pPr>
              <w:spacing w:after="0" w:line="240" w:lineRule="auto"/>
              <w:jc w:val="center"/>
              <w:rPr>
                <w:rFonts w:ascii="Times New Roman" w:eastAsia="Times New Roman" w:hAnsi="Times New Roman" w:cs="Times New Roman"/>
                <w:bCs/>
                <w:color w:val="000000"/>
              </w:rPr>
            </w:pPr>
            <w:r w:rsidRPr="000C4CD0">
              <w:rPr>
                <w:rFonts w:ascii="Times New Roman" w:eastAsia="Times New Roman" w:hAnsi="Times New Roman" w:cs="Times New Roman"/>
                <w:bCs/>
                <w:color w:val="000000"/>
              </w:rPr>
              <w:t>AVJWS</w:t>
            </w:r>
          </w:p>
        </w:tc>
        <w:tc>
          <w:tcPr>
            <w:tcW w:w="1020" w:type="dxa"/>
            <w:tcBorders>
              <w:top w:val="single" w:sz="4" w:space="0" w:color="auto"/>
              <w:left w:val="nil"/>
              <w:bottom w:val="single" w:sz="4" w:space="0" w:color="auto"/>
              <w:right w:val="nil"/>
            </w:tcBorders>
            <w:shd w:val="clear" w:color="auto" w:fill="auto"/>
            <w:noWrap/>
            <w:vAlign w:val="center"/>
            <w:hideMark/>
          </w:tcPr>
          <w:p w14:paraId="0C69AB9C" w14:textId="77777777" w:rsidR="00845BBA" w:rsidRPr="000C4CD0" w:rsidRDefault="00845BBA" w:rsidP="00FA51D3">
            <w:pPr>
              <w:spacing w:after="0" w:line="240" w:lineRule="auto"/>
              <w:jc w:val="center"/>
              <w:rPr>
                <w:rFonts w:ascii="Times New Roman" w:eastAsia="Times New Roman" w:hAnsi="Times New Roman" w:cs="Times New Roman"/>
                <w:bCs/>
                <w:color w:val="000000"/>
              </w:rPr>
            </w:pPr>
            <w:proofErr w:type="spellStart"/>
            <w:r w:rsidRPr="000C4CD0">
              <w:rPr>
                <w:rFonts w:ascii="Times New Roman" w:eastAsia="Times New Roman" w:hAnsi="Times New Roman" w:cs="Times New Roman"/>
                <w:bCs/>
                <w:color w:val="000000"/>
              </w:rPr>
              <w:t>CLm</w:t>
            </w:r>
            <w:proofErr w:type="spellEnd"/>
          </w:p>
        </w:tc>
        <w:tc>
          <w:tcPr>
            <w:tcW w:w="1020" w:type="dxa"/>
            <w:tcBorders>
              <w:top w:val="single" w:sz="4" w:space="0" w:color="auto"/>
              <w:left w:val="nil"/>
              <w:bottom w:val="single" w:sz="4" w:space="0" w:color="auto"/>
              <w:right w:val="nil"/>
            </w:tcBorders>
            <w:shd w:val="clear" w:color="auto" w:fill="auto"/>
            <w:noWrap/>
            <w:vAlign w:val="center"/>
            <w:hideMark/>
          </w:tcPr>
          <w:p w14:paraId="4CE9431B" w14:textId="77777777" w:rsidR="00845BBA" w:rsidRPr="000C4CD0" w:rsidRDefault="00845BBA" w:rsidP="00FA51D3">
            <w:pPr>
              <w:spacing w:after="0" w:line="240" w:lineRule="auto"/>
              <w:jc w:val="center"/>
              <w:rPr>
                <w:rFonts w:ascii="Times New Roman" w:eastAsia="Times New Roman" w:hAnsi="Times New Roman" w:cs="Times New Roman"/>
                <w:bCs/>
                <w:color w:val="000000"/>
              </w:rPr>
            </w:pPr>
            <w:proofErr w:type="spellStart"/>
            <w:r w:rsidRPr="000C4CD0">
              <w:rPr>
                <w:rFonts w:ascii="Times New Roman" w:eastAsia="Times New Roman" w:hAnsi="Times New Roman" w:cs="Times New Roman"/>
                <w:bCs/>
                <w:color w:val="000000"/>
              </w:rPr>
              <w:t>CLh</w:t>
            </w:r>
            <w:proofErr w:type="spellEnd"/>
          </w:p>
        </w:tc>
        <w:tc>
          <w:tcPr>
            <w:tcW w:w="1020" w:type="dxa"/>
            <w:tcBorders>
              <w:top w:val="single" w:sz="4" w:space="0" w:color="auto"/>
              <w:left w:val="nil"/>
              <w:bottom w:val="single" w:sz="4" w:space="0" w:color="auto"/>
              <w:right w:val="nil"/>
            </w:tcBorders>
            <w:shd w:val="clear" w:color="auto" w:fill="auto"/>
            <w:noWrap/>
            <w:vAlign w:val="center"/>
            <w:hideMark/>
          </w:tcPr>
          <w:p w14:paraId="2BC04EEF" w14:textId="77777777" w:rsidR="00845BBA" w:rsidRPr="000C4CD0" w:rsidRDefault="00845BBA" w:rsidP="00FA51D3">
            <w:pPr>
              <w:spacing w:after="0" w:line="240" w:lineRule="auto"/>
              <w:jc w:val="center"/>
              <w:rPr>
                <w:rFonts w:ascii="Times New Roman" w:eastAsia="Times New Roman" w:hAnsi="Times New Roman" w:cs="Times New Roman"/>
                <w:bCs/>
                <w:color w:val="000000"/>
              </w:rPr>
            </w:pPr>
            <w:r w:rsidRPr="000C4CD0">
              <w:rPr>
                <w:rFonts w:ascii="Times New Roman" w:eastAsia="Times New Roman" w:hAnsi="Times New Roman" w:cs="Times New Roman"/>
                <w:bCs/>
                <w:color w:val="000000"/>
              </w:rPr>
              <w:t>ABDC</w:t>
            </w:r>
          </w:p>
        </w:tc>
        <w:tc>
          <w:tcPr>
            <w:tcW w:w="1020" w:type="dxa"/>
            <w:tcBorders>
              <w:top w:val="single" w:sz="4" w:space="0" w:color="auto"/>
              <w:left w:val="nil"/>
              <w:bottom w:val="single" w:sz="4" w:space="0" w:color="auto"/>
              <w:right w:val="nil"/>
            </w:tcBorders>
            <w:shd w:val="clear" w:color="auto" w:fill="auto"/>
            <w:noWrap/>
            <w:vAlign w:val="center"/>
            <w:hideMark/>
          </w:tcPr>
          <w:p w14:paraId="0BA0DE6D" w14:textId="77777777" w:rsidR="00845BBA" w:rsidRPr="000C4CD0" w:rsidRDefault="00845BBA" w:rsidP="00FA51D3">
            <w:pPr>
              <w:spacing w:after="0" w:line="240" w:lineRule="auto"/>
              <w:jc w:val="center"/>
              <w:rPr>
                <w:rFonts w:ascii="Times New Roman" w:eastAsia="Times New Roman" w:hAnsi="Times New Roman" w:cs="Times New Roman"/>
                <w:bCs/>
                <w:color w:val="000000"/>
              </w:rPr>
            </w:pPr>
            <w:proofErr w:type="spellStart"/>
            <w:r w:rsidRPr="000C4CD0">
              <w:rPr>
                <w:rFonts w:ascii="Times New Roman" w:eastAsia="Times New Roman" w:hAnsi="Times New Roman" w:cs="Times New Roman"/>
                <w:bCs/>
                <w:color w:val="000000"/>
              </w:rPr>
              <w:t>Rsif</w:t>
            </w:r>
            <w:proofErr w:type="spellEnd"/>
          </w:p>
        </w:tc>
        <w:tc>
          <w:tcPr>
            <w:tcW w:w="1020" w:type="dxa"/>
            <w:tcBorders>
              <w:top w:val="single" w:sz="4" w:space="0" w:color="auto"/>
              <w:left w:val="nil"/>
              <w:bottom w:val="single" w:sz="4" w:space="0" w:color="auto"/>
              <w:right w:val="nil"/>
            </w:tcBorders>
            <w:shd w:val="clear" w:color="auto" w:fill="auto"/>
            <w:noWrap/>
            <w:vAlign w:val="center"/>
            <w:hideMark/>
          </w:tcPr>
          <w:p w14:paraId="3581A688" w14:textId="77777777" w:rsidR="00845BBA" w:rsidRPr="000C4CD0" w:rsidRDefault="00845BBA" w:rsidP="00FA51D3">
            <w:pPr>
              <w:spacing w:after="0" w:line="240" w:lineRule="auto"/>
              <w:jc w:val="center"/>
              <w:rPr>
                <w:rFonts w:ascii="Times New Roman" w:eastAsia="Times New Roman" w:hAnsi="Times New Roman" w:cs="Times New Roman"/>
                <w:bCs/>
                <w:color w:val="000000"/>
              </w:rPr>
            </w:pPr>
            <w:proofErr w:type="spellStart"/>
            <w:r w:rsidRPr="000C4CD0">
              <w:rPr>
                <w:rFonts w:ascii="Times New Roman" w:eastAsia="Times New Roman" w:hAnsi="Times New Roman" w:cs="Times New Roman"/>
                <w:bCs/>
                <w:color w:val="000000"/>
              </w:rPr>
              <w:t>Rrec</w:t>
            </w:r>
            <w:proofErr w:type="spellEnd"/>
          </w:p>
        </w:tc>
        <w:tc>
          <w:tcPr>
            <w:tcW w:w="1121" w:type="dxa"/>
            <w:tcBorders>
              <w:top w:val="single" w:sz="4" w:space="0" w:color="auto"/>
              <w:left w:val="nil"/>
              <w:bottom w:val="single" w:sz="4" w:space="0" w:color="auto"/>
              <w:right w:val="nil"/>
            </w:tcBorders>
            <w:shd w:val="clear" w:color="auto" w:fill="auto"/>
            <w:noWrap/>
            <w:vAlign w:val="center"/>
            <w:hideMark/>
          </w:tcPr>
          <w:p w14:paraId="49DE8C51" w14:textId="77777777" w:rsidR="00845BBA" w:rsidRPr="000C4CD0" w:rsidRDefault="00845BBA" w:rsidP="00FA51D3">
            <w:pPr>
              <w:spacing w:after="0" w:line="240" w:lineRule="auto"/>
              <w:jc w:val="center"/>
              <w:rPr>
                <w:rFonts w:ascii="Times New Roman" w:eastAsia="Times New Roman" w:hAnsi="Times New Roman" w:cs="Times New Roman"/>
                <w:bCs/>
                <w:color w:val="000000"/>
              </w:rPr>
            </w:pPr>
            <w:r w:rsidRPr="000C4CD0">
              <w:rPr>
                <w:rFonts w:ascii="Times New Roman" w:eastAsia="Times New Roman" w:hAnsi="Times New Roman" w:cs="Times New Roman"/>
                <w:bCs/>
                <w:color w:val="000000"/>
              </w:rPr>
              <w:t>NZABDC</w:t>
            </w:r>
          </w:p>
        </w:tc>
      </w:tr>
      <w:tr w:rsidR="00845BBA" w:rsidRPr="000C4CD0" w14:paraId="7E692F3D" w14:textId="77777777" w:rsidTr="0012696E">
        <w:trPr>
          <w:trHeight w:val="315"/>
          <w:jc w:val="center"/>
        </w:trPr>
        <w:tc>
          <w:tcPr>
            <w:tcW w:w="2570" w:type="dxa"/>
            <w:tcBorders>
              <w:top w:val="nil"/>
              <w:left w:val="nil"/>
              <w:bottom w:val="nil"/>
              <w:right w:val="nil"/>
            </w:tcBorders>
            <w:shd w:val="clear" w:color="auto" w:fill="auto"/>
            <w:noWrap/>
            <w:vAlign w:val="bottom"/>
            <w:hideMark/>
          </w:tcPr>
          <w:p w14:paraId="2B59E4BA" w14:textId="77777777" w:rsidR="00845BBA" w:rsidRPr="000C4CD0" w:rsidRDefault="00845BBA" w:rsidP="00387FEB">
            <w:pPr>
              <w:spacing w:after="0" w:line="240" w:lineRule="auto"/>
              <w:jc w:val="center"/>
              <w:rPr>
                <w:rFonts w:ascii="Times New Roman" w:eastAsia="Times New Roman" w:hAnsi="Times New Roman" w:cs="Times New Roman"/>
                <w:bCs/>
                <w:color w:val="000000"/>
              </w:rPr>
            </w:pPr>
            <w:r w:rsidRPr="000C4CD0">
              <w:rPr>
                <w:rFonts w:ascii="Times New Roman" w:eastAsia="Times New Roman" w:hAnsi="Times New Roman" w:cs="Times New Roman"/>
                <w:bCs/>
                <w:color w:val="000000"/>
              </w:rPr>
              <w:t>A</w:t>
            </w:r>
          </w:p>
        </w:tc>
        <w:tc>
          <w:tcPr>
            <w:tcW w:w="1020" w:type="dxa"/>
            <w:tcBorders>
              <w:top w:val="nil"/>
              <w:left w:val="nil"/>
              <w:bottom w:val="nil"/>
              <w:right w:val="nil"/>
            </w:tcBorders>
            <w:shd w:val="clear" w:color="auto" w:fill="auto"/>
            <w:noWrap/>
            <w:vAlign w:val="bottom"/>
            <w:hideMark/>
          </w:tcPr>
          <w:p w14:paraId="32A876C8"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0</w:t>
            </w:r>
          </w:p>
        </w:tc>
        <w:tc>
          <w:tcPr>
            <w:tcW w:w="1020" w:type="dxa"/>
            <w:tcBorders>
              <w:top w:val="nil"/>
              <w:left w:val="nil"/>
              <w:bottom w:val="nil"/>
              <w:right w:val="nil"/>
            </w:tcBorders>
            <w:shd w:val="clear" w:color="auto" w:fill="auto"/>
            <w:noWrap/>
            <w:vAlign w:val="bottom"/>
            <w:hideMark/>
          </w:tcPr>
          <w:p w14:paraId="03E1ADE0"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0</w:t>
            </w:r>
          </w:p>
        </w:tc>
        <w:tc>
          <w:tcPr>
            <w:tcW w:w="1020" w:type="dxa"/>
            <w:tcBorders>
              <w:top w:val="nil"/>
              <w:left w:val="nil"/>
              <w:bottom w:val="nil"/>
              <w:right w:val="nil"/>
            </w:tcBorders>
            <w:shd w:val="clear" w:color="auto" w:fill="auto"/>
            <w:noWrap/>
            <w:vAlign w:val="bottom"/>
            <w:hideMark/>
          </w:tcPr>
          <w:p w14:paraId="03D82E57"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0</w:t>
            </w:r>
          </w:p>
        </w:tc>
        <w:tc>
          <w:tcPr>
            <w:tcW w:w="1020" w:type="dxa"/>
            <w:tcBorders>
              <w:top w:val="nil"/>
              <w:left w:val="nil"/>
              <w:bottom w:val="nil"/>
              <w:right w:val="nil"/>
            </w:tcBorders>
            <w:shd w:val="clear" w:color="auto" w:fill="auto"/>
            <w:noWrap/>
            <w:vAlign w:val="bottom"/>
            <w:hideMark/>
          </w:tcPr>
          <w:p w14:paraId="1776696B"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0</w:t>
            </w:r>
          </w:p>
        </w:tc>
        <w:tc>
          <w:tcPr>
            <w:tcW w:w="1020" w:type="dxa"/>
            <w:tcBorders>
              <w:top w:val="nil"/>
              <w:left w:val="nil"/>
              <w:bottom w:val="nil"/>
              <w:right w:val="nil"/>
            </w:tcBorders>
            <w:shd w:val="clear" w:color="auto" w:fill="auto"/>
            <w:noWrap/>
            <w:vAlign w:val="bottom"/>
            <w:hideMark/>
          </w:tcPr>
          <w:p w14:paraId="34B6EEFC"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0</w:t>
            </w:r>
          </w:p>
        </w:tc>
        <w:tc>
          <w:tcPr>
            <w:tcW w:w="1020" w:type="dxa"/>
            <w:tcBorders>
              <w:top w:val="nil"/>
              <w:left w:val="nil"/>
              <w:bottom w:val="nil"/>
              <w:right w:val="nil"/>
            </w:tcBorders>
            <w:shd w:val="clear" w:color="auto" w:fill="auto"/>
            <w:noWrap/>
            <w:vAlign w:val="bottom"/>
            <w:hideMark/>
          </w:tcPr>
          <w:p w14:paraId="68FB0D77"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0</w:t>
            </w:r>
          </w:p>
        </w:tc>
        <w:tc>
          <w:tcPr>
            <w:tcW w:w="1121" w:type="dxa"/>
            <w:tcBorders>
              <w:top w:val="nil"/>
              <w:left w:val="nil"/>
              <w:bottom w:val="nil"/>
              <w:right w:val="nil"/>
            </w:tcBorders>
            <w:shd w:val="clear" w:color="auto" w:fill="auto"/>
            <w:noWrap/>
            <w:vAlign w:val="bottom"/>
            <w:hideMark/>
          </w:tcPr>
          <w:p w14:paraId="024078DC"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0</w:t>
            </w:r>
          </w:p>
        </w:tc>
      </w:tr>
      <w:tr w:rsidR="00845BBA" w:rsidRPr="000C4CD0" w14:paraId="6BE5083A" w14:textId="77777777" w:rsidTr="0012696E">
        <w:trPr>
          <w:trHeight w:val="315"/>
          <w:jc w:val="center"/>
        </w:trPr>
        <w:tc>
          <w:tcPr>
            <w:tcW w:w="2570" w:type="dxa"/>
            <w:tcBorders>
              <w:top w:val="nil"/>
              <w:left w:val="nil"/>
              <w:right w:val="nil"/>
            </w:tcBorders>
            <w:shd w:val="clear" w:color="auto" w:fill="auto"/>
            <w:noWrap/>
            <w:vAlign w:val="bottom"/>
            <w:hideMark/>
          </w:tcPr>
          <w:p w14:paraId="24463485" w14:textId="77777777" w:rsidR="00845BBA" w:rsidRPr="000C4CD0" w:rsidRDefault="00845BBA" w:rsidP="00387FEB">
            <w:pPr>
              <w:spacing w:after="0" w:line="240" w:lineRule="auto"/>
              <w:jc w:val="center"/>
              <w:rPr>
                <w:rFonts w:ascii="Times New Roman" w:eastAsia="Times New Roman" w:hAnsi="Times New Roman" w:cs="Times New Roman"/>
                <w:bCs/>
                <w:color w:val="000000"/>
              </w:rPr>
            </w:pPr>
            <w:r w:rsidRPr="000C4CD0">
              <w:rPr>
                <w:rFonts w:ascii="Times New Roman" w:eastAsia="Times New Roman" w:hAnsi="Times New Roman" w:cs="Times New Roman"/>
                <w:bCs/>
                <w:color w:val="000000"/>
              </w:rPr>
              <w:t>B</w:t>
            </w:r>
          </w:p>
        </w:tc>
        <w:tc>
          <w:tcPr>
            <w:tcW w:w="1020" w:type="dxa"/>
            <w:tcBorders>
              <w:top w:val="nil"/>
              <w:left w:val="nil"/>
              <w:right w:val="nil"/>
            </w:tcBorders>
            <w:shd w:val="clear" w:color="auto" w:fill="auto"/>
            <w:noWrap/>
            <w:vAlign w:val="bottom"/>
            <w:hideMark/>
          </w:tcPr>
          <w:p w14:paraId="34599860"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5</w:t>
            </w:r>
          </w:p>
        </w:tc>
        <w:tc>
          <w:tcPr>
            <w:tcW w:w="1020" w:type="dxa"/>
            <w:tcBorders>
              <w:top w:val="nil"/>
              <w:left w:val="nil"/>
              <w:right w:val="nil"/>
            </w:tcBorders>
            <w:shd w:val="clear" w:color="auto" w:fill="auto"/>
            <w:noWrap/>
            <w:vAlign w:val="bottom"/>
            <w:hideMark/>
          </w:tcPr>
          <w:p w14:paraId="6C376E58"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6</w:t>
            </w:r>
          </w:p>
        </w:tc>
        <w:tc>
          <w:tcPr>
            <w:tcW w:w="1020" w:type="dxa"/>
            <w:tcBorders>
              <w:top w:val="nil"/>
              <w:left w:val="nil"/>
              <w:right w:val="nil"/>
            </w:tcBorders>
            <w:shd w:val="clear" w:color="auto" w:fill="auto"/>
            <w:noWrap/>
            <w:vAlign w:val="bottom"/>
            <w:hideMark/>
          </w:tcPr>
          <w:p w14:paraId="25910D26"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0</w:t>
            </w:r>
          </w:p>
        </w:tc>
        <w:tc>
          <w:tcPr>
            <w:tcW w:w="1020" w:type="dxa"/>
            <w:tcBorders>
              <w:top w:val="nil"/>
              <w:left w:val="nil"/>
              <w:right w:val="nil"/>
            </w:tcBorders>
            <w:shd w:val="clear" w:color="auto" w:fill="auto"/>
            <w:noWrap/>
            <w:vAlign w:val="bottom"/>
            <w:hideMark/>
          </w:tcPr>
          <w:p w14:paraId="48B222ED"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12</w:t>
            </w:r>
          </w:p>
        </w:tc>
        <w:tc>
          <w:tcPr>
            <w:tcW w:w="1020" w:type="dxa"/>
            <w:tcBorders>
              <w:top w:val="nil"/>
              <w:left w:val="nil"/>
              <w:right w:val="nil"/>
            </w:tcBorders>
            <w:shd w:val="clear" w:color="auto" w:fill="auto"/>
            <w:noWrap/>
            <w:vAlign w:val="bottom"/>
            <w:hideMark/>
          </w:tcPr>
          <w:p w14:paraId="74F2B9CF"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6</w:t>
            </w:r>
          </w:p>
        </w:tc>
        <w:tc>
          <w:tcPr>
            <w:tcW w:w="1020" w:type="dxa"/>
            <w:tcBorders>
              <w:top w:val="nil"/>
              <w:left w:val="nil"/>
              <w:right w:val="nil"/>
            </w:tcBorders>
            <w:shd w:val="clear" w:color="auto" w:fill="auto"/>
            <w:noWrap/>
            <w:vAlign w:val="bottom"/>
            <w:hideMark/>
          </w:tcPr>
          <w:p w14:paraId="1ECF20A1"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8</w:t>
            </w:r>
          </w:p>
        </w:tc>
        <w:tc>
          <w:tcPr>
            <w:tcW w:w="1121" w:type="dxa"/>
            <w:tcBorders>
              <w:top w:val="nil"/>
              <w:left w:val="nil"/>
              <w:right w:val="nil"/>
            </w:tcBorders>
            <w:shd w:val="clear" w:color="auto" w:fill="auto"/>
            <w:noWrap/>
            <w:vAlign w:val="bottom"/>
            <w:hideMark/>
          </w:tcPr>
          <w:p w14:paraId="0B237FA8" w14:textId="77777777" w:rsidR="00845BBA" w:rsidRPr="000C4CD0" w:rsidRDefault="00845BBA" w:rsidP="00FA51D3">
            <w:pPr>
              <w:spacing w:after="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9</w:t>
            </w:r>
          </w:p>
        </w:tc>
      </w:tr>
      <w:tr w:rsidR="00845BBA" w:rsidRPr="000C4CD0" w14:paraId="2F435108" w14:textId="77777777" w:rsidTr="0012696E">
        <w:trPr>
          <w:trHeight w:val="315"/>
          <w:jc w:val="center"/>
        </w:trPr>
        <w:tc>
          <w:tcPr>
            <w:tcW w:w="2570" w:type="dxa"/>
            <w:tcBorders>
              <w:top w:val="nil"/>
              <w:left w:val="nil"/>
              <w:bottom w:val="single" w:sz="4" w:space="0" w:color="auto"/>
              <w:right w:val="nil"/>
            </w:tcBorders>
            <w:shd w:val="clear" w:color="auto" w:fill="auto"/>
            <w:noWrap/>
            <w:vAlign w:val="bottom"/>
            <w:hideMark/>
          </w:tcPr>
          <w:p w14:paraId="4C797BC0" w14:textId="77777777" w:rsidR="00845BBA" w:rsidRPr="000C4CD0" w:rsidRDefault="00845BBA" w:rsidP="00922F54">
            <w:pPr>
              <w:spacing w:after="60" w:line="240" w:lineRule="auto"/>
              <w:jc w:val="center"/>
              <w:rPr>
                <w:rFonts w:ascii="Times New Roman" w:eastAsia="Times New Roman" w:hAnsi="Times New Roman" w:cs="Times New Roman"/>
                <w:bCs/>
                <w:color w:val="000000"/>
              </w:rPr>
            </w:pPr>
            <w:r w:rsidRPr="000C4CD0">
              <w:rPr>
                <w:rFonts w:ascii="Times New Roman" w:eastAsia="Times New Roman" w:hAnsi="Times New Roman" w:cs="Times New Roman"/>
                <w:bCs/>
                <w:color w:val="000000"/>
              </w:rPr>
              <w:t>C</w:t>
            </w:r>
          </w:p>
        </w:tc>
        <w:tc>
          <w:tcPr>
            <w:tcW w:w="1020" w:type="dxa"/>
            <w:tcBorders>
              <w:top w:val="nil"/>
              <w:left w:val="nil"/>
              <w:bottom w:val="single" w:sz="4" w:space="0" w:color="auto"/>
              <w:right w:val="nil"/>
            </w:tcBorders>
            <w:shd w:val="clear" w:color="auto" w:fill="auto"/>
            <w:noWrap/>
            <w:vAlign w:val="bottom"/>
            <w:hideMark/>
          </w:tcPr>
          <w:p w14:paraId="6B8D5721" w14:textId="77777777" w:rsidR="00845BBA" w:rsidRPr="000C4CD0" w:rsidRDefault="00845BBA" w:rsidP="00922F54">
            <w:pPr>
              <w:spacing w:after="6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36</w:t>
            </w:r>
          </w:p>
        </w:tc>
        <w:tc>
          <w:tcPr>
            <w:tcW w:w="1020" w:type="dxa"/>
            <w:tcBorders>
              <w:top w:val="nil"/>
              <w:left w:val="nil"/>
              <w:bottom w:val="single" w:sz="4" w:space="0" w:color="auto"/>
              <w:right w:val="nil"/>
            </w:tcBorders>
            <w:shd w:val="clear" w:color="auto" w:fill="auto"/>
            <w:noWrap/>
            <w:vAlign w:val="bottom"/>
            <w:hideMark/>
          </w:tcPr>
          <w:p w14:paraId="285479C9" w14:textId="77777777" w:rsidR="00845BBA" w:rsidRPr="000C4CD0" w:rsidRDefault="00845BBA" w:rsidP="00922F54">
            <w:pPr>
              <w:spacing w:after="6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35</w:t>
            </w:r>
          </w:p>
        </w:tc>
        <w:tc>
          <w:tcPr>
            <w:tcW w:w="1020" w:type="dxa"/>
            <w:tcBorders>
              <w:top w:val="nil"/>
              <w:left w:val="nil"/>
              <w:bottom w:val="single" w:sz="4" w:space="0" w:color="auto"/>
              <w:right w:val="nil"/>
            </w:tcBorders>
            <w:shd w:val="clear" w:color="auto" w:fill="auto"/>
            <w:noWrap/>
            <w:vAlign w:val="bottom"/>
            <w:hideMark/>
          </w:tcPr>
          <w:p w14:paraId="4BD0E3F8" w14:textId="77777777" w:rsidR="00845BBA" w:rsidRPr="000C4CD0" w:rsidRDefault="00845BBA" w:rsidP="00922F54">
            <w:pPr>
              <w:spacing w:after="6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41</w:t>
            </w:r>
          </w:p>
        </w:tc>
        <w:tc>
          <w:tcPr>
            <w:tcW w:w="1020" w:type="dxa"/>
            <w:tcBorders>
              <w:top w:val="nil"/>
              <w:left w:val="nil"/>
              <w:bottom w:val="single" w:sz="4" w:space="0" w:color="auto"/>
              <w:right w:val="nil"/>
            </w:tcBorders>
            <w:shd w:val="clear" w:color="auto" w:fill="auto"/>
            <w:noWrap/>
            <w:vAlign w:val="bottom"/>
            <w:hideMark/>
          </w:tcPr>
          <w:p w14:paraId="27C673AB" w14:textId="77777777" w:rsidR="00845BBA" w:rsidRPr="000C4CD0" w:rsidRDefault="00845BBA" w:rsidP="00922F54">
            <w:pPr>
              <w:spacing w:after="6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29</w:t>
            </w:r>
          </w:p>
        </w:tc>
        <w:tc>
          <w:tcPr>
            <w:tcW w:w="1020" w:type="dxa"/>
            <w:tcBorders>
              <w:top w:val="nil"/>
              <w:left w:val="nil"/>
              <w:bottom w:val="single" w:sz="4" w:space="0" w:color="auto"/>
              <w:right w:val="nil"/>
            </w:tcBorders>
            <w:shd w:val="clear" w:color="auto" w:fill="auto"/>
            <w:noWrap/>
            <w:vAlign w:val="bottom"/>
            <w:hideMark/>
          </w:tcPr>
          <w:p w14:paraId="0350210B" w14:textId="77777777" w:rsidR="00845BBA" w:rsidRPr="000C4CD0" w:rsidRDefault="00845BBA" w:rsidP="00922F54">
            <w:pPr>
              <w:spacing w:after="6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35</w:t>
            </w:r>
          </w:p>
        </w:tc>
        <w:tc>
          <w:tcPr>
            <w:tcW w:w="1020" w:type="dxa"/>
            <w:tcBorders>
              <w:top w:val="nil"/>
              <w:left w:val="nil"/>
              <w:bottom w:val="single" w:sz="4" w:space="0" w:color="auto"/>
              <w:right w:val="nil"/>
            </w:tcBorders>
            <w:shd w:val="clear" w:color="auto" w:fill="auto"/>
            <w:noWrap/>
            <w:vAlign w:val="bottom"/>
            <w:hideMark/>
          </w:tcPr>
          <w:p w14:paraId="34106622" w14:textId="77777777" w:rsidR="00845BBA" w:rsidRPr="000C4CD0" w:rsidRDefault="00845BBA" w:rsidP="00922F54">
            <w:pPr>
              <w:spacing w:after="6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33</w:t>
            </w:r>
          </w:p>
        </w:tc>
        <w:tc>
          <w:tcPr>
            <w:tcW w:w="1121" w:type="dxa"/>
            <w:tcBorders>
              <w:top w:val="nil"/>
              <w:left w:val="nil"/>
              <w:bottom w:val="single" w:sz="4" w:space="0" w:color="auto"/>
              <w:right w:val="nil"/>
            </w:tcBorders>
            <w:shd w:val="clear" w:color="auto" w:fill="auto"/>
            <w:noWrap/>
            <w:vAlign w:val="bottom"/>
            <w:hideMark/>
          </w:tcPr>
          <w:p w14:paraId="742AF699" w14:textId="77777777" w:rsidR="00845BBA" w:rsidRPr="000C4CD0" w:rsidRDefault="00845BBA" w:rsidP="00922F54">
            <w:pPr>
              <w:spacing w:after="60" w:line="240" w:lineRule="auto"/>
              <w:jc w:val="center"/>
              <w:rPr>
                <w:rFonts w:ascii="Times New Roman" w:eastAsia="Times New Roman" w:hAnsi="Times New Roman" w:cs="Times New Roman"/>
                <w:color w:val="000000"/>
              </w:rPr>
            </w:pPr>
            <w:r w:rsidRPr="000C4CD0">
              <w:rPr>
                <w:rFonts w:ascii="Times New Roman" w:eastAsia="Times New Roman" w:hAnsi="Times New Roman" w:cs="Times New Roman"/>
                <w:color w:val="000000"/>
              </w:rPr>
              <w:t>32</w:t>
            </w:r>
          </w:p>
        </w:tc>
      </w:tr>
    </w:tbl>
    <w:p w14:paraId="42725C79" w14:textId="77777777" w:rsidR="00845BBA" w:rsidRPr="00B83421" w:rsidRDefault="00845BBA" w:rsidP="00367DB9">
      <w:pPr>
        <w:jc w:val="both"/>
        <w:rPr>
          <w:rFonts w:ascii="Times New Roman" w:hAnsi="Times New Roman" w:cs="Times New Roman"/>
          <w:sz w:val="24"/>
          <w:szCs w:val="24"/>
        </w:rPr>
      </w:pPr>
    </w:p>
    <w:p w14:paraId="27BB9B1C" w14:textId="0D9DD0D4" w:rsidR="00403186" w:rsidRDefault="00FD671F" w:rsidP="00316E1D">
      <w:pPr>
        <w:spacing w:after="0" w:line="288" w:lineRule="auto"/>
        <w:ind w:firstLine="720"/>
        <w:jc w:val="both"/>
        <w:rPr>
          <w:rFonts w:ascii="Times New Roman" w:hAnsi="Times New Roman" w:cs="Times New Roman"/>
          <w:sz w:val="24"/>
          <w:szCs w:val="24"/>
        </w:rPr>
      </w:pPr>
      <w:r w:rsidRPr="00B83421">
        <w:rPr>
          <w:rFonts w:ascii="Times New Roman" w:hAnsi="Times New Roman" w:cs="Times New Roman"/>
          <w:sz w:val="24"/>
          <w:szCs w:val="24"/>
        </w:rPr>
        <w:lastRenderedPageBreak/>
        <w:t xml:space="preserve">We </w:t>
      </w:r>
      <w:r w:rsidR="00524366" w:rsidRPr="00B83421">
        <w:rPr>
          <w:rFonts w:ascii="Times New Roman" w:hAnsi="Times New Roman" w:cs="Times New Roman"/>
          <w:sz w:val="24"/>
          <w:szCs w:val="24"/>
        </w:rPr>
        <w:t xml:space="preserve">now explore the following questions: what if </w:t>
      </w:r>
      <w:proofErr w:type="spellStart"/>
      <w:r w:rsidR="00524366" w:rsidRPr="00B83421">
        <w:rPr>
          <w:rFonts w:ascii="Times New Roman" w:hAnsi="Times New Roman" w:cs="Times New Roman"/>
          <w:b/>
          <w:sz w:val="24"/>
          <w:szCs w:val="24"/>
        </w:rPr>
        <w:t>CLh</w:t>
      </w:r>
      <w:proofErr w:type="spellEnd"/>
      <w:r w:rsidR="00524366" w:rsidRPr="00B83421">
        <w:rPr>
          <w:rFonts w:ascii="Times New Roman" w:hAnsi="Times New Roman" w:cs="Times New Roman"/>
          <w:sz w:val="24"/>
          <w:szCs w:val="24"/>
        </w:rPr>
        <w:t xml:space="preserve"> is not </w:t>
      </w:r>
      <w:r w:rsidR="00557BE9" w:rsidRPr="00B83421">
        <w:rPr>
          <w:rFonts w:ascii="Times New Roman" w:hAnsi="Times New Roman" w:cs="Times New Roman"/>
          <w:sz w:val="24"/>
          <w:szCs w:val="24"/>
        </w:rPr>
        <w:t>selected as the ‘</w:t>
      </w:r>
      <w:r w:rsidR="008F499D" w:rsidRPr="00B83421">
        <w:rPr>
          <w:rFonts w:ascii="Times New Roman" w:hAnsi="Times New Roman" w:cs="Times New Roman"/>
          <w:sz w:val="24"/>
          <w:szCs w:val="24"/>
        </w:rPr>
        <w:t>offic</w:t>
      </w:r>
      <w:r w:rsidR="0000232A" w:rsidRPr="00B83421">
        <w:rPr>
          <w:rFonts w:ascii="Times New Roman" w:hAnsi="Times New Roman" w:cs="Times New Roman"/>
          <w:sz w:val="24"/>
          <w:szCs w:val="24"/>
        </w:rPr>
        <w:t>i</w:t>
      </w:r>
      <w:r w:rsidR="008F499D" w:rsidRPr="00B83421">
        <w:rPr>
          <w:rFonts w:ascii="Times New Roman" w:hAnsi="Times New Roman" w:cs="Times New Roman"/>
          <w:sz w:val="24"/>
          <w:szCs w:val="24"/>
        </w:rPr>
        <w:t>al</w:t>
      </w:r>
      <w:r w:rsidR="00557BE9" w:rsidRPr="00B83421">
        <w:rPr>
          <w:rFonts w:ascii="Times New Roman" w:hAnsi="Times New Roman" w:cs="Times New Roman"/>
          <w:sz w:val="24"/>
          <w:szCs w:val="24"/>
        </w:rPr>
        <w:t xml:space="preserve">’ </w:t>
      </w:r>
      <w:r w:rsidR="00412D44">
        <w:rPr>
          <w:rFonts w:ascii="Times New Roman" w:hAnsi="Times New Roman" w:cs="Times New Roman"/>
          <w:sz w:val="24"/>
          <w:szCs w:val="24"/>
        </w:rPr>
        <w:t>JWS</w:t>
      </w:r>
      <w:r w:rsidR="003B0101" w:rsidRPr="00B83421">
        <w:rPr>
          <w:rFonts w:ascii="Times New Roman" w:hAnsi="Times New Roman" w:cs="Times New Roman"/>
          <w:sz w:val="24"/>
          <w:szCs w:val="24"/>
        </w:rPr>
        <w:t xml:space="preserve"> </w:t>
      </w:r>
      <w:r w:rsidR="00524366" w:rsidRPr="00B83421">
        <w:rPr>
          <w:rFonts w:ascii="Times New Roman" w:hAnsi="Times New Roman" w:cs="Times New Roman"/>
          <w:sz w:val="24"/>
          <w:szCs w:val="24"/>
        </w:rPr>
        <w:t xml:space="preserve">and does it matter?  Let us now assume that </w:t>
      </w:r>
      <w:r w:rsidR="00524366" w:rsidRPr="00B83421">
        <w:rPr>
          <w:rFonts w:ascii="Times New Roman" w:hAnsi="Times New Roman" w:cs="Times New Roman"/>
          <w:b/>
          <w:sz w:val="24"/>
          <w:szCs w:val="24"/>
        </w:rPr>
        <w:t>AVJWS</w:t>
      </w:r>
      <w:r w:rsidR="00524366" w:rsidRPr="00B83421">
        <w:rPr>
          <w:rFonts w:ascii="Times New Roman" w:hAnsi="Times New Roman" w:cs="Times New Roman"/>
          <w:sz w:val="24"/>
          <w:szCs w:val="24"/>
        </w:rPr>
        <w:t xml:space="preserve"> is </w:t>
      </w:r>
      <w:r w:rsidR="00557BE9" w:rsidRPr="00B83421">
        <w:rPr>
          <w:rFonts w:ascii="Times New Roman" w:hAnsi="Times New Roman" w:cs="Times New Roman"/>
          <w:sz w:val="24"/>
          <w:szCs w:val="24"/>
        </w:rPr>
        <w:t xml:space="preserve">selected </w:t>
      </w:r>
      <w:r w:rsidR="003B0101" w:rsidRPr="00B83421">
        <w:rPr>
          <w:rFonts w:ascii="Times New Roman" w:hAnsi="Times New Roman" w:cs="Times New Roman"/>
          <w:sz w:val="24"/>
          <w:szCs w:val="24"/>
        </w:rPr>
        <w:t xml:space="preserve">as </w:t>
      </w:r>
      <w:r w:rsidR="00557BE9" w:rsidRPr="00B83421">
        <w:rPr>
          <w:rFonts w:ascii="Times New Roman" w:hAnsi="Times New Roman" w:cs="Times New Roman"/>
          <w:sz w:val="24"/>
          <w:szCs w:val="24"/>
        </w:rPr>
        <w:t xml:space="preserve">the ‘official’ </w:t>
      </w:r>
      <w:r w:rsidR="00412D44">
        <w:rPr>
          <w:rFonts w:ascii="Times New Roman" w:hAnsi="Times New Roman" w:cs="Times New Roman"/>
          <w:sz w:val="24"/>
          <w:szCs w:val="24"/>
        </w:rPr>
        <w:t>JWS</w:t>
      </w:r>
      <w:r w:rsidR="00524366" w:rsidRPr="00B83421">
        <w:rPr>
          <w:rFonts w:ascii="Times New Roman" w:hAnsi="Times New Roman" w:cs="Times New Roman"/>
          <w:sz w:val="24"/>
          <w:szCs w:val="24"/>
        </w:rPr>
        <w:t xml:space="preserve">.  We now find that </w:t>
      </w:r>
      <w:r w:rsidR="00B46CB7" w:rsidRPr="00B83421">
        <w:rPr>
          <w:rFonts w:ascii="Times New Roman" w:hAnsi="Times New Roman" w:cs="Times New Roman"/>
          <w:sz w:val="24"/>
          <w:szCs w:val="24"/>
        </w:rPr>
        <w:t xml:space="preserve">only </w:t>
      </w:r>
      <w:r w:rsidR="00956A0A" w:rsidRPr="00B83421">
        <w:rPr>
          <w:rFonts w:ascii="Times New Roman" w:hAnsi="Times New Roman" w:cs="Times New Roman"/>
          <w:sz w:val="24"/>
          <w:szCs w:val="24"/>
        </w:rPr>
        <w:t>1</w:t>
      </w:r>
      <w:r w:rsidR="00B46CB7" w:rsidRPr="00B83421">
        <w:rPr>
          <w:rFonts w:ascii="Times New Roman" w:hAnsi="Times New Roman" w:cs="Times New Roman"/>
          <w:sz w:val="24"/>
          <w:szCs w:val="24"/>
        </w:rPr>
        <w:t>4</w:t>
      </w:r>
      <w:r w:rsidR="00956A0A" w:rsidRPr="00B83421">
        <w:rPr>
          <w:rFonts w:ascii="Times New Roman" w:hAnsi="Times New Roman" w:cs="Times New Roman"/>
          <w:sz w:val="24"/>
          <w:szCs w:val="24"/>
        </w:rPr>
        <w:t xml:space="preserve"> of our 17 </w:t>
      </w:r>
      <w:r w:rsidR="0031377F" w:rsidRPr="00B83421">
        <w:rPr>
          <w:rFonts w:ascii="Times New Roman" w:hAnsi="Times New Roman" w:cs="Times New Roman"/>
          <w:sz w:val="24"/>
          <w:szCs w:val="24"/>
        </w:rPr>
        <w:t xml:space="preserve">‘true </w:t>
      </w:r>
      <w:r w:rsidR="00956A0A" w:rsidRPr="00B83421">
        <w:rPr>
          <w:rFonts w:ascii="Times New Roman" w:hAnsi="Times New Roman" w:cs="Times New Roman"/>
          <w:sz w:val="24"/>
          <w:szCs w:val="24"/>
        </w:rPr>
        <w:t>A</w:t>
      </w:r>
      <w:r w:rsidR="0031377F" w:rsidRPr="00B83421">
        <w:rPr>
          <w:rFonts w:ascii="Times New Roman" w:hAnsi="Times New Roman" w:cs="Times New Roman"/>
          <w:sz w:val="24"/>
          <w:szCs w:val="24"/>
        </w:rPr>
        <w:t>s</w:t>
      </w:r>
      <w:r w:rsidR="00956A0A" w:rsidRPr="00B83421">
        <w:rPr>
          <w:rFonts w:ascii="Times New Roman" w:hAnsi="Times New Roman" w:cs="Times New Roman"/>
          <w:sz w:val="24"/>
          <w:szCs w:val="24"/>
        </w:rPr>
        <w:t xml:space="preserve">’ </w:t>
      </w:r>
      <w:r w:rsidR="00D46AED" w:rsidRPr="00B83421">
        <w:rPr>
          <w:rFonts w:ascii="Times New Roman" w:hAnsi="Times New Roman" w:cs="Times New Roman"/>
          <w:sz w:val="24"/>
          <w:szCs w:val="24"/>
        </w:rPr>
        <w:t xml:space="preserve">are </w:t>
      </w:r>
      <w:r w:rsidR="00956A0A" w:rsidRPr="00B83421">
        <w:rPr>
          <w:rFonts w:ascii="Times New Roman" w:hAnsi="Times New Roman" w:cs="Times New Roman"/>
          <w:sz w:val="24"/>
          <w:szCs w:val="24"/>
        </w:rPr>
        <w:t xml:space="preserve">ranked in </w:t>
      </w:r>
      <w:r w:rsidR="00557BE9" w:rsidRPr="00B83421">
        <w:rPr>
          <w:rFonts w:ascii="Times New Roman" w:hAnsi="Times New Roman" w:cs="Times New Roman"/>
          <w:b/>
          <w:sz w:val="24"/>
          <w:szCs w:val="24"/>
        </w:rPr>
        <w:t>AVJWS</w:t>
      </w:r>
      <w:r w:rsidR="00557BE9" w:rsidRPr="00B83421">
        <w:rPr>
          <w:rFonts w:ascii="Times New Roman" w:hAnsi="Times New Roman" w:cs="Times New Roman"/>
          <w:sz w:val="24"/>
          <w:szCs w:val="24"/>
        </w:rPr>
        <w:t xml:space="preserve">’s </w:t>
      </w:r>
      <w:r w:rsidR="00956A0A" w:rsidRPr="00B83421">
        <w:rPr>
          <w:rFonts w:ascii="Times New Roman" w:hAnsi="Times New Roman" w:cs="Times New Roman"/>
          <w:sz w:val="24"/>
          <w:szCs w:val="24"/>
        </w:rPr>
        <w:t xml:space="preserve">top 17; and </w:t>
      </w:r>
      <w:r w:rsidR="00C4075B" w:rsidRPr="00B83421">
        <w:rPr>
          <w:rFonts w:ascii="Times New Roman" w:hAnsi="Times New Roman" w:cs="Times New Roman"/>
          <w:sz w:val="24"/>
          <w:szCs w:val="24"/>
        </w:rPr>
        <w:t xml:space="preserve">only </w:t>
      </w:r>
      <w:r w:rsidR="00B46CB7" w:rsidRPr="00B83421">
        <w:rPr>
          <w:rFonts w:ascii="Times New Roman" w:hAnsi="Times New Roman" w:cs="Times New Roman"/>
          <w:sz w:val="24"/>
          <w:szCs w:val="24"/>
        </w:rPr>
        <w:t>47</w:t>
      </w:r>
      <w:r w:rsidR="00956A0A" w:rsidRPr="00B83421">
        <w:rPr>
          <w:rFonts w:ascii="Times New Roman" w:hAnsi="Times New Roman" w:cs="Times New Roman"/>
          <w:sz w:val="24"/>
          <w:szCs w:val="24"/>
        </w:rPr>
        <w:t xml:space="preserve"> our 55 ‘</w:t>
      </w:r>
      <w:r w:rsidR="0031377F" w:rsidRPr="00B83421">
        <w:rPr>
          <w:rFonts w:ascii="Times New Roman" w:hAnsi="Times New Roman" w:cs="Times New Roman"/>
          <w:sz w:val="24"/>
          <w:szCs w:val="24"/>
        </w:rPr>
        <w:t xml:space="preserve">true </w:t>
      </w:r>
      <w:r w:rsidR="00956A0A" w:rsidRPr="00B83421">
        <w:rPr>
          <w:rFonts w:ascii="Times New Roman" w:hAnsi="Times New Roman" w:cs="Times New Roman"/>
          <w:sz w:val="24"/>
          <w:szCs w:val="24"/>
        </w:rPr>
        <w:t>B</w:t>
      </w:r>
      <w:r w:rsidR="00981C5A" w:rsidRPr="00B83421">
        <w:rPr>
          <w:rFonts w:ascii="Times New Roman" w:hAnsi="Times New Roman" w:cs="Times New Roman"/>
          <w:sz w:val="24"/>
          <w:szCs w:val="24"/>
        </w:rPr>
        <w:t>s</w:t>
      </w:r>
      <w:r w:rsidR="00956A0A" w:rsidRPr="00B83421">
        <w:rPr>
          <w:rFonts w:ascii="Times New Roman" w:hAnsi="Times New Roman" w:cs="Times New Roman"/>
          <w:sz w:val="24"/>
          <w:szCs w:val="24"/>
        </w:rPr>
        <w:t xml:space="preserve">’ </w:t>
      </w:r>
      <w:r w:rsidR="00981C5A" w:rsidRPr="00B83421">
        <w:rPr>
          <w:rFonts w:ascii="Times New Roman" w:hAnsi="Times New Roman" w:cs="Times New Roman"/>
          <w:sz w:val="24"/>
          <w:szCs w:val="24"/>
        </w:rPr>
        <w:t xml:space="preserve">and </w:t>
      </w:r>
      <w:r w:rsidR="00B46CB7" w:rsidRPr="00B83421">
        <w:rPr>
          <w:rFonts w:ascii="Times New Roman" w:hAnsi="Times New Roman" w:cs="Times New Roman"/>
          <w:sz w:val="24"/>
          <w:szCs w:val="24"/>
        </w:rPr>
        <w:t>36</w:t>
      </w:r>
      <w:r w:rsidR="00981C5A" w:rsidRPr="00B83421">
        <w:rPr>
          <w:rFonts w:ascii="Times New Roman" w:hAnsi="Times New Roman" w:cs="Times New Roman"/>
          <w:sz w:val="24"/>
          <w:szCs w:val="24"/>
        </w:rPr>
        <w:t xml:space="preserve"> of 41 ‘</w:t>
      </w:r>
      <w:r w:rsidR="0031377F" w:rsidRPr="00B83421">
        <w:rPr>
          <w:rFonts w:ascii="Times New Roman" w:hAnsi="Times New Roman" w:cs="Times New Roman"/>
          <w:sz w:val="24"/>
          <w:szCs w:val="24"/>
        </w:rPr>
        <w:t xml:space="preserve">true </w:t>
      </w:r>
      <w:r w:rsidR="00981C5A" w:rsidRPr="00B83421">
        <w:rPr>
          <w:rFonts w:ascii="Times New Roman" w:hAnsi="Times New Roman" w:cs="Times New Roman"/>
          <w:sz w:val="24"/>
          <w:szCs w:val="24"/>
        </w:rPr>
        <w:t xml:space="preserve">Cs’ </w:t>
      </w:r>
      <w:r w:rsidR="00C4075B" w:rsidRPr="00B83421">
        <w:rPr>
          <w:rFonts w:ascii="Times New Roman" w:hAnsi="Times New Roman" w:cs="Times New Roman"/>
          <w:sz w:val="24"/>
          <w:szCs w:val="24"/>
        </w:rPr>
        <w:t xml:space="preserve">received their proper </w:t>
      </w:r>
      <w:r w:rsidR="00557BE9" w:rsidRPr="00B83421">
        <w:rPr>
          <w:rFonts w:ascii="Times New Roman" w:hAnsi="Times New Roman" w:cs="Times New Roman"/>
          <w:sz w:val="24"/>
          <w:szCs w:val="24"/>
        </w:rPr>
        <w:t xml:space="preserve">ranks.  </w:t>
      </w:r>
      <w:r w:rsidR="00DF3463" w:rsidRPr="00B83421">
        <w:rPr>
          <w:rFonts w:ascii="Times New Roman" w:hAnsi="Times New Roman" w:cs="Times New Roman"/>
          <w:sz w:val="24"/>
          <w:szCs w:val="24"/>
        </w:rPr>
        <w:t xml:space="preserve">The discrepancy in ‘true’ versus ‘official’ letter grades is more extreme </w:t>
      </w:r>
      <w:r w:rsidR="0031377F" w:rsidRPr="00B83421">
        <w:rPr>
          <w:rFonts w:ascii="Times New Roman" w:hAnsi="Times New Roman" w:cs="Times New Roman"/>
          <w:sz w:val="24"/>
          <w:szCs w:val="24"/>
        </w:rPr>
        <w:t xml:space="preserve">if </w:t>
      </w:r>
      <w:r w:rsidR="009B22D0" w:rsidRPr="00B83421">
        <w:rPr>
          <w:rFonts w:ascii="Times New Roman" w:hAnsi="Times New Roman" w:cs="Times New Roman"/>
          <w:b/>
          <w:sz w:val="24"/>
          <w:szCs w:val="24"/>
        </w:rPr>
        <w:t>NZ</w:t>
      </w:r>
      <w:r w:rsidR="004E539F" w:rsidRPr="00B83421">
        <w:rPr>
          <w:rFonts w:ascii="Times New Roman" w:hAnsi="Times New Roman" w:cs="Times New Roman"/>
          <w:b/>
          <w:sz w:val="24"/>
          <w:szCs w:val="24"/>
        </w:rPr>
        <w:t>ABDC</w:t>
      </w:r>
      <w:r w:rsidR="0031377F" w:rsidRPr="00B83421">
        <w:rPr>
          <w:rFonts w:ascii="Times New Roman" w:hAnsi="Times New Roman" w:cs="Times New Roman"/>
          <w:b/>
          <w:sz w:val="24"/>
          <w:szCs w:val="24"/>
        </w:rPr>
        <w:t xml:space="preserve"> </w:t>
      </w:r>
      <w:r w:rsidR="00B46CB7" w:rsidRPr="00B83421">
        <w:rPr>
          <w:rFonts w:ascii="Times New Roman" w:hAnsi="Times New Roman" w:cs="Times New Roman"/>
          <w:sz w:val="24"/>
          <w:szCs w:val="24"/>
        </w:rPr>
        <w:t xml:space="preserve">is </w:t>
      </w:r>
      <w:r w:rsidR="00557BE9" w:rsidRPr="00B83421">
        <w:rPr>
          <w:rFonts w:ascii="Times New Roman" w:hAnsi="Times New Roman" w:cs="Times New Roman"/>
          <w:sz w:val="24"/>
          <w:szCs w:val="24"/>
        </w:rPr>
        <w:t xml:space="preserve">selected as the ‘official’ </w:t>
      </w:r>
      <w:r w:rsidR="00412D44">
        <w:rPr>
          <w:rFonts w:ascii="Times New Roman" w:hAnsi="Times New Roman" w:cs="Times New Roman"/>
          <w:sz w:val="24"/>
          <w:szCs w:val="24"/>
        </w:rPr>
        <w:t>JWS</w:t>
      </w:r>
      <w:r w:rsidR="00F93319" w:rsidRPr="00B83421">
        <w:rPr>
          <w:rFonts w:ascii="Times New Roman" w:hAnsi="Times New Roman" w:cs="Times New Roman"/>
          <w:sz w:val="24"/>
          <w:szCs w:val="24"/>
        </w:rPr>
        <w:t xml:space="preserve">.  </w:t>
      </w:r>
      <w:r w:rsidR="00407F05" w:rsidRPr="00B83421">
        <w:rPr>
          <w:rFonts w:ascii="Times New Roman" w:hAnsi="Times New Roman" w:cs="Times New Roman"/>
          <w:sz w:val="24"/>
          <w:szCs w:val="24"/>
        </w:rPr>
        <w:t>W</w:t>
      </w:r>
      <w:r w:rsidR="00EE41C7" w:rsidRPr="00B83421">
        <w:rPr>
          <w:rFonts w:ascii="Times New Roman" w:hAnsi="Times New Roman" w:cs="Times New Roman"/>
          <w:sz w:val="24"/>
          <w:szCs w:val="24"/>
        </w:rPr>
        <w:t xml:space="preserve">e now find that </w:t>
      </w:r>
      <w:r w:rsidR="00B46CB7" w:rsidRPr="00B83421">
        <w:rPr>
          <w:rFonts w:ascii="Times New Roman" w:hAnsi="Times New Roman" w:cs="Times New Roman"/>
          <w:sz w:val="24"/>
          <w:szCs w:val="24"/>
        </w:rPr>
        <w:t>29.4 percent of ‘</w:t>
      </w:r>
      <w:r w:rsidR="00EE41C7" w:rsidRPr="00B83421">
        <w:rPr>
          <w:rFonts w:ascii="Times New Roman" w:hAnsi="Times New Roman" w:cs="Times New Roman"/>
          <w:sz w:val="24"/>
          <w:szCs w:val="24"/>
        </w:rPr>
        <w:t>true As</w:t>
      </w:r>
      <w:r w:rsidR="00557BE9" w:rsidRPr="00B83421">
        <w:rPr>
          <w:rFonts w:ascii="Times New Roman" w:hAnsi="Times New Roman" w:cs="Times New Roman"/>
          <w:sz w:val="24"/>
          <w:szCs w:val="24"/>
        </w:rPr>
        <w:t>’</w:t>
      </w:r>
      <w:r w:rsidR="00EE41C7" w:rsidRPr="00B83421">
        <w:rPr>
          <w:rFonts w:ascii="Times New Roman" w:hAnsi="Times New Roman" w:cs="Times New Roman"/>
          <w:sz w:val="24"/>
          <w:szCs w:val="24"/>
        </w:rPr>
        <w:t xml:space="preserve"> </w:t>
      </w:r>
      <w:r w:rsidR="00B46CB7" w:rsidRPr="00B83421">
        <w:rPr>
          <w:rFonts w:ascii="Times New Roman" w:hAnsi="Times New Roman" w:cs="Times New Roman"/>
          <w:sz w:val="24"/>
          <w:szCs w:val="24"/>
        </w:rPr>
        <w:t>received a  ‘B’</w:t>
      </w:r>
      <w:r w:rsidR="00EE41C7" w:rsidRPr="00B83421">
        <w:rPr>
          <w:rFonts w:ascii="Times New Roman" w:hAnsi="Times New Roman" w:cs="Times New Roman"/>
          <w:sz w:val="24"/>
          <w:szCs w:val="24"/>
        </w:rPr>
        <w:t xml:space="preserve"> (</w:t>
      </w:r>
      <w:r w:rsidR="00B46CB7" w:rsidRPr="00B83421">
        <w:rPr>
          <w:rFonts w:ascii="Times New Roman" w:hAnsi="Times New Roman" w:cs="Times New Roman"/>
          <w:sz w:val="24"/>
          <w:szCs w:val="24"/>
        </w:rPr>
        <w:t>5</w:t>
      </w:r>
      <w:r w:rsidR="00EE41C7" w:rsidRPr="00B83421">
        <w:rPr>
          <w:rFonts w:ascii="Times New Roman" w:hAnsi="Times New Roman" w:cs="Times New Roman"/>
          <w:sz w:val="24"/>
          <w:szCs w:val="24"/>
        </w:rPr>
        <w:t xml:space="preserve"> out of 17) and only </w:t>
      </w:r>
      <w:r w:rsidR="009B22D0" w:rsidRPr="00B83421">
        <w:rPr>
          <w:rFonts w:ascii="Times New Roman" w:hAnsi="Times New Roman" w:cs="Times New Roman"/>
          <w:sz w:val="24"/>
          <w:szCs w:val="24"/>
        </w:rPr>
        <w:t>74.5</w:t>
      </w:r>
      <w:r w:rsidR="00B46CB7" w:rsidRPr="00B83421">
        <w:rPr>
          <w:rFonts w:ascii="Times New Roman" w:hAnsi="Times New Roman" w:cs="Times New Roman"/>
          <w:sz w:val="24"/>
          <w:szCs w:val="24"/>
        </w:rPr>
        <w:t xml:space="preserve"> percent of ‘</w:t>
      </w:r>
      <w:r w:rsidR="00EE41C7" w:rsidRPr="00B83421">
        <w:rPr>
          <w:rFonts w:ascii="Times New Roman" w:hAnsi="Times New Roman" w:cs="Times New Roman"/>
          <w:sz w:val="24"/>
          <w:szCs w:val="24"/>
        </w:rPr>
        <w:t>true</w:t>
      </w:r>
      <w:r w:rsidR="00765AC7" w:rsidRPr="00B83421">
        <w:rPr>
          <w:rFonts w:ascii="Times New Roman" w:hAnsi="Times New Roman" w:cs="Times New Roman"/>
          <w:sz w:val="24"/>
          <w:szCs w:val="24"/>
        </w:rPr>
        <w:t xml:space="preserve"> </w:t>
      </w:r>
      <w:r w:rsidR="00EE41C7" w:rsidRPr="00B83421">
        <w:rPr>
          <w:rFonts w:ascii="Times New Roman" w:hAnsi="Times New Roman" w:cs="Times New Roman"/>
          <w:sz w:val="24"/>
          <w:szCs w:val="24"/>
        </w:rPr>
        <w:t>Bs</w:t>
      </w:r>
      <w:r w:rsidR="00557BE9" w:rsidRPr="00B83421">
        <w:rPr>
          <w:rFonts w:ascii="Times New Roman" w:hAnsi="Times New Roman" w:cs="Times New Roman"/>
          <w:sz w:val="24"/>
          <w:szCs w:val="24"/>
        </w:rPr>
        <w:t xml:space="preserve">’ </w:t>
      </w:r>
      <w:r w:rsidR="0031377F" w:rsidRPr="00B83421">
        <w:rPr>
          <w:rFonts w:ascii="Times New Roman" w:hAnsi="Times New Roman" w:cs="Times New Roman"/>
          <w:sz w:val="24"/>
          <w:szCs w:val="24"/>
        </w:rPr>
        <w:t>receive</w:t>
      </w:r>
      <w:r w:rsidR="00B46CB7" w:rsidRPr="00B83421">
        <w:rPr>
          <w:rFonts w:ascii="Times New Roman" w:hAnsi="Times New Roman" w:cs="Times New Roman"/>
          <w:sz w:val="24"/>
          <w:szCs w:val="24"/>
        </w:rPr>
        <w:t>d</w:t>
      </w:r>
      <w:r w:rsidR="0031377F" w:rsidRPr="00B83421">
        <w:rPr>
          <w:rFonts w:ascii="Times New Roman" w:hAnsi="Times New Roman" w:cs="Times New Roman"/>
          <w:sz w:val="24"/>
          <w:szCs w:val="24"/>
        </w:rPr>
        <w:t xml:space="preserve"> t</w:t>
      </w:r>
      <w:r w:rsidR="007514FB" w:rsidRPr="00B83421">
        <w:rPr>
          <w:rFonts w:ascii="Times New Roman" w:hAnsi="Times New Roman" w:cs="Times New Roman"/>
          <w:sz w:val="24"/>
          <w:szCs w:val="24"/>
        </w:rPr>
        <w:t>he correct</w:t>
      </w:r>
      <w:r w:rsidR="0031377F" w:rsidRPr="00B83421">
        <w:rPr>
          <w:rFonts w:ascii="Times New Roman" w:hAnsi="Times New Roman" w:cs="Times New Roman"/>
          <w:sz w:val="24"/>
          <w:szCs w:val="24"/>
        </w:rPr>
        <w:t xml:space="preserve"> </w:t>
      </w:r>
      <w:r w:rsidR="00EE41C7" w:rsidRPr="00B83421">
        <w:rPr>
          <w:rFonts w:ascii="Times New Roman" w:hAnsi="Times New Roman" w:cs="Times New Roman"/>
          <w:sz w:val="24"/>
          <w:szCs w:val="24"/>
        </w:rPr>
        <w:t>grade (</w:t>
      </w:r>
      <w:r w:rsidR="009B22D0" w:rsidRPr="00B83421">
        <w:rPr>
          <w:rFonts w:ascii="Times New Roman" w:hAnsi="Times New Roman" w:cs="Times New Roman"/>
          <w:sz w:val="24"/>
          <w:szCs w:val="24"/>
        </w:rPr>
        <w:t>41</w:t>
      </w:r>
      <w:r w:rsidR="00387FEB">
        <w:rPr>
          <w:rFonts w:ascii="Times New Roman" w:hAnsi="Times New Roman" w:cs="Times New Roman"/>
          <w:sz w:val="24"/>
          <w:szCs w:val="24"/>
        </w:rPr>
        <w:t xml:space="preserve"> of 55)</w:t>
      </w:r>
      <w:r w:rsidR="00F93319" w:rsidRPr="00B83421">
        <w:rPr>
          <w:rFonts w:ascii="Times New Roman" w:hAnsi="Times New Roman" w:cs="Times New Roman"/>
          <w:sz w:val="24"/>
          <w:szCs w:val="24"/>
        </w:rPr>
        <w:t xml:space="preserve">.  It follows that only </w:t>
      </w:r>
      <w:r w:rsidR="009B22D0" w:rsidRPr="00B83421">
        <w:rPr>
          <w:rFonts w:ascii="Times New Roman" w:hAnsi="Times New Roman" w:cs="Times New Roman"/>
          <w:sz w:val="24"/>
          <w:szCs w:val="24"/>
        </w:rPr>
        <w:t>32</w:t>
      </w:r>
      <w:r w:rsidR="00F93319" w:rsidRPr="00B83421">
        <w:rPr>
          <w:rFonts w:ascii="Times New Roman" w:hAnsi="Times New Roman" w:cs="Times New Roman"/>
          <w:sz w:val="24"/>
          <w:szCs w:val="24"/>
        </w:rPr>
        <w:t xml:space="preserve"> of 41 ‘true</w:t>
      </w:r>
      <w:r w:rsidR="00765AC7" w:rsidRPr="00B83421">
        <w:rPr>
          <w:rFonts w:ascii="Times New Roman" w:hAnsi="Times New Roman" w:cs="Times New Roman"/>
          <w:sz w:val="24"/>
          <w:szCs w:val="24"/>
        </w:rPr>
        <w:t xml:space="preserve"> </w:t>
      </w:r>
      <w:r w:rsidR="00F93319" w:rsidRPr="00B83421">
        <w:rPr>
          <w:rFonts w:ascii="Times New Roman" w:hAnsi="Times New Roman" w:cs="Times New Roman"/>
          <w:sz w:val="24"/>
          <w:szCs w:val="24"/>
        </w:rPr>
        <w:t xml:space="preserve">Cs’ </w:t>
      </w:r>
      <w:r w:rsidR="007514FB" w:rsidRPr="00B83421">
        <w:rPr>
          <w:rFonts w:ascii="Times New Roman" w:hAnsi="Times New Roman" w:cs="Times New Roman"/>
          <w:sz w:val="24"/>
          <w:szCs w:val="24"/>
        </w:rPr>
        <w:t xml:space="preserve">were properly judged, </w:t>
      </w:r>
      <w:r w:rsidR="00F93319" w:rsidRPr="00B83421">
        <w:rPr>
          <w:rFonts w:ascii="Times New Roman" w:hAnsi="Times New Roman" w:cs="Times New Roman"/>
          <w:sz w:val="24"/>
          <w:szCs w:val="24"/>
        </w:rPr>
        <w:t xml:space="preserve">with the remaining </w:t>
      </w:r>
      <w:r w:rsidR="009B22D0" w:rsidRPr="00B83421">
        <w:rPr>
          <w:rFonts w:ascii="Times New Roman" w:hAnsi="Times New Roman" w:cs="Times New Roman"/>
          <w:sz w:val="24"/>
          <w:szCs w:val="24"/>
        </w:rPr>
        <w:t>9</w:t>
      </w:r>
      <w:r w:rsidR="00F93319" w:rsidRPr="00B83421">
        <w:rPr>
          <w:rFonts w:ascii="Times New Roman" w:hAnsi="Times New Roman" w:cs="Times New Roman"/>
          <w:sz w:val="24"/>
          <w:szCs w:val="24"/>
        </w:rPr>
        <w:t xml:space="preserve"> </w:t>
      </w:r>
      <w:r w:rsidR="00765AC7" w:rsidRPr="00B83421">
        <w:rPr>
          <w:rFonts w:ascii="Times New Roman" w:hAnsi="Times New Roman" w:cs="Times New Roman"/>
          <w:sz w:val="24"/>
          <w:szCs w:val="24"/>
        </w:rPr>
        <w:t xml:space="preserve">being assigned </w:t>
      </w:r>
      <w:r w:rsidR="00D44F6C">
        <w:rPr>
          <w:rFonts w:ascii="Times New Roman" w:hAnsi="Times New Roman" w:cs="Times New Roman"/>
          <w:sz w:val="24"/>
          <w:szCs w:val="24"/>
        </w:rPr>
        <w:t xml:space="preserve">a ‘B’. </w:t>
      </w:r>
      <w:r w:rsidR="00DF3463" w:rsidRPr="00B83421">
        <w:rPr>
          <w:rFonts w:ascii="Times New Roman" w:hAnsi="Times New Roman" w:cs="Times New Roman"/>
          <w:sz w:val="24"/>
          <w:szCs w:val="24"/>
        </w:rPr>
        <w:t xml:space="preserve">Given that the SP for the pairs </w:t>
      </w:r>
      <w:proofErr w:type="spellStart"/>
      <w:r w:rsidR="00DF3463" w:rsidRPr="00B83421">
        <w:rPr>
          <w:rFonts w:ascii="Times New Roman" w:hAnsi="Times New Roman" w:cs="Times New Roman"/>
          <w:b/>
          <w:sz w:val="24"/>
          <w:szCs w:val="24"/>
        </w:rPr>
        <w:t>CLh</w:t>
      </w:r>
      <w:proofErr w:type="gramStart"/>
      <w:r w:rsidR="00DF3463" w:rsidRPr="00B83421">
        <w:rPr>
          <w:rFonts w:ascii="Times New Roman" w:hAnsi="Times New Roman" w:cs="Times New Roman"/>
          <w:b/>
          <w:sz w:val="24"/>
          <w:szCs w:val="24"/>
        </w:rPr>
        <w:t>:AVJWS</w:t>
      </w:r>
      <w:proofErr w:type="spellEnd"/>
      <w:proofErr w:type="gramEnd"/>
      <w:r w:rsidR="00DF3463" w:rsidRPr="00B83421">
        <w:rPr>
          <w:rFonts w:ascii="Times New Roman" w:hAnsi="Times New Roman" w:cs="Times New Roman"/>
          <w:sz w:val="24"/>
          <w:szCs w:val="24"/>
        </w:rPr>
        <w:t xml:space="preserve"> and</w:t>
      </w:r>
      <w:r w:rsidR="00DF3463" w:rsidRPr="00B83421">
        <w:rPr>
          <w:rFonts w:ascii="Times New Roman" w:hAnsi="Times New Roman" w:cs="Times New Roman"/>
          <w:i/>
          <w:sz w:val="24"/>
          <w:szCs w:val="24"/>
        </w:rPr>
        <w:t xml:space="preserve"> </w:t>
      </w:r>
      <w:proofErr w:type="spellStart"/>
      <w:r w:rsidR="00DF3463" w:rsidRPr="00B83421">
        <w:rPr>
          <w:rFonts w:ascii="Times New Roman" w:hAnsi="Times New Roman" w:cs="Times New Roman"/>
          <w:b/>
          <w:sz w:val="24"/>
          <w:szCs w:val="24"/>
        </w:rPr>
        <w:t>CLh:</w:t>
      </w:r>
      <w:r w:rsidR="009B22D0" w:rsidRPr="00B83421">
        <w:rPr>
          <w:rFonts w:ascii="Times New Roman" w:hAnsi="Times New Roman" w:cs="Times New Roman"/>
          <w:b/>
          <w:sz w:val="24"/>
          <w:szCs w:val="24"/>
        </w:rPr>
        <w:t>NZ</w:t>
      </w:r>
      <w:r w:rsidR="00DF3463" w:rsidRPr="00B83421">
        <w:rPr>
          <w:rFonts w:ascii="Times New Roman" w:hAnsi="Times New Roman" w:cs="Times New Roman"/>
          <w:b/>
          <w:sz w:val="24"/>
          <w:szCs w:val="24"/>
        </w:rPr>
        <w:t>ABDC</w:t>
      </w:r>
      <w:proofErr w:type="spellEnd"/>
      <w:r w:rsidR="00DF3463" w:rsidRPr="00B83421">
        <w:rPr>
          <w:rFonts w:ascii="Times New Roman" w:hAnsi="Times New Roman" w:cs="Times New Roman"/>
          <w:sz w:val="24"/>
          <w:szCs w:val="24"/>
        </w:rPr>
        <w:t xml:space="preserve"> are 0.96 and 0.</w:t>
      </w:r>
      <w:r w:rsidR="009B22D0" w:rsidRPr="00B83421">
        <w:rPr>
          <w:rFonts w:ascii="Times New Roman" w:hAnsi="Times New Roman" w:cs="Times New Roman"/>
          <w:sz w:val="24"/>
          <w:szCs w:val="24"/>
        </w:rPr>
        <w:t>94</w:t>
      </w:r>
      <w:r w:rsidR="00DF3463" w:rsidRPr="00B83421">
        <w:rPr>
          <w:rFonts w:ascii="Times New Roman" w:hAnsi="Times New Roman" w:cs="Times New Roman"/>
          <w:sz w:val="24"/>
          <w:szCs w:val="24"/>
        </w:rPr>
        <w:t xml:space="preserve">, </w:t>
      </w:r>
      <w:r w:rsidR="009B22D0" w:rsidRPr="00B83421">
        <w:rPr>
          <w:rFonts w:ascii="Times New Roman" w:hAnsi="Times New Roman" w:cs="Times New Roman"/>
          <w:sz w:val="24"/>
          <w:szCs w:val="24"/>
        </w:rPr>
        <w:t xml:space="preserve">respectively, </w:t>
      </w:r>
      <w:r w:rsidR="00DF3463" w:rsidRPr="00B83421">
        <w:rPr>
          <w:rFonts w:ascii="Times New Roman" w:hAnsi="Times New Roman" w:cs="Times New Roman"/>
          <w:sz w:val="24"/>
          <w:szCs w:val="24"/>
        </w:rPr>
        <w:t xml:space="preserve">the above results are somewhat surprising.  </w:t>
      </w:r>
      <w:r w:rsidR="009B22D0" w:rsidRPr="00B83421">
        <w:rPr>
          <w:rFonts w:ascii="Times New Roman" w:hAnsi="Times New Roman" w:cs="Times New Roman"/>
          <w:sz w:val="24"/>
          <w:szCs w:val="24"/>
        </w:rPr>
        <w:t xml:space="preserve">They suggest that </w:t>
      </w:r>
      <w:r w:rsidR="0025164B" w:rsidRPr="00B83421">
        <w:rPr>
          <w:rFonts w:ascii="Times New Roman" w:hAnsi="Times New Roman" w:cs="Times New Roman"/>
          <w:sz w:val="24"/>
          <w:szCs w:val="24"/>
        </w:rPr>
        <w:t xml:space="preserve">failing to </w:t>
      </w:r>
      <w:r w:rsidR="008F499D" w:rsidRPr="00B83421">
        <w:rPr>
          <w:rFonts w:ascii="Times New Roman" w:hAnsi="Times New Roman" w:cs="Times New Roman"/>
          <w:sz w:val="24"/>
          <w:szCs w:val="24"/>
        </w:rPr>
        <w:t xml:space="preserve">select </w:t>
      </w:r>
      <w:r w:rsidR="0025164B" w:rsidRPr="00B83421">
        <w:rPr>
          <w:rFonts w:ascii="Times New Roman" w:hAnsi="Times New Roman" w:cs="Times New Roman"/>
          <w:sz w:val="24"/>
          <w:szCs w:val="24"/>
        </w:rPr>
        <w:t xml:space="preserve">the ‘true’ </w:t>
      </w:r>
      <w:r w:rsidR="00412D44">
        <w:rPr>
          <w:rFonts w:ascii="Times New Roman" w:hAnsi="Times New Roman" w:cs="Times New Roman"/>
          <w:sz w:val="24"/>
          <w:szCs w:val="24"/>
        </w:rPr>
        <w:t>JWS</w:t>
      </w:r>
      <w:r w:rsidR="00A25E43" w:rsidRPr="00B83421">
        <w:rPr>
          <w:rFonts w:ascii="Times New Roman" w:hAnsi="Times New Roman" w:cs="Times New Roman"/>
          <w:sz w:val="24"/>
          <w:szCs w:val="24"/>
        </w:rPr>
        <w:t xml:space="preserve"> as</w:t>
      </w:r>
      <w:r w:rsidR="0025164B" w:rsidRPr="00B83421">
        <w:rPr>
          <w:rFonts w:ascii="Times New Roman" w:hAnsi="Times New Roman" w:cs="Times New Roman"/>
          <w:sz w:val="24"/>
          <w:szCs w:val="24"/>
        </w:rPr>
        <w:t xml:space="preserve"> the ‘official’ </w:t>
      </w:r>
      <w:r w:rsidR="00C40349" w:rsidRPr="00B83421">
        <w:rPr>
          <w:rFonts w:ascii="Times New Roman" w:hAnsi="Times New Roman" w:cs="Times New Roman"/>
          <w:sz w:val="24"/>
          <w:szCs w:val="24"/>
        </w:rPr>
        <w:t xml:space="preserve">scheme, </w:t>
      </w:r>
      <w:r w:rsidR="0025164B" w:rsidRPr="00B83421">
        <w:rPr>
          <w:rFonts w:ascii="Times New Roman" w:hAnsi="Times New Roman" w:cs="Times New Roman"/>
          <w:sz w:val="24"/>
          <w:szCs w:val="24"/>
        </w:rPr>
        <w:t>in a PBRF-like environment</w:t>
      </w:r>
      <w:r w:rsidR="00407F05" w:rsidRPr="00B83421">
        <w:rPr>
          <w:rFonts w:ascii="Times New Roman" w:hAnsi="Times New Roman" w:cs="Times New Roman"/>
          <w:sz w:val="24"/>
          <w:szCs w:val="24"/>
        </w:rPr>
        <w:t>,</w:t>
      </w:r>
      <w:r w:rsidR="0025164B" w:rsidRPr="00B83421">
        <w:rPr>
          <w:rFonts w:ascii="Times New Roman" w:hAnsi="Times New Roman" w:cs="Times New Roman"/>
          <w:sz w:val="24"/>
          <w:szCs w:val="24"/>
        </w:rPr>
        <w:t xml:space="preserve"> </w:t>
      </w:r>
      <w:r w:rsidR="00407F05" w:rsidRPr="00B83421">
        <w:rPr>
          <w:rFonts w:ascii="Times New Roman" w:hAnsi="Times New Roman" w:cs="Times New Roman"/>
          <w:sz w:val="24"/>
          <w:szCs w:val="24"/>
        </w:rPr>
        <w:t xml:space="preserve">is likely to create serious hardship </w:t>
      </w:r>
      <w:r w:rsidR="009B22D0" w:rsidRPr="00B83421">
        <w:rPr>
          <w:rFonts w:ascii="Times New Roman" w:hAnsi="Times New Roman" w:cs="Times New Roman"/>
          <w:sz w:val="24"/>
          <w:szCs w:val="24"/>
        </w:rPr>
        <w:t>for many researchers, especially since letter grade</w:t>
      </w:r>
      <w:r w:rsidR="00407F05" w:rsidRPr="00B83421">
        <w:rPr>
          <w:rFonts w:ascii="Times New Roman" w:hAnsi="Times New Roman" w:cs="Times New Roman"/>
          <w:sz w:val="24"/>
          <w:szCs w:val="24"/>
        </w:rPr>
        <w:t>s</w:t>
      </w:r>
      <w:r w:rsidR="009B22D0" w:rsidRPr="00B83421">
        <w:rPr>
          <w:rFonts w:ascii="Times New Roman" w:hAnsi="Times New Roman" w:cs="Times New Roman"/>
          <w:sz w:val="24"/>
          <w:szCs w:val="24"/>
        </w:rPr>
        <w:t xml:space="preserve"> remains the same for a six year period.  </w:t>
      </w:r>
      <w:r w:rsidR="00C40349" w:rsidRPr="00B83421">
        <w:rPr>
          <w:rFonts w:ascii="Times New Roman" w:hAnsi="Times New Roman" w:cs="Times New Roman"/>
          <w:sz w:val="24"/>
          <w:szCs w:val="24"/>
        </w:rPr>
        <w:t>In the context of this study, this statement holds for any combination of ‘true’ and ‘official’ journal weighting schemes.</w:t>
      </w:r>
    </w:p>
    <w:p w14:paraId="579DF9F8" w14:textId="77777777" w:rsidR="00160E0C" w:rsidRPr="00B83421" w:rsidRDefault="00160E0C" w:rsidP="00316E1D">
      <w:pPr>
        <w:spacing w:after="0" w:line="288" w:lineRule="auto"/>
        <w:ind w:firstLine="720"/>
        <w:jc w:val="both"/>
        <w:rPr>
          <w:rFonts w:ascii="Times New Roman" w:hAnsi="Times New Roman" w:cs="Times New Roman"/>
          <w:sz w:val="24"/>
          <w:szCs w:val="24"/>
        </w:rPr>
      </w:pPr>
    </w:p>
    <w:p w14:paraId="42620516" w14:textId="4AC7A65D" w:rsidR="00FB6639" w:rsidRDefault="00E40905" w:rsidP="00316E1D">
      <w:pPr>
        <w:spacing w:after="0" w:line="288" w:lineRule="auto"/>
        <w:ind w:firstLine="720"/>
        <w:jc w:val="both"/>
        <w:rPr>
          <w:rFonts w:ascii="Times New Roman" w:hAnsi="Times New Roman" w:cs="Times New Roman"/>
          <w:sz w:val="24"/>
          <w:szCs w:val="24"/>
        </w:rPr>
      </w:pPr>
      <w:r w:rsidRPr="00B83421">
        <w:rPr>
          <w:rFonts w:ascii="Times New Roman" w:hAnsi="Times New Roman" w:cs="Times New Roman"/>
          <w:sz w:val="24"/>
          <w:szCs w:val="24"/>
        </w:rPr>
        <w:t>Before concluding this section of the paper, we explore the impact on letter grade assignment when the unit of output employed in a PBRF-like environment differs from the ‘true’ measure.  Our approach is similar to that discussed in the preceding paragraph: we arbitrarily designate share and size adjusted pages as the ‘true’ output measure</w:t>
      </w:r>
      <w:r w:rsidR="00C63EE9" w:rsidRPr="00B83421">
        <w:rPr>
          <w:rFonts w:ascii="Times New Roman" w:hAnsi="Times New Roman" w:cs="Times New Roman"/>
          <w:sz w:val="24"/>
          <w:szCs w:val="24"/>
        </w:rPr>
        <w:t>,</w:t>
      </w:r>
      <w:r w:rsidR="00E45658" w:rsidRPr="00B83421">
        <w:rPr>
          <w:rFonts w:ascii="Times New Roman" w:hAnsi="Times New Roman" w:cs="Times New Roman"/>
          <w:sz w:val="24"/>
          <w:szCs w:val="24"/>
        </w:rPr>
        <w:t xml:space="preserve"> and </w:t>
      </w:r>
      <w:proofErr w:type="spellStart"/>
      <w:r w:rsidR="00E45658" w:rsidRPr="00B83421">
        <w:rPr>
          <w:rFonts w:ascii="Times New Roman" w:hAnsi="Times New Roman" w:cs="Times New Roman"/>
          <w:b/>
          <w:sz w:val="24"/>
          <w:szCs w:val="24"/>
        </w:rPr>
        <w:t>CLh</w:t>
      </w:r>
      <w:proofErr w:type="spellEnd"/>
      <w:r w:rsidR="00E45658" w:rsidRPr="00B83421">
        <w:rPr>
          <w:rFonts w:ascii="Times New Roman" w:hAnsi="Times New Roman" w:cs="Times New Roman"/>
          <w:sz w:val="24"/>
          <w:szCs w:val="24"/>
        </w:rPr>
        <w:t xml:space="preserve"> as the ‘true’ </w:t>
      </w:r>
      <w:r w:rsidR="00412D44">
        <w:rPr>
          <w:rFonts w:ascii="Times New Roman" w:hAnsi="Times New Roman" w:cs="Times New Roman"/>
          <w:sz w:val="24"/>
          <w:szCs w:val="24"/>
        </w:rPr>
        <w:t>JWS</w:t>
      </w:r>
      <w:r w:rsidR="000154BA" w:rsidRPr="00B83421">
        <w:rPr>
          <w:rFonts w:ascii="Times New Roman" w:hAnsi="Times New Roman" w:cs="Times New Roman"/>
          <w:sz w:val="24"/>
          <w:szCs w:val="24"/>
        </w:rPr>
        <w:t xml:space="preserve">; and then explore the impact on letter grade assignment if a </w:t>
      </w:r>
      <w:r w:rsidR="00BB1A47" w:rsidRPr="00B83421">
        <w:rPr>
          <w:rFonts w:ascii="Times New Roman" w:hAnsi="Times New Roman" w:cs="Times New Roman"/>
          <w:sz w:val="24"/>
          <w:szCs w:val="24"/>
        </w:rPr>
        <w:t>‘</w:t>
      </w:r>
      <w:r w:rsidR="000154BA" w:rsidRPr="00B83421">
        <w:rPr>
          <w:rFonts w:ascii="Times New Roman" w:hAnsi="Times New Roman" w:cs="Times New Roman"/>
          <w:sz w:val="24"/>
          <w:szCs w:val="24"/>
        </w:rPr>
        <w:t>non-true</w:t>
      </w:r>
      <w:r w:rsidR="00BB1A47" w:rsidRPr="00B83421">
        <w:rPr>
          <w:rFonts w:ascii="Times New Roman" w:hAnsi="Times New Roman" w:cs="Times New Roman"/>
          <w:sz w:val="24"/>
          <w:szCs w:val="24"/>
        </w:rPr>
        <w:t>’</w:t>
      </w:r>
      <w:r w:rsidR="000154BA" w:rsidRPr="00B83421">
        <w:rPr>
          <w:rFonts w:ascii="Times New Roman" w:hAnsi="Times New Roman" w:cs="Times New Roman"/>
          <w:sz w:val="24"/>
          <w:szCs w:val="24"/>
        </w:rPr>
        <w:t xml:space="preserve"> scheme is selected as the</w:t>
      </w:r>
      <w:r w:rsidR="00BB1A47" w:rsidRPr="00B83421">
        <w:rPr>
          <w:rFonts w:ascii="Times New Roman" w:hAnsi="Times New Roman" w:cs="Times New Roman"/>
          <w:sz w:val="24"/>
          <w:szCs w:val="24"/>
        </w:rPr>
        <w:t>’</w:t>
      </w:r>
      <w:r w:rsidR="000154BA" w:rsidRPr="00B83421">
        <w:rPr>
          <w:rFonts w:ascii="Times New Roman" w:hAnsi="Times New Roman" w:cs="Times New Roman"/>
          <w:sz w:val="24"/>
          <w:szCs w:val="24"/>
        </w:rPr>
        <w:t xml:space="preserve"> official</w:t>
      </w:r>
      <w:r w:rsidR="00BB1A47" w:rsidRPr="00B83421">
        <w:rPr>
          <w:rFonts w:ascii="Times New Roman" w:hAnsi="Times New Roman" w:cs="Times New Roman"/>
          <w:sz w:val="24"/>
          <w:szCs w:val="24"/>
        </w:rPr>
        <w:t>’</w:t>
      </w:r>
      <w:r w:rsidR="000154BA" w:rsidRPr="00B83421">
        <w:rPr>
          <w:rFonts w:ascii="Times New Roman" w:hAnsi="Times New Roman" w:cs="Times New Roman"/>
          <w:sz w:val="24"/>
          <w:szCs w:val="24"/>
        </w:rPr>
        <w:t xml:space="preserve"> unit of account.  The results </w:t>
      </w:r>
      <w:r w:rsidR="00C63EE9" w:rsidRPr="00B83421">
        <w:rPr>
          <w:rFonts w:ascii="Times New Roman" w:hAnsi="Times New Roman" w:cs="Times New Roman"/>
          <w:sz w:val="24"/>
          <w:szCs w:val="24"/>
        </w:rPr>
        <w:t>of this exercise are displayed i</w:t>
      </w:r>
      <w:r w:rsidR="000154BA" w:rsidRPr="00B83421">
        <w:rPr>
          <w:rFonts w:ascii="Times New Roman" w:hAnsi="Times New Roman" w:cs="Times New Roman"/>
          <w:sz w:val="24"/>
          <w:szCs w:val="24"/>
        </w:rPr>
        <w:t xml:space="preserve">n Table 8.  </w:t>
      </w:r>
      <w:r w:rsidR="00810A25" w:rsidRPr="00B83421">
        <w:rPr>
          <w:rFonts w:ascii="Times New Roman" w:hAnsi="Times New Roman" w:cs="Times New Roman"/>
          <w:sz w:val="24"/>
          <w:szCs w:val="24"/>
        </w:rPr>
        <w:t xml:space="preserve">Under </w:t>
      </w:r>
      <w:r w:rsidR="00E45658" w:rsidRPr="00B83421">
        <w:rPr>
          <w:rFonts w:ascii="Times New Roman" w:hAnsi="Times New Roman" w:cs="Times New Roman"/>
          <w:sz w:val="24"/>
          <w:szCs w:val="24"/>
        </w:rPr>
        <w:t xml:space="preserve">our </w:t>
      </w:r>
      <w:r w:rsidR="00810A25" w:rsidRPr="00B83421">
        <w:rPr>
          <w:rFonts w:ascii="Times New Roman" w:hAnsi="Times New Roman" w:cs="Times New Roman"/>
          <w:sz w:val="24"/>
          <w:szCs w:val="24"/>
        </w:rPr>
        <w:t xml:space="preserve">‘true’ RAM, </w:t>
      </w:r>
      <w:r w:rsidR="00940D3C" w:rsidRPr="00B83421">
        <w:rPr>
          <w:rFonts w:ascii="Times New Roman" w:hAnsi="Times New Roman" w:cs="Times New Roman"/>
          <w:sz w:val="24"/>
          <w:szCs w:val="24"/>
        </w:rPr>
        <w:t>17 researchers receive a grade of ‘A’, 55 a ‘B’</w:t>
      </w:r>
      <w:r w:rsidR="000154BA" w:rsidRPr="00B83421">
        <w:rPr>
          <w:rFonts w:ascii="Times New Roman" w:hAnsi="Times New Roman" w:cs="Times New Roman"/>
          <w:sz w:val="24"/>
          <w:szCs w:val="24"/>
        </w:rPr>
        <w:t xml:space="preserve"> </w:t>
      </w:r>
      <w:r w:rsidR="00940D3C" w:rsidRPr="00B83421">
        <w:rPr>
          <w:rFonts w:ascii="Times New Roman" w:hAnsi="Times New Roman" w:cs="Times New Roman"/>
          <w:sz w:val="24"/>
          <w:szCs w:val="24"/>
        </w:rPr>
        <w:t xml:space="preserve">and 41 a ‘C’.  </w:t>
      </w:r>
      <w:r w:rsidR="0064356F" w:rsidRPr="00B83421">
        <w:rPr>
          <w:rFonts w:ascii="Times New Roman" w:hAnsi="Times New Roman" w:cs="Times New Roman"/>
          <w:sz w:val="24"/>
          <w:szCs w:val="24"/>
        </w:rPr>
        <w:t xml:space="preserve">If, however, officials </w:t>
      </w:r>
      <w:r w:rsidR="00291883" w:rsidRPr="00B83421">
        <w:rPr>
          <w:rFonts w:ascii="Times New Roman" w:hAnsi="Times New Roman" w:cs="Times New Roman"/>
          <w:sz w:val="24"/>
          <w:szCs w:val="24"/>
        </w:rPr>
        <w:t xml:space="preserve">deem </w:t>
      </w:r>
      <w:r w:rsidR="0064356F" w:rsidRPr="00B83421">
        <w:rPr>
          <w:rFonts w:ascii="Times New Roman" w:hAnsi="Times New Roman" w:cs="Times New Roman"/>
          <w:sz w:val="24"/>
          <w:szCs w:val="24"/>
        </w:rPr>
        <w:t xml:space="preserve">all pages as being of equal value </w:t>
      </w:r>
      <w:r w:rsidR="00E45658" w:rsidRPr="00B83421">
        <w:rPr>
          <w:rFonts w:ascii="Times New Roman" w:hAnsi="Times New Roman" w:cs="Times New Roman"/>
          <w:sz w:val="24"/>
          <w:szCs w:val="24"/>
        </w:rPr>
        <w:t>(</w:t>
      </w:r>
      <w:r w:rsidR="0064356F" w:rsidRPr="00B83421">
        <w:rPr>
          <w:rFonts w:ascii="Times New Roman" w:hAnsi="Times New Roman" w:cs="Times New Roman"/>
          <w:sz w:val="24"/>
          <w:szCs w:val="24"/>
        </w:rPr>
        <w:t>regardless of the number of authors listed on the paper and the number of characters on the page</w:t>
      </w:r>
      <w:r w:rsidR="00E45658" w:rsidRPr="00B83421">
        <w:rPr>
          <w:rFonts w:ascii="Times New Roman" w:hAnsi="Times New Roman" w:cs="Times New Roman"/>
          <w:sz w:val="24"/>
          <w:szCs w:val="24"/>
        </w:rPr>
        <w:t>)</w:t>
      </w:r>
      <w:r w:rsidR="0064356F" w:rsidRPr="00B83421">
        <w:rPr>
          <w:rFonts w:ascii="Times New Roman" w:hAnsi="Times New Roman" w:cs="Times New Roman"/>
          <w:sz w:val="24"/>
          <w:szCs w:val="24"/>
        </w:rPr>
        <w:t>, one ‘true A’ researcher finds herself/himself relegated to ‘B’ standing</w:t>
      </w:r>
      <w:r w:rsidR="008F0AFD" w:rsidRPr="00B83421">
        <w:rPr>
          <w:rFonts w:ascii="Times New Roman" w:hAnsi="Times New Roman" w:cs="Times New Roman"/>
          <w:sz w:val="24"/>
          <w:szCs w:val="24"/>
        </w:rPr>
        <w:t>.</w:t>
      </w:r>
      <w:r w:rsidR="0064356F" w:rsidRPr="00B83421">
        <w:rPr>
          <w:rStyle w:val="FootnoteReference"/>
          <w:rFonts w:ascii="Times New Roman" w:hAnsi="Times New Roman" w:cs="Times New Roman"/>
          <w:sz w:val="24"/>
          <w:szCs w:val="24"/>
        </w:rPr>
        <w:footnoteReference w:id="19"/>
      </w:r>
      <w:r w:rsidR="008F0AFD" w:rsidRPr="00B83421">
        <w:rPr>
          <w:rFonts w:ascii="Times New Roman" w:hAnsi="Times New Roman" w:cs="Times New Roman"/>
          <w:sz w:val="24"/>
          <w:szCs w:val="24"/>
        </w:rPr>
        <w:t xml:space="preserve">  The grade changes for the ‘true Bs’ and ‘true Cs’ are also relatively minor</w:t>
      </w:r>
      <w:r w:rsidR="00810A25" w:rsidRPr="00B83421">
        <w:rPr>
          <w:rFonts w:ascii="Times New Roman" w:hAnsi="Times New Roman" w:cs="Times New Roman"/>
          <w:sz w:val="24"/>
          <w:szCs w:val="24"/>
        </w:rPr>
        <w:t xml:space="preserve">.  </w:t>
      </w:r>
      <w:r w:rsidR="008F0AFD" w:rsidRPr="00B83421">
        <w:rPr>
          <w:rFonts w:ascii="Times New Roman" w:hAnsi="Times New Roman" w:cs="Times New Roman"/>
          <w:sz w:val="24"/>
          <w:szCs w:val="24"/>
        </w:rPr>
        <w:t>More specifically, 5</w:t>
      </w:r>
      <w:r w:rsidR="00C63EE9" w:rsidRPr="00B83421">
        <w:rPr>
          <w:rFonts w:ascii="Times New Roman" w:hAnsi="Times New Roman" w:cs="Times New Roman"/>
          <w:sz w:val="24"/>
          <w:szCs w:val="24"/>
        </w:rPr>
        <w:t>1</w:t>
      </w:r>
      <w:r w:rsidR="008F0AFD" w:rsidRPr="00B83421">
        <w:rPr>
          <w:rFonts w:ascii="Times New Roman" w:hAnsi="Times New Roman" w:cs="Times New Roman"/>
          <w:sz w:val="24"/>
          <w:szCs w:val="24"/>
        </w:rPr>
        <w:t xml:space="preserve"> of 55 ‘true Bs’ h</w:t>
      </w:r>
      <w:r w:rsidR="00E45658" w:rsidRPr="00B83421">
        <w:rPr>
          <w:rFonts w:ascii="Times New Roman" w:hAnsi="Times New Roman" w:cs="Times New Roman"/>
          <w:sz w:val="24"/>
          <w:szCs w:val="24"/>
        </w:rPr>
        <w:t>o</w:t>
      </w:r>
      <w:r w:rsidR="008F0AFD" w:rsidRPr="00B83421">
        <w:rPr>
          <w:rFonts w:ascii="Times New Roman" w:hAnsi="Times New Roman" w:cs="Times New Roman"/>
          <w:sz w:val="24"/>
          <w:szCs w:val="24"/>
        </w:rPr>
        <w:t xml:space="preserve">ld their position with one bumped up to an ‘A’ and three dropping to a ‘C’; and 38 of 41 ‘true Cs’ retain their proper grade with the other three ‘true Cs’ </w:t>
      </w:r>
      <w:r w:rsidR="00E45658" w:rsidRPr="00B83421">
        <w:rPr>
          <w:rFonts w:ascii="Times New Roman" w:hAnsi="Times New Roman" w:cs="Times New Roman"/>
          <w:sz w:val="24"/>
          <w:szCs w:val="24"/>
        </w:rPr>
        <w:t xml:space="preserve">now receiving </w:t>
      </w:r>
      <w:r w:rsidR="008F0AFD" w:rsidRPr="00B83421">
        <w:rPr>
          <w:rFonts w:ascii="Times New Roman" w:hAnsi="Times New Roman" w:cs="Times New Roman"/>
          <w:sz w:val="24"/>
          <w:szCs w:val="24"/>
        </w:rPr>
        <w:t xml:space="preserve">a ‘B’. </w:t>
      </w:r>
    </w:p>
    <w:p w14:paraId="628B7FF9" w14:textId="77777777" w:rsidR="00160E0C" w:rsidRPr="00B83421" w:rsidRDefault="00160E0C" w:rsidP="00316E1D">
      <w:pPr>
        <w:spacing w:after="0" w:line="288" w:lineRule="auto"/>
        <w:ind w:firstLine="720"/>
        <w:jc w:val="both"/>
        <w:rPr>
          <w:rFonts w:ascii="Times New Roman" w:hAnsi="Times New Roman" w:cs="Times New Roman"/>
          <w:sz w:val="24"/>
          <w:szCs w:val="24"/>
        </w:rPr>
      </w:pPr>
    </w:p>
    <w:p w14:paraId="3D2BC6AC" w14:textId="64DE223C" w:rsidR="00997BD1" w:rsidRDefault="001D7E76" w:rsidP="00316E1D">
      <w:pPr>
        <w:spacing w:after="0" w:line="288" w:lineRule="auto"/>
        <w:ind w:firstLine="720"/>
        <w:jc w:val="both"/>
        <w:rPr>
          <w:rFonts w:ascii="Times New Roman" w:hAnsi="Times New Roman" w:cs="Times New Roman"/>
          <w:sz w:val="24"/>
          <w:szCs w:val="24"/>
        </w:rPr>
      </w:pPr>
      <w:r w:rsidRPr="00B83421">
        <w:rPr>
          <w:rFonts w:ascii="Times New Roman" w:hAnsi="Times New Roman" w:cs="Times New Roman"/>
          <w:sz w:val="24"/>
          <w:szCs w:val="24"/>
        </w:rPr>
        <w:t xml:space="preserve">Let us consider </w:t>
      </w:r>
      <w:r w:rsidR="00C63EE9" w:rsidRPr="00B83421">
        <w:rPr>
          <w:rFonts w:ascii="Times New Roman" w:hAnsi="Times New Roman" w:cs="Times New Roman"/>
          <w:sz w:val="24"/>
          <w:szCs w:val="24"/>
        </w:rPr>
        <w:t xml:space="preserve">the ramifications of another </w:t>
      </w:r>
      <w:r w:rsidRPr="00B83421">
        <w:rPr>
          <w:rFonts w:ascii="Times New Roman" w:hAnsi="Times New Roman" w:cs="Times New Roman"/>
          <w:sz w:val="24"/>
          <w:szCs w:val="24"/>
        </w:rPr>
        <w:t xml:space="preserve">failure to select the ‘true’ output measure.  Assume that the authorities decide that share adjusted journal articles are a better measure of output than the number of share and size adjusted pages.  We now find that two of the </w:t>
      </w:r>
      <w:r w:rsidR="00FB6639" w:rsidRPr="00B83421">
        <w:rPr>
          <w:rFonts w:ascii="Times New Roman" w:hAnsi="Times New Roman" w:cs="Times New Roman"/>
          <w:sz w:val="24"/>
          <w:szCs w:val="24"/>
        </w:rPr>
        <w:t xml:space="preserve">17 </w:t>
      </w:r>
      <w:r w:rsidRPr="00B83421">
        <w:rPr>
          <w:rFonts w:ascii="Times New Roman" w:hAnsi="Times New Roman" w:cs="Times New Roman"/>
          <w:sz w:val="24"/>
          <w:szCs w:val="24"/>
        </w:rPr>
        <w:t>‘true As’ are ‘</w:t>
      </w:r>
      <w:proofErr w:type="spellStart"/>
      <w:r w:rsidRPr="00B83421">
        <w:rPr>
          <w:rFonts w:ascii="Times New Roman" w:hAnsi="Times New Roman" w:cs="Times New Roman"/>
          <w:sz w:val="24"/>
          <w:szCs w:val="24"/>
        </w:rPr>
        <w:t>Bs</w:t>
      </w:r>
      <w:proofErr w:type="spellEnd"/>
      <w:r w:rsidRPr="00B83421">
        <w:rPr>
          <w:rFonts w:ascii="Times New Roman" w:hAnsi="Times New Roman" w:cs="Times New Roman"/>
          <w:sz w:val="24"/>
          <w:szCs w:val="24"/>
        </w:rPr>
        <w:t>’</w:t>
      </w:r>
      <w:r w:rsidR="00FB6639" w:rsidRPr="00B83421">
        <w:rPr>
          <w:rFonts w:ascii="Times New Roman" w:hAnsi="Times New Roman" w:cs="Times New Roman"/>
          <w:sz w:val="24"/>
          <w:szCs w:val="24"/>
        </w:rPr>
        <w:t>,</w:t>
      </w:r>
      <w:r w:rsidR="00810A25" w:rsidRPr="00B83421">
        <w:rPr>
          <w:rStyle w:val="FootnoteReference"/>
          <w:rFonts w:ascii="Times New Roman" w:hAnsi="Times New Roman" w:cs="Times New Roman"/>
          <w:sz w:val="24"/>
          <w:szCs w:val="24"/>
        </w:rPr>
        <w:footnoteReference w:id="20"/>
      </w:r>
      <w:r w:rsidR="00FB6639" w:rsidRPr="00B83421">
        <w:rPr>
          <w:rFonts w:ascii="Times New Roman" w:hAnsi="Times New Roman" w:cs="Times New Roman"/>
          <w:sz w:val="24"/>
          <w:szCs w:val="24"/>
        </w:rPr>
        <w:t xml:space="preserve"> and four of the 55 ‘true Bs’ fail to maintain that grade (two are bumped up to an ‘A’ and two drop to a ‘C’).  Also note that 39 of 41 ‘true Cs’ </w:t>
      </w:r>
      <w:r w:rsidR="00E45658" w:rsidRPr="00B83421">
        <w:rPr>
          <w:rFonts w:ascii="Times New Roman" w:hAnsi="Times New Roman" w:cs="Times New Roman"/>
          <w:sz w:val="24"/>
          <w:szCs w:val="24"/>
        </w:rPr>
        <w:t xml:space="preserve">are unaffected by the change in the ‘official’ unit of output.   </w:t>
      </w:r>
      <w:r w:rsidR="00FB6639" w:rsidRPr="00B83421">
        <w:rPr>
          <w:rFonts w:ascii="Times New Roman" w:hAnsi="Times New Roman" w:cs="Times New Roman"/>
          <w:sz w:val="24"/>
          <w:szCs w:val="24"/>
        </w:rPr>
        <w:t>In summary, the impact</w:t>
      </w:r>
      <w:r w:rsidR="00CC326F" w:rsidRPr="00B83421">
        <w:rPr>
          <w:rFonts w:ascii="Times New Roman" w:hAnsi="Times New Roman" w:cs="Times New Roman"/>
          <w:sz w:val="24"/>
          <w:szCs w:val="24"/>
        </w:rPr>
        <w:t xml:space="preserve"> on individual researchers</w:t>
      </w:r>
      <w:r w:rsidR="00FB6639" w:rsidRPr="00B83421">
        <w:rPr>
          <w:rFonts w:ascii="Times New Roman" w:hAnsi="Times New Roman" w:cs="Times New Roman"/>
          <w:sz w:val="24"/>
          <w:szCs w:val="24"/>
        </w:rPr>
        <w:t xml:space="preserve"> of failure to select the ‘true’ output measure is </w:t>
      </w:r>
      <w:r w:rsidR="00CC326F" w:rsidRPr="00B83421">
        <w:rPr>
          <w:rFonts w:ascii="Times New Roman" w:hAnsi="Times New Roman" w:cs="Times New Roman"/>
          <w:sz w:val="24"/>
          <w:szCs w:val="24"/>
        </w:rPr>
        <w:t xml:space="preserve">much less severe than the failure to select the ‘true’ </w:t>
      </w:r>
      <w:r w:rsidR="008F499D" w:rsidRPr="00B83421">
        <w:rPr>
          <w:rFonts w:ascii="Times New Roman" w:hAnsi="Times New Roman" w:cs="Times New Roman"/>
          <w:sz w:val="24"/>
          <w:szCs w:val="24"/>
        </w:rPr>
        <w:t xml:space="preserve">journal weighting scheme.  </w:t>
      </w:r>
      <w:r w:rsidR="00BB1A47" w:rsidRPr="00B83421">
        <w:rPr>
          <w:rFonts w:ascii="Times New Roman" w:hAnsi="Times New Roman" w:cs="Times New Roman"/>
          <w:sz w:val="24"/>
          <w:szCs w:val="24"/>
        </w:rPr>
        <w:t xml:space="preserve">Nevertheless, </w:t>
      </w:r>
      <w:r w:rsidR="00CC326F" w:rsidRPr="00B83421">
        <w:rPr>
          <w:rFonts w:ascii="Times New Roman" w:hAnsi="Times New Roman" w:cs="Times New Roman"/>
          <w:sz w:val="24"/>
          <w:szCs w:val="24"/>
        </w:rPr>
        <w:t xml:space="preserve">it is </w:t>
      </w:r>
      <w:r w:rsidR="00CC326F" w:rsidRPr="00B83421">
        <w:rPr>
          <w:rFonts w:ascii="Times New Roman" w:hAnsi="Times New Roman" w:cs="Times New Roman"/>
          <w:sz w:val="24"/>
          <w:szCs w:val="24"/>
        </w:rPr>
        <w:lastRenderedPageBreak/>
        <w:t xml:space="preserve">still important to those </w:t>
      </w:r>
      <w:r w:rsidR="00C63EE9" w:rsidRPr="00B83421">
        <w:rPr>
          <w:rFonts w:ascii="Times New Roman" w:hAnsi="Times New Roman" w:cs="Times New Roman"/>
          <w:sz w:val="24"/>
          <w:szCs w:val="24"/>
        </w:rPr>
        <w:t xml:space="preserve">individuals </w:t>
      </w:r>
      <w:r w:rsidR="00FB6639" w:rsidRPr="00B83421">
        <w:rPr>
          <w:rFonts w:ascii="Times New Roman" w:hAnsi="Times New Roman" w:cs="Times New Roman"/>
          <w:sz w:val="24"/>
          <w:szCs w:val="24"/>
        </w:rPr>
        <w:t xml:space="preserve">that find </w:t>
      </w:r>
      <w:proofErr w:type="gramStart"/>
      <w:r w:rsidR="00FB6639" w:rsidRPr="00B83421">
        <w:rPr>
          <w:rFonts w:ascii="Times New Roman" w:hAnsi="Times New Roman" w:cs="Times New Roman"/>
          <w:sz w:val="24"/>
          <w:szCs w:val="24"/>
        </w:rPr>
        <w:t>themselves</w:t>
      </w:r>
      <w:proofErr w:type="gramEnd"/>
      <w:r w:rsidR="00FB6639" w:rsidRPr="00B83421">
        <w:rPr>
          <w:rFonts w:ascii="Times New Roman" w:hAnsi="Times New Roman" w:cs="Times New Roman"/>
          <w:sz w:val="24"/>
          <w:szCs w:val="24"/>
        </w:rPr>
        <w:t xml:space="preserve"> holding a lower or higher grade than warranted.  Although this discussion is based on </w:t>
      </w:r>
      <w:r w:rsidR="00050D49" w:rsidRPr="00B83421">
        <w:rPr>
          <w:rFonts w:ascii="Times New Roman" w:hAnsi="Times New Roman" w:cs="Times New Roman"/>
          <w:sz w:val="24"/>
          <w:szCs w:val="24"/>
        </w:rPr>
        <w:t xml:space="preserve">the implicit assumption that </w:t>
      </w:r>
      <w:proofErr w:type="spellStart"/>
      <w:r w:rsidR="00050D49" w:rsidRPr="00B83421">
        <w:rPr>
          <w:rFonts w:ascii="Times New Roman" w:hAnsi="Times New Roman" w:cs="Times New Roman"/>
          <w:b/>
          <w:sz w:val="24"/>
          <w:szCs w:val="24"/>
        </w:rPr>
        <w:t>CLh</w:t>
      </w:r>
      <w:proofErr w:type="spellEnd"/>
      <w:r w:rsidR="00050D49" w:rsidRPr="00B83421">
        <w:rPr>
          <w:rFonts w:ascii="Times New Roman" w:hAnsi="Times New Roman" w:cs="Times New Roman"/>
          <w:sz w:val="24"/>
          <w:szCs w:val="24"/>
        </w:rPr>
        <w:t xml:space="preserve"> is the ‘true’ </w:t>
      </w:r>
      <w:r w:rsidR="008F499D" w:rsidRPr="00B83421">
        <w:rPr>
          <w:rFonts w:ascii="Times New Roman" w:hAnsi="Times New Roman" w:cs="Times New Roman"/>
          <w:sz w:val="24"/>
          <w:szCs w:val="24"/>
        </w:rPr>
        <w:t xml:space="preserve">journal weighting scheme, </w:t>
      </w:r>
      <w:r w:rsidR="00050D49" w:rsidRPr="00B83421">
        <w:rPr>
          <w:rFonts w:ascii="Times New Roman" w:hAnsi="Times New Roman" w:cs="Times New Roman"/>
          <w:sz w:val="24"/>
          <w:szCs w:val="24"/>
        </w:rPr>
        <w:t>the above results hold, in general, for</w:t>
      </w:r>
      <w:r w:rsidR="00B440BD" w:rsidRPr="00B83421">
        <w:rPr>
          <w:rFonts w:ascii="Times New Roman" w:hAnsi="Times New Roman" w:cs="Times New Roman"/>
          <w:sz w:val="24"/>
          <w:szCs w:val="24"/>
        </w:rPr>
        <w:t xml:space="preserve"> all</w:t>
      </w:r>
      <w:r w:rsidR="00050D49" w:rsidRPr="00B83421">
        <w:rPr>
          <w:rFonts w:ascii="Times New Roman" w:hAnsi="Times New Roman" w:cs="Times New Roman"/>
          <w:sz w:val="24"/>
          <w:szCs w:val="24"/>
        </w:rPr>
        <w:t xml:space="preserve"> other</w:t>
      </w:r>
      <w:r w:rsidR="00B440BD" w:rsidRPr="00B83421">
        <w:rPr>
          <w:rFonts w:ascii="Times New Roman" w:hAnsi="Times New Roman" w:cs="Times New Roman"/>
          <w:sz w:val="24"/>
          <w:szCs w:val="24"/>
        </w:rPr>
        <w:t xml:space="preserve"> JWS</w:t>
      </w:r>
      <w:r w:rsidR="00050D49" w:rsidRPr="00B83421">
        <w:rPr>
          <w:rFonts w:ascii="Times New Roman" w:hAnsi="Times New Roman" w:cs="Times New Roman"/>
          <w:sz w:val="24"/>
          <w:szCs w:val="24"/>
        </w:rPr>
        <w:t xml:space="preserve"> covered in this paper.  </w:t>
      </w:r>
    </w:p>
    <w:p w14:paraId="22278101" w14:textId="77777777" w:rsidR="009E7801" w:rsidRDefault="009E7801" w:rsidP="00316E1D">
      <w:pPr>
        <w:spacing w:after="0" w:line="288" w:lineRule="auto"/>
        <w:ind w:firstLine="720"/>
        <w:jc w:val="both"/>
        <w:rPr>
          <w:rFonts w:ascii="Times New Roman" w:hAnsi="Times New Roman" w:cs="Times New Roman"/>
          <w:sz w:val="24"/>
          <w:szCs w:val="24"/>
        </w:rPr>
      </w:pPr>
    </w:p>
    <w:p w14:paraId="6108B730" w14:textId="3CC43405" w:rsidR="00387FEB" w:rsidRDefault="00387FEB" w:rsidP="00387FEB">
      <w:pPr>
        <w:spacing w:after="0" w:line="288" w:lineRule="auto"/>
        <w:jc w:val="center"/>
        <w:rPr>
          <w:rFonts w:ascii="Times New Roman" w:hAnsi="Times New Roman" w:cs="Times New Roman"/>
          <w:sz w:val="24"/>
          <w:szCs w:val="24"/>
        </w:rPr>
      </w:pPr>
      <w:r>
        <w:rPr>
          <w:rFonts w:ascii="Times New Roman" w:hAnsi="Times New Roman" w:cs="Times New Roman"/>
          <w:b/>
          <w:sz w:val="24"/>
          <w:szCs w:val="24"/>
        </w:rPr>
        <w:t xml:space="preserve">Table 8: </w:t>
      </w:r>
      <w:r>
        <w:rPr>
          <w:rFonts w:ascii="Times New Roman" w:eastAsia="Times New Roman" w:hAnsi="Times New Roman" w:cs="Times New Roman"/>
          <w:b/>
          <w:bCs/>
          <w:color w:val="000000"/>
        </w:rPr>
        <w:t xml:space="preserve">Rank Changes Relative to </w:t>
      </w:r>
      <w:proofErr w:type="spellStart"/>
      <w:r>
        <w:rPr>
          <w:rFonts w:ascii="Times New Roman" w:eastAsia="Times New Roman" w:hAnsi="Times New Roman" w:cs="Times New Roman"/>
          <w:b/>
          <w:bCs/>
          <w:color w:val="000000"/>
        </w:rPr>
        <w:t>CLh</w:t>
      </w:r>
      <w:proofErr w:type="spellEnd"/>
      <w:r>
        <w:rPr>
          <w:rFonts w:ascii="Times New Roman" w:eastAsia="Times New Roman" w:hAnsi="Times New Roman" w:cs="Times New Roman"/>
          <w:b/>
          <w:bCs/>
          <w:color w:val="000000"/>
        </w:rPr>
        <w:t>, S</w:t>
      </w:r>
      <w:r w:rsidRPr="00E6612C">
        <w:rPr>
          <w:rFonts w:ascii="Times New Roman" w:eastAsia="Times New Roman" w:hAnsi="Times New Roman" w:cs="Times New Roman"/>
          <w:b/>
          <w:bCs/>
          <w:color w:val="000000"/>
        </w:rPr>
        <w:t>hare and</w:t>
      </w:r>
      <w:r>
        <w:rPr>
          <w:rFonts w:ascii="Times New Roman" w:eastAsia="Times New Roman" w:hAnsi="Times New Roman" w:cs="Times New Roman"/>
          <w:b/>
          <w:bCs/>
          <w:color w:val="000000"/>
        </w:rPr>
        <w:t xml:space="preserve"> Size Adjusted Pages</w:t>
      </w:r>
    </w:p>
    <w:tbl>
      <w:tblPr>
        <w:tblW w:w="8800" w:type="dxa"/>
        <w:tblInd w:w="93" w:type="dxa"/>
        <w:tblLook w:val="04A0" w:firstRow="1" w:lastRow="0" w:firstColumn="1" w:lastColumn="0" w:noHBand="0" w:noVBand="1"/>
      </w:tblPr>
      <w:tblGrid>
        <w:gridCol w:w="1590"/>
        <w:gridCol w:w="1410"/>
        <w:gridCol w:w="1460"/>
        <w:gridCol w:w="1460"/>
        <w:gridCol w:w="1420"/>
        <w:gridCol w:w="1460"/>
      </w:tblGrid>
      <w:tr w:rsidR="00BA770C" w:rsidRPr="00E6612C" w14:paraId="41F87077" w14:textId="77777777" w:rsidTr="009E7801">
        <w:trPr>
          <w:trHeight w:val="454"/>
        </w:trPr>
        <w:tc>
          <w:tcPr>
            <w:tcW w:w="8800" w:type="dxa"/>
            <w:gridSpan w:val="6"/>
            <w:tcBorders>
              <w:top w:val="single" w:sz="4" w:space="0" w:color="auto"/>
              <w:left w:val="nil"/>
              <w:bottom w:val="single" w:sz="4" w:space="0" w:color="auto"/>
              <w:right w:val="nil"/>
            </w:tcBorders>
            <w:shd w:val="clear" w:color="auto" w:fill="auto"/>
            <w:noWrap/>
            <w:vAlign w:val="center"/>
            <w:hideMark/>
          </w:tcPr>
          <w:p w14:paraId="294472E4" w14:textId="39BE4E96" w:rsidR="00BA770C" w:rsidRPr="00E6612C" w:rsidRDefault="00BA770C" w:rsidP="00BA770C">
            <w:pPr>
              <w:spacing w:after="0" w:line="240" w:lineRule="auto"/>
              <w:jc w:val="center"/>
              <w:rPr>
                <w:rFonts w:ascii="Times New Roman" w:eastAsia="Times New Roman" w:hAnsi="Times New Roman" w:cs="Times New Roman"/>
                <w:bCs/>
                <w:color w:val="000000"/>
              </w:rPr>
            </w:pPr>
            <w:r w:rsidRPr="008A1B46">
              <w:rPr>
                <w:rFonts w:ascii="Times New Roman" w:eastAsia="Times New Roman" w:hAnsi="Times New Roman" w:cs="Times New Roman"/>
                <w:b/>
                <w:bCs/>
                <w:color w:val="000000"/>
              </w:rPr>
              <w:t xml:space="preserve">Top 17 per </w:t>
            </w:r>
            <w:proofErr w:type="spellStart"/>
            <w:r w:rsidRPr="008A1B46">
              <w:rPr>
                <w:rFonts w:ascii="Times New Roman" w:eastAsia="Times New Roman" w:hAnsi="Times New Roman" w:cs="Times New Roman"/>
                <w:b/>
                <w:bCs/>
                <w:color w:val="000000"/>
              </w:rPr>
              <w:t>CLh</w:t>
            </w:r>
            <w:proofErr w:type="spellEnd"/>
            <w:r w:rsidRPr="008A1B46">
              <w:rPr>
                <w:rFonts w:ascii="Times New Roman" w:eastAsia="Times New Roman" w:hAnsi="Times New Roman" w:cs="Times New Roman"/>
                <w:b/>
                <w:bCs/>
                <w:color w:val="000000"/>
              </w:rPr>
              <w:t>, Share and Size Adjusted Pages</w:t>
            </w:r>
          </w:p>
        </w:tc>
      </w:tr>
      <w:tr w:rsidR="00845BBA" w:rsidRPr="00E6612C" w14:paraId="361113F5" w14:textId="77777777" w:rsidTr="009E7801">
        <w:trPr>
          <w:trHeight w:val="454"/>
        </w:trPr>
        <w:tc>
          <w:tcPr>
            <w:tcW w:w="1590" w:type="dxa"/>
            <w:tcBorders>
              <w:top w:val="single" w:sz="4" w:space="0" w:color="auto"/>
              <w:left w:val="nil"/>
              <w:bottom w:val="single" w:sz="4" w:space="0" w:color="auto"/>
              <w:right w:val="nil"/>
            </w:tcBorders>
            <w:shd w:val="clear" w:color="auto" w:fill="auto"/>
            <w:noWrap/>
            <w:vAlign w:val="center"/>
            <w:hideMark/>
          </w:tcPr>
          <w:p w14:paraId="72FF64B0" w14:textId="77777777" w:rsidR="00845BBA" w:rsidRPr="00E6612C" w:rsidRDefault="00845BBA" w:rsidP="00FA51D3">
            <w:pPr>
              <w:spacing w:after="0" w:line="240" w:lineRule="auto"/>
              <w:rPr>
                <w:rFonts w:ascii="Times New Roman" w:eastAsia="Times New Roman" w:hAnsi="Times New Roman" w:cs="Times New Roman"/>
                <w:bCs/>
                <w:color w:val="000000"/>
              </w:rPr>
            </w:pPr>
            <w:r w:rsidRPr="00E6612C">
              <w:rPr>
                <w:rFonts w:ascii="Times New Roman" w:eastAsia="Times New Roman" w:hAnsi="Times New Roman" w:cs="Times New Roman"/>
                <w:bCs/>
                <w:color w:val="000000"/>
              </w:rPr>
              <w:t>PBRF Grade</w:t>
            </w:r>
          </w:p>
        </w:tc>
        <w:tc>
          <w:tcPr>
            <w:tcW w:w="1410" w:type="dxa"/>
            <w:tcBorders>
              <w:top w:val="single" w:sz="4" w:space="0" w:color="auto"/>
              <w:left w:val="nil"/>
              <w:bottom w:val="single" w:sz="4" w:space="0" w:color="auto"/>
              <w:right w:val="nil"/>
            </w:tcBorders>
            <w:shd w:val="clear" w:color="auto" w:fill="auto"/>
            <w:noWrap/>
            <w:vAlign w:val="center"/>
            <w:hideMark/>
          </w:tcPr>
          <w:p w14:paraId="4AC69D83" w14:textId="77777777" w:rsidR="00845BBA" w:rsidRPr="00E6612C" w:rsidRDefault="00845BBA" w:rsidP="00FA51D3">
            <w:pPr>
              <w:spacing w:after="0" w:line="240" w:lineRule="auto"/>
              <w:rPr>
                <w:rFonts w:ascii="Times New Roman" w:eastAsia="Times New Roman" w:hAnsi="Times New Roman" w:cs="Times New Roman"/>
                <w:bCs/>
                <w:color w:val="000000"/>
              </w:rPr>
            </w:pPr>
            <w:proofErr w:type="spellStart"/>
            <w:r w:rsidRPr="00E6612C">
              <w:rPr>
                <w:rFonts w:ascii="Times New Roman" w:eastAsia="Times New Roman" w:hAnsi="Times New Roman" w:cs="Times New Roman"/>
                <w:bCs/>
                <w:color w:val="000000"/>
              </w:rPr>
              <w:t>CLh,pg,a,b</w:t>
            </w:r>
            <w:proofErr w:type="spellEnd"/>
          </w:p>
        </w:tc>
        <w:tc>
          <w:tcPr>
            <w:tcW w:w="1460" w:type="dxa"/>
            <w:tcBorders>
              <w:top w:val="single" w:sz="4" w:space="0" w:color="auto"/>
              <w:left w:val="nil"/>
              <w:bottom w:val="single" w:sz="4" w:space="0" w:color="auto"/>
              <w:right w:val="nil"/>
            </w:tcBorders>
            <w:shd w:val="clear" w:color="auto" w:fill="auto"/>
            <w:noWrap/>
            <w:vAlign w:val="center"/>
            <w:hideMark/>
          </w:tcPr>
          <w:p w14:paraId="409581E2" w14:textId="77777777" w:rsidR="00845BBA" w:rsidRPr="00E6612C" w:rsidRDefault="00845BBA" w:rsidP="00FA51D3">
            <w:pPr>
              <w:spacing w:after="0" w:line="240" w:lineRule="auto"/>
              <w:rPr>
                <w:rFonts w:ascii="Times New Roman" w:eastAsia="Times New Roman" w:hAnsi="Times New Roman" w:cs="Times New Roman"/>
                <w:bCs/>
                <w:color w:val="000000"/>
              </w:rPr>
            </w:pPr>
            <w:proofErr w:type="spellStart"/>
            <w:r w:rsidRPr="00E6612C">
              <w:rPr>
                <w:rFonts w:ascii="Times New Roman" w:eastAsia="Times New Roman" w:hAnsi="Times New Roman" w:cs="Times New Roman"/>
                <w:bCs/>
                <w:color w:val="000000"/>
              </w:rPr>
              <w:t>CLh,pg,c,b</w:t>
            </w:r>
            <w:proofErr w:type="spellEnd"/>
          </w:p>
        </w:tc>
        <w:tc>
          <w:tcPr>
            <w:tcW w:w="1460" w:type="dxa"/>
            <w:tcBorders>
              <w:top w:val="single" w:sz="4" w:space="0" w:color="auto"/>
              <w:left w:val="nil"/>
              <w:bottom w:val="single" w:sz="4" w:space="0" w:color="auto"/>
              <w:right w:val="nil"/>
            </w:tcBorders>
            <w:shd w:val="clear" w:color="auto" w:fill="auto"/>
            <w:noWrap/>
            <w:vAlign w:val="center"/>
            <w:hideMark/>
          </w:tcPr>
          <w:p w14:paraId="42A48608" w14:textId="77777777" w:rsidR="00845BBA" w:rsidRPr="00E6612C" w:rsidRDefault="00845BBA" w:rsidP="00FA51D3">
            <w:pPr>
              <w:spacing w:after="0" w:line="240" w:lineRule="auto"/>
              <w:rPr>
                <w:rFonts w:ascii="Times New Roman" w:eastAsia="Times New Roman" w:hAnsi="Times New Roman" w:cs="Times New Roman"/>
                <w:bCs/>
                <w:color w:val="000000"/>
              </w:rPr>
            </w:pPr>
            <w:proofErr w:type="spellStart"/>
            <w:r w:rsidRPr="00E6612C">
              <w:rPr>
                <w:rFonts w:ascii="Times New Roman" w:eastAsia="Times New Roman" w:hAnsi="Times New Roman" w:cs="Times New Roman"/>
                <w:bCs/>
                <w:color w:val="000000"/>
              </w:rPr>
              <w:t>CLh,pg,c,d</w:t>
            </w:r>
            <w:proofErr w:type="spellEnd"/>
          </w:p>
        </w:tc>
        <w:tc>
          <w:tcPr>
            <w:tcW w:w="1420" w:type="dxa"/>
            <w:tcBorders>
              <w:top w:val="single" w:sz="4" w:space="0" w:color="auto"/>
              <w:left w:val="nil"/>
              <w:bottom w:val="single" w:sz="4" w:space="0" w:color="auto"/>
              <w:right w:val="nil"/>
            </w:tcBorders>
            <w:shd w:val="clear" w:color="auto" w:fill="auto"/>
            <w:noWrap/>
            <w:vAlign w:val="center"/>
            <w:hideMark/>
          </w:tcPr>
          <w:p w14:paraId="3CB6ACF6" w14:textId="77777777" w:rsidR="00845BBA" w:rsidRPr="00E6612C" w:rsidRDefault="00845BBA" w:rsidP="00FA51D3">
            <w:pPr>
              <w:spacing w:after="0" w:line="240" w:lineRule="auto"/>
              <w:rPr>
                <w:rFonts w:ascii="Times New Roman" w:eastAsia="Times New Roman" w:hAnsi="Times New Roman" w:cs="Times New Roman"/>
                <w:bCs/>
                <w:color w:val="000000"/>
              </w:rPr>
            </w:pPr>
            <w:proofErr w:type="spellStart"/>
            <w:r w:rsidRPr="00E6612C">
              <w:rPr>
                <w:rFonts w:ascii="Times New Roman" w:eastAsia="Times New Roman" w:hAnsi="Times New Roman" w:cs="Times New Roman"/>
                <w:bCs/>
                <w:color w:val="000000"/>
              </w:rPr>
              <w:t>CLh,pp,a</w:t>
            </w:r>
            <w:proofErr w:type="spellEnd"/>
          </w:p>
        </w:tc>
        <w:tc>
          <w:tcPr>
            <w:tcW w:w="1460" w:type="dxa"/>
            <w:tcBorders>
              <w:top w:val="single" w:sz="4" w:space="0" w:color="auto"/>
              <w:left w:val="nil"/>
              <w:bottom w:val="single" w:sz="4" w:space="0" w:color="auto"/>
              <w:right w:val="nil"/>
            </w:tcBorders>
            <w:shd w:val="clear" w:color="auto" w:fill="auto"/>
            <w:noWrap/>
            <w:vAlign w:val="center"/>
            <w:hideMark/>
          </w:tcPr>
          <w:p w14:paraId="47161ADB" w14:textId="77777777" w:rsidR="00845BBA" w:rsidRPr="00E6612C" w:rsidRDefault="00845BBA" w:rsidP="00FA51D3">
            <w:pPr>
              <w:spacing w:after="0" w:line="240" w:lineRule="auto"/>
              <w:rPr>
                <w:rFonts w:ascii="Times New Roman" w:eastAsia="Times New Roman" w:hAnsi="Times New Roman" w:cs="Times New Roman"/>
                <w:bCs/>
                <w:color w:val="000000"/>
              </w:rPr>
            </w:pPr>
            <w:proofErr w:type="spellStart"/>
            <w:r w:rsidRPr="00E6612C">
              <w:rPr>
                <w:rFonts w:ascii="Times New Roman" w:eastAsia="Times New Roman" w:hAnsi="Times New Roman" w:cs="Times New Roman"/>
                <w:bCs/>
                <w:color w:val="000000"/>
              </w:rPr>
              <w:t>CLh,pp,c</w:t>
            </w:r>
            <w:proofErr w:type="spellEnd"/>
          </w:p>
        </w:tc>
      </w:tr>
      <w:tr w:rsidR="00845BBA" w:rsidRPr="00E6612C" w14:paraId="4C140B3C" w14:textId="77777777" w:rsidTr="00FA51D3">
        <w:trPr>
          <w:trHeight w:val="315"/>
        </w:trPr>
        <w:tc>
          <w:tcPr>
            <w:tcW w:w="1590" w:type="dxa"/>
            <w:tcBorders>
              <w:top w:val="nil"/>
              <w:left w:val="nil"/>
              <w:bottom w:val="nil"/>
              <w:right w:val="nil"/>
            </w:tcBorders>
            <w:shd w:val="clear" w:color="auto" w:fill="auto"/>
            <w:noWrap/>
            <w:vAlign w:val="bottom"/>
            <w:hideMark/>
          </w:tcPr>
          <w:p w14:paraId="7459370B" w14:textId="77777777" w:rsidR="00845BBA" w:rsidRPr="00E6612C" w:rsidRDefault="00845BBA" w:rsidP="00FA51D3">
            <w:pPr>
              <w:spacing w:after="0" w:line="240" w:lineRule="auto"/>
              <w:rPr>
                <w:rFonts w:ascii="Times New Roman" w:eastAsia="Times New Roman" w:hAnsi="Times New Roman" w:cs="Times New Roman"/>
                <w:bCs/>
                <w:color w:val="000000"/>
              </w:rPr>
            </w:pPr>
            <w:r w:rsidRPr="00E6612C">
              <w:rPr>
                <w:rFonts w:ascii="Times New Roman" w:eastAsia="Times New Roman" w:hAnsi="Times New Roman" w:cs="Times New Roman"/>
                <w:bCs/>
                <w:color w:val="000000"/>
              </w:rPr>
              <w:t>A</w:t>
            </w:r>
          </w:p>
        </w:tc>
        <w:tc>
          <w:tcPr>
            <w:tcW w:w="1410" w:type="dxa"/>
            <w:tcBorders>
              <w:top w:val="nil"/>
              <w:left w:val="nil"/>
              <w:bottom w:val="nil"/>
              <w:right w:val="nil"/>
            </w:tcBorders>
            <w:shd w:val="clear" w:color="auto" w:fill="auto"/>
            <w:noWrap/>
            <w:vAlign w:val="bottom"/>
            <w:hideMark/>
          </w:tcPr>
          <w:p w14:paraId="1DA19B95" w14:textId="77777777" w:rsidR="00845BBA" w:rsidRPr="00E6612C" w:rsidRDefault="00845BBA" w:rsidP="00FA51D3">
            <w:pPr>
              <w:spacing w:after="0" w:line="240" w:lineRule="auto"/>
              <w:jc w:val="center"/>
              <w:rPr>
                <w:rFonts w:ascii="Times New Roman" w:eastAsia="Times New Roman" w:hAnsi="Times New Roman" w:cs="Times New Roman"/>
                <w:color w:val="000000"/>
              </w:rPr>
            </w:pPr>
            <w:r w:rsidRPr="00E6612C">
              <w:rPr>
                <w:rFonts w:ascii="Times New Roman" w:eastAsia="Times New Roman" w:hAnsi="Times New Roman" w:cs="Times New Roman"/>
                <w:color w:val="000000"/>
              </w:rPr>
              <w:t>17</w:t>
            </w:r>
          </w:p>
        </w:tc>
        <w:tc>
          <w:tcPr>
            <w:tcW w:w="1460" w:type="dxa"/>
            <w:tcBorders>
              <w:top w:val="nil"/>
              <w:left w:val="nil"/>
              <w:bottom w:val="nil"/>
              <w:right w:val="nil"/>
            </w:tcBorders>
            <w:shd w:val="clear" w:color="auto" w:fill="auto"/>
            <w:noWrap/>
            <w:vAlign w:val="bottom"/>
            <w:hideMark/>
          </w:tcPr>
          <w:p w14:paraId="5BDA5CE6" w14:textId="77777777" w:rsidR="00845BBA" w:rsidRPr="00E6612C" w:rsidRDefault="00845BBA" w:rsidP="00FA51D3">
            <w:pPr>
              <w:spacing w:after="0" w:line="240" w:lineRule="auto"/>
              <w:jc w:val="center"/>
              <w:rPr>
                <w:rFonts w:ascii="Times New Roman" w:eastAsia="Times New Roman" w:hAnsi="Times New Roman" w:cs="Times New Roman"/>
                <w:color w:val="000000"/>
              </w:rPr>
            </w:pPr>
            <w:r w:rsidRPr="00E6612C">
              <w:rPr>
                <w:rFonts w:ascii="Times New Roman" w:eastAsia="Times New Roman" w:hAnsi="Times New Roman" w:cs="Times New Roman"/>
                <w:color w:val="000000"/>
              </w:rPr>
              <w:t>16</w:t>
            </w:r>
          </w:p>
        </w:tc>
        <w:tc>
          <w:tcPr>
            <w:tcW w:w="1460" w:type="dxa"/>
            <w:tcBorders>
              <w:top w:val="nil"/>
              <w:left w:val="nil"/>
              <w:bottom w:val="nil"/>
              <w:right w:val="nil"/>
            </w:tcBorders>
            <w:shd w:val="clear" w:color="auto" w:fill="auto"/>
            <w:noWrap/>
            <w:vAlign w:val="bottom"/>
            <w:hideMark/>
          </w:tcPr>
          <w:p w14:paraId="632ABF1E" w14:textId="77777777" w:rsidR="00845BBA" w:rsidRPr="00E6612C" w:rsidRDefault="00845BBA" w:rsidP="00FA51D3">
            <w:pPr>
              <w:spacing w:after="0" w:line="240" w:lineRule="auto"/>
              <w:jc w:val="center"/>
              <w:rPr>
                <w:rFonts w:ascii="Times New Roman" w:eastAsia="Times New Roman" w:hAnsi="Times New Roman" w:cs="Times New Roman"/>
                <w:color w:val="000000"/>
              </w:rPr>
            </w:pPr>
            <w:r w:rsidRPr="00E6612C">
              <w:rPr>
                <w:rFonts w:ascii="Times New Roman" w:eastAsia="Times New Roman" w:hAnsi="Times New Roman" w:cs="Times New Roman"/>
                <w:color w:val="000000"/>
              </w:rPr>
              <w:t>16</w:t>
            </w:r>
          </w:p>
        </w:tc>
        <w:tc>
          <w:tcPr>
            <w:tcW w:w="1420" w:type="dxa"/>
            <w:tcBorders>
              <w:top w:val="nil"/>
              <w:left w:val="nil"/>
              <w:bottom w:val="nil"/>
              <w:right w:val="nil"/>
            </w:tcBorders>
            <w:shd w:val="clear" w:color="auto" w:fill="auto"/>
            <w:noWrap/>
            <w:vAlign w:val="bottom"/>
            <w:hideMark/>
          </w:tcPr>
          <w:p w14:paraId="79F2BA63" w14:textId="77777777" w:rsidR="00845BBA" w:rsidRPr="00E6612C" w:rsidRDefault="00845BBA" w:rsidP="00FA51D3">
            <w:pPr>
              <w:spacing w:after="0" w:line="240" w:lineRule="auto"/>
              <w:jc w:val="center"/>
              <w:rPr>
                <w:rFonts w:ascii="Times New Roman" w:eastAsia="Times New Roman" w:hAnsi="Times New Roman" w:cs="Times New Roman"/>
                <w:color w:val="000000"/>
              </w:rPr>
            </w:pPr>
            <w:r w:rsidRPr="00E6612C">
              <w:rPr>
                <w:rFonts w:ascii="Times New Roman" w:eastAsia="Times New Roman" w:hAnsi="Times New Roman" w:cs="Times New Roman"/>
                <w:color w:val="000000"/>
              </w:rPr>
              <w:t>15</w:t>
            </w:r>
          </w:p>
        </w:tc>
        <w:tc>
          <w:tcPr>
            <w:tcW w:w="1460" w:type="dxa"/>
            <w:tcBorders>
              <w:top w:val="nil"/>
              <w:left w:val="nil"/>
              <w:bottom w:val="nil"/>
              <w:right w:val="nil"/>
            </w:tcBorders>
            <w:shd w:val="clear" w:color="auto" w:fill="auto"/>
            <w:noWrap/>
            <w:vAlign w:val="bottom"/>
            <w:hideMark/>
          </w:tcPr>
          <w:p w14:paraId="6FE555A8" w14:textId="77777777" w:rsidR="00845BBA" w:rsidRPr="00E6612C" w:rsidRDefault="00845BBA" w:rsidP="00FA51D3">
            <w:pPr>
              <w:spacing w:after="0" w:line="240" w:lineRule="auto"/>
              <w:jc w:val="center"/>
              <w:rPr>
                <w:rFonts w:ascii="Times New Roman" w:eastAsia="Times New Roman" w:hAnsi="Times New Roman" w:cs="Times New Roman"/>
                <w:color w:val="000000"/>
              </w:rPr>
            </w:pPr>
            <w:r w:rsidRPr="00E6612C">
              <w:rPr>
                <w:rFonts w:ascii="Times New Roman" w:eastAsia="Times New Roman" w:hAnsi="Times New Roman" w:cs="Times New Roman"/>
                <w:color w:val="000000"/>
              </w:rPr>
              <w:t>15</w:t>
            </w:r>
          </w:p>
        </w:tc>
      </w:tr>
      <w:tr w:rsidR="00845BBA" w:rsidRPr="00E6612C" w14:paraId="342E51A7" w14:textId="77777777" w:rsidTr="008A1B46">
        <w:trPr>
          <w:trHeight w:val="315"/>
        </w:trPr>
        <w:tc>
          <w:tcPr>
            <w:tcW w:w="1590" w:type="dxa"/>
            <w:tcBorders>
              <w:top w:val="nil"/>
              <w:left w:val="nil"/>
              <w:right w:val="nil"/>
            </w:tcBorders>
            <w:shd w:val="clear" w:color="auto" w:fill="auto"/>
            <w:noWrap/>
            <w:vAlign w:val="bottom"/>
            <w:hideMark/>
          </w:tcPr>
          <w:p w14:paraId="37FFEAB8" w14:textId="77777777" w:rsidR="00845BBA" w:rsidRPr="00E6612C" w:rsidRDefault="00845BBA" w:rsidP="00FA51D3">
            <w:pPr>
              <w:spacing w:after="0" w:line="240" w:lineRule="auto"/>
              <w:rPr>
                <w:rFonts w:ascii="Times New Roman" w:eastAsia="Times New Roman" w:hAnsi="Times New Roman" w:cs="Times New Roman"/>
                <w:bCs/>
                <w:color w:val="000000"/>
              </w:rPr>
            </w:pPr>
            <w:r w:rsidRPr="00E6612C">
              <w:rPr>
                <w:rFonts w:ascii="Times New Roman" w:eastAsia="Times New Roman" w:hAnsi="Times New Roman" w:cs="Times New Roman"/>
                <w:bCs/>
                <w:color w:val="000000"/>
              </w:rPr>
              <w:t>B</w:t>
            </w:r>
          </w:p>
        </w:tc>
        <w:tc>
          <w:tcPr>
            <w:tcW w:w="1410" w:type="dxa"/>
            <w:tcBorders>
              <w:top w:val="nil"/>
              <w:left w:val="nil"/>
              <w:right w:val="nil"/>
            </w:tcBorders>
            <w:shd w:val="clear" w:color="auto" w:fill="auto"/>
            <w:noWrap/>
            <w:vAlign w:val="bottom"/>
            <w:hideMark/>
          </w:tcPr>
          <w:p w14:paraId="6FDC5A3A" w14:textId="77777777" w:rsidR="00845BBA" w:rsidRPr="00E6612C" w:rsidRDefault="00845BBA" w:rsidP="00FA51D3">
            <w:pPr>
              <w:spacing w:after="0" w:line="240" w:lineRule="auto"/>
              <w:jc w:val="center"/>
              <w:rPr>
                <w:rFonts w:ascii="Times New Roman" w:eastAsia="Times New Roman" w:hAnsi="Times New Roman" w:cs="Times New Roman"/>
                <w:color w:val="000000"/>
              </w:rPr>
            </w:pPr>
            <w:r w:rsidRPr="00E6612C">
              <w:rPr>
                <w:rFonts w:ascii="Times New Roman" w:eastAsia="Times New Roman" w:hAnsi="Times New Roman" w:cs="Times New Roman"/>
                <w:color w:val="000000"/>
              </w:rPr>
              <w:t>0</w:t>
            </w:r>
          </w:p>
        </w:tc>
        <w:tc>
          <w:tcPr>
            <w:tcW w:w="1460" w:type="dxa"/>
            <w:tcBorders>
              <w:top w:val="nil"/>
              <w:left w:val="nil"/>
              <w:right w:val="nil"/>
            </w:tcBorders>
            <w:shd w:val="clear" w:color="auto" w:fill="auto"/>
            <w:noWrap/>
            <w:vAlign w:val="bottom"/>
            <w:hideMark/>
          </w:tcPr>
          <w:p w14:paraId="737E448D" w14:textId="77777777" w:rsidR="00845BBA" w:rsidRPr="00E6612C" w:rsidRDefault="00845BBA" w:rsidP="00FA51D3">
            <w:pPr>
              <w:spacing w:after="0" w:line="240" w:lineRule="auto"/>
              <w:jc w:val="center"/>
              <w:rPr>
                <w:rFonts w:ascii="Times New Roman" w:eastAsia="Times New Roman" w:hAnsi="Times New Roman" w:cs="Times New Roman"/>
                <w:color w:val="000000"/>
              </w:rPr>
            </w:pPr>
            <w:r w:rsidRPr="00E6612C">
              <w:rPr>
                <w:rFonts w:ascii="Times New Roman" w:eastAsia="Times New Roman" w:hAnsi="Times New Roman" w:cs="Times New Roman"/>
                <w:color w:val="000000"/>
              </w:rPr>
              <w:t>1</w:t>
            </w:r>
          </w:p>
        </w:tc>
        <w:tc>
          <w:tcPr>
            <w:tcW w:w="1460" w:type="dxa"/>
            <w:tcBorders>
              <w:top w:val="nil"/>
              <w:left w:val="nil"/>
              <w:right w:val="nil"/>
            </w:tcBorders>
            <w:shd w:val="clear" w:color="auto" w:fill="auto"/>
            <w:noWrap/>
            <w:vAlign w:val="bottom"/>
            <w:hideMark/>
          </w:tcPr>
          <w:p w14:paraId="4E18BB33" w14:textId="77777777" w:rsidR="00845BBA" w:rsidRPr="00E6612C" w:rsidRDefault="00845BBA" w:rsidP="00FA51D3">
            <w:pPr>
              <w:spacing w:after="0" w:line="240" w:lineRule="auto"/>
              <w:jc w:val="center"/>
              <w:rPr>
                <w:rFonts w:ascii="Times New Roman" w:eastAsia="Times New Roman" w:hAnsi="Times New Roman" w:cs="Times New Roman"/>
                <w:color w:val="000000"/>
              </w:rPr>
            </w:pPr>
            <w:r w:rsidRPr="00E6612C">
              <w:rPr>
                <w:rFonts w:ascii="Times New Roman" w:eastAsia="Times New Roman" w:hAnsi="Times New Roman" w:cs="Times New Roman"/>
                <w:color w:val="000000"/>
              </w:rPr>
              <w:t>1</w:t>
            </w:r>
          </w:p>
        </w:tc>
        <w:tc>
          <w:tcPr>
            <w:tcW w:w="1420" w:type="dxa"/>
            <w:tcBorders>
              <w:top w:val="nil"/>
              <w:left w:val="nil"/>
              <w:right w:val="nil"/>
            </w:tcBorders>
            <w:shd w:val="clear" w:color="auto" w:fill="auto"/>
            <w:noWrap/>
            <w:vAlign w:val="bottom"/>
            <w:hideMark/>
          </w:tcPr>
          <w:p w14:paraId="25D2759C" w14:textId="77777777" w:rsidR="00845BBA" w:rsidRPr="00E6612C" w:rsidRDefault="00845BBA" w:rsidP="00FA51D3">
            <w:pPr>
              <w:spacing w:after="0" w:line="240" w:lineRule="auto"/>
              <w:jc w:val="center"/>
              <w:rPr>
                <w:rFonts w:ascii="Times New Roman" w:eastAsia="Times New Roman" w:hAnsi="Times New Roman" w:cs="Times New Roman"/>
                <w:color w:val="000000"/>
              </w:rPr>
            </w:pPr>
            <w:r w:rsidRPr="00E6612C">
              <w:rPr>
                <w:rFonts w:ascii="Times New Roman" w:eastAsia="Times New Roman" w:hAnsi="Times New Roman" w:cs="Times New Roman"/>
                <w:color w:val="000000"/>
              </w:rPr>
              <w:t>2</w:t>
            </w:r>
          </w:p>
        </w:tc>
        <w:tc>
          <w:tcPr>
            <w:tcW w:w="1460" w:type="dxa"/>
            <w:tcBorders>
              <w:top w:val="nil"/>
              <w:left w:val="nil"/>
              <w:right w:val="nil"/>
            </w:tcBorders>
            <w:shd w:val="clear" w:color="auto" w:fill="auto"/>
            <w:noWrap/>
            <w:vAlign w:val="bottom"/>
            <w:hideMark/>
          </w:tcPr>
          <w:p w14:paraId="15F6B299" w14:textId="77777777" w:rsidR="00845BBA" w:rsidRPr="00E6612C" w:rsidRDefault="00845BBA" w:rsidP="00FA51D3">
            <w:pPr>
              <w:spacing w:after="0" w:line="240" w:lineRule="auto"/>
              <w:jc w:val="center"/>
              <w:rPr>
                <w:rFonts w:ascii="Times New Roman" w:eastAsia="Times New Roman" w:hAnsi="Times New Roman" w:cs="Times New Roman"/>
                <w:color w:val="000000"/>
              </w:rPr>
            </w:pPr>
            <w:r w:rsidRPr="00E6612C">
              <w:rPr>
                <w:rFonts w:ascii="Times New Roman" w:eastAsia="Times New Roman" w:hAnsi="Times New Roman" w:cs="Times New Roman"/>
                <w:color w:val="000000"/>
              </w:rPr>
              <w:t>2</w:t>
            </w:r>
          </w:p>
        </w:tc>
      </w:tr>
      <w:tr w:rsidR="00845BBA" w:rsidRPr="00E6612C" w14:paraId="2D6D1F1C" w14:textId="77777777" w:rsidTr="008A1B46">
        <w:trPr>
          <w:trHeight w:val="315"/>
        </w:trPr>
        <w:tc>
          <w:tcPr>
            <w:tcW w:w="1590" w:type="dxa"/>
            <w:tcBorders>
              <w:top w:val="nil"/>
              <w:left w:val="nil"/>
              <w:right w:val="nil"/>
            </w:tcBorders>
            <w:shd w:val="clear" w:color="auto" w:fill="auto"/>
            <w:noWrap/>
            <w:vAlign w:val="bottom"/>
            <w:hideMark/>
          </w:tcPr>
          <w:p w14:paraId="6FFF44BD" w14:textId="77777777" w:rsidR="00845BBA" w:rsidRPr="00E6612C" w:rsidRDefault="00845BBA" w:rsidP="00FA51D3">
            <w:pPr>
              <w:spacing w:after="0" w:line="240" w:lineRule="auto"/>
              <w:rPr>
                <w:rFonts w:ascii="Times New Roman" w:eastAsia="Times New Roman" w:hAnsi="Times New Roman" w:cs="Times New Roman"/>
                <w:bCs/>
                <w:color w:val="000000"/>
              </w:rPr>
            </w:pPr>
            <w:r w:rsidRPr="00E6612C">
              <w:rPr>
                <w:rFonts w:ascii="Times New Roman" w:eastAsia="Times New Roman" w:hAnsi="Times New Roman" w:cs="Times New Roman"/>
                <w:bCs/>
                <w:color w:val="000000"/>
              </w:rPr>
              <w:t>C</w:t>
            </w:r>
          </w:p>
        </w:tc>
        <w:tc>
          <w:tcPr>
            <w:tcW w:w="1410" w:type="dxa"/>
            <w:tcBorders>
              <w:top w:val="nil"/>
              <w:left w:val="nil"/>
              <w:right w:val="nil"/>
            </w:tcBorders>
            <w:shd w:val="clear" w:color="auto" w:fill="auto"/>
            <w:noWrap/>
            <w:vAlign w:val="bottom"/>
            <w:hideMark/>
          </w:tcPr>
          <w:p w14:paraId="2EFCF508" w14:textId="77777777" w:rsidR="00845BBA" w:rsidRPr="00E6612C" w:rsidRDefault="00845BBA" w:rsidP="00FA51D3">
            <w:pPr>
              <w:spacing w:after="0" w:line="240" w:lineRule="auto"/>
              <w:jc w:val="center"/>
              <w:rPr>
                <w:rFonts w:ascii="Times New Roman" w:eastAsia="Times New Roman" w:hAnsi="Times New Roman" w:cs="Times New Roman"/>
                <w:color w:val="000000"/>
              </w:rPr>
            </w:pPr>
            <w:r w:rsidRPr="00E6612C">
              <w:rPr>
                <w:rFonts w:ascii="Times New Roman" w:eastAsia="Times New Roman" w:hAnsi="Times New Roman" w:cs="Times New Roman"/>
                <w:color w:val="000000"/>
              </w:rPr>
              <w:t>0</w:t>
            </w:r>
          </w:p>
        </w:tc>
        <w:tc>
          <w:tcPr>
            <w:tcW w:w="1460" w:type="dxa"/>
            <w:tcBorders>
              <w:top w:val="nil"/>
              <w:left w:val="nil"/>
              <w:right w:val="nil"/>
            </w:tcBorders>
            <w:shd w:val="clear" w:color="auto" w:fill="auto"/>
            <w:noWrap/>
            <w:vAlign w:val="bottom"/>
            <w:hideMark/>
          </w:tcPr>
          <w:p w14:paraId="3950FCD0" w14:textId="77777777" w:rsidR="00845BBA" w:rsidRPr="00E6612C" w:rsidRDefault="00845BBA" w:rsidP="00FA51D3">
            <w:pPr>
              <w:spacing w:after="0" w:line="240" w:lineRule="auto"/>
              <w:jc w:val="center"/>
              <w:rPr>
                <w:rFonts w:ascii="Times New Roman" w:eastAsia="Times New Roman" w:hAnsi="Times New Roman" w:cs="Times New Roman"/>
                <w:color w:val="000000"/>
              </w:rPr>
            </w:pPr>
            <w:r w:rsidRPr="00E6612C">
              <w:rPr>
                <w:rFonts w:ascii="Times New Roman" w:eastAsia="Times New Roman" w:hAnsi="Times New Roman" w:cs="Times New Roman"/>
                <w:color w:val="000000"/>
              </w:rPr>
              <w:t>0</w:t>
            </w:r>
          </w:p>
        </w:tc>
        <w:tc>
          <w:tcPr>
            <w:tcW w:w="1460" w:type="dxa"/>
            <w:tcBorders>
              <w:top w:val="nil"/>
              <w:left w:val="nil"/>
              <w:right w:val="nil"/>
            </w:tcBorders>
            <w:shd w:val="clear" w:color="auto" w:fill="auto"/>
            <w:noWrap/>
            <w:vAlign w:val="bottom"/>
            <w:hideMark/>
          </w:tcPr>
          <w:p w14:paraId="72FF8749" w14:textId="77777777" w:rsidR="00845BBA" w:rsidRPr="00E6612C" w:rsidRDefault="00845BBA" w:rsidP="00FA51D3">
            <w:pPr>
              <w:spacing w:after="0" w:line="240" w:lineRule="auto"/>
              <w:jc w:val="center"/>
              <w:rPr>
                <w:rFonts w:ascii="Times New Roman" w:eastAsia="Times New Roman" w:hAnsi="Times New Roman" w:cs="Times New Roman"/>
                <w:color w:val="000000"/>
              </w:rPr>
            </w:pPr>
            <w:r w:rsidRPr="00E6612C">
              <w:rPr>
                <w:rFonts w:ascii="Times New Roman" w:eastAsia="Times New Roman" w:hAnsi="Times New Roman" w:cs="Times New Roman"/>
                <w:color w:val="000000"/>
              </w:rPr>
              <w:t>0</w:t>
            </w:r>
          </w:p>
        </w:tc>
        <w:tc>
          <w:tcPr>
            <w:tcW w:w="1420" w:type="dxa"/>
            <w:tcBorders>
              <w:top w:val="nil"/>
              <w:left w:val="nil"/>
              <w:right w:val="nil"/>
            </w:tcBorders>
            <w:shd w:val="clear" w:color="auto" w:fill="auto"/>
            <w:noWrap/>
            <w:vAlign w:val="bottom"/>
            <w:hideMark/>
          </w:tcPr>
          <w:p w14:paraId="4FF5DF8C" w14:textId="77777777" w:rsidR="00845BBA" w:rsidRPr="00E6612C" w:rsidRDefault="00845BBA" w:rsidP="00FA51D3">
            <w:pPr>
              <w:spacing w:after="0" w:line="240" w:lineRule="auto"/>
              <w:jc w:val="center"/>
              <w:rPr>
                <w:rFonts w:ascii="Times New Roman" w:eastAsia="Times New Roman" w:hAnsi="Times New Roman" w:cs="Times New Roman"/>
                <w:color w:val="000000"/>
              </w:rPr>
            </w:pPr>
            <w:r w:rsidRPr="00E6612C">
              <w:rPr>
                <w:rFonts w:ascii="Times New Roman" w:eastAsia="Times New Roman" w:hAnsi="Times New Roman" w:cs="Times New Roman"/>
                <w:color w:val="000000"/>
              </w:rPr>
              <w:t>0</w:t>
            </w:r>
          </w:p>
        </w:tc>
        <w:tc>
          <w:tcPr>
            <w:tcW w:w="1460" w:type="dxa"/>
            <w:tcBorders>
              <w:top w:val="nil"/>
              <w:left w:val="nil"/>
              <w:right w:val="nil"/>
            </w:tcBorders>
            <w:shd w:val="clear" w:color="auto" w:fill="auto"/>
            <w:noWrap/>
            <w:vAlign w:val="bottom"/>
            <w:hideMark/>
          </w:tcPr>
          <w:p w14:paraId="268DEA95" w14:textId="77777777" w:rsidR="00845BBA" w:rsidRPr="00E6612C" w:rsidRDefault="00845BBA" w:rsidP="00FA51D3">
            <w:pPr>
              <w:spacing w:after="0" w:line="240" w:lineRule="auto"/>
              <w:jc w:val="center"/>
              <w:rPr>
                <w:rFonts w:ascii="Times New Roman" w:eastAsia="Times New Roman" w:hAnsi="Times New Roman" w:cs="Times New Roman"/>
                <w:color w:val="000000"/>
              </w:rPr>
            </w:pPr>
            <w:r w:rsidRPr="00E6612C">
              <w:rPr>
                <w:rFonts w:ascii="Times New Roman" w:eastAsia="Times New Roman" w:hAnsi="Times New Roman" w:cs="Times New Roman"/>
                <w:color w:val="000000"/>
              </w:rPr>
              <w:t>0</w:t>
            </w:r>
          </w:p>
        </w:tc>
      </w:tr>
      <w:tr w:rsidR="00BA770C" w:rsidRPr="00E6612C" w14:paraId="65437DD6" w14:textId="77777777" w:rsidTr="001327B4">
        <w:trPr>
          <w:trHeight w:val="454"/>
        </w:trPr>
        <w:tc>
          <w:tcPr>
            <w:tcW w:w="8800" w:type="dxa"/>
            <w:gridSpan w:val="6"/>
            <w:tcBorders>
              <w:left w:val="nil"/>
              <w:bottom w:val="single" w:sz="4" w:space="0" w:color="auto"/>
              <w:right w:val="nil"/>
            </w:tcBorders>
            <w:shd w:val="clear" w:color="auto" w:fill="auto"/>
            <w:noWrap/>
            <w:vAlign w:val="center"/>
            <w:hideMark/>
          </w:tcPr>
          <w:p w14:paraId="21602EE1" w14:textId="77777777" w:rsidR="00BA770C" w:rsidRDefault="00BA770C" w:rsidP="008A1B46">
            <w:pPr>
              <w:spacing w:after="0" w:line="240" w:lineRule="auto"/>
              <w:ind w:right="-299"/>
              <w:jc w:val="center"/>
              <w:rPr>
                <w:rFonts w:ascii="Times New Roman" w:eastAsia="Times New Roman" w:hAnsi="Times New Roman" w:cs="Times New Roman"/>
                <w:bCs/>
                <w:color w:val="000000"/>
              </w:rPr>
            </w:pPr>
          </w:p>
          <w:p w14:paraId="01F33D51" w14:textId="77777777" w:rsidR="00BA770C" w:rsidRPr="008A1B46" w:rsidRDefault="00BA770C" w:rsidP="008A1B46">
            <w:pPr>
              <w:spacing w:after="0" w:line="240" w:lineRule="auto"/>
              <w:ind w:right="-299"/>
              <w:jc w:val="center"/>
              <w:rPr>
                <w:rFonts w:ascii="Times New Roman" w:eastAsia="Times New Roman" w:hAnsi="Times New Roman" w:cs="Times New Roman"/>
                <w:b/>
                <w:bCs/>
                <w:color w:val="000000"/>
              </w:rPr>
            </w:pPr>
            <w:r w:rsidRPr="008A1B46">
              <w:rPr>
                <w:rFonts w:ascii="Times New Roman" w:eastAsia="Times New Roman" w:hAnsi="Times New Roman" w:cs="Times New Roman"/>
                <w:b/>
                <w:bCs/>
                <w:color w:val="000000"/>
              </w:rPr>
              <w:t xml:space="preserve">Rank 18 to 72 per </w:t>
            </w:r>
            <w:proofErr w:type="spellStart"/>
            <w:r w:rsidRPr="008A1B46">
              <w:rPr>
                <w:rFonts w:ascii="Times New Roman" w:eastAsia="Times New Roman" w:hAnsi="Times New Roman" w:cs="Times New Roman"/>
                <w:b/>
                <w:bCs/>
                <w:color w:val="000000"/>
              </w:rPr>
              <w:t>CLh</w:t>
            </w:r>
            <w:proofErr w:type="spellEnd"/>
            <w:r w:rsidRPr="008A1B46">
              <w:rPr>
                <w:rFonts w:ascii="Times New Roman" w:eastAsia="Times New Roman" w:hAnsi="Times New Roman" w:cs="Times New Roman"/>
                <w:b/>
                <w:bCs/>
                <w:color w:val="000000"/>
              </w:rPr>
              <w:t>, Share and Size Adjusted Pages</w:t>
            </w:r>
          </w:p>
          <w:p w14:paraId="721330C9" w14:textId="77777777" w:rsidR="00BA770C" w:rsidRPr="00BA770C" w:rsidRDefault="00BA770C" w:rsidP="00FA51D3">
            <w:pPr>
              <w:spacing w:after="0" w:line="240" w:lineRule="auto"/>
              <w:rPr>
                <w:rFonts w:ascii="Times New Roman" w:eastAsia="Times New Roman" w:hAnsi="Times New Roman" w:cs="Times New Roman"/>
                <w:bCs/>
                <w:color w:val="000000"/>
                <w:sz w:val="6"/>
                <w:szCs w:val="6"/>
              </w:rPr>
            </w:pPr>
          </w:p>
        </w:tc>
      </w:tr>
      <w:tr w:rsidR="00845BBA" w:rsidRPr="00E6612C" w14:paraId="340D8E3A" w14:textId="77777777" w:rsidTr="000B7D27">
        <w:trPr>
          <w:trHeight w:val="454"/>
        </w:trPr>
        <w:tc>
          <w:tcPr>
            <w:tcW w:w="1590" w:type="dxa"/>
            <w:tcBorders>
              <w:top w:val="single" w:sz="4" w:space="0" w:color="auto"/>
              <w:left w:val="nil"/>
              <w:bottom w:val="single" w:sz="4" w:space="0" w:color="auto"/>
              <w:right w:val="nil"/>
            </w:tcBorders>
            <w:shd w:val="clear" w:color="auto" w:fill="auto"/>
            <w:noWrap/>
            <w:vAlign w:val="center"/>
            <w:hideMark/>
          </w:tcPr>
          <w:p w14:paraId="693F6D75" w14:textId="77777777" w:rsidR="00845BBA" w:rsidRPr="00E6612C" w:rsidRDefault="00845BBA" w:rsidP="00FA51D3">
            <w:pPr>
              <w:spacing w:after="0" w:line="240" w:lineRule="auto"/>
              <w:rPr>
                <w:rFonts w:ascii="Times New Roman" w:eastAsia="Times New Roman" w:hAnsi="Times New Roman" w:cs="Times New Roman"/>
                <w:bCs/>
                <w:color w:val="000000"/>
              </w:rPr>
            </w:pPr>
            <w:r w:rsidRPr="00E6612C">
              <w:rPr>
                <w:rFonts w:ascii="Times New Roman" w:eastAsia="Times New Roman" w:hAnsi="Times New Roman" w:cs="Times New Roman"/>
                <w:bCs/>
                <w:color w:val="000000"/>
              </w:rPr>
              <w:t>PBRF Grade</w:t>
            </w:r>
          </w:p>
        </w:tc>
        <w:tc>
          <w:tcPr>
            <w:tcW w:w="1410" w:type="dxa"/>
            <w:tcBorders>
              <w:top w:val="single" w:sz="4" w:space="0" w:color="auto"/>
              <w:left w:val="nil"/>
              <w:bottom w:val="single" w:sz="4" w:space="0" w:color="auto"/>
              <w:right w:val="nil"/>
            </w:tcBorders>
            <w:shd w:val="clear" w:color="auto" w:fill="auto"/>
            <w:noWrap/>
            <w:vAlign w:val="center"/>
            <w:hideMark/>
          </w:tcPr>
          <w:p w14:paraId="4156FEDD" w14:textId="77777777" w:rsidR="00845BBA" w:rsidRPr="00E6612C" w:rsidRDefault="00845BBA" w:rsidP="00FA51D3">
            <w:pPr>
              <w:spacing w:after="0" w:line="240" w:lineRule="auto"/>
              <w:rPr>
                <w:rFonts w:ascii="Times New Roman" w:eastAsia="Times New Roman" w:hAnsi="Times New Roman" w:cs="Times New Roman"/>
                <w:bCs/>
                <w:color w:val="000000"/>
              </w:rPr>
            </w:pPr>
            <w:proofErr w:type="spellStart"/>
            <w:r w:rsidRPr="00E6612C">
              <w:rPr>
                <w:rFonts w:ascii="Times New Roman" w:eastAsia="Times New Roman" w:hAnsi="Times New Roman" w:cs="Times New Roman"/>
                <w:bCs/>
                <w:color w:val="000000"/>
              </w:rPr>
              <w:t>CLh,pg,a,b</w:t>
            </w:r>
            <w:proofErr w:type="spellEnd"/>
          </w:p>
        </w:tc>
        <w:tc>
          <w:tcPr>
            <w:tcW w:w="1460" w:type="dxa"/>
            <w:tcBorders>
              <w:top w:val="single" w:sz="4" w:space="0" w:color="auto"/>
              <w:left w:val="nil"/>
              <w:bottom w:val="single" w:sz="4" w:space="0" w:color="auto"/>
              <w:right w:val="nil"/>
            </w:tcBorders>
            <w:shd w:val="clear" w:color="auto" w:fill="auto"/>
            <w:noWrap/>
            <w:vAlign w:val="center"/>
            <w:hideMark/>
          </w:tcPr>
          <w:p w14:paraId="417C4A90" w14:textId="77777777" w:rsidR="00845BBA" w:rsidRPr="00E6612C" w:rsidRDefault="00845BBA" w:rsidP="00FA51D3">
            <w:pPr>
              <w:spacing w:after="0" w:line="240" w:lineRule="auto"/>
              <w:rPr>
                <w:rFonts w:ascii="Times New Roman" w:eastAsia="Times New Roman" w:hAnsi="Times New Roman" w:cs="Times New Roman"/>
                <w:bCs/>
                <w:color w:val="000000"/>
              </w:rPr>
            </w:pPr>
            <w:proofErr w:type="spellStart"/>
            <w:r w:rsidRPr="00E6612C">
              <w:rPr>
                <w:rFonts w:ascii="Times New Roman" w:eastAsia="Times New Roman" w:hAnsi="Times New Roman" w:cs="Times New Roman"/>
                <w:bCs/>
                <w:color w:val="000000"/>
              </w:rPr>
              <w:t>CLh,pg,c,b</w:t>
            </w:r>
            <w:proofErr w:type="spellEnd"/>
          </w:p>
        </w:tc>
        <w:tc>
          <w:tcPr>
            <w:tcW w:w="1460" w:type="dxa"/>
            <w:tcBorders>
              <w:top w:val="single" w:sz="4" w:space="0" w:color="auto"/>
              <w:left w:val="nil"/>
              <w:bottom w:val="single" w:sz="4" w:space="0" w:color="auto"/>
              <w:right w:val="nil"/>
            </w:tcBorders>
            <w:shd w:val="clear" w:color="auto" w:fill="auto"/>
            <w:noWrap/>
            <w:vAlign w:val="center"/>
            <w:hideMark/>
          </w:tcPr>
          <w:p w14:paraId="58454DD4" w14:textId="77777777" w:rsidR="00845BBA" w:rsidRPr="00E6612C" w:rsidRDefault="00845BBA" w:rsidP="00FA51D3">
            <w:pPr>
              <w:spacing w:after="0" w:line="240" w:lineRule="auto"/>
              <w:rPr>
                <w:rFonts w:ascii="Times New Roman" w:eastAsia="Times New Roman" w:hAnsi="Times New Roman" w:cs="Times New Roman"/>
                <w:bCs/>
                <w:color w:val="000000"/>
              </w:rPr>
            </w:pPr>
            <w:proofErr w:type="spellStart"/>
            <w:r w:rsidRPr="00E6612C">
              <w:rPr>
                <w:rFonts w:ascii="Times New Roman" w:eastAsia="Times New Roman" w:hAnsi="Times New Roman" w:cs="Times New Roman"/>
                <w:bCs/>
                <w:color w:val="000000"/>
              </w:rPr>
              <w:t>CLh,pg,c,d</w:t>
            </w:r>
            <w:proofErr w:type="spellEnd"/>
          </w:p>
        </w:tc>
        <w:tc>
          <w:tcPr>
            <w:tcW w:w="1420" w:type="dxa"/>
            <w:tcBorders>
              <w:top w:val="single" w:sz="4" w:space="0" w:color="auto"/>
              <w:left w:val="nil"/>
              <w:bottom w:val="single" w:sz="4" w:space="0" w:color="auto"/>
              <w:right w:val="nil"/>
            </w:tcBorders>
            <w:shd w:val="clear" w:color="auto" w:fill="auto"/>
            <w:noWrap/>
            <w:vAlign w:val="center"/>
            <w:hideMark/>
          </w:tcPr>
          <w:p w14:paraId="75C79DD9" w14:textId="77777777" w:rsidR="00845BBA" w:rsidRPr="00E6612C" w:rsidRDefault="00845BBA" w:rsidP="00FA51D3">
            <w:pPr>
              <w:spacing w:after="0" w:line="240" w:lineRule="auto"/>
              <w:rPr>
                <w:rFonts w:ascii="Times New Roman" w:eastAsia="Times New Roman" w:hAnsi="Times New Roman" w:cs="Times New Roman"/>
                <w:bCs/>
                <w:color w:val="000000"/>
              </w:rPr>
            </w:pPr>
            <w:proofErr w:type="spellStart"/>
            <w:r w:rsidRPr="00E6612C">
              <w:rPr>
                <w:rFonts w:ascii="Times New Roman" w:eastAsia="Times New Roman" w:hAnsi="Times New Roman" w:cs="Times New Roman"/>
                <w:bCs/>
                <w:color w:val="000000"/>
              </w:rPr>
              <w:t>CLh,pp,a</w:t>
            </w:r>
            <w:proofErr w:type="spellEnd"/>
          </w:p>
        </w:tc>
        <w:tc>
          <w:tcPr>
            <w:tcW w:w="1460" w:type="dxa"/>
            <w:tcBorders>
              <w:top w:val="single" w:sz="4" w:space="0" w:color="auto"/>
              <w:left w:val="nil"/>
              <w:bottom w:val="single" w:sz="4" w:space="0" w:color="auto"/>
              <w:right w:val="nil"/>
            </w:tcBorders>
            <w:shd w:val="clear" w:color="auto" w:fill="auto"/>
            <w:noWrap/>
            <w:vAlign w:val="center"/>
            <w:hideMark/>
          </w:tcPr>
          <w:p w14:paraId="05FF73E3" w14:textId="77777777" w:rsidR="00845BBA" w:rsidRPr="00E6612C" w:rsidRDefault="00845BBA" w:rsidP="00FA51D3">
            <w:pPr>
              <w:spacing w:after="0" w:line="240" w:lineRule="auto"/>
              <w:rPr>
                <w:rFonts w:ascii="Times New Roman" w:eastAsia="Times New Roman" w:hAnsi="Times New Roman" w:cs="Times New Roman"/>
                <w:bCs/>
                <w:color w:val="000000"/>
              </w:rPr>
            </w:pPr>
            <w:proofErr w:type="spellStart"/>
            <w:r w:rsidRPr="00E6612C">
              <w:rPr>
                <w:rFonts w:ascii="Times New Roman" w:eastAsia="Times New Roman" w:hAnsi="Times New Roman" w:cs="Times New Roman"/>
                <w:bCs/>
                <w:color w:val="000000"/>
              </w:rPr>
              <w:t>CLh,pp,c</w:t>
            </w:r>
            <w:proofErr w:type="spellEnd"/>
          </w:p>
        </w:tc>
      </w:tr>
      <w:tr w:rsidR="00845BBA" w:rsidRPr="00E6612C" w14:paraId="692E550F" w14:textId="77777777" w:rsidTr="00FA51D3">
        <w:trPr>
          <w:trHeight w:val="315"/>
        </w:trPr>
        <w:tc>
          <w:tcPr>
            <w:tcW w:w="1590" w:type="dxa"/>
            <w:tcBorders>
              <w:top w:val="nil"/>
              <w:left w:val="nil"/>
              <w:bottom w:val="nil"/>
              <w:right w:val="nil"/>
            </w:tcBorders>
            <w:shd w:val="clear" w:color="auto" w:fill="auto"/>
            <w:noWrap/>
            <w:vAlign w:val="bottom"/>
            <w:hideMark/>
          </w:tcPr>
          <w:p w14:paraId="4BBF60F3" w14:textId="77777777" w:rsidR="00845BBA" w:rsidRPr="00E6612C" w:rsidRDefault="00845BBA" w:rsidP="00FA51D3">
            <w:pPr>
              <w:spacing w:after="0" w:line="240" w:lineRule="auto"/>
              <w:rPr>
                <w:rFonts w:ascii="Times New Roman" w:eastAsia="Times New Roman" w:hAnsi="Times New Roman" w:cs="Times New Roman"/>
                <w:bCs/>
                <w:color w:val="000000"/>
              </w:rPr>
            </w:pPr>
            <w:r w:rsidRPr="00E6612C">
              <w:rPr>
                <w:rFonts w:ascii="Times New Roman" w:eastAsia="Times New Roman" w:hAnsi="Times New Roman" w:cs="Times New Roman"/>
                <w:bCs/>
                <w:color w:val="000000"/>
              </w:rPr>
              <w:t>A</w:t>
            </w:r>
          </w:p>
        </w:tc>
        <w:tc>
          <w:tcPr>
            <w:tcW w:w="1410" w:type="dxa"/>
            <w:tcBorders>
              <w:top w:val="nil"/>
              <w:left w:val="nil"/>
              <w:bottom w:val="nil"/>
              <w:right w:val="nil"/>
            </w:tcBorders>
            <w:shd w:val="clear" w:color="auto" w:fill="auto"/>
            <w:noWrap/>
            <w:vAlign w:val="bottom"/>
            <w:hideMark/>
          </w:tcPr>
          <w:p w14:paraId="07F730B5" w14:textId="77777777" w:rsidR="00845BBA" w:rsidRPr="00E6612C" w:rsidRDefault="00845BBA" w:rsidP="00FA51D3">
            <w:pPr>
              <w:spacing w:after="0" w:line="240" w:lineRule="auto"/>
              <w:jc w:val="center"/>
              <w:rPr>
                <w:rFonts w:ascii="Times New Roman" w:eastAsia="Times New Roman" w:hAnsi="Times New Roman" w:cs="Times New Roman"/>
                <w:color w:val="000000"/>
              </w:rPr>
            </w:pPr>
            <w:r w:rsidRPr="00E6612C">
              <w:rPr>
                <w:rFonts w:ascii="Times New Roman" w:eastAsia="Times New Roman" w:hAnsi="Times New Roman" w:cs="Times New Roman"/>
                <w:color w:val="000000"/>
              </w:rPr>
              <w:t>0</w:t>
            </w:r>
          </w:p>
        </w:tc>
        <w:tc>
          <w:tcPr>
            <w:tcW w:w="1460" w:type="dxa"/>
            <w:tcBorders>
              <w:top w:val="nil"/>
              <w:left w:val="nil"/>
              <w:bottom w:val="nil"/>
              <w:right w:val="nil"/>
            </w:tcBorders>
            <w:shd w:val="clear" w:color="auto" w:fill="auto"/>
            <w:noWrap/>
            <w:vAlign w:val="bottom"/>
            <w:hideMark/>
          </w:tcPr>
          <w:p w14:paraId="31144ED8" w14:textId="77777777" w:rsidR="00845BBA" w:rsidRPr="00E6612C" w:rsidRDefault="00845BBA" w:rsidP="00FA51D3">
            <w:pPr>
              <w:spacing w:after="0" w:line="240" w:lineRule="auto"/>
              <w:jc w:val="center"/>
              <w:rPr>
                <w:rFonts w:ascii="Times New Roman" w:eastAsia="Times New Roman" w:hAnsi="Times New Roman" w:cs="Times New Roman"/>
                <w:color w:val="000000"/>
              </w:rPr>
            </w:pPr>
            <w:r w:rsidRPr="00E6612C">
              <w:rPr>
                <w:rFonts w:ascii="Times New Roman" w:eastAsia="Times New Roman" w:hAnsi="Times New Roman" w:cs="Times New Roman"/>
                <w:color w:val="000000"/>
              </w:rPr>
              <w:t>1</w:t>
            </w:r>
          </w:p>
        </w:tc>
        <w:tc>
          <w:tcPr>
            <w:tcW w:w="1460" w:type="dxa"/>
            <w:tcBorders>
              <w:top w:val="nil"/>
              <w:left w:val="nil"/>
              <w:bottom w:val="nil"/>
              <w:right w:val="nil"/>
            </w:tcBorders>
            <w:shd w:val="clear" w:color="auto" w:fill="auto"/>
            <w:noWrap/>
            <w:vAlign w:val="bottom"/>
            <w:hideMark/>
          </w:tcPr>
          <w:p w14:paraId="73218C0F" w14:textId="77777777" w:rsidR="00845BBA" w:rsidRPr="00E6612C" w:rsidRDefault="00845BBA" w:rsidP="00FA51D3">
            <w:pPr>
              <w:spacing w:after="0" w:line="240" w:lineRule="auto"/>
              <w:jc w:val="center"/>
              <w:rPr>
                <w:rFonts w:ascii="Times New Roman" w:eastAsia="Times New Roman" w:hAnsi="Times New Roman" w:cs="Times New Roman"/>
                <w:color w:val="000000"/>
              </w:rPr>
            </w:pPr>
            <w:r w:rsidRPr="00E6612C">
              <w:rPr>
                <w:rFonts w:ascii="Times New Roman" w:eastAsia="Times New Roman" w:hAnsi="Times New Roman" w:cs="Times New Roman"/>
                <w:color w:val="000000"/>
              </w:rPr>
              <w:t>1</w:t>
            </w:r>
          </w:p>
        </w:tc>
        <w:tc>
          <w:tcPr>
            <w:tcW w:w="1420" w:type="dxa"/>
            <w:tcBorders>
              <w:top w:val="nil"/>
              <w:left w:val="nil"/>
              <w:bottom w:val="nil"/>
              <w:right w:val="nil"/>
            </w:tcBorders>
            <w:shd w:val="clear" w:color="auto" w:fill="auto"/>
            <w:noWrap/>
            <w:vAlign w:val="bottom"/>
            <w:hideMark/>
          </w:tcPr>
          <w:p w14:paraId="69070240" w14:textId="77777777" w:rsidR="00845BBA" w:rsidRPr="00E6612C" w:rsidRDefault="00845BBA" w:rsidP="00FA51D3">
            <w:pPr>
              <w:spacing w:after="0" w:line="240" w:lineRule="auto"/>
              <w:jc w:val="center"/>
              <w:rPr>
                <w:rFonts w:ascii="Times New Roman" w:eastAsia="Times New Roman" w:hAnsi="Times New Roman" w:cs="Times New Roman"/>
                <w:color w:val="000000"/>
              </w:rPr>
            </w:pPr>
            <w:r w:rsidRPr="00E6612C">
              <w:rPr>
                <w:rFonts w:ascii="Times New Roman" w:eastAsia="Times New Roman" w:hAnsi="Times New Roman" w:cs="Times New Roman"/>
                <w:color w:val="000000"/>
              </w:rPr>
              <w:t>2</w:t>
            </w:r>
          </w:p>
        </w:tc>
        <w:tc>
          <w:tcPr>
            <w:tcW w:w="1460" w:type="dxa"/>
            <w:tcBorders>
              <w:top w:val="nil"/>
              <w:left w:val="nil"/>
              <w:bottom w:val="nil"/>
              <w:right w:val="nil"/>
            </w:tcBorders>
            <w:shd w:val="clear" w:color="auto" w:fill="auto"/>
            <w:noWrap/>
            <w:vAlign w:val="bottom"/>
            <w:hideMark/>
          </w:tcPr>
          <w:p w14:paraId="4CEE332E" w14:textId="77777777" w:rsidR="00845BBA" w:rsidRPr="00E6612C" w:rsidRDefault="00845BBA" w:rsidP="00FA51D3">
            <w:pPr>
              <w:spacing w:after="0" w:line="240" w:lineRule="auto"/>
              <w:jc w:val="center"/>
              <w:rPr>
                <w:rFonts w:ascii="Times New Roman" w:eastAsia="Times New Roman" w:hAnsi="Times New Roman" w:cs="Times New Roman"/>
                <w:color w:val="000000"/>
              </w:rPr>
            </w:pPr>
            <w:r w:rsidRPr="00E6612C">
              <w:rPr>
                <w:rFonts w:ascii="Times New Roman" w:eastAsia="Times New Roman" w:hAnsi="Times New Roman" w:cs="Times New Roman"/>
                <w:color w:val="000000"/>
              </w:rPr>
              <w:t>2</w:t>
            </w:r>
          </w:p>
        </w:tc>
      </w:tr>
      <w:tr w:rsidR="00845BBA" w:rsidRPr="00E6612C" w14:paraId="4F5F380E" w14:textId="77777777" w:rsidTr="008A1B46">
        <w:trPr>
          <w:trHeight w:val="315"/>
        </w:trPr>
        <w:tc>
          <w:tcPr>
            <w:tcW w:w="1590" w:type="dxa"/>
            <w:tcBorders>
              <w:top w:val="nil"/>
              <w:left w:val="nil"/>
              <w:right w:val="nil"/>
            </w:tcBorders>
            <w:shd w:val="clear" w:color="auto" w:fill="auto"/>
            <w:noWrap/>
            <w:vAlign w:val="bottom"/>
            <w:hideMark/>
          </w:tcPr>
          <w:p w14:paraId="31820920" w14:textId="77777777" w:rsidR="00845BBA" w:rsidRPr="00E6612C" w:rsidRDefault="00845BBA" w:rsidP="00FA51D3">
            <w:pPr>
              <w:spacing w:after="0" w:line="240" w:lineRule="auto"/>
              <w:rPr>
                <w:rFonts w:ascii="Times New Roman" w:eastAsia="Times New Roman" w:hAnsi="Times New Roman" w:cs="Times New Roman"/>
                <w:bCs/>
                <w:color w:val="000000"/>
              </w:rPr>
            </w:pPr>
            <w:r w:rsidRPr="00E6612C">
              <w:rPr>
                <w:rFonts w:ascii="Times New Roman" w:eastAsia="Times New Roman" w:hAnsi="Times New Roman" w:cs="Times New Roman"/>
                <w:bCs/>
                <w:color w:val="000000"/>
              </w:rPr>
              <w:t>B</w:t>
            </w:r>
          </w:p>
        </w:tc>
        <w:tc>
          <w:tcPr>
            <w:tcW w:w="1410" w:type="dxa"/>
            <w:tcBorders>
              <w:top w:val="nil"/>
              <w:left w:val="nil"/>
              <w:right w:val="nil"/>
            </w:tcBorders>
            <w:shd w:val="clear" w:color="auto" w:fill="auto"/>
            <w:noWrap/>
            <w:vAlign w:val="bottom"/>
            <w:hideMark/>
          </w:tcPr>
          <w:p w14:paraId="64A4E0F2" w14:textId="77777777" w:rsidR="00845BBA" w:rsidRPr="00E6612C" w:rsidRDefault="00845BBA" w:rsidP="00FA51D3">
            <w:pPr>
              <w:spacing w:after="0" w:line="240" w:lineRule="auto"/>
              <w:jc w:val="center"/>
              <w:rPr>
                <w:rFonts w:ascii="Times New Roman" w:eastAsia="Times New Roman" w:hAnsi="Times New Roman" w:cs="Times New Roman"/>
                <w:color w:val="000000"/>
              </w:rPr>
            </w:pPr>
            <w:r w:rsidRPr="00E6612C">
              <w:rPr>
                <w:rFonts w:ascii="Times New Roman" w:eastAsia="Times New Roman" w:hAnsi="Times New Roman" w:cs="Times New Roman"/>
                <w:color w:val="000000"/>
              </w:rPr>
              <w:t>55</w:t>
            </w:r>
          </w:p>
        </w:tc>
        <w:tc>
          <w:tcPr>
            <w:tcW w:w="1460" w:type="dxa"/>
            <w:tcBorders>
              <w:top w:val="nil"/>
              <w:left w:val="nil"/>
              <w:right w:val="nil"/>
            </w:tcBorders>
            <w:shd w:val="clear" w:color="auto" w:fill="auto"/>
            <w:noWrap/>
            <w:vAlign w:val="bottom"/>
            <w:hideMark/>
          </w:tcPr>
          <w:p w14:paraId="24569954" w14:textId="77777777" w:rsidR="00845BBA" w:rsidRPr="00E6612C" w:rsidRDefault="00845BBA" w:rsidP="00FA51D3">
            <w:pPr>
              <w:spacing w:after="0" w:line="240" w:lineRule="auto"/>
              <w:jc w:val="center"/>
              <w:rPr>
                <w:rFonts w:ascii="Times New Roman" w:eastAsia="Times New Roman" w:hAnsi="Times New Roman" w:cs="Times New Roman"/>
                <w:color w:val="000000"/>
              </w:rPr>
            </w:pPr>
            <w:r w:rsidRPr="00E6612C">
              <w:rPr>
                <w:rFonts w:ascii="Times New Roman" w:eastAsia="Times New Roman" w:hAnsi="Times New Roman" w:cs="Times New Roman"/>
                <w:color w:val="000000"/>
              </w:rPr>
              <w:t>52</w:t>
            </w:r>
          </w:p>
        </w:tc>
        <w:tc>
          <w:tcPr>
            <w:tcW w:w="1460" w:type="dxa"/>
            <w:tcBorders>
              <w:top w:val="nil"/>
              <w:left w:val="nil"/>
              <w:right w:val="nil"/>
            </w:tcBorders>
            <w:shd w:val="clear" w:color="auto" w:fill="auto"/>
            <w:noWrap/>
            <w:vAlign w:val="bottom"/>
            <w:hideMark/>
          </w:tcPr>
          <w:p w14:paraId="2944F732" w14:textId="77777777" w:rsidR="00845BBA" w:rsidRPr="00E6612C" w:rsidRDefault="00845BBA" w:rsidP="00FA51D3">
            <w:pPr>
              <w:spacing w:after="0" w:line="240" w:lineRule="auto"/>
              <w:jc w:val="center"/>
              <w:rPr>
                <w:rFonts w:ascii="Times New Roman" w:eastAsia="Times New Roman" w:hAnsi="Times New Roman" w:cs="Times New Roman"/>
                <w:color w:val="000000"/>
              </w:rPr>
            </w:pPr>
            <w:r w:rsidRPr="00E6612C">
              <w:rPr>
                <w:rFonts w:ascii="Times New Roman" w:eastAsia="Times New Roman" w:hAnsi="Times New Roman" w:cs="Times New Roman"/>
                <w:color w:val="000000"/>
              </w:rPr>
              <w:t>51</w:t>
            </w:r>
          </w:p>
        </w:tc>
        <w:tc>
          <w:tcPr>
            <w:tcW w:w="1420" w:type="dxa"/>
            <w:tcBorders>
              <w:top w:val="nil"/>
              <w:left w:val="nil"/>
              <w:right w:val="nil"/>
            </w:tcBorders>
            <w:shd w:val="clear" w:color="auto" w:fill="auto"/>
            <w:noWrap/>
            <w:vAlign w:val="bottom"/>
            <w:hideMark/>
          </w:tcPr>
          <w:p w14:paraId="55CBFE2C" w14:textId="77777777" w:rsidR="00845BBA" w:rsidRPr="00E6612C" w:rsidRDefault="00845BBA" w:rsidP="00FA51D3">
            <w:pPr>
              <w:spacing w:after="0" w:line="240" w:lineRule="auto"/>
              <w:jc w:val="center"/>
              <w:rPr>
                <w:rFonts w:ascii="Times New Roman" w:eastAsia="Times New Roman" w:hAnsi="Times New Roman" w:cs="Times New Roman"/>
                <w:color w:val="000000"/>
              </w:rPr>
            </w:pPr>
            <w:r w:rsidRPr="00E6612C">
              <w:rPr>
                <w:rFonts w:ascii="Times New Roman" w:eastAsia="Times New Roman" w:hAnsi="Times New Roman" w:cs="Times New Roman"/>
                <w:color w:val="000000"/>
              </w:rPr>
              <w:t>51</w:t>
            </w:r>
          </w:p>
        </w:tc>
        <w:tc>
          <w:tcPr>
            <w:tcW w:w="1460" w:type="dxa"/>
            <w:tcBorders>
              <w:top w:val="nil"/>
              <w:left w:val="nil"/>
              <w:right w:val="nil"/>
            </w:tcBorders>
            <w:shd w:val="clear" w:color="auto" w:fill="auto"/>
            <w:noWrap/>
            <w:vAlign w:val="bottom"/>
            <w:hideMark/>
          </w:tcPr>
          <w:p w14:paraId="0DE2C2FE" w14:textId="77777777" w:rsidR="00845BBA" w:rsidRPr="00E6612C" w:rsidRDefault="00845BBA" w:rsidP="00FA51D3">
            <w:pPr>
              <w:spacing w:after="0" w:line="240" w:lineRule="auto"/>
              <w:jc w:val="center"/>
              <w:rPr>
                <w:rFonts w:ascii="Times New Roman" w:eastAsia="Times New Roman" w:hAnsi="Times New Roman" w:cs="Times New Roman"/>
                <w:color w:val="000000"/>
              </w:rPr>
            </w:pPr>
            <w:r w:rsidRPr="00E6612C">
              <w:rPr>
                <w:rFonts w:ascii="Times New Roman" w:eastAsia="Times New Roman" w:hAnsi="Times New Roman" w:cs="Times New Roman"/>
                <w:color w:val="000000"/>
              </w:rPr>
              <w:t>49</w:t>
            </w:r>
          </w:p>
        </w:tc>
      </w:tr>
      <w:tr w:rsidR="00845BBA" w:rsidRPr="00E6612C" w14:paraId="18272801" w14:textId="77777777" w:rsidTr="008A1B46">
        <w:trPr>
          <w:trHeight w:val="315"/>
        </w:trPr>
        <w:tc>
          <w:tcPr>
            <w:tcW w:w="1590" w:type="dxa"/>
            <w:tcBorders>
              <w:top w:val="nil"/>
              <w:left w:val="nil"/>
              <w:right w:val="nil"/>
            </w:tcBorders>
            <w:shd w:val="clear" w:color="auto" w:fill="auto"/>
            <w:noWrap/>
            <w:vAlign w:val="bottom"/>
            <w:hideMark/>
          </w:tcPr>
          <w:p w14:paraId="12F64A41" w14:textId="77777777" w:rsidR="00845BBA" w:rsidRPr="00E6612C" w:rsidRDefault="00845BBA" w:rsidP="00FA51D3">
            <w:pPr>
              <w:spacing w:after="0" w:line="240" w:lineRule="auto"/>
              <w:rPr>
                <w:rFonts w:ascii="Times New Roman" w:eastAsia="Times New Roman" w:hAnsi="Times New Roman" w:cs="Times New Roman"/>
                <w:bCs/>
                <w:color w:val="000000"/>
              </w:rPr>
            </w:pPr>
            <w:r w:rsidRPr="00E6612C">
              <w:rPr>
                <w:rFonts w:ascii="Times New Roman" w:eastAsia="Times New Roman" w:hAnsi="Times New Roman" w:cs="Times New Roman"/>
                <w:bCs/>
                <w:color w:val="000000"/>
              </w:rPr>
              <w:t>C</w:t>
            </w:r>
          </w:p>
        </w:tc>
        <w:tc>
          <w:tcPr>
            <w:tcW w:w="1410" w:type="dxa"/>
            <w:tcBorders>
              <w:top w:val="nil"/>
              <w:left w:val="nil"/>
              <w:right w:val="nil"/>
            </w:tcBorders>
            <w:shd w:val="clear" w:color="auto" w:fill="auto"/>
            <w:noWrap/>
            <w:vAlign w:val="bottom"/>
            <w:hideMark/>
          </w:tcPr>
          <w:p w14:paraId="0D8B58F0" w14:textId="77777777" w:rsidR="00845BBA" w:rsidRPr="00E6612C" w:rsidRDefault="00845BBA" w:rsidP="00FA51D3">
            <w:pPr>
              <w:spacing w:after="0" w:line="240" w:lineRule="auto"/>
              <w:jc w:val="center"/>
              <w:rPr>
                <w:rFonts w:ascii="Times New Roman" w:eastAsia="Times New Roman" w:hAnsi="Times New Roman" w:cs="Times New Roman"/>
                <w:color w:val="000000"/>
              </w:rPr>
            </w:pPr>
            <w:r w:rsidRPr="00E6612C">
              <w:rPr>
                <w:rFonts w:ascii="Times New Roman" w:eastAsia="Times New Roman" w:hAnsi="Times New Roman" w:cs="Times New Roman"/>
                <w:color w:val="000000"/>
              </w:rPr>
              <w:t>0</w:t>
            </w:r>
          </w:p>
        </w:tc>
        <w:tc>
          <w:tcPr>
            <w:tcW w:w="1460" w:type="dxa"/>
            <w:tcBorders>
              <w:top w:val="nil"/>
              <w:left w:val="nil"/>
              <w:right w:val="nil"/>
            </w:tcBorders>
            <w:shd w:val="clear" w:color="auto" w:fill="auto"/>
            <w:noWrap/>
            <w:vAlign w:val="bottom"/>
            <w:hideMark/>
          </w:tcPr>
          <w:p w14:paraId="35DFA0F1" w14:textId="77777777" w:rsidR="00845BBA" w:rsidRPr="00E6612C" w:rsidRDefault="00845BBA" w:rsidP="00FA51D3">
            <w:pPr>
              <w:spacing w:after="0" w:line="240" w:lineRule="auto"/>
              <w:jc w:val="center"/>
              <w:rPr>
                <w:rFonts w:ascii="Times New Roman" w:eastAsia="Times New Roman" w:hAnsi="Times New Roman" w:cs="Times New Roman"/>
                <w:color w:val="000000"/>
              </w:rPr>
            </w:pPr>
            <w:r w:rsidRPr="00E6612C">
              <w:rPr>
                <w:rFonts w:ascii="Times New Roman" w:eastAsia="Times New Roman" w:hAnsi="Times New Roman" w:cs="Times New Roman"/>
                <w:color w:val="000000"/>
              </w:rPr>
              <w:t>2</w:t>
            </w:r>
          </w:p>
        </w:tc>
        <w:tc>
          <w:tcPr>
            <w:tcW w:w="1460" w:type="dxa"/>
            <w:tcBorders>
              <w:top w:val="nil"/>
              <w:left w:val="nil"/>
              <w:right w:val="nil"/>
            </w:tcBorders>
            <w:shd w:val="clear" w:color="auto" w:fill="auto"/>
            <w:noWrap/>
            <w:vAlign w:val="bottom"/>
            <w:hideMark/>
          </w:tcPr>
          <w:p w14:paraId="5F2E0867" w14:textId="77777777" w:rsidR="00845BBA" w:rsidRPr="00E6612C" w:rsidRDefault="00845BBA" w:rsidP="00FA51D3">
            <w:pPr>
              <w:spacing w:after="0" w:line="240" w:lineRule="auto"/>
              <w:jc w:val="center"/>
              <w:rPr>
                <w:rFonts w:ascii="Times New Roman" w:eastAsia="Times New Roman" w:hAnsi="Times New Roman" w:cs="Times New Roman"/>
                <w:color w:val="000000"/>
              </w:rPr>
            </w:pPr>
            <w:r w:rsidRPr="00E6612C">
              <w:rPr>
                <w:rFonts w:ascii="Times New Roman" w:eastAsia="Times New Roman" w:hAnsi="Times New Roman" w:cs="Times New Roman"/>
                <w:color w:val="000000"/>
              </w:rPr>
              <w:t>3</w:t>
            </w:r>
          </w:p>
        </w:tc>
        <w:tc>
          <w:tcPr>
            <w:tcW w:w="1420" w:type="dxa"/>
            <w:tcBorders>
              <w:top w:val="nil"/>
              <w:left w:val="nil"/>
              <w:right w:val="nil"/>
            </w:tcBorders>
            <w:shd w:val="clear" w:color="auto" w:fill="auto"/>
            <w:noWrap/>
            <w:vAlign w:val="bottom"/>
            <w:hideMark/>
          </w:tcPr>
          <w:p w14:paraId="040542DE" w14:textId="77777777" w:rsidR="00845BBA" w:rsidRPr="00E6612C" w:rsidRDefault="00845BBA" w:rsidP="00FA51D3">
            <w:pPr>
              <w:spacing w:after="0" w:line="240" w:lineRule="auto"/>
              <w:jc w:val="center"/>
              <w:rPr>
                <w:rFonts w:ascii="Times New Roman" w:eastAsia="Times New Roman" w:hAnsi="Times New Roman" w:cs="Times New Roman"/>
                <w:color w:val="000000"/>
              </w:rPr>
            </w:pPr>
            <w:r w:rsidRPr="00E6612C">
              <w:rPr>
                <w:rFonts w:ascii="Times New Roman" w:eastAsia="Times New Roman" w:hAnsi="Times New Roman" w:cs="Times New Roman"/>
                <w:color w:val="000000"/>
              </w:rPr>
              <w:t>2</w:t>
            </w:r>
          </w:p>
        </w:tc>
        <w:tc>
          <w:tcPr>
            <w:tcW w:w="1460" w:type="dxa"/>
            <w:tcBorders>
              <w:top w:val="nil"/>
              <w:left w:val="nil"/>
              <w:right w:val="nil"/>
            </w:tcBorders>
            <w:shd w:val="clear" w:color="auto" w:fill="auto"/>
            <w:noWrap/>
            <w:vAlign w:val="bottom"/>
            <w:hideMark/>
          </w:tcPr>
          <w:p w14:paraId="58E30441" w14:textId="77777777" w:rsidR="00845BBA" w:rsidRPr="00E6612C" w:rsidRDefault="00845BBA" w:rsidP="00FA51D3">
            <w:pPr>
              <w:spacing w:after="0" w:line="240" w:lineRule="auto"/>
              <w:jc w:val="center"/>
              <w:rPr>
                <w:rFonts w:ascii="Times New Roman" w:eastAsia="Times New Roman" w:hAnsi="Times New Roman" w:cs="Times New Roman"/>
                <w:color w:val="000000"/>
              </w:rPr>
            </w:pPr>
            <w:r w:rsidRPr="00E6612C">
              <w:rPr>
                <w:rFonts w:ascii="Times New Roman" w:eastAsia="Times New Roman" w:hAnsi="Times New Roman" w:cs="Times New Roman"/>
                <w:color w:val="000000"/>
              </w:rPr>
              <w:t>4</w:t>
            </w:r>
          </w:p>
        </w:tc>
      </w:tr>
      <w:tr w:rsidR="00BA770C" w:rsidRPr="00E6612C" w14:paraId="1F115FFB" w14:textId="77777777" w:rsidTr="001327B4">
        <w:trPr>
          <w:trHeight w:val="454"/>
        </w:trPr>
        <w:tc>
          <w:tcPr>
            <w:tcW w:w="8800" w:type="dxa"/>
            <w:gridSpan w:val="6"/>
            <w:tcBorders>
              <w:left w:val="nil"/>
              <w:bottom w:val="single" w:sz="4" w:space="0" w:color="auto"/>
              <w:right w:val="nil"/>
            </w:tcBorders>
            <w:shd w:val="clear" w:color="auto" w:fill="auto"/>
            <w:noWrap/>
            <w:vAlign w:val="center"/>
            <w:hideMark/>
          </w:tcPr>
          <w:p w14:paraId="6B72681F" w14:textId="6A7B6B78" w:rsidR="00BA770C" w:rsidRPr="00E6612C" w:rsidRDefault="00BA770C" w:rsidP="00BA770C">
            <w:pPr>
              <w:spacing w:after="0" w:line="240" w:lineRule="auto"/>
              <w:jc w:val="center"/>
              <w:rPr>
                <w:rFonts w:ascii="Times New Roman" w:eastAsia="Times New Roman" w:hAnsi="Times New Roman" w:cs="Times New Roman"/>
                <w:bCs/>
                <w:color w:val="000000"/>
              </w:rPr>
            </w:pPr>
            <w:r w:rsidRPr="008A1B46">
              <w:rPr>
                <w:rFonts w:ascii="Times New Roman" w:eastAsia="Times New Roman" w:hAnsi="Times New Roman" w:cs="Times New Roman"/>
                <w:b/>
                <w:bCs/>
                <w:color w:val="000000"/>
              </w:rPr>
              <w:t xml:space="preserve">Rank 73 to 113 per </w:t>
            </w:r>
            <w:proofErr w:type="spellStart"/>
            <w:r w:rsidRPr="008A1B46">
              <w:rPr>
                <w:rFonts w:ascii="Times New Roman" w:eastAsia="Times New Roman" w:hAnsi="Times New Roman" w:cs="Times New Roman"/>
                <w:b/>
                <w:bCs/>
                <w:color w:val="000000"/>
              </w:rPr>
              <w:t>CLh</w:t>
            </w:r>
            <w:proofErr w:type="spellEnd"/>
            <w:r w:rsidRPr="008A1B46">
              <w:rPr>
                <w:rFonts w:ascii="Times New Roman" w:eastAsia="Times New Roman" w:hAnsi="Times New Roman" w:cs="Times New Roman"/>
                <w:b/>
                <w:bCs/>
                <w:color w:val="000000"/>
              </w:rPr>
              <w:t>, Share and Size Adjusted Pages</w:t>
            </w:r>
          </w:p>
        </w:tc>
      </w:tr>
      <w:tr w:rsidR="00845BBA" w:rsidRPr="00E6612C" w14:paraId="2F866D8E" w14:textId="77777777" w:rsidTr="000B7D27">
        <w:trPr>
          <w:trHeight w:val="454"/>
        </w:trPr>
        <w:tc>
          <w:tcPr>
            <w:tcW w:w="1590" w:type="dxa"/>
            <w:tcBorders>
              <w:top w:val="single" w:sz="4" w:space="0" w:color="auto"/>
              <w:left w:val="nil"/>
              <w:bottom w:val="single" w:sz="4" w:space="0" w:color="auto"/>
              <w:right w:val="nil"/>
            </w:tcBorders>
            <w:shd w:val="clear" w:color="auto" w:fill="auto"/>
            <w:noWrap/>
            <w:vAlign w:val="center"/>
            <w:hideMark/>
          </w:tcPr>
          <w:p w14:paraId="789BD741" w14:textId="77777777" w:rsidR="00845BBA" w:rsidRPr="00E6612C" w:rsidRDefault="00845BBA" w:rsidP="00FA51D3">
            <w:pPr>
              <w:spacing w:after="0" w:line="240" w:lineRule="auto"/>
              <w:rPr>
                <w:rFonts w:ascii="Times New Roman" w:eastAsia="Times New Roman" w:hAnsi="Times New Roman" w:cs="Times New Roman"/>
                <w:bCs/>
                <w:color w:val="000000"/>
              </w:rPr>
            </w:pPr>
            <w:r w:rsidRPr="00E6612C">
              <w:rPr>
                <w:rFonts w:ascii="Times New Roman" w:eastAsia="Times New Roman" w:hAnsi="Times New Roman" w:cs="Times New Roman"/>
                <w:bCs/>
                <w:color w:val="000000"/>
              </w:rPr>
              <w:t>PBRF Grade</w:t>
            </w:r>
          </w:p>
        </w:tc>
        <w:tc>
          <w:tcPr>
            <w:tcW w:w="1410" w:type="dxa"/>
            <w:tcBorders>
              <w:top w:val="single" w:sz="4" w:space="0" w:color="auto"/>
              <w:left w:val="nil"/>
              <w:bottom w:val="single" w:sz="4" w:space="0" w:color="auto"/>
              <w:right w:val="nil"/>
            </w:tcBorders>
            <w:shd w:val="clear" w:color="auto" w:fill="auto"/>
            <w:noWrap/>
            <w:vAlign w:val="center"/>
            <w:hideMark/>
          </w:tcPr>
          <w:p w14:paraId="0D9DC5DD" w14:textId="77777777" w:rsidR="00845BBA" w:rsidRPr="00E6612C" w:rsidRDefault="00845BBA" w:rsidP="00FA51D3">
            <w:pPr>
              <w:spacing w:after="0" w:line="240" w:lineRule="auto"/>
              <w:rPr>
                <w:rFonts w:ascii="Times New Roman" w:eastAsia="Times New Roman" w:hAnsi="Times New Roman" w:cs="Times New Roman"/>
                <w:bCs/>
                <w:color w:val="000000"/>
              </w:rPr>
            </w:pPr>
            <w:proofErr w:type="spellStart"/>
            <w:r w:rsidRPr="00E6612C">
              <w:rPr>
                <w:rFonts w:ascii="Times New Roman" w:eastAsia="Times New Roman" w:hAnsi="Times New Roman" w:cs="Times New Roman"/>
                <w:bCs/>
                <w:color w:val="000000"/>
              </w:rPr>
              <w:t>CLh,pg,a,b</w:t>
            </w:r>
            <w:proofErr w:type="spellEnd"/>
          </w:p>
        </w:tc>
        <w:tc>
          <w:tcPr>
            <w:tcW w:w="1460" w:type="dxa"/>
            <w:tcBorders>
              <w:top w:val="single" w:sz="4" w:space="0" w:color="auto"/>
              <w:left w:val="nil"/>
              <w:bottom w:val="single" w:sz="4" w:space="0" w:color="auto"/>
              <w:right w:val="nil"/>
            </w:tcBorders>
            <w:shd w:val="clear" w:color="auto" w:fill="auto"/>
            <w:noWrap/>
            <w:vAlign w:val="center"/>
            <w:hideMark/>
          </w:tcPr>
          <w:p w14:paraId="78BC5C77" w14:textId="77777777" w:rsidR="00845BBA" w:rsidRPr="00E6612C" w:rsidRDefault="00845BBA" w:rsidP="00FA51D3">
            <w:pPr>
              <w:spacing w:after="0" w:line="240" w:lineRule="auto"/>
              <w:rPr>
                <w:rFonts w:ascii="Times New Roman" w:eastAsia="Times New Roman" w:hAnsi="Times New Roman" w:cs="Times New Roman"/>
                <w:bCs/>
                <w:color w:val="000000"/>
              </w:rPr>
            </w:pPr>
            <w:proofErr w:type="spellStart"/>
            <w:r w:rsidRPr="00E6612C">
              <w:rPr>
                <w:rFonts w:ascii="Times New Roman" w:eastAsia="Times New Roman" w:hAnsi="Times New Roman" w:cs="Times New Roman"/>
                <w:bCs/>
                <w:color w:val="000000"/>
              </w:rPr>
              <w:t>CLh,pg,c,b</w:t>
            </w:r>
            <w:proofErr w:type="spellEnd"/>
          </w:p>
        </w:tc>
        <w:tc>
          <w:tcPr>
            <w:tcW w:w="1460" w:type="dxa"/>
            <w:tcBorders>
              <w:top w:val="single" w:sz="4" w:space="0" w:color="auto"/>
              <w:left w:val="nil"/>
              <w:bottom w:val="single" w:sz="4" w:space="0" w:color="auto"/>
              <w:right w:val="nil"/>
            </w:tcBorders>
            <w:shd w:val="clear" w:color="auto" w:fill="auto"/>
            <w:noWrap/>
            <w:vAlign w:val="center"/>
            <w:hideMark/>
          </w:tcPr>
          <w:p w14:paraId="6D342F5F" w14:textId="77777777" w:rsidR="00845BBA" w:rsidRPr="00E6612C" w:rsidRDefault="00845BBA" w:rsidP="00FA51D3">
            <w:pPr>
              <w:spacing w:after="0" w:line="240" w:lineRule="auto"/>
              <w:rPr>
                <w:rFonts w:ascii="Times New Roman" w:eastAsia="Times New Roman" w:hAnsi="Times New Roman" w:cs="Times New Roman"/>
                <w:bCs/>
                <w:color w:val="000000"/>
              </w:rPr>
            </w:pPr>
            <w:proofErr w:type="spellStart"/>
            <w:r w:rsidRPr="00E6612C">
              <w:rPr>
                <w:rFonts w:ascii="Times New Roman" w:eastAsia="Times New Roman" w:hAnsi="Times New Roman" w:cs="Times New Roman"/>
                <w:bCs/>
                <w:color w:val="000000"/>
              </w:rPr>
              <w:t>CLh,pg,c,d</w:t>
            </w:r>
            <w:proofErr w:type="spellEnd"/>
          </w:p>
        </w:tc>
        <w:tc>
          <w:tcPr>
            <w:tcW w:w="1420" w:type="dxa"/>
            <w:tcBorders>
              <w:top w:val="single" w:sz="4" w:space="0" w:color="auto"/>
              <w:left w:val="nil"/>
              <w:bottom w:val="single" w:sz="4" w:space="0" w:color="auto"/>
              <w:right w:val="nil"/>
            </w:tcBorders>
            <w:shd w:val="clear" w:color="auto" w:fill="auto"/>
            <w:noWrap/>
            <w:vAlign w:val="center"/>
            <w:hideMark/>
          </w:tcPr>
          <w:p w14:paraId="060A5051" w14:textId="77777777" w:rsidR="00845BBA" w:rsidRPr="00E6612C" w:rsidRDefault="00845BBA" w:rsidP="00FA51D3">
            <w:pPr>
              <w:spacing w:after="0" w:line="240" w:lineRule="auto"/>
              <w:rPr>
                <w:rFonts w:ascii="Times New Roman" w:eastAsia="Times New Roman" w:hAnsi="Times New Roman" w:cs="Times New Roman"/>
                <w:bCs/>
                <w:color w:val="000000"/>
              </w:rPr>
            </w:pPr>
            <w:proofErr w:type="spellStart"/>
            <w:r w:rsidRPr="00E6612C">
              <w:rPr>
                <w:rFonts w:ascii="Times New Roman" w:eastAsia="Times New Roman" w:hAnsi="Times New Roman" w:cs="Times New Roman"/>
                <w:bCs/>
                <w:color w:val="000000"/>
              </w:rPr>
              <w:t>CLh,pp,a</w:t>
            </w:r>
            <w:proofErr w:type="spellEnd"/>
          </w:p>
        </w:tc>
        <w:tc>
          <w:tcPr>
            <w:tcW w:w="1460" w:type="dxa"/>
            <w:tcBorders>
              <w:top w:val="single" w:sz="4" w:space="0" w:color="auto"/>
              <w:left w:val="nil"/>
              <w:bottom w:val="single" w:sz="4" w:space="0" w:color="auto"/>
              <w:right w:val="nil"/>
            </w:tcBorders>
            <w:shd w:val="clear" w:color="auto" w:fill="auto"/>
            <w:noWrap/>
            <w:vAlign w:val="center"/>
            <w:hideMark/>
          </w:tcPr>
          <w:p w14:paraId="54B7F031" w14:textId="77777777" w:rsidR="00845BBA" w:rsidRPr="00E6612C" w:rsidRDefault="00845BBA" w:rsidP="00FA51D3">
            <w:pPr>
              <w:spacing w:after="0" w:line="240" w:lineRule="auto"/>
              <w:rPr>
                <w:rFonts w:ascii="Times New Roman" w:eastAsia="Times New Roman" w:hAnsi="Times New Roman" w:cs="Times New Roman"/>
                <w:bCs/>
                <w:color w:val="000000"/>
              </w:rPr>
            </w:pPr>
            <w:proofErr w:type="spellStart"/>
            <w:r w:rsidRPr="00E6612C">
              <w:rPr>
                <w:rFonts w:ascii="Times New Roman" w:eastAsia="Times New Roman" w:hAnsi="Times New Roman" w:cs="Times New Roman"/>
                <w:bCs/>
                <w:color w:val="000000"/>
              </w:rPr>
              <w:t>CLh,pp,c</w:t>
            </w:r>
            <w:proofErr w:type="spellEnd"/>
          </w:p>
        </w:tc>
      </w:tr>
      <w:tr w:rsidR="00845BBA" w:rsidRPr="00E6612C" w14:paraId="6D9C0DC4" w14:textId="77777777" w:rsidTr="00FA51D3">
        <w:trPr>
          <w:trHeight w:val="315"/>
        </w:trPr>
        <w:tc>
          <w:tcPr>
            <w:tcW w:w="1590" w:type="dxa"/>
            <w:tcBorders>
              <w:top w:val="nil"/>
              <w:left w:val="nil"/>
              <w:bottom w:val="nil"/>
              <w:right w:val="nil"/>
            </w:tcBorders>
            <w:shd w:val="clear" w:color="auto" w:fill="auto"/>
            <w:noWrap/>
            <w:vAlign w:val="bottom"/>
            <w:hideMark/>
          </w:tcPr>
          <w:p w14:paraId="2DB2031D" w14:textId="77777777" w:rsidR="00845BBA" w:rsidRPr="00E6612C" w:rsidRDefault="00845BBA" w:rsidP="00FA51D3">
            <w:pPr>
              <w:spacing w:after="0" w:line="240" w:lineRule="auto"/>
              <w:rPr>
                <w:rFonts w:ascii="Times New Roman" w:eastAsia="Times New Roman" w:hAnsi="Times New Roman" w:cs="Times New Roman"/>
                <w:bCs/>
                <w:color w:val="000000"/>
              </w:rPr>
            </w:pPr>
            <w:r w:rsidRPr="00E6612C">
              <w:rPr>
                <w:rFonts w:ascii="Times New Roman" w:eastAsia="Times New Roman" w:hAnsi="Times New Roman" w:cs="Times New Roman"/>
                <w:bCs/>
                <w:color w:val="000000"/>
              </w:rPr>
              <w:t>A</w:t>
            </w:r>
          </w:p>
        </w:tc>
        <w:tc>
          <w:tcPr>
            <w:tcW w:w="1410" w:type="dxa"/>
            <w:tcBorders>
              <w:top w:val="nil"/>
              <w:left w:val="nil"/>
              <w:bottom w:val="nil"/>
              <w:right w:val="nil"/>
            </w:tcBorders>
            <w:shd w:val="clear" w:color="auto" w:fill="auto"/>
            <w:noWrap/>
            <w:vAlign w:val="bottom"/>
            <w:hideMark/>
          </w:tcPr>
          <w:p w14:paraId="212E2B55" w14:textId="77777777" w:rsidR="00845BBA" w:rsidRPr="00E6612C" w:rsidRDefault="00845BBA" w:rsidP="00FA51D3">
            <w:pPr>
              <w:spacing w:after="0" w:line="240" w:lineRule="auto"/>
              <w:jc w:val="center"/>
              <w:rPr>
                <w:rFonts w:ascii="Times New Roman" w:eastAsia="Times New Roman" w:hAnsi="Times New Roman" w:cs="Times New Roman"/>
                <w:color w:val="000000"/>
              </w:rPr>
            </w:pPr>
            <w:r w:rsidRPr="00E6612C">
              <w:rPr>
                <w:rFonts w:ascii="Times New Roman" w:eastAsia="Times New Roman" w:hAnsi="Times New Roman" w:cs="Times New Roman"/>
                <w:color w:val="000000"/>
              </w:rPr>
              <w:t>0</w:t>
            </w:r>
          </w:p>
        </w:tc>
        <w:tc>
          <w:tcPr>
            <w:tcW w:w="1460" w:type="dxa"/>
            <w:tcBorders>
              <w:top w:val="nil"/>
              <w:left w:val="nil"/>
              <w:bottom w:val="nil"/>
              <w:right w:val="nil"/>
            </w:tcBorders>
            <w:shd w:val="clear" w:color="auto" w:fill="auto"/>
            <w:noWrap/>
            <w:vAlign w:val="bottom"/>
            <w:hideMark/>
          </w:tcPr>
          <w:p w14:paraId="03410D69" w14:textId="77777777" w:rsidR="00845BBA" w:rsidRPr="00E6612C" w:rsidRDefault="00845BBA" w:rsidP="00FA51D3">
            <w:pPr>
              <w:spacing w:after="0" w:line="240" w:lineRule="auto"/>
              <w:jc w:val="center"/>
              <w:rPr>
                <w:rFonts w:ascii="Times New Roman" w:eastAsia="Times New Roman" w:hAnsi="Times New Roman" w:cs="Times New Roman"/>
                <w:color w:val="000000"/>
              </w:rPr>
            </w:pPr>
            <w:r w:rsidRPr="00E6612C">
              <w:rPr>
                <w:rFonts w:ascii="Times New Roman" w:eastAsia="Times New Roman" w:hAnsi="Times New Roman" w:cs="Times New Roman"/>
                <w:color w:val="000000"/>
              </w:rPr>
              <w:t>0</w:t>
            </w:r>
          </w:p>
        </w:tc>
        <w:tc>
          <w:tcPr>
            <w:tcW w:w="1460" w:type="dxa"/>
            <w:tcBorders>
              <w:top w:val="nil"/>
              <w:left w:val="nil"/>
              <w:bottom w:val="nil"/>
              <w:right w:val="nil"/>
            </w:tcBorders>
            <w:shd w:val="clear" w:color="auto" w:fill="auto"/>
            <w:noWrap/>
            <w:vAlign w:val="bottom"/>
            <w:hideMark/>
          </w:tcPr>
          <w:p w14:paraId="71AC2B17" w14:textId="77777777" w:rsidR="00845BBA" w:rsidRPr="00E6612C" w:rsidRDefault="00845BBA" w:rsidP="00FA51D3">
            <w:pPr>
              <w:spacing w:after="0" w:line="240" w:lineRule="auto"/>
              <w:jc w:val="center"/>
              <w:rPr>
                <w:rFonts w:ascii="Times New Roman" w:eastAsia="Times New Roman" w:hAnsi="Times New Roman" w:cs="Times New Roman"/>
                <w:color w:val="000000"/>
              </w:rPr>
            </w:pPr>
            <w:r w:rsidRPr="00E6612C">
              <w:rPr>
                <w:rFonts w:ascii="Times New Roman" w:eastAsia="Times New Roman" w:hAnsi="Times New Roman" w:cs="Times New Roman"/>
                <w:color w:val="000000"/>
              </w:rPr>
              <w:t>0</w:t>
            </w:r>
          </w:p>
        </w:tc>
        <w:tc>
          <w:tcPr>
            <w:tcW w:w="1420" w:type="dxa"/>
            <w:tcBorders>
              <w:top w:val="nil"/>
              <w:left w:val="nil"/>
              <w:bottom w:val="nil"/>
              <w:right w:val="nil"/>
            </w:tcBorders>
            <w:shd w:val="clear" w:color="auto" w:fill="auto"/>
            <w:noWrap/>
            <w:vAlign w:val="bottom"/>
            <w:hideMark/>
          </w:tcPr>
          <w:p w14:paraId="74FE092A" w14:textId="77777777" w:rsidR="00845BBA" w:rsidRPr="00E6612C" w:rsidRDefault="00845BBA" w:rsidP="00FA51D3">
            <w:pPr>
              <w:spacing w:after="0" w:line="240" w:lineRule="auto"/>
              <w:jc w:val="center"/>
              <w:rPr>
                <w:rFonts w:ascii="Times New Roman" w:eastAsia="Times New Roman" w:hAnsi="Times New Roman" w:cs="Times New Roman"/>
                <w:color w:val="000000"/>
              </w:rPr>
            </w:pPr>
            <w:r w:rsidRPr="00E6612C">
              <w:rPr>
                <w:rFonts w:ascii="Times New Roman" w:eastAsia="Times New Roman" w:hAnsi="Times New Roman" w:cs="Times New Roman"/>
                <w:color w:val="000000"/>
              </w:rPr>
              <w:t>0</w:t>
            </w:r>
          </w:p>
        </w:tc>
        <w:tc>
          <w:tcPr>
            <w:tcW w:w="1460" w:type="dxa"/>
            <w:tcBorders>
              <w:top w:val="nil"/>
              <w:left w:val="nil"/>
              <w:bottom w:val="nil"/>
              <w:right w:val="nil"/>
            </w:tcBorders>
            <w:shd w:val="clear" w:color="auto" w:fill="auto"/>
            <w:noWrap/>
            <w:vAlign w:val="bottom"/>
            <w:hideMark/>
          </w:tcPr>
          <w:p w14:paraId="50B2921C" w14:textId="77777777" w:rsidR="00845BBA" w:rsidRPr="00E6612C" w:rsidRDefault="00845BBA" w:rsidP="00FA51D3">
            <w:pPr>
              <w:spacing w:after="0" w:line="240" w:lineRule="auto"/>
              <w:jc w:val="center"/>
              <w:rPr>
                <w:rFonts w:ascii="Times New Roman" w:eastAsia="Times New Roman" w:hAnsi="Times New Roman" w:cs="Times New Roman"/>
                <w:color w:val="000000"/>
              </w:rPr>
            </w:pPr>
            <w:r w:rsidRPr="00E6612C">
              <w:rPr>
                <w:rFonts w:ascii="Times New Roman" w:eastAsia="Times New Roman" w:hAnsi="Times New Roman" w:cs="Times New Roman"/>
                <w:color w:val="000000"/>
              </w:rPr>
              <w:t>0</w:t>
            </w:r>
          </w:p>
        </w:tc>
      </w:tr>
      <w:tr w:rsidR="00845BBA" w:rsidRPr="00E6612C" w14:paraId="3E4C9B1C" w14:textId="77777777" w:rsidTr="00997BD1">
        <w:trPr>
          <w:trHeight w:val="315"/>
        </w:trPr>
        <w:tc>
          <w:tcPr>
            <w:tcW w:w="1590" w:type="dxa"/>
            <w:tcBorders>
              <w:top w:val="nil"/>
              <w:left w:val="nil"/>
              <w:right w:val="nil"/>
            </w:tcBorders>
            <w:shd w:val="clear" w:color="auto" w:fill="auto"/>
            <w:noWrap/>
            <w:vAlign w:val="bottom"/>
            <w:hideMark/>
          </w:tcPr>
          <w:p w14:paraId="16C910FE" w14:textId="77777777" w:rsidR="00845BBA" w:rsidRPr="00E6612C" w:rsidRDefault="00845BBA" w:rsidP="00FA51D3">
            <w:pPr>
              <w:spacing w:after="0" w:line="240" w:lineRule="auto"/>
              <w:rPr>
                <w:rFonts w:ascii="Times New Roman" w:eastAsia="Times New Roman" w:hAnsi="Times New Roman" w:cs="Times New Roman"/>
                <w:bCs/>
                <w:color w:val="000000"/>
              </w:rPr>
            </w:pPr>
            <w:r w:rsidRPr="00E6612C">
              <w:rPr>
                <w:rFonts w:ascii="Times New Roman" w:eastAsia="Times New Roman" w:hAnsi="Times New Roman" w:cs="Times New Roman"/>
                <w:bCs/>
                <w:color w:val="000000"/>
              </w:rPr>
              <w:t>B</w:t>
            </w:r>
          </w:p>
        </w:tc>
        <w:tc>
          <w:tcPr>
            <w:tcW w:w="1410" w:type="dxa"/>
            <w:tcBorders>
              <w:top w:val="nil"/>
              <w:left w:val="nil"/>
              <w:right w:val="nil"/>
            </w:tcBorders>
            <w:shd w:val="clear" w:color="auto" w:fill="auto"/>
            <w:noWrap/>
            <w:vAlign w:val="bottom"/>
            <w:hideMark/>
          </w:tcPr>
          <w:p w14:paraId="3A9D8C42" w14:textId="77777777" w:rsidR="00845BBA" w:rsidRPr="00E6612C" w:rsidRDefault="00845BBA" w:rsidP="00FA51D3">
            <w:pPr>
              <w:spacing w:after="0" w:line="240" w:lineRule="auto"/>
              <w:jc w:val="center"/>
              <w:rPr>
                <w:rFonts w:ascii="Times New Roman" w:eastAsia="Times New Roman" w:hAnsi="Times New Roman" w:cs="Times New Roman"/>
                <w:color w:val="000000"/>
              </w:rPr>
            </w:pPr>
            <w:r w:rsidRPr="00E6612C">
              <w:rPr>
                <w:rFonts w:ascii="Times New Roman" w:eastAsia="Times New Roman" w:hAnsi="Times New Roman" w:cs="Times New Roman"/>
                <w:color w:val="000000"/>
              </w:rPr>
              <w:t>0</w:t>
            </w:r>
          </w:p>
        </w:tc>
        <w:tc>
          <w:tcPr>
            <w:tcW w:w="1460" w:type="dxa"/>
            <w:tcBorders>
              <w:top w:val="nil"/>
              <w:left w:val="nil"/>
              <w:right w:val="nil"/>
            </w:tcBorders>
            <w:shd w:val="clear" w:color="auto" w:fill="auto"/>
            <w:noWrap/>
            <w:vAlign w:val="bottom"/>
            <w:hideMark/>
          </w:tcPr>
          <w:p w14:paraId="491A8B5B" w14:textId="77777777" w:rsidR="00845BBA" w:rsidRPr="00E6612C" w:rsidRDefault="00845BBA" w:rsidP="00FA51D3">
            <w:pPr>
              <w:spacing w:after="0" w:line="240" w:lineRule="auto"/>
              <w:jc w:val="center"/>
              <w:rPr>
                <w:rFonts w:ascii="Times New Roman" w:eastAsia="Times New Roman" w:hAnsi="Times New Roman" w:cs="Times New Roman"/>
                <w:color w:val="000000"/>
              </w:rPr>
            </w:pPr>
            <w:r w:rsidRPr="00E6612C">
              <w:rPr>
                <w:rFonts w:ascii="Times New Roman" w:eastAsia="Times New Roman" w:hAnsi="Times New Roman" w:cs="Times New Roman"/>
                <w:color w:val="000000"/>
              </w:rPr>
              <w:t>2</w:t>
            </w:r>
          </w:p>
        </w:tc>
        <w:tc>
          <w:tcPr>
            <w:tcW w:w="1460" w:type="dxa"/>
            <w:tcBorders>
              <w:top w:val="nil"/>
              <w:left w:val="nil"/>
              <w:right w:val="nil"/>
            </w:tcBorders>
            <w:shd w:val="clear" w:color="auto" w:fill="auto"/>
            <w:noWrap/>
            <w:vAlign w:val="bottom"/>
            <w:hideMark/>
          </w:tcPr>
          <w:p w14:paraId="1A60F18F" w14:textId="77777777" w:rsidR="00845BBA" w:rsidRPr="00E6612C" w:rsidRDefault="00845BBA" w:rsidP="00FA51D3">
            <w:pPr>
              <w:spacing w:after="0" w:line="240" w:lineRule="auto"/>
              <w:jc w:val="center"/>
              <w:rPr>
                <w:rFonts w:ascii="Times New Roman" w:eastAsia="Times New Roman" w:hAnsi="Times New Roman" w:cs="Times New Roman"/>
                <w:color w:val="000000"/>
              </w:rPr>
            </w:pPr>
            <w:r w:rsidRPr="00E6612C">
              <w:rPr>
                <w:rFonts w:ascii="Times New Roman" w:eastAsia="Times New Roman" w:hAnsi="Times New Roman" w:cs="Times New Roman"/>
                <w:color w:val="000000"/>
              </w:rPr>
              <w:t>3</w:t>
            </w:r>
          </w:p>
        </w:tc>
        <w:tc>
          <w:tcPr>
            <w:tcW w:w="1420" w:type="dxa"/>
            <w:tcBorders>
              <w:top w:val="nil"/>
              <w:left w:val="nil"/>
              <w:right w:val="nil"/>
            </w:tcBorders>
            <w:shd w:val="clear" w:color="auto" w:fill="auto"/>
            <w:noWrap/>
            <w:vAlign w:val="bottom"/>
            <w:hideMark/>
          </w:tcPr>
          <w:p w14:paraId="141FCA14" w14:textId="77777777" w:rsidR="00845BBA" w:rsidRPr="00E6612C" w:rsidRDefault="00845BBA" w:rsidP="00FA51D3">
            <w:pPr>
              <w:spacing w:after="0" w:line="240" w:lineRule="auto"/>
              <w:jc w:val="center"/>
              <w:rPr>
                <w:rFonts w:ascii="Times New Roman" w:eastAsia="Times New Roman" w:hAnsi="Times New Roman" w:cs="Times New Roman"/>
                <w:color w:val="000000"/>
              </w:rPr>
            </w:pPr>
            <w:r w:rsidRPr="00E6612C">
              <w:rPr>
                <w:rFonts w:ascii="Times New Roman" w:eastAsia="Times New Roman" w:hAnsi="Times New Roman" w:cs="Times New Roman"/>
                <w:color w:val="000000"/>
              </w:rPr>
              <w:t>2</w:t>
            </w:r>
          </w:p>
        </w:tc>
        <w:tc>
          <w:tcPr>
            <w:tcW w:w="1460" w:type="dxa"/>
            <w:tcBorders>
              <w:top w:val="nil"/>
              <w:left w:val="nil"/>
              <w:right w:val="nil"/>
            </w:tcBorders>
            <w:shd w:val="clear" w:color="auto" w:fill="auto"/>
            <w:noWrap/>
            <w:vAlign w:val="bottom"/>
            <w:hideMark/>
          </w:tcPr>
          <w:p w14:paraId="22980D8D" w14:textId="77777777" w:rsidR="00845BBA" w:rsidRPr="00E6612C" w:rsidRDefault="00845BBA" w:rsidP="00FA51D3">
            <w:pPr>
              <w:spacing w:after="0" w:line="240" w:lineRule="auto"/>
              <w:jc w:val="center"/>
              <w:rPr>
                <w:rFonts w:ascii="Times New Roman" w:eastAsia="Times New Roman" w:hAnsi="Times New Roman" w:cs="Times New Roman"/>
                <w:color w:val="000000"/>
              </w:rPr>
            </w:pPr>
            <w:r w:rsidRPr="00E6612C">
              <w:rPr>
                <w:rFonts w:ascii="Times New Roman" w:eastAsia="Times New Roman" w:hAnsi="Times New Roman" w:cs="Times New Roman"/>
                <w:color w:val="000000"/>
              </w:rPr>
              <w:t>4</w:t>
            </w:r>
          </w:p>
        </w:tc>
      </w:tr>
      <w:tr w:rsidR="00845BBA" w:rsidRPr="00E6612C" w14:paraId="1667F354" w14:textId="77777777" w:rsidTr="00997BD1">
        <w:trPr>
          <w:trHeight w:val="315"/>
        </w:trPr>
        <w:tc>
          <w:tcPr>
            <w:tcW w:w="1590" w:type="dxa"/>
            <w:tcBorders>
              <w:top w:val="nil"/>
              <w:left w:val="nil"/>
              <w:bottom w:val="single" w:sz="4" w:space="0" w:color="auto"/>
              <w:right w:val="nil"/>
            </w:tcBorders>
            <w:shd w:val="clear" w:color="auto" w:fill="auto"/>
            <w:noWrap/>
            <w:vAlign w:val="bottom"/>
            <w:hideMark/>
          </w:tcPr>
          <w:p w14:paraId="1BE7668D" w14:textId="77777777" w:rsidR="00845BBA" w:rsidRPr="00E6612C" w:rsidRDefault="00845BBA" w:rsidP="00922F54">
            <w:pPr>
              <w:spacing w:after="60" w:line="240" w:lineRule="auto"/>
              <w:rPr>
                <w:rFonts w:ascii="Times New Roman" w:eastAsia="Times New Roman" w:hAnsi="Times New Roman" w:cs="Times New Roman"/>
                <w:bCs/>
                <w:color w:val="000000"/>
              </w:rPr>
            </w:pPr>
            <w:r w:rsidRPr="00E6612C">
              <w:rPr>
                <w:rFonts w:ascii="Times New Roman" w:eastAsia="Times New Roman" w:hAnsi="Times New Roman" w:cs="Times New Roman"/>
                <w:bCs/>
                <w:color w:val="000000"/>
              </w:rPr>
              <w:t>C</w:t>
            </w:r>
          </w:p>
        </w:tc>
        <w:tc>
          <w:tcPr>
            <w:tcW w:w="1410" w:type="dxa"/>
            <w:tcBorders>
              <w:top w:val="nil"/>
              <w:left w:val="nil"/>
              <w:bottom w:val="single" w:sz="4" w:space="0" w:color="auto"/>
              <w:right w:val="nil"/>
            </w:tcBorders>
            <w:shd w:val="clear" w:color="auto" w:fill="auto"/>
            <w:noWrap/>
            <w:vAlign w:val="bottom"/>
            <w:hideMark/>
          </w:tcPr>
          <w:p w14:paraId="1755FFD9" w14:textId="77777777" w:rsidR="00845BBA" w:rsidRPr="00E6612C" w:rsidRDefault="00845BBA" w:rsidP="00922F54">
            <w:pPr>
              <w:spacing w:after="60" w:line="240" w:lineRule="auto"/>
              <w:jc w:val="center"/>
              <w:rPr>
                <w:rFonts w:ascii="Times New Roman" w:eastAsia="Times New Roman" w:hAnsi="Times New Roman" w:cs="Times New Roman"/>
                <w:color w:val="000000"/>
              </w:rPr>
            </w:pPr>
            <w:r w:rsidRPr="00E6612C">
              <w:rPr>
                <w:rFonts w:ascii="Times New Roman" w:eastAsia="Times New Roman" w:hAnsi="Times New Roman" w:cs="Times New Roman"/>
                <w:color w:val="000000"/>
              </w:rPr>
              <w:t>41</w:t>
            </w:r>
          </w:p>
        </w:tc>
        <w:tc>
          <w:tcPr>
            <w:tcW w:w="1460" w:type="dxa"/>
            <w:tcBorders>
              <w:top w:val="nil"/>
              <w:left w:val="nil"/>
              <w:bottom w:val="single" w:sz="4" w:space="0" w:color="auto"/>
              <w:right w:val="nil"/>
            </w:tcBorders>
            <w:shd w:val="clear" w:color="auto" w:fill="auto"/>
            <w:noWrap/>
            <w:vAlign w:val="bottom"/>
            <w:hideMark/>
          </w:tcPr>
          <w:p w14:paraId="5944EC64" w14:textId="77777777" w:rsidR="00845BBA" w:rsidRPr="00E6612C" w:rsidRDefault="00845BBA" w:rsidP="00922F54">
            <w:pPr>
              <w:spacing w:after="60" w:line="240" w:lineRule="auto"/>
              <w:jc w:val="center"/>
              <w:rPr>
                <w:rFonts w:ascii="Times New Roman" w:eastAsia="Times New Roman" w:hAnsi="Times New Roman" w:cs="Times New Roman"/>
                <w:color w:val="000000"/>
              </w:rPr>
            </w:pPr>
            <w:r w:rsidRPr="00E6612C">
              <w:rPr>
                <w:rFonts w:ascii="Times New Roman" w:eastAsia="Times New Roman" w:hAnsi="Times New Roman" w:cs="Times New Roman"/>
                <w:color w:val="000000"/>
              </w:rPr>
              <w:t>39</w:t>
            </w:r>
          </w:p>
        </w:tc>
        <w:tc>
          <w:tcPr>
            <w:tcW w:w="1460" w:type="dxa"/>
            <w:tcBorders>
              <w:top w:val="nil"/>
              <w:left w:val="nil"/>
              <w:bottom w:val="single" w:sz="4" w:space="0" w:color="auto"/>
              <w:right w:val="nil"/>
            </w:tcBorders>
            <w:shd w:val="clear" w:color="auto" w:fill="auto"/>
            <w:noWrap/>
            <w:vAlign w:val="bottom"/>
            <w:hideMark/>
          </w:tcPr>
          <w:p w14:paraId="442D99E3" w14:textId="77777777" w:rsidR="00845BBA" w:rsidRPr="00E6612C" w:rsidRDefault="00845BBA" w:rsidP="00922F54">
            <w:pPr>
              <w:spacing w:after="60" w:line="240" w:lineRule="auto"/>
              <w:jc w:val="center"/>
              <w:rPr>
                <w:rFonts w:ascii="Times New Roman" w:eastAsia="Times New Roman" w:hAnsi="Times New Roman" w:cs="Times New Roman"/>
                <w:color w:val="000000"/>
              </w:rPr>
            </w:pPr>
            <w:r w:rsidRPr="00E6612C">
              <w:rPr>
                <w:rFonts w:ascii="Times New Roman" w:eastAsia="Times New Roman" w:hAnsi="Times New Roman" w:cs="Times New Roman"/>
                <w:color w:val="000000"/>
              </w:rPr>
              <w:t>38</w:t>
            </w:r>
          </w:p>
        </w:tc>
        <w:tc>
          <w:tcPr>
            <w:tcW w:w="1420" w:type="dxa"/>
            <w:tcBorders>
              <w:top w:val="nil"/>
              <w:left w:val="nil"/>
              <w:bottom w:val="single" w:sz="4" w:space="0" w:color="auto"/>
              <w:right w:val="nil"/>
            </w:tcBorders>
            <w:shd w:val="clear" w:color="auto" w:fill="auto"/>
            <w:noWrap/>
            <w:vAlign w:val="bottom"/>
            <w:hideMark/>
          </w:tcPr>
          <w:p w14:paraId="24755FF9" w14:textId="77777777" w:rsidR="00845BBA" w:rsidRPr="00E6612C" w:rsidRDefault="00845BBA" w:rsidP="00922F54">
            <w:pPr>
              <w:spacing w:after="60" w:line="240" w:lineRule="auto"/>
              <w:jc w:val="center"/>
              <w:rPr>
                <w:rFonts w:ascii="Times New Roman" w:eastAsia="Times New Roman" w:hAnsi="Times New Roman" w:cs="Times New Roman"/>
                <w:color w:val="000000"/>
              </w:rPr>
            </w:pPr>
            <w:r w:rsidRPr="00E6612C">
              <w:rPr>
                <w:rFonts w:ascii="Times New Roman" w:eastAsia="Times New Roman" w:hAnsi="Times New Roman" w:cs="Times New Roman"/>
                <w:color w:val="000000"/>
              </w:rPr>
              <w:t>39</w:t>
            </w:r>
          </w:p>
        </w:tc>
        <w:tc>
          <w:tcPr>
            <w:tcW w:w="1460" w:type="dxa"/>
            <w:tcBorders>
              <w:top w:val="nil"/>
              <w:left w:val="nil"/>
              <w:bottom w:val="single" w:sz="4" w:space="0" w:color="auto"/>
              <w:right w:val="nil"/>
            </w:tcBorders>
            <w:shd w:val="clear" w:color="auto" w:fill="auto"/>
            <w:noWrap/>
            <w:vAlign w:val="bottom"/>
            <w:hideMark/>
          </w:tcPr>
          <w:p w14:paraId="45EFAA60" w14:textId="77777777" w:rsidR="00845BBA" w:rsidRPr="00E6612C" w:rsidRDefault="00845BBA" w:rsidP="00922F54">
            <w:pPr>
              <w:spacing w:after="60" w:line="240" w:lineRule="auto"/>
              <w:jc w:val="center"/>
              <w:rPr>
                <w:rFonts w:ascii="Times New Roman" w:eastAsia="Times New Roman" w:hAnsi="Times New Roman" w:cs="Times New Roman"/>
                <w:color w:val="000000"/>
              </w:rPr>
            </w:pPr>
            <w:r w:rsidRPr="00E6612C">
              <w:rPr>
                <w:rFonts w:ascii="Times New Roman" w:eastAsia="Times New Roman" w:hAnsi="Times New Roman" w:cs="Times New Roman"/>
                <w:color w:val="000000"/>
              </w:rPr>
              <w:t>37</w:t>
            </w:r>
          </w:p>
        </w:tc>
      </w:tr>
      <w:tr w:rsidR="00845BBA" w:rsidRPr="00043ECF" w14:paraId="2294A7DF" w14:textId="77777777" w:rsidTr="00997BD1">
        <w:trPr>
          <w:trHeight w:val="315"/>
        </w:trPr>
        <w:tc>
          <w:tcPr>
            <w:tcW w:w="1590" w:type="dxa"/>
            <w:tcBorders>
              <w:top w:val="single" w:sz="4" w:space="0" w:color="auto"/>
              <w:left w:val="nil"/>
              <w:bottom w:val="nil"/>
              <w:right w:val="nil"/>
            </w:tcBorders>
            <w:shd w:val="clear" w:color="auto" w:fill="auto"/>
            <w:noWrap/>
            <w:vAlign w:val="bottom"/>
            <w:hideMark/>
          </w:tcPr>
          <w:p w14:paraId="03D2EC40" w14:textId="77777777" w:rsidR="00845BBA" w:rsidRPr="00043ECF" w:rsidRDefault="00845BBA" w:rsidP="00FA51D3">
            <w:pPr>
              <w:spacing w:after="0" w:line="240" w:lineRule="auto"/>
              <w:rPr>
                <w:rFonts w:ascii="Times New Roman" w:eastAsia="Times New Roman" w:hAnsi="Times New Roman" w:cs="Times New Roman"/>
                <w:bCs/>
                <w:i/>
                <w:color w:val="000000"/>
                <w:sz w:val="20"/>
                <w:szCs w:val="20"/>
              </w:rPr>
            </w:pPr>
            <w:r w:rsidRPr="00043ECF">
              <w:rPr>
                <w:rFonts w:ascii="Times New Roman" w:eastAsia="Times New Roman" w:hAnsi="Times New Roman" w:cs="Times New Roman"/>
                <w:bCs/>
                <w:i/>
                <w:color w:val="000000"/>
                <w:sz w:val="20"/>
                <w:szCs w:val="20"/>
              </w:rPr>
              <w:t>Notes:</w:t>
            </w:r>
          </w:p>
        </w:tc>
        <w:tc>
          <w:tcPr>
            <w:tcW w:w="1410" w:type="dxa"/>
            <w:tcBorders>
              <w:top w:val="single" w:sz="4" w:space="0" w:color="auto"/>
              <w:left w:val="nil"/>
              <w:bottom w:val="nil"/>
              <w:right w:val="nil"/>
            </w:tcBorders>
            <w:shd w:val="clear" w:color="auto" w:fill="auto"/>
            <w:noWrap/>
            <w:vAlign w:val="bottom"/>
            <w:hideMark/>
          </w:tcPr>
          <w:p w14:paraId="4DBDF3C5" w14:textId="77777777" w:rsidR="00845BBA" w:rsidRPr="00043ECF" w:rsidRDefault="00845BBA" w:rsidP="00FA51D3">
            <w:pPr>
              <w:spacing w:after="0" w:line="240" w:lineRule="auto"/>
              <w:rPr>
                <w:rFonts w:ascii="Times New Roman" w:eastAsia="Times New Roman" w:hAnsi="Times New Roman" w:cs="Times New Roman"/>
                <w:i/>
                <w:color w:val="000000"/>
                <w:sz w:val="20"/>
                <w:szCs w:val="20"/>
              </w:rPr>
            </w:pPr>
          </w:p>
        </w:tc>
        <w:tc>
          <w:tcPr>
            <w:tcW w:w="1460" w:type="dxa"/>
            <w:tcBorders>
              <w:top w:val="single" w:sz="4" w:space="0" w:color="auto"/>
              <w:left w:val="nil"/>
              <w:bottom w:val="nil"/>
              <w:right w:val="nil"/>
            </w:tcBorders>
            <w:shd w:val="clear" w:color="auto" w:fill="auto"/>
            <w:noWrap/>
            <w:vAlign w:val="bottom"/>
            <w:hideMark/>
          </w:tcPr>
          <w:p w14:paraId="0B3D9FF7" w14:textId="77777777" w:rsidR="00845BBA" w:rsidRPr="00043ECF" w:rsidRDefault="00845BBA" w:rsidP="00FA51D3">
            <w:pPr>
              <w:spacing w:after="0" w:line="240" w:lineRule="auto"/>
              <w:rPr>
                <w:rFonts w:ascii="Times New Roman" w:eastAsia="Times New Roman" w:hAnsi="Times New Roman" w:cs="Times New Roman"/>
                <w:i/>
                <w:color w:val="000000"/>
                <w:sz w:val="20"/>
                <w:szCs w:val="20"/>
              </w:rPr>
            </w:pPr>
          </w:p>
        </w:tc>
        <w:tc>
          <w:tcPr>
            <w:tcW w:w="1460" w:type="dxa"/>
            <w:tcBorders>
              <w:top w:val="single" w:sz="4" w:space="0" w:color="auto"/>
              <w:left w:val="nil"/>
              <w:bottom w:val="nil"/>
              <w:right w:val="nil"/>
            </w:tcBorders>
            <w:shd w:val="clear" w:color="auto" w:fill="auto"/>
            <w:noWrap/>
            <w:vAlign w:val="bottom"/>
            <w:hideMark/>
          </w:tcPr>
          <w:p w14:paraId="562E8093" w14:textId="77777777" w:rsidR="00845BBA" w:rsidRPr="00043ECF" w:rsidRDefault="00845BBA" w:rsidP="00FA51D3">
            <w:pPr>
              <w:spacing w:after="0" w:line="240" w:lineRule="auto"/>
              <w:rPr>
                <w:rFonts w:ascii="Times New Roman" w:eastAsia="Times New Roman" w:hAnsi="Times New Roman" w:cs="Times New Roman"/>
                <w:i/>
                <w:color w:val="000000"/>
              </w:rPr>
            </w:pPr>
          </w:p>
        </w:tc>
        <w:tc>
          <w:tcPr>
            <w:tcW w:w="1420" w:type="dxa"/>
            <w:tcBorders>
              <w:top w:val="single" w:sz="4" w:space="0" w:color="auto"/>
              <w:left w:val="nil"/>
              <w:bottom w:val="nil"/>
              <w:right w:val="nil"/>
            </w:tcBorders>
            <w:shd w:val="clear" w:color="auto" w:fill="auto"/>
            <w:noWrap/>
            <w:vAlign w:val="bottom"/>
            <w:hideMark/>
          </w:tcPr>
          <w:p w14:paraId="510769EF" w14:textId="77777777" w:rsidR="00845BBA" w:rsidRPr="00043ECF" w:rsidRDefault="00845BBA" w:rsidP="00FA51D3">
            <w:pPr>
              <w:spacing w:after="0" w:line="240" w:lineRule="auto"/>
              <w:rPr>
                <w:rFonts w:ascii="Times New Roman" w:eastAsia="Times New Roman" w:hAnsi="Times New Roman" w:cs="Times New Roman"/>
                <w:i/>
                <w:color w:val="000000"/>
              </w:rPr>
            </w:pPr>
          </w:p>
        </w:tc>
        <w:tc>
          <w:tcPr>
            <w:tcW w:w="1460" w:type="dxa"/>
            <w:tcBorders>
              <w:top w:val="single" w:sz="4" w:space="0" w:color="auto"/>
              <w:left w:val="nil"/>
              <w:bottom w:val="nil"/>
              <w:right w:val="nil"/>
            </w:tcBorders>
            <w:shd w:val="clear" w:color="auto" w:fill="auto"/>
            <w:noWrap/>
            <w:vAlign w:val="bottom"/>
            <w:hideMark/>
          </w:tcPr>
          <w:p w14:paraId="2477CA32" w14:textId="77777777" w:rsidR="00845BBA" w:rsidRPr="00043ECF" w:rsidRDefault="00845BBA" w:rsidP="00FA51D3">
            <w:pPr>
              <w:spacing w:after="0" w:line="240" w:lineRule="auto"/>
              <w:rPr>
                <w:rFonts w:ascii="Times New Roman" w:eastAsia="Times New Roman" w:hAnsi="Times New Roman" w:cs="Times New Roman"/>
                <w:i/>
                <w:color w:val="000000"/>
              </w:rPr>
            </w:pPr>
          </w:p>
        </w:tc>
      </w:tr>
      <w:tr w:rsidR="00845BBA" w:rsidRPr="00E6612C" w14:paraId="387EB0FD" w14:textId="77777777" w:rsidTr="00FA51D3">
        <w:trPr>
          <w:trHeight w:val="315"/>
        </w:trPr>
        <w:tc>
          <w:tcPr>
            <w:tcW w:w="1590" w:type="dxa"/>
            <w:tcBorders>
              <w:top w:val="nil"/>
              <w:left w:val="nil"/>
              <w:bottom w:val="nil"/>
              <w:right w:val="nil"/>
            </w:tcBorders>
            <w:shd w:val="clear" w:color="auto" w:fill="auto"/>
            <w:noWrap/>
            <w:vAlign w:val="bottom"/>
            <w:hideMark/>
          </w:tcPr>
          <w:p w14:paraId="3BF8E955" w14:textId="133887AD" w:rsidR="00845BBA" w:rsidRPr="00316E1D" w:rsidRDefault="00845BBA" w:rsidP="00043ECF">
            <w:pPr>
              <w:tabs>
                <w:tab w:val="left" w:pos="387"/>
              </w:tabs>
              <w:spacing w:after="0" w:line="240" w:lineRule="auto"/>
              <w:rPr>
                <w:rFonts w:ascii="Times New Roman" w:eastAsia="Times New Roman" w:hAnsi="Times New Roman" w:cs="Times New Roman"/>
                <w:color w:val="000000"/>
                <w:sz w:val="20"/>
                <w:szCs w:val="20"/>
              </w:rPr>
            </w:pPr>
            <w:proofErr w:type="spellStart"/>
            <w:r w:rsidRPr="00316E1D">
              <w:rPr>
                <w:rFonts w:ascii="Times New Roman" w:eastAsia="Times New Roman" w:hAnsi="Times New Roman" w:cs="Times New Roman"/>
                <w:color w:val="000000"/>
                <w:sz w:val="20"/>
                <w:szCs w:val="20"/>
              </w:rPr>
              <w:t>pg</w:t>
            </w:r>
            <w:proofErr w:type="spellEnd"/>
            <w:r w:rsidRPr="00316E1D">
              <w:rPr>
                <w:rFonts w:ascii="Times New Roman" w:eastAsia="Times New Roman" w:hAnsi="Times New Roman" w:cs="Times New Roman"/>
                <w:color w:val="000000"/>
                <w:sz w:val="20"/>
                <w:szCs w:val="20"/>
              </w:rPr>
              <w:t>:</w:t>
            </w:r>
            <w:r w:rsidR="00043ECF">
              <w:rPr>
                <w:rFonts w:ascii="Times New Roman" w:eastAsia="Times New Roman" w:hAnsi="Times New Roman" w:cs="Times New Roman"/>
                <w:color w:val="000000"/>
                <w:sz w:val="20"/>
                <w:szCs w:val="20"/>
              </w:rPr>
              <w:t xml:space="preserve"> </w:t>
            </w:r>
            <w:r w:rsidR="00043ECF">
              <w:rPr>
                <w:rFonts w:ascii="Times New Roman" w:eastAsia="Times New Roman" w:hAnsi="Times New Roman" w:cs="Times New Roman"/>
                <w:color w:val="000000"/>
                <w:sz w:val="20"/>
                <w:szCs w:val="20"/>
              </w:rPr>
              <w:tab/>
              <w:t>P</w:t>
            </w:r>
            <w:r w:rsidRPr="00316E1D">
              <w:rPr>
                <w:rFonts w:ascii="Times New Roman" w:eastAsia="Times New Roman" w:hAnsi="Times New Roman" w:cs="Times New Roman"/>
                <w:color w:val="000000"/>
                <w:sz w:val="20"/>
                <w:szCs w:val="20"/>
              </w:rPr>
              <w:t>ages</w:t>
            </w:r>
          </w:p>
        </w:tc>
        <w:tc>
          <w:tcPr>
            <w:tcW w:w="1410" w:type="dxa"/>
            <w:tcBorders>
              <w:top w:val="nil"/>
              <w:left w:val="nil"/>
              <w:bottom w:val="nil"/>
              <w:right w:val="nil"/>
            </w:tcBorders>
            <w:shd w:val="clear" w:color="auto" w:fill="auto"/>
            <w:noWrap/>
            <w:vAlign w:val="bottom"/>
            <w:hideMark/>
          </w:tcPr>
          <w:p w14:paraId="571C3B1E" w14:textId="77777777" w:rsidR="00845BBA" w:rsidRPr="00316E1D" w:rsidRDefault="00845BBA" w:rsidP="00043ECF">
            <w:pPr>
              <w:tabs>
                <w:tab w:val="left" w:pos="387"/>
              </w:tabs>
              <w:spacing w:after="0" w:line="240" w:lineRule="auto"/>
              <w:rPr>
                <w:rFonts w:ascii="Times New Roman" w:eastAsia="Times New Roman" w:hAnsi="Times New Roman" w:cs="Times New Roman"/>
                <w:color w:val="000000"/>
                <w:sz w:val="20"/>
                <w:szCs w:val="20"/>
              </w:rPr>
            </w:pPr>
          </w:p>
        </w:tc>
        <w:tc>
          <w:tcPr>
            <w:tcW w:w="1460" w:type="dxa"/>
            <w:tcBorders>
              <w:top w:val="nil"/>
              <w:left w:val="nil"/>
              <w:bottom w:val="nil"/>
              <w:right w:val="nil"/>
            </w:tcBorders>
            <w:shd w:val="clear" w:color="auto" w:fill="auto"/>
            <w:noWrap/>
            <w:vAlign w:val="bottom"/>
            <w:hideMark/>
          </w:tcPr>
          <w:p w14:paraId="7114D48C" w14:textId="77777777" w:rsidR="00845BBA" w:rsidRPr="00316E1D" w:rsidRDefault="00845BBA" w:rsidP="00043ECF">
            <w:pPr>
              <w:tabs>
                <w:tab w:val="left" w:pos="387"/>
              </w:tabs>
              <w:spacing w:after="0" w:line="240" w:lineRule="auto"/>
              <w:rPr>
                <w:rFonts w:ascii="Times New Roman" w:eastAsia="Times New Roman" w:hAnsi="Times New Roman" w:cs="Times New Roman"/>
                <w:color w:val="000000"/>
                <w:sz w:val="20"/>
                <w:szCs w:val="20"/>
              </w:rPr>
            </w:pPr>
          </w:p>
        </w:tc>
        <w:tc>
          <w:tcPr>
            <w:tcW w:w="1460" w:type="dxa"/>
            <w:tcBorders>
              <w:top w:val="nil"/>
              <w:left w:val="nil"/>
              <w:bottom w:val="nil"/>
              <w:right w:val="nil"/>
            </w:tcBorders>
            <w:shd w:val="clear" w:color="auto" w:fill="auto"/>
            <w:noWrap/>
            <w:vAlign w:val="bottom"/>
            <w:hideMark/>
          </w:tcPr>
          <w:p w14:paraId="472AF938" w14:textId="77777777" w:rsidR="00845BBA" w:rsidRPr="00E6612C" w:rsidRDefault="00845BBA" w:rsidP="00FA51D3">
            <w:pPr>
              <w:spacing w:after="0" w:line="240" w:lineRule="auto"/>
              <w:rPr>
                <w:rFonts w:ascii="Times New Roman" w:eastAsia="Times New Roman" w:hAnsi="Times New Roman" w:cs="Times New Roman"/>
                <w:color w:val="000000"/>
              </w:rPr>
            </w:pPr>
          </w:p>
        </w:tc>
        <w:tc>
          <w:tcPr>
            <w:tcW w:w="1420" w:type="dxa"/>
            <w:tcBorders>
              <w:top w:val="nil"/>
              <w:left w:val="nil"/>
              <w:bottom w:val="nil"/>
              <w:right w:val="nil"/>
            </w:tcBorders>
            <w:shd w:val="clear" w:color="auto" w:fill="auto"/>
            <w:noWrap/>
            <w:vAlign w:val="bottom"/>
            <w:hideMark/>
          </w:tcPr>
          <w:p w14:paraId="56A7A4A5" w14:textId="77777777" w:rsidR="00845BBA" w:rsidRPr="00E6612C" w:rsidRDefault="00845BBA" w:rsidP="00FA51D3">
            <w:pPr>
              <w:spacing w:after="0" w:line="240" w:lineRule="auto"/>
              <w:rPr>
                <w:rFonts w:ascii="Times New Roman" w:eastAsia="Times New Roman" w:hAnsi="Times New Roman" w:cs="Times New Roman"/>
                <w:color w:val="000000"/>
              </w:rPr>
            </w:pPr>
          </w:p>
        </w:tc>
        <w:tc>
          <w:tcPr>
            <w:tcW w:w="1460" w:type="dxa"/>
            <w:tcBorders>
              <w:top w:val="nil"/>
              <w:left w:val="nil"/>
              <w:bottom w:val="nil"/>
              <w:right w:val="nil"/>
            </w:tcBorders>
            <w:shd w:val="clear" w:color="auto" w:fill="auto"/>
            <w:noWrap/>
            <w:vAlign w:val="bottom"/>
            <w:hideMark/>
          </w:tcPr>
          <w:p w14:paraId="78643CD5" w14:textId="77777777" w:rsidR="00845BBA" w:rsidRPr="00E6612C" w:rsidRDefault="00845BBA" w:rsidP="00FA51D3">
            <w:pPr>
              <w:spacing w:after="0" w:line="240" w:lineRule="auto"/>
              <w:rPr>
                <w:rFonts w:ascii="Times New Roman" w:eastAsia="Times New Roman" w:hAnsi="Times New Roman" w:cs="Times New Roman"/>
                <w:color w:val="000000"/>
              </w:rPr>
            </w:pPr>
          </w:p>
        </w:tc>
      </w:tr>
      <w:tr w:rsidR="00845BBA" w:rsidRPr="00E6612C" w14:paraId="796F3549" w14:textId="77777777" w:rsidTr="00FA51D3">
        <w:trPr>
          <w:trHeight w:val="315"/>
        </w:trPr>
        <w:tc>
          <w:tcPr>
            <w:tcW w:w="1590" w:type="dxa"/>
            <w:tcBorders>
              <w:top w:val="nil"/>
              <w:left w:val="nil"/>
              <w:bottom w:val="nil"/>
              <w:right w:val="nil"/>
            </w:tcBorders>
            <w:shd w:val="clear" w:color="auto" w:fill="auto"/>
            <w:noWrap/>
            <w:vAlign w:val="bottom"/>
            <w:hideMark/>
          </w:tcPr>
          <w:p w14:paraId="6F58AC41" w14:textId="423306B3" w:rsidR="00845BBA" w:rsidRPr="00316E1D" w:rsidRDefault="00845BBA" w:rsidP="00043ECF">
            <w:pPr>
              <w:tabs>
                <w:tab w:val="left" w:pos="387"/>
              </w:tabs>
              <w:spacing w:after="0" w:line="240" w:lineRule="auto"/>
              <w:rPr>
                <w:rFonts w:ascii="Times New Roman" w:eastAsia="Times New Roman" w:hAnsi="Times New Roman" w:cs="Times New Roman"/>
                <w:color w:val="000000"/>
                <w:sz w:val="20"/>
                <w:szCs w:val="20"/>
              </w:rPr>
            </w:pPr>
            <w:r w:rsidRPr="00316E1D">
              <w:rPr>
                <w:rFonts w:ascii="Times New Roman" w:eastAsia="Times New Roman" w:hAnsi="Times New Roman" w:cs="Times New Roman"/>
                <w:color w:val="000000"/>
                <w:sz w:val="20"/>
                <w:szCs w:val="20"/>
              </w:rPr>
              <w:t xml:space="preserve">pp: </w:t>
            </w:r>
            <w:r w:rsidR="00043ECF">
              <w:rPr>
                <w:rFonts w:ascii="Times New Roman" w:eastAsia="Times New Roman" w:hAnsi="Times New Roman" w:cs="Times New Roman"/>
                <w:color w:val="000000"/>
                <w:sz w:val="20"/>
                <w:szCs w:val="20"/>
              </w:rPr>
              <w:tab/>
              <w:t>P</w:t>
            </w:r>
            <w:r w:rsidRPr="00316E1D">
              <w:rPr>
                <w:rFonts w:ascii="Times New Roman" w:eastAsia="Times New Roman" w:hAnsi="Times New Roman" w:cs="Times New Roman"/>
                <w:color w:val="000000"/>
                <w:sz w:val="20"/>
                <w:szCs w:val="20"/>
              </w:rPr>
              <w:t>apers</w:t>
            </w:r>
          </w:p>
        </w:tc>
        <w:tc>
          <w:tcPr>
            <w:tcW w:w="1410" w:type="dxa"/>
            <w:tcBorders>
              <w:top w:val="nil"/>
              <w:left w:val="nil"/>
              <w:bottom w:val="nil"/>
              <w:right w:val="nil"/>
            </w:tcBorders>
            <w:shd w:val="clear" w:color="auto" w:fill="auto"/>
            <w:noWrap/>
            <w:vAlign w:val="bottom"/>
            <w:hideMark/>
          </w:tcPr>
          <w:p w14:paraId="37D52B5B" w14:textId="77777777" w:rsidR="00845BBA" w:rsidRPr="00316E1D" w:rsidRDefault="00845BBA" w:rsidP="00043ECF">
            <w:pPr>
              <w:tabs>
                <w:tab w:val="left" w:pos="387"/>
              </w:tabs>
              <w:spacing w:after="0" w:line="240" w:lineRule="auto"/>
              <w:rPr>
                <w:rFonts w:ascii="Times New Roman" w:eastAsia="Times New Roman" w:hAnsi="Times New Roman" w:cs="Times New Roman"/>
                <w:color w:val="000000"/>
                <w:sz w:val="20"/>
                <w:szCs w:val="20"/>
              </w:rPr>
            </w:pPr>
          </w:p>
        </w:tc>
        <w:tc>
          <w:tcPr>
            <w:tcW w:w="1460" w:type="dxa"/>
            <w:tcBorders>
              <w:top w:val="nil"/>
              <w:left w:val="nil"/>
              <w:bottom w:val="nil"/>
              <w:right w:val="nil"/>
            </w:tcBorders>
            <w:shd w:val="clear" w:color="auto" w:fill="auto"/>
            <w:noWrap/>
            <w:vAlign w:val="bottom"/>
            <w:hideMark/>
          </w:tcPr>
          <w:p w14:paraId="07ED11B6" w14:textId="77777777" w:rsidR="00845BBA" w:rsidRPr="00316E1D" w:rsidRDefault="00845BBA" w:rsidP="00043ECF">
            <w:pPr>
              <w:tabs>
                <w:tab w:val="left" w:pos="387"/>
              </w:tabs>
              <w:spacing w:after="0" w:line="240" w:lineRule="auto"/>
              <w:rPr>
                <w:rFonts w:ascii="Times New Roman" w:eastAsia="Times New Roman" w:hAnsi="Times New Roman" w:cs="Times New Roman"/>
                <w:color w:val="000000"/>
                <w:sz w:val="20"/>
                <w:szCs w:val="20"/>
              </w:rPr>
            </w:pPr>
          </w:p>
        </w:tc>
        <w:tc>
          <w:tcPr>
            <w:tcW w:w="1460" w:type="dxa"/>
            <w:tcBorders>
              <w:top w:val="nil"/>
              <w:left w:val="nil"/>
              <w:bottom w:val="nil"/>
              <w:right w:val="nil"/>
            </w:tcBorders>
            <w:shd w:val="clear" w:color="auto" w:fill="auto"/>
            <w:noWrap/>
            <w:vAlign w:val="bottom"/>
            <w:hideMark/>
          </w:tcPr>
          <w:p w14:paraId="2CCD29D1" w14:textId="77777777" w:rsidR="00845BBA" w:rsidRPr="00E6612C" w:rsidRDefault="00845BBA" w:rsidP="00FA51D3">
            <w:pPr>
              <w:spacing w:after="0" w:line="240" w:lineRule="auto"/>
              <w:rPr>
                <w:rFonts w:ascii="Times New Roman" w:eastAsia="Times New Roman" w:hAnsi="Times New Roman" w:cs="Times New Roman"/>
                <w:color w:val="000000"/>
              </w:rPr>
            </w:pPr>
          </w:p>
        </w:tc>
        <w:tc>
          <w:tcPr>
            <w:tcW w:w="1420" w:type="dxa"/>
            <w:tcBorders>
              <w:top w:val="nil"/>
              <w:left w:val="nil"/>
              <w:bottom w:val="nil"/>
              <w:right w:val="nil"/>
            </w:tcBorders>
            <w:shd w:val="clear" w:color="auto" w:fill="auto"/>
            <w:noWrap/>
            <w:vAlign w:val="bottom"/>
            <w:hideMark/>
          </w:tcPr>
          <w:p w14:paraId="55CA0154" w14:textId="77777777" w:rsidR="00845BBA" w:rsidRPr="00E6612C" w:rsidRDefault="00845BBA" w:rsidP="00FA51D3">
            <w:pPr>
              <w:spacing w:after="0" w:line="240" w:lineRule="auto"/>
              <w:rPr>
                <w:rFonts w:ascii="Times New Roman" w:eastAsia="Times New Roman" w:hAnsi="Times New Roman" w:cs="Times New Roman"/>
                <w:color w:val="000000"/>
              </w:rPr>
            </w:pPr>
          </w:p>
        </w:tc>
        <w:tc>
          <w:tcPr>
            <w:tcW w:w="1460" w:type="dxa"/>
            <w:tcBorders>
              <w:top w:val="nil"/>
              <w:left w:val="nil"/>
              <w:bottom w:val="nil"/>
              <w:right w:val="nil"/>
            </w:tcBorders>
            <w:shd w:val="clear" w:color="auto" w:fill="auto"/>
            <w:noWrap/>
            <w:vAlign w:val="bottom"/>
            <w:hideMark/>
          </w:tcPr>
          <w:p w14:paraId="41A1DB84" w14:textId="77777777" w:rsidR="00845BBA" w:rsidRPr="00E6612C" w:rsidRDefault="00845BBA" w:rsidP="00FA51D3">
            <w:pPr>
              <w:spacing w:after="0" w:line="240" w:lineRule="auto"/>
              <w:rPr>
                <w:rFonts w:ascii="Times New Roman" w:eastAsia="Times New Roman" w:hAnsi="Times New Roman" w:cs="Times New Roman"/>
                <w:color w:val="000000"/>
              </w:rPr>
            </w:pPr>
          </w:p>
        </w:tc>
      </w:tr>
      <w:tr w:rsidR="00845BBA" w:rsidRPr="00E6612C" w14:paraId="24B14379" w14:textId="77777777" w:rsidTr="00FA51D3">
        <w:trPr>
          <w:trHeight w:val="315"/>
        </w:trPr>
        <w:tc>
          <w:tcPr>
            <w:tcW w:w="4460" w:type="dxa"/>
            <w:gridSpan w:val="3"/>
            <w:tcBorders>
              <w:top w:val="nil"/>
              <w:left w:val="nil"/>
              <w:bottom w:val="nil"/>
              <w:right w:val="nil"/>
            </w:tcBorders>
            <w:shd w:val="clear" w:color="auto" w:fill="auto"/>
            <w:noWrap/>
            <w:vAlign w:val="bottom"/>
            <w:hideMark/>
          </w:tcPr>
          <w:p w14:paraId="3A5C25A9" w14:textId="7D46B52D" w:rsidR="00845BBA" w:rsidRPr="00316E1D" w:rsidRDefault="00845BBA" w:rsidP="00043ECF">
            <w:pPr>
              <w:tabs>
                <w:tab w:val="left" w:pos="387"/>
              </w:tabs>
              <w:spacing w:after="0" w:line="240" w:lineRule="auto"/>
              <w:rPr>
                <w:rFonts w:ascii="Times New Roman" w:eastAsia="Times New Roman" w:hAnsi="Times New Roman" w:cs="Times New Roman"/>
                <w:color w:val="000000"/>
                <w:sz w:val="20"/>
                <w:szCs w:val="20"/>
              </w:rPr>
            </w:pPr>
            <w:proofErr w:type="gramStart"/>
            <w:r w:rsidRPr="00316E1D">
              <w:rPr>
                <w:rFonts w:ascii="Times New Roman" w:eastAsia="Times New Roman" w:hAnsi="Times New Roman" w:cs="Times New Roman"/>
                <w:color w:val="000000"/>
                <w:sz w:val="20"/>
                <w:szCs w:val="20"/>
              </w:rPr>
              <w:t>a</w:t>
            </w:r>
            <w:proofErr w:type="gramEnd"/>
            <w:r w:rsidRPr="00316E1D">
              <w:rPr>
                <w:rFonts w:ascii="Times New Roman" w:eastAsia="Times New Roman" w:hAnsi="Times New Roman" w:cs="Times New Roman"/>
                <w:color w:val="000000"/>
                <w:sz w:val="20"/>
                <w:szCs w:val="20"/>
              </w:rPr>
              <w:t xml:space="preserve">: </w:t>
            </w:r>
            <w:r w:rsidR="00043ECF">
              <w:rPr>
                <w:rFonts w:ascii="Times New Roman" w:eastAsia="Times New Roman" w:hAnsi="Times New Roman" w:cs="Times New Roman"/>
                <w:color w:val="000000"/>
                <w:sz w:val="20"/>
                <w:szCs w:val="20"/>
              </w:rPr>
              <w:t xml:space="preserve"> </w:t>
            </w:r>
            <w:r w:rsidR="00043ECF">
              <w:rPr>
                <w:rFonts w:ascii="Times New Roman" w:eastAsia="Times New Roman" w:hAnsi="Times New Roman" w:cs="Times New Roman"/>
                <w:color w:val="000000"/>
                <w:sz w:val="20"/>
                <w:szCs w:val="20"/>
              </w:rPr>
              <w:tab/>
              <w:t>S</w:t>
            </w:r>
            <w:r w:rsidRPr="00316E1D">
              <w:rPr>
                <w:rFonts w:ascii="Times New Roman" w:eastAsia="Times New Roman" w:hAnsi="Times New Roman" w:cs="Times New Roman"/>
                <w:color w:val="000000"/>
                <w:sz w:val="20"/>
                <w:szCs w:val="20"/>
              </w:rPr>
              <w:t>hare adjusted for multiple authorship.</w:t>
            </w:r>
          </w:p>
        </w:tc>
        <w:tc>
          <w:tcPr>
            <w:tcW w:w="1460" w:type="dxa"/>
            <w:tcBorders>
              <w:top w:val="nil"/>
              <w:left w:val="nil"/>
              <w:bottom w:val="nil"/>
              <w:right w:val="nil"/>
            </w:tcBorders>
            <w:shd w:val="clear" w:color="auto" w:fill="auto"/>
            <w:noWrap/>
            <w:vAlign w:val="bottom"/>
            <w:hideMark/>
          </w:tcPr>
          <w:p w14:paraId="7C1D8CD9" w14:textId="77777777" w:rsidR="00845BBA" w:rsidRPr="00E6612C" w:rsidRDefault="00845BBA" w:rsidP="00FA51D3">
            <w:pPr>
              <w:spacing w:after="0" w:line="240" w:lineRule="auto"/>
              <w:rPr>
                <w:rFonts w:ascii="Times New Roman" w:eastAsia="Times New Roman" w:hAnsi="Times New Roman" w:cs="Times New Roman"/>
                <w:color w:val="000000"/>
              </w:rPr>
            </w:pPr>
          </w:p>
        </w:tc>
        <w:tc>
          <w:tcPr>
            <w:tcW w:w="1420" w:type="dxa"/>
            <w:tcBorders>
              <w:top w:val="nil"/>
              <w:left w:val="nil"/>
              <w:bottom w:val="nil"/>
              <w:right w:val="nil"/>
            </w:tcBorders>
            <w:shd w:val="clear" w:color="auto" w:fill="auto"/>
            <w:noWrap/>
            <w:vAlign w:val="bottom"/>
            <w:hideMark/>
          </w:tcPr>
          <w:p w14:paraId="14B1537A" w14:textId="77777777" w:rsidR="00845BBA" w:rsidRPr="00E6612C" w:rsidRDefault="00845BBA" w:rsidP="00FA51D3">
            <w:pPr>
              <w:spacing w:after="0" w:line="240" w:lineRule="auto"/>
              <w:rPr>
                <w:rFonts w:ascii="Times New Roman" w:eastAsia="Times New Roman" w:hAnsi="Times New Roman" w:cs="Times New Roman"/>
                <w:color w:val="000000"/>
              </w:rPr>
            </w:pPr>
          </w:p>
        </w:tc>
        <w:tc>
          <w:tcPr>
            <w:tcW w:w="1460" w:type="dxa"/>
            <w:tcBorders>
              <w:top w:val="nil"/>
              <w:left w:val="nil"/>
              <w:bottom w:val="nil"/>
              <w:right w:val="nil"/>
            </w:tcBorders>
            <w:shd w:val="clear" w:color="auto" w:fill="auto"/>
            <w:noWrap/>
            <w:vAlign w:val="bottom"/>
            <w:hideMark/>
          </w:tcPr>
          <w:p w14:paraId="71DC1F7F" w14:textId="77777777" w:rsidR="00845BBA" w:rsidRPr="00E6612C" w:rsidRDefault="00845BBA" w:rsidP="00FA51D3">
            <w:pPr>
              <w:spacing w:after="0" w:line="240" w:lineRule="auto"/>
              <w:rPr>
                <w:rFonts w:ascii="Times New Roman" w:eastAsia="Times New Roman" w:hAnsi="Times New Roman" w:cs="Times New Roman"/>
                <w:color w:val="000000"/>
              </w:rPr>
            </w:pPr>
          </w:p>
        </w:tc>
      </w:tr>
      <w:tr w:rsidR="00845BBA" w:rsidRPr="00E6612C" w14:paraId="5BD6C969" w14:textId="77777777" w:rsidTr="00FA51D3">
        <w:trPr>
          <w:trHeight w:val="315"/>
        </w:trPr>
        <w:tc>
          <w:tcPr>
            <w:tcW w:w="3000" w:type="dxa"/>
            <w:gridSpan w:val="2"/>
            <w:tcBorders>
              <w:top w:val="nil"/>
              <w:left w:val="nil"/>
              <w:bottom w:val="nil"/>
              <w:right w:val="nil"/>
            </w:tcBorders>
            <w:shd w:val="clear" w:color="auto" w:fill="auto"/>
            <w:noWrap/>
            <w:vAlign w:val="bottom"/>
            <w:hideMark/>
          </w:tcPr>
          <w:p w14:paraId="3F764802" w14:textId="7B2B5004" w:rsidR="00845BBA" w:rsidRPr="00316E1D" w:rsidRDefault="00845BBA" w:rsidP="00043ECF">
            <w:pPr>
              <w:tabs>
                <w:tab w:val="left" w:pos="387"/>
              </w:tabs>
              <w:spacing w:after="0" w:line="240" w:lineRule="auto"/>
              <w:rPr>
                <w:rFonts w:ascii="Times New Roman" w:eastAsia="Times New Roman" w:hAnsi="Times New Roman" w:cs="Times New Roman"/>
                <w:color w:val="000000"/>
                <w:sz w:val="20"/>
                <w:szCs w:val="20"/>
              </w:rPr>
            </w:pPr>
            <w:proofErr w:type="gramStart"/>
            <w:r w:rsidRPr="00316E1D">
              <w:rPr>
                <w:rFonts w:ascii="Times New Roman" w:eastAsia="Times New Roman" w:hAnsi="Times New Roman" w:cs="Times New Roman"/>
                <w:color w:val="000000"/>
                <w:sz w:val="20"/>
                <w:szCs w:val="20"/>
              </w:rPr>
              <w:t>b</w:t>
            </w:r>
            <w:proofErr w:type="gramEnd"/>
            <w:r w:rsidRPr="00316E1D">
              <w:rPr>
                <w:rFonts w:ascii="Times New Roman" w:eastAsia="Times New Roman" w:hAnsi="Times New Roman" w:cs="Times New Roman"/>
                <w:color w:val="000000"/>
                <w:sz w:val="20"/>
                <w:szCs w:val="20"/>
              </w:rPr>
              <w:t xml:space="preserve">: </w:t>
            </w:r>
            <w:r w:rsidR="00043ECF">
              <w:rPr>
                <w:rFonts w:ascii="Times New Roman" w:eastAsia="Times New Roman" w:hAnsi="Times New Roman" w:cs="Times New Roman"/>
                <w:color w:val="000000"/>
                <w:sz w:val="20"/>
                <w:szCs w:val="20"/>
              </w:rPr>
              <w:t xml:space="preserve"> </w:t>
            </w:r>
            <w:r w:rsidR="00043ECF">
              <w:rPr>
                <w:rFonts w:ascii="Times New Roman" w:eastAsia="Times New Roman" w:hAnsi="Times New Roman" w:cs="Times New Roman"/>
                <w:color w:val="000000"/>
                <w:sz w:val="20"/>
                <w:szCs w:val="20"/>
              </w:rPr>
              <w:tab/>
              <w:t>S</w:t>
            </w:r>
            <w:r w:rsidRPr="00316E1D">
              <w:rPr>
                <w:rFonts w:ascii="Times New Roman" w:eastAsia="Times New Roman" w:hAnsi="Times New Roman" w:cs="Times New Roman"/>
                <w:color w:val="000000"/>
                <w:sz w:val="20"/>
                <w:szCs w:val="20"/>
              </w:rPr>
              <w:t>ize adjusted pages.</w:t>
            </w:r>
          </w:p>
        </w:tc>
        <w:tc>
          <w:tcPr>
            <w:tcW w:w="1460" w:type="dxa"/>
            <w:tcBorders>
              <w:top w:val="nil"/>
              <w:left w:val="nil"/>
              <w:bottom w:val="nil"/>
              <w:right w:val="nil"/>
            </w:tcBorders>
            <w:shd w:val="clear" w:color="auto" w:fill="auto"/>
            <w:noWrap/>
            <w:vAlign w:val="bottom"/>
            <w:hideMark/>
          </w:tcPr>
          <w:p w14:paraId="37B54068" w14:textId="77777777" w:rsidR="00845BBA" w:rsidRPr="00316E1D" w:rsidRDefault="00845BBA" w:rsidP="00043ECF">
            <w:pPr>
              <w:tabs>
                <w:tab w:val="left" w:pos="387"/>
              </w:tabs>
              <w:spacing w:after="0" w:line="240" w:lineRule="auto"/>
              <w:rPr>
                <w:rFonts w:ascii="Times New Roman" w:eastAsia="Times New Roman" w:hAnsi="Times New Roman" w:cs="Times New Roman"/>
                <w:color w:val="000000"/>
                <w:sz w:val="20"/>
                <w:szCs w:val="20"/>
              </w:rPr>
            </w:pPr>
          </w:p>
        </w:tc>
        <w:tc>
          <w:tcPr>
            <w:tcW w:w="1460" w:type="dxa"/>
            <w:tcBorders>
              <w:top w:val="nil"/>
              <w:left w:val="nil"/>
              <w:bottom w:val="nil"/>
              <w:right w:val="nil"/>
            </w:tcBorders>
            <w:shd w:val="clear" w:color="auto" w:fill="auto"/>
            <w:noWrap/>
            <w:vAlign w:val="bottom"/>
            <w:hideMark/>
          </w:tcPr>
          <w:p w14:paraId="3F749ACA" w14:textId="77777777" w:rsidR="00845BBA" w:rsidRPr="00E6612C" w:rsidRDefault="00845BBA" w:rsidP="00FA51D3">
            <w:pPr>
              <w:spacing w:after="0" w:line="240" w:lineRule="auto"/>
              <w:rPr>
                <w:rFonts w:ascii="Times New Roman" w:eastAsia="Times New Roman" w:hAnsi="Times New Roman" w:cs="Times New Roman"/>
                <w:color w:val="000000"/>
              </w:rPr>
            </w:pPr>
          </w:p>
        </w:tc>
        <w:tc>
          <w:tcPr>
            <w:tcW w:w="1420" w:type="dxa"/>
            <w:tcBorders>
              <w:top w:val="nil"/>
              <w:left w:val="nil"/>
              <w:bottom w:val="nil"/>
              <w:right w:val="nil"/>
            </w:tcBorders>
            <w:shd w:val="clear" w:color="auto" w:fill="auto"/>
            <w:noWrap/>
            <w:vAlign w:val="bottom"/>
            <w:hideMark/>
          </w:tcPr>
          <w:p w14:paraId="77631C62" w14:textId="77777777" w:rsidR="00845BBA" w:rsidRPr="00E6612C" w:rsidRDefault="00845BBA" w:rsidP="00FA51D3">
            <w:pPr>
              <w:spacing w:after="0" w:line="240" w:lineRule="auto"/>
              <w:rPr>
                <w:rFonts w:ascii="Times New Roman" w:eastAsia="Times New Roman" w:hAnsi="Times New Roman" w:cs="Times New Roman"/>
                <w:color w:val="000000"/>
              </w:rPr>
            </w:pPr>
          </w:p>
        </w:tc>
        <w:tc>
          <w:tcPr>
            <w:tcW w:w="1460" w:type="dxa"/>
            <w:tcBorders>
              <w:top w:val="nil"/>
              <w:left w:val="nil"/>
              <w:bottom w:val="nil"/>
              <w:right w:val="nil"/>
            </w:tcBorders>
            <w:shd w:val="clear" w:color="auto" w:fill="auto"/>
            <w:noWrap/>
            <w:vAlign w:val="bottom"/>
            <w:hideMark/>
          </w:tcPr>
          <w:p w14:paraId="3044D61C" w14:textId="77777777" w:rsidR="00845BBA" w:rsidRPr="00E6612C" w:rsidRDefault="00845BBA" w:rsidP="00FA51D3">
            <w:pPr>
              <w:spacing w:after="0" w:line="240" w:lineRule="auto"/>
              <w:rPr>
                <w:rFonts w:ascii="Times New Roman" w:eastAsia="Times New Roman" w:hAnsi="Times New Roman" w:cs="Times New Roman"/>
                <w:color w:val="000000"/>
              </w:rPr>
            </w:pPr>
          </w:p>
        </w:tc>
      </w:tr>
      <w:tr w:rsidR="00845BBA" w:rsidRPr="00E6612C" w14:paraId="6D67169A" w14:textId="77777777" w:rsidTr="00FA51D3">
        <w:trPr>
          <w:trHeight w:val="315"/>
        </w:trPr>
        <w:tc>
          <w:tcPr>
            <w:tcW w:w="4460" w:type="dxa"/>
            <w:gridSpan w:val="3"/>
            <w:tcBorders>
              <w:top w:val="nil"/>
              <w:left w:val="nil"/>
              <w:bottom w:val="nil"/>
              <w:right w:val="nil"/>
            </w:tcBorders>
            <w:shd w:val="clear" w:color="auto" w:fill="auto"/>
            <w:noWrap/>
            <w:vAlign w:val="bottom"/>
            <w:hideMark/>
          </w:tcPr>
          <w:p w14:paraId="59F9A7CC" w14:textId="542EB492" w:rsidR="00845BBA" w:rsidRPr="00316E1D" w:rsidRDefault="00845BBA" w:rsidP="00043ECF">
            <w:pPr>
              <w:tabs>
                <w:tab w:val="left" w:pos="387"/>
              </w:tabs>
              <w:spacing w:after="0" w:line="240" w:lineRule="auto"/>
              <w:rPr>
                <w:rFonts w:ascii="Times New Roman" w:eastAsia="Times New Roman" w:hAnsi="Times New Roman" w:cs="Times New Roman"/>
                <w:color w:val="000000"/>
                <w:sz w:val="20"/>
                <w:szCs w:val="20"/>
              </w:rPr>
            </w:pPr>
            <w:proofErr w:type="gramStart"/>
            <w:r w:rsidRPr="00316E1D">
              <w:rPr>
                <w:rFonts w:ascii="Times New Roman" w:eastAsia="Times New Roman" w:hAnsi="Times New Roman" w:cs="Times New Roman"/>
                <w:color w:val="000000"/>
                <w:sz w:val="20"/>
                <w:szCs w:val="20"/>
              </w:rPr>
              <w:t>c</w:t>
            </w:r>
            <w:proofErr w:type="gramEnd"/>
            <w:r w:rsidRPr="00316E1D">
              <w:rPr>
                <w:rFonts w:ascii="Times New Roman" w:eastAsia="Times New Roman" w:hAnsi="Times New Roman" w:cs="Times New Roman"/>
                <w:color w:val="000000"/>
                <w:sz w:val="20"/>
                <w:szCs w:val="20"/>
              </w:rPr>
              <w:t xml:space="preserve">: </w:t>
            </w:r>
            <w:r w:rsidR="00043ECF">
              <w:rPr>
                <w:rFonts w:ascii="Times New Roman" w:eastAsia="Times New Roman" w:hAnsi="Times New Roman" w:cs="Times New Roman"/>
                <w:color w:val="000000"/>
                <w:sz w:val="20"/>
                <w:szCs w:val="20"/>
              </w:rPr>
              <w:t xml:space="preserve"> </w:t>
            </w:r>
            <w:r w:rsidR="00043ECF">
              <w:rPr>
                <w:rFonts w:ascii="Times New Roman" w:eastAsia="Times New Roman" w:hAnsi="Times New Roman" w:cs="Times New Roman"/>
                <w:color w:val="000000"/>
                <w:sz w:val="20"/>
                <w:szCs w:val="20"/>
              </w:rPr>
              <w:tab/>
              <w:t>N</w:t>
            </w:r>
            <w:r w:rsidRPr="00316E1D">
              <w:rPr>
                <w:rFonts w:ascii="Times New Roman" w:eastAsia="Times New Roman" w:hAnsi="Times New Roman" w:cs="Times New Roman"/>
                <w:color w:val="000000"/>
                <w:sz w:val="20"/>
                <w:szCs w:val="20"/>
              </w:rPr>
              <w:t>o adjustment for multiple authorship.</w:t>
            </w:r>
          </w:p>
        </w:tc>
        <w:tc>
          <w:tcPr>
            <w:tcW w:w="1460" w:type="dxa"/>
            <w:tcBorders>
              <w:top w:val="nil"/>
              <w:left w:val="nil"/>
              <w:bottom w:val="nil"/>
              <w:right w:val="nil"/>
            </w:tcBorders>
            <w:shd w:val="clear" w:color="auto" w:fill="auto"/>
            <w:noWrap/>
            <w:vAlign w:val="bottom"/>
            <w:hideMark/>
          </w:tcPr>
          <w:p w14:paraId="59A7111A" w14:textId="77777777" w:rsidR="00845BBA" w:rsidRPr="00E6612C" w:rsidRDefault="00845BBA" w:rsidP="00FA51D3">
            <w:pPr>
              <w:spacing w:after="0" w:line="240" w:lineRule="auto"/>
              <w:rPr>
                <w:rFonts w:ascii="Times New Roman" w:eastAsia="Times New Roman" w:hAnsi="Times New Roman" w:cs="Times New Roman"/>
                <w:color w:val="000000"/>
              </w:rPr>
            </w:pPr>
          </w:p>
        </w:tc>
        <w:tc>
          <w:tcPr>
            <w:tcW w:w="1420" w:type="dxa"/>
            <w:tcBorders>
              <w:top w:val="nil"/>
              <w:left w:val="nil"/>
              <w:bottom w:val="nil"/>
              <w:right w:val="nil"/>
            </w:tcBorders>
            <w:shd w:val="clear" w:color="auto" w:fill="auto"/>
            <w:noWrap/>
            <w:vAlign w:val="bottom"/>
            <w:hideMark/>
          </w:tcPr>
          <w:p w14:paraId="79480409" w14:textId="77777777" w:rsidR="00845BBA" w:rsidRPr="00E6612C" w:rsidRDefault="00845BBA" w:rsidP="00FA51D3">
            <w:pPr>
              <w:spacing w:after="0" w:line="240" w:lineRule="auto"/>
              <w:rPr>
                <w:rFonts w:ascii="Times New Roman" w:eastAsia="Times New Roman" w:hAnsi="Times New Roman" w:cs="Times New Roman"/>
                <w:color w:val="000000"/>
              </w:rPr>
            </w:pPr>
          </w:p>
        </w:tc>
        <w:tc>
          <w:tcPr>
            <w:tcW w:w="1460" w:type="dxa"/>
            <w:tcBorders>
              <w:top w:val="nil"/>
              <w:left w:val="nil"/>
              <w:bottom w:val="nil"/>
              <w:right w:val="nil"/>
            </w:tcBorders>
            <w:shd w:val="clear" w:color="auto" w:fill="auto"/>
            <w:noWrap/>
            <w:vAlign w:val="bottom"/>
            <w:hideMark/>
          </w:tcPr>
          <w:p w14:paraId="5ACFB532" w14:textId="77777777" w:rsidR="00845BBA" w:rsidRPr="00E6612C" w:rsidRDefault="00845BBA" w:rsidP="00FA51D3">
            <w:pPr>
              <w:spacing w:after="0" w:line="240" w:lineRule="auto"/>
              <w:rPr>
                <w:rFonts w:ascii="Times New Roman" w:eastAsia="Times New Roman" w:hAnsi="Times New Roman" w:cs="Times New Roman"/>
                <w:color w:val="000000"/>
              </w:rPr>
            </w:pPr>
          </w:p>
        </w:tc>
      </w:tr>
      <w:tr w:rsidR="00845BBA" w:rsidRPr="00E6612C" w14:paraId="15A91A55" w14:textId="77777777" w:rsidTr="00FA51D3">
        <w:trPr>
          <w:trHeight w:val="315"/>
        </w:trPr>
        <w:tc>
          <w:tcPr>
            <w:tcW w:w="4460" w:type="dxa"/>
            <w:gridSpan w:val="3"/>
            <w:tcBorders>
              <w:top w:val="nil"/>
              <w:left w:val="nil"/>
              <w:bottom w:val="nil"/>
              <w:right w:val="nil"/>
            </w:tcBorders>
            <w:shd w:val="clear" w:color="auto" w:fill="auto"/>
            <w:noWrap/>
            <w:vAlign w:val="bottom"/>
            <w:hideMark/>
          </w:tcPr>
          <w:p w14:paraId="26DB112D" w14:textId="0061739C" w:rsidR="00845BBA" w:rsidRPr="00316E1D" w:rsidRDefault="00845BBA" w:rsidP="00043ECF">
            <w:pPr>
              <w:tabs>
                <w:tab w:val="left" w:pos="387"/>
              </w:tabs>
              <w:spacing w:after="0" w:line="240" w:lineRule="auto"/>
              <w:rPr>
                <w:rFonts w:ascii="Times New Roman" w:eastAsia="Times New Roman" w:hAnsi="Times New Roman" w:cs="Times New Roman"/>
                <w:color w:val="000000"/>
                <w:sz w:val="20"/>
                <w:szCs w:val="20"/>
              </w:rPr>
            </w:pPr>
            <w:proofErr w:type="gramStart"/>
            <w:r w:rsidRPr="00316E1D">
              <w:rPr>
                <w:rFonts w:ascii="Times New Roman" w:eastAsia="Times New Roman" w:hAnsi="Times New Roman" w:cs="Times New Roman"/>
                <w:color w:val="000000"/>
                <w:sz w:val="20"/>
                <w:szCs w:val="20"/>
              </w:rPr>
              <w:t>d</w:t>
            </w:r>
            <w:proofErr w:type="gramEnd"/>
            <w:r w:rsidRPr="00316E1D">
              <w:rPr>
                <w:rFonts w:ascii="Times New Roman" w:eastAsia="Times New Roman" w:hAnsi="Times New Roman" w:cs="Times New Roman"/>
                <w:color w:val="000000"/>
                <w:sz w:val="20"/>
                <w:szCs w:val="20"/>
              </w:rPr>
              <w:t xml:space="preserve">: </w:t>
            </w:r>
            <w:r w:rsidR="00043ECF">
              <w:rPr>
                <w:rFonts w:ascii="Times New Roman" w:eastAsia="Times New Roman" w:hAnsi="Times New Roman" w:cs="Times New Roman"/>
                <w:color w:val="000000"/>
                <w:sz w:val="20"/>
                <w:szCs w:val="20"/>
              </w:rPr>
              <w:t xml:space="preserve"> </w:t>
            </w:r>
            <w:r w:rsidR="00043ECF">
              <w:rPr>
                <w:rFonts w:ascii="Times New Roman" w:eastAsia="Times New Roman" w:hAnsi="Times New Roman" w:cs="Times New Roman"/>
                <w:color w:val="000000"/>
                <w:sz w:val="20"/>
                <w:szCs w:val="20"/>
              </w:rPr>
              <w:tab/>
              <w:t>N</w:t>
            </w:r>
            <w:r w:rsidRPr="00316E1D">
              <w:rPr>
                <w:rFonts w:ascii="Times New Roman" w:eastAsia="Times New Roman" w:hAnsi="Times New Roman" w:cs="Times New Roman"/>
                <w:color w:val="000000"/>
                <w:sz w:val="20"/>
                <w:szCs w:val="20"/>
              </w:rPr>
              <w:t>o adjustment for page size differences.</w:t>
            </w:r>
          </w:p>
        </w:tc>
        <w:tc>
          <w:tcPr>
            <w:tcW w:w="1460" w:type="dxa"/>
            <w:tcBorders>
              <w:top w:val="nil"/>
              <w:left w:val="nil"/>
              <w:bottom w:val="nil"/>
              <w:right w:val="nil"/>
            </w:tcBorders>
            <w:shd w:val="clear" w:color="auto" w:fill="auto"/>
            <w:noWrap/>
            <w:vAlign w:val="bottom"/>
            <w:hideMark/>
          </w:tcPr>
          <w:p w14:paraId="3D2EAF4F" w14:textId="77777777" w:rsidR="00845BBA" w:rsidRPr="00E6612C" w:rsidRDefault="00845BBA" w:rsidP="00FA51D3">
            <w:pPr>
              <w:spacing w:after="0" w:line="240" w:lineRule="auto"/>
              <w:rPr>
                <w:rFonts w:ascii="Times New Roman" w:eastAsia="Times New Roman" w:hAnsi="Times New Roman" w:cs="Times New Roman"/>
                <w:color w:val="000000"/>
              </w:rPr>
            </w:pPr>
          </w:p>
        </w:tc>
        <w:tc>
          <w:tcPr>
            <w:tcW w:w="1420" w:type="dxa"/>
            <w:tcBorders>
              <w:top w:val="nil"/>
              <w:left w:val="nil"/>
              <w:bottom w:val="nil"/>
              <w:right w:val="nil"/>
            </w:tcBorders>
            <w:shd w:val="clear" w:color="auto" w:fill="auto"/>
            <w:noWrap/>
            <w:vAlign w:val="bottom"/>
            <w:hideMark/>
          </w:tcPr>
          <w:p w14:paraId="430839DF" w14:textId="77777777" w:rsidR="00845BBA" w:rsidRPr="00E6612C" w:rsidRDefault="00845BBA" w:rsidP="00FA51D3">
            <w:pPr>
              <w:spacing w:after="0" w:line="240" w:lineRule="auto"/>
              <w:rPr>
                <w:rFonts w:ascii="Times New Roman" w:eastAsia="Times New Roman" w:hAnsi="Times New Roman" w:cs="Times New Roman"/>
                <w:color w:val="000000"/>
              </w:rPr>
            </w:pPr>
          </w:p>
        </w:tc>
        <w:tc>
          <w:tcPr>
            <w:tcW w:w="1460" w:type="dxa"/>
            <w:tcBorders>
              <w:top w:val="nil"/>
              <w:left w:val="nil"/>
              <w:bottom w:val="nil"/>
              <w:right w:val="nil"/>
            </w:tcBorders>
            <w:shd w:val="clear" w:color="auto" w:fill="auto"/>
            <w:noWrap/>
            <w:vAlign w:val="bottom"/>
            <w:hideMark/>
          </w:tcPr>
          <w:p w14:paraId="2DA1077D" w14:textId="77777777" w:rsidR="00845BBA" w:rsidRPr="00E6612C" w:rsidRDefault="00845BBA" w:rsidP="00FA51D3">
            <w:pPr>
              <w:spacing w:after="0" w:line="240" w:lineRule="auto"/>
              <w:rPr>
                <w:rFonts w:ascii="Times New Roman" w:eastAsia="Times New Roman" w:hAnsi="Times New Roman" w:cs="Times New Roman"/>
                <w:color w:val="000000"/>
              </w:rPr>
            </w:pPr>
          </w:p>
        </w:tc>
      </w:tr>
    </w:tbl>
    <w:p w14:paraId="73E01CD4" w14:textId="77777777" w:rsidR="00845BBA" w:rsidRPr="00E6612C" w:rsidRDefault="00845BBA" w:rsidP="00845BBA">
      <w:pPr>
        <w:jc w:val="both"/>
        <w:rPr>
          <w:rFonts w:ascii="Times New Roman" w:hAnsi="Times New Roman" w:cs="Times New Roman"/>
        </w:rPr>
      </w:pPr>
    </w:p>
    <w:p w14:paraId="292B6E73" w14:textId="1C559F75" w:rsidR="002C29EE" w:rsidRPr="00EA6568" w:rsidRDefault="002C29EE" w:rsidP="00EA6568">
      <w:pPr>
        <w:pStyle w:val="ListParagraph"/>
        <w:numPr>
          <w:ilvl w:val="0"/>
          <w:numId w:val="3"/>
        </w:numPr>
        <w:ind w:left="426" w:hanging="426"/>
        <w:jc w:val="both"/>
        <w:rPr>
          <w:rFonts w:ascii="Times New Roman" w:hAnsi="Times New Roman" w:cs="Times New Roman"/>
          <w:b/>
          <w:sz w:val="24"/>
          <w:szCs w:val="24"/>
        </w:rPr>
      </w:pPr>
      <w:r w:rsidRPr="00EA6568">
        <w:rPr>
          <w:rFonts w:ascii="Times New Roman" w:hAnsi="Times New Roman" w:cs="Times New Roman"/>
          <w:b/>
          <w:sz w:val="24"/>
          <w:szCs w:val="24"/>
        </w:rPr>
        <w:t>Conclusion</w:t>
      </w:r>
      <w:r w:rsidR="00505444">
        <w:rPr>
          <w:rFonts w:ascii="Times New Roman" w:hAnsi="Times New Roman" w:cs="Times New Roman"/>
          <w:b/>
          <w:sz w:val="24"/>
          <w:szCs w:val="24"/>
        </w:rPr>
        <w:t>s</w:t>
      </w:r>
      <w:r w:rsidR="00A60CC9" w:rsidRPr="00EA6568">
        <w:rPr>
          <w:rFonts w:ascii="Times New Roman" w:hAnsi="Times New Roman" w:cs="Times New Roman"/>
          <w:b/>
          <w:sz w:val="24"/>
          <w:szCs w:val="24"/>
        </w:rPr>
        <w:t xml:space="preserve">  </w:t>
      </w:r>
    </w:p>
    <w:p w14:paraId="18A12BCD" w14:textId="12DB9D21" w:rsidR="000B7D27" w:rsidRDefault="00A60CC9" w:rsidP="00316E1D">
      <w:pPr>
        <w:spacing w:after="0" w:line="288" w:lineRule="auto"/>
        <w:jc w:val="both"/>
        <w:rPr>
          <w:rFonts w:ascii="Times New Roman" w:hAnsi="Times New Roman" w:cs="Times New Roman"/>
          <w:sz w:val="24"/>
          <w:szCs w:val="24"/>
        </w:rPr>
      </w:pPr>
      <w:r w:rsidRPr="00B83421">
        <w:rPr>
          <w:rFonts w:ascii="Times New Roman" w:hAnsi="Times New Roman" w:cs="Times New Roman"/>
          <w:sz w:val="24"/>
          <w:szCs w:val="24"/>
        </w:rPr>
        <w:t xml:space="preserve">As noted in the introduction, this </w:t>
      </w:r>
      <w:r w:rsidR="00CC22E0" w:rsidRPr="00B83421">
        <w:rPr>
          <w:rFonts w:ascii="Times New Roman" w:hAnsi="Times New Roman" w:cs="Times New Roman"/>
          <w:sz w:val="24"/>
          <w:szCs w:val="24"/>
        </w:rPr>
        <w:t>paper</w:t>
      </w:r>
      <w:r w:rsidRPr="00B83421">
        <w:rPr>
          <w:rFonts w:ascii="Times New Roman" w:hAnsi="Times New Roman" w:cs="Times New Roman"/>
          <w:sz w:val="24"/>
          <w:szCs w:val="24"/>
        </w:rPr>
        <w:t xml:space="preserve"> focuses on </w:t>
      </w:r>
      <w:r w:rsidR="00C65599" w:rsidRPr="00B83421">
        <w:rPr>
          <w:rFonts w:ascii="Times New Roman" w:hAnsi="Times New Roman" w:cs="Times New Roman"/>
          <w:sz w:val="24"/>
          <w:szCs w:val="24"/>
        </w:rPr>
        <w:t xml:space="preserve">the stability of rankings of academics by research productivity in the </w:t>
      </w:r>
      <w:r w:rsidRPr="00B83421">
        <w:rPr>
          <w:rFonts w:ascii="Times New Roman" w:hAnsi="Times New Roman" w:cs="Times New Roman"/>
          <w:sz w:val="24"/>
          <w:szCs w:val="24"/>
        </w:rPr>
        <w:t xml:space="preserve">context of short-term academic decision making.  For instance, hiring decisions at the junior and intermediate levels rely heavily on publication activity in the recent past.  This is also the case for most promotion decisions and merit awards.  Renewal of research grants is often predicated, at least in part, on publications forthcoming from the original grant.  Furthermore, </w:t>
      </w:r>
      <w:r w:rsidR="00C65599" w:rsidRPr="00B83421">
        <w:rPr>
          <w:rFonts w:ascii="Times New Roman" w:hAnsi="Times New Roman" w:cs="Times New Roman"/>
          <w:sz w:val="24"/>
          <w:szCs w:val="24"/>
        </w:rPr>
        <w:t>in academic environ</w:t>
      </w:r>
      <w:r w:rsidR="00EA14B1" w:rsidRPr="00B83421">
        <w:rPr>
          <w:rFonts w:ascii="Times New Roman" w:hAnsi="Times New Roman" w:cs="Times New Roman"/>
          <w:sz w:val="24"/>
          <w:szCs w:val="24"/>
        </w:rPr>
        <w:t xml:space="preserve">ments </w:t>
      </w:r>
      <w:r w:rsidR="00C65599" w:rsidRPr="00B83421">
        <w:rPr>
          <w:rFonts w:ascii="Times New Roman" w:hAnsi="Times New Roman" w:cs="Times New Roman"/>
          <w:sz w:val="24"/>
          <w:szCs w:val="24"/>
        </w:rPr>
        <w:t xml:space="preserve">in which research performance is central to </w:t>
      </w:r>
      <w:r w:rsidRPr="00B83421">
        <w:rPr>
          <w:rFonts w:ascii="Times New Roman" w:hAnsi="Times New Roman" w:cs="Times New Roman"/>
          <w:sz w:val="24"/>
          <w:szCs w:val="24"/>
        </w:rPr>
        <w:t>the granting of tenure or permanent employment for those hired directly from graduate school</w:t>
      </w:r>
      <w:r w:rsidR="00EA14B1" w:rsidRPr="00B83421">
        <w:rPr>
          <w:rFonts w:ascii="Times New Roman" w:hAnsi="Times New Roman" w:cs="Times New Roman"/>
          <w:sz w:val="24"/>
          <w:szCs w:val="24"/>
        </w:rPr>
        <w:t xml:space="preserve">, decisions are </w:t>
      </w:r>
      <w:r w:rsidRPr="00B83421">
        <w:rPr>
          <w:rFonts w:ascii="Times New Roman" w:hAnsi="Times New Roman" w:cs="Times New Roman"/>
          <w:sz w:val="24"/>
          <w:szCs w:val="24"/>
        </w:rPr>
        <w:t xml:space="preserve">typically based in large part </w:t>
      </w:r>
      <w:r w:rsidR="00EA14B1" w:rsidRPr="00B83421">
        <w:rPr>
          <w:rFonts w:ascii="Times New Roman" w:hAnsi="Times New Roman" w:cs="Times New Roman"/>
          <w:sz w:val="24"/>
          <w:szCs w:val="24"/>
        </w:rPr>
        <w:t>on</w:t>
      </w:r>
      <w:r w:rsidRPr="00B83421">
        <w:rPr>
          <w:rFonts w:ascii="Times New Roman" w:hAnsi="Times New Roman" w:cs="Times New Roman"/>
          <w:sz w:val="24"/>
          <w:szCs w:val="24"/>
        </w:rPr>
        <w:t xml:space="preserve"> research activity over a period not exceeding six years.  </w:t>
      </w:r>
      <w:r w:rsidRPr="00B83421">
        <w:rPr>
          <w:rFonts w:ascii="Times New Roman" w:hAnsi="Times New Roman" w:cs="Times New Roman"/>
          <w:sz w:val="24"/>
          <w:szCs w:val="24"/>
        </w:rPr>
        <w:lastRenderedPageBreak/>
        <w:t xml:space="preserve">Added </w:t>
      </w:r>
      <w:r w:rsidR="00EA14B1" w:rsidRPr="00B83421">
        <w:rPr>
          <w:rFonts w:ascii="Times New Roman" w:hAnsi="Times New Roman" w:cs="Times New Roman"/>
          <w:sz w:val="24"/>
          <w:szCs w:val="24"/>
        </w:rPr>
        <w:t xml:space="preserve">to </w:t>
      </w:r>
      <w:r w:rsidRPr="00B83421">
        <w:rPr>
          <w:rFonts w:ascii="Times New Roman" w:hAnsi="Times New Roman" w:cs="Times New Roman"/>
          <w:sz w:val="24"/>
          <w:szCs w:val="24"/>
        </w:rPr>
        <w:t>this mix of important academic decisions is the recent movement towards the use of nation-wide research assessment schemes that typically focus on research activity over a five to s</w:t>
      </w:r>
      <w:r w:rsidR="00567DDE">
        <w:rPr>
          <w:rFonts w:ascii="Times New Roman" w:hAnsi="Times New Roman" w:cs="Times New Roman"/>
          <w:sz w:val="24"/>
          <w:szCs w:val="24"/>
        </w:rPr>
        <w:t xml:space="preserve">even year period (assume six). </w:t>
      </w:r>
      <w:r w:rsidRPr="00B83421">
        <w:rPr>
          <w:rFonts w:ascii="Times New Roman" w:hAnsi="Times New Roman" w:cs="Times New Roman"/>
          <w:sz w:val="24"/>
          <w:szCs w:val="24"/>
        </w:rPr>
        <w:t>This means that the average publication has approximately three years in which to demonstrate impact.  For this reason, short-term academic decisions for economists are almost universally based</w:t>
      </w:r>
      <w:r w:rsidR="00395A22" w:rsidRPr="00B83421">
        <w:rPr>
          <w:rFonts w:ascii="Times New Roman" w:hAnsi="Times New Roman" w:cs="Times New Roman"/>
          <w:sz w:val="24"/>
          <w:szCs w:val="24"/>
        </w:rPr>
        <w:t xml:space="preserve"> on a formal or informal ranking of journals.  </w:t>
      </w:r>
    </w:p>
    <w:p w14:paraId="53EF2047" w14:textId="77777777" w:rsidR="000B7D27" w:rsidRDefault="000B7D27" w:rsidP="00316E1D">
      <w:pPr>
        <w:spacing w:after="0" w:line="288" w:lineRule="auto"/>
        <w:jc w:val="both"/>
        <w:rPr>
          <w:rFonts w:ascii="Times New Roman" w:hAnsi="Times New Roman" w:cs="Times New Roman"/>
          <w:sz w:val="24"/>
          <w:szCs w:val="24"/>
        </w:rPr>
      </w:pPr>
    </w:p>
    <w:p w14:paraId="25519860" w14:textId="17B61AA3" w:rsidR="00A60CC9" w:rsidRDefault="000B7D27" w:rsidP="00316E1D">
      <w:pPr>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395A22" w:rsidRPr="00B83421">
        <w:rPr>
          <w:rFonts w:ascii="Times New Roman" w:hAnsi="Times New Roman" w:cs="Times New Roman"/>
          <w:sz w:val="24"/>
          <w:szCs w:val="24"/>
        </w:rPr>
        <w:t xml:space="preserve">Recently, </w:t>
      </w:r>
      <w:r w:rsidR="00A60CC9" w:rsidRPr="00B83421">
        <w:rPr>
          <w:rFonts w:ascii="Times New Roman" w:hAnsi="Times New Roman" w:cs="Times New Roman"/>
          <w:sz w:val="24"/>
          <w:szCs w:val="24"/>
        </w:rPr>
        <w:t>with the development of national research assessment exercises</w:t>
      </w:r>
      <w:r w:rsidR="00395A22" w:rsidRPr="00B83421">
        <w:rPr>
          <w:rFonts w:ascii="Times New Roman" w:hAnsi="Times New Roman" w:cs="Times New Roman"/>
          <w:sz w:val="24"/>
          <w:szCs w:val="24"/>
        </w:rPr>
        <w:t>,</w:t>
      </w:r>
      <w:r w:rsidR="00A60CC9" w:rsidRPr="00B83421">
        <w:rPr>
          <w:rFonts w:ascii="Times New Roman" w:hAnsi="Times New Roman" w:cs="Times New Roman"/>
          <w:sz w:val="24"/>
          <w:szCs w:val="24"/>
        </w:rPr>
        <w:t xml:space="preserve"> the adjudication </w:t>
      </w:r>
      <w:r w:rsidR="00395A22" w:rsidRPr="00B83421">
        <w:rPr>
          <w:rFonts w:ascii="Times New Roman" w:hAnsi="Times New Roman" w:cs="Times New Roman"/>
          <w:sz w:val="24"/>
          <w:szCs w:val="24"/>
        </w:rPr>
        <w:t xml:space="preserve">process </w:t>
      </w:r>
      <w:r w:rsidR="00A60CC9" w:rsidRPr="00B83421">
        <w:rPr>
          <w:rFonts w:ascii="Times New Roman" w:hAnsi="Times New Roman" w:cs="Times New Roman"/>
          <w:sz w:val="24"/>
          <w:szCs w:val="24"/>
        </w:rPr>
        <w:t>has become much more formal.  Most NRAEs employ a five to seven year assessment period</w:t>
      </w:r>
      <w:r w:rsidR="00395A22" w:rsidRPr="00B83421">
        <w:rPr>
          <w:rFonts w:ascii="Times New Roman" w:hAnsi="Times New Roman" w:cs="Times New Roman"/>
          <w:sz w:val="24"/>
          <w:szCs w:val="24"/>
        </w:rPr>
        <w:t xml:space="preserve"> and a formal </w:t>
      </w:r>
      <w:r w:rsidR="00A60CC9" w:rsidRPr="00B83421">
        <w:rPr>
          <w:rFonts w:ascii="Times New Roman" w:hAnsi="Times New Roman" w:cs="Times New Roman"/>
          <w:sz w:val="24"/>
          <w:szCs w:val="24"/>
        </w:rPr>
        <w:t xml:space="preserve">peer review process for </w:t>
      </w:r>
      <w:r w:rsidR="00395A22" w:rsidRPr="00B83421">
        <w:rPr>
          <w:rFonts w:ascii="Times New Roman" w:hAnsi="Times New Roman" w:cs="Times New Roman"/>
          <w:sz w:val="24"/>
          <w:szCs w:val="24"/>
        </w:rPr>
        <w:t xml:space="preserve">evaluating economic research.  </w:t>
      </w:r>
      <w:r w:rsidR="00A60CC9" w:rsidRPr="00B83421">
        <w:rPr>
          <w:rFonts w:ascii="Times New Roman" w:hAnsi="Times New Roman" w:cs="Times New Roman"/>
          <w:sz w:val="24"/>
          <w:szCs w:val="24"/>
        </w:rPr>
        <w:t xml:space="preserve">However, as previously noted, we believe that advances in information science and technology, efforts to </w:t>
      </w:r>
      <w:r w:rsidR="00395A22" w:rsidRPr="00B83421">
        <w:rPr>
          <w:rFonts w:ascii="Times New Roman" w:hAnsi="Times New Roman" w:cs="Times New Roman"/>
          <w:sz w:val="24"/>
          <w:szCs w:val="24"/>
        </w:rPr>
        <w:t xml:space="preserve">reduce or control expenditures, </w:t>
      </w:r>
      <w:r w:rsidR="00A60CC9" w:rsidRPr="00B83421">
        <w:rPr>
          <w:rFonts w:ascii="Times New Roman" w:hAnsi="Times New Roman" w:cs="Times New Roman"/>
          <w:sz w:val="24"/>
          <w:szCs w:val="24"/>
        </w:rPr>
        <w:t xml:space="preserve">and growing frustration over the ‘black-box’ nature of the peer review process, will lead </w:t>
      </w:r>
      <w:r w:rsidR="00395A22" w:rsidRPr="00B83421">
        <w:rPr>
          <w:rFonts w:ascii="Times New Roman" w:hAnsi="Times New Roman" w:cs="Times New Roman"/>
          <w:sz w:val="24"/>
          <w:szCs w:val="24"/>
        </w:rPr>
        <w:t xml:space="preserve">to the </w:t>
      </w:r>
      <w:r w:rsidR="00A60CC9" w:rsidRPr="00B83421">
        <w:rPr>
          <w:rFonts w:ascii="Times New Roman" w:hAnsi="Times New Roman" w:cs="Times New Roman"/>
          <w:sz w:val="24"/>
          <w:szCs w:val="24"/>
        </w:rPr>
        <w:t>introduction of formal bibliometric techniques into NRAEs</w:t>
      </w:r>
      <w:r w:rsidR="00395A22" w:rsidRPr="00B83421">
        <w:rPr>
          <w:rFonts w:ascii="Times New Roman" w:hAnsi="Times New Roman" w:cs="Times New Roman"/>
          <w:sz w:val="24"/>
          <w:szCs w:val="24"/>
        </w:rPr>
        <w:t xml:space="preserve"> in the near future</w:t>
      </w:r>
      <w:r w:rsidR="00A60CC9" w:rsidRPr="00B83421">
        <w:rPr>
          <w:rFonts w:ascii="Times New Roman" w:hAnsi="Times New Roman" w:cs="Times New Roman"/>
          <w:sz w:val="24"/>
          <w:szCs w:val="24"/>
        </w:rPr>
        <w:t xml:space="preserve">.  </w:t>
      </w:r>
    </w:p>
    <w:p w14:paraId="10CAD540" w14:textId="77777777" w:rsidR="00160E0C" w:rsidRPr="00B83421" w:rsidRDefault="00160E0C" w:rsidP="00316E1D">
      <w:pPr>
        <w:spacing w:after="0" w:line="288" w:lineRule="auto"/>
        <w:jc w:val="both"/>
        <w:rPr>
          <w:rFonts w:ascii="Times New Roman" w:hAnsi="Times New Roman" w:cs="Times New Roman"/>
          <w:sz w:val="24"/>
          <w:szCs w:val="24"/>
        </w:rPr>
      </w:pPr>
    </w:p>
    <w:p w14:paraId="64DBFC43" w14:textId="4028A6B2" w:rsidR="00FC6A8A" w:rsidRDefault="001B2EE6" w:rsidP="00316E1D">
      <w:pPr>
        <w:spacing w:after="0" w:line="288" w:lineRule="auto"/>
        <w:ind w:firstLine="720"/>
        <w:jc w:val="both"/>
        <w:rPr>
          <w:rFonts w:ascii="Times New Roman" w:hAnsi="Times New Roman" w:cs="Times New Roman"/>
          <w:sz w:val="24"/>
          <w:szCs w:val="24"/>
        </w:rPr>
      </w:pPr>
      <w:r w:rsidRPr="00B83421">
        <w:rPr>
          <w:rFonts w:ascii="Times New Roman" w:hAnsi="Times New Roman" w:cs="Times New Roman"/>
          <w:sz w:val="24"/>
          <w:szCs w:val="24"/>
        </w:rPr>
        <w:t xml:space="preserve">In order to investigate the rank stability issue </w:t>
      </w:r>
      <w:r w:rsidR="00EA14B1" w:rsidRPr="00B83421">
        <w:rPr>
          <w:rFonts w:ascii="Times New Roman" w:hAnsi="Times New Roman" w:cs="Times New Roman"/>
          <w:sz w:val="24"/>
          <w:szCs w:val="24"/>
        </w:rPr>
        <w:t xml:space="preserve">we have considered the research performance of New Zealand academic economists and have </w:t>
      </w:r>
      <w:r w:rsidRPr="00B83421">
        <w:rPr>
          <w:rFonts w:ascii="Times New Roman" w:hAnsi="Times New Roman" w:cs="Times New Roman"/>
          <w:sz w:val="24"/>
          <w:szCs w:val="24"/>
        </w:rPr>
        <w:t>conducted a two part exercise.  First, we followed the traditional approach of estimating</w:t>
      </w:r>
      <w:r w:rsidR="001208EB" w:rsidRPr="00B83421">
        <w:rPr>
          <w:rFonts w:ascii="Times New Roman" w:hAnsi="Times New Roman" w:cs="Times New Roman"/>
          <w:sz w:val="24"/>
          <w:szCs w:val="24"/>
        </w:rPr>
        <w:t xml:space="preserve"> Spearman</w:t>
      </w:r>
      <w:r w:rsidRPr="00B83421">
        <w:rPr>
          <w:rFonts w:ascii="Times New Roman" w:hAnsi="Times New Roman" w:cs="Times New Roman"/>
          <w:sz w:val="24"/>
          <w:szCs w:val="24"/>
        </w:rPr>
        <w:t xml:space="preserve"> rank correlation coefficients </w:t>
      </w:r>
      <w:r w:rsidR="001208EB" w:rsidRPr="00B83421">
        <w:rPr>
          <w:rFonts w:ascii="Times New Roman" w:hAnsi="Times New Roman" w:cs="Times New Roman"/>
          <w:sz w:val="24"/>
          <w:szCs w:val="24"/>
        </w:rPr>
        <w:t>for various pairs of RAMs.  We also estimated Kendall’s Tau (b) correlation coefficients since we judge this to be a superior measure in the context of this paper.  More specifically, the latter measure allows us to directly explore rank stability in terms of concordant and discordant pairs, and to then estimate the percentage of discordant pairs associated with various pairs of research assessment measures.  Second</w:t>
      </w:r>
      <w:r w:rsidR="000B7D27">
        <w:rPr>
          <w:rFonts w:ascii="Times New Roman" w:hAnsi="Times New Roman" w:cs="Times New Roman"/>
          <w:sz w:val="24"/>
          <w:szCs w:val="24"/>
        </w:rPr>
        <w:t>ly</w:t>
      </w:r>
      <w:r w:rsidR="001208EB" w:rsidRPr="00B83421">
        <w:rPr>
          <w:rFonts w:ascii="Times New Roman" w:hAnsi="Times New Roman" w:cs="Times New Roman"/>
          <w:sz w:val="24"/>
          <w:szCs w:val="24"/>
        </w:rPr>
        <w:t>, we explored the rank stability at the individual researcher level.  We have done so by illustrating the rank attained by individual researchers across a range of plausible RAMs</w:t>
      </w:r>
      <w:r w:rsidR="00FC2058" w:rsidRPr="00B83421">
        <w:rPr>
          <w:rFonts w:ascii="Times New Roman" w:hAnsi="Times New Roman" w:cs="Times New Roman"/>
          <w:sz w:val="24"/>
          <w:szCs w:val="24"/>
        </w:rPr>
        <w:t>.</w:t>
      </w:r>
      <w:r w:rsidR="00571008" w:rsidRPr="00B83421">
        <w:rPr>
          <w:rFonts w:ascii="Times New Roman" w:hAnsi="Times New Roman" w:cs="Times New Roman"/>
          <w:sz w:val="24"/>
          <w:szCs w:val="24"/>
        </w:rPr>
        <w:t xml:space="preserve"> This part of the study also include</w:t>
      </w:r>
      <w:r w:rsidR="00496BF0" w:rsidRPr="00B83421">
        <w:rPr>
          <w:rFonts w:ascii="Times New Roman" w:hAnsi="Times New Roman" w:cs="Times New Roman"/>
          <w:sz w:val="24"/>
          <w:szCs w:val="24"/>
        </w:rPr>
        <w:t>d</w:t>
      </w:r>
      <w:r w:rsidR="00571008" w:rsidRPr="00B83421">
        <w:rPr>
          <w:rFonts w:ascii="Times New Roman" w:hAnsi="Times New Roman" w:cs="Times New Roman"/>
          <w:sz w:val="24"/>
          <w:szCs w:val="24"/>
        </w:rPr>
        <w:t xml:space="preserve"> an analysis of the impact of various JWS and output measures on</w:t>
      </w:r>
      <w:r w:rsidR="001208EB" w:rsidRPr="00B83421">
        <w:rPr>
          <w:rFonts w:ascii="Times New Roman" w:hAnsi="Times New Roman" w:cs="Times New Roman"/>
          <w:sz w:val="24"/>
          <w:szCs w:val="24"/>
        </w:rPr>
        <w:t xml:space="preserve"> </w:t>
      </w:r>
      <w:r w:rsidR="00571008" w:rsidRPr="00B83421">
        <w:rPr>
          <w:rFonts w:ascii="Times New Roman" w:hAnsi="Times New Roman" w:cs="Times New Roman"/>
          <w:sz w:val="24"/>
          <w:szCs w:val="24"/>
        </w:rPr>
        <w:t>rankings within the context of a PBRF-like decision framework.</w:t>
      </w:r>
    </w:p>
    <w:p w14:paraId="5063C354" w14:textId="77777777" w:rsidR="00160E0C" w:rsidRPr="00B83421" w:rsidRDefault="00160E0C" w:rsidP="00316E1D">
      <w:pPr>
        <w:spacing w:after="0" w:line="288" w:lineRule="auto"/>
        <w:ind w:firstLine="720"/>
        <w:jc w:val="both"/>
        <w:rPr>
          <w:rFonts w:ascii="Times New Roman" w:hAnsi="Times New Roman" w:cs="Times New Roman"/>
          <w:sz w:val="24"/>
          <w:szCs w:val="24"/>
        </w:rPr>
      </w:pPr>
    </w:p>
    <w:p w14:paraId="4A67A904" w14:textId="57AE5763" w:rsidR="00EA14B1" w:rsidRDefault="00CC22E0" w:rsidP="00316E1D">
      <w:pPr>
        <w:spacing w:after="0" w:line="288" w:lineRule="auto"/>
        <w:ind w:firstLine="720"/>
        <w:jc w:val="both"/>
        <w:rPr>
          <w:rFonts w:ascii="Times New Roman" w:hAnsi="Times New Roman" w:cs="Times New Roman"/>
          <w:sz w:val="24"/>
          <w:szCs w:val="24"/>
        </w:rPr>
      </w:pPr>
      <w:r w:rsidRPr="00B83421">
        <w:rPr>
          <w:rFonts w:ascii="Times New Roman" w:hAnsi="Times New Roman" w:cs="Times New Roman"/>
          <w:sz w:val="24"/>
          <w:szCs w:val="24"/>
        </w:rPr>
        <w:t xml:space="preserve">Our primary finding is that despite statistical evidence of a high degree of </w:t>
      </w:r>
      <w:r w:rsidR="001E584F" w:rsidRPr="00B83421">
        <w:rPr>
          <w:rFonts w:ascii="Times New Roman" w:hAnsi="Times New Roman" w:cs="Times New Roman"/>
          <w:sz w:val="24"/>
          <w:szCs w:val="24"/>
        </w:rPr>
        <w:t xml:space="preserve">rank </w:t>
      </w:r>
      <w:r w:rsidRPr="00B83421">
        <w:rPr>
          <w:rFonts w:ascii="Times New Roman" w:hAnsi="Times New Roman" w:cs="Times New Roman"/>
          <w:sz w:val="24"/>
          <w:szCs w:val="24"/>
        </w:rPr>
        <w:t xml:space="preserve">stability across a number of plausible </w:t>
      </w:r>
      <w:r w:rsidR="00453344" w:rsidRPr="00B83421">
        <w:rPr>
          <w:rFonts w:ascii="Times New Roman" w:hAnsi="Times New Roman" w:cs="Times New Roman"/>
          <w:sz w:val="24"/>
          <w:szCs w:val="24"/>
        </w:rPr>
        <w:t xml:space="preserve">journal weighting schemes, </w:t>
      </w:r>
      <w:r w:rsidR="001E584F" w:rsidRPr="00B83421">
        <w:rPr>
          <w:rFonts w:ascii="Times New Roman" w:hAnsi="Times New Roman" w:cs="Times New Roman"/>
          <w:sz w:val="24"/>
          <w:szCs w:val="24"/>
        </w:rPr>
        <w:t xml:space="preserve">the </w:t>
      </w:r>
      <w:r w:rsidR="00453344" w:rsidRPr="00B83421">
        <w:rPr>
          <w:rFonts w:ascii="Times New Roman" w:hAnsi="Times New Roman" w:cs="Times New Roman"/>
          <w:sz w:val="24"/>
          <w:szCs w:val="24"/>
        </w:rPr>
        <w:t xml:space="preserve">journal </w:t>
      </w:r>
      <w:r w:rsidR="001E584F" w:rsidRPr="00B83421">
        <w:rPr>
          <w:rFonts w:ascii="Times New Roman" w:hAnsi="Times New Roman" w:cs="Times New Roman"/>
          <w:sz w:val="24"/>
          <w:szCs w:val="24"/>
        </w:rPr>
        <w:t>selection process is of great importance</w:t>
      </w:r>
      <w:r w:rsidR="006D2BAC" w:rsidRPr="00B83421">
        <w:rPr>
          <w:rFonts w:ascii="Times New Roman" w:hAnsi="Times New Roman" w:cs="Times New Roman"/>
          <w:sz w:val="24"/>
          <w:szCs w:val="24"/>
        </w:rPr>
        <w:t xml:space="preserve"> to the individual researcher</w:t>
      </w:r>
      <w:r w:rsidR="001E584F" w:rsidRPr="00B83421">
        <w:rPr>
          <w:rFonts w:ascii="Times New Roman" w:hAnsi="Times New Roman" w:cs="Times New Roman"/>
          <w:sz w:val="24"/>
          <w:szCs w:val="24"/>
        </w:rPr>
        <w:t xml:space="preserve">.  More specifically, </w:t>
      </w:r>
      <w:r w:rsidR="00247999" w:rsidRPr="00B83421">
        <w:rPr>
          <w:rFonts w:ascii="Times New Roman" w:hAnsi="Times New Roman" w:cs="Times New Roman"/>
          <w:sz w:val="24"/>
          <w:szCs w:val="24"/>
        </w:rPr>
        <w:t xml:space="preserve">high </w:t>
      </w:r>
      <w:r w:rsidR="00F90416" w:rsidRPr="00B83421">
        <w:rPr>
          <w:rFonts w:ascii="Times New Roman" w:hAnsi="Times New Roman" w:cs="Times New Roman"/>
          <w:sz w:val="24"/>
          <w:szCs w:val="24"/>
        </w:rPr>
        <w:t>Spearman rank correlation coefficients</w:t>
      </w:r>
      <w:r w:rsidR="005C1885" w:rsidRPr="00B83421">
        <w:rPr>
          <w:rFonts w:ascii="Times New Roman" w:hAnsi="Times New Roman" w:cs="Times New Roman"/>
          <w:sz w:val="24"/>
          <w:szCs w:val="24"/>
        </w:rPr>
        <w:t xml:space="preserve"> </w:t>
      </w:r>
      <w:r w:rsidR="00453344" w:rsidRPr="00B83421">
        <w:rPr>
          <w:rFonts w:ascii="Times New Roman" w:hAnsi="Times New Roman" w:cs="Times New Roman"/>
          <w:sz w:val="24"/>
          <w:szCs w:val="24"/>
        </w:rPr>
        <w:t xml:space="preserve">were found to </w:t>
      </w:r>
      <w:r w:rsidR="00C45E51" w:rsidRPr="00B83421">
        <w:rPr>
          <w:rFonts w:ascii="Times New Roman" w:hAnsi="Times New Roman" w:cs="Times New Roman"/>
          <w:sz w:val="24"/>
          <w:szCs w:val="24"/>
        </w:rPr>
        <w:t xml:space="preserve">mask major changes in rank for individual researchers.  </w:t>
      </w:r>
      <w:r w:rsidR="00FC2058" w:rsidRPr="00B83421">
        <w:rPr>
          <w:rFonts w:ascii="Times New Roman" w:hAnsi="Times New Roman" w:cs="Times New Roman"/>
          <w:sz w:val="24"/>
          <w:szCs w:val="24"/>
        </w:rPr>
        <w:t>A</w:t>
      </w:r>
      <w:r w:rsidR="0070675A" w:rsidRPr="00B83421">
        <w:rPr>
          <w:rFonts w:ascii="Times New Roman" w:hAnsi="Times New Roman" w:cs="Times New Roman"/>
          <w:sz w:val="24"/>
          <w:szCs w:val="24"/>
        </w:rPr>
        <w:t xml:space="preserve">side from a small group of individuals that dominate the top-end of </w:t>
      </w:r>
      <w:r w:rsidR="008A03C4" w:rsidRPr="00B83421">
        <w:rPr>
          <w:rFonts w:ascii="Times New Roman" w:hAnsi="Times New Roman" w:cs="Times New Roman"/>
          <w:sz w:val="24"/>
          <w:szCs w:val="24"/>
        </w:rPr>
        <w:t xml:space="preserve">all of our </w:t>
      </w:r>
      <w:r w:rsidR="0070675A" w:rsidRPr="00B83421">
        <w:rPr>
          <w:rFonts w:ascii="Times New Roman" w:hAnsi="Times New Roman" w:cs="Times New Roman"/>
          <w:sz w:val="24"/>
          <w:szCs w:val="24"/>
        </w:rPr>
        <w:t xml:space="preserve">journal-based rankings, </w:t>
      </w:r>
      <w:r w:rsidR="008A03C4" w:rsidRPr="00B83421">
        <w:rPr>
          <w:rFonts w:ascii="Times New Roman" w:hAnsi="Times New Roman" w:cs="Times New Roman"/>
          <w:sz w:val="24"/>
          <w:szCs w:val="24"/>
        </w:rPr>
        <w:t xml:space="preserve">the vast majority of individual researchers perform much better on some rankings than others.  </w:t>
      </w:r>
      <w:r w:rsidR="001E584F" w:rsidRPr="00B83421">
        <w:rPr>
          <w:rFonts w:ascii="Times New Roman" w:hAnsi="Times New Roman" w:cs="Times New Roman"/>
          <w:sz w:val="24"/>
          <w:szCs w:val="24"/>
        </w:rPr>
        <w:t>For example, i</w:t>
      </w:r>
      <w:r w:rsidR="0037255C" w:rsidRPr="00B83421">
        <w:rPr>
          <w:rFonts w:ascii="Times New Roman" w:hAnsi="Times New Roman" w:cs="Times New Roman"/>
          <w:sz w:val="24"/>
          <w:szCs w:val="24"/>
        </w:rPr>
        <w:t>n the context of a PBRF-like environment</w:t>
      </w:r>
      <w:r w:rsidR="001E584F" w:rsidRPr="00B83421">
        <w:rPr>
          <w:rFonts w:ascii="Times New Roman" w:hAnsi="Times New Roman" w:cs="Times New Roman"/>
          <w:sz w:val="24"/>
          <w:szCs w:val="24"/>
        </w:rPr>
        <w:t xml:space="preserve">, </w:t>
      </w:r>
      <w:r w:rsidR="0037255C" w:rsidRPr="00B83421">
        <w:rPr>
          <w:rFonts w:ascii="Times New Roman" w:hAnsi="Times New Roman" w:cs="Times New Roman"/>
          <w:sz w:val="24"/>
          <w:szCs w:val="24"/>
        </w:rPr>
        <w:t xml:space="preserve">we found </w:t>
      </w:r>
      <w:r w:rsidR="00101ABA" w:rsidRPr="00B83421">
        <w:rPr>
          <w:rFonts w:ascii="Times New Roman" w:hAnsi="Times New Roman" w:cs="Times New Roman"/>
          <w:sz w:val="24"/>
          <w:szCs w:val="24"/>
        </w:rPr>
        <w:t xml:space="preserve">that between 12 and 29 percent of ‘true As’ receive a ‘B’ if an error is made in the selection of </w:t>
      </w:r>
      <w:r w:rsidR="003971F9" w:rsidRPr="00B83421">
        <w:rPr>
          <w:rFonts w:ascii="Times New Roman" w:hAnsi="Times New Roman" w:cs="Times New Roman"/>
          <w:sz w:val="24"/>
          <w:szCs w:val="24"/>
        </w:rPr>
        <w:t>the</w:t>
      </w:r>
      <w:r w:rsidR="00101ABA" w:rsidRPr="00B83421">
        <w:rPr>
          <w:rFonts w:ascii="Times New Roman" w:hAnsi="Times New Roman" w:cs="Times New Roman"/>
          <w:sz w:val="24"/>
          <w:szCs w:val="24"/>
        </w:rPr>
        <w:t xml:space="preserve"> ‘official’ </w:t>
      </w:r>
      <w:r w:rsidR="006D2BAC" w:rsidRPr="00B83421">
        <w:rPr>
          <w:rFonts w:ascii="Times New Roman" w:hAnsi="Times New Roman" w:cs="Times New Roman"/>
          <w:sz w:val="24"/>
          <w:szCs w:val="24"/>
        </w:rPr>
        <w:t>journal weighting scheme.</w:t>
      </w:r>
      <w:r w:rsidR="00EA14B1" w:rsidRPr="00B83421">
        <w:rPr>
          <w:rFonts w:ascii="Times New Roman" w:hAnsi="Times New Roman" w:cs="Times New Roman"/>
          <w:sz w:val="24"/>
          <w:szCs w:val="24"/>
        </w:rPr>
        <w:t xml:space="preserve"> </w:t>
      </w:r>
      <w:r w:rsidR="006D2BAC" w:rsidRPr="00B83421">
        <w:rPr>
          <w:rFonts w:ascii="Times New Roman" w:hAnsi="Times New Roman" w:cs="Times New Roman"/>
          <w:sz w:val="24"/>
          <w:szCs w:val="24"/>
        </w:rPr>
        <w:t xml:space="preserve"> </w:t>
      </w:r>
      <w:r w:rsidR="00EA14B1" w:rsidRPr="00B83421">
        <w:rPr>
          <w:rFonts w:ascii="Times New Roman" w:hAnsi="Times New Roman" w:cs="Times New Roman"/>
          <w:sz w:val="24"/>
          <w:szCs w:val="24"/>
        </w:rPr>
        <w:t>If different journal rankings are reflective of differences in opinions of peer review panel members about relative quality, then these ratings would also be similarly affected even ignoring difference</w:t>
      </w:r>
      <w:r w:rsidR="00997BD1">
        <w:rPr>
          <w:rFonts w:ascii="Times New Roman" w:hAnsi="Times New Roman" w:cs="Times New Roman"/>
          <w:sz w:val="24"/>
          <w:szCs w:val="24"/>
        </w:rPr>
        <w:t>s</w:t>
      </w:r>
      <w:r w:rsidR="00EA14B1" w:rsidRPr="00B83421">
        <w:rPr>
          <w:rFonts w:ascii="Times New Roman" w:hAnsi="Times New Roman" w:cs="Times New Roman"/>
          <w:sz w:val="24"/>
          <w:szCs w:val="24"/>
        </w:rPr>
        <w:t xml:space="preserve"> of opinion on the merit of particular research.</w:t>
      </w:r>
    </w:p>
    <w:p w14:paraId="1E494782" w14:textId="77777777" w:rsidR="00160E0C" w:rsidRPr="00B83421" w:rsidRDefault="00160E0C" w:rsidP="00316E1D">
      <w:pPr>
        <w:spacing w:after="0" w:line="288" w:lineRule="auto"/>
        <w:ind w:firstLine="720"/>
        <w:jc w:val="both"/>
        <w:rPr>
          <w:rFonts w:ascii="Times New Roman" w:hAnsi="Times New Roman" w:cs="Times New Roman"/>
          <w:sz w:val="24"/>
          <w:szCs w:val="24"/>
        </w:rPr>
      </w:pPr>
    </w:p>
    <w:p w14:paraId="3199D56C" w14:textId="177D961B" w:rsidR="00E32FB8" w:rsidRDefault="006D2BAC" w:rsidP="00316E1D">
      <w:pPr>
        <w:spacing w:after="0" w:line="288" w:lineRule="auto"/>
        <w:ind w:firstLine="720"/>
        <w:jc w:val="both"/>
        <w:rPr>
          <w:rFonts w:ascii="Times New Roman" w:hAnsi="Times New Roman" w:cs="Times New Roman"/>
          <w:sz w:val="24"/>
          <w:szCs w:val="24"/>
        </w:rPr>
      </w:pPr>
      <w:r w:rsidRPr="00B83421">
        <w:rPr>
          <w:rFonts w:ascii="Times New Roman" w:hAnsi="Times New Roman" w:cs="Times New Roman"/>
          <w:sz w:val="24"/>
          <w:szCs w:val="24"/>
        </w:rPr>
        <w:lastRenderedPageBreak/>
        <w:t xml:space="preserve"> </w:t>
      </w:r>
      <w:r w:rsidR="003971F9" w:rsidRPr="00B83421">
        <w:rPr>
          <w:rFonts w:ascii="Times New Roman" w:hAnsi="Times New Roman" w:cs="Times New Roman"/>
          <w:sz w:val="24"/>
          <w:szCs w:val="24"/>
        </w:rPr>
        <w:t xml:space="preserve">In contrast, we found a much greater degree of rank stability with respect to the output </w:t>
      </w:r>
      <w:r w:rsidR="00453344" w:rsidRPr="00B83421">
        <w:rPr>
          <w:rFonts w:ascii="Times New Roman" w:hAnsi="Times New Roman" w:cs="Times New Roman"/>
          <w:sz w:val="24"/>
          <w:szCs w:val="24"/>
        </w:rPr>
        <w:t xml:space="preserve">unit </w:t>
      </w:r>
      <w:r w:rsidR="003971F9" w:rsidRPr="00B83421">
        <w:rPr>
          <w:rFonts w:ascii="Times New Roman" w:hAnsi="Times New Roman" w:cs="Times New Roman"/>
          <w:sz w:val="24"/>
          <w:szCs w:val="24"/>
        </w:rPr>
        <w:t>selection process.  In particular, attempts to adjust for variation in the number of characters per page (denoted he</w:t>
      </w:r>
      <w:r w:rsidR="00160E0C">
        <w:rPr>
          <w:rFonts w:ascii="Times New Roman" w:hAnsi="Times New Roman" w:cs="Times New Roman"/>
          <w:sz w:val="24"/>
          <w:szCs w:val="24"/>
        </w:rPr>
        <w:t>rein as size adjustment) appear</w:t>
      </w:r>
      <w:r w:rsidR="003971F9" w:rsidRPr="00B83421">
        <w:rPr>
          <w:rFonts w:ascii="Times New Roman" w:hAnsi="Times New Roman" w:cs="Times New Roman"/>
          <w:sz w:val="24"/>
          <w:szCs w:val="24"/>
        </w:rPr>
        <w:t xml:space="preserve"> to have negligible impact on rank stability.  Although there is some impact at the individual researcher level, it is very limited.  Decisions with respect to the treatment of co-authorship and </w:t>
      </w:r>
      <w:r w:rsidR="00E5223D" w:rsidRPr="00B83421">
        <w:rPr>
          <w:rFonts w:ascii="Times New Roman" w:hAnsi="Times New Roman" w:cs="Times New Roman"/>
          <w:sz w:val="24"/>
          <w:szCs w:val="24"/>
        </w:rPr>
        <w:t xml:space="preserve">the page versus the paper as the unit of account are of greater importance.  However, the impact on rank stability is much less severe than for the journal weighting scheme selection process.  </w:t>
      </w:r>
    </w:p>
    <w:p w14:paraId="47F458DC" w14:textId="77777777" w:rsidR="00160E0C" w:rsidRPr="00B83421" w:rsidRDefault="00160E0C" w:rsidP="00316E1D">
      <w:pPr>
        <w:spacing w:after="0" w:line="288" w:lineRule="auto"/>
        <w:ind w:firstLine="720"/>
        <w:jc w:val="both"/>
        <w:rPr>
          <w:rFonts w:ascii="Times New Roman" w:hAnsi="Times New Roman" w:cs="Times New Roman"/>
          <w:sz w:val="24"/>
          <w:szCs w:val="24"/>
        </w:rPr>
      </w:pPr>
    </w:p>
    <w:p w14:paraId="6D272784" w14:textId="6DB21022" w:rsidR="005C1885" w:rsidRPr="00B83421" w:rsidRDefault="006D2BAC" w:rsidP="00316E1D">
      <w:pPr>
        <w:spacing w:after="0" w:line="288" w:lineRule="auto"/>
        <w:ind w:firstLine="720"/>
        <w:jc w:val="both"/>
        <w:rPr>
          <w:rFonts w:ascii="Times New Roman" w:hAnsi="Times New Roman" w:cs="Times New Roman"/>
          <w:sz w:val="24"/>
          <w:szCs w:val="24"/>
        </w:rPr>
      </w:pPr>
      <w:r w:rsidRPr="00B83421">
        <w:rPr>
          <w:rFonts w:ascii="Times New Roman" w:hAnsi="Times New Roman" w:cs="Times New Roman"/>
          <w:sz w:val="24"/>
          <w:szCs w:val="24"/>
        </w:rPr>
        <w:t xml:space="preserve">We believe our study to be the first to </w:t>
      </w:r>
      <w:r w:rsidR="00086DFD" w:rsidRPr="00B83421">
        <w:rPr>
          <w:rFonts w:ascii="Times New Roman" w:hAnsi="Times New Roman" w:cs="Times New Roman"/>
          <w:sz w:val="24"/>
          <w:szCs w:val="24"/>
        </w:rPr>
        <w:t xml:space="preserve">assess rank stability in the context of a time-limited, nation-wide research assessment.  Our findings suggest that future movement from </w:t>
      </w:r>
      <w:r w:rsidR="00BB3980" w:rsidRPr="00B83421">
        <w:rPr>
          <w:rFonts w:ascii="Times New Roman" w:hAnsi="Times New Roman" w:cs="Times New Roman"/>
          <w:sz w:val="24"/>
          <w:szCs w:val="24"/>
        </w:rPr>
        <w:t xml:space="preserve">a </w:t>
      </w:r>
      <w:r w:rsidR="00086DFD" w:rsidRPr="00B83421">
        <w:rPr>
          <w:rFonts w:ascii="Times New Roman" w:hAnsi="Times New Roman" w:cs="Times New Roman"/>
          <w:sz w:val="24"/>
          <w:szCs w:val="24"/>
        </w:rPr>
        <w:t xml:space="preserve">peer-review </w:t>
      </w:r>
      <w:r w:rsidR="00BB3980" w:rsidRPr="00B83421">
        <w:rPr>
          <w:rFonts w:ascii="Times New Roman" w:hAnsi="Times New Roman" w:cs="Times New Roman"/>
          <w:sz w:val="24"/>
          <w:szCs w:val="24"/>
        </w:rPr>
        <w:t xml:space="preserve">to a bibliometric-based research evaluation scheme will continue to be plagued by controversy.  </w:t>
      </w:r>
      <w:r w:rsidR="00EA14B1" w:rsidRPr="00B83421">
        <w:rPr>
          <w:rFonts w:ascii="Times New Roman" w:hAnsi="Times New Roman" w:cs="Times New Roman"/>
          <w:sz w:val="24"/>
          <w:szCs w:val="24"/>
        </w:rPr>
        <w:t xml:space="preserve">They also suggest likely instability in the decisions of peer review panel members unless an attempt is made to come to an agreed view on relative research standards.  </w:t>
      </w:r>
      <w:r w:rsidR="000C5EE8" w:rsidRPr="00B83421">
        <w:rPr>
          <w:rFonts w:ascii="Times New Roman" w:hAnsi="Times New Roman" w:cs="Times New Roman"/>
          <w:sz w:val="24"/>
          <w:szCs w:val="24"/>
        </w:rPr>
        <w:t>As shown in this paper, e</w:t>
      </w:r>
      <w:r w:rsidR="00BB3980" w:rsidRPr="00B83421">
        <w:rPr>
          <w:rFonts w:ascii="Times New Roman" w:hAnsi="Times New Roman" w:cs="Times New Roman"/>
          <w:sz w:val="24"/>
          <w:szCs w:val="24"/>
        </w:rPr>
        <w:t xml:space="preserve">ven the selection </w:t>
      </w:r>
      <w:r w:rsidR="000C5EE8" w:rsidRPr="00B83421">
        <w:rPr>
          <w:rFonts w:ascii="Times New Roman" w:hAnsi="Times New Roman" w:cs="Times New Roman"/>
          <w:sz w:val="24"/>
          <w:szCs w:val="24"/>
        </w:rPr>
        <w:t xml:space="preserve">between </w:t>
      </w:r>
      <w:r w:rsidR="00BB3980" w:rsidRPr="00B83421">
        <w:rPr>
          <w:rFonts w:ascii="Times New Roman" w:hAnsi="Times New Roman" w:cs="Times New Roman"/>
          <w:sz w:val="24"/>
          <w:szCs w:val="24"/>
        </w:rPr>
        <w:t xml:space="preserve">two competing research assessment schemes that are based on similar methodologies and </w:t>
      </w:r>
      <w:r w:rsidR="000C5EE8" w:rsidRPr="00B83421">
        <w:rPr>
          <w:rFonts w:ascii="Times New Roman" w:hAnsi="Times New Roman" w:cs="Times New Roman"/>
          <w:sz w:val="24"/>
          <w:szCs w:val="24"/>
        </w:rPr>
        <w:t xml:space="preserve">are highly correlated with respect to rank, </w:t>
      </w:r>
      <w:r w:rsidR="00BB3980" w:rsidRPr="00B83421">
        <w:rPr>
          <w:rFonts w:ascii="Times New Roman" w:hAnsi="Times New Roman" w:cs="Times New Roman"/>
          <w:sz w:val="24"/>
          <w:szCs w:val="24"/>
        </w:rPr>
        <w:t xml:space="preserve">can have </w:t>
      </w:r>
      <w:r w:rsidR="000C5EE8" w:rsidRPr="00B83421">
        <w:rPr>
          <w:rFonts w:ascii="Times New Roman" w:hAnsi="Times New Roman" w:cs="Times New Roman"/>
          <w:sz w:val="24"/>
          <w:szCs w:val="24"/>
        </w:rPr>
        <w:t xml:space="preserve">extremely important </w:t>
      </w:r>
      <w:r w:rsidR="00BB3980" w:rsidRPr="00B83421">
        <w:rPr>
          <w:rFonts w:ascii="Times New Roman" w:hAnsi="Times New Roman" w:cs="Times New Roman"/>
          <w:sz w:val="24"/>
          <w:szCs w:val="24"/>
        </w:rPr>
        <w:t>career implications for many academics</w:t>
      </w:r>
      <w:r w:rsidR="000C5EE8" w:rsidRPr="00B83421">
        <w:rPr>
          <w:rFonts w:ascii="Times New Roman" w:hAnsi="Times New Roman" w:cs="Times New Roman"/>
          <w:sz w:val="24"/>
          <w:szCs w:val="24"/>
        </w:rPr>
        <w:t>.  This applies with particular force to academics working within a NRAE environment based on i</w:t>
      </w:r>
      <w:r w:rsidR="00BB3980" w:rsidRPr="00B83421">
        <w:rPr>
          <w:rFonts w:ascii="Times New Roman" w:hAnsi="Times New Roman" w:cs="Times New Roman"/>
          <w:sz w:val="24"/>
          <w:szCs w:val="24"/>
        </w:rPr>
        <w:t>ndividual assessment</w:t>
      </w:r>
      <w:r w:rsidR="000C5EE8" w:rsidRPr="00B83421">
        <w:rPr>
          <w:rFonts w:ascii="Times New Roman" w:hAnsi="Times New Roman" w:cs="Times New Roman"/>
          <w:sz w:val="24"/>
          <w:szCs w:val="24"/>
        </w:rPr>
        <w:t xml:space="preserve"> such as New Zealand’s PBRF.    </w:t>
      </w:r>
      <w:r w:rsidR="00BB3980" w:rsidRPr="00B83421">
        <w:rPr>
          <w:rFonts w:ascii="Times New Roman" w:hAnsi="Times New Roman" w:cs="Times New Roman"/>
          <w:sz w:val="24"/>
          <w:szCs w:val="24"/>
        </w:rPr>
        <w:t xml:space="preserve"> </w:t>
      </w:r>
    </w:p>
    <w:p w14:paraId="292B6E75" w14:textId="77777777" w:rsidR="00755228" w:rsidRPr="00B83421" w:rsidRDefault="00755228" w:rsidP="00404F88">
      <w:pPr>
        <w:jc w:val="both"/>
        <w:rPr>
          <w:rFonts w:ascii="Times New Roman" w:hAnsi="Times New Roman" w:cs="Times New Roman"/>
          <w:b/>
          <w:sz w:val="24"/>
          <w:szCs w:val="24"/>
        </w:rPr>
      </w:pPr>
    </w:p>
    <w:p w14:paraId="292B6E76" w14:textId="77777777" w:rsidR="00755228" w:rsidRPr="00B83421" w:rsidRDefault="00755228" w:rsidP="009A53B5">
      <w:pPr>
        <w:rPr>
          <w:rFonts w:ascii="Times New Roman" w:hAnsi="Times New Roman" w:cs="Times New Roman"/>
          <w:b/>
          <w:sz w:val="24"/>
          <w:szCs w:val="24"/>
        </w:rPr>
      </w:pPr>
      <w:r w:rsidRPr="00B83421">
        <w:rPr>
          <w:rFonts w:ascii="Times New Roman" w:hAnsi="Times New Roman" w:cs="Times New Roman"/>
          <w:b/>
          <w:sz w:val="24"/>
          <w:szCs w:val="24"/>
        </w:rPr>
        <w:t>References</w:t>
      </w:r>
    </w:p>
    <w:p w14:paraId="292B6E77" w14:textId="77777777" w:rsidR="0055672E" w:rsidRPr="00505444" w:rsidRDefault="0055672E" w:rsidP="002C0BD3">
      <w:pPr>
        <w:spacing w:after="100" w:line="240" w:lineRule="auto"/>
        <w:ind w:left="425" w:hanging="425"/>
        <w:jc w:val="both"/>
        <w:rPr>
          <w:rFonts w:ascii="Times New Roman" w:hAnsi="Times New Roman" w:cs="Times New Roman"/>
        </w:rPr>
      </w:pPr>
      <w:proofErr w:type="gramStart"/>
      <w:r w:rsidRPr="00505444">
        <w:rPr>
          <w:rFonts w:ascii="Times New Roman" w:hAnsi="Times New Roman" w:cs="Times New Roman"/>
        </w:rPr>
        <w:t>ABDC.</w:t>
      </w:r>
      <w:proofErr w:type="gramEnd"/>
      <w:r w:rsidRPr="00505444">
        <w:rPr>
          <w:rFonts w:ascii="Times New Roman" w:hAnsi="Times New Roman" w:cs="Times New Roman"/>
        </w:rPr>
        <w:t xml:space="preserve"> </w:t>
      </w:r>
      <w:proofErr w:type="gramStart"/>
      <w:r w:rsidRPr="00505444">
        <w:rPr>
          <w:rFonts w:ascii="Times New Roman" w:hAnsi="Times New Roman" w:cs="Times New Roman"/>
        </w:rPr>
        <w:t xml:space="preserve">(2010) </w:t>
      </w:r>
      <w:r w:rsidRPr="00505444">
        <w:rPr>
          <w:rFonts w:ascii="Times New Roman" w:hAnsi="Times New Roman" w:cs="Times New Roman"/>
          <w:i/>
        </w:rPr>
        <w:t>Australian Business Deans Council Journal Quality List</w:t>
      </w:r>
      <w:r w:rsidRPr="00505444">
        <w:rPr>
          <w:rFonts w:ascii="Times New Roman" w:hAnsi="Times New Roman" w:cs="Times New Roman"/>
        </w:rPr>
        <w:t>.</w:t>
      </w:r>
      <w:proofErr w:type="gramEnd"/>
      <w:r w:rsidRPr="00505444">
        <w:rPr>
          <w:rFonts w:ascii="Times New Roman" w:hAnsi="Times New Roman" w:cs="Times New Roman"/>
        </w:rPr>
        <w:t xml:space="preserve">  </w:t>
      </w:r>
      <w:hyperlink r:id="rId10" w:history="1">
        <w:r w:rsidRPr="00505444">
          <w:rPr>
            <w:rStyle w:val="Hyperlink"/>
            <w:rFonts w:ascii="Times New Roman" w:hAnsi="Times New Roman" w:cs="Times New Roman"/>
          </w:rPr>
          <w:t>www.abdc.edu.au</w:t>
        </w:r>
      </w:hyperlink>
      <w:r w:rsidRPr="00505444">
        <w:rPr>
          <w:rFonts w:ascii="Times New Roman" w:hAnsi="Times New Roman" w:cs="Times New Roman"/>
        </w:rPr>
        <w:t xml:space="preserve">., downloaded 12 October 2012. </w:t>
      </w:r>
    </w:p>
    <w:p w14:paraId="292B6E78" w14:textId="77777777" w:rsidR="00EB126C" w:rsidRPr="00505444" w:rsidRDefault="00EB126C" w:rsidP="002C0BD3">
      <w:pPr>
        <w:spacing w:after="100" w:line="240" w:lineRule="auto"/>
        <w:ind w:left="425" w:hanging="425"/>
        <w:jc w:val="both"/>
        <w:rPr>
          <w:rFonts w:ascii="Times New Roman" w:hAnsi="Times New Roman" w:cs="Times New Roman"/>
        </w:rPr>
      </w:pPr>
      <w:r w:rsidRPr="00505444">
        <w:rPr>
          <w:rFonts w:ascii="Times New Roman" w:hAnsi="Times New Roman" w:cs="Times New Roman"/>
        </w:rPr>
        <w:t xml:space="preserve">Abelson, P. </w:t>
      </w:r>
      <w:r w:rsidR="00400EE4" w:rsidRPr="00505444">
        <w:rPr>
          <w:rFonts w:ascii="Times New Roman" w:hAnsi="Times New Roman" w:cs="Times New Roman"/>
        </w:rPr>
        <w:t xml:space="preserve">(2009) </w:t>
      </w:r>
      <w:r w:rsidRPr="00505444">
        <w:rPr>
          <w:rFonts w:ascii="Times New Roman" w:hAnsi="Times New Roman" w:cs="Times New Roman"/>
        </w:rPr>
        <w:t xml:space="preserve">‘The Ranking of Economics Journals by the Economic Society of Australia’, </w:t>
      </w:r>
      <w:r w:rsidRPr="00505444">
        <w:rPr>
          <w:rFonts w:ascii="Times New Roman" w:hAnsi="Times New Roman" w:cs="Times New Roman"/>
          <w:i/>
        </w:rPr>
        <w:t xml:space="preserve">Economic Papers, </w:t>
      </w:r>
      <w:r w:rsidRPr="00505444">
        <w:rPr>
          <w:rFonts w:ascii="Times New Roman" w:hAnsi="Times New Roman" w:cs="Times New Roman"/>
        </w:rPr>
        <w:t>28/2: 176-180.</w:t>
      </w:r>
    </w:p>
    <w:p w14:paraId="292B6E79" w14:textId="77777777" w:rsidR="007F2CD4" w:rsidRPr="00505444" w:rsidRDefault="007F2CD4" w:rsidP="002C0BD3">
      <w:pPr>
        <w:spacing w:after="100" w:line="240" w:lineRule="auto"/>
        <w:ind w:left="425" w:hanging="425"/>
        <w:jc w:val="both"/>
        <w:rPr>
          <w:rFonts w:ascii="Times New Roman" w:hAnsi="Times New Roman" w:cs="Times New Roman"/>
        </w:rPr>
      </w:pPr>
      <w:proofErr w:type="spellStart"/>
      <w:proofErr w:type="gramStart"/>
      <w:r w:rsidRPr="00505444">
        <w:rPr>
          <w:rFonts w:ascii="Times New Roman" w:hAnsi="Times New Roman" w:cs="Times New Roman"/>
        </w:rPr>
        <w:t>Abramo</w:t>
      </w:r>
      <w:proofErr w:type="spellEnd"/>
      <w:r w:rsidRPr="00505444">
        <w:rPr>
          <w:rFonts w:ascii="Times New Roman" w:hAnsi="Times New Roman" w:cs="Times New Roman"/>
        </w:rPr>
        <w:t xml:space="preserve">, G., Cicero, T. and D’Angelo, C.L. (2011) ‘Assessing the varying level of impact measurement accuracy as a function of the citation window length’, </w:t>
      </w:r>
      <w:r w:rsidRPr="00505444">
        <w:rPr>
          <w:rFonts w:ascii="Times New Roman" w:hAnsi="Times New Roman" w:cs="Times New Roman"/>
          <w:i/>
        </w:rPr>
        <w:t xml:space="preserve">Journal of </w:t>
      </w:r>
      <w:proofErr w:type="spellStart"/>
      <w:r w:rsidRPr="00505444">
        <w:rPr>
          <w:rFonts w:ascii="Times New Roman" w:hAnsi="Times New Roman" w:cs="Times New Roman"/>
          <w:i/>
        </w:rPr>
        <w:t>Informetrics</w:t>
      </w:r>
      <w:proofErr w:type="spellEnd"/>
      <w:r w:rsidRPr="00505444">
        <w:rPr>
          <w:rFonts w:ascii="Times New Roman" w:hAnsi="Times New Roman" w:cs="Times New Roman"/>
        </w:rPr>
        <w:t>, 5/3: 659-667.</w:t>
      </w:r>
      <w:proofErr w:type="gramEnd"/>
    </w:p>
    <w:p w14:paraId="292B6E7A" w14:textId="07824591" w:rsidR="00755228" w:rsidRPr="00505444" w:rsidRDefault="00035AB2" w:rsidP="002C0BD3">
      <w:pPr>
        <w:spacing w:after="100" w:line="240" w:lineRule="auto"/>
        <w:ind w:left="425" w:hanging="425"/>
        <w:jc w:val="both"/>
        <w:rPr>
          <w:rFonts w:ascii="Times New Roman" w:hAnsi="Times New Roman" w:cs="Times New Roman"/>
        </w:rPr>
      </w:pPr>
      <w:r w:rsidRPr="00505444">
        <w:rPr>
          <w:rFonts w:ascii="Times New Roman" w:hAnsi="Times New Roman" w:cs="Times New Roman"/>
        </w:rPr>
        <w:t xml:space="preserve">Anderson, D.L., Smart, W. and Tressler, J. (2013) </w:t>
      </w:r>
      <w:r w:rsidR="00FA51D3">
        <w:rPr>
          <w:rFonts w:ascii="Times New Roman" w:hAnsi="Times New Roman" w:cs="Times New Roman"/>
        </w:rPr>
        <w:t>'</w:t>
      </w:r>
      <w:r w:rsidRPr="00505444">
        <w:rPr>
          <w:rFonts w:ascii="Times New Roman" w:hAnsi="Times New Roman" w:cs="Times New Roman"/>
        </w:rPr>
        <w:t xml:space="preserve">Evaluating Research- Peer Review Team Assessment and Journal based Bibliographic Measures: New Zealand PBRF Research Output Scores in 2006’, </w:t>
      </w:r>
      <w:r w:rsidRPr="00505444">
        <w:rPr>
          <w:rFonts w:ascii="Times New Roman" w:hAnsi="Times New Roman" w:cs="Times New Roman"/>
          <w:i/>
        </w:rPr>
        <w:t>New Zealand Economic Papers</w:t>
      </w:r>
      <w:r w:rsidRPr="00505444">
        <w:rPr>
          <w:rFonts w:ascii="Times New Roman" w:hAnsi="Times New Roman" w:cs="Times New Roman"/>
        </w:rPr>
        <w:t>, 47/2: 140-157.</w:t>
      </w:r>
    </w:p>
    <w:p w14:paraId="292B6E7B" w14:textId="77777777" w:rsidR="00204194" w:rsidRPr="00505444" w:rsidRDefault="00204194" w:rsidP="002C0BD3">
      <w:pPr>
        <w:spacing w:after="100" w:line="240" w:lineRule="auto"/>
        <w:ind w:left="425" w:hanging="425"/>
        <w:jc w:val="both"/>
        <w:rPr>
          <w:rFonts w:ascii="Times New Roman" w:hAnsi="Times New Roman" w:cs="Times New Roman"/>
        </w:rPr>
      </w:pPr>
      <w:proofErr w:type="gramStart"/>
      <w:r w:rsidRPr="00505444">
        <w:rPr>
          <w:rFonts w:ascii="Times New Roman" w:hAnsi="Times New Roman" w:cs="Times New Roman"/>
        </w:rPr>
        <w:t>Burns, S.B. and Stern, D.I. (2015) ‘Research Assessment Using Early Citation Information’, Crawford School Research Paper No. 15-01, Australian National University, Canberra, Australia.</w:t>
      </w:r>
      <w:proofErr w:type="gramEnd"/>
    </w:p>
    <w:p w14:paraId="292B6E7C" w14:textId="77777777" w:rsidR="003D2D0D" w:rsidRPr="00505444" w:rsidRDefault="003D2D0D" w:rsidP="002C0BD3">
      <w:pPr>
        <w:spacing w:after="100" w:line="240" w:lineRule="auto"/>
        <w:ind w:left="425" w:hanging="425"/>
        <w:jc w:val="both"/>
        <w:rPr>
          <w:rFonts w:ascii="Times New Roman" w:hAnsi="Times New Roman" w:cs="Times New Roman"/>
        </w:rPr>
      </w:pPr>
      <w:r w:rsidRPr="00505444">
        <w:rPr>
          <w:rFonts w:ascii="Times New Roman" w:hAnsi="Times New Roman" w:cs="Times New Roman"/>
        </w:rPr>
        <w:t>Chang, C</w:t>
      </w:r>
      <w:r w:rsidR="00D90556" w:rsidRPr="00505444">
        <w:rPr>
          <w:rFonts w:ascii="Times New Roman" w:hAnsi="Times New Roman" w:cs="Times New Roman"/>
        </w:rPr>
        <w:t>-</w:t>
      </w:r>
      <w:r w:rsidRPr="00505444">
        <w:rPr>
          <w:rFonts w:ascii="Times New Roman" w:hAnsi="Times New Roman" w:cs="Times New Roman"/>
        </w:rPr>
        <w:t xml:space="preserve">L., </w:t>
      </w:r>
      <w:proofErr w:type="spellStart"/>
      <w:r w:rsidRPr="00505444">
        <w:rPr>
          <w:rFonts w:ascii="Times New Roman" w:hAnsi="Times New Roman" w:cs="Times New Roman"/>
        </w:rPr>
        <w:t>McAleer</w:t>
      </w:r>
      <w:proofErr w:type="spellEnd"/>
      <w:r w:rsidRPr="00505444">
        <w:rPr>
          <w:rFonts w:ascii="Times New Roman" w:hAnsi="Times New Roman" w:cs="Times New Roman"/>
        </w:rPr>
        <w:t xml:space="preserve">, M. and Oxley, L. (2011) ‘What Makes a Great Journal Great in Economics? The Singer Not the Song’, </w:t>
      </w:r>
      <w:r w:rsidRPr="00505444">
        <w:rPr>
          <w:rFonts w:ascii="Times New Roman" w:hAnsi="Times New Roman" w:cs="Times New Roman"/>
          <w:i/>
        </w:rPr>
        <w:t>Journal of Economic Surveys</w:t>
      </w:r>
      <w:r w:rsidRPr="00505444">
        <w:rPr>
          <w:rFonts w:ascii="Times New Roman" w:hAnsi="Times New Roman" w:cs="Times New Roman"/>
        </w:rPr>
        <w:t>, 25/2: 326-</w:t>
      </w:r>
      <w:r w:rsidR="00EB126C" w:rsidRPr="00505444">
        <w:rPr>
          <w:rFonts w:ascii="Times New Roman" w:hAnsi="Times New Roman" w:cs="Times New Roman"/>
        </w:rPr>
        <w:t>3</w:t>
      </w:r>
      <w:r w:rsidRPr="00505444">
        <w:rPr>
          <w:rFonts w:ascii="Times New Roman" w:hAnsi="Times New Roman" w:cs="Times New Roman"/>
        </w:rPr>
        <w:t>61.</w:t>
      </w:r>
    </w:p>
    <w:p w14:paraId="292B6E7D" w14:textId="54032EF9" w:rsidR="00D90556" w:rsidRPr="00505444" w:rsidRDefault="00D90556" w:rsidP="002C0BD3">
      <w:pPr>
        <w:spacing w:after="100" w:line="240" w:lineRule="auto"/>
        <w:ind w:left="425" w:hanging="425"/>
        <w:jc w:val="both"/>
        <w:rPr>
          <w:rFonts w:ascii="Times New Roman" w:hAnsi="Times New Roman" w:cs="Times New Roman"/>
        </w:rPr>
      </w:pPr>
      <w:r w:rsidRPr="00505444">
        <w:rPr>
          <w:rFonts w:ascii="Times New Roman" w:hAnsi="Times New Roman" w:cs="Times New Roman"/>
        </w:rPr>
        <w:t xml:space="preserve">Chang, C-L and </w:t>
      </w:r>
      <w:proofErr w:type="spellStart"/>
      <w:r w:rsidRPr="00505444">
        <w:rPr>
          <w:rFonts w:ascii="Times New Roman" w:hAnsi="Times New Roman" w:cs="Times New Roman"/>
        </w:rPr>
        <w:t>McAleer</w:t>
      </w:r>
      <w:proofErr w:type="spellEnd"/>
      <w:r w:rsidRPr="00505444">
        <w:rPr>
          <w:rFonts w:ascii="Times New Roman" w:hAnsi="Times New Roman" w:cs="Times New Roman"/>
        </w:rPr>
        <w:t xml:space="preserve">, M. (2013) ‘Ranking journal quality by harmonic mean of ranks: an application to ISI statistics </w:t>
      </w:r>
      <w:r w:rsidR="00E6612C">
        <w:rPr>
          <w:rFonts w:ascii="Times New Roman" w:hAnsi="Times New Roman" w:cs="Times New Roman"/>
        </w:rPr>
        <w:t>and</w:t>
      </w:r>
      <w:r w:rsidRPr="00505444">
        <w:rPr>
          <w:rFonts w:ascii="Times New Roman" w:hAnsi="Times New Roman" w:cs="Times New Roman"/>
        </w:rPr>
        <w:t xml:space="preserve"> probability’, </w:t>
      </w:r>
      <w:proofErr w:type="spellStart"/>
      <w:r w:rsidRPr="00505444">
        <w:rPr>
          <w:rFonts w:ascii="Times New Roman" w:hAnsi="Times New Roman" w:cs="Times New Roman"/>
          <w:i/>
        </w:rPr>
        <w:t>Statistica</w:t>
      </w:r>
      <w:proofErr w:type="spellEnd"/>
      <w:r w:rsidRPr="00505444">
        <w:rPr>
          <w:rFonts w:ascii="Times New Roman" w:hAnsi="Times New Roman" w:cs="Times New Roman"/>
          <w:i/>
        </w:rPr>
        <w:t xml:space="preserve"> </w:t>
      </w:r>
      <w:proofErr w:type="spellStart"/>
      <w:r w:rsidRPr="00505444">
        <w:rPr>
          <w:rFonts w:ascii="Times New Roman" w:hAnsi="Times New Roman" w:cs="Times New Roman"/>
          <w:i/>
        </w:rPr>
        <w:t>Neelandica</w:t>
      </w:r>
      <w:proofErr w:type="spellEnd"/>
      <w:r w:rsidRPr="00505444">
        <w:rPr>
          <w:rFonts w:ascii="Times New Roman" w:hAnsi="Times New Roman" w:cs="Times New Roman"/>
        </w:rPr>
        <w:t>, 67/1: 27-53.</w:t>
      </w:r>
    </w:p>
    <w:p w14:paraId="292B6E7E" w14:textId="77777777" w:rsidR="00644C00" w:rsidRPr="00505444" w:rsidRDefault="00644C00" w:rsidP="002C0BD3">
      <w:pPr>
        <w:spacing w:after="100" w:line="240" w:lineRule="auto"/>
        <w:ind w:left="425" w:hanging="425"/>
        <w:jc w:val="both"/>
        <w:rPr>
          <w:rFonts w:ascii="Times New Roman" w:hAnsi="Times New Roman" w:cs="Times New Roman"/>
        </w:rPr>
      </w:pPr>
      <w:r w:rsidRPr="00505444">
        <w:rPr>
          <w:rFonts w:ascii="Times New Roman" w:hAnsi="Times New Roman" w:cs="Times New Roman"/>
        </w:rPr>
        <w:t xml:space="preserve">Chang, C-L and </w:t>
      </w:r>
      <w:proofErr w:type="spellStart"/>
      <w:r w:rsidRPr="00505444">
        <w:rPr>
          <w:rFonts w:ascii="Times New Roman" w:hAnsi="Times New Roman" w:cs="Times New Roman"/>
        </w:rPr>
        <w:t>McAleer</w:t>
      </w:r>
      <w:proofErr w:type="spellEnd"/>
      <w:r w:rsidRPr="00505444">
        <w:rPr>
          <w:rFonts w:ascii="Times New Roman" w:hAnsi="Times New Roman" w:cs="Times New Roman"/>
        </w:rPr>
        <w:t xml:space="preserve">, M. (2013) ‘Ranking Leading Econometrics Journals Using Citations Data from ISI and RePEc’, </w:t>
      </w:r>
      <w:r w:rsidRPr="00505444">
        <w:rPr>
          <w:rFonts w:ascii="Times New Roman" w:hAnsi="Times New Roman" w:cs="Times New Roman"/>
          <w:i/>
        </w:rPr>
        <w:t>Econometrics,</w:t>
      </w:r>
      <w:r w:rsidRPr="00505444">
        <w:rPr>
          <w:rFonts w:ascii="Times New Roman" w:hAnsi="Times New Roman" w:cs="Times New Roman"/>
        </w:rPr>
        <w:t xml:space="preserve"> 1/3: 217-235.</w:t>
      </w:r>
    </w:p>
    <w:p w14:paraId="292B6E7F" w14:textId="77777777" w:rsidR="00035AB2" w:rsidRPr="00505444" w:rsidRDefault="00035AB2" w:rsidP="002C0BD3">
      <w:pPr>
        <w:spacing w:after="100" w:line="240" w:lineRule="auto"/>
        <w:ind w:left="425" w:hanging="425"/>
        <w:jc w:val="both"/>
        <w:rPr>
          <w:rFonts w:ascii="Times New Roman" w:hAnsi="Times New Roman" w:cs="Times New Roman"/>
        </w:rPr>
      </w:pPr>
      <w:r w:rsidRPr="00505444">
        <w:rPr>
          <w:rFonts w:ascii="Times New Roman" w:hAnsi="Times New Roman" w:cs="Times New Roman"/>
        </w:rPr>
        <w:t xml:space="preserve">Combes, P.P. and </w:t>
      </w:r>
      <w:proofErr w:type="spellStart"/>
      <w:r w:rsidRPr="00505444">
        <w:rPr>
          <w:rFonts w:ascii="Times New Roman" w:hAnsi="Times New Roman" w:cs="Times New Roman"/>
        </w:rPr>
        <w:t>Linnemer</w:t>
      </w:r>
      <w:proofErr w:type="spellEnd"/>
      <w:r w:rsidRPr="00505444">
        <w:rPr>
          <w:rFonts w:ascii="Times New Roman" w:hAnsi="Times New Roman" w:cs="Times New Roman"/>
        </w:rPr>
        <w:t xml:space="preserve">, L. (2010) ‘Inferring Missing Citations: A Quantitative Multi-Criteria Ranking of all Journals in Economics’, </w:t>
      </w:r>
      <w:proofErr w:type="spellStart"/>
      <w:r w:rsidRPr="00505444">
        <w:rPr>
          <w:rFonts w:ascii="Times New Roman" w:hAnsi="Times New Roman" w:cs="Times New Roman"/>
          <w:i/>
        </w:rPr>
        <w:t>Groupement</w:t>
      </w:r>
      <w:proofErr w:type="spellEnd"/>
      <w:r w:rsidRPr="00505444">
        <w:rPr>
          <w:rFonts w:ascii="Times New Roman" w:hAnsi="Times New Roman" w:cs="Times New Roman"/>
          <w:i/>
        </w:rPr>
        <w:t xml:space="preserve"> de </w:t>
      </w:r>
      <w:proofErr w:type="spellStart"/>
      <w:r w:rsidRPr="00505444">
        <w:rPr>
          <w:rFonts w:ascii="Times New Roman" w:hAnsi="Times New Roman" w:cs="Times New Roman"/>
          <w:i/>
        </w:rPr>
        <w:t>Rechereche</w:t>
      </w:r>
      <w:proofErr w:type="spellEnd"/>
      <w:r w:rsidRPr="00505444">
        <w:rPr>
          <w:rFonts w:ascii="Times New Roman" w:hAnsi="Times New Roman" w:cs="Times New Roman"/>
          <w:i/>
        </w:rPr>
        <w:t xml:space="preserve"> </w:t>
      </w:r>
      <w:proofErr w:type="spellStart"/>
      <w:r w:rsidRPr="00505444">
        <w:rPr>
          <w:rFonts w:ascii="Times New Roman" w:hAnsi="Times New Roman" w:cs="Times New Roman"/>
          <w:i/>
        </w:rPr>
        <w:t>en</w:t>
      </w:r>
      <w:proofErr w:type="spellEnd"/>
      <w:r w:rsidRPr="00505444">
        <w:rPr>
          <w:rFonts w:ascii="Times New Roman" w:hAnsi="Times New Roman" w:cs="Times New Roman"/>
          <w:i/>
        </w:rPr>
        <w:t xml:space="preserve"> </w:t>
      </w:r>
      <w:proofErr w:type="spellStart"/>
      <w:r w:rsidRPr="00505444">
        <w:rPr>
          <w:rFonts w:ascii="Times New Roman" w:hAnsi="Times New Roman" w:cs="Times New Roman"/>
          <w:i/>
        </w:rPr>
        <w:t>Economie</w:t>
      </w:r>
      <w:proofErr w:type="spellEnd"/>
      <w:r w:rsidRPr="00505444">
        <w:rPr>
          <w:rFonts w:ascii="Times New Roman" w:hAnsi="Times New Roman" w:cs="Times New Roman"/>
          <w:i/>
        </w:rPr>
        <w:t xml:space="preserve"> Quantitative </w:t>
      </w:r>
      <w:proofErr w:type="spellStart"/>
      <w:r w:rsidRPr="00505444">
        <w:rPr>
          <w:rFonts w:ascii="Times New Roman" w:hAnsi="Times New Roman" w:cs="Times New Roman"/>
          <w:i/>
        </w:rPr>
        <w:t>d’Aix</w:t>
      </w:r>
      <w:proofErr w:type="spellEnd"/>
      <w:r w:rsidRPr="00505444">
        <w:rPr>
          <w:rFonts w:ascii="Times New Roman" w:hAnsi="Times New Roman" w:cs="Times New Roman"/>
          <w:i/>
        </w:rPr>
        <w:t xml:space="preserve"> Marseille (GREQAM)</w:t>
      </w:r>
      <w:r w:rsidRPr="00505444">
        <w:rPr>
          <w:rFonts w:ascii="Times New Roman" w:hAnsi="Times New Roman" w:cs="Times New Roman"/>
        </w:rPr>
        <w:t>, Document de Travail, no 2010-28.</w:t>
      </w:r>
    </w:p>
    <w:p w14:paraId="292B6E80" w14:textId="77777777" w:rsidR="00035AB2" w:rsidRPr="00505444" w:rsidRDefault="00035AB2" w:rsidP="002C0BD3">
      <w:pPr>
        <w:spacing w:after="100" w:line="240" w:lineRule="auto"/>
        <w:ind w:left="425" w:hanging="425"/>
        <w:jc w:val="both"/>
        <w:rPr>
          <w:rFonts w:ascii="Times New Roman" w:hAnsi="Times New Roman" w:cs="Times New Roman"/>
        </w:rPr>
      </w:pPr>
      <w:proofErr w:type="gramStart"/>
      <w:r w:rsidRPr="00505444">
        <w:rPr>
          <w:rFonts w:ascii="Times New Roman" w:hAnsi="Times New Roman" w:cs="Times New Roman"/>
        </w:rPr>
        <w:lastRenderedPageBreak/>
        <w:t xml:space="preserve">Garfield, E. (1972) ‘Citation Analysis as a Tool in Journal Evaluation’, </w:t>
      </w:r>
      <w:r w:rsidRPr="00505444">
        <w:rPr>
          <w:rFonts w:ascii="Times New Roman" w:hAnsi="Times New Roman" w:cs="Times New Roman"/>
          <w:i/>
        </w:rPr>
        <w:t>Science</w:t>
      </w:r>
      <w:r w:rsidRPr="00505444">
        <w:rPr>
          <w:rFonts w:ascii="Times New Roman" w:hAnsi="Times New Roman" w:cs="Times New Roman"/>
        </w:rPr>
        <w:t xml:space="preserve"> 178/4060: 471-</w:t>
      </w:r>
      <w:r w:rsidR="00EB126C" w:rsidRPr="00505444">
        <w:rPr>
          <w:rFonts w:ascii="Times New Roman" w:hAnsi="Times New Roman" w:cs="Times New Roman"/>
        </w:rPr>
        <w:t>47</w:t>
      </w:r>
      <w:r w:rsidRPr="00505444">
        <w:rPr>
          <w:rFonts w:ascii="Times New Roman" w:hAnsi="Times New Roman" w:cs="Times New Roman"/>
        </w:rPr>
        <w:t>9.</w:t>
      </w:r>
      <w:proofErr w:type="gramEnd"/>
    </w:p>
    <w:p w14:paraId="292B6E81" w14:textId="77777777" w:rsidR="00035AB2" w:rsidRPr="00505444" w:rsidRDefault="00035AB2" w:rsidP="002C0BD3">
      <w:pPr>
        <w:spacing w:after="100" w:line="240" w:lineRule="auto"/>
        <w:ind w:left="425" w:hanging="425"/>
        <w:jc w:val="both"/>
        <w:rPr>
          <w:rFonts w:ascii="Times New Roman" w:hAnsi="Times New Roman" w:cs="Times New Roman"/>
        </w:rPr>
      </w:pPr>
      <w:r w:rsidRPr="00505444">
        <w:rPr>
          <w:rFonts w:ascii="Times New Roman" w:hAnsi="Times New Roman" w:cs="Times New Roman"/>
        </w:rPr>
        <w:t xml:space="preserve">Gibson, J. (2000) ‘Research Productivity in New Zealand University Economics Departments: Comment and Update’, </w:t>
      </w:r>
      <w:r w:rsidRPr="00505444">
        <w:rPr>
          <w:rFonts w:ascii="Times New Roman" w:hAnsi="Times New Roman" w:cs="Times New Roman"/>
          <w:i/>
        </w:rPr>
        <w:t>New Zealand Economic Papers</w:t>
      </w:r>
      <w:r w:rsidRPr="00505444">
        <w:rPr>
          <w:rFonts w:ascii="Times New Roman" w:hAnsi="Times New Roman" w:cs="Times New Roman"/>
        </w:rPr>
        <w:t>, 34/1:73-88.</w:t>
      </w:r>
    </w:p>
    <w:p w14:paraId="292B6E82" w14:textId="77777777" w:rsidR="003D2D0D" w:rsidRPr="00505444" w:rsidRDefault="003D2D0D" w:rsidP="002C0BD3">
      <w:pPr>
        <w:spacing w:after="100" w:line="240" w:lineRule="auto"/>
        <w:ind w:left="425" w:hanging="425"/>
        <w:jc w:val="both"/>
        <w:rPr>
          <w:rFonts w:ascii="Times New Roman" w:hAnsi="Times New Roman" w:cs="Times New Roman"/>
        </w:rPr>
      </w:pPr>
      <w:proofErr w:type="gramStart"/>
      <w:r w:rsidRPr="00505444">
        <w:rPr>
          <w:rFonts w:ascii="Times New Roman" w:hAnsi="Times New Roman" w:cs="Times New Roman"/>
        </w:rPr>
        <w:t xml:space="preserve">Hirsch, J. (2005) ‘An Index to Quantify an Individual’s Scientific Research Output’, </w:t>
      </w:r>
      <w:r w:rsidRPr="00505444">
        <w:rPr>
          <w:rFonts w:ascii="Times New Roman" w:hAnsi="Times New Roman" w:cs="Times New Roman"/>
          <w:i/>
        </w:rPr>
        <w:t xml:space="preserve">Proceedings of the National Academy of Sciences, </w:t>
      </w:r>
      <w:r w:rsidRPr="00505444">
        <w:rPr>
          <w:rFonts w:ascii="Times New Roman" w:hAnsi="Times New Roman" w:cs="Times New Roman"/>
        </w:rPr>
        <w:t>102/45: 16569-</w:t>
      </w:r>
      <w:r w:rsidR="00EB126C" w:rsidRPr="00505444">
        <w:rPr>
          <w:rFonts w:ascii="Times New Roman" w:hAnsi="Times New Roman" w:cs="Times New Roman"/>
        </w:rPr>
        <w:t>165</w:t>
      </w:r>
      <w:r w:rsidRPr="00505444">
        <w:rPr>
          <w:rFonts w:ascii="Times New Roman" w:hAnsi="Times New Roman" w:cs="Times New Roman"/>
        </w:rPr>
        <w:t>72.</w:t>
      </w:r>
      <w:proofErr w:type="gramEnd"/>
    </w:p>
    <w:p w14:paraId="292B6E83" w14:textId="77777777" w:rsidR="006C23DF" w:rsidRPr="00505444" w:rsidRDefault="006C23DF" w:rsidP="002C0BD3">
      <w:pPr>
        <w:spacing w:after="100" w:line="240" w:lineRule="auto"/>
        <w:ind w:left="425" w:hanging="425"/>
        <w:jc w:val="both"/>
        <w:rPr>
          <w:rFonts w:ascii="Times New Roman" w:hAnsi="Times New Roman" w:cs="Times New Roman"/>
        </w:rPr>
      </w:pPr>
      <w:r w:rsidRPr="00505444">
        <w:rPr>
          <w:rFonts w:ascii="Times New Roman" w:hAnsi="Times New Roman" w:cs="Times New Roman"/>
        </w:rPr>
        <w:t xml:space="preserve">Hodder, A.P.W. and Hodder, C. (2010) ‘Research Culture and New Zealand’s Performance-Based Research Fund: Some Insights from Bibliographic Compilations of Research Outputs’, </w:t>
      </w:r>
      <w:proofErr w:type="spellStart"/>
      <w:r w:rsidRPr="00505444">
        <w:rPr>
          <w:rFonts w:ascii="Times New Roman" w:hAnsi="Times New Roman" w:cs="Times New Roman"/>
          <w:i/>
        </w:rPr>
        <w:t>Scientometrics</w:t>
      </w:r>
      <w:proofErr w:type="spellEnd"/>
      <w:r w:rsidRPr="00505444">
        <w:rPr>
          <w:rFonts w:ascii="Times New Roman" w:hAnsi="Times New Roman" w:cs="Times New Roman"/>
        </w:rPr>
        <w:t>, 84: 887-901.</w:t>
      </w:r>
    </w:p>
    <w:p w14:paraId="292B6E84" w14:textId="77777777" w:rsidR="001978A7" w:rsidRPr="00505444" w:rsidRDefault="001978A7" w:rsidP="002C0BD3">
      <w:pPr>
        <w:spacing w:after="100" w:line="240" w:lineRule="auto"/>
        <w:ind w:left="425" w:hanging="425"/>
        <w:jc w:val="both"/>
        <w:rPr>
          <w:rFonts w:ascii="Times New Roman" w:hAnsi="Times New Roman" w:cs="Times New Roman"/>
        </w:rPr>
      </w:pPr>
      <w:proofErr w:type="spellStart"/>
      <w:r w:rsidRPr="00505444">
        <w:rPr>
          <w:rFonts w:ascii="Times New Roman" w:hAnsi="Times New Roman" w:cs="Times New Roman"/>
        </w:rPr>
        <w:t>Kalaitzidakis</w:t>
      </w:r>
      <w:proofErr w:type="spellEnd"/>
      <w:r w:rsidRPr="00505444">
        <w:rPr>
          <w:rFonts w:ascii="Times New Roman" w:hAnsi="Times New Roman" w:cs="Times New Roman"/>
        </w:rPr>
        <w:t xml:space="preserve">, P., </w:t>
      </w:r>
      <w:proofErr w:type="spellStart"/>
      <w:r w:rsidRPr="00505444">
        <w:rPr>
          <w:rFonts w:ascii="Times New Roman" w:hAnsi="Times New Roman" w:cs="Times New Roman"/>
        </w:rPr>
        <w:t>Mamuneas</w:t>
      </w:r>
      <w:proofErr w:type="spellEnd"/>
      <w:r w:rsidRPr="00505444">
        <w:rPr>
          <w:rFonts w:ascii="Times New Roman" w:hAnsi="Times New Roman" w:cs="Times New Roman"/>
        </w:rPr>
        <w:t xml:space="preserve">, T. and </w:t>
      </w:r>
      <w:proofErr w:type="spellStart"/>
      <w:r w:rsidRPr="00505444">
        <w:rPr>
          <w:rFonts w:ascii="Times New Roman" w:hAnsi="Times New Roman" w:cs="Times New Roman"/>
        </w:rPr>
        <w:t>Stengos</w:t>
      </w:r>
      <w:proofErr w:type="spellEnd"/>
      <w:r w:rsidRPr="00505444">
        <w:rPr>
          <w:rFonts w:ascii="Times New Roman" w:hAnsi="Times New Roman" w:cs="Times New Roman"/>
        </w:rPr>
        <w:t xml:space="preserve">, T. (2003) ‘Rankings of Academic Journals and Institutions in Economics’, </w:t>
      </w:r>
      <w:r w:rsidRPr="00505444">
        <w:rPr>
          <w:rFonts w:ascii="Times New Roman" w:hAnsi="Times New Roman" w:cs="Times New Roman"/>
          <w:i/>
        </w:rPr>
        <w:t>Journal of the European Economic Association</w:t>
      </w:r>
      <w:r w:rsidRPr="00505444">
        <w:rPr>
          <w:rFonts w:ascii="Times New Roman" w:hAnsi="Times New Roman" w:cs="Times New Roman"/>
        </w:rPr>
        <w:t>, 1/6: 1346-1366.</w:t>
      </w:r>
    </w:p>
    <w:p w14:paraId="292B6E85" w14:textId="77777777" w:rsidR="00035AB2" w:rsidRPr="00505444" w:rsidRDefault="00A57B4E" w:rsidP="002C0BD3">
      <w:pPr>
        <w:spacing w:after="100" w:line="240" w:lineRule="auto"/>
        <w:ind w:left="425" w:hanging="425"/>
        <w:jc w:val="both"/>
        <w:rPr>
          <w:rFonts w:ascii="Times New Roman" w:hAnsi="Times New Roman" w:cs="Times New Roman"/>
        </w:rPr>
      </w:pPr>
      <w:proofErr w:type="spellStart"/>
      <w:proofErr w:type="gramStart"/>
      <w:r w:rsidRPr="00505444">
        <w:rPr>
          <w:rFonts w:ascii="Times New Roman" w:hAnsi="Times New Roman" w:cs="Times New Roman"/>
        </w:rPr>
        <w:t>Kalaitzidakis</w:t>
      </w:r>
      <w:proofErr w:type="spellEnd"/>
      <w:r w:rsidRPr="00505444">
        <w:rPr>
          <w:rFonts w:ascii="Times New Roman" w:hAnsi="Times New Roman" w:cs="Times New Roman"/>
        </w:rPr>
        <w:t xml:space="preserve">, P., </w:t>
      </w:r>
      <w:proofErr w:type="spellStart"/>
      <w:r w:rsidRPr="00505444">
        <w:rPr>
          <w:rFonts w:ascii="Times New Roman" w:hAnsi="Times New Roman" w:cs="Times New Roman"/>
        </w:rPr>
        <w:t>Mamuneas</w:t>
      </w:r>
      <w:proofErr w:type="spellEnd"/>
      <w:r w:rsidRPr="00505444">
        <w:rPr>
          <w:rFonts w:ascii="Times New Roman" w:hAnsi="Times New Roman" w:cs="Times New Roman"/>
        </w:rPr>
        <w:t xml:space="preserve">, T. and </w:t>
      </w:r>
      <w:proofErr w:type="spellStart"/>
      <w:r w:rsidRPr="00505444">
        <w:rPr>
          <w:rFonts w:ascii="Times New Roman" w:hAnsi="Times New Roman" w:cs="Times New Roman"/>
        </w:rPr>
        <w:t>Stengos</w:t>
      </w:r>
      <w:proofErr w:type="spellEnd"/>
      <w:r w:rsidRPr="00505444">
        <w:rPr>
          <w:rFonts w:ascii="Times New Roman" w:hAnsi="Times New Roman" w:cs="Times New Roman"/>
        </w:rPr>
        <w:t xml:space="preserve">, T. (2011) ‘An Updated Ranking of Academic Journals in Economics’, </w:t>
      </w:r>
      <w:r w:rsidRPr="00505444">
        <w:rPr>
          <w:rFonts w:ascii="Times New Roman" w:hAnsi="Times New Roman" w:cs="Times New Roman"/>
          <w:i/>
        </w:rPr>
        <w:t>Canadian Journal of Economics</w:t>
      </w:r>
      <w:r w:rsidRPr="00505444">
        <w:rPr>
          <w:rFonts w:ascii="Times New Roman" w:hAnsi="Times New Roman" w:cs="Times New Roman"/>
        </w:rPr>
        <w:t>, 44/4: 1525-</w:t>
      </w:r>
      <w:r w:rsidR="00EB126C" w:rsidRPr="00505444">
        <w:rPr>
          <w:rFonts w:ascii="Times New Roman" w:hAnsi="Times New Roman" w:cs="Times New Roman"/>
        </w:rPr>
        <w:t>15</w:t>
      </w:r>
      <w:r w:rsidRPr="00505444">
        <w:rPr>
          <w:rFonts w:ascii="Times New Roman" w:hAnsi="Times New Roman" w:cs="Times New Roman"/>
        </w:rPr>
        <w:t>38.</w:t>
      </w:r>
      <w:proofErr w:type="gramEnd"/>
    </w:p>
    <w:p w14:paraId="292B6E86" w14:textId="77777777" w:rsidR="00F45B03" w:rsidRPr="00505444" w:rsidRDefault="00F45B03" w:rsidP="002C0BD3">
      <w:pPr>
        <w:spacing w:after="100" w:line="240" w:lineRule="auto"/>
        <w:ind w:left="425" w:hanging="425"/>
        <w:jc w:val="both"/>
        <w:rPr>
          <w:rFonts w:ascii="Times New Roman" w:hAnsi="Times New Roman" w:cs="Times New Roman"/>
        </w:rPr>
      </w:pPr>
      <w:r w:rsidRPr="00505444">
        <w:rPr>
          <w:rFonts w:ascii="Times New Roman" w:hAnsi="Times New Roman" w:cs="Times New Roman"/>
        </w:rPr>
        <w:t xml:space="preserve">Kim, J-Y, Min, I. and Zimmermann, C. (2011) ‘The Economics of Citation’, </w:t>
      </w:r>
      <w:r w:rsidRPr="00505444">
        <w:rPr>
          <w:rFonts w:ascii="Times New Roman" w:hAnsi="Times New Roman" w:cs="Times New Roman"/>
          <w:i/>
        </w:rPr>
        <w:t>Korean Economic Review,</w:t>
      </w:r>
      <w:r w:rsidRPr="00505444">
        <w:rPr>
          <w:rFonts w:ascii="Times New Roman" w:hAnsi="Times New Roman" w:cs="Times New Roman"/>
        </w:rPr>
        <w:t xml:space="preserve"> 27/1: 93-114.</w:t>
      </w:r>
    </w:p>
    <w:p w14:paraId="292B6E87" w14:textId="77777777" w:rsidR="001978A7" w:rsidRPr="00505444" w:rsidRDefault="001978A7" w:rsidP="002C0BD3">
      <w:pPr>
        <w:spacing w:after="100" w:line="240" w:lineRule="auto"/>
        <w:ind w:left="425" w:hanging="425"/>
        <w:jc w:val="both"/>
        <w:rPr>
          <w:rFonts w:ascii="Times New Roman" w:hAnsi="Times New Roman" w:cs="Times New Roman"/>
        </w:rPr>
      </w:pPr>
      <w:proofErr w:type="spellStart"/>
      <w:r w:rsidRPr="00505444">
        <w:rPr>
          <w:rFonts w:ascii="Times New Roman" w:hAnsi="Times New Roman" w:cs="Times New Roman"/>
        </w:rPr>
        <w:t>Laband</w:t>
      </w:r>
      <w:proofErr w:type="spellEnd"/>
      <w:r w:rsidRPr="00505444">
        <w:rPr>
          <w:rFonts w:ascii="Times New Roman" w:hAnsi="Times New Roman" w:cs="Times New Roman"/>
        </w:rPr>
        <w:t xml:space="preserve">, D. (2013) ‘On the Use and Abuse of Economics Journal Rankings’, </w:t>
      </w:r>
      <w:r w:rsidRPr="00505444">
        <w:rPr>
          <w:rFonts w:ascii="Times New Roman" w:hAnsi="Times New Roman" w:cs="Times New Roman"/>
          <w:i/>
        </w:rPr>
        <w:t>Economic Journal</w:t>
      </w:r>
      <w:r w:rsidRPr="00505444">
        <w:rPr>
          <w:rFonts w:ascii="Times New Roman" w:hAnsi="Times New Roman" w:cs="Times New Roman"/>
        </w:rPr>
        <w:t>, 123/570: F223-F254.</w:t>
      </w:r>
    </w:p>
    <w:p w14:paraId="292B6E88" w14:textId="77777777" w:rsidR="00A57B4E" w:rsidRPr="00505444" w:rsidRDefault="00A57B4E" w:rsidP="002C0BD3">
      <w:pPr>
        <w:spacing w:after="100" w:line="240" w:lineRule="auto"/>
        <w:ind w:left="425" w:hanging="425"/>
        <w:jc w:val="both"/>
        <w:rPr>
          <w:rFonts w:ascii="Times New Roman" w:hAnsi="Times New Roman" w:cs="Times New Roman"/>
        </w:rPr>
      </w:pPr>
      <w:proofErr w:type="spellStart"/>
      <w:r w:rsidRPr="00505444">
        <w:rPr>
          <w:rFonts w:ascii="Times New Roman" w:hAnsi="Times New Roman" w:cs="Times New Roman"/>
        </w:rPr>
        <w:t>Liebowitz</w:t>
      </w:r>
      <w:proofErr w:type="spellEnd"/>
      <w:r w:rsidRPr="00505444">
        <w:rPr>
          <w:rFonts w:ascii="Times New Roman" w:hAnsi="Times New Roman" w:cs="Times New Roman"/>
        </w:rPr>
        <w:t xml:space="preserve">, S.J. and Palmer, J.P. (1984) ‘Assessing the Relative Impact of Economics Journals’, </w:t>
      </w:r>
      <w:r w:rsidRPr="00505444">
        <w:rPr>
          <w:rFonts w:ascii="Times New Roman" w:hAnsi="Times New Roman" w:cs="Times New Roman"/>
          <w:i/>
        </w:rPr>
        <w:t>Journal of Economic Literature</w:t>
      </w:r>
      <w:r w:rsidRPr="00505444">
        <w:rPr>
          <w:rFonts w:ascii="Times New Roman" w:hAnsi="Times New Roman" w:cs="Times New Roman"/>
        </w:rPr>
        <w:t>, 22/1: 77-88.</w:t>
      </w:r>
    </w:p>
    <w:p w14:paraId="292B6E89" w14:textId="77777777" w:rsidR="00D35321" w:rsidRPr="00505444" w:rsidRDefault="00D35321" w:rsidP="002C0BD3">
      <w:pPr>
        <w:spacing w:after="100" w:line="240" w:lineRule="auto"/>
        <w:ind w:left="425" w:hanging="425"/>
        <w:jc w:val="both"/>
        <w:rPr>
          <w:rFonts w:ascii="Times New Roman" w:hAnsi="Times New Roman" w:cs="Times New Roman"/>
        </w:rPr>
      </w:pPr>
      <w:proofErr w:type="spellStart"/>
      <w:r w:rsidRPr="00505444">
        <w:rPr>
          <w:rFonts w:ascii="Times New Roman" w:hAnsi="Times New Roman" w:cs="Times New Roman"/>
        </w:rPr>
        <w:t>Liebowitz</w:t>
      </w:r>
      <w:proofErr w:type="spellEnd"/>
      <w:r w:rsidRPr="00505444">
        <w:rPr>
          <w:rFonts w:ascii="Times New Roman" w:hAnsi="Times New Roman" w:cs="Times New Roman"/>
        </w:rPr>
        <w:t xml:space="preserve">, S. (2014) ‘Willful Blindness: The Inefficient Reward Structure in Academic Research’, </w:t>
      </w:r>
      <w:r w:rsidRPr="00505444">
        <w:rPr>
          <w:rFonts w:ascii="Times New Roman" w:hAnsi="Times New Roman" w:cs="Times New Roman"/>
          <w:i/>
        </w:rPr>
        <w:t>Economic Inquiry,</w:t>
      </w:r>
      <w:r w:rsidRPr="00505444">
        <w:rPr>
          <w:rFonts w:ascii="Times New Roman" w:hAnsi="Times New Roman" w:cs="Times New Roman"/>
        </w:rPr>
        <w:t xml:space="preserve"> 52/4: 1267-1283.</w:t>
      </w:r>
    </w:p>
    <w:p w14:paraId="292B6E8A" w14:textId="77777777" w:rsidR="00A57B4E" w:rsidRPr="00505444" w:rsidRDefault="00A57B4E" w:rsidP="002C0BD3">
      <w:pPr>
        <w:spacing w:after="100" w:line="240" w:lineRule="auto"/>
        <w:ind w:left="425" w:hanging="425"/>
        <w:jc w:val="both"/>
        <w:rPr>
          <w:rFonts w:ascii="Times New Roman" w:hAnsi="Times New Roman" w:cs="Times New Roman"/>
        </w:rPr>
      </w:pPr>
      <w:proofErr w:type="spellStart"/>
      <w:r w:rsidRPr="00505444">
        <w:rPr>
          <w:rFonts w:ascii="Times New Roman" w:hAnsi="Times New Roman" w:cs="Times New Roman"/>
        </w:rPr>
        <w:t>Macri</w:t>
      </w:r>
      <w:proofErr w:type="spellEnd"/>
      <w:r w:rsidRPr="00505444">
        <w:rPr>
          <w:rFonts w:ascii="Times New Roman" w:hAnsi="Times New Roman" w:cs="Times New Roman"/>
        </w:rPr>
        <w:t xml:space="preserve">, J. and Sinha, D. (2006) ‘Rankings Methodology for International Comparisons of Institutions and Individuals: An Application to Economics in Australia and New Zealand’, </w:t>
      </w:r>
      <w:r w:rsidRPr="00505444">
        <w:rPr>
          <w:rFonts w:ascii="Times New Roman" w:hAnsi="Times New Roman" w:cs="Times New Roman"/>
          <w:i/>
        </w:rPr>
        <w:t>Journal of Economics Surveys</w:t>
      </w:r>
      <w:r w:rsidRPr="00505444">
        <w:rPr>
          <w:rFonts w:ascii="Times New Roman" w:hAnsi="Times New Roman" w:cs="Times New Roman"/>
        </w:rPr>
        <w:t>, 20/1: 111-</w:t>
      </w:r>
      <w:r w:rsidR="00EB126C" w:rsidRPr="00505444">
        <w:rPr>
          <w:rFonts w:ascii="Times New Roman" w:hAnsi="Times New Roman" w:cs="Times New Roman"/>
        </w:rPr>
        <w:t>1</w:t>
      </w:r>
      <w:r w:rsidRPr="00505444">
        <w:rPr>
          <w:rFonts w:ascii="Times New Roman" w:hAnsi="Times New Roman" w:cs="Times New Roman"/>
        </w:rPr>
        <w:t>56.</w:t>
      </w:r>
    </w:p>
    <w:p w14:paraId="292B6E8B" w14:textId="229BEEDA" w:rsidR="00A57B4E" w:rsidRPr="00505444" w:rsidRDefault="00E2566F" w:rsidP="002C0BD3">
      <w:pPr>
        <w:spacing w:after="100" w:line="240" w:lineRule="auto"/>
        <w:ind w:left="425" w:hanging="425"/>
        <w:jc w:val="both"/>
        <w:rPr>
          <w:rFonts w:ascii="Times New Roman" w:hAnsi="Times New Roman" w:cs="Times New Roman"/>
        </w:rPr>
      </w:pPr>
      <w:proofErr w:type="gramStart"/>
      <w:r w:rsidRPr="00505444">
        <w:rPr>
          <w:rFonts w:ascii="Times New Roman" w:hAnsi="Times New Roman" w:cs="Times New Roman"/>
        </w:rPr>
        <w:t>OECD.</w:t>
      </w:r>
      <w:proofErr w:type="gramEnd"/>
      <w:r w:rsidRPr="00505444">
        <w:rPr>
          <w:rFonts w:ascii="Times New Roman" w:hAnsi="Times New Roman" w:cs="Times New Roman"/>
        </w:rPr>
        <w:t xml:space="preserve"> </w:t>
      </w:r>
      <w:proofErr w:type="gramStart"/>
      <w:r w:rsidRPr="00505444">
        <w:rPr>
          <w:rFonts w:ascii="Times New Roman" w:hAnsi="Times New Roman" w:cs="Times New Roman"/>
        </w:rPr>
        <w:t>(2010) Performance-based Funding for Public Research in Tertiary Education Institutions.</w:t>
      </w:r>
      <w:proofErr w:type="gramEnd"/>
      <w:r w:rsidRPr="00505444">
        <w:rPr>
          <w:rFonts w:ascii="Times New Roman" w:hAnsi="Times New Roman" w:cs="Times New Roman"/>
        </w:rPr>
        <w:t xml:space="preserve">  </w:t>
      </w:r>
      <w:proofErr w:type="gramStart"/>
      <w:r w:rsidRPr="00505444">
        <w:rPr>
          <w:rFonts w:ascii="Times New Roman" w:hAnsi="Times New Roman" w:cs="Times New Roman"/>
        </w:rPr>
        <w:t>Workshop Proceedings.</w:t>
      </w:r>
      <w:proofErr w:type="gramEnd"/>
      <w:r w:rsidRPr="00505444">
        <w:rPr>
          <w:rFonts w:ascii="Times New Roman" w:hAnsi="Times New Roman" w:cs="Times New Roman"/>
        </w:rPr>
        <w:t xml:space="preserve"> OECD Published, </w:t>
      </w:r>
      <w:bookmarkStart w:id="0" w:name="_GoBack"/>
      <w:bookmarkEnd w:id="0"/>
      <w:r w:rsidRPr="00922F54">
        <w:rPr>
          <w:rFonts w:ascii="Times New Roman" w:hAnsi="Times New Roman" w:cs="Times New Roman"/>
        </w:rPr>
        <w:t>http://dx.doi.org/10.1787/9789264094611-en</w:t>
      </w:r>
      <w:r w:rsidRPr="00505444">
        <w:rPr>
          <w:rFonts w:ascii="Times New Roman" w:hAnsi="Times New Roman" w:cs="Times New Roman"/>
        </w:rPr>
        <w:t>.</w:t>
      </w:r>
    </w:p>
    <w:p w14:paraId="292B6E8C" w14:textId="77777777" w:rsidR="00864617" w:rsidRPr="00505444" w:rsidRDefault="00864617" w:rsidP="002C0BD3">
      <w:pPr>
        <w:spacing w:after="100" w:line="240" w:lineRule="auto"/>
        <w:ind w:left="425" w:hanging="425"/>
        <w:jc w:val="both"/>
        <w:rPr>
          <w:rFonts w:ascii="Times New Roman" w:hAnsi="Times New Roman" w:cs="Times New Roman"/>
        </w:rPr>
      </w:pPr>
      <w:r w:rsidRPr="00505444">
        <w:rPr>
          <w:rFonts w:ascii="Times New Roman" w:hAnsi="Times New Roman" w:cs="Times New Roman"/>
        </w:rPr>
        <w:t>Oswald, A.</w:t>
      </w:r>
      <w:r w:rsidR="00422E41" w:rsidRPr="00505444">
        <w:rPr>
          <w:rFonts w:ascii="Times New Roman" w:hAnsi="Times New Roman" w:cs="Times New Roman"/>
        </w:rPr>
        <w:t xml:space="preserve">J. </w:t>
      </w:r>
      <w:r w:rsidRPr="00505444">
        <w:rPr>
          <w:rFonts w:ascii="Times New Roman" w:hAnsi="Times New Roman" w:cs="Times New Roman"/>
        </w:rPr>
        <w:t>(2007) ‘</w:t>
      </w:r>
      <w:proofErr w:type="gramStart"/>
      <w:r w:rsidRPr="00505444">
        <w:rPr>
          <w:rFonts w:ascii="Times New Roman" w:hAnsi="Times New Roman" w:cs="Times New Roman"/>
        </w:rPr>
        <w:t>An</w:t>
      </w:r>
      <w:proofErr w:type="gramEnd"/>
      <w:r w:rsidRPr="00505444">
        <w:rPr>
          <w:rFonts w:ascii="Times New Roman" w:hAnsi="Times New Roman" w:cs="Times New Roman"/>
        </w:rPr>
        <w:t xml:space="preserve"> Examination of the Reliability of Prestigious Scholarly Journals: Evidence and Implications for Decision-Makers’, </w:t>
      </w:r>
      <w:r w:rsidRPr="00505444">
        <w:rPr>
          <w:rFonts w:ascii="Times New Roman" w:hAnsi="Times New Roman" w:cs="Times New Roman"/>
          <w:i/>
        </w:rPr>
        <w:t>Economica</w:t>
      </w:r>
      <w:r w:rsidRPr="00505444">
        <w:rPr>
          <w:rFonts w:ascii="Times New Roman" w:hAnsi="Times New Roman" w:cs="Times New Roman"/>
        </w:rPr>
        <w:t xml:space="preserve">, 74/296: 21-31. </w:t>
      </w:r>
    </w:p>
    <w:p w14:paraId="292B6E8D" w14:textId="77777777" w:rsidR="004E30FB" w:rsidRPr="00505444" w:rsidRDefault="004E30FB" w:rsidP="002C0BD3">
      <w:pPr>
        <w:spacing w:after="100" w:line="240" w:lineRule="auto"/>
        <w:ind w:left="425" w:hanging="425"/>
        <w:jc w:val="both"/>
        <w:rPr>
          <w:rFonts w:ascii="Times New Roman" w:hAnsi="Times New Roman" w:cs="Times New Roman"/>
        </w:rPr>
      </w:pPr>
      <w:r w:rsidRPr="00505444">
        <w:rPr>
          <w:rFonts w:ascii="Times New Roman" w:hAnsi="Times New Roman" w:cs="Times New Roman"/>
        </w:rPr>
        <w:t xml:space="preserve">Seiler, C.S. and </w:t>
      </w:r>
      <w:proofErr w:type="spellStart"/>
      <w:r w:rsidRPr="00505444">
        <w:rPr>
          <w:rFonts w:ascii="Times New Roman" w:hAnsi="Times New Roman" w:cs="Times New Roman"/>
        </w:rPr>
        <w:t>Wohlrabe</w:t>
      </w:r>
      <w:proofErr w:type="spellEnd"/>
      <w:r w:rsidRPr="00505444">
        <w:rPr>
          <w:rFonts w:ascii="Times New Roman" w:hAnsi="Times New Roman" w:cs="Times New Roman"/>
        </w:rPr>
        <w:t xml:space="preserve">, K.W. (2012) ‘Ranking Economists on the basis of many indicators: An Alternative Approach Using RePEc Data’, </w:t>
      </w:r>
      <w:r w:rsidRPr="00505444">
        <w:rPr>
          <w:rFonts w:ascii="Times New Roman" w:hAnsi="Times New Roman" w:cs="Times New Roman"/>
          <w:i/>
        </w:rPr>
        <w:t xml:space="preserve">Journal of </w:t>
      </w:r>
      <w:proofErr w:type="spellStart"/>
      <w:r w:rsidRPr="00505444">
        <w:rPr>
          <w:rFonts w:ascii="Times New Roman" w:hAnsi="Times New Roman" w:cs="Times New Roman"/>
          <w:i/>
        </w:rPr>
        <w:t>Informetrics</w:t>
      </w:r>
      <w:proofErr w:type="spellEnd"/>
      <w:r w:rsidRPr="00505444">
        <w:rPr>
          <w:rFonts w:ascii="Times New Roman" w:hAnsi="Times New Roman" w:cs="Times New Roman"/>
        </w:rPr>
        <w:t>, 6/3: 389-402.</w:t>
      </w:r>
    </w:p>
    <w:p w14:paraId="292B6E8E" w14:textId="77777777" w:rsidR="0055672E" w:rsidRPr="00505444" w:rsidRDefault="0055672E" w:rsidP="002C0BD3">
      <w:pPr>
        <w:spacing w:after="100" w:line="240" w:lineRule="auto"/>
        <w:ind w:left="425" w:hanging="425"/>
        <w:jc w:val="both"/>
        <w:rPr>
          <w:rFonts w:ascii="Times New Roman" w:hAnsi="Times New Roman" w:cs="Times New Roman"/>
        </w:rPr>
      </w:pPr>
      <w:proofErr w:type="spellStart"/>
      <w:proofErr w:type="gramStart"/>
      <w:r w:rsidRPr="00505444">
        <w:rPr>
          <w:rFonts w:ascii="Times New Roman" w:hAnsi="Times New Roman" w:cs="Times New Roman"/>
        </w:rPr>
        <w:t>Sgroi</w:t>
      </w:r>
      <w:proofErr w:type="spellEnd"/>
      <w:r w:rsidRPr="00505444">
        <w:rPr>
          <w:rFonts w:ascii="Times New Roman" w:hAnsi="Times New Roman" w:cs="Times New Roman"/>
        </w:rPr>
        <w:t>, D. and Oswald, A.J. (2013) ‘How Should Peer-Review Panels Behave?’</w:t>
      </w:r>
      <w:proofErr w:type="gramEnd"/>
      <w:r w:rsidRPr="00505444">
        <w:rPr>
          <w:rFonts w:ascii="Times New Roman" w:hAnsi="Times New Roman" w:cs="Times New Roman"/>
        </w:rPr>
        <w:t xml:space="preserve"> </w:t>
      </w:r>
      <w:proofErr w:type="gramStart"/>
      <w:r w:rsidRPr="00505444">
        <w:rPr>
          <w:rFonts w:ascii="Times New Roman" w:hAnsi="Times New Roman" w:cs="Times New Roman"/>
          <w:i/>
        </w:rPr>
        <w:t>Economic Journal</w:t>
      </w:r>
      <w:r w:rsidRPr="00505444">
        <w:rPr>
          <w:rFonts w:ascii="Times New Roman" w:hAnsi="Times New Roman" w:cs="Times New Roman"/>
        </w:rPr>
        <w:t>, 123/570: 255-278.</w:t>
      </w:r>
      <w:proofErr w:type="gramEnd"/>
      <w:r w:rsidRPr="00505444">
        <w:rPr>
          <w:rFonts w:ascii="Times New Roman" w:hAnsi="Times New Roman" w:cs="Times New Roman"/>
        </w:rPr>
        <w:t xml:space="preserve"> </w:t>
      </w:r>
    </w:p>
    <w:p w14:paraId="292B6E8F" w14:textId="77777777" w:rsidR="006C23DF" w:rsidRPr="00505444" w:rsidRDefault="006C23DF" w:rsidP="002C0BD3">
      <w:pPr>
        <w:spacing w:after="100" w:line="240" w:lineRule="auto"/>
        <w:ind w:left="425" w:hanging="425"/>
        <w:jc w:val="both"/>
        <w:rPr>
          <w:rFonts w:ascii="Times New Roman" w:hAnsi="Times New Roman" w:cs="Times New Roman"/>
        </w:rPr>
      </w:pPr>
      <w:proofErr w:type="gramStart"/>
      <w:r w:rsidRPr="00505444">
        <w:rPr>
          <w:rFonts w:ascii="Times New Roman" w:hAnsi="Times New Roman" w:cs="Times New Roman"/>
        </w:rPr>
        <w:t xml:space="preserve">Smart, W. (2009) ‘The Impact of the Performance-Based Research Fund on the Research Productivity of New Zealand Universities’, </w:t>
      </w:r>
      <w:r w:rsidRPr="00505444">
        <w:rPr>
          <w:rFonts w:ascii="Times New Roman" w:hAnsi="Times New Roman" w:cs="Times New Roman"/>
          <w:i/>
        </w:rPr>
        <w:t>Social Policy Journal of New Zealand</w:t>
      </w:r>
      <w:r w:rsidRPr="00505444">
        <w:rPr>
          <w:rFonts w:ascii="Times New Roman" w:hAnsi="Times New Roman" w:cs="Times New Roman"/>
        </w:rPr>
        <w:t>, 34: 1-18.</w:t>
      </w:r>
      <w:proofErr w:type="gramEnd"/>
    </w:p>
    <w:p w14:paraId="292B6E90" w14:textId="77777777" w:rsidR="00D90556" w:rsidRPr="00505444" w:rsidRDefault="00D90556" w:rsidP="002C0BD3">
      <w:pPr>
        <w:spacing w:after="100" w:line="240" w:lineRule="auto"/>
        <w:ind w:left="425" w:hanging="425"/>
        <w:jc w:val="both"/>
        <w:rPr>
          <w:rFonts w:ascii="Times New Roman" w:hAnsi="Times New Roman" w:cs="Times New Roman"/>
        </w:rPr>
      </w:pPr>
      <w:r w:rsidRPr="00505444">
        <w:rPr>
          <w:rFonts w:ascii="Times New Roman" w:hAnsi="Times New Roman" w:cs="Times New Roman"/>
        </w:rPr>
        <w:t xml:space="preserve">Stern, D.I. (2014) </w:t>
      </w:r>
      <w:r w:rsidR="00204194" w:rsidRPr="00505444">
        <w:rPr>
          <w:rFonts w:ascii="Times New Roman" w:hAnsi="Times New Roman" w:cs="Times New Roman"/>
        </w:rPr>
        <w:t>‘</w:t>
      </w:r>
      <w:r w:rsidRPr="00505444">
        <w:rPr>
          <w:rFonts w:ascii="Times New Roman" w:hAnsi="Times New Roman" w:cs="Times New Roman"/>
        </w:rPr>
        <w:t>High-Ranked Social Science Journal Articles Can Be Identified from Early Citation Information</w:t>
      </w:r>
      <w:r w:rsidR="00204194" w:rsidRPr="00505444">
        <w:rPr>
          <w:rFonts w:ascii="Times New Roman" w:hAnsi="Times New Roman" w:cs="Times New Roman"/>
        </w:rPr>
        <w:t>’</w:t>
      </w:r>
      <w:r w:rsidRPr="00505444">
        <w:rPr>
          <w:rFonts w:ascii="Times New Roman" w:hAnsi="Times New Roman" w:cs="Times New Roman"/>
        </w:rPr>
        <w:t xml:space="preserve">, </w:t>
      </w:r>
      <w:proofErr w:type="spellStart"/>
      <w:r w:rsidR="00204194" w:rsidRPr="00505444">
        <w:rPr>
          <w:rFonts w:ascii="Times New Roman" w:hAnsi="Times New Roman" w:cs="Times New Roman"/>
          <w:i/>
        </w:rPr>
        <w:t>PLoS</w:t>
      </w:r>
      <w:proofErr w:type="spellEnd"/>
      <w:r w:rsidR="00204194" w:rsidRPr="00505444">
        <w:rPr>
          <w:rFonts w:ascii="Times New Roman" w:hAnsi="Times New Roman" w:cs="Times New Roman"/>
          <w:i/>
        </w:rPr>
        <w:t xml:space="preserve"> ONE</w:t>
      </w:r>
      <w:r w:rsidR="00204194" w:rsidRPr="00505444">
        <w:rPr>
          <w:rFonts w:ascii="Times New Roman" w:hAnsi="Times New Roman" w:cs="Times New Roman"/>
        </w:rPr>
        <w:t>, 9/11: article e112520.</w:t>
      </w:r>
    </w:p>
    <w:p w14:paraId="292B6E91" w14:textId="77777777" w:rsidR="00E2566F" w:rsidRPr="00505444" w:rsidRDefault="00E2566F" w:rsidP="002C0BD3">
      <w:pPr>
        <w:spacing w:after="100" w:line="240" w:lineRule="auto"/>
        <w:ind w:left="425" w:hanging="425"/>
        <w:jc w:val="both"/>
        <w:rPr>
          <w:rFonts w:ascii="Times New Roman" w:hAnsi="Times New Roman" w:cs="Times New Roman"/>
        </w:rPr>
      </w:pPr>
      <w:r w:rsidRPr="00505444">
        <w:rPr>
          <w:rFonts w:ascii="Times New Roman" w:hAnsi="Times New Roman" w:cs="Times New Roman"/>
        </w:rPr>
        <w:t xml:space="preserve">TEC. (2013) </w:t>
      </w:r>
      <w:r w:rsidRPr="00505444">
        <w:rPr>
          <w:rFonts w:ascii="Times New Roman" w:hAnsi="Times New Roman" w:cs="Times New Roman"/>
          <w:i/>
        </w:rPr>
        <w:t>Performance Based Research Fund: Evaluating Research Excellence- the 2012 Assessment (Final Report).</w:t>
      </w:r>
      <w:r w:rsidRPr="00505444">
        <w:rPr>
          <w:rFonts w:ascii="Times New Roman" w:hAnsi="Times New Roman" w:cs="Times New Roman"/>
        </w:rPr>
        <w:t xml:space="preserve"> Wellington, New Zealand:  Tertiary Education Commission.</w:t>
      </w:r>
    </w:p>
    <w:p w14:paraId="292B6E92" w14:textId="1EAEFD86" w:rsidR="00E2566F" w:rsidRPr="00505444" w:rsidRDefault="00E2566F" w:rsidP="002C0BD3">
      <w:pPr>
        <w:spacing w:after="100" w:line="240" w:lineRule="auto"/>
        <w:ind w:left="425" w:hanging="425"/>
        <w:jc w:val="both"/>
        <w:rPr>
          <w:rFonts w:ascii="Times New Roman" w:hAnsi="Times New Roman" w:cs="Times New Roman"/>
        </w:rPr>
      </w:pPr>
      <w:r w:rsidRPr="00505444">
        <w:rPr>
          <w:rFonts w:ascii="Times New Roman" w:hAnsi="Times New Roman" w:cs="Times New Roman"/>
        </w:rPr>
        <w:t xml:space="preserve">Tressler, J. and Anderson, D.L. (2012) ‘Using Citations to Measure Research Output in New Zealand Economics Departments:  The Problem of </w:t>
      </w:r>
      <w:r w:rsidR="00FA51D3">
        <w:rPr>
          <w:rFonts w:ascii="Times New Roman" w:hAnsi="Times New Roman" w:cs="Times New Roman"/>
        </w:rPr>
        <w:t>'</w:t>
      </w:r>
      <w:r w:rsidRPr="00505444">
        <w:rPr>
          <w:rFonts w:ascii="Times New Roman" w:hAnsi="Times New Roman" w:cs="Times New Roman"/>
        </w:rPr>
        <w:t xml:space="preserve">Long and Variable’ Lags’, </w:t>
      </w:r>
      <w:r w:rsidRPr="00505444">
        <w:rPr>
          <w:rFonts w:ascii="Times New Roman" w:hAnsi="Times New Roman" w:cs="Times New Roman"/>
          <w:i/>
        </w:rPr>
        <w:t>Agenda: A Journal of Policy Analysis and Reform</w:t>
      </w:r>
      <w:r w:rsidRPr="00505444">
        <w:rPr>
          <w:rFonts w:ascii="Times New Roman" w:hAnsi="Times New Roman" w:cs="Times New Roman"/>
        </w:rPr>
        <w:t>, 19/1: 17-37.</w:t>
      </w:r>
    </w:p>
    <w:p w14:paraId="292B6EA1" w14:textId="28143ADB" w:rsidR="00755228" w:rsidRPr="002C29EE" w:rsidRDefault="004E30FB" w:rsidP="002C0BD3">
      <w:pPr>
        <w:spacing w:after="100" w:line="240" w:lineRule="auto"/>
        <w:ind w:left="425" w:hanging="425"/>
        <w:jc w:val="both"/>
        <w:rPr>
          <w:b/>
          <w:sz w:val="24"/>
          <w:szCs w:val="24"/>
        </w:rPr>
      </w:pPr>
      <w:r w:rsidRPr="00505444">
        <w:rPr>
          <w:rFonts w:ascii="Times New Roman" w:hAnsi="Times New Roman" w:cs="Times New Roman"/>
        </w:rPr>
        <w:t xml:space="preserve">Zimmermann, C. (2013) ‘Academic Rankings with RePEc’, </w:t>
      </w:r>
      <w:r w:rsidRPr="00505444">
        <w:rPr>
          <w:rFonts w:ascii="Times New Roman" w:hAnsi="Times New Roman" w:cs="Times New Roman"/>
          <w:i/>
        </w:rPr>
        <w:t>Econometrics,</w:t>
      </w:r>
      <w:r w:rsidRPr="00505444">
        <w:rPr>
          <w:rFonts w:ascii="Times New Roman" w:hAnsi="Times New Roman" w:cs="Times New Roman"/>
        </w:rPr>
        <w:t xml:space="preserve"> 1</w:t>
      </w:r>
      <w:r w:rsidR="00621A6B" w:rsidRPr="00505444">
        <w:rPr>
          <w:rFonts w:ascii="Times New Roman" w:hAnsi="Times New Roman" w:cs="Times New Roman"/>
        </w:rPr>
        <w:t>/3</w:t>
      </w:r>
      <w:r w:rsidRPr="00505444">
        <w:rPr>
          <w:rFonts w:ascii="Times New Roman" w:hAnsi="Times New Roman" w:cs="Times New Roman"/>
        </w:rPr>
        <w:t xml:space="preserve">: 249-280. </w:t>
      </w:r>
    </w:p>
    <w:sectPr w:rsidR="00755228" w:rsidRPr="002C29EE" w:rsidSect="006A76A1">
      <w:pgSz w:w="11907" w:h="16840" w:code="9"/>
      <w:pgMar w:top="1440" w:right="1894" w:bottom="1440" w:left="1440" w:header="709" w:footer="709"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69DD8B" w14:textId="77777777" w:rsidR="00B638E9" w:rsidRDefault="00B638E9" w:rsidP="003002C3">
      <w:pPr>
        <w:spacing w:after="0" w:line="240" w:lineRule="auto"/>
      </w:pPr>
      <w:r>
        <w:separator/>
      </w:r>
    </w:p>
  </w:endnote>
  <w:endnote w:type="continuationSeparator" w:id="0">
    <w:p w14:paraId="5EEE3AEC" w14:textId="77777777" w:rsidR="00B638E9" w:rsidRDefault="00B638E9" w:rsidP="00300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5611191"/>
      <w:docPartObj>
        <w:docPartGallery w:val="Page Numbers (Bottom of Page)"/>
        <w:docPartUnique/>
      </w:docPartObj>
    </w:sdtPr>
    <w:sdtEndPr>
      <w:rPr>
        <w:noProof/>
      </w:rPr>
    </w:sdtEndPr>
    <w:sdtContent>
      <w:p w14:paraId="292B6EA6" w14:textId="77777777" w:rsidR="001327B4" w:rsidRDefault="001327B4">
        <w:pPr>
          <w:pStyle w:val="Footer"/>
          <w:jc w:val="center"/>
        </w:pPr>
        <w:r>
          <w:fldChar w:fldCharType="begin"/>
        </w:r>
        <w:r>
          <w:instrText xml:space="preserve"> PAGE   \* MERGEFORMAT </w:instrText>
        </w:r>
        <w:r>
          <w:fldChar w:fldCharType="separate"/>
        </w:r>
        <w:r w:rsidR="00922F54">
          <w:rPr>
            <w:noProof/>
          </w:rPr>
          <w:t>22</w:t>
        </w:r>
        <w:r>
          <w:rPr>
            <w:noProof/>
          </w:rPr>
          <w:fldChar w:fldCharType="end"/>
        </w:r>
      </w:p>
    </w:sdtContent>
  </w:sdt>
  <w:p w14:paraId="292B6EA7" w14:textId="77777777" w:rsidR="001327B4" w:rsidRDefault="001327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92A035" w14:textId="77777777" w:rsidR="00B638E9" w:rsidRDefault="00B638E9" w:rsidP="003002C3">
      <w:pPr>
        <w:spacing w:after="0" w:line="240" w:lineRule="auto"/>
      </w:pPr>
      <w:r>
        <w:separator/>
      </w:r>
    </w:p>
  </w:footnote>
  <w:footnote w:type="continuationSeparator" w:id="0">
    <w:p w14:paraId="2908EB89" w14:textId="77777777" w:rsidR="00B638E9" w:rsidRDefault="00B638E9" w:rsidP="003002C3">
      <w:pPr>
        <w:spacing w:after="0" w:line="240" w:lineRule="auto"/>
      </w:pPr>
      <w:r>
        <w:continuationSeparator/>
      </w:r>
    </w:p>
  </w:footnote>
  <w:footnote w:id="1">
    <w:p w14:paraId="292B6EA8" w14:textId="612F5E2A" w:rsidR="001327B4" w:rsidRPr="00B02C10" w:rsidRDefault="001327B4" w:rsidP="00B02C10">
      <w:pPr>
        <w:pStyle w:val="FootnoteText"/>
        <w:ind w:left="284" w:hanging="284"/>
        <w:jc w:val="both"/>
        <w:rPr>
          <w:rFonts w:ascii="Times New Roman" w:hAnsi="Times New Roman" w:cs="Times New Roman"/>
          <w:sz w:val="22"/>
          <w:szCs w:val="22"/>
        </w:rPr>
      </w:pPr>
      <w:r w:rsidRPr="00B02C10">
        <w:rPr>
          <w:rStyle w:val="FootnoteReference"/>
          <w:rFonts w:ascii="Times New Roman" w:hAnsi="Times New Roman" w:cs="Times New Roman"/>
          <w:sz w:val="22"/>
          <w:szCs w:val="22"/>
        </w:rPr>
        <w:footnoteRef/>
      </w:r>
      <w:r w:rsidRPr="00B02C10">
        <w:rPr>
          <w:rFonts w:ascii="Times New Roman" w:hAnsi="Times New Roman" w:cs="Times New Roman"/>
          <w:sz w:val="22"/>
          <w:szCs w:val="22"/>
        </w:rPr>
        <w:t xml:space="preserve"> </w:t>
      </w:r>
      <w:r>
        <w:rPr>
          <w:rFonts w:ascii="Times New Roman" w:hAnsi="Times New Roman" w:cs="Times New Roman"/>
          <w:sz w:val="22"/>
          <w:szCs w:val="22"/>
        </w:rPr>
        <w:tab/>
      </w:r>
      <w:r w:rsidRPr="00B02C10">
        <w:rPr>
          <w:rFonts w:ascii="Times New Roman" w:hAnsi="Times New Roman" w:cs="Times New Roman"/>
          <w:sz w:val="22"/>
          <w:szCs w:val="22"/>
        </w:rPr>
        <w:t xml:space="preserve">Details of the third round of the PBRF can be found in TEC, 2013.  A fourth round is scheduled for 2018.  For a discussion of PBRF-specific measurement issues see Anderson, Smart and Tressler (2013), Hodder and Hodder (2010), and various papers by Warren Smart, especially Smart (2009).  </w:t>
      </w:r>
    </w:p>
    <w:p w14:paraId="792E0AA0" w14:textId="77777777" w:rsidR="001327B4" w:rsidRPr="00B02C10" w:rsidRDefault="001327B4" w:rsidP="00B02C10">
      <w:pPr>
        <w:pStyle w:val="FootnoteText"/>
        <w:ind w:left="284" w:hanging="284"/>
        <w:jc w:val="both"/>
        <w:rPr>
          <w:rFonts w:ascii="Times New Roman" w:hAnsi="Times New Roman" w:cs="Times New Roman"/>
          <w:sz w:val="22"/>
          <w:szCs w:val="22"/>
        </w:rPr>
      </w:pPr>
    </w:p>
  </w:footnote>
  <w:footnote w:id="2">
    <w:p w14:paraId="292B6EA9" w14:textId="713C61DF" w:rsidR="001327B4" w:rsidRPr="00B02C10" w:rsidRDefault="001327B4" w:rsidP="00B02C10">
      <w:pPr>
        <w:pStyle w:val="FootnoteText"/>
        <w:ind w:left="284" w:hanging="284"/>
        <w:jc w:val="both"/>
        <w:rPr>
          <w:rFonts w:ascii="Times New Roman" w:hAnsi="Times New Roman" w:cs="Times New Roman"/>
          <w:sz w:val="22"/>
          <w:szCs w:val="22"/>
        </w:rPr>
      </w:pPr>
      <w:r w:rsidRPr="00B02C10">
        <w:rPr>
          <w:rStyle w:val="FootnoteReference"/>
          <w:rFonts w:ascii="Times New Roman" w:hAnsi="Times New Roman" w:cs="Times New Roman"/>
          <w:sz w:val="22"/>
          <w:szCs w:val="22"/>
        </w:rPr>
        <w:footnoteRef/>
      </w:r>
      <w:r w:rsidRPr="00B02C10">
        <w:rPr>
          <w:rFonts w:ascii="Times New Roman" w:hAnsi="Times New Roman" w:cs="Times New Roman"/>
          <w:sz w:val="22"/>
          <w:szCs w:val="22"/>
        </w:rPr>
        <w:t xml:space="preserve"> </w:t>
      </w:r>
      <w:r>
        <w:rPr>
          <w:rFonts w:ascii="Times New Roman" w:hAnsi="Times New Roman" w:cs="Times New Roman"/>
          <w:sz w:val="22"/>
          <w:szCs w:val="22"/>
        </w:rPr>
        <w:tab/>
      </w:r>
      <w:r w:rsidRPr="00B02C10">
        <w:rPr>
          <w:rFonts w:ascii="Times New Roman" w:hAnsi="Times New Roman" w:cs="Times New Roman"/>
          <w:sz w:val="22"/>
          <w:szCs w:val="22"/>
        </w:rPr>
        <w:t xml:space="preserve">For the 2012 PBRF evaluation, two other assessments of individual research performance were undertaken by a discipline specific review panel: peer esteem (15%) and contributions to the research environment (15%). </w:t>
      </w:r>
    </w:p>
    <w:p w14:paraId="765A9AAD" w14:textId="77777777" w:rsidR="001327B4" w:rsidRPr="00B02C10" w:rsidRDefault="001327B4" w:rsidP="00B02C10">
      <w:pPr>
        <w:pStyle w:val="FootnoteText"/>
        <w:ind w:left="284" w:hanging="284"/>
        <w:jc w:val="both"/>
        <w:rPr>
          <w:rFonts w:ascii="Times New Roman" w:hAnsi="Times New Roman" w:cs="Times New Roman"/>
          <w:sz w:val="22"/>
          <w:szCs w:val="22"/>
        </w:rPr>
      </w:pPr>
    </w:p>
  </w:footnote>
  <w:footnote w:id="3">
    <w:p w14:paraId="292B6EAA" w14:textId="3483A871" w:rsidR="001327B4" w:rsidRDefault="001327B4" w:rsidP="00B02C10">
      <w:pPr>
        <w:pStyle w:val="FootnoteText"/>
        <w:ind w:left="284" w:hanging="284"/>
        <w:jc w:val="both"/>
        <w:rPr>
          <w:rFonts w:ascii="Times New Roman" w:hAnsi="Times New Roman" w:cs="Times New Roman"/>
          <w:sz w:val="22"/>
          <w:szCs w:val="22"/>
        </w:rPr>
      </w:pPr>
      <w:r w:rsidRPr="00B02C10">
        <w:rPr>
          <w:rStyle w:val="FootnoteReference"/>
          <w:rFonts w:ascii="Times New Roman" w:hAnsi="Times New Roman" w:cs="Times New Roman"/>
          <w:sz w:val="22"/>
          <w:szCs w:val="22"/>
        </w:rPr>
        <w:footnoteRef/>
      </w:r>
      <w:r w:rsidRPr="00B02C10">
        <w:rPr>
          <w:rFonts w:ascii="Times New Roman" w:hAnsi="Times New Roman" w:cs="Times New Roman"/>
          <w:sz w:val="22"/>
          <w:szCs w:val="22"/>
        </w:rPr>
        <w:t xml:space="preserve"> </w:t>
      </w:r>
      <w:r>
        <w:rPr>
          <w:rFonts w:ascii="Times New Roman" w:hAnsi="Times New Roman" w:cs="Times New Roman"/>
          <w:sz w:val="22"/>
          <w:szCs w:val="22"/>
        </w:rPr>
        <w:tab/>
      </w:r>
      <w:r w:rsidRPr="00B02C10">
        <w:rPr>
          <w:rFonts w:ascii="Times New Roman" w:hAnsi="Times New Roman" w:cs="Times New Roman"/>
          <w:sz w:val="22"/>
          <w:szCs w:val="22"/>
        </w:rPr>
        <w:t xml:space="preserve">Although the assessment period is six years, the critical period is three years since this is the average period of time for research outputs to attract citations or any other form of recognition.  </w:t>
      </w:r>
    </w:p>
    <w:p w14:paraId="28363F81" w14:textId="77777777" w:rsidR="001327B4" w:rsidRPr="00B02C10" w:rsidRDefault="001327B4" w:rsidP="00B02C10">
      <w:pPr>
        <w:pStyle w:val="FootnoteText"/>
        <w:ind w:left="284" w:hanging="284"/>
        <w:jc w:val="both"/>
        <w:rPr>
          <w:rFonts w:ascii="Times New Roman" w:hAnsi="Times New Roman" w:cs="Times New Roman"/>
          <w:sz w:val="22"/>
          <w:szCs w:val="22"/>
        </w:rPr>
      </w:pPr>
    </w:p>
  </w:footnote>
  <w:footnote w:id="4">
    <w:p w14:paraId="39A04928" w14:textId="77777777" w:rsidR="001327B4" w:rsidRDefault="001327B4" w:rsidP="00B02C10">
      <w:pPr>
        <w:pStyle w:val="FootnoteText"/>
        <w:ind w:left="284" w:hanging="284"/>
        <w:jc w:val="both"/>
        <w:rPr>
          <w:rFonts w:ascii="Times New Roman" w:hAnsi="Times New Roman" w:cs="Times New Roman"/>
          <w:sz w:val="22"/>
          <w:szCs w:val="22"/>
        </w:rPr>
      </w:pPr>
      <w:r w:rsidRPr="00B02C10">
        <w:rPr>
          <w:rStyle w:val="FootnoteReference"/>
          <w:rFonts w:ascii="Times New Roman" w:hAnsi="Times New Roman" w:cs="Times New Roman"/>
          <w:sz w:val="22"/>
          <w:szCs w:val="22"/>
        </w:rPr>
        <w:footnoteRef/>
      </w:r>
      <w:r w:rsidRPr="00B02C10">
        <w:rPr>
          <w:rFonts w:ascii="Times New Roman" w:hAnsi="Times New Roman" w:cs="Times New Roman"/>
          <w:sz w:val="22"/>
          <w:szCs w:val="22"/>
        </w:rPr>
        <w:t xml:space="preserve"> </w:t>
      </w:r>
      <w:r>
        <w:rPr>
          <w:rFonts w:ascii="Times New Roman" w:hAnsi="Times New Roman" w:cs="Times New Roman"/>
          <w:sz w:val="22"/>
          <w:szCs w:val="22"/>
        </w:rPr>
        <w:tab/>
      </w:r>
      <w:r w:rsidRPr="00B02C10">
        <w:rPr>
          <w:rFonts w:ascii="Times New Roman" w:hAnsi="Times New Roman" w:cs="Times New Roman"/>
          <w:sz w:val="22"/>
          <w:szCs w:val="22"/>
        </w:rPr>
        <w:t>Only formally published papers (those with a formal volume, issue and page numbers (or item number if an on-line journal using this format</w:t>
      </w:r>
      <w:r>
        <w:rPr>
          <w:rFonts w:ascii="Times New Roman" w:hAnsi="Times New Roman" w:cs="Times New Roman"/>
          <w:sz w:val="22"/>
          <w:szCs w:val="22"/>
        </w:rPr>
        <w:t>)</w:t>
      </w:r>
      <w:r w:rsidRPr="00B02C10">
        <w:rPr>
          <w:rFonts w:ascii="Times New Roman" w:hAnsi="Times New Roman" w:cs="Times New Roman"/>
          <w:sz w:val="22"/>
          <w:szCs w:val="22"/>
        </w:rPr>
        <w:t xml:space="preserve">) have been counted, not </w:t>
      </w:r>
      <w:r>
        <w:rPr>
          <w:rFonts w:ascii="Times New Roman" w:hAnsi="Times New Roman" w:cs="Times New Roman"/>
          <w:sz w:val="22"/>
          <w:szCs w:val="22"/>
        </w:rPr>
        <w:t>'</w:t>
      </w:r>
      <w:r w:rsidRPr="00B02C10">
        <w:rPr>
          <w:rFonts w:ascii="Times New Roman" w:hAnsi="Times New Roman" w:cs="Times New Roman"/>
          <w:sz w:val="22"/>
          <w:szCs w:val="22"/>
        </w:rPr>
        <w:t>early bird</w:t>
      </w:r>
      <w:r>
        <w:rPr>
          <w:rFonts w:ascii="Times New Roman" w:hAnsi="Times New Roman" w:cs="Times New Roman"/>
          <w:sz w:val="22"/>
          <w:szCs w:val="22"/>
        </w:rPr>
        <w:t>'</w:t>
      </w:r>
      <w:r w:rsidRPr="00B02C10">
        <w:rPr>
          <w:rFonts w:ascii="Times New Roman" w:hAnsi="Times New Roman" w:cs="Times New Roman"/>
          <w:sz w:val="22"/>
          <w:szCs w:val="22"/>
        </w:rPr>
        <w:t xml:space="preserve"> versions or similarly named releases. However, It should be noted that the PBRF rules were relaxed late in the process to allow researchers to count accepted papers that were released on-line prior to 31 December 2011. </w:t>
      </w:r>
    </w:p>
    <w:p w14:paraId="292B6EAB" w14:textId="55234D8F" w:rsidR="001327B4" w:rsidRPr="00BA0F48" w:rsidRDefault="001327B4" w:rsidP="00B02C10">
      <w:pPr>
        <w:pStyle w:val="FootnoteText"/>
        <w:ind w:left="284" w:hanging="284"/>
        <w:jc w:val="both"/>
        <w:rPr>
          <w:rFonts w:ascii="Times New Roman" w:hAnsi="Times New Roman" w:cs="Times New Roman"/>
          <w:sz w:val="10"/>
          <w:szCs w:val="10"/>
        </w:rPr>
      </w:pPr>
      <w:r w:rsidRPr="00BA0F48">
        <w:rPr>
          <w:rFonts w:ascii="Times New Roman" w:hAnsi="Times New Roman" w:cs="Times New Roman"/>
          <w:sz w:val="10"/>
          <w:szCs w:val="10"/>
        </w:rPr>
        <w:t xml:space="preserve"> </w:t>
      </w:r>
    </w:p>
  </w:footnote>
  <w:footnote w:id="5">
    <w:p w14:paraId="25E3114D" w14:textId="6F2C6614" w:rsidR="001327B4" w:rsidRPr="00B02C10" w:rsidRDefault="001327B4" w:rsidP="00B02C10">
      <w:pPr>
        <w:pStyle w:val="FootnoteText"/>
        <w:ind w:left="284" w:hanging="284"/>
        <w:jc w:val="both"/>
        <w:rPr>
          <w:rFonts w:ascii="Times New Roman" w:hAnsi="Times New Roman" w:cs="Times New Roman"/>
          <w:sz w:val="22"/>
          <w:szCs w:val="22"/>
        </w:rPr>
      </w:pPr>
      <w:r w:rsidRPr="00B02C10">
        <w:rPr>
          <w:rStyle w:val="FootnoteReference"/>
          <w:rFonts w:ascii="Times New Roman" w:hAnsi="Times New Roman" w:cs="Times New Roman"/>
          <w:sz w:val="22"/>
          <w:szCs w:val="22"/>
        </w:rPr>
        <w:footnoteRef/>
      </w:r>
      <w:r w:rsidRPr="00B02C10">
        <w:rPr>
          <w:rFonts w:ascii="Times New Roman" w:hAnsi="Times New Roman" w:cs="Times New Roman"/>
          <w:sz w:val="22"/>
          <w:szCs w:val="22"/>
        </w:rPr>
        <w:t xml:space="preserve"> </w:t>
      </w:r>
      <w:r>
        <w:rPr>
          <w:rFonts w:ascii="Times New Roman" w:hAnsi="Times New Roman" w:cs="Times New Roman"/>
          <w:sz w:val="22"/>
          <w:szCs w:val="22"/>
        </w:rPr>
        <w:tab/>
      </w:r>
      <w:r w:rsidRPr="00B02C10">
        <w:rPr>
          <w:rFonts w:ascii="Times New Roman" w:hAnsi="Times New Roman" w:cs="Times New Roman"/>
          <w:sz w:val="22"/>
          <w:szCs w:val="22"/>
        </w:rPr>
        <w:t>The time pattern of publication of the 743 articles produced by New Zealand economists over the most recent PBRF evaluation period is as follows: 110 (2006); 84 (2007); 108 (2008); 133 (2009); 149 (2010) and 159 (2011).</w:t>
      </w:r>
    </w:p>
    <w:p w14:paraId="292B6EAC" w14:textId="131B79E3" w:rsidR="001327B4" w:rsidRPr="00BA0F48" w:rsidRDefault="001327B4" w:rsidP="00B02C10">
      <w:pPr>
        <w:pStyle w:val="FootnoteText"/>
        <w:ind w:left="284" w:hanging="284"/>
        <w:jc w:val="both"/>
        <w:rPr>
          <w:rFonts w:ascii="Times New Roman" w:hAnsi="Times New Roman" w:cs="Times New Roman"/>
          <w:sz w:val="10"/>
          <w:szCs w:val="10"/>
        </w:rPr>
      </w:pPr>
      <w:r w:rsidRPr="00B02C10">
        <w:rPr>
          <w:rFonts w:ascii="Times New Roman" w:hAnsi="Times New Roman" w:cs="Times New Roman"/>
          <w:sz w:val="22"/>
          <w:szCs w:val="22"/>
        </w:rPr>
        <w:t xml:space="preserve">  </w:t>
      </w:r>
    </w:p>
  </w:footnote>
  <w:footnote w:id="6">
    <w:p w14:paraId="292B6EAD" w14:textId="1554F9B1" w:rsidR="001327B4" w:rsidRDefault="001327B4" w:rsidP="00B02C10">
      <w:pPr>
        <w:pStyle w:val="FootnoteText"/>
        <w:ind w:left="284" w:hanging="284"/>
        <w:jc w:val="both"/>
        <w:rPr>
          <w:rFonts w:ascii="Times New Roman" w:hAnsi="Times New Roman" w:cs="Times New Roman"/>
          <w:sz w:val="22"/>
          <w:szCs w:val="22"/>
        </w:rPr>
      </w:pPr>
      <w:r w:rsidRPr="00B02C10">
        <w:rPr>
          <w:rStyle w:val="FootnoteReference"/>
          <w:rFonts w:ascii="Times New Roman" w:hAnsi="Times New Roman" w:cs="Times New Roman"/>
          <w:sz w:val="22"/>
          <w:szCs w:val="22"/>
        </w:rPr>
        <w:footnoteRef/>
      </w:r>
      <w:r w:rsidRPr="00B02C10">
        <w:rPr>
          <w:rFonts w:ascii="Times New Roman" w:hAnsi="Times New Roman" w:cs="Times New Roman"/>
          <w:sz w:val="22"/>
          <w:szCs w:val="22"/>
        </w:rPr>
        <w:t xml:space="preserve"> </w:t>
      </w:r>
      <w:r>
        <w:rPr>
          <w:rFonts w:ascii="Times New Roman" w:hAnsi="Times New Roman" w:cs="Times New Roman"/>
          <w:sz w:val="22"/>
          <w:szCs w:val="22"/>
        </w:rPr>
        <w:tab/>
      </w:r>
      <w:r w:rsidRPr="00B02C10">
        <w:rPr>
          <w:rFonts w:ascii="Times New Roman" w:hAnsi="Times New Roman" w:cs="Times New Roman"/>
          <w:sz w:val="22"/>
          <w:szCs w:val="22"/>
        </w:rPr>
        <w:t xml:space="preserve">Although individual results are technically confidential, many high and medium level achievers find ways of disseminating their results.  Hence it frequently becomes relatively easy for administrators and others serving on promotions and hiring committees to determine an applicant’s PBRF grade. </w:t>
      </w:r>
    </w:p>
    <w:p w14:paraId="2EF92CBE" w14:textId="77777777" w:rsidR="001327B4" w:rsidRPr="00B02C10" w:rsidRDefault="001327B4" w:rsidP="00B02C10">
      <w:pPr>
        <w:pStyle w:val="FootnoteText"/>
        <w:ind w:left="284" w:hanging="284"/>
        <w:jc w:val="both"/>
        <w:rPr>
          <w:rFonts w:ascii="Times New Roman" w:hAnsi="Times New Roman" w:cs="Times New Roman"/>
          <w:sz w:val="22"/>
          <w:szCs w:val="22"/>
        </w:rPr>
      </w:pPr>
    </w:p>
  </w:footnote>
  <w:footnote w:id="7">
    <w:p w14:paraId="292B6EAE" w14:textId="0FB9652C" w:rsidR="001327B4" w:rsidRPr="00B02C10" w:rsidRDefault="001327B4" w:rsidP="00B02C10">
      <w:pPr>
        <w:pStyle w:val="FootnoteText"/>
        <w:ind w:left="284" w:hanging="284"/>
        <w:jc w:val="both"/>
        <w:rPr>
          <w:rFonts w:ascii="Times New Roman" w:hAnsi="Times New Roman" w:cs="Times New Roman"/>
          <w:sz w:val="22"/>
          <w:szCs w:val="22"/>
        </w:rPr>
      </w:pPr>
      <w:r w:rsidRPr="00B02C10">
        <w:rPr>
          <w:rStyle w:val="FootnoteReference"/>
          <w:rFonts w:ascii="Times New Roman" w:hAnsi="Times New Roman" w:cs="Times New Roman"/>
          <w:sz w:val="22"/>
          <w:szCs w:val="22"/>
        </w:rPr>
        <w:footnoteRef/>
      </w:r>
      <w:r w:rsidRPr="00B02C10">
        <w:rPr>
          <w:rFonts w:ascii="Times New Roman" w:hAnsi="Times New Roman" w:cs="Times New Roman"/>
          <w:sz w:val="22"/>
          <w:szCs w:val="22"/>
        </w:rPr>
        <w:t xml:space="preserve"> </w:t>
      </w:r>
      <w:r>
        <w:rPr>
          <w:rFonts w:ascii="Times New Roman" w:hAnsi="Times New Roman" w:cs="Times New Roman"/>
          <w:sz w:val="22"/>
          <w:szCs w:val="22"/>
        </w:rPr>
        <w:tab/>
      </w:r>
      <w:r w:rsidRPr="00B02C10">
        <w:rPr>
          <w:rFonts w:ascii="Times New Roman" w:hAnsi="Times New Roman" w:cs="Times New Roman"/>
          <w:sz w:val="22"/>
          <w:szCs w:val="22"/>
        </w:rPr>
        <w:t xml:space="preserve">For a discussion of short-term versus longer term indicators of paper success, see </w:t>
      </w:r>
      <w:proofErr w:type="spellStart"/>
      <w:r w:rsidRPr="00B02C10">
        <w:rPr>
          <w:rFonts w:ascii="Times New Roman" w:hAnsi="Times New Roman" w:cs="Times New Roman"/>
          <w:sz w:val="22"/>
          <w:szCs w:val="22"/>
        </w:rPr>
        <w:t>Sgroi</w:t>
      </w:r>
      <w:proofErr w:type="spellEnd"/>
      <w:r w:rsidRPr="00B02C10">
        <w:rPr>
          <w:rFonts w:ascii="Times New Roman" w:hAnsi="Times New Roman" w:cs="Times New Roman"/>
          <w:sz w:val="22"/>
          <w:szCs w:val="22"/>
        </w:rPr>
        <w:t xml:space="preserve"> and Oswald (2013) and Stern (2014).</w:t>
      </w:r>
    </w:p>
    <w:p w14:paraId="201FB4CF" w14:textId="77777777" w:rsidR="001327B4" w:rsidRPr="00B02C10" w:rsidRDefault="001327B4" w:rsidP="00B02C10">
      <w:pPr>
        <w:pStyle w:val="FootnoteText"/>
        <w:ind w:left="284" w:hanging="284"/>
        <w:jc w:val="both"/>
        <w:rPr>
          <w:rFonts w:ascii="Times New Roman" w:hAnsi="Times New Roman" w:cs="Times New Roman"/>
          <w:sz w:val="22"/>
          <w:szCs w:val="22"/>
        </w:rPr>
      </w:pPr>
    </w:p>
  </w:footnote>
  <w:footnote w:id="8">
    <w:p w14:paraId="292B6EAF" w14:textId="566AF318" w:rsidR="001327B4" w:rsidRPr="00B02C10" w:rsidRDefault="001327B4" w:rsidP="00B02C10">
      <w:pPr>
        <w:pStyle w:val="FootnoteText"/>
        <w:ind w:left="284" w:hanging="284"/>
        <w:jc w:val="both"/>
        <w:rPr>
          <w:rFonts w:ascii="Times New Roman" w:hAnsi="Times New Roman" w:cs="Times New Roman"/>
          <w:sz w:val="22"/>
          <w:szCs w:val="22"/>
        </w:rPr>
      </w:pPr>
      <w:r w:rsidRPr="00B02C10">
        <w:rPr>
          <w:rStyle w:val="FootnoteReference"/>
          <w:rFonts w:ascii="Times New Roman" w:hAnsi="Times New Roman" w:cs="Times New Roman"/>
          <w:sz w:val="22"/>
          <w:szCs w:val="22"/>
        </w:rPr>
        <w:footnoteRef/>
      </w:r>
      <w:r w:rsidRPr="00B02C10">
        <w:rPr>
          <w:rFonts w:ascii="Times New Roman" w:hAnsi="Times New Roman" w:cs="Times New Roman"/>
          <w:sz w:val="22"/>
          <w:szCs w:val="22"/>
        </w:rPr>
        <w:t xml:space="preserve"> </w:t>
      </w:r>
      <w:r>
        <w:rPr>
          <w:rFonts w:ascii="Times New Roman" w:hAnsi="Times New Roman" w:cs="Times New Roman"/>
          <w:sz w:val="22"/>
          <w:szCs w:val="22"/>
        </w:rPr>
        <w:tab/>
      </w:r>
      <w:r w:rsidRPr="00B02C10">
        <w:rPr>
          <w:rFonts w:ascii="Times New Roman" w:hAnsi="Times New Roman" w:cs="Times New Roman"/>
          <w:sz w:val="22"/>
          <w:szCs w:val="22"/>
        </w:rPr>
        <w:t xml:space="preserve">Other limitations of journal rankings can be found in </w:t>
      </w:r>
      <w:proofErr w:type="spellStart"/>
      <w:r w:rsidRPr="00B02C10">
        <w:rPr>
          <w:rFonts w:ascii="Times New Roman" w:hAnsi="Times New Roman" w:cs="Times New Roman"/>
          <w:sz w:val="22"/>
          <w:szCs w:val="22"/>
        </w:rPr>
        <w:t>Laband</w:t>
      </w:r>
      <w:proofErr w:type="spellEnd"/>
      <w:r w:rsidRPr="00B02C10">
        <w:rPr>
          <w:rFonts w:ascii="Times New Roman" w:hAnsi="Times New Roman" w:cs="Times New Roman"/>
          <w:sz w:val="22"/>
          <w:szCs w:val="22"/>
        </w:rPr>
        <w:t>, 2013.</w:t>
      </w:r>
    </w:p>
    <w:p w14:paraId="7B683DA4" w14:textId="77777777" w:rsidR="001327B4" w:rsidRPr="00B02C10" w:rsidRDefault="001327B4" w:rsidP="00B02C10">
      <w:pPr>
        <w:pStyle w:val="FootnoteText"/>
        <w:ind w:left="284" w:hanging="284"/>
        <w:jc w:val="both"/>
        <w:rPr>
          <w:rFonts w:ascii="Times New Roman" w:hAnsi="Times New Roman" w:cs="Times New Roman"/>
          <w:sz w:val="22"/>
          <w:szCs w:val="22"/>
        </w:rPr>
      </w:pPr>
    </w:p>
  </w:footnote>
  <w:footnote w:id="9">
    <w:p w14:paraId="292B6EB0" w14:textId="5FFCBCB4" w:rsidR="001327B4" w:rsidRPr="00B02C10" w:rsidRDefault="001327B4" w:rsidP="00B02C10">
      <w:pPr>
        <w:pStyle w:val="FootnoteText"/>
        <w:ind w:left="284" w:hanging="284"/>
        <w:jc w:val="both"/>
        <w:rPr>
          <w:rFonts w:ascii="Times New Roman" w:hAnsi="Times New Roman" w:cs="Times New Roman"/>
          <w:sz w:val="22"/>
          <w:szCs w:val="22"/>
        </w:rPr>
      </w:pPr>
      <w:r w:rsidRPr="00B02C10">
        <w:rPr>
          <w:rStyle w:val="FootnoteReference"/>
          <w:rFonts w:ascii="Times New Roman" w:hAnsi="Times New Roman" w:cs="Times New Roman"/>
          <w:sz w:val="22"/>
          <w:szCs w:val="22"/>
        </w:rPr>
        <w:footnoteRef/>
      </w:r>
      <w:r w:rsidRPr="00B02C10">
        <w:rPr>
          <w:rFonts w:ascii="Times New Roman" w:hAnsi="Times New Roman" w:cs="Times New Roman"/>
          <w:sz w:val="22"/>
          <w:szCs w:val="22"/>
        </w:rPr>
        <w:t xml:space="preserve"> </w:t>
      </w:r>
      <w:r>
        <w:rPr>
          <w:rFonts w:ascii="Times New Roman" w:hAnsi="Times New Roman" w:cs="Times New Roman"/>
          <w:sz w:val="22"/>
          <w:szCs w:val="22"/>
        </w:rPr>
        <w:tab/>
      </w:r>
      <w:r w:rsidRPr="00B02C10">
        <w:rPr>
          <w:rFonts w:ascii="Times New Roman" w:hAnsi="Times New Roman" w:cs="Times New Roman"/>
          <w:sz w:val="22"/>
          <w:szCs w:val="22"/>
        </w:rPr>
        <w:t>Given that 743 papers were published over the 2006-2011 period, it is reasonable to assume that the median paper (the 372</w:t>
      </w:r>
      <w:r w:rsidRPr="00B02C10">
        <w:rPr>
          <w:rFonts w:ascii="Times New Roman" w:hAnsi="Times New Roman" w:cs="Times New Roman"/>
          <w:sz w:val="22"/>
          <w:szCs w:val="22"/>
          <w:vertAlign w:val="superscript"/>
        </w:rPr>
        <w:t>nd</w:t>
      </w:r>
      <w:r w:rsidRPr="00B02C10">
        <w:rPr>
          <w:rFonts w:ascii="Times New Roman" w:hAnsi="Times New Roman" w:cs="Times New Roman"/>
          <w:sz w:val="22"/>
          <w:szCs w:val="22"/>
        </w:rPr>
        <w:t>) was not published until the second half of 2008 (Year 4).  From footnote 3, note that the sum of papers published in Years 1-3 is 302 (110+84+108); hence the 70</w:t>
      </w:r>
      <w:r w:rsidRPr="00B02C10">
        <w:rPr>
          <w:rFonts w:ascii="Times New Roman" w:hAnsi="Times New Roman" w:cs="Times New Roman"/>
          <w:sz w:val="22"/>
          <w:szCs w:val="22"/>
          <w:vertAlign w:val="superscript"/>
        </w:rPr>
        <w:t>th</w:t>
      </w:r>
      <w:r w:rsidRPr="00B02C10">
        <w:rPr>
          <w:rFonts w:ascii="Times New Roman" w:hAnsi="Times New Roman" w:cs="Times New Roman"/>
          <w:sz w:val="22"/>
          <w:szCs w:val="22"/>
        </w:rPr>
        <w:t xml:space="preserve"> paper published in Year 4 is the median paper.  Since only 133 papers were published in Year 4, the median paper was released in the latter half of the year (assuming an even flow of publications over the year).  Hence the median paper has slightly less than 2.5 years in which to gather citations.   </w:t>
      </w:r>
    </w:p>
    <w:p w14:paraId="6911B19D" w14:textId="77777777" w:rsidR="001327B4" w:rsidRPr="00B02C10" w:rsidRDefault="001327B4" w:rsidP="00B02C10">
      <w:pPr>
        <w:pStyle w:val="FootnoteText"/>
        <w:ind w:left="284" w:hanging="284"/>
        <w:jc w:val="both"/>
        <w:rPr>
          <w:rFonts w:ascii="Times New Roman" w:hAnsi="Times New Roman" w:cs="Times New Roman"/>
          <w:sz w:val="22"/>
          <w:szCs w:val="22"/>
        </w:rPr>
      </w:pPr>
    </w:p>
  </w:footnote>
  <w:footnote w:id="10">
    <w:p w14:paraId="292B6EB1" w14:textId="7DE02F30" w:rsidR="001327B4" w:rsidRDefault="001327B4" w:rsidP="00B02C10">
      <w:pPr>
        <w:pStyle w:val="FootnoteText"/>
        <w:ind w:left="284" w:hanging="284"/>
        <w:jc w:val="both"/>
        <w:rPr>
          <w:rFonts w:ascii="Times New Roman" w:hAnsi="Times New Roman" w:cs="Times New Roman"/>
          <w:sz w:val="22"/>
          <w:szCs w:val="22"/>
        </w:rPr>
      </w:pPr>
      <w:r w:rsidRPr="00B02C10">
        <w:rPr>
          <w:rStyle w:val="FootnoteReference"/>
          <w:rFonts w:ascii="Times New Roman" w:hAnsi="Times New Roman" w:cs="Times New Roman"/>
          <w:sz w:val="22"/>
          <w:szCs w:val="22"/>
        </w:rPr>
        <w:footnoteRef/>
      </w:r>
      <w:r w:rsidRPr="00B02C10">
        <w:rPr>
          <w:rFonts w:ascii="Times New Roman" w:hAnsi="Times New Roman" w:cs="Times New Roman"/>
          <w:sz w:val="22"/>
          <w:szCs w:val="22"/>
        </w:rPr>
        <w:t xml:space="preserve"> </w:t>
      </w:r>
      <w:r>
        <w:rPr>
          <w:rFonts w:ascii="Times New Roman" w:hAnsi="Times New Roman" w:cs="Times New Roman"/>
          <w:sz w:val="22"/>
          <w:szCs w:val="22"/>
        </w:rPr>
        <w:tab/>
      </w:r>
      <w:r w:rsidRPr="00B02C10">
        <w:rPr>
          <w:rFonts w:ascii="Times New Roman" w:hAnsi="Times New Roman" w:cs="Times New Roman"/>
          <w:sz w:val="22"/>
          <w:szCs w:val="22"/>
        </w:rPr>
        <w:t xml:space="preserve">For example, Tressler and Anderson (2012) found that </w:t>
      </w:r>
      <w:proofErr w:type="spellStart"/>
      <w:r w:rsidRPr="00B02C10">
        <w:rPr>
          <w:rFonts w:ascii="Times New Roman" w:hAnsi="Times New Roman" w:cs="Times New Roman"/>
          <w:sz w:val="22"/>
          <w:szCs w:val="22"/>
        </w:rPr>
        <w:t>WoS</w:t>
      </w:r>
      <w:proofErr w:type="spellEnd"/>
      <w:r w:rsidRPr="00B02C10">
        <w:rPr>
          <w:rFonts w:ascii="Times New Roman" w:hAnsi="Times New Roman" w:cs="Times New Roman"/>
          <w:sz w:val="22"/>
          <w:szCs w:val="22"/>
        </w:rPr>
        <w:t xml:space="preserve"> cites to economics papers over the 2001-2007 period were insufficient to generate reliable measures of performance New Zealand’s academic economists – the lags were too long between publication and commencement of a meaningful flow of citations.  On the other hand, Stern (2014) and Burns and Stern (2015) argue that citation flows in the first two to three years after publication can be used to reliably identify economics papers that are ultimately highly ranked.  However, the relevance of these findings are limited in the context of this paper: first, between 40 and 60% of the papers in our dataset (see footnote 5) were published short of the time period Stern (2014) identifies as being of sufficient length to generate reliable estimates; second, </w:t>
      </w:r>
      <w:proofErr w:type="spellStart"/>
      <w:r w:rsidRPr="00B02C10">
        <w:rPr>
          <w:rFonts w:ascii="Times New Roman" w:hAnsi="Times New Roman" w:cs="Times New Roman"/>
          <w:sz w:val="22"/>
          <w:szCs w:val="22"/>
        </w:rPr>
        <w:t>WoS</w:t>
      </w:r>
      <w:proofErr w:type="spellEnd"/>
      <w:r w:rsidRPr="00B02C10">
        <w:rPr>
          <w:rFonts w:ascii="Times New Roman" w:hAnsi="Times New Roman" w:cs="Times New Roman"/>
          <w:sz w:val="22"/>
          <w:szCs w:val="22"/>
        </w:rPr>
        <w:t xml:space="preserve"> data only covers 60% of the papers in our database; and third, the Stern study focuses on top- end papers (the top quintile of total citations at the end of year 7).      </w:t>
      </w:r>
    </w:p>
    <w:p w14:paraId="3E676C2B" w14:textId="77777777" w:rsidR="001327B4" w:rsidRPr="00B02C10" w:rsidRDefault="001327B4" w:rsidP="00B02C10">
      <w:pPr>
        <w:pStyle w:val="FootnoteText"/>
        <w:ind w:left="284" w:hanging="284"/>
        <w:jc w:val="both"/>
        <w:rPr>
          <w:rFonts w:ascii="Times New Roman" w:hAnsi="Times New Roman" w:cs="Times New Roman"/>
          <w:sz w:val="22"/>
          <w:szCs w:val="22"/>
        </w:rPr>
      </w:pPr>
    </w:p>
  </w:footnote>
  <w:footnote w:id="11">
    <w:p w14:paraId="66D7C9BF" w14:textId="72442DE6" w:rsidR="001327B4" w:rsidRPr="00B02C10" w:rsidRDefault="001327B4" w:rsidP="00B02C10">
      <w:pPr>
        <w:pStyle w:val="FootnoteText"/>
        <w:ind w:left="284" w:hanging="284"/>
        <w:jc w:val="both"/>
        <w:rPr>
          <w:rFonts w:ascii="Times New Roman" w:hAnsi="Times New Roman" w:cs="Times New Roman"/>
          <w:sz w:val="22"/>
          <w:szCs w:val="22"/>
        </w:rPr>
      </w:pPr>
      <w:r w:rsidRPr="00B02C10">
        <w:rPr>
          <w:rStyle w:val="FootnoteReference"/>
          <w:rFonts w:ascii="Times New Roman" w:hAnsi="Times New Roman" w:cs="Times New Roman"/>
          <w:sz w:val="22"/>
          <w:szCs w:val="22"/>
        </w:rPr>
        <w:footnoteRef/>
      </w:r>
      <w:r w:rsidRPr="00B02C10">
        <w:rPr>
          <w:rFonts w:ascii="Times New Roman" w:hAnsi="Times New Roman" w:cs="Times New Roman"/>
          <w:sz w:val="22"/>
          <w:szCs w:val="22"/>
        </w:rPr>
        <w:t xml:space="preserve"> </w:t>
      </w:r>
      <w:r>
        <w:rPr>
          <w:rFonts w:ascii="Times New Roman" w:hAnsi="Times New Roman" w:cs="Times New Roman"/>
          <w:sz w:val="22"/>
          <w:szCs w:val="22"/>
        </w:rPr>
        <w:tab/>
      </w:r>
      <w:r w:rsidRPr="00B02C10">
        <w:rPr>
          <w:rFonts w:ascii="Times New Roman" w:hAnsi="Times New Roman" w:cs="Times New Roman"/>
          <w:sz w:val="22"/>
          <w:szCs w:val="22"/>
        </w:rPr>
        <w:t xml:space="preserve">As noted, the numerical scores used to weight pages and papers for measuring ABDC output were arbitrarily assigned by the authors. The ABDC (2010) report is silent on this issue.  Therefore, we have adopted the numerical weighting scheme referenced by Abelson (2009) in his discussion of the development of the Economic Society of Australia’s journal weighting scheme that served as an important input into the development of the ABDC (2010) list of economics journals. </w:t>
      </w:r>
    </w:p>
    <w:p w14:paraId="292B6EB2" w14:textId="7F638BEF" w:rsidR="001327B4" w:rsidRPr="00B02C10" w:rsidRDefault="001327B4" w:rsidP="00B02C10">
      <w:pPr>
        <w:pStyle w:val="FootnoteText"/>
        <w:ind w:left="284" w:hanging="284"/>
        <w:jc w:val="both"/>
        <w:rPr>
          <w:rFonts w:ascii="Times New Roman" w:hAnsi="Times New Roman" w:cs="Times New Roman"/>
          <w:sz w:val="22"/>
          <w:szCs w:val="22"/>
        </w:rPr>
      </w:pPr>
      <w:r w:rsidRPr="00B02C10">
        <w:rPr>
          <w:rFonts w:ascii="Times New Roman" w:hAnsi="Times New Roman" w:cs="Times New Roman"/>
          <w:sz w:val="22"/>
          <w:szCs w:val="22"/>
        </w:rPr>
        <w:t xml:space="preserve">  </w:t>
      </w:r>
    </w:p>
  </w:footnote>
  <w:footnote w:id="12">
    <w:p w14:paraId="292B6EB3" w14:textId="3CA1BD47" w:rsidR="001327B4" w:rsidRDefault="001327B4" w:rsidP="00B02C10">
      <w:pPr>
        <w:pStyle w:val="FootnoteText"/>
        <w:ind w:left="284" w:hanging="284"/>
        <w:jc w:val="both"/>
        <w:rPr>
          <w:rFonts w:ascii="Times New Roman" w:hAnsi="Times New Roman" w:cs="Times New Roman"/>
          <w:sz w:val="22"/>
          <w:szCs w:val="22"/>
          <w:lang w:val="en-US"/>
        </w:rPr>
      </w:pPr>
      <w:r w:rsidRPr="00B02C10">
        <w:rPr>
          <w:rStyle w:val="FootnoteReference"/>
          <w:rFonts w:ascii="Times New Roman" w:hAnsi="Times New Roman" w:cs="Times New Roman"/>
          <w:sz w:val="22"/>
          <w:szCs w:val="22"/>
        </w:rPr>
        <w:footnoteRef/>
      </w:r>
      <w:r w:rsidRPr="00B02C10">
        <w:rPr>
          <w:rFonts w:ascii="Times New Roman" w:hAnsi="Times New Roman" w:cs="Times New Roman"/>
          <w:sz w:val="22"/>
          <w:szCs w:val="22"/>
        </w:rPr>
        <w:t xml:space="preserve"> </w:t>
      </w:r>
      <w:r>
        <w:rPr>
          <w:rFonts w:ascii="Times New Roman" w:hAnsi="Times New Roman" w:cs="Times New Roman"/>
          <w:sz w:val="22"/>
          <w:szCs w:val="22"/>
        </w:rPr>
        <w:tab/>
      </w:r>
      <w:r w:rsidRPr="00B02C10">
        <w:rPr>
          <w:rFonts w:ascii="Times New Roman" w:hAnsi="Times New Roman" w:cs="Times New Roman"/>
          <w:sz w:val="22"/>
          <w:szCs w:val="22"/>
        </w:rPr>
        <w:t xml:space="preserve">In this instance, </w:t>
      </w:r>
      <w:r w:rsidRPr="00B02C10">
        <w:rPr>
          <w:rFonts w:ascii="Times New Roman" w:hAnsi="Times New Roman" w:cs="Times New Roman"/>
          <w:sz w:val="22"/>
          <w:szCs w:val="22"/>
          <w:lang w:val="en-US"/>
        </w:rPr>
        <w:t xml:space="preserve">the ERA (Excellence for Research in Australia) ranking scheme is used as a proxy for </w:t>
      </w:r>
      <w:r w:rsidRPr="00B02C10">
        <w:rPr>
          <w:rFonts w:ascii="Times New Roman" w:hAnsi="Times New Roman" w:cs="Times New Roman"/>
          <w:b/>
          <w:sz w:val="22"/>
          <w:szCs w:val="22"/>
          <w:lang w:val="en-US"/>
        </w:rPr>
        <w:t>ABDC</w:t>
      </w:r>
      <w:r w:rsidRPr="00B02C10">
        <w:rPr>
          <w:rFonts w:ascii="Times New Roman" w:hAnsi="Times New Roman" w:cs="Times New Roman"/>
          <w:sz w:val="22"/>
          <w:szCs w:val="22"/>
          <w:lang w:val="en-US"/>
        </w:rPr>
        <w:t xml:space="preserve">.  Both these schemes relied heavily on the same source- a survey of professors by the Economics Society of Australia.  </w:t>
      </w:r>
    </w:p>
    <w:p w14:paraId="71DFFB5C" w14:textId="77777777" w:rsidR="001327B4" w:rsidRPr="00BA0F48" w:rsidRDefault="001327B4" w:rsidP="00B02C10">
      <w:pPr>
        <w:pStyle w:val="FootnoteText"/>
        <w:ind w:left="284" w:hanging="284"/>
        <w:jc w:val="both"/>
        <w:rPr>
          <w:rFonts w:ascii="Times New Roman" w:hAnsi="Times New Roman" w:cs="Times New Roman"/>
          <w:lang w:val="en-US"/>
        </w:rPr>
      </w:pPr>
    </w:p>
  </w:footnote>
  <w:footnote w:id="13">
    <w:p w14:paraId="292B6EB4" w14:textId="791C742B" w:rsidR="001327B4" w:rsidRPr="00B02C10" w:rsidRDefault="001327B4" w:rsidP="00B02C10">
      <w:pPr>
        <w:pStyle w:val="FootnoteText"/>
        <w:ind w:left="284" w:hanging="284"/>
        <w:jc w:val="both"/>
        <w:rPr>
          <w:rFonts w:ascii="Times New Roman" w:hAnsi="Times New Roman" w:cs="Times New Roman"/>
          <w:sz w:val="22"/>
          <w:szCs w:val="22"/>
          <w:lang w:val="en-US"/>
        </w:rPr>
      </w:pPr>
      <w:r w:rsidRPr="00B02C10">
        <w:rPr>
          <w:rStyle w:val="FootnoteReference"/>
          <w:rFonts w:ascii="Times New Roman" w:hAnsi="Times New Roman" w:cs="Times New Roman"/>
          <w:sz w:val="22"/>
          <w:szCs w:val="22"/>
        </w:rPr>
        <w:footnoteRef/>
      </w:r>
      <w:r w:rsidRPr="00B02C10">
        <w:rPr>
          <w:rFonts w:ascii="Times New Roman" w:hAnsi="Times New Roman" w:cs="Times New Roman"/>
          <w:sz w:val="22"/>
          <w:szCs w:val="22"/>
        </w:rPr>
        <w:t xml:space="preserve"> </w:t>
      </w:r>
      <w:r>
        <w:rPr>
          <w:rFonts w:ascii="Times New Roman" w:hAnsi="Times New Roman" w:cs="Times New Roman"/>
          <w:sz w:val="22"/>
          <w:szCs w:val="22"/>
        </w:rPr>
        <w:tab/>
      </w:r>
      <w:r w:rsidRPr="00B02C10">
        <w:rPr>
          <w:rFonts w:ascii="Times New Roman" w:hAnsi="Times New Roman" w:cs="Times New Roman"/>
          <w:sz w:val="22"/>
          <w:szCs w:val="22"/>
          <w:lang w:val="en-US"/>
        </w:rPr>
        <w:t>For a discussion of these impact factors and additional RAMS generated by RePEc see: Zimmerman (2013) and Kim, Min and Zimmermann (2011).</w:t>
      </w:r>
    </w:p>
    <w:p w14:paraId="28FC5114" w14:textId="77777777" w:rsidR="001327B4" w:rsidRPr="00B02C10" w:rsidRDefault="001327B4" w:rsidP="00B02C10">
      <w:pPr>
        <w:pStyle w:val="FootnoteText"/>
        <w:ind w:left="284" w:hanging="284"/>
        <w:jc w:val="both"/>
        <w:rPr>
          <w:rFonts w:ascii="Times New Roman" w:hAnsi="Times New Roman" w:cs="Times New Roman"/>
          <w:sz w:val="22"/>
          <w:szCs w:val="22"/>
          <w:lang w:val="en-US"/>
        </w:rPr>
      </w:pPr>
    </w:p>
  </w:footnote>
  <w:footnote w:id="14">
    <w:p w14:paraId="292B6EB5" w14:textId="24F9ADF1" w:rsidR="001327B4" w:rsidRPr="00B02C10" w:rsidRDefault="001327B4" w:rsidP="00B02C10">
      <w:pPr>
        <w:pStyle w:val="FootnoteText"/>
        <w:ind w:left="284" w:hanging="284"/>
        <w:jc w:val="both"/>
        <w:rPr>
          <w:rFonts w:ascii="Times New Roman" w:hAnsi="Times New Roman" w:cs="Times New Roman"/>
          <w:sz w:val="22"/>
          <w:szCs w:val="22"/>
          <w:lang w:val="en-US"/>
        </w:rPr>
      </w:pPr>
      <w:r w:rsidRPr="00B02C10">
        <w:rPr>
          <w:rStyle w:val="FootnoteReference"/>
          <w:rFonts w:ascii="Times New Roman" w:hAnsi="Times New Roman" w:cs="Times New Roman"/>
          <w:sz w:val="22"/>
          <w:szCs w:val="22"/>
        </w:rPr>
        <w:footnoteRef/>
      </w:r>
      <w:r w:rsidRPr="00B02C10">
        <w:rPr>
          <w:rFonts w:ascii="Times New Roman" w:hAnsi="Times New Roman" w:cs="Times New Roman"/>
          <w:sz w:val="22"/>
          <w:szCs w:val="22"/>
        </w:rPr>
        <w:t xml:space="preserve"> </w:t>
      </w:r>
      <w:r>
        <w:rPr>
          <w:rFonts w:ascii="Times New Roman" w:hAnsi="Times New Roman" w:cs="Times New Roman"/>
          <w:sz w:val="22"/>
          <w:szCs w:val="22"/>
        </w:rPr>
        <w:tab/>
      </w:r>
      <w:r w:rsidRPr="00B02C10">
        <w:rPr>
          <w:rFonts w:ascii="Times New Roman" w:hAnsi="Times New Roman" w:cs="Times New Roman"/>
          <w:sz w:val="22"/>
          <w:szCs w:val="22"/>
        </w:rPr>
        <w:t xml:space="preserve">Arguably the most celebrated recursive adjustment journal weighting scheme in economics is that developed by </w:t>
      </w:r>
      <w:proofErr w:type="spellStart"/>
      <w:r w:rsidRPr="00B02C10">
        <w:rPr>
          <w:rFonts w:ascii="Times New Roman" w:hAnsi="Times New Roman" w:cs="Times New Roman"/>
          <w:sz w:val="22"/>
          <w:szCs w:val="22"/>
        </w:rPr>
        <w:t>Kalaitzidakis</w:t>
      </w:r>
      <w:proofErr w:type="spellEnd"/>
      <w:r w:rsidRPr="00B02C10">
        <w:rPr>
          <w:rFonts w:ascii="Times New Roman" w:hAnsi="Times New Roman" w:cs="Times New Roman"/>
          <w:sz w:val="22"/>
          <w:szCs w:val="22"/>
        </w:rPr>
        <w:t xml:space="preserve">, </w:t>
      </w:r>
      <w:proofErr w:type="spellStart"/>
      <w:r w:rsidRPr="00B02C10">
        <w:rPr>
          <w:rFonts w:ascii="Times New Roman" w:hAnsi="Times New Roman" w:cs="Times New Roman"/>
          <w:sz w:val="22"/>
          <w:szCs w:val="22"/>
        </w:rPr>
        <w:t>Mamuneas</w:t>
      </w:r>
      <w:proofErr w:type="spellEnd"/>
      <w:r w:rsidRPr="00B02C10">
        <w:rPr>
          <w:rFonts w:ascii="Times New Roman" w:hAnsi="Times New Roman" w:cs="Times New Roman"/>
          <w:sz w:val="22"/>
          <w:szCs w:val="22"/>
        </w:rPr>
        <w:t xml:space="preserve"> and </w:t>
      </w:r>
      <w:proofErr w:type="spellStart"/>
      <w:r w:rsidRPr="00B02C10">
        <w:rPr>
          <w:rFonts w:ascii="Times New Roman" w:hAnsi="Times New Roman" w:cs="Times New Roman"/>
          <w:sz w:val="22"/>
          <w:szCs w:val="22"/>
        </w:rPr>
        <w:t>Stengos</w:t>
      </w:r>
      <w:proofErr w:type="spellEnd"/>
      <w:r w:rsidRPr="00B02C10">
        <w:rPr>
          <w:rFonts w:ascii="Times New Roman" w:hAnsi="Times New Roman" w:cs="Times New Roman"/>
          <w:sz w:val="22"/>
          <w:szCs w:val="22"/>
        </w:rPr>
        <w:t xml:space="preserve"> (2003, 2011) and generally labeled as KMS.  However, we have not adopted this RAM since it is arguably best suited to evaluating work of leading institutions and leading economists.  For example, with respect to our database, KMS assigns non-zero weights to only 46 percent of the papers produced by New Zealand economi</w:t>
      </w:r>
      <w:r>
        <w:rPr>
          <w:rFonts w:ascii="Times New Roman" w:hAnsi="Times New Roman" w:cs="Times New Roman"/>
          <w:sz w:val="22"/>
          <w:szCs w:val="22"/>
        </w:rPr>
        <w:t>sts over the period 2006-2011. I</w:t>
      </w:r>
      <w:r w:rsidRPr="00B02C10">
        <w:rPr>
          <w:rFonts w:ascii="Times New Roman" w:hAnsi="Times New Roman" w:cs="Times New Roman"/>
          <w:sz w:val="22"/>
          <w:szCs w:val="22"/>
        </w:rPr>
        <w:t xml:space="preserve">n addition, for a large number of regional journals, the weights are trivial. For example, under the 2011 version of KMS, a researcher must publish 221 papers in the </w:t>
      </w:r>
      <w:r w:rsidRPr="00B02C10">
        <w:rPr>
          <w:rFonts w:ascii="Times New Roman" w:hAnsi="Times New Roman" w:cs="Times New Roman"/>
          <w:i/>
          <w:sz w:val="22"/>
          <w:szCs w:val="22"/>
        </w:rPr>
        <w:t>Economic Record</w:t>
      </w:r>
      <w:r w:rsidRPr="00B02C10">
        <w:rPr>
          <w:rFonts w:ascii="Times New Roman" w:hAnsi="Times New Roman" w:cs="Times New Roman"/>
          <w:sz w:val="22"/>
          <w:szCs w:val="22"/>
        </w:rPr>
        <w:t xml:space="preserve">, 1988 in the </w:t>
      </w:r>
      <w:r w:rsidRPr="00B02C10">
        <w:rPr>
          <w:rFonts w:ascii="Times New Roman" w:hAnsi="Times New Roman" w:cs="Times New Roman"/>
          <w:i/>
          <w:sz w:val="22"/>
          <w:szCs w:val="22"/>
        </w:rPr>
        <w:t>Australian Economic Review</w:t>
      </w:r>
      <w:r w:rsidRPr="00B02C10">
        <w:rPr>
          <w:rFonts w:ascii="Times New Roman" w:hAnsi="Times New Roman" w:cs="Times New Roman"/>
          <w:sz w:val="22"/>
          <w:szCs w:val="22"/>
        </w:rPr>
        <w:t xml:space="preserve"> and an infinite number in the </w:t>
      </w:r>
      <w:r w:rsidRPr="00B02C10">
        <w:rPr>
          <w:rFonts w:ascii="Times New Roman" w:hAnsi="Times New Roman" w:cs="Times New Roman"/>
          <w:i/>
          <w:sz w:val="22"/>
          <w:szCs w:val="22"/>
        </w:rPr>
        <w:t>New Zealand Economic Papers</w:t>
      </w:r>
      <w:r w:rsidRPr="00B02C10">
        <w:rPr>
          <w:rFonts w:ascii="Times New Roman" w:hAnsi="Times New Roman" w:cs="Times New Roman"/>
          <w:sz w:val="22"/>
          <w:szCs w:val="22"/>
        </w:rPr>
        <w:t xml:space="preserve"> (unranked by KMS) to equal one in the </w:t>
      </w:r>
      <w:r w:rsidRPr="00B02C10">
        <w:rPr>
          <w:rFonts w:ascii="Times New Roman" w:hAnsi="Times New Roman" w:cs="Times New Roman"/>
          <w:i/>
          <w:sz w:val="22"/>
          <w:szCs w:val="22"/>
        </w:rPr>
        <w:t>Quarterly Journal of Economics</w:t>
      </w:r>
      <w:r w:rsidRPr="00B02C10">
        <w:rPr>
          <w:rFonts w:ascii="Times New Roman" w:hAnsi="Times New Roman" w:cs="Times New Roman"/>
          <w:sz w:val="22"/>
          <w:szCs w:val="22"/>
        </w:rPr>
        <w:t xml:space="preserve">.  We should note that the </w:t>
      </w:r>
      <w:r w:rsidRPr="00B02C10">
        <w:rPr>
          <w:rFonts w:ascii="Times New Roman" w:hAnsi="Times New Roman" w:cs="Times New Roman"/>
          <w:i/>
          <w:sz w:val="22"/>
          <w:szCs w:val="22"/>
        </w:rPr>
        <w:t>New Zealand Economic Papers</w:t>
      </w:r>
      <w:r w:rsidRPr="00B02C10">
        <w:rPr>
          <w:rFonts w:ascii="Times New Roman" w:hAnsi="Times New Roman" w:cs="Times New Roman"/>
          <w:sz w:val="22"/>
          <w:szCs w:val="22"/>
        </w:rPr>
        <w:t xml:space="preserve"> is New Zealand’s leading economics journal and the journal that published the most papers produced by New Zealand’s academic economists over the 2006-2011 </w:t>
      </w:r>
      <w:proofErr w:type="gramStart"/>
      <w:r w:rsidRPr="00B02C10">
        <w:rPr>
          <w:rFonts w:ascii="Times New Roman" w:hAnsi="Times New Roman" w:cs="Times New Roman"/>
          <w:sz w:val="22"/>
          <w:szCs w:val="22"/>
        </w:rPr>
        <w:t>period</w:t>
      </w:r>
      <w:proofErr w:type="gramEnd"/>
      <w:r w:rsidRPr="00B02C10">
        <w:rPr>
          <w:rFonts w:ascii="Times New Roman" w:hAnsi="Times New Roman" w:cs="Times New Roman"/>
          <w:sz w:val="22"/>
          <w:szCs w:val="22"/>
        </w:rPr>
        <w:t xml:space="preserve">.    </w:t>
      </w:r>
    </w:p>
  </w:footnote>
  <w:footnote w:id="15">
    <w:p w14:paraId="1B6729A8" w14:textId="77777777" w:rsidR="001327B4" w:rsidRPr="00C53F4C" w:rsidRDefault="001327B4" w:rsidP="00567DDE">
      <w:pPr>
        <w:pStyle w:val="FootnoteText"/>
        <w:ind w:left="284" w:hanging="284"/>
        <w:jc w:val="both"/>
        <w:rPr>
          <w:rFonts w:ascii="Times New Roman" w:hAnsi="Times New Roman" w:cs="Times New Roman"/>
          <w:sz w:val="22"/>
          <w:szCs w:val="22"/>
        </w:rPr>
      </w:pPr>
      <w:r w:rsidRPr="008661AF">
        <w:rPr>
          <w:rStyle w:val="FootnoteReference"/>
        </w:rPr>
        <w:footnoteRef/>
      </w:r>
      <w:r w:rsidRPr="008661AF">
        <w:t xml:space="preserve"> </w:t>
      </w:r>
      <w:r>
        <w:tab/>
      </w:r>
      <w:r w:rsidRPr="00C53F4C">
        <w:rPr>
          <w:rFonts w:ascii="Times New Roman" w:hAnsi="Times New Roman" w:cs="Times New Roman"/>
          <w:sz w:val="22"/>
          <w:szCs w:val="22"/>
        </w:rPr>
        <w:t xml:space="preserve">Size adjustment factors for over 500 journals were kindly provided by Joseph </w:t>
      </w:r>
      <w:proofErr w:type="spellStart"/>
      <w:r w:rsidRPr="00C53F4C">
        <w:rPr>
          <w:rFonts w:ascii="Times New Roman" w:hAnsi="Times New Roman" w:cs="Times New Roman"/>
          <w:sz w:val="22"/>
          <w:szCs w:val="22"/>
        </w:rPr>
        <w:t>Macri</w:t>
      </w:r>
      <w:proofErr w:type="spellEnd"/>
      <w:r w:rsidRPr="00C53F4C">
        <w:rPr>
          <w:rFonts w:ascii="Times New Roman" w:hAnsi="Times New Roman" w:cs="Times New Roman"/>
          <w:sz w:val="22"/>
          <w:szCs w:val="22"/>
        </w:rPr>
        <w:t>; for all other journals, we used a conversion factor of 0.72.  This estimate is derived from Gibson (2000).</w:t>
      </w:r>
    </w:p>
  </w:footnote>
  <w:footnote w:id="16">
    <w:p w14:paraId="63CC5470" w14:textId="2A6E9B0F" w:rsidR="001327B4" w:rsidRPr="008226D0" w:rsidRDefault="001327B4" w:rsidP="008226D0">
      <w:pPr>
        <w:pStyle w:val="FootnoteText"/>
        <w:ind w:left="284" w:hanging="284"/>
        <w:jc w:val="both"/>
        <w:rPr>
          <w:rFonts w:ascii="Times New Roman" w:hAnsi="Times New Roman" w:cs="Times New Roman"/>
          <w:sz w:val="22"/>
          <w:szCs w:val="22"/>
          <w:lang w:val="en-NZ"/>
        </w:rPr>
      </w:pPr>
      <w:r>
        <w:rPr>
          <w:rStyle w:val="FootnoteReference"/>
        </w:rPr>
        <w:footnoteRef/>
      </w:r>
      <w:r>
        <w:t xml:space="preserve"> </w:t>
      </w:r>
      <w:r w:rsidRPr="008226D0">
        <w:rPr>
          <w:rFonts w:ascii="Times New Roman" w:hAnsi="Times New Roman" w:cs="Times New Roman"/>
          <w:sz w:val="22"/>
          <w:szCs w:val="22"/>
        </w:rPr>
        <w:tab/>
      </w:r>
      <w:r w:rsidRPr="008226D0">
        <w:rPr>
          <w:rFonts w:ascii="Times New Roman" w:hAnsi="Times New Roman" w:cs="Times New Roman"/>
          <w:sz w:val="22"/>
          <w:szCs w:val="22"/>
          <w:lang w:val="en-NZ"/>
        </w:rPr>
        <w:t>The interpretation of KT in this way is exact if there are no ties in the rankings or the Kendall-Tau (a) measure is used.  We have reported the more conventional Kendall-Tau (b) that adjusts for ties differently.  In our sample the differences between these two KT measures are very small.</w:t>
      </w:r>
    </w:p>
    <w:p w14:paraId="63D23EEB" w14:textId="77777777" w:rsidR="001327B4" w:rsidRPr="008226D0" w:rsidRDefault="001327B4" w:rsidP="00EA6568">
      <w:pPr>
        <w:pStyle w:val="FootnoteText"/>
        <w:jc w:val="both"/>
        <w:rPr>
          <w:rFonts w:ascii="Times New Roman" w:hAnsi="Times New Roman" w:cs="Times New Roman"/>
          <w:sz w:val="22"/>
          <w:szCs w:val="22"/>
          <w:lang w:val="en-NZ"/>
        </w:rPr>
      </w:pPr>
    </w:p>
  </w:footnote>
  <w:footnote w:id="17">
    <w:p w14:paraId="7FDC03F0" w14:textId="77777777" w:rsidR="001327B4" w:rsidRPr="00316E1D" w:rsidRDefault="001327B4" w:rsidP="00567DDE">
      <w:pPr>
        <w:pStyle w:val="FootnoteText"/>
        <w:ind w:left="284" w:hanging="284"/>
        <w:jc w:val="both"/>
        <w:rPr>
          <w:rFonts w:ascii="Times New Roman" w:hAnsi="Times New Roman" w:cs="Times New Roman"/>
          <w:sz w:val="22"/>
          <w:szCs w:val="22"/>
        </w:rPr>
      </w:pPr>
      <w:r w:rsidRPr="00316E1D">
        <w:rPr>
          <w:rStyle w:val="FootnoteReference"/>
          <w:rFonts w:ascii="Times New Roman" w:hAnsi="Times New Roman" w:cs="Times New Roman"/>
          <w:sz w:val="22"/>
          <w:szCs w:val="22"/>
        </w:rPr>
        <w:footnoteRef/>
      </w:r>
      <w:r w:rsidRPr="00316E1D">
        <w:rPr>
          <w:rFonts w:ascii="Times New Roman" w:hAnsi="Times New Roman" w:cs="Times New Roman"/>
          <w:sz w:val="22"/>
          <w:szCs w:val="22"/>
        </w:rPr>
        <w:t xml:space="preserve"> </w:t>
      </w:r>
      <w:r>
        <w:rPr>
          <w:rFonts w:ascii="Times New Roman" w:hAnsi="Times New Roman" w:cs="Times New Roman"/>
          <w:sz w:val="22"/>
          <w:szCs w:val="22"/>
        </w:rPr>
        <w:tab/>
      </w:r>
      <w:r w:rsidRPr="00316E1D">
        <w:rPr>
          <w:rFonts w:ascii="Times New Roman" w:hAnsi="Times New Roman" w:cs="Times New Roman"/>
          <w:sz w:val="22"/>
          <w:szCs w:val="22"/>
        </w:rPr>
        <w:t xml:space="preserve">It is important to recall that for pragmatic reasons we have restricted countable research to refereed papers in </w:t>
      </w:r>
      <w:proofErr w:type="spellStart"/>
      <w:r w:rsidRPr="00316E1D">
        <w:rPr>
          <w:rFonts w:ascii="Times New Roman" w:hAnsi="Times New Roman" w:cs="Times New Roman"/>
          <w:sz w:val="22"/>
          <w:szCs w:val="22"/>
        </w:rPr>
        <w:t>EconLit</w:t>
      </w:r>
      <w:proofErr w:type="spellEnd"/>
      <w:r w:rsidRPr="00316E1D">
        <w:rPr>
          <w:rFonts w:ascii="Times New Roman" w:hAnsi="Times New Roman" w:cs="Times New Roman"/>
          <w:sz w:val="22"/>
          <w:szCs w:val="22"/>
        </w:rPr>
        <w:t xml:space="preserve"> listed journals.  We acknowledge that this constraint understates total research activity since we ignore conference papers, monographs, text books and working papers.  In doing so, we are following the prevailing approach to be found in the economics literature.</w:t>
      </w:r>
    </w:p>
  </w:footnote>
  <w:footnote w:id="18">
    <w:p w14:paraId="1F040A8B" w14:textId="39DC2442" w:rsidR="001327B4" w:rsidRPr="00056BD0" w:rsidRDefault="001327B4" w:rsidP="00056BD0">
      <w:pPr>
        <w:pStyle w:val="FootnoteText"/>
        <w:ind w:left="284" w:hanging="284"/>
        <w:rPr>
          <w:rFonts w:ascii="Times New Roman" w:hAnsi="Times New Roman" w:cs="Times New Roman"/>
          <w:sz w:val="22"/>
          <w:szCs w:val="22"/>
          <w:lang w:val="en-US"/>
        </w:rPr>
      </w:pPr>
      <w:r w:rsidRPr="00056BD0">
        <w:rPr>
          <w:rStyle w:val="FootnoteReference"/>
          <w:rFonts w:ascii="Times New Roman" w:hAnsi="Times New Roman" w:cs="Times New Roman"/>
          <w:sz w:val="22"/>
          <w:szCs w:val="22"/>
        </w:rPr>
        <w:footnoteRef/>
      </w:r>
      <w:r w:rsidRPr="00056BD0">
        <w:rPr>
          <w:rFonts w:ascii="Times New Roman" w:hAnsi="Times New Roman" w:cs="Times New Roman"/>
          <w:sz w:val="22"/>
          <w:szCs w:val="22"/>
        </w:rPr>
        <w:t xml:space="preserve"> </w:t>
      </w:r>
      <w:r>
        <w:rPr>
          <w:rFonts w:ascii="Times New Roman" w:hAnsi="Times New Roman" w:cs="Times New Roman"/>
          <w:sz w:val="22"/>
          <w:szCs w:val="22"/>
        </w:rPr>
        <w:tab/>
      </w:r>
      <w:r w:rsidRPr="00056BD0">
        <w:rPr>
          <w:rFonts w:ascii="Times New Roman" w:hAnsi="Times New Roman" w:cs="Times New Roman"/>
          <w:sz w:val="22"/>
          <w:szCs w:val="22"/>
        </w:rPr>
        <w:t>The identifiers for all 113 researchers were randomly selected.</w:t>
      </w:r>
    </w:p>
  </w:footnote>
  <w:footnote w:id="19">
    <w:p w14:paraId="33E135D5" w14:textId="6DB5616B" w:rsidR="001327B4" w:rsidRPr="00E6612C" w:rsidRDefault="001327B4" w:rsidP="00E6612C">
      <w:pPr>
        <w:pStyle w:val="FootnoteText"/>
        <w:ind w:left="284" w:hanging="284"/>
        <w:jc w:val="both"/>
        <w:rPr>
          <w:rFonts w:ascii="Times New Roman" w:hAnsi="Times New Roman" w:cs="Times New Roman"/>
          <w:sz w:val="22"/>
          <w:szCs w:val="22"/>
          <w:lang w:val="en-US"/>
        </w:rPr>
      </w:pPr>
      <w:r w:rsidRPr="00E6612C">
        <w:rPr>
          <w:rStyle w:val="FootnoteReference"/>
          <w:rFonts w:ascii="Times New Roman" w:hAnsi="Times New Roman" w:cs="Times New Roman"/>
          <w:sz w:val="22"/>
          <w:szCs w:val="22"/>
        </w:rPr>
        <w:footnoteRef/>
      </w:r>
      <w:r w:rsidRPr="00E6612C">
        <w:rPr>
          <w:rFonts w:ascii="Times New Roman" w:hAnsi="Times New Roman" w:cs="Times New Roman"/>
          <w:sz w:val="22"/>
          <w:szCs w:val="22"/>
        </w:rPr>
        <w:t xml:space="preserve"> </w:t>
      </w:r>
      <w:r>
        <w:rPr>
          <w:rFonts w:ascii="Times New Roman" w:hAnsi="Times New Roman" w:cs="Times New Roman"/>
          <w:sz w:val="22"/>
          <w:szCs w:val="22"/>
        </w:rPr>
        <w:tab/>
      </w:r>
      <w:r w:rsidRPr="00E6612C">
        <w:rPr>
          <w:rFonts w:ascii="Times New Roman" w:hAnsi="Times New Roman" w:cs="Times New Roman"/>
          <w:sz w:val="22"/>
          <w:szCs w:val="22"/>
          <w:lang w:val="en-US"/>
        </w:rPr>
        <w:t>Interestingly, this researcher just failed to hold on to an ‘A’- missing by one rank (finishing in 18</w:t>
      </w:r>
      <w:r w:rsidRPr="00E6612C">
        <w:rPr>
          <w:rFonts w:ascii="Times New Roman" w:hAnsi="Times New Roman" w:cs="Times New Roman"/>
          <w:sz w:val="22"/>
          <w:szCs w:val="22"/>
          <w:vertAlign w:val="superscript"/>
          <w:lang w:val="en-US"/>
        </w:rPr>
        <w:t>th</w:t>
      </w:r>
      <w:r w:rsidRPr="00E6612C">
        <w:rPr>
          <w:rFonts w:ascii="Times New Roman" w:hAnsi="Times New Roman" w:cs="Times New Roman"/>
          <w:sz w:val="22"/>
          <w:szCs w:val="22"/>
          <w:lang w:val="en-US"/>
        </w:rPr>
        <w:t xml:space="preserve"> position). </w:t>
      </w:r>
    </w:p>
    <w:p w14:paraId="684624C6" w14:textId="77777777" w:rsidR="001327B4" w:rsidRPr="00567DDE" w:rsidRDefault="001327B4" w:rsidP="00E6612C">
      <w:pPr>
        <w:pStyle w:val="FootnoteText"/>
        <w:ind w:left="284" w:hanging="284"/>
        <w:jc w:val="both"/>
        <w:rPr>
          <w:rFonts w:ascii="Times New Roman" w:hAnsi="Times New Roman" w:cs="Times New Roman"/>
          <w:sz w:val="10"/>
          <w:szCs w:val="10"/>
          <w:lang w:val="en-US"/>
        </w:rPr>
      </w:pPr>
    </w:p>
  </w:footnote>
  <w:footnote w:id="20">
    <w:p w14:paraId="06B90979" w14:textId="626732F7" w:rsidR="001327B4" w:rsidRPr="00E6612C" w:rsidRDefault="001327B4" w:rsidP="00E6612C">
      <w:pPr>
        <w:pStyle w:val="FootnoteText"/>
        <w:ind w:left="284" w:hanging="284"/>
        <w:jc w:val="both"/>
        <w:rPr>
          <w:rFonts w:ascii="Times New Roman" w:hAnsi="Times New Roman" w:cs="Times New Roman"/>
          <w:sz w:val="22"/>
          <w:szCs w:val="22"/>
          <w:lang w:val="en-US"/>
        </w:rPr>
      </w:pPr>
      <w:r w:rsidRPr="00E6612C">
        <w:rPr>
          <w:rStyle w:val="FootnoteReference"/>
          <w:rFonts w:ascii="Times New Roman" w:hAnsi="Times New Roman" w:cs="Times New Roman"/>
          <w:sz w:val="22"/>
          <w:szCs w:val="22"/>
        </w:rPr>
        <w:footnoteRef/>
      </w:r>
      <w:r w:rsidRPr="00E6612C">
        <w:rPr>
          <w:rFonts w:ascii="Times New Roman" w:hAnsi="Times New Roman" w:cs="Times New Roman"/>
          <w:sz w:val="22"/>
          <w:szCs w:val="22"/>
        </w:rPr>
        <w:t xml:space="preserve"> </w:t>
      </w:r>
      <w:r>
        <w:rPr>
          <w:rFonts w:ascii="Times New Roman" w:hAnsi="Times New Roman" w:cs="Times New Roman"/>
          <w:sz w:val="22"/>
          <w:szCs w:val="22"/>
        </w:rPr>
        <w:tab/>
      </w:r>
      <w:r w:rsidRPr="00E6612C">
        <w:rPr>
          <w:rFonts w:ascii="Times New Roman" w:hAnsi="Times New Roman" w:cs="Times New Roman"/>
          <w:sz w:val="22"/>
          <w:szCs w:val="22"/>
          <w:lang w:val="en-US"/>
        </w:rPr>
        <w:t>These two researchers were ranked 19</w:t>
      </w:r>
      <w:r w:rsidRPr="00E6612C">
        <w:rPr>
          <w:rFonts w:ascii="Times New Roman" w:hAnsi="Times New Roman" w:cs="Times New Roman"/>
          <w:sz w:val="22"/>
          <w:szCs w:val="22"/>
          <w:vertAlign w:val="superscript"/>
          <w:lang w:val="en-US"/>
        </w:rPr>
        <w:t>th</w:t>
      </w:r>
      <w:r w:rsidRPr="00E6612C">
        <w:rPr>
          <w:rFonts w:ascii="Times New Roman" w:hAnsi="Times New Roman" w:cs="Times New Roman"/>
          <w:sz w:val="22"/>
          <w:szCs w:val="22"/>
          <w:lang w:val="en-US"/>
        </w:rPr>
        <w:t xml:space="preserve"> and 20</w:t>
      </w:r>
      <w:r w:rsidRPr="00E6612C">
        <w:rPr>
          <w:rFonts w:ascii="Times New Roman" w:hAnsi="Times New Roman" w:cs="Times New Roman"/>
          <w:sz w:val="22"/>
          <w:szCs w:val="22"/>
          <w:vertAlign w:val="superscript"/>
          <w:lang w:val="en-US"/>
        </w:rPr>
        <w:t>th</w:t>
      </w:r>
      <w:r w:rsidRPr="00E6612C">
        <w:rPr>
          <w:rFonts w:ascii="Times New Roman" w:hAnsi="Times New Roman" w:cs="Times New Roman"/>
          <w:sz w:val="22"/>
          <w:szCs w:val="22"/>
          <w:lang w:val="en-US"/>
        </w:rPr>
        <w:t xml:space="preserve"> under </w:t>
      </w:r>
      <w:proofErr w:type="spellStart"/>
      <w:r w:rsidRPr="00E6612C">
        <w:rPr>
          <w:rFonts w:ascii="Times New Roman" w:hAnsi="Times New Roman" w:cs="Times New Roman"/>
          <w:b/>
          <w:sz w:val="22"/>
          <w:szCs w:val="22"/>
          <w:lang w:val="en-US"/>
        </w:rPr>
        <w:t>CLh</w:t>
      </w:r>
      <w:proofErr w:type="gramStart"/>
      <w:r w:rsidRPr="00E6612C">
        <w:rPr>
          <w:rFonts w:ascii="Times New Roman" w:hAnsi="Times New Roman" w:cs="Times New Roman"/>
          <w:b/>
          <w:sz w:val="22"/>
          <w:szCs w:val="22"/>
          <w:lang w:val="en-US"/>
        </w:rPr>
        <w:t>,pp,s</w:t>
      </w:r>
      <w:proofErr w:type="spellEnd"/>
      <w:proofErr w:type="gramEnd"/>
      <w:r w:rsidRPr="00E6612C">
        <w:rPr>
          <w:rFonts w:ascii="Times New Roman" w:hAnsi="Times New Roman" w:cs="Times New Roman"/>
          <w:sz w:val="22"/>
          <w:szCs w:val="22"/>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33E6"/>
    <w:multiLevelType w:val="hybridMultilevel"/>
    <w:tmpl w:val="B3F2C70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EA57358"/>
    <w:multiLevelType w:val="hybridMultilevel"/>
    <w:tmpl w:val="195C2F12"/>
    <w:lvl w:ilvl="0" w:tplc="6EEE351E">
      <w:start w:val="1"/>
      <w:numFmt w:val="lowerLetter"/>
      <w:lvlText w:val="(%1)"/>
      <w:lvlJc w:val="left"/>
      <w:pPr>
        <w:ind w:left="405" w:hanging="360"/>
      </w:pPr>
      <w:rPr>
        <w:rFonts w:hint="default"/>
        <w:b/>
      </w:rPr>
    </w:lvl>
    <w:lvl w:ilvl="1" w:tplc="14090019" w:tentative="1">
      <w:start w:val="1"/>
      <w:numFmt w:val="lowerLetter"/>
      <w:lvlText w:val="%2."/>
      <w:lvlJc w:val="left"/>
      <w:pPr>
        <w:ind w:left="1125" w:hanging="360"/>
      </w:pPr>
    </w:lvl>
    <w:lvl w:ilvl="2" w:tplc="1409001B" w:tentative="1">
      <w:start w:val="1"/>
      <w:numFmt w:val="lowerRoman"/>
      <w:lvlText w:val="%3."/>
      <w:lvlJc w:val="right"/>
      <w:pPr>
        <w:ind w:left="1845" w:hanging="180"/>
      </w:pPr>
    </w:lvl>
    <w:lvl w:ilvl="3" w:tplc="1409000F" w:tentative="1">
      <w:start w:val="1"/>
      <w:numFmt w:val="decimal"/>
      <w:lvlText w:val="%4."/>
      <w:lvlJc w:val="left"/>
      <w:pPr>
        <w:ind w:left="2565" w:hanging="360"/>
      </w:pPr>
    </w:lvl>
    <w:lvl w:ilvl="4" w:tplc="14090019" w:tentative="1">
      <w:start w:val="1"/>
      <w:numFmt w:val="lowerLetter"/>
      <w:lvlText w:val="%5."/>
      <w:lvlJc w:val="left"/>
      <w:pPr>
        <w:ind w:left="3285" w:hanging="360"/>
      </w:pPr>
    </w:lvl>
    <w:lvl w:ilvl="5" w:tplc="1409001B" w:tentative="1">
      <w:start w:val="1"/>
      <w:numFmt w:val="lowerRoman"/>
      <w:lvlText w:val="%6."/>
      <w:lvlJc w:val="right"/>
      <w:pPr>
        <w:ind w:left="4005" w:hanging="180"/>
      </w:pPr>
    </w:lvl>
    <w:lvl w:ilvl="6" w:tplc="1409000F" w:tentative="1">
      <w:start w:val="1"/>
      <w:numFmt w:val="decimal"/>
      <w:lvlText w:val="%7."/>
      <w:lvlJc w:val="left"/>
      <w:pPr>
        <w:ind w:left="4725" w:hanging="360"/>
      </w:pPr>
    </w:lvl>
    <w:lvl w:ilvl="7" w:tplc="14090019" w:tentative="1">
      <w:start w:val="1"/>
      <w:numFmt w:val="lowerLetter"/>
      <w:lvlText w:val="%8."/>
      <w:lvlJc w:val="left"/>
      <w:pPr>
        <w:ind w:left="5445" w:hanging="360"/>
      </w:pPr>
    </w:lvl>
    <w:lvl w:ilvl="8" w:tplc="1409001B" w:tentative="1">
      <w:start w:val="1"/>
      <w:numFmt w:val="lowerRoman"/>
      <w:lvlText w:val="%9."/>
      <w:lvlJc w:val="right"/>
      <w:pPr>
        <w:ind w:left="6165" w:hanging="180"/>
      </w:pPr>
    </w:lvl>
  </w:abstractNum>
  <w:abstractNum w:abstractNumId="2">
    <w:nsid w:val="341B3A16"/>
    <w:multiLevelType w:val="hybridMultilevel"/>
    <w:tmpl w:val="220ECD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3E616168"/>
    <w:multiLevelType w:val="hybridMultilevel"/>
    <w:tmpl w:val="F7DAEBA4"/>
    <w:lvl w:ilvl="0" w:tplc="819CBD0C">
      <w:start w:val="1"/>
      <w:numFmt w:val="lowerLetter"/>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44D321C0"/>
    <w:multiLevelType w:val="hybridMultilevel"/>
    <w:tmpl w:val="66789EC6"/>
    <w:lvl w:ilvl="0" w:tplc="794A69BA">
      <w:start w:val="1"/>
      <w:numFmt w:val="lowerLetter"/>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47E615AA"/>
    <w:multiLevelType w:val="hybridMultilevel"/>
    <w:tmpl w:val="A8E6243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51E92D87"/>
    <w:multiLevelType w:val="hybridMultilevel"/>
    <w:tmpl w:val="629C9104"/>
    <w:lvl w:ilvl="0" w:tplc="96B653CE">
      <w:start w:val="1"/>
      <w:numFmt w:val="lowerLetter"/>
      <w:lvlText w:val="(%1)"/>
      <w:lvlJc w:val="left"/>
      <w:pPr>
        <w:ind w:left="405" w:hanging="360"/>
      </w:pPr>
      <w:rPr>
        <w:rFonts w:hint="default"/>
        <w:b/>
      </w:rPr>
    </w:lvl>
    <w:lvl w:ilvl="1" w:tplc="14090019" w:tentative="1">
      <w:start w:val="1"/>
      <w:numFmt w:val="lowerLetter"/>
      <w:lvlText w:val="%2."/>
      <w:lvlJc w:val="left"/>
      <w:pPr>
        <w:ind w:left="1125" w:hanging="360"/>
      </w:pPr>
    </w:lvl>
    <w:lvl w:ilvl="2" w:tplc="1409001B" w:tentative="1">
      <w:start w:val="1"/>
      <w:numFmt w:val="lowerRoman"/>
      <w:lvlText w:val="%3."/>
      <w:lvlJc w:val="right"/>
      <w:pPr>
        <w:ind w:left="1845" w:hanging="180"/>
      </w:pPr>
    </w:lvl>
    <w:lvl w:ilvl="3" w:tplc="1409000F" w:tentative="1">
      <w:start w:val="1"/>
      <w:numFmt w:val="decimal"/>
      <w:lvlText w:val="%4."/>
      <w:lvlJc w:val="left"/>
      <w:pPr>
        <w:ind w:left="2565" w:hanging="360"/>
      </w:pPr>
    </w:lvl>
    <w:lvl w:ilvl="4" w:tplc="14090019" w:tentative="1">
      <w:start w:val="1"/>
      <w:numFmt w:val="lowerLetter"/>
      <w:lvlText w:val="%5."/>
      <w:lvlJc w:val="left"/>
      <w:pPr>
        <w:ind w:left="3285" w:hanging="360"/>
      </w:pPr>
    </w:lvl>
    <w:lvl w:ilvl="5" w:tplc="1409001B" w:tentative="1">
      <w:start w:val="1"/>
      <w:numFmt w:val="lowerRoman"/>
      <w:lvlText w:val="%6."/>
      <w:lvlJc w:val="right"/>
      <w:pPr>
        <w:ind w:left="4005" w:hanging="180"/>
      </w:pPr>
    </w:lvl>
    <w:lvl w:ilvl="6" w:tplc="1409000F" w:tentative="1">
      <w:start w:val="1"/>
      <w:numFmt w:val="decimal"/>
      <w:lvlText w:val="%7."/>
      <w:lvlJc w:val="left"/>
      <w:pPr>
        <w:ind w:left="4725" w:hanging="360"/>
      </w:pPr>
    </w:lvl>
    <w:lvl w:ilvl="7" w:tplc="14090019" w:tentative="1">
      <w:start w:val="1"/>
      <w:numFmt w:val="lowerLetter"/>
      <w:lvlText w:val="%8."/>
      <w:lvlJc w:val="left"/>
      <w:pPr>
        <w:ind w:left="5445" w:hanging="360"/>
      </w:pPr>
    </w:lvl>
    <w:lvl w:ilvl="8" w:tplc="1409001B" w:tentative="1">
      <w:start w:val="1"/>
      <w:numFmt w:val="lowerRoman"/>
      <w:lvlText w:val="%9."/>
      <w:lvlJc w:val="right"/>
      <w:pPr>
        <w:ind w:left="6165" w:hanging="180"/>
      </w:pPr>
    </w:lvl>
  </w:abstractNum>
  <w:abstractNum w:abstractNumId="7">
    <w:nsid w:val="71521E8A"/>
    <w:multiLevelType w:val="hybridMultilevel"/>
    <w:tmpl w:val="73BA2384"/>
    <w:lvl w:ilvl="0" w:tplc="2D92B30C">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7"/>
  </w:num>
  <w:num w:numId="5">
    <w:abstractNumId w:val="6"/>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FEC"/>
    <w:rsid w:val="0000232A"/>
    <w:rsid w:val="00002638"/>
    <w:rsid w:val="000032E9"/>
    <w:rsid w:val="00010FD8"/>
    <w:rsid w:val="000154BA"/>
    <w:rsid w:val="00020425"/>
    <w:rsid w:val="0002232F"/>
    <w:rsid w:val="00024E0A"/>
    <w:rsid w:val="00026078"/>
    <w:rsid w:val="00031C0C"/>
    <w:rsid w:val="0003458E"/>
    <w:rsid w:val="00035AB2"/>
    <w:rsid w:val="00037314"/>
    <w:rsid w:val="00043BD7"/>
    <w:rsid w:val="00043ECF"/>
    <w:rsid w:val="00050D49"/>
    <w:rsid w:val="0005195E"/>
    <w:rsid w:val="00051E1D"/>
    <w:rsid w:val="00051ED4"/>
    <w:rsid w:val="00054238"/>
    <w:rsid w:val="00055B9C"/>
    <w:rsid w:val="00056BD0"/>
    <w:rsid w:val="000610B1"/>
    <w:rsid w:val="00064EBB"/>
    <w:rsid w:val="00065CF9"/>
    <w:rsid w:val="00066CA6"/>
    <w:rsid w:val="00071CAC"/>
    <w:rsid w:val="000729D5"/>
    <w:rsid w:val="00080408"/>
    <w:rsid w:val="00086DFD"/>
    <w:rsid w:val="000953A6"/>
    <w:rsid w:val="00095FB0"/>
    <w:rsid w:val="000A1004"/>
    <w:rsid w:val="000A7F68"/>
    <w:rsid w:val="000B151F"/>
    <w:rsid w:val="000B17F3"/>
    <w:rsid w:val="000B1979"/>
    <w:rsid w:val="000B2A8A"/>
    <w:rsid w:val="000B4CB5"/>
    <w:rsid w:val="000B4D59"/>
    <w:rsid w:val="000B67E7"/>
    <w:rsid w:val="000B7D27"/>
    <w:rsid w:val="000C4CD0"/>
    <w:rsid w:val="000C5EE8"/>
    <w:rsid w:val="000C5EF4"/>
    <w:rsid w:val="000C6600"/>
    <w:rsid w:val="000D03BD"/>
    <w:rsid w:val="000D03E1"/>
    <w:rsid w:val="000D7680"/>
    <w:rsid w:val="000E2DF6"/>
    <w:rsid w:val="000E532F"/>
    <w:rsid w:val="000F2609"/>
    <w:rsid w:val="000F39D9"/>
    <w:rsid w:val="000F4C70"/>
    <w:rsid w:val="000F71BF"/>
    <w:rsid w:val="001002AE"/>
    <w:rsid w:val="00101ABA"/>
    <w:rsid w:val="00102339"/>
    <w:rsid w:val="001070CF"/>
    <w:rsid w:val="0011069F"/>
    <w:rsid w:val="0011251D"/>
    <w:rsid w:val="00113F3B"/>
    <w:rsid w:val="001208EB"/>
    <w:rsid w:val="0012577D"/>
    <w:rsid w:val="001257EA"/>
    <w:rsid w:val="0012606A"/>
    <w:rsid w:val="0012696E"/>
    <w:rsid w:val="001327B4"/>
    <w:rsid w:val="00140D87"/>
    <w:rsid w:val="001427C4"/>
    <w:rsid w:val="00142902"/>
    <w:rsid w:val="00145D06"/>
    <w:rsid w:val="0014712B"/>
    <w:rsid w:val="001519E2"/>
    <w:rsid w:val="00155083"/>
    <w:rsid w:val="00156C4D"/>
    <w:rsid w:val="00157CBE"/>
    <w:rsid w:val="00160E0C"/>
    <w:rsid w:val="00163EA2"/>
    <w:rsid w:val="001676C8"/>
    <w:rsid w:val="00177758"/>
    <w:rsid w:val="001843B1"/>
    <w:rsid w:val="00186818"/>
    <w:rsid w:val="001878B8"/>
    <w:rsid w:val="001936B9"/>
    <w:rsid w:val="00194912"/>
    <w:rsid w:val="00194C7C"/>
    <w:rsid w:val="001978A7"/>
    <w:rsid w:val="001A024F"/>
    <w:rsid w:val="001A1438"/>
    <w:rsid w:val="001A14B5"/>
    <w:rsid w:val="001A1ED3"/>
    <w:rsid w:val="001A46EF"/>
    <w:rsid w:val="001A683F"/>
    <w:rsid w:val="001A6AD2"/>
    <w:rsid w:val="001A7B6A"/>
    <w:rsid w:val="001B2EE6"/>
    <w:rsid w:val="001B2F95"/>
    <w:rsid w:val="001B3597"/>
    <w:rsid w:val="001B5DCF"/>
    <w:rsid w:val="001C065C"/>
    <w:rsid w:val="001C1499"/>
    <w:rsid w:val="001C24FF"/>
    <w:rsid w:val="001C5381"/>
    <w:rsid w:val="001C56B6"/>
    <w:rsid w:val="001C6D88"/>
    <w:rsid w:val="001D209C"/>
    <w:rsid w:val="001D5844"/>
    <w:rsid w:val="001D7E76"/>
    <w:rsid w:val="001E005A"/>
    <w:rsid w:val="001E331A"/>
    <w:rsid w:val="001E4D94"/>
    <w:rsid w:val="001E584F"/>
    <w:rsid w:val="001E726A"/>
    <w:rsid w:val="001E7A4F"/>
    <w:rsid w:val="001F1554"/>
    <w:rsid w:val="001F35C5"/>
    <w:rsid w:val="001F4133"/>
    <w:rsid w:val="001F5161"/>
    <w:rsid w:val="002005EC"/>
    <w:rsid w:val="00201BC7"/>
    <w:rsid w:val="00204194"/>
    <w:rsid w:val="002069A6"/>
    <w:rsid w:val="00210ADE"/>
    <w:rsid w:val="002127D7"/>
    <w:rsid w:val="0022393D"/>
    <w:rsid w:val="002336FB"/>
    <w:rsid w:val="00233E98"/>
    <w:rsid w:val="002348A2"/>
    <w:rsid w:val="00235A5A"/>
    <w:rsid w:val="002363B4"/>
    <w:rsid w:val="00236AC1"/>
    <w:rsid w:val="00242660"/>
    <w:rsid w:val="0024313B"/>
    <w:rsid w:val="00246A9F"/>
    <w:rsid w:val="00247999"/>
    <w:rsid w:val="002504DC"/>
    <w:rsid w:val="00250E5B"/>
    <w:rsid w:val="0025164B"/>
    <w:rsid w:val="00251FA5"/>
    <w:rsid w:val="00255211"/>
    <w:rsid w:val="00265526"/>
    <w:rsid w:val="00273777"/>
    <w:rsid w:val="00282A6D"/>
    <w:rsid w:val="00283C81"/>
    <w:rsid w:val="00285F36"/>
    <w:rsid w:val="002903CC"/>
    <w:rsid w:val="002904D1"/>
    <w:rsid w:val="00291883"/>
    <w:rsid w:val="00291A2F"/>
    <w:rsid w:val="00291CB6"/>
    <w:rsid w:val="00292F45"/>
    <w:rsid w:val="002953CA"/>
    <w:rsid w:val="00295630"/>
    <w:rsid w:val="00295F46"/>
    <w:rsid w:val="002A08B0"/>
    <w:rsid w:val="002A411E"/>
    <w:rsid w:val="002A7A83"/>
    <w:rsid w:val="002B59C3"/>
    <w:rsid w:val="002C0BD3"/>
    <w:rsid w:val="002C2835"/>
    <w:rsid w:val="002C29EE"/>
    <w:rsid w:val="002C3A7F"/>
    <w:rsid w:val="002C6717"/>
    <w:rsid w:val="002D1F69"/>
    <w:rsid w:val="002D67E3"/>
    <w:rsid w:val="002E5BC6"/>
    <w:rsid w:val="002E71D2"/>
    <w:rsid w:val="002F132A"/>
    <w:rsid w:val="002F62F4"/>
    <w:rsid w:val="002F646A"/>
    <w:rsid w:val="002F6967"/>
    <w:rsid w:val="003002C3"/>
    <w:rsid w:val="00311956"/>
    <w:rsid w:val="00312D24"/>
    <w:rsid w:val="00313508"/>
    <w:rsid w:val="0031377F"/>
    <w:rsid w:val="00314163"/>
    <w:rsid w:val="00316E1D"/>
    <w:rsid w:val="00321374"/>
    <w:rsid w:val="0032197C"/>
    <w:rsid w:val="003303F3"/>
    <w:rsid w:val="00332792"/>
    <w:rsid w:val="0033421D"/>
    <w:rsid w:val="00337220"/>
    <w:rsid w:val="003411B6"/>
    <w:rsid w:val="00346E75"/>
    <w:rsid w:val="00347DDD"/>
    <w:rsid w:val="003515E4"/>
    <w:rsid w:val="003521E5"/>
    <w:rsid w:val="00354480"/>
    <w:rsid w:val="00362D2B"/>
    <w:rsid w:val="00362FFE"/>
    <w:rsid w:val="00367DB9"/>
    <w:rsid w:val="00370B99"/>
    <w:rsid w:val="0037255C"/>
    <w:rsid w:val="00376ABB"/>
    <w:rsid w:val="0038209D"/>
    <w:rsid w:val="00382D7A"/>
    <w:rsid w:val="00385773"/>
    <w:rsid w:val="003869C7"/>
    <w:rsid w:val="00387FEB"/>
    <w:rsid w:val="003906BA"/>
    <w:rsid w:val="0039454F"/>
    <w:rsid w:val="00394933"/>
    <w:rsid w:val="00395A22"/>
    <w:rsid w:val="003971F9"/>
    <w:rsid w:val="003977AC"/>
    <w:rsid w:val="00397B49"/>
    <w:rsid w:val="003B0101"/>
    <w:rsid w:val="003B3635"/>
    <w:rsid w:val="003B4187"/>
    <w:rsid w:val="003B4A69"/>
    <w:rsid w:val="003C0538"/>
    <w:rsid w:val="003D2D0D"/>
    <w:rsid w:val="003D691A"/>
    <w:rsid w:val="003D7A30"/>
    <w:rsid w:val="003E025D"/>
    <w:rsid w:val="003E53A2"/>
    <w:rsid w:val="003F0AFA"/>
    <w:rsid w:val="003F1441"/>
    <w:rsid w:val="003F2526"/>
    <w:rsid w:val="003F3A81"/>
    <w:rsid w:val="003F3B21"/>
    <w:rsid w:val="003F3C7F"/>
    <w:rsid w:val="003F65F0"/>
    <w:rsid w:val="00400EE4"/>
    <w:rsid w:val="004012E7"/>
    <w:rsid w:val="00403186"/>
    <w:rsid w:val="004032E0"/>
    <w:rsid w:val="00404F88"/>
    <w:rsid w:val="00406294"/>
    <w:rsid w:val="00406638"/>
    <w:rsid w:val="00407F05"/>
    <w:rsid w:val="0041133C"/>
    <w:rsid w:val="00412D44"/>
    <w:rsid w:val="00415084"/>
    <w:rsid w:val="0041751E"/>
    <w:rsid w:val="00421DCD"/>
    <w:rsid w:val="00422E41"/>
    <w:rsid w:val="004375B3"/>
    <w:rsid w:val="00440BD1"/>
    <w:rsid w:val="00443179"/>
    <w:rsid w:val="00443AED"/>
    <w:rsid w:val="004508A2"/>
    <w:rsid w:val="00451EA1"/>
    <w:rsid w:val="00453344"/>
    <w:rsid w:val="0045461E"/>
    <w:rsid w:val="00457B12"/>
    <w:rsid w:val="00465493"/>
    <w:rsid w:val="0047393A"/>
    <w:rsid w:val="004754CC"/>
    <w:rsid w:val="004769D8"/>
    <w:rsid w:val="0048593E"/>
    <w:rsid w:val="00486DB4"/>
    <w:rsid w:val="00493B9C"/>
    <w:rsid w:val="0049601D"/>
    <w:rsid w:val="00496BF0"/>
    <w:rsid w:val="004A01F6"/>
    <w:rsid w:val="004A6FDA"/>
    <w:rsid w:val="004B1DBA"/>
    <w:rsid w:val="004C535C"/>
    <w:rsid w:val="004D1903"/>
    <w:rsid w:val="004D7490"/>
    <w:rsid w:val="004D7DF5"/>
    <w:rsid w:val="004E30FB"/>
    <w:rsid w:val="004E539F"/>
    <w:rsid w:val="004E75F0"/>
    <w:rsid w:val="004F201E"/>
    <w:rsid w:val="0050436A"/>
    <w:rsid w:val="00505444"/>
    <w:rsid w:val="0050579D"/>
    <w:rsid w:val="00510F63"/>
    <w:rsid w:val="00511F6D"/>
    <w:rsid w:val="00514FB6"/>
    <w:rsid w:val="00521986"/>
    <w:rsid w:val="00521E5E"/>
    <w:rsid w:val="00524366"/>
    <w:rsid w:val="00525AB5"/>
    <w:rsid w:val="005277C2"/>
    <w:rsid w:val="00527D23"/>
    <w:rsid w:val="00534240"/>
    <w:rsid w:val="00535F85"/>
    <w:rsid w:val="00537D1C"/>
    <w:rsid w:val="00544D22"/>
    <w:rsid w:val="005500B1"/>
    <w:rsid w:val="00551F14"/>
    <w:rsid w:val="00553EB3"/>
    <w:rsid w:val="0055672E"/>
    <w:rsid w:val="00557BE9"/>
    <w:rsid w:val="00563097"/>
    <w:rsid w:val="00563640"/>
    <w:rsid w:val="00567DDE"/>
    <w:rsid w:val="00571008"/>
    <w:rsid w:val="00576C2A"/>
    <w:rsid w:val="005834A7"/>
    <w:rsid w:val="00585F70"/>
    <w:rsid w:val="00591121"/>
    <w:rsid w:val="00591C9C"/>
    <w:rsid w:val="005A1BE7"/>
    <w:rsid w:val="005A3132"/>
    <w:rsid w:val="005A50E2"/>
    <w:rsid w:val="005A7D9A"/>
    <w:rsid w:val="005B0CAE"/>
    <w:rsid w:val="005B25C1"/>
    <w:rsid w:val="005B3E7C"/>
    <w:rsid w:val="005C1885"/>
    <w:rsid w:val="005C33F8"/>
    <w:rsid w:val="005D0830"/>
    <w:rsid w:val="005E202A"/>
    <w:rsid w:val="005F1038"/>
    <w:rsid w:val="005F2B92"/>
    <w:rsid w:val="005F3657"/>
    <w:rsid w:val="005F64D5"/>
    <w:rsid w:val="005F7F2A"/>
    <w:rsid w:val="006009BB"/>
    <w:rsid w:val="00601CE8"/>
    <w:rsid w:val="00601F12"/>
    <w:rsid w:val="0060424D"/>
    <w:rsid w:val="00607014"/>
    <w:rsid w:val="0060757C"/>
    <w:rsid w:val="00610A34"/>
    <w:rsid w:val="00613A36"/>
    <w:rsid w:val="00614484"/>
    <w:rsid w:val="00620B38"/>
    <w:rsid w:val="00621A32"/>
    <w:rsid w:val="00621A6B"/>
    <w:rsid w:val="00633899"/>
    <w:rsid w:val="00636DE7"/>
    <w:rsid w:val="0064356F"/>
    <w:rsid w:val="006438A7"/>
    <w:rsid w:val="00644C00"/>
    <w:rsid w:val="00645BF0"/>
    <w:rsid w:val="00645CDC"/>
    <w:rsid w:val="006467A1"/>
    <w:rsid w:val="00650975"/>
    <w:rsid w:val="006543C3"/>
    <w:rsid w:val="006544E6"/>
    <w:rsid w:val="00654D7E"/>
    <w:rsid w:val="00656FB9"/>
    <w:rsid w:val="00661AB0"/>
    <w:rsid w:val="00662DFD"/>
    <w:rsid w:val="00670341"/>
    <w:rsid w:val="00676051"/>
    <w:rsid w:val="00677285"/>
    <w:rsid w:val="00684557"/>
    <w:rsid w:val="00693D14"/>
    <w:rsid w:val="00693DF8"/>
    <w:rsid w:val="006A2622"/>
    <w:rsid w:val="006A38D2"/>
    <w:rsid w:val="006A76A1"/>
    <w:rsid w:val="006B3839"/>
    <w:rsid w:val="006C23DF"/>
    <w:rsid w:val="006D2BAC"/>
    <w:rsid w:val="006D4DEF"/>
    <w:rsid w:val="006D5394"/>
    <w:rsid w:val="006D5F21"/>
    <w:rsid w:val="006D68FA"/>
    <w:rsid w:val="006E4560"/>
    <w:rsid w:val="006F62A1"/>
    <w:rsid w:val="00703954"/>
    <w:rsid w:val="0070675A"/>
    <w:rsid w:val="0071069F"/>
    <w:rsid w:val="00710E4B"/>
    <w:rsid w:val="0071105F"/>
    <w:rsid w:val="007119AD"/>
    <w:rsid w:val="0071304E"/>
    <w:rsid w:val="007170ED"/>
    <w:rsid w:val="00720F4A"/>
    <w:rsid w:val="007254B2"/>
    <w:rsid w:val="0073693A"/>
    <w:rsid w:val="00741917"/>
    <w:rsid w:val="00745D7C"/>
    <w:rsid w:val="00747300"/>
    <w:rsid w:val="00750297"/>
    <w:rsid w:val="007514FB"/>
    <w:rsid w:val="00751DA1"/>
    <w:rsid w:val="00755228"/>
    <w:rsid w:val="00755777"/>
    <w:rsid w:val="00756445"/>
    <w:rsid w:val="00756A12"/>
    <w:rsid w:val="007624D7"/>
    <w:rsid w:val="00765173"/>
    <w:rsid w:val="00765AC7"/>
    <w:rsid w:val="00766704"/>
    <w:rsid w:val="00767DEA"/>
    <w:rsid w:val="007701C4"/>
    <w:rsid w:val="00771EA5"/>
    <w:rsid w:val="00777147"/>
    <w:rsid w:val="007773FA"/>
    <w:rsid w:val="00783E6A"/>
    <w:rsid w:val="00784756"/>
    <w:rsid w:val="00784C00"/>
    <w:rsid w:val="00795B90"/>
    <w:rsid w:val="007964E5"/>
    <w:rsid w:val="00796A6D"/>
    <w:rsid w:val="007A1BD1"/>
    <w:rsid w:val="007B09A3"/>
    <w:rsid w:val="007B153D"/>
    <w:rsid w:val="007B4174"/>
    <w:rsid w:val="007B71F9"/>
    <w:rsid w:val="007B7FA1"/>
    <w:rsid w:val="007C3B07"/>
    <w:rsid w:val="007C4787"/>
    <w:rsid w:val="007C5593"/>
    <w:rsid w:val="007D1A91"/>
    <w:rsid w:val="007D2D49"/>
    <w:rsid w:val="007D445A"/>
    <w:rsid w:val="007D53E8"/>
    <w:rsid w:val="007D7ABC"/>
    <w:rsid w:val="007E1DC4"/>
    <w:rsid w:val="007E3B14"/>
    <w:rsid w:val="007E71FD"/>
    <w:rsid w:val="007F2099"/>
    <w:rsid w:val="007F2CD4"/>
    <w:rsid w:val="007F3B19"/>
    <w:rsid w:val="007F766D"/>
    <w:rsid w:val="008010B4"/>
    <w:rsid w:val="00801490"/>
    <w:rsid w:val="00805CEF"/>
    <w:rsid w:val="00807AB7"/>
    <w:rsid w:val="00810A25"/>
    <w:rsid w:val="00811460"/>
    <w:rsid w:val="00811601"/>
    <w:rsid w:val="00812A1F"/>
    <w:rsid w:val="00816348"/>
    <w:rsid w:val="00816BA5"/>
    <w:rsid w:val="008226D0"/>
    <w:rsid w:val="00822E47"/>
    <w:rsid w:val="00825EB9"/>
    <w:rsid w:val="00827B24"/>
    <w:rsid w:val="008307FA"/>
    <w:rsid w:val="008337B1"/>
    <w:rsid w:val="008444BF"/>
    <w:rsid w:val="00844E99"/>
    <w:rsid w:val="00845BBA"/>
    <w:rsid w:val="00852133"/>
    <w:rsid w:val="00852492"/>
    <w:rsid w:val="00856FEC"/>
    <w:rsid w:val="008577EF"/>
    <w:rsid w:val="00861A07"/>
    <w:rsid w:val="00861C80"/>
    <w:rsid w:val="00863560"/>
    <w:rsid w:val="00864617"/>
    <w:rsid w:val="008661AF"/>
    <w:rsid w:val="00866EFF"/>
    <w:rsid w:val="008725BD"/>
    <w:rsid w:val="0087692C"/>
    <w:rsid w:val="00876B93"/>
    <w:rsid w:val="00880A35"/>
    <w:rsid w:val="00885AA8"/>
    <w:rsid w:val="008877B7"/>
    <w:rsid w:val="0089639B"/>
    <w:rsid w:val="008970C0"/>
    <w:rsid w:val="008A03C4"/>
    <w:rsid w:val="008A1B46"/>
    <w:rsid w:val="008A3858"/>
    <w:rsid w:val="008A3DA8"/>
    <w:rsid w:val="008B014A"/>
    <w:rsid w:val="008B01C5"/>
    <w:rsid w:val="008B1181"/>
    <w:rsid w:val="008B39E9"/>
    <w:rsid w:val="008C0347"/>
    <w:rsid w:val="008C2D96"/>
    <w:rsid w:val="008C3CF4"/>
    <w:rsid w:val="008C4637"/>
    <w:rsid w:val="008C4788"/>
    <w:rsid w:val="008C5D39"/>
    <w:rsid w:val="008C67A4"/>
    <w:rsid w:val="008C7517"/>
    <w:rsid w:val="008D1535"/>
    <w:rsid w:val="008D2FBB"/>
    <w:rsid w:val="008D48FC"/>
    <w:rsid w:val="008D524D"/>
    <w:rsid w:val="008D727C"/>
    <w:rsid w:val="008E09B4"/>
    <w:rsid w:val="008E1786"/>
    <w:rsid w:val="008F0214"/>
    <w:rsid w:val="008F0AFD"/>
    <w:rsid w:val="008F4695"/>
    <w:rsid w:val="008F499D"/>
    <w:rsid w:val="008F4DA7"/>
    <w:rsid w:val="00900366"/>
    <w:rsid w:val="00902A61"/>
    <w:rsid w:val="00910A27"/>
    <w:rsid w:val="00912150"/>
    <w:rsid w:val="00915920"/>
    <w:rsid w:val="009172E5"/>
    <w:rsid w:val="00921371"/>
    <w:rsid w:val="00922F54"/>
    <w:rsid w:val="00924BFF"/>
    <w:rsid w:val="00925E54"/>
    <w:rsid w:val="00926D1F"/>
    <w:rsid w:val="0093149B"/>
    <w:rsid w:val="00937AA2"/>
    <w:rsid w:val="00940D3C"/>
    <w:rsid w:val="00942935"/>
    <w:rsid w:val="00942DE0"/>
    <w:rsid w:val="0095266B"/>
    <w:rsid w:val="00953E39"/>
    <w:rsid w:val="00955D64"/>
    <w:rsid w:val="00956765"/>
    <w:rsid w:val="00956A0A"/>
    <w:rsid w:val="00962D3D"/>
    <w:rsid w:val="00966ACF"/>
    <w:rsid w:val="00971C3A"/>
    <w:rsid w:val="00971D78"/>
    <w:rsid w:val="009779CD"/>
    <w:rsid w:val="00981C5A"/>
    <w:rsid w:val="009835A9"/>
    <w:rsid w:val="0098696C"/>
    <w:rsid w:val="009876E0"/>
    <w:rsid w:val="00990B79"/>
    <w:rsid w:val="00997BD1"/>
    <w:rsid w:val="009A3994"/>
    <w:rsid w:val="009A53B5"/>
    <w:rsid w:val="009A6750"/>
    <w:rsid w:val="009B13D2"/>
    <w:rsid w:val="009B22D0"/>
    <w:rsid w:val="009B5792"/>
    <w:rsid w:val="009C0589"/>
    <w:rsid w:val="009C2C12"/>
    <w:rsid w:val="009C379C"/>
    <w:rsid w:val="009C58D6"/>
    <w:rsid w:val="009D0395"/>
    <w:rsid w:val="009D07F8"/>
    <w:rsid w:val="009D1B1A"/>
    <w:rsid w:val="009D209C"/>
    <w:rsid w:val="009D4C30"/>
    <w:rsid w:val="009D6092"/>
    <w:rsid w:val="009E21CB"/>
    <w:rsid w:val="009E3179"/>
    <w:rsid w:val="009E7801"/>
    <w:rsid w:val="00A00104"/>
    <w:rsid w:val="00A03049"/>
    <w:rsid w:val="00A042FD"/>
    <w:rsid w:val="00A05E37"/>
    <w:rsid w:val="00A11611"/>
    <w:rsid w:val="00A139BE"/>
    <w:rsid w:val="00A179DF"/>
    <w:rsid w:val="00A2284B"/>
    <w:rsid w:val="00A22B8C"/>
    <w:rsid w:val="00A25E43"/>
    <w:rsid w:val="00A26FF8"/>
    <w:rsid w:val="00A30B94"/>
    <w:rsid w:val="00A30DAD"/>
    <w:rsid w:val="00A33329"/>
    <w:rsid w:val="00A33DA9"/>
    <w:rsid w:val="00A34A56"/>
    <w:rsid w:val="00A44206"/>
    <w:rsid w:val="00A456A9"/>
    <w:rsid w:val="00A46C8A"/>
    <w:rsid w:val="00A50C9E"/>
    <w:rsid w:val="00A54931"/>
    <w:rsid w:val="00A57B4E"/>
    <w:rsid w:val="00A60CC9"/>
    <w:rsid w:val="00A61809"/>
    <w:rsid w:val="00A6501D"/>
    <w:rsid w:val="00A67189"/>
    <w:rsid w:val="00A701D5"/>
    <w:rsid w:val="00A74D5A"/>
    <w:rsid w:val="00A76D43"/>
    <w:rsid w:val="00A77162"/>
    <w:rsid w:val="00A82A61"/>
    <w:rsid w:val="00A8380F"/>
    <w:rsid w:val="00A857C9"/>
    <w:rsid w:val="00A86048"/>
    <w:rsid w:val="00A90EE3"/>
    <w:rsid w:val="00A930CA"/>
    <w:rsid w:val="00AA094E"/>
    <w:rsid w:val="00AA245C"/>
    <w:rsid w:val="00AA3AA0"/>
    <w:rsid w:val="00AA6543"/>
    <w:rsid w:val="00AB0315"/>
    <w:rsid w:val="00AB39C6"/>
    <w:rsid w:val="00AB4D6E"/>
    <w:rsid w:val="00AB6F4B"/>
    <w:rsid w:val="00AC4DC8"/>
    <w:rsid w:val="00AC5237"/>
    <w:rsid w:val="00AC6DCA"/>
    <w:rsid w:val="00AD5341"/>
    <w:rsid w:val="00AE34D5"/>
    <w:rsid w:val="00AF29A1"/>
    <w:rsid w:val="00AF53A8"/>
    <w:rsid w:val="00B02C10"/>
    <w:rsid w:val="00B1257F"/>
    <w:rsid w:val="00B23CAD"/>
    <w:rsid w:val="00B25E19"/>
    <w:rsid w:val="00B25F3B"/>
    <w:rsid w:val="00B266FB"/>
    <w:rsid w:val="00B3468E"/>
    <w:rsid w:val="00B36D61"/>
    <w:rsid w:val="00B4086D"/>
    <w:rsid w:val="00B424FD"/>
    <w:rsid w:val="00B440BD"/>
    <w:rsid w:val="00B44D7D"/>
    <w:rsid w:val="00B46CB7"/>
    <w:rsid w:val="00B50321"/>
    <w:rsid w:val="00B50E4F"/>
    <w:rsid w:val="00B520C8"/>
    <w:rsid w:val="00B52297"/>
    <w:rsid w:val="00B5677D"/>
    <w:rsid w:val="00B638E9"/>
    <w:rsid w:val="00B63EF0"/>
    <w:rsid w:val="00B71610"/>
    <w:rsid w:val="00B72D11"/>
    <w:rsid w:val="00B75201"/>
    <w:rsid w:val="00B766F0"/>
    <w:rsid w:val="00B83421"/>
    <w:rsid w:val="00B83CFE"/>
    <w:rsid w:val="00B943B6"/>
    <w:rsid w:val="00BA0F48"/>
    <w:rsid w:val="00BA5E6B"/>
    <w:rsid w:val="00BA770C"/>
    <w:rsid w:val="00BB149B"/>
    <w:rsid w:val="00BB1A47"/>
    <w:rsid w:val="00BB3952"/>
    <w:rsid w:val="00BB3980"/>
    <w:rsid w:val="00BC0FAE"/>
    <w:rsid w:val="00BC454C"/>
    <w:rsid w:val="00BD0CDA"/>
    <w:rsid w:val="00BD42A9"/>
    <w:rsid w:val="00BE1241"/>
    <w:rsid w:val="00BE7297"/>
    <w:rsid w:val="00BF1F52"/>
    <w:rsid w:val="00BF49E2"/>
    <w:rsid w:val="00BF54C1"/>
    <w:rsid w:val="00BF5C7E"/>
    <w:rsid w:val="00C02C06"/>
    <w:rsid w:val="00C07234"/>
    <w:rsid w:val="00C0780E"/>
    <w:rsid w:val="00C108C2"/>
    <w:rsid w:val="00C10A42"/>
    <w:rsid w:val="00C143BA"/>
    <w:rsid w:val="00C27778"/>
    <w:rsid w:val="00C319A3"/>
    <w:rsid w:val="00C352E5"/>
    <w:rsid w:val="00C40349"/>
    <w:rsid w:val="00C4075B"/>
    <w:rsid w:val="00C44585"/>
    <w:rsid w:val="00C45E51"/>
    <w:rsid w:val="00C46110"/>
    <w:rsid w:val="00C51943"/>
    <w:rsid w:val="00C53F4C"/>
    <w:rsid w:val="00C57226"/>
    <w:rsid w:val="00C61601"/>
    <w:rsid w:val="00C6285F"/>
    <w:rsid w:val="00C63EE9"/>
    <w:rsid w:val="00C65599"/>
    <w:rsid w:val="00C67709"/>
    <w:rsid w:val="00C7046D"/>
    <w:rsid w:val="00C72B60"/>
    <w:rsid w:val="00C73ED3"/>
    <w:rsid w:val="00C75584"/>
    <w:rsid w:val="00C76283"/>
    <w:rsid w:val="00C7713B"/>
    <w:rsid w:val="00C81FEE"/>
    <w:rsid w:val="00C85A26"/>
    <w:rsid w:val="00C871C3"/>
    <w:rsid w:val="00C87A54"/>
    <w:rsid w:val="00C9178A"/>
    <w:rsid w:val="00C91795"/>
    <w:rsid w:val="00C9389D"/>
    <w:rsid w:val="00C96E9E"/>
    <w:rsid w:val="00CA0508"/>
    <w:rsid w:val="00CB3E6E"/>
    <w:rsid w:val="00CC22E0"/>
    <w:rsid w:val="00CC326F"/>
    <w:rsid w:val="00CC4243"/>
    <w:rsid w:val="00CC6207"/>
    <w:rsid w:val="00CD1C92"/>
    <w:rsid w:val="00CD555C"/>
    <w:rsid w:val="00CD6786"/>
    <w:rsid w:val="00CD7904"/>
    <w:rsid w:val="00CE13B9"/>
    <w:rsid w:val="00CE6E29"/>
    <w:rsid w:val="00CE6F34"/>
    <w:rsid w:val="00CF12AF"/>
    <w:rsid w:val="00CF3397"/>
    <w:rsid w:val="00CF51BF"/>
    <w:rsid w:val="00CF7F5F"/>
    <w:rsid w:val="00D03252"/>
    <w:rsid w:val="00D040A8"/>
    <w:rsid w:val="00D06267"/>
    <w:rsid w:val="00D06574"/>
    <w:rsid w:val="00D106A8"/>
    <w:rsid w:val="00D131CB"/>
    <w:rsid w:val="00D13B56"/>
    <w:rsid w:val="00D1480A"/>
    <w:rsid w:val="00D20AB4"/>
    <w:rsid w:val="00D23D2D"/>
    <w:rsid w:val="00D25807"/>
    <w:rsid w:val="00D27FAC"/>
    <w:rsid w:val="00D30678"/>
    <w:rsid w:val="00D326D9"/>
    <w:rsid w:val="00D35321"/>
    <w:rsid w:val="00D40A4C"/>
    <w:rsid w:val="00D41E17"/>
    <w:rsid w:val="00D44F6C"/>
    <w:rsid w:val="00D454AD"/>
    <w:rsid w:val="00D45644"/>
    <w:rsid w:val="00D46AED"/>
    <w:rsid w:val="00D55875"/>
    <w:rsid w:val="00D57336"/>
    <w:rsid w:val="00D6161D"/>
    <w:rsid w:val="00D66672"/>
    <w:rsid w:val="00D67121"/>
    <w:rsid w:val="00D73783"/>
    <w:rsid w:val="00D8456C"/>
    <w:rsid w:val="00D84D16"/>
    <w:rsid w:val="00D90556"/>
    <w:rsid w:val="00D93B6C"/>
    <w:rsid w:val="00D95BB6"/>
    <w:rsid w:val="00DA159D"/>
    <w:rsid w:val="00DA5314"/>
    <w:rsid w:val="00DB41F8"/>
    <w:rsid w:val="00DB4525"/>
    <w:rsid w:val="00DB5376"/>
    <w:rsid w:val="00DC4D80"/>
    <w:rsid w:val="00DC721F"/>
    <w:rsid w:val="00DC75A3"/>
    <w:rsid w:val="00DD399D"/>
    <w:rsid w:val="00DE3DD0"/>
    <w:rsid w:val="00DE611C"/>
    <w:rsid w:val="00DF296D"/>
    <w:rsid w:val="00DF3463"/>
    <w:rsid w:val="00DF69AE"/>
    <w:rsid w:val="00E02341"/>
    <w:rsid w:val="00E02763"/>
    <w:rsid w:val="00E06D80"/>
    <w:rsid w:val="00E121E7"/>
    <w:rsid w:val="00E12916"/>
    <w:rsid w:val="00E14BA1"/>
    <w:rsid w:val="00E1516F"/>
    <w:rsid w:val="00E23697"/>
    <w:rsid w:val="00E2566F"/>
    <w:rsid w:val="00E27996"/>
    <w:rsid w:val="00E27B3F"/>
    <w:rsid w:val="00E300DB"/>
    <w:rsid w:val="00E30653"/>
    <w:rsid w:val="00E32FB8"/>
    <w:rsid w:val="00E40905"/>
    <w:rsid w:val="00E426C5"/>
    <w:rsid w:val="00E45658"/>
    <w:rsid w:val="00E45E38"/>
    <w:rsid w:val="00E45F0B"/>
    <w:rsid w:val="00E4726A"/>
    <w:rsid w:val="00E503E4"/>
    <w:rsid w:val="00E5040E"/>
    <w:rsid w:val="00E5223D"/>
    <w:rsid w:val="00E535DF"/>
    <w:rsid w:val="00E55991"/>
    <w:rsid w:val="00E56740"/>
    <w:rsid w:val="00E57AF2"/>
    <w:rsid w:val="00E60437"/>
    <w:rsid w:val="00E60DE2"/>
    <w:rsid w:val="00E62E9B"/>
    <w:rsid w:val="00E64E30"/>
    <w:rsid w:val="00E6612C"/>
    <w:rsid w:val="00E73945"/>
    <w:rsid w:val="00E84099"/>
    <w:rsid w:val="00EA0D24"/>
    <w:rsid w:val="00EA1439"/>
    <w:rsid w:val="00EA14B1"/>
    <w:rsid w:val="00EA235F"/>
    <w:rsid w:val="00EA4BD8"/>
    <w:rsid w:val="00EA6568"/>
    <w:rsid w:val="00EB126C"/>
    <w:rsid w:val="00EB2A32"/>
    <w:rsid w:val="00EB517B"/>
    <w:rsid w:val="00EB56AD"/>
    <w:rsid w:val="00EC13B0"/>
    <w:rsid w:val="00ED0389"/>
    <w:rsid w:val="00ED0A38"/>
    <w:rsid w:val="00EE41C7"/>
    <w:rsid w:val="00EF493D"/>
    <w:rsid w:val="00F021D4"/>
    <w:rsid w:val="00F0724B"/>
    <w:rsid w:val="00F14B7C"/>
    <w:rsid w:val="00F205CB"/>
    <w:rsid w:val="00F20DE6"/>
    <w:rsid w:val="00F250BA"/>
    <w:rsid w:val="00F26F96"/>
    <w:rsid w:val="00F32B18"/>
    <w:rsid w:val="00F335DC"/>
    <w:rsid w:val="00F361D8"/>
    <w:rsid w:val="00F374DA"/>
    <w:rsid w:val="00F405B4"/>
    <w:rsid w:val="00F42BA4"/>
    <w:rsid w:val="00F45B03"/>
    <w:rsid w:val="00F462E6"/>
    <w:rsid w:val="00F47EB2"/>
    <w:rsid w:val="00F52658"/>
    <w:rsid w:val="00F54556"/>
    <w:rsid w:val="00F54BCD"/>
    <w:rsid w:val="00F60709"/>
    <w:rsid w:val="00F61EB2"/>
    <w:rsid w:val="00F65F00"/>
    <w:rsid w:val="00F90416"/>
    <w:rsid w:val="00F93319"/>
    <w:rsid w:val="00F93501"/>
    <w:rsid w:val="00F96AB3"/>
    <w:rsid w:val="00FA51D3"/>
    <w:rsid w:val="00FB5466"/>
    <w:rsid w:val="00FB6639"/>
    <w:rsid w:val="00FC2058"/>
    <w:rsid w:val="00FC3E11"/>
    <w:rsid w:val="00FC40BA"/>
    <w:rsid w:val="00FC5D2A"/>
    <w:rsid w:val="00FC6A8A"/>
    <w:rsid w:val="00FC75BB"/>
    <w:rsid w:val="00FD4D0C"/>
    <w:rsid w:val="00FD671F"/>
    <w:rsid w:val="00FE1F9E"/>
    <w:rsid w:val="00FE2D9E"/>
    <w:rsid w:val="00FE47F3"/>
    <w:rsid w:val="00FE54C5"/>
    <w:rsid w:val="00FF00D4"/>
    <w:rsid w:val="00FF2F89"/>
    <w:rsid w:val="00FF53A2"/>
    <w:rsid w:val="00FF618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B6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D6E"/>
    <w:pPr>
      <w:ind w:left="720"/>
      <w:contextualSpacing/>
    </w:pPr>
  </w:style>
  <w:style w:type="paragraph" w:styleId="FootnoteText">
    <w:name w:val="footnote text"/>
    <w:basedOn w:val="Normal"/>
    <w:link w:val="FootnoteTextChar"/>
    <w:uiPriority w:val="99"/>
    <w:semiHidden/>
    <w:unhideWhenUsed/>
    <w:rsid w:val="003002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02C3"/>
    <w:rPr>
      <w:sz w:val="20"/>
      <w:szCs w:val="20"/>
    </w:rPr>
  </w:style>
  <w:style w:type="character" w:styleId="FootnoteReference">
    <w:name w:val="footnote reference"/>
    <w:basedOn w:val="DefaultParagraphFont"/>
    <w:uiPriority w:val="99"/>
    <w:semiHidden/>
    <w:unhideWhenUsed/>
    <w:rsid w:val="003002C3"/>
    <w:rPr>
      <w:vertAlign w:val="superscript"/>
    </w:rPr>
  </w:style>
  <w:style w:type="paragraph" w:styleId="BalloonText">
    <w:name w:val="Balloon Text"/>
    <w:basedOn w:val="Normal"/>
    <w:link w:val="BalloonTextChar"/>
    <w:uiPriority w:val="99"/>
    <w:semiHidden/>
    <w:unhideWhenUsed/>
    <w:rsid w:val="00F072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24B"/>
    <w:rPr>
      <w:rFonts w:ascii="Segoe UI" w:hAnsi="Segoe UI" w:cs="Segoe UI"/>
      <w:sz w:val="18"/>
      <w:szCs w:val="18"/>
    </w:rPr>
  </w:style>
  <w:style w:type="paragraph" w:styleId="Header">
    <w:name w:val="header"/>
    <w:basedOn w:val="Normal"/>
    <w:link w:val="HeaderChar"/>
    <w:uiPriority w:val="99"/>
    <w:unhideWhenUsed/>
    <w:rsid w:val="00CD1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C92"/>
  </w:style>
  <w:style w:type="paragraph" w:styleId="Footer">
    <w:name w:val="footer"/>
    <w:basedOn w:val="Normal"/>
    <w:link w:val="FooterChar"/>
    <w:uiPriority w:val="99"/>
    <w:unhideWhenUsed/>
    <w:rsid w:val="00CD1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C92"/>
  </w:style>
  <w:style w:type="character" w:styleId="Hyperlink">
    <w:name w:val="Hyperlink"/>
    <w:basedOn w:val="DefaultParagraphFont"/>
    <w:uiPriority w:val="99"/>
    <w:unhideWhenUsed/>
    <w:rsid w:val="00E2566F"/>
    <w:rPr>
      <w:color w:val="0563C1" w:themeColor="hyperlink"/>
      <w:u w:val="single"/>
    </w:rPr>
  </w:style>
  <w:style w:type="paragraph" w:styleId="NoSpacing">
    <w:name w:val="No Spacing"/>
    <w:uiPriority w:val="1"/>
    <w:qFormat/>
    <w:rsid w:val="00B83421"/>
    <w:pPr>
      <w:spacing w:after="0" w:line="240" w:lineRule="auto"/>
    </w:pPr>
  </w:style>
  <w:style w:type="paragraph" w:styleId="Date">
    <w:name w:val="Date"/>
    <w:basedOn w:val="Normal"/>
    <w:next w:val="Normal"/>
    <w:link w:val="DateChar"/>
    <w:uiPriority w:val="99"/>
    <w:semiHidden/>
    <w:unhideWhenUsed/>
    <w:rsid w:val="00F96AB3"/>
  </w:style>
  <w:style w:type="character" w:customStyle="1" w:styleId="DateChar">
    <w:name w:val="Date Char"/>
    <w:basedOn w:val="DefaultParagraphFont"/>
    <w:link w:val="Date"/>
    <w:uiPriority w:val="99"/>
    <w:semiHidden/>
    <w:rsid w:val="00F96AB3"/>
  </w:style>
  <w:style w:type="table" w:styleId="TableGrid">
    <w:name w:val="Table Grid"/>
    <w:basedOn w:val="TableNormal"/>
    <w:uiPriority w:val="39"/>
    <w:rsid w:val="005D0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D6E"/>
    <w:pPr>
      <w:ind w:left="720"/>
      <w:contextualSpacing/>
    </w:pPr>
  </w:style>
  <w:style w:type="paragraph" w:styleId="FootnoteText">
    <w:name w:val="footnote text"/>
    <w:basedOn w:val="Normal"/>
    <w:link w:val="FootnoteTextChar"/>
    <w:uiPriority w:val="99"/>
    <w:semiHidden/>
    <w:unhideWhenUsed/>
    <w:rsid w:val="003002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02C3"/>
    <w:rPr>
      <w:sz w:val="20"/>
      <w:szCs w:val="20"/>
    </w:rPr>
  </w:style>
  <w:style w:type="character" w:styleId="FootnoteReference">
    <w:name w:val="footnote reference"/>
    <w:basedOn w:val="DefaultParagraphFont"/>
    <w:uiPriority w:val="99"/>
    <w:semiHidden/>
    <w:unhideWhenUsed/>
    <w:rsid w:val="003002C3"/>
    <w:rPr>
      <w:vertAlign w:val="superscript"/>
    </w:rPr>
  </w:style>
  <w:style w:type="paragraph" w:styleId="BalloonText">
    <w:name w:val="Balloon Text"/>
    <w:basedOn w:val="Normal"/>
    <w:link w:val="BalloonTextChar"/>
    <w:uiPriority w:val="99"/>
    <w:semiHidden/>
    <w:unhideWhenUsed/>
    <w:rsid w:val="00F072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24B"/>
    <w:rPr>
      <w:rFonts w:ascii="Segoe UI" w:hAnsi="Segoe UI" w:cs="Segoe UI"/>
      <w:sz w:val="18"/>
      <w:szCs w:val="18"/>
    </w:rPr>
  </w:style>
  <w:style w:type="paragraph" w:styleId="Header">
    <w:name w:val="header"/>
    <w:basedOn w:val="Normal"/>
    <w:link w:val="HeaderChar"/>
    <w:uiPriority w:val="99"/>
    <w:unhideWhenUsed/>
    <w:rsid w:val="00CD1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C92"/>
  </w:style>
  <w:style w:type="paragraph" w:styleId="Footer">
    <w:name w:val="footer"/>
    <w:basedOn w:val="Normal"/>
    <w:link w:val="FooterChar"/>
    <w:uiPriority w:val="99"/>
    <w:unhideWhenUsed/>
    <w:rsid w:val="00CD1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C92"/>
  </w:style>
  <w:style w:type="character" w:styleId="Hyperlink">
    <w:name w:val="Hyperlink"/>
    <w:basedOn w:val="DefaultParagraphFont"/>
    <w:uiPriority w:val="99"/>
    <w:unhideWhenUsed/>
    <w:rsid w:val="00E2566F"/>
    <w:rPr>
      <w:color w:val="0563C1" w:themeColor="hyperlink"/>
      <w:u w:val="single"/>
    </w:rPr>
  </w:style>
  <w:style w:type="paragraph" w:styleId="NoSpacing">
    <w:name w:val="No Spacing"/>
    <w:uiPriority w:val="1"/>
    <w:qFormat/>
    <w:rsid w:val="00B83421"/>
    <w:pPr>
      <w:spacing w:after="0" w:line="240" w:lineRule="auto"/>
    </w:pPr>
  </w:style>
  <w:style w:type="paragraph" w:styleId="Date">
    <w:name w:val="Date"/>
    <w:basedOn w:val="Normal"/>
    <w:next w:val="Normal"/>
    <w:link w:val="DateChar"/>
    <w:uiPriority w:val="99"/>
    <w:semiHidden/>
    <w:unhideWhenUsed/>
    <w:rsid w:val="00F96AB3"/>
  </w:style>
  <w:style w:type="character" w:customStyle="1" w:styleId="DateChar">
    <w:name w:val="Date Char"/>
    <w:basedOn w:val="DefaultParagraphFont"/>
    <w:link w:val="Date"/>
    <w:uiPriority w:val="99"/>
    <w:semiHidden/>
    <w:rsid w:val="00F96AB3"/>
  </w:style>
  <w:style w:type="table" w:styleId="TableGrid">
    <w:name w:val="Table Grid"/>
    <w:basedOn w:val="TableNormal"/>
    <w:uiPriority w:val="39"/>
    <w:rsid w:val="005D0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abdc.edu.au"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8B97D-EF94-413A-BAD7-9117983C8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22</Pages>
  <Words>7999</Words>
  <Characters>45596</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University of Waikato</Company>
  <LinksUpToDate>false</LinksUpToDate>
  <CharactersWithSpaces>53489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Anderson</dc:creator>
  <cp:lastModifiedBy>Brian Silverstone</cp:lastModifiedBy>
  <cp:revision>6</cp:revision>
  <cp:lastPrinted>2015-10-23T00:16:00Z</cp:lastPrinted>
  <dcterms:created xsi:type="dcterms:W3CDTF">2015-10-23T02:22:00Z</dcterms:created>
  <dcterms:modified xsi:type="dcterms:W3CDTF">2015-10-23T07:49:00Z</dcterms:modified>
</cp:coreProperties>
</file>