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433E6D" w14:textId="77777777" w:rsidR="00347826" w:rsidRPr="00347826" w:rsidRDefault="00347826" w:rsidP="00F50315">
      <w:pPr>
        <w:pStyle w:val="PlainText"/>
        <w:tabs>
          <w:tab w:val="left" w:pos="284"/>
          <w:tab w:val="left" w:pos="567"/>
        </w:tabs>
        <w:spacing w:line="288" w:lineRule="auto"/>
        <w:jc w:val="both"/>
        <w:rPr>
          <w:rFonts w:ascii="Times New Roman" w:hAnsi="Times New Roman" w:cs="Times New Roman"/>
          <w:b/>
          <w:sz w:val="24"/>
          <w:szCs w:val="24"/>
        </w:rPr>
      </w:pPr>
    </w:p>
    <w:p w14:paraId="5A57AF28" w14:textId="77777777" w:rsidR="00877D30" w:rsidRDefault="00877D30" w:rsidP="00F50315">
      <w:pPr>
        <w:pStyle w:val="PlainText"/>
        <w:tabs>
          <w:tab w:val="left" w:pos="284"/>
          <w:tab w:val="left" w:pos="567"/>
        </w:tabs>
        <w:spacing w:line="288" w:lineRule="auto"/>
        <w:jc w:val="center"/>
        <w:rPr>
          <w:rFonts w:ascii="Times New Roman" w:hAnsi="Times New Roman" w:cs="Times New Roman"/>
          <w:b/>
          <w:sz w:val="28"/>
          <w:szCs w:val="28"/>
        </w:rPr>
      </w:pPr>
    </w:p>
    <w:p w14:paraId="70E76B71" w14:textId="77777777" w:rsidR="00877D30" w:rsidRDefault="00877D30" w:rsidP="00F50315">
      <w:pPr>
        <w:pStyle w:val="PlainText"/>
        <w:tabs>
          <w:tab w:val="left" w:pos="284"/>
          <w:tab w:val="left" w:pos="567"/>
        </w:tabs>
        <w:spacing w:line="288" w:lineRule="auto"/>
        <w:jc w:val="center"/>
        <w:rPr>
          <w:rFonts w:ascii="Times New Roman" w:hAnsi="Times New Roman" w:cs="Times New Roman"/>
          <w:b/>
          <w:sz w:val="28"/>
          <w:szCs w:val="28"/>
        </w:rPr>
      </w:pPr>
    </w:p>
    <w:p w14:paraId="7911CD0D" w14:textId="77777777" w:rsidR="00877D30" w:rsidRDefault="00877D30" w:rsidP="00F50315">
      <w:pPr>
        <w:pStyle w:val="PlainText"/>
        <w:tabs>
          <w:tab w:val="left" w:pos="284"/>
          <w:tab w:val="left" w:pos="567"/>
        </w:tabs>
        <w:spacing w:line="288" w:lineRule="auto"/>
        <w:jc w:val="center"/>
        <w:rPr>
          <w:rFonts w:ascii="Times New Roman" w:hAnsi="Times New Roman" w:cs="Times New Roman"/>
          <w:b/>
          <w:sz w:val="28"/>
          <w:szCs w:val="28"/>
        </w:rPr>
      </w:pPr>
    </w:p>
    <w:p w14:paraId="79BEB762" w14:textId="77777777" w:rsidR="00347826" w:rsidRPr="00767C49" w:rsidRDefault="00347826" w:rsidP="00F50315">
      <w:pPr>
        <w:pStyle w:val="PlainText"/>
        <w:tabs>
          <w:tab w:val="left" w:pos="284"/>
          <w:tab w:val="left" w:pos="567"/>
        </w:tabs>
        <w:spacing w:line="288" w:lineRule="auto"/>
        <w:jc w:val="center"/>
        <w:rPr>
          <w:rFonts w:ascii="Times New Roman" w:hAnsi="Times New Roman" w:cs="Times New Roman"/>
          <w:b/>
          <w:sz w:val="28"/>
          <w:szCs w:val="28"/>
          <w:rPrChange w:id="0" w:author="Brian Silverstone" w:date="2015-10-07T21:14:00Z">
            <w:rPr>
              <w:rFonts w:ascii="Times New Roman" w:hAnsi="Times New Roman" w:cs="Times New Roman"/>
              <w:b/>
              <w:sz w:val="24"/>
              <w:szCs w:val="24"/>
            </w:rPr>
          </w:rPrChange>
        </w:rPr>
      </w:pPr>
      <w:r w:rsidRPr="00767C49">
        <w:rPr>
          <w:rFonts w:ascii="Times New Roman" w:hAnsi="Times New Roman" w:cs="Times New Roman"/>
          <w:b/>
          <w:sz w:val="28"/>
          <w:szCs w:val="28"/>
          <w:rPrChange w:id="1" w:author="Brian Silverstone" w:date="2015-10-07T21:14:00Z">
            <w:rPr>
              <w:rFonts w:ascii="Times New Roman" w:hAnsi="Times New Roman" w:cs="Times New Roman"/>
              <w:b/>
              <w:sz w:val="24"/>
              <w:szCs w:val="24"/>
            </w:rPr>
          </w:rPrChange>
        </w:rPr>
        <w:t>UNIVERSITY OF WAIKATO</w:t>
      </w:r>
    </w:p>
    <w:p w14:paraId="248E1800" w14:textId="77777777" w:rsidR="00347826" w:rsidRPr="00767C49" w:rsidRDefault="00347826" w:rsidP="00F50315">
      <w:pPr>
        <w:pStyle w:val="PlainText"/>
        <w:tabs>
          <w:tab w:val="left" w:pos="284"/>
          <w:tab w:val="left" w:pos="567"/>
        </w:tabs>
        <w:spacing w:line="288" w:lineRule="auto"/>
        <w:jc w:val="center"/>
        <w:rPr>
          <w:rFonts w:ascii="Times New Roman" w:hAnsi="Times New Roman" w:cs="Times New Roman"/>
          <w:b/>
          <w:sz w:val="28"/>
          <w:szCs w:val="28"/>
          <w:rPrChange w:id="2" w:author="Brian Silverstone" w:date="2015-10-07T21:14:00Z">
            <w:rPr>
              <w:rFonts w:ascii="Times New Roman" w:hAnsi="Times New Roman" w:cs="Times New Roman"/>
              <w:b/>
              <w:sz w:val="24"/>
              <w:szCs w:val="24"/>
            </w:rPr>
          </w:rPrChange>
        </w:rPr>
      </w:pPr>
    </w:p>
    <w:p w14:paraId="7A3B72F7" w14:textId="77777777" w:rsidR="00347826" w:rsidRPr="00767C49" w:rsidRDefault="00347826" w:rsidP="00F50315">
      <w:pPr>
        <w:pStyle w:val="PlainText"/>
        <w:tabs>
          <w:tab w:val="left" w:pos="284"/>
          <w:tab w:val="left" w:pos="567"/>
        </w:tabs>
        <w:spacing w:line="288" w:lineRule="auto"/>
        <w:jc w:val="center"/>
        <w:rPr>
          <w:rFonts w:ascii="Times New Roman" w:hAnsi="Times New Roman" w:cs="Times New Roman"/>
          <w:b/>
          <w:sz w:val="28"/>
          <w:szCs w:val="28"/>
          <w:rPrChange w:id="3" w:author="Brian Silverstone" w:date="2015-10-07T21:14:00Z">
            <w:rPr>
              <w:rFonts w:ascii="Times New Roman" w:hAnsi="Times New Roman" w:cs="Times New Roman"/>
              <w:b/>
              <w:sz w:val="24"/>
              <w:szCs w:val="24"/>
            </w:rPr>
          </w:rPrChange>
        </w:rPr>
      </w:pPr>
      <w:r w:rsidRPr="00767C49">
        <w:rPr>
          <w:rFonts w:ascii="Times New Roman" w:hAnsi="Times New Roman" w:cs="Times New Roman"/>
          <w:b/>
          <w:sz w:val="28"/>
          <w:szCs w:val="28"/>
          <w:rPrChange w:id="4" w:author="Brian Silverstone" w:date="2015-10-07T21:14:00Z">
            <w:rPr>
              <w:rFonts w:ascii="Times New Roman" w:hAnsi="Times New Roman" w:cs="Times New Roman"/>
              <w:b/>
              <w:sz w:val="24"/>
              <w:szCs w:val="24"/>
            </w:rPr>
          </w:rPrChange>
        </w:rPr>
        <w:t>Hamilton</w:t>
      </w:r>
    </w:p>
    <w:p w14:paraId="55B66C0F" w14:textId="77777777" w:rsidR="00347826" w:rsidRPr="00767C49" w:rsidRDefault="00347826" w:rsidP="00F50315">
      <w:pPr>
        <w:pStyle w:val="PlainText"/>
        <w:tabs>
          <w:tab w:val="left" w:pos="284"/>
          <w:tab w:val="left" w:pos="567"/>
        </w:tabs>
        <w:spacing w:line="288" w:lineRule="auto"/>
        <w:jc w:val="center"/>
        <w:rPr>
          <w:rFonts w:ascii="Times New Roman" w:hAnsi="Times New Roman" w:cs="Times New Roman"/>
          <w:b/>
          <w:sz w:val="28"/>
          <w:szCs w:val="28"/>
          <w:rPrChange w:id="5" w:author="Brian Silverstone" w:date="2015-10-07T21:14:00Z">
            <w:rPr>
              <w:rFonts w:ascii="Times New Roman" w:hAnsi="Times New Roman" w:cs="Times New Roman"/>
              <w:b/>
              <w:sz w:val="24"/>
              <w:szCs w:val="24"/>
            </w:rPr>
          </w:rPrChange>
        </w:rPr>
      </w:pPr>
      <w:r w:rsidRPr="00767C49">
        <w:rPr>
          <w:rFonts w:ascii="Times New Roman" w:hAnsi="Times New Roman" w:cs="Times New Roman"/>
          <w:b/>
          <w:sz w:val="28"/>
          <w:szCs w:val="28"/>
          <w:rPrChange w:id="6" w:author="Brian Silverstone" w:date="2015-10-07T21:14:00Z">
            <w:rPr>
              <w:rFonts w:ascii="Times New Roman" w:hAnsi="Times New Roman" w:cs="Times New Roman"/>
              <w:b/>
              <w:sz w:val="24"/>
              <w:szCs w:val="24"/>
            </w:rPr>
          </w:rPrChange>
        </w:rPr>
        <w:t>New Zealand</w:t>
      </w:r>
    </w:p>
    <w:p w14:paraId="525C5EBA" w14:textId="77777777" w:rsidR="00347826" w:rsidRPr="00347826" w:rsidRDefault="00347826" w:rsidP="00F50315">
      <w:pPr>
        <w:pStyle w:val="PlainText"/>
        <w:tabs>
          <w:tab w:val="left" w:pos="284"/>
          <w:tab w:val="left" w:pos="567"/>
        </w:tabs>
        <w:spacing w:line="288" w:lineRule="auto"/>
        <w:jc w:val="center"/>
        <w:rPr>
          <w:rFonts w:ascii="Times New Roman" w:hAnsi="Times New Roman" w:cs="Times New Roman"/>
          <w:b/>
          <w:sz w:val="24"/>
          <w:szCs w:val="24"/>
        </w:rPr>
      </w:pPr>
    </w:p>
    <w:p w14:paraId="3CAAF943" w14:textId="77777777" w:rsidR="00347826" w:rsidRPr="00347826" w:rsidRDefault="00347826" w:rsidP="00F50315">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567"/>
        </w:tabs>
        <w:spacing w:line="288" w:lineRule="auto"/>
        <w:jc w:val="center"/>
        <w:rPr>
          <w:rFonts w:ascii="Times New Roman" w:hAnsi="Times New Roman" w:cs="Times New Roman"/>
          <w:b/>
          <w:sz w:val="24"/>
          <w:szCs w:val="24"/>
        </w:rPr>
      </w:pPr>
    </w:p>
    <w:p w14:paraId="475853BB" w14:textId="1C05D475" w:rsidR="00767C49" w:rsidRDefault="00347826" w:rsidP="00F50315">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567"/>
        </w:tabs>
        <w:spacing w:line="288" w:lineRule="auto"/>
        <w:jc w:val="center"/>
        <w:rPr>
          <w:rFonts w:ascii="Times New Roman" w:hAnsi="Times New Roman" w:cs="Times New Roman"/>
          <w:b/>
          <w:sz w:val="28"/>
          <w:szCs w:val="28"/>
        </w:rPr>
      </w:pPr>
      <w:r w:rsidRPr="00767C49">
        <w:rPr>
          <w:rFonts w:ascii="Times New Roman" w:hAnsi="Times New Roman" w:cs="Times New Roman"/>
          <w:b/>
          <w:sz w:val="28"/>
          <w:szCs w:val="28"/>
          <w:rPrChange w:id="7" w:author="Brian Silverstone" w:date="2015-10-07T21:13:00Z">
            <w:rPr>
              <w:rFonts w:ascii="Times New Roman" w:hAnsi="Times New Roman" w:cs="Times New Roman"/>
              <w:b/>
              <w:sz w:val="24"/>
              <w:szCs w:val="24"/>
            </w:rPr>
          </w:rPrChange>
        </w:rPr>
        <w:t>An Experimental Evaluation of a Proactive Pastoral Care Initiative</w:t>
      </w:r>
    </w:p>
    <w:p w14:paraId="06294434" w14:textId="22910653" w:rsidR="00347826" w:rsidRPr="00767C49" w:rsidRDefault="00347826" w:rsidP="00F50315">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567"/>
        </w:tabs>
        <w:spacing w:line="288" w:lineRule="auto"/>
        <w:jc w:val="center"/>
        <w:rPr>
          <w:rFonts w:ascii="Times New Roman" w:hAnsi="Times New Roman" w:cs="Times New Roman"/>
          <w:b/>
          <w:sz w:val="28"/>
          <w:szCs w:val="28"/>
          <w:lang w:val="en-NZ"/>
          <w:rPrChange w:id="8" w:author="Brian Silverstone" w:date="2015-10-07T21:13:00Z">
            <w:rPr>
              <w:rFonts w:ascii="Times New Roman" w:hAnsi="Times New Roman" w:cs="Times New Roman"/>
              <w:b/>
              <w:sz w:val="24"/>
              <w:szCs w:val="24"/>
              <w:lang w:val="en-NZ"/>
            </w:rPr>
          </w:rPrChange>
        </w:rPr>
      </w:pPr>
      <w:r w:rsidRPr="00767C49">
        <w:rPr>
          <w:rFonts w:ascii="Times New Roman" w:hAnsi="Times New Roman" w:cs="Times New Roman"/>
          <w:b/>
          <w:sz w:val="28"/>
          <w:szCs w:val="28"/>
          <w:rPrChange w:id="9" w:author="Brian Silverstone" w:date="2015-10-07T21:13:00Z">
            <w:rPr>
              <w:rFonts w:ascii="Times New Roman" w:hAnsi="Times New Roman" w:cs="Times New Roman"/>
              <w:b/>
              <w:sz w:val="24"/>
              <w:szCs w:val="24"/>
            </w:rPr>
          </w:rPrChange>
        </w:rPr>
        <w:t>Within An Introductory University Course</w:t>
      </w:r>
    </w:p>
    <w:p w14:paraId="782A2F97" w14:textId="77777777" w:rsidR="00347826" w:rsidRPr="00767C49" w:rsidRDefault="00347826" w:rsidP="00F50315">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567"/>
        </w:tabs>
        <w:spacing w:line="288" w:lineRule="auto"/>
        <w:jc w:val="center"/>
        <w:rPr>
          <w:rFonts w:ascii="Times New Roman" w:hAnsi="Times New Roman" w:cs="Times New Roman"/>
          <w:bCs/>
          <w:sz w:val="28"/>
          <w:szCs w:val="28"/>
          <w:lang w:val="en-NZ"/>
          <w:rPrChange w:id="10" w:author="Brian Silverstone" w:date="2015-10-07T21:13:00Z">
            <w:rPr>
              <w:rFonts w:ascii="Times New Roman" w:hAnsi="Times New Roman" w:cs="Times New Roman"/>
              <w:bCs/>
              <w:sz w:val="24"/>
              <w:szCs w:val="24"/>
              <w:lang w:val="en-NZ"/>
            </w:rPr>
          </w:rPrChange>
        </w:rPr>
      </w:pPr>
    </w:p>
    <w:p w14:paraId="671395DE" w14:textId="6973AAE2" w:rsidR="00347826" w:rsidRPr="00767C49" w:rsidRDefault="00347826" w:rsidP="00F50315">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567"/>
        </w:tabs>
        <w:spacing w:line="288" w:lineRule="auto"/>
        <w:jc w:val="center"/>
        <w:rPr>
          <w:rFonts w:ascii="Times New Roman" w:hAnsi="Times New Roman" w:cs="Times New Roman"/>
          <w:bCs/>
          <w:sz w:val="28"/>
          <w:szCs w:val="28"/>
          <w:rPrChange w:id="11" w:author="Brian Silverstone" w:date="2015-10-07T21:13:00Z">
            <w:rPr>
              <w:rFonts w:ascii="Times New Roman" w:hAnsi="Times New Roman" w:cs="Times New Roman"/>
              <w:bCs/>
              <w:sz w:val="24"/>
              <w:szCs w:val="24"/>
            </w:rPr>
          </w:rPrChange>
        </w:rPr>
      </w:pPr>
      <w:r w:rsidRPr="00767C49">
        <w:rPr>
          <w:rFonts w:ascii="Times New Roman" w:hAnsi="Times New Roman" w:cs="Times New Roman"/>
          <w:bCs/>
          <w:sz w:val="28"/>
          <w:szCs w:val="28"/>
          <w:rPrChange w:id="12" w:author="Brian Silverstone" w:date="2015-10-07T21:13:00Z">
            <w:rPr>
              <w:rFonts w:ascii="Times New Roman" w:hAnsi="Times New Roman" w:cs="Times New Roman"/>
              <w:bCs/>
              <w:sz w:val="24"/>
              <w:szCs w:val="24"/>
            </w:rPr>
          </w:rPrChange>
        </w:rPr>
        <w:t>Michael P. Cameron</w:t>
      </w:r>
      <w:r w:rsidR="00871617">
        <w:rPr>
          <w:rFonts w:ascii="Times New Roman" w:hAnsi="Times New Roman" w:cs="Times New Roman"/>
          <w:bCs/>
          <w:sz w:val="28"/>
          <w:szCs w:val="28"/>
        </w:rPr>
        <w:t xml:space="preserve"> and</w:t>
      </w:r>
      <w:r w:rsidR="00EF1202">
        <w:rPr>
          <w:rFonts w:ascii="Times New Roman" w:hAnsi="Times New Roman" w:cs="Times New Roman"/>
          <w:bCs/>
          <w:sz w:val="28"/>
          <w:szCs w:val="28"/>
        </w:rPr>
        <w:t xml:space="preserve"> </w:t>
      </w:r>
      <w:proofErr w:type="spellStart"/>
      <w:r w:rsidRPr="00767C49">
        <w:rPr>
          <w:rFonts w:ascii="Times New Roman" w:hAnsi="Times New Roman" w:cs="Times New Roman"/>
          <w:bCs/>
          <w:sz w:val="28"/>
          <w:szCs w:val="28"/>
          <w:rPrChange w:id="13" w:author="Brian Silverstone" w:date="2015-10-07T21:13:00Z">
            <w:rPr>
              <w:rFonts w:ascii="Times New Roman" w:hAnsi="Times New Roman" w:cs="Times New Roman"/>
              <w:bCs/>
              <w:sz w:val="24"/>
              <w:szCs w:val="24"/>
            </w:rPr>
          </w:rPrChange>
        </w:rPr>
        <w:t>Sialupapu</w:t>
      </w:r>
      <w:proofErr w:type="spellEnd"/>
      <w:r w:rsidRPr="00767C49">
        <w:rPr>
          <w:rFonts w:ascii="Times New Roman" w:hAnsi="Times New Roman" w:cs="Times New Roman"/>
          <w:bCs/>
          <w:sz w:val="28"/>
          <w:szCs w:val="28"/>
          <w:rPrChange w:id="14" w:author="Brian Silverstone" w:date="2015-10-07T21:13:00Z">
            <w:rPr>
              <w:rFonts w:ascii="Times New Roman" w:hAnsi="Times New Roman" w:cs="Times New Roman"/>
              <w:bCs/>
              <w:sz w:val="24"/>
              <w:szCs w:val="24"/>
            </w:rPr>
          </w:rPrChange>
        </w:rPr>
        <w:t xml:space="preserve"> Siameja</w:t>
      </w:r>
    </w:p>
    <w:p w14:paraId="6375EA4B" w14:textId="764307EC" w:rsidR="00347826" w:rsidRPr="00347826" w:rsidRDefault="00347826" w:rsidP="00F50315">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567"/>
        </w:tabs>
        <w:spacing w:line="288" w:lineRule="auto"/>
        <w:jc w:val="center"/>
        <w:rPr>
          <w:rFonts w:ascii="Times New Roman" w:hAnsi="Times New Roman" w:cs="Times New Roman"/>
          <w:bCs/>
          <w:i/>
          <w:iCs/>
          <w:sz w:val="24"/>
          <w:szCs w:val="24"/>
        </w:rPr>
      </w:pPr>
      <w:r w:rsidRPr="00767C49">
        <w:rPr>
          <w:rFonts w:ascii="Times New Roman" w:hAnsi="Times New Roman" w:cs="Times New Roman"/>
          <w:bCs/>
          <w:i/>
          <w:iCs/>
          <w:sz w:val="28"/>
          <w:szCs w:val="28"/>
          <w:rPrChange w:id="15" w:author="Brian Silverstone" w:date="2015-10-07T21:13:00Z">
            <w:rPr>
              <w:rFonts w:ascii="Times New Roman" w:hAnsi="Times New Roman" w:cs="Times New Roman"/>
              <w:bCs/>
              <w:i/>
              <w:iCs/>
              <w:sz w:val="24"/>
              <w:szCs w:val="24"/>
            </w:rPr>
          </w:rPrChange>
        </w:rPr>
        <w:t>University of Waikato</w:t>
      </w:r>
    </w:p>
    <w:p w14:paraId="3DAA1D22" w14:textId="77777777" w:rsidR="00347826" w:rsidRPr="00347826" w:rsidRDefault="00347826" w:rsidP="00F50315">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567"/>
        </w:tabs>
        <w:spacing w:line="288" w:lineRule="auto"/>
        <w:jc w:val="center"/>
        <w:rPr>
          <w:rFonts w:ascii="Times New Roman" w:hAnsi="Times New Roman" w:cs="Times New Roman"/>
          <w:bCs/>
          <w:i/>
          <w:iCs/>
          <w:sz w:val="24"/>
          <w:szCs w:val="24"/>
        </w:rPr>
      </w:pPr>
    </w:p>
    <w:p w14:paraId="422C6BAE" w14:textId="77777777" w:rsidR="00347826" w:rsidRPr="00347826" w:rsidRDefault="00347826" w:rsidP="00F50315">
      <w:pPr>
        <w:pStyle w:val="PlainText"/>
        <w:tabs>
          <w:tab w:val="left" w:pos="284"/>
          <w:tab w:val="left" w:pos="567"/>
        </w:tabs>
        <w:spacing w:line="288" w:lineRule="auto"/>
        <w:jc w:val="center"/>
        <w:rPr>
          <w:rFonts w:ascii="Times New Roman" w:hAnsi="Times New Roman" w:cs="Times New Roman"/>
          <w:b/>
          <w:sz w:val="24"/>
          <w:szCs w:val="24"/>
        </w:rPr>
      </w:pPr>
    </w:p>
    <w:p w14:paraId="3D2BD33E" w14:textId="77777777" w:rsidR="00347826" w:rsidRPr="00347826" w:rsidRDefault="00347826" w:rsidP="00F50315">
      <w:pPr>
        <w:pStyle w:val="PlainText"/>
        <w:tabs>
          <w:tab w:val="left" w:pos="284"/>
          <w:tab w:val="left" w:pos="567"/>
        </w:tabs>
        <w:spacing w:line="288" w:lineRule="auto"/>
        <w:jc w:val="center"/>
        <w:rPr>
          <w:rFonts w:ascii="Times New Roman" w:hAnsi="Times New Roman" w:cs="Times New Roman"/>
          <w:b/>
          <w:bCs/>
          <w:sz w:val="24"/>
          <w:szCs w:val="24"/>
        </w:rPr>
      </w:pPr>
    </w:p>
    <w:p w14:paraId="5553D3FA" w14:textId="77777777" w:rsidR="00347826" w:rsidRPr="00877D30" w:rsidRDefault="00347826" w:rsidP="00F50315">
      <w:pPr>
        <w:pStyle w:val="PlainText"/>
        <w:tabs>
          <w:tab w:val="left" w:pos="284"/>
          <w:tab w:val="left" w:pos="567"/>
        </w:tabs>
        <w:spacing w:line="288" w:lineRule="auto"/>
        <w:jc w:val="center"/>
        <w:rPr>
          <w:rFonts w:ascii="Times New Roman" w:hAnsi="Times New Roman" w:cs="Times New Roman"/>
          <w:b/>
          <w:bCs/>
          <w:sz w:val="28"/>
          <w:szCs w:val="28"/>
        </w:rPr>
      </w:pPr>
      <w:r w:rsidRPr="00877D30">
        <w:rPr>
          <w:rFonts w:ascii="Times New Roman" w:hAnsi="Times New Roman" w:cs="Times New Roman"/>
          <w:b/>
          <w:bCs/>
          <w:sz w:val="28"/>
          <w:szCs w:val="28"/>
        </w:rPr>
        <w:t>Department of Economics</w:t>
      </w:r>
    </w:p>
    <w:p w14:paraId="0BF81197" w14:textId="77777777" w:rsidR="00347826" w:rsidRPr="00877D30" w:rsidRDefault="00347826" w:rsidP="00F50315">
      <w:pPr>
        <w:pStyle w:val="PlainText"/>
        <w:tabs>
          <w:tab w:val="left" w:pos="284"/>
          <w:tab w:val="left" w:pos="567"/>
        </w:tabs>
        <w:spacing w:line="288" w:lineRule="auto"/>
        <w:jc w:val="center"/>
        <w:rPr>
          <w:rFonts w:ascii="Times New Roman" w:hAnsi="Times New Roman" w:cs="Times New Roman"/>
          <w:b/>
          <w:bCs/>
          <w:sz w:val="28"/>
          <w:szCs w:val="28"/>
        </w:rPr>
      </w:pPr>
    </w:p>
    <w:p w14:paraId="46C77352" w14:textId="478EC81C" w:rsidR="00347826" w:rsidRPr="00877D30" w:rsidRDefault="00347826" w:rsidP="00F50315">
      <w:pPr>
        <w:pStyle w:val="PlainText"/>
        <w:tabs>
          <w:tab w:val="left" w:pos="284"/>
          <w:tab w:val="left" w:pos="567"/>
        </w:tabs>
        <w:spacing w:line="288" w:lineRule="auto"/>
        <w:jc w:val="center"/>
        <w:rPr>
          <w:rFonts w:ascii="Times New Roman" w:hAnsi="Times New Roman" w:cs="Times New Roman"/>
          <w:b/>
          <w:bCs/>
          <w:sz w:val="28"/>
          <w:szCs w:val="28"/>
        </w:rPr>
      </w:pPr>
      <w:r w:rsidRPr="00877D30">
        <w:rPr>
          <w:rFonts w:ascii="Times New Roman" w:hAnsi="Times New Roman" w:cs="Times New Roman"/>
          <w:b/>
          <w:bCs/>
          <w:sz w:val="28"/>
          <w:szCs w:val="28"/>
        </w:rPr>
        <w:t>W</w:t>
      </w:r>
      <w:r w:rsidR="00767C49" w:rsidRPr="00877D30">
        <w:rPr>
          <w:rFonts w:ascii="Times New Roman" w:hAnsi="Times New Roman" w:cs="Times New Roman"/>
          <w:b/>
          <w:bCs/>
          <w:sz w:val="28"/>
          <w:szCs w:val="28"/>
        </w:rPr>
        <w:t>orking Paper in Economics 15/09</w:t>
      </w:r>
    </w:p>
    <w:p w14:paraId="6C9FE3BB" w14:textId="77777777" w:rsidR="00347826" w:rsidRPr="00877D30" w:rsidRDefault="00347826" w:rsidP="00F50315">
      <w:pPr>
        <w:pStyle w:val="PlainText"/>
        <w:tabs>
          <w:tab w:val="left" w:pos="284"/>
          <w:tab w:val="left" w:pos="567"/>
        </w:tabs>
        <w:spacing w:line="288" w:lineRule="auto"/>
        <w:jc w:val="center"/>
        <w:rPr>
          <w:rFonts w:ascii="Times New Roman" w:hAnsi="Times New Roman" w:cs="Times New Roman"/>
          <w:b/>
          <w:bCs/>
          <w:sz w:val="28"/>
          <w:szCs w:val="28"/>
        </w:rPr>
      </w:pPr>
    </w:p>
    <w:p w14:paraId="4CF0800F" w14:textId="76E96CCB" w:rsidR="00347826" w:rsidRPr="00877D30" w:rsidRDefault="00974F22" w:rsidP="00F50315">
      <w:pPr>
        <w:pStyle w:val="PlainText"/>
        <w:tabs>
          <w:tab w:val="left" w:pos="284"/>
          <w:tab w:val="left" w:pos="567"/>
        </w:tabs>
        <w:spacing w:line="288" w:lineRule="auto"/>
        <w:jc w:val="center"/>
        <w:rPr>
          <w:rFonts w:ascii="Times New Roman" w:hAnsi="Times New Roman" w:cs="Times New Roman"/>
          <w:sz w:val="28"/>
          <w:szCs w:val="28"/>
        </w:rPr>
      </w:pPr>
      <w:r>
        <w:rPr>
          <w:rFonts w:ascii="Times New Roman" w:hAnsi="Times New Roman" w:cs="Times New Roman"/>
          <w:sz w:val="28"/>
          <w:szCs w:val="28"/>
        </w:rPr>
        <w:t>October</w:t>
      </w:r>
      <w:r w:rsidR="00347826" w:rsidRPr="00877D30">
        <w:rPr>
          <w:rFonts w:ascii="Times New Roman" w:hAnsi="Times New Roman" w:cs="Times New Roman"/>
          <w:sz w:val="28"/>
          <w:szCs w:val="28"/>
        </w:rPr>
        <w:t xml:space="preserve"> 2015</w:t>
      </w:r>
    </w:p>
    <w:p w14:paraId="416D9458" w14:textId="77777777" w:rsidR="00347826" w:rsidRPr="00347826" w:rsidRDefault="00347826" w:rsidP="00F50315">
      <w:pPr>
        <w:pStyle w:val="PlainText"/>
        <w:tabs>
          <w:tab w:val="left" w:pos="284"/>
          <w:tab w:val="left" w:pos="567"/>
        </w:tabs>
        <w:spacing w:line="288" w:lineRule="auto"/>
        <w:jc w:val="center"/>
        <w:rPr>
          <w:rFonts w:ascii="Times New Roman" w:hAnsi="Times New Roman" w:cs="Times New Roman"/>
          <w:sz w:val="24"/>
          <w:szCs w:val="24"/>
        </w:rPr>
      </w:pPr>
    </w:p>
    <w:p w14:paraId="23E0C618" w14:textId="77777777" w:rsidR="00347826" w:rsidRPr="00347826" w:rsidRDefault="00347826" w:rsidP="00F50315">
      <w:pPr>
        <w:pStyle w:val="PlainText"/>
        <w:tabs>
          <w:tab w:val="left" w:pos="284"/>
          <w:tab w:val="left" w:pos="567"/>
        </w:tabs>
        <w:spacing w:line="288" w:lineRule="auto"/>
        <w:jc w:val="center"/>
        <w:rPr>
          <w:rFonts w:ascii="Times New Roman" w:hAnsi="Times New Roman" w:cs="Times New Roman"/>
          <w:i/>
          <w:iCs/>
          <w:sz w:val="24"/>
          <w:szCs w:val="24"/>
        </w:rPr>
      </w:pPr>
      <w:r w:rsidRPr="00347826">
        <w:rPr>
          <w:rFonts w:ascii="Times New Roman" w:hAnsi="Times New Roman" w:cs="Times New Roman"/>
          <w:i/>
          <w:iCs/>
          <w:sz w:val="24"/>
          <w:szCs w:val="24"/>
        </w:rPr>
        <w:t>Corresponding Author</w:t>
      </w:r>
    </w:p>
    <w:p w14:paraId="011C3D32" w14:textId="77777777" w:rsidR="00347826" w:rsidRPr="00877D30" w:rsidRDefault="00347826" w:rsidP="00F50315">
      <w:pPr>
        <w:pStyle w:val="PlainText"/>
        <w:tabs>
          <w:tab w:val="left" w:pos="284"/>
          <w:tab w:val="left" w:pos="567"/>
        </w:tabs>
        <w:spacing w:line="288" w:lineRule="auto"/>
        <w:jc w:val="center"/>
        <w:rPr>
          <w:rFonts w:ascii="Times New Roman" w:hAnsi="Times New Roman" w:cs="Times New Roman"/>
          <w:sz w:val="12"/>
          <w:szCs w:val="12"/>
        </w:rPr>
      </w:pPr>
    </w:p>
    <w:p w14:paraId="33645CAA" w14:textId="77777777" w:rsidR="00347826" w:rsidRPr="00347826" w:rsidRDefault="00347826" w:rsidP="00F50315">
      <w:pPr>
        <w:pStyle w:val="PlainText"/>
        <w:tabs>
          <w:tab w:val="left" w:pos="284"/>
          <w:tab w:val="left" w:pos="567"/>
        </w:tabs>
        <w:spacing w:line="288" w:lineRule="auto"/>
        <w:jc w:val="center"/>
        <w:rPr>
          <w:rFonts w:ascii="Times New Roman" w:hAnsi="Times New Roman" w:cs="Times New Roman"/>
          <w:b/>
          <w:bCs/>
          <w:sz w:val="24"/>
          <w:szCs w:val="24"/>
        </w:rPr>
      </w:pPr>
      <w:r w:rsidRPr="00347826">
        <w:rPr>
          <w:rFonts w:ascii="Times New Roman" w:hAnsi="Times New Roman" w:cs="Times New Roman"/>
          <w:b/>
          <w:bCs/>
          <w:sz w:val="24"/>
          <w:szCs w:val="24"/>
        </w:rPr>
        <w:t>Michael P. Cameron</w:t>
      </w:r>
    </w:p>
    <w:p w14:paraId="2C43B3C3" w14:textId="26B445C0" w:rsidR="00347826" w:rsidRPr="00347826" w:rsidRDefault="00347826" w:rsidP="00F50315">
      <w:pPr>
        <w:pStyle w:val="PlainText"/>
        <w:tabs>
          <w:tab w:val="left" w:pos="284"/>
          <w:tab w:val="left" w:pos="567"/>
        </w:tabs>
        <w:spacing w:line="288" w:lineRule="auto"/>
        <w:jc w:val="center"/>
        <w:rPr>
          <w:rFonts w:ascii="Times New Roman" w:hAnsi="Times New Roman" w:cs="Times New Roman"/>
          <w:sz w:val="24"/>
          <w:szCs w:val="24"/>
        </w:rPr>
      </w:pPr>
      <w:r w:rsidRPr="00347826">
        <w:rPr>
          <w:rFonts w:ascii="Times New Roman" w:hAnsi="Times New Roman" w:cs="Times New Roman"/>
          <w:sz w:val="24"/>
          <w:szCs w:val="24"/>
        </w:rPr>
        <w:t>Economics Department</w:t>
      </w:r>
    </w:p>
    <w:p w14:paraId="3C540230" w14:textId="6CE4A7E5" w:rsidR="00347826" w:rsidRPr="00347826" w:rsidRDefault="00347826" w:rsidP="00F50315">
      <w:pPr>
        <w:pStyle w:val="PlainText"/>
        <w:tabs>
          <w:tab w:val="left" w:pos="284"/>
          <w:tab w:val="left" w:pos="567"/>
        </w:tabs>
        <w:spacing w:line="288" w:lineRule="auto"/>
        <w:jc w:val="center"/>
        <w:rPr>
          <w:rFonts w:ascii="Times New Roman" w:hAnsi="Times New Roman" w:cs="Times New Roman"/>
          <w:sz w:val="24"/>
          <w:szCs w:val="24"/>
        </w:rPr>
      </w:pPr>
      <w:r w:rsidRPr="00347826">
        <w:rPr>
          <w:rFonts w:ascii="Times New Roman" w:hAnsi="Times New Roman" w:cs="Times New Roman"/>
          <w:sz w:val="24"/>
          <w:szCs w:val="24"/>
        </w:rPr>
        <w:t>University of Waikato,</w:t>
      </w:r>
    </w:p>
    <w:p w14:paraId="7DE4D26C" w14:textId="77777777" w:rsidR="00347826" w:rsidRPr="00347826" w:rsidRDefault="00347826" w:rsidP="00F50315">
      <w:pPr>
        <w:pStyle w:val="PlainText"/>
        <w:tabs>
          <w:tab w:val="left" w:pos="284"/>
          <w:tab w:val="left" w:pos="567"/>
        </w:tabs>
        <w:spacing w:line="288" w:lineRule="auto"/>
        <w:jc w:val="center"/>
        <w:rPr>
          <w:rFonts w:ascii="Times New Roman" w:hAnsi="Times New Roman" w:cs="Times New Roman"/>
          <w:sz w:val="24"/>
          <w:szCs w:val="24"/>
        </w:rPr>
      </w:pPr>
      <w:r w:rsidRPr="00347826">
        <w:rPr>
          <w:rFonts w:ascii="Times New Roman" w:hAnsi="Times New Roman" w:cs="Times New Roman"/>
          <w:sz w:val="24"/>
          <w:szCs w:val="24"/>
        </w:rPr>
        <w:t>Private Bag 3105,</w:t>
      </w:r>
    </w:p>
    <w:p w14:paraId="61C05163" w14:textId="77777777" w:rsidR="00877D30" w:rsidRDefault="00877D30" w:rsidP="00F50315">
      <w:pPr>
        <w:pStyle w:val="PlainText"/>
        <w:tabs>
          <w:tab w:val="left" w:pos="284"/>
          <w:tab w:val="left" w:pos="567"/>
        </w:tabs>
        <w:spacing w:line="288" w:lineRule="auto"/>
        <w:jc w:val="center"/>
        <w:rPr>
          <w:rFonts w:ascii="Times New Roman" w:hAnsi="Times New Roman" w:cs="Times New Roman"/>
          <w:sz w:val="24"/>
          <w:szCs w:val="24"/>
        </w:rPr>
      </w:pPr>
      <w:r>
        <w:rPr>
          <w:rFonts w:ascii="Times New Roman" w:hAnsi="Times New Roman" w:cs="Times New Roman"/>
          <w:sz w:val="24"/>
          <w:szCs w:val="24"/>
        </w:rPr>
        <w:t>Hamilton</w:t>
      </w:r>
    </w:p>
    <w:p w14:paraId="4E697FCE" w14:textId="3B069C40" w:rsidR="00347826" w:rsidRPr="00347826" w:rsidRDefault="00347826" w:rsidP="00F50315">
      <w:pPr>
        <w:pStyle w:val="PlainText"/>
        <w:tabs>
          <w:tab w:val="left" w:pos="284"/>
          <w:tab w:val="left" w:pos="567"/>
        </w:tabs>
        <w:spacing w:line="288" w:lineRule="auto"/>
        <w:jc w:val="center"/>
        <w:rPr>
          <w:rFonts w:ascii="Times New Roman" w:hAnsi="Times New Roman" w:cs="Times New Roman"/>
          <w:sz w:val="24"/>
          <w:szCs w:val="24"/>
        </w:rPr>
      </w:pPr>
      <w:r w:rsidRPr="00347826">
        <w:rPr>
          <w:rFonts w:ascii="Times New Roman" w:hAnsi="Times New Roman" w:cs="Times New Roman"/>
          <w:sz w:val="24"/>
          <w:szCs w:val="24"/>
        </w:rPr>
        <w:t xml:space="preserve"> New Zealand</w:t>
      </w:r>
      <w:r w:rsidR="00877D30">
        <w:rPr>
          <w:rFonts w:ascii="Times New Roman" w:hAnsi="Times New Roman" w:cs="Times New Roman"/>
          <w:sz w:val="24"/>
          <w:szCs w:val="24"/>
        </w:rPr>
        <w:t>, 3240</w:t>
      </w:r>
    </w:p>
    <w:p w14:paraId="4058E45E" w14:textId="77777777" w:rsidR="00347826" w:rsidRPr="00347826" w:rsidRDefault="00347826" w:rsidP="00F50315">
      <w:pPr>
        <w:pStyle w:val="PlainText"/>
        <w:tabs>
          <w:tab w:val="left" w:pos="284"/>
          <w:tab w:val="left" w:pos="567"/>
        </w:tabs>
        <w:spacing w:line="288" w:lineRule="auto"/>
        <w:jc w:val="center"/>
        <w:rPr>
          <w:rFonts w:ascii="Times New Roman" w:hAnsi="Times New Roman" w:cs="Times New Roman"/>
          <w:sz w:val="24"/>
          <w:szCs w:val="24"/>
        </w:rPr>
      </w:pPr>
    </w:p>
    <w:p w14:paraId="2D3DBE85" w14:textId="77777777" w:rsidR="00347826" w:rsidRPr="00347826" w:rsidRDefault="00347826" w:rsidP="00F50315">
      <w:pPr>
        <w:pStyle w:val="PlainText"/>
        <w:tabs>
          <w:tab w:val="left" w:pos="284"/>
          <w:tab w:val="left" w:pos="567"/>
        </w:tabs>
        <w:spacing w:line="288" w:lineRule="auto"/>
        <w:jc w:val="center"/>
        <w:rPr>
          <w:rFonts w:ascii="Times New Roman" w:hAnsi="Times New Roman" w:cs="Times New Roman"/>
          <w:sz w:val="24"/>
          <w:szCs w:val="24"/>
        </w:rPr>
      </w:pPr>
      <w:r w:rsidRPr="00347826">
        <w:rPr>
          <w:rFonts w:ascii="Times New Roman" w:hAnsi="Times New Roman" w:cs="Times New Roman"/>
          <w:sz w:val="24"/>
          <w:szCs w:val="24"/>
        </w:rPr>
        <w:t>Email: mcam@waikato.ac.nz</w:t>
      </w:r>
    </w:p>
    <w:p w14:paraId="34C2BC06" w14:textId="77777777" w:rsidR="00347826" w:rsidRPr="00347826" w:rsidRDefault="00347826" w:rsidP="00F50315">
      <w:pPr>
        <w:tabs>
          <w:tab w:val="left" w:pos="284"/>
          <w:tab w:val="left" w:pos="567"/>
        </w:tabs>
        <w:spacing w:after="0" w:line="288" w:lineRule="auto"/>
        <w:jc w:val="center"/>
        <w:rPr>
          <w:rFonts w:ascii="Times New Roman" w:hAnsi="Times New Roman" w:cs="Times New Roman"/>
          <w:sz w:val="24"/>
          <w:szCs w:val="24"/>
        </w:rPr>
      </w:pPr>
      <w:r w:rsidRPr="00347826">
        <w:rPr>
          <w:rFonts w:ascii="Times New Roman" w:hAnsi="Times New Roman" w:cs="Times New Roman"/>
          <w:sz w:val="24"/>
          <w:szCs w:val="24"/>
        </w:rPr>
        <w:t>Tel: +64 (0)7 858 5082</w:t>
      </w:r>
    </w:p>
    <w:p w14:paraId="2DB40580" w14:textId="77777777" w:rsidR="00347826" w:rsidRDefault="00347826" w:rsidP="00F50315">
      <w:pPr>
        <w:tabs>
          <w:tab w:val="left" w:pos="567"/>
        </w:tabs>
        <w:spacing w:after="0" w:line="288" w:lineRule="auto"/>
        <w:jc w:val="center"/>
        <w:rPr>
          <w:rFonts w:ascii="Times New Roman" w:hAnsi="Times New Roman" w:cs="Times New Roman"/>
          <w:sz w:val="24"/>
          <w:szCs w:val="24"/>
        </w:rPr>
      </w:pPr>
      <w:r>
        <w:rPr>
          <w:rFonts w:ascii="Times New Roman" w:hAnsi="Times New Roman" w:cs="Times New Roman"/>
          <w:sz w:val="24"/>
          <w:szCs w:val="24"/>
        </w:rPr>
        <w:br w:type="page"/>
      </w:r>
    </w:p>
    <w:p w14:paraId="558FC814" w14:textId="77777777" w:rsidR="00877D30" w:rsidRDefault="00877D30" w:rsidP="00F50315">
      <w:pPr>
        <w:pStyle w:val="Heading2"/>
        <w:tabs>
          <w:tab w:val="left" w:pos="567"/>
        </w:tabs>
        <w:spacing w:before="0" w:line="288" w:lineRule="auto"/>
        <w:jc w:val="center"/>
        <w:rPr>
          <w:sz w:val="24"/>
          <w:szCs w:val="24"/>
        </w:rPr>
      </w:pPr>
    </w:p>
    <w:p w14:paraId="07FB9A36" w14:textId="77777777" w:rsidR="00877D30" w:rsidRDefault="00877D30" w:rsidP="00F50315">
      <w:pPr>
        <w:pStyle w:val="Heading2"/>
        <w:tabs>
          <w:tab w:val="left" w:pos="567"/>
        </w:tabs>
        <w:spacing w:before="0" w:line="288" w:lineRule="auto"/>
        <w:jc w:val="center"/>
        <w:rPr>
          <w:sz w:val="24"/>
          <w:szCs w:val="24"/>
        </w:rPr>
      </w:pPr>
    </w:p>
    <w:p w14:paraId="03337F15" w14:textId="77777777" w:rsidR="00E011EE" w:rsidRDefault="00E011EE" w:rsidP="00F50315">
      <w:pPr>
        <w:pStyle w:val="Heading2"/>
        <w:tabs>
          <w:tab w:val="left" w:pos="567"/>
        </w:tabs>
        <w:spacing w:before="0" w:line="288" w:lineRule="auto"/>
        <w:jc w:val="center"/>
        <w:rPr>
          <w:sz w:val="24"/>
          <w:szCs w:val="24"/>
        </w:rPr>
      </w:pPr>
    </w:p>
    <w:p w14:paraId="699F0DDC" w14:textId="77777777" w:rsidR="00E011EE" w:rsidRDefault="00E011EE" w:rsidP="00F50315">
      <w:pPr>
        <w:pStyle w:val="Heading2"/>
        <w:tabs>
          <w:tab w:val="left" w:pos="567"/>
        </w:tabs>
        <w:spacing w:before="0" w:line="288" w:lineRule="auto"/>
        <w:jc w:val="center"/>
        <w:rPr>
          <w:sz w:val="24"/>
          <w:szCs w:val="24"/>
        </w:rPr>
      </w:pPr>
    </w:p>
    <w:p w14:paraId="7C45968E" w14:textId="13C02950" w:rsidR="0042612B" w:rsidRPr="00877D30" w:rsidRDefault="0042612B" w:rsidP="00F50315">
      <w:pPr>
        <w:pStyle w:val="Heading2"/>
        <w:tabs>
          <w:tab w:val="left" w:pos="567"/>
        </w:tabs>
        <w:spacing w:before="0" w:line="288" w:lineRule="auto"/>
        <w:jc w:val="center"/>
        <w:rPr>
          <w:sz w:val="24"/>
          <w:szCs w:val="24"/>
        </w:rPr>
      </w:pPr>
      <w:r w:rsidRPr="00877D30">
        <w:rPr>
          <w:sz w:val="24"/>
          <w:szCs w:val="24"/>
        </w:rPr>
        <w:t>Abstract</w:t>
      </w:r>
    </w:p>
    <w:p w14:paraId="7CD99184" w14:textId="77777777" w:rsidR="00877D30" w:rsidRPr="00E011EE" w:rsidRDefault="00877D30" w:rsidP="00877D30">
      <w:pPr>
        <w:rPr>
          <w:sz w:val="12"/>
          <w:szCs w:val="12"/>
        </w:rPr>
      </w:pPr>
    </w:p>
    <w:p w14:paraId="00E8CD37" w14:textId="20FE820A" w:rsidR="0042612B" w:rsidRPr="00877D30" w:rsidRDefault="0042612B" w:rsidP="00877D30">
      <w:pPr>
        <w:tabs>
          <w:tab w:val="left" w:pos="567"/>
        </w:tabs>
        <w:spacing w:after="0" w:line="360" w:lineRule="auto"/>
        <w:jc w:val="both"/>
        <w:rPr>
          <w:rFonts w:asciiTheme="majorBidi" w:hAnsiTheme="majorBidi" w:cstheme="majorBidi"/>
          <w:sz w:val="24"/>
          <w:szCs w:val="24"/>
        </w:rPr>
      </w:pPr>
      <w:r w:rsidRPr="00877D30">
        <w:rPr>
          <w:rFonts w:asciiTheme="majorBidi" w:hAnsiTheme="majorBidi" w:cstheme="majorBidi"/>
          <w:sz w:val="24"/>
          <w:szCs w:val="24"/>
        </w:rPr>
        <w:t>Improving student retention and academic performance is a key objective for higher education institutions, and finding effective interventions for assisting with at-risk students is therefore important. In this paper we evaluate a proactive pastoral care intervention that was trialled in an introductory economics course. We first identified students at high risk of failure, and then randomised these students into two treatment groups and a control group. The first treatment group received an email with information about academic support, while the second treatment group received the email as well as a personal telephone call to follow up. In evaluating the impact of the intervention trial, we found that the first intervention did not significantly improve student outcomes, but the second intervention did improve outcomes in one of the two semesters evaluated. However, the statistically insignificant results were positive and statistical insignificance may be due to a lack of statistical power. Overall, the initiative was a qualified success.</w:t>
      </w:r>
      <w:r w:rsidR="00A61E73" w:rsidRPr="00877D30">
        <w:rPr>
          <w:rFonts w:asciiTheme="majorBidi" w:hAnsiTheme="majorBidi" w:cstheme="majorBidi"/>
          <w:sz w:val="24"/>
          <w:szCs w:val="24"/>
        </w:rPr>
        <w:t xml:space="preserve"> It is both simple and cost-effective, and should be considered for wider implementation and further evaluation.</w:t>
      </w:r>
    </w:p>
    <w:p w14:paraId="156F863B" w14:textId="77777777" w:rsidR="00EF1202" w:rsidRDefault="00EF1202" w:rsidP="00F50315">
      <w:pPr>
        <w:tabs>
          <w:tab w:val="left" w:pos="567"/>
        </w:tabs>
        <w:spacing w:after="0" w:line="288" w:lineRule="auto"/>
        <w:jc w:val="both"/>
        <w:rPr>
          <w:rFonts w:asciiTheme="majorBidi" w:hAnsiTheme="majorBidi" w:cstheme="majorBidi"/>
          <w:sz w:val="24"/>
          <w:szCs w:val="24"/>
        </w:rPr>
      </w:pPr>
    </w:p>
    <w:p w14:paraId="07A51467" w14:textId="77777777" w:rsidR="00877D30" w:rsidRPr="00877D30" w:rsidRDefault="00877D30" w:rsidP="00F50315">
      <w:pPr>
        <w:tabs>
          <w:tab w:val="left" w:pos="567"/>
        </w:tabs>
        <w:spacing w:after="0" w:line="288" w:lineRule="auto"/>
        <w:jc w:val="both"/>
        <w:rPr>
          <w:rFonts w:asciiTheme="majorBidi" w:hAnsiTheme="majorBidi" w:cstheme="majorBidi"/>
          <w:sz w:val="24"/>
          <w:szCs w:val="24"/>
        </w:rPr>
      </w:pPr>
    </w:p>
    <w:p w14:paraId="0813ABD7" w14:textId="77777777" w:rsidR="00EF1202" w:rsidRPr="00877D30" w:rsidRDefault="00A61E73" w:rsidP="00F50315">
      <w:pPr>
        <w:tabs>
          <w:tab w:val="left" w:pos="567"/>
        </w:tabs>
        <w:spacing w:after="0" w:line="288" w:lineRule="auto"/>
        <w:jc w:val="center"/>
        <w:rPr>
          <w:rFonts w:asciiTheme="majorBidi" w:hAnsiTheme="majorBidi" w:cstheme="majorBidi"/>
          <w:sz w:val="24"/>
          <w:szCs w:val="24"/>
        </w:rPr>
      </w:pPr>
      <w:r w:rsidRPr="00877D30">
        <w:rPr>
          <w:rStyle w:val="Heading2Char"/>
          <w:sz w:val="24"/>
          <w:szCs w:val="24"/>
        </w:rPr>
        <w:t>Keywords</w:t>
      </w:r>
    </w:p>
    <w:p w14:paraId="30E22BEF" w14:textId="4B4852BB" w:rsidR="00EF1202" w:rsidRPr="00877D30" w:rsidRDefault="00EF1202" w:rsidP="00F50315">
      <w:pPr>
        <w:tabs>
          <w:tab w:val="left" w:pos="567"/>
        </w:tabs>
        <w:spacing w:after="0" w:line="288" w:lineRule="auto"/>
        <w:jc w:val="center"/>
        <w:rPr>
          <w:rFonts w:asciiTheme="majorBidi" w:hAnsiTheme="majorBidi" w:cstheme="majorBidi"/>
          <w:sz w:val="24"/>
          <w:szCs w:val="24"/>
        </w:rPr>
      </w:pPr>
      <w:proofErr w:type="gramStart"/>
      <w:r w:rsidRPr="00877D30">
        <w:rPr>
          <w:rFonts w:asciiTheme="majorBidi" w:hAnsiTheme="majorBidi" w:cstheme="majorBidi"/>
          <w:sz w:val="24"/>
          <w:szCs w:val="24"/>
        </w:rPr>
        <w:t>academic</w:t>
      </w:r>
      <w:proofErr w:type="gramEnd"/>
      <w:r w:rsidRPr="00877D30">
        <w:rPr>
          <w:rFonts w:asciiTheme="majorBidi" w:hAnsiTheme="majorBidi" w:cstheme="majorBidi"/>
          <w:sz w:val="24"/>
          <w:szCs w:val="24"/>
        </w:rPr>
        <w:t xml:space="preserve"> performance</w:t>
      </w:r>
    </w:p>
    <w:p w14:paraId="4C091E3D" w14:textId="3A7B0B11" w:rsidR="00EF1202" w:rsidRPr="00877D30" w:rsidRDefault="00EF1202" w:rsidP="00F50315">
      <w:pPr>
        <w:tabs>
          <w:tab w:val="left" w:pos="567"/>
        </w:tabs>
        <w:spacing w:after="0" w:line="288" w:lineRule="auto"/>
        <w:jc w:val="center"/>
        <w:rPr>
          <w:rFonts w:asciiTheme="majorBidi" w:hAnsiTheme="majorBidi" w:cstheme="majorBidi"/>
          <w:sz w:val="24"/>
          <w:szCs w:val="24"/>
        </w:rPr>
      </w:pPr>
      <w:proofErr w:type="gramStart"/>
      <w:r w:rsidRPr="00877D30">
        <w:rPr>
          <w:rFonts w:asciiTheme="majorBidi" w:hAnsiTheme="majorBidi" w:cstheme="majorBidi"/>
          <w:sz w:val="24"/>
          <w:szCs w:val="24"/>
        </w:rPr>
        <w:t>pastoral</w:t>
      </w:r>
      <w:proofErr w:type="gramEnd"/>
      <w:r w:rsidRPr="00877D30">
        <w:rPr>
          <w:rFonts w:asciiTheme="majorBidi" w:hAnsiTheme="majorBidi" w:cstheme="majorBidi"/>
          <w:sz w:val="24"/>
          <w:szCs w:val="24"/>
        </w:rPr>
        <w:t xml:space="preserve"> care</w:t>
      </w:r>
    </w:p>
    <w:p w14:paraId="42FDD77B" w14:textId="2C48415F" w:rsidR="00EF1202" w:rsidRPr="00877D30" w:rsidRDefault="00EF1202" w:rsidP="00F50315">
      <w:pPr>
        <w:tabs>
          <w:tab w:val="left" w:pos="567"/>
        </w:tabs>
        <w:spacing w:after="0" w:line="288" w:lineRule="auto"/>
        <w:jc w:val="center"/>
        <w:rPr>
          <w:rFonts w:asciiTheme="majorBidi" w:hAnsiTheme="majorBidi" w:cstheme="majorBidi"/>
          <w:sz w:val="24"/>
          <w:szCs w:val="24"/>
        </w:rPr>
      </w:pPr>
      <w:proofErr w:type="gramStart"/>
      <w:r w:rsidRPr="00877D30">
        <w:rPr>
          <w:rFonts w:asciiTheme="majorBidi" w:hAnsiTheme="majorBidi" w:cstheme="majorBidi"/>
          <w:sz w:val="24"/>
          <w:szCs w:val="24"/>
        </w:rPr>
        <w:t>student</w:t>
      </w:r>
      <w:proofErr w:type="gramEnd"/>
      <w:r w:rsidRPr="00877D30">
        <w:rPr>
          <w:rFonts w:asciiTheme="majorBidi" w:hAnsiTheme="majorBidi" w:cstheme="majorBidi"/>
          <w:sz w:val="24"/>
          <w:szCs w:val="24"/>
        </w:rPr>
        <w:t xml:space="preserve"> retention</w:t>
      </w:r>
    </w:p>
    <w:p w14:paraId="5CDDF00B" w14:textId="14801A49" w:rsidR="00EF1202" w:rsidRPr="00877D30" w:rsidRDefault="00EF1202" w:rsidP="00F50315">
      <w:pPr>
        <w:tabs>
          <w:tab w:val="left" w:pos="567"/>
        </w:tabs>
        <w:spacing w:after="0" w:line="288" w:lineRule="auto"/>
        <w:jc w:val="center"/>
        <w:rPr>
          <w:rFonts w:asciiTheme="majorBidi" w:hAnsiTheme="majorBidi" w:cstheme="majorBidi"/>
          <w:sz w:val="24"/>
          <w:szCs w:val="24"/>
        </w:rPr>
      </w:pPr>
      <w:proofErr w:type="gramStart"/>
      <w:r w:rsidRPr="00877D30">
        <w:rPr>
          <w:rFonts w:asciiTheme="majorBidi" w:hAnsiTheme="majorBidi" w:cstheme="majorBidi"/>
          <w:sz w:val="24"/>
          <w:szCs w:val="24"/>
        </w:rPr>
        <w:t>randomised-controlled</w:t>
      </w:r>
      <w:proofErr w:type="gramEnd"/>
      <w:r w:rsidRPr="00877D30">
        <w:rPr>
          <w:rFonts w:asciiTheme="majorBidi" w:hAnsiTheme="majorBidi" w:cstheme="majorBidi"/>
          <w:sz w:val="24"/>
          <w:szCs w:val="24"/>
        </w:rPr>
        <w:t xml:space="preserve"> trial</w:t>
      </w:r>
    </w:p>
    <w:p w14:paraId="5ECF877B" w14:textId="494EC484" w:rsidR="00A61E73" w:rsidRPr="00877D30" w:rsidRDefault="00A61E73" w:rsidP="00F50315">
      <w:pPr>
        <w:tabs>
          <w:tab w:val="left" w:pos="567"/>
        </w:tabs>
        <w:spacing w:after="0" w:line="288" w:lineRule="auto"/>
        <w:jc w:val="center"/>
        <w:rPr>
          <w:rFonts w:asciiTheme="majorBidi" w:hAnsiTheme="majorBidi" w:cstheme="majorBidi"/>
          <w:sz w:val="24"/>
          <w:szCs w:val="24"/>
        </w:rPr>
      </w:pPr>
      <w:r w:rsidRPr="00877D30">
        <w:rPr>
          <w:rFonts w:asciiTheme="majorBidi" w:hAnsiTheme="majorBidi" w:cstheme="majorBidi"/>
          <w:sz w:val="24"/>
          <w:szCs w:val="24"/>
        </w:rPr>
        <w:t>New Zealand</w:t>
      </w:r>
    </w:p>
    <w:p w14:paraId="6DD5D2B8" w14:textId="77777777" w:rsidR="00EF1202" w:rsidRPr="00877D30" w:rsidRDefault="00EF1202" w:rsidP="00F50315">
      <w:pPr>
        <w:tabs>
          <w:tab w:val="left" w:pos="567"/>
        </w:tabs>
        <w:spacing w:after="0" w:line="288" w:lineRule="auto"/>
        <w:jc w:val="center"/>
        <w:rPr>
          <w:rFonts w:asciiTheme="majorBidi" w:hAnsiTheme="majorBidi" w:cstheme="majorBidi"/>
          <w:sz w:val="24"/>
          <w:szCs w:val="24"/>
        </w:rPr>
      </w:pPr>
    </w:p>
    <w:p w14:paraId="5A507230" w14:textId="77777777" w:rsidR="00EF1202" w:rsidRPr="00877D30" w:rsidRDefault="00A61E73" w:rsidP="00F50315">
      <w:pPr>
        <w:tabs>
          <w:tab w:val="left" w:pos="567"/>
        </w:tabs>
        <w:spacing w:after="0" w:line="288" w:lineRule="auto"/>
        <w:jc w:val="center"/>
        <w:rPr>
          <w:rFonts w:asciiTheme="majorBidi" w:hAnsiTheme="majorBidi" w:cstheme="majorBidi"/>
          <w:sz w:val="24"/>
          <w:szCs w:val="24"/>
        </w:rPr>
      </w:pPr>
      <w:r w:rsidRPr="00877D30">
        <w:rPr>
          <w:rFonts w:asciiTheme="majorBidi" w:hAnsiTheme="majorBidi" w:cstheme="majorBidi"/>
          <w:b/>
          <w:bCs/>
          <w:sz w:val="24"/>
          <w:szCs w:val="24"/>
        </w:rPr>
        <w:t>JEL codes</w:t>
      </w:r>
    </w:p>
    <w:p w14:paraId="32CFA680" w14:textId="5B398EFA" w:rsidR="00A61E73" w:rsidRPr="00877D30" w:rsidRDefault="00A61E73" w:rsidP="00F50315">
      <w:pPr>
        <w:tabs>
          <w:tab w:val="left" w:pos="567"/>
        </w:tabs>
        <w:spacing w:after="0" w:line="288" w:lineRule="auto"/>
        <w:jc w:val="center"/>
        <w:rPr>
          <w:rFonts w:asciiTheme="majorBidi" w:hAnsiTheme="majorBidi" w:cstheme="majorBidi"/>
          <w:sz w:val="24"/>
          <w:szCs w:val="24"/>
        </w:rPr>
      </w:pPr>
      <w:r w:rsidRPr="00877D30">
        <w:rPr>
          <w:rFonts w:asciiTheme="majorBidi" w:hAnsiTheme="majorBidi" w:cstheme="majorBidi"/>
          <w:sz w:val="24"/>
          <w:szCs w:val="24"/>
        </w:rPr>
        <w:t>A22, I21</w:t>
      </w:r>
    </w:p>
    <w:p w14:paraId="4A2EEA1B" w14:textId="77777777" w:rsidR="00EF1202" w:rsidRPr="00877D30" w:rsidRDefault="00EF1202" w:rsidP="00F50315">
      <w:pPr>
        <w:tabs>
          <w:tab w:val="left" w:pos="567"/>
        </w:tabs>
        <w:spacing w:after="0" w:line="288" w:lineRule="auto"/>
        <w:jc w:val="center"/>
        <w:rPr>
          <w:rFonts w:asciiTheme="majorBidi" w:hAnsiTheme="majorBidi" w:cstheme="majorBidi"/>
          <w:sz w:val="24"/>
          <w:szCs w:val="24"/>
        </w:rPr>
      </w:pPr>
    </w:p>
    <w:p w14:paraId="04D7ED1F" w14:textId="77777777" w:rsidR="00EF1202" w:rsidRPr="00877D30" w:rsidRDefault="00EF1202" w:rsidP="00F50315">
      <w:pPr>
        <w:tabs>
          <w:tab w:val="left" w:pos="567"/>
        </w:tabs>
        <w:spacing w:after="0" w:line="288" w:lineRule="auto"/>
        <w:jc w:val="center"/>
        <w:rPr>
          <w:rFonts w:asciiTheme="majorBidi" w:hAnsiTheme="majorBidi" w:cstheme="majorBidi"/>
          <w:sz w:val="24"/>
          <w:szCs w:val="24"/>
        </w:rPr>
      </w:pPr>
    </w:p>
    <w:p w14:paraId="5FAE854D" w14:textId="77777777" w:rsidR="006670DD" w:rsidRPr="00877D30" w:rsidRDefault="006670DD" w:rsidP="00F50315">
      <w:pPr>
        <w:pStyle w:val="Heading2"/>
        <w:tabs>
          <w:tab w:val="left" w:pos="567"/>
        </w:tabs>
        <w:spacing w:before="0" w:line="288" w:lineRule="auto"/>
        <w:jc w:val="center"/>
        <w:rPr>
          <w:sz w:val="22"/>
          <w:szCs w:val="22"/>
        </w:rPr>
      </w:pPr>
      <w:r w:rsidRPr="00877D30">
        <w:rPr>
          <w:sz w:val="22"/>
          <w:szCs w:val="22"/>
        </w:rPr>
        <w:t>Acknowledgements</w:t>
      </w:r>
    </w:p>
    <w:p w14:paraId="453CD0FC" w14:textId="77777777" w:rsidR="006670DD" w:rsidRPr="00877D30" w:rsidRDefault="006670DD" w:rsidP="00F50315">
      <w:pPr>
        <w:tabs>
          <w:tab w:val="left" w:pos="567"/>
        </w:tabs>
        <w:spacing w:after="0" w:line="288" w:lineRule="auto"/>
        <w:jc w:val="center"/>
        <w:rPr>
          <w:rFonts w:asciiTheme="majorBidi" w:hAnsiTheme="majorBidi" w:cstheme="majorBidi"/>
        </w:rPr>
      </w:pPr>
      <w:r w:rsidRPr="00877D30">
        <w:rPr>
          <w:rFonts w:asciiTheme="majorBidi" w:hAnsiTheme="majorBidi" w:cstheme="majorBidi"/>
        </w:rPr>
        <w:t>We thank Steven Lim and Dan Marsh for their support for this initiative, and Gemma Piercy for comments on an earlier draft of the paper.</w:t>
      </w:r>
    </w:p>
    <w:p w14:paraId="0B857554" w14:textId="77777777" w:rsidR="00767C49" w:rsidRDefault="00767C49" w:rsidP="00F50315">
      <w:pPr>
        <w:tabs>
          <w:tab w:val="left" w:pos="567"/>
        </w:tabs>
        <w:rPr>
          <w:rFonts w:asciiTheme="majorBidi" w:eastAsiaTheme="majorEastAsia" w:hAnsiTheme="majorBidi" w:cstheme="majorBidi"/>
          <w:b/>
          <w:bCs/>
          <w:sz w:val="26"/>
          <w:szCs w:val="26"/>
        </w:rPr>
      </w:pPr>
      <w:r>
        <w:br w:type="page"/>
      </w:r>
    </w:p>
    <w:p w14:paraId="486A8486" w14:textId="590BADA5" w:rsidR="00A023E3" w:rsidRDefault="00F50315" w:rsidP="00F50315">
      <w:pPr>
        <w:pStyle w:val="Heading2"/>
        <w:tabs>
          <w:tab w:val="left" w:pos="567"/>
        </w:tabs>
        <w:spacing w:before="0" w:line="288" w:lineRule="auto"/>
        <w:jc w:val="both"/>
        <w:rPr>
          <w:sz w:val="24"/>
          <w:szCs w:val="24"/>
        </w:rPr>
      </w:pPr>
      <w:r w:rsidRPr="00F50315">
        <w:rPr>
          <w:sz w:val="24"/>
          <w:szCs w:val="24"/>
        </w:rPr>
        <w:lastRenderedPageBreak/>
        <w:t xml:space="preserve">1.  </w:t>
      </w:r>
      <w:r w:rsidR="00A023E3" w:rsidRPr="00F50315">
        <w:rPr>
          <w:sz w:val="24"/>
          <w:szCs w:val="24"/>
        </w:rPr>
        <w:t>Introduction</w:t>
      </w:r>
    </w:p>
    <w:p w14:paraId="7F59A43E" w14:textId="77777777" w:rsidR="00F50315" w:rsidRPr="00F50315" w:rsidRDefault="00F50315" w:rsidP="00F50315">
      <w:pPr>
        <w:tabs>
          <w:tab w:val="left" w:pos="567"/>
        </w:tabs>
        <w:spacing w:after="0" w:line="288" w:lineRule="auto"/>
        <w:jc w:val="both"/>
        <w:rPr>
          <w:rFonts w:asciiTheme="majorBidi" w:hAnsiTheme="majorBidi" w:cstheme="majorBidi"/>
          <w:sz w:val="12"/>
          <w:szCs w:val="12"/>
        </w:rPr>
      </w:pPr>
    </w:p>
    <w:p w14:paraId="463815BD" w14:textId="5F314A12" w:rsidR="005A40AC" w:rsidRDefault="005A40AC" w:rsidP="00F50315">
      <w:pPr>
        <w:tabs>
          <w:tab w:val="left" w:pos="567"/>
        </w:tabs>
        <w:spacing w:after="0" w:line="288" w:lineRule="auto"/>
        <w:jc w:val="both"/>
        <w:rPr>
          <w:rFonts w:asciiTheme="majorBidi" w:hAnsiTheme="majorBidi" w:cstheme="majorBidi"/>
          <w:sz w:val="24"/>
          <w:szCs w:val="24"/>
        </w:rPr>
      </w:pPr>
      <w:r w:rsidRPr="00FD74F1">
        <w:rPr>
          <w:rFonts w:asciiTheme="majorBidi" w:hAnsiTheme="majorBidi" w:cstheme="majorBidi"/>
          <w:sz w:val="24"/>
          <w:szCs w:val="24"/>
        </w:rPr>
        <w:t>Despite the best intentions of academic and support staff in higher education institutions, every semester a number of students will fail courses and/or withdraw from programmes of study. Often, this is through no fault of the student or the institution. However, at other times the institution may be failing to provide students the support necessary to successfully complete their studies. Understanding the reasons for students’ poor academic progress, and designing appropriate and effective interventions to improve student performance</w:t>
      </w:r>
      <w:r w:rsidR="00CC5620" w:rsidRPr="00FD74F1">
        <w:rPr>
          <w:rFonts w:asciiTheme="majorBidi" w:hAnsiTheme="majorBidi" w:cstheme="majorBidi"/>
          <w:sz w:val="24"/>
          <w:szCs w:val="24"/>
        </w:rPr>
        <w:t>,</w:t>
      </w:r>
      <w:r w:rsidRPr="00FD74F1">
        <w:rPr>
          <w:rFonts w:asciiTheme="majorBidi" w:hAnsiTheme="majorBidi" w:cstheme="majorBidi"/>
          <w:sz w:val="24"/>
          <w:szCs w:val="24"/>
        </w:rPr>
        <w:t xml:space="preserve"> are clearly an imperative for higher education institutions. Indeed James, Krause and Jennings (2010) have argued that </w:t>
      </w:r>
      <w:r w:rsidR="00F50315">
        <w:rPr>
          <w:rFonts w:asciiTheme="majorBidi" w:hAnsiTheme="majorBidi" w:cstheme="majorBidi"/>
          <w:sz w:val="24"/>
          <w:szCs w:val="24"/>
        </w:rPr>
        <w:t>'</w:t>
      </w:r>
      <w:r w:rsidRPr="00FD74F1">
        <w:rPr>
          <w:rFonts w:asciiTheme="majorBidi" w:hAnsiTheme="majorBidi" w:cstheme="majorBidi"/>
          <w:sz w:val="24"/>
          <w:szCs w:val="24"/>
        </w:rPr>
        <w:t>there is perhaps no greater challenge facing the [higher education] sector than that of identifying and monitoring the students who are ‘at risk’ of attrition or poor academic progress</w:t>
      </w:r>
      <w:r w:rsidR="00F50315">
        <w:rPr>
          <w:rFonts w:asciiTheme="majorBidi" w:hAnsiTheme="majorBidi" w:cstheme="majorBidi"/>
          <w:sz w:val="24"/>
          <w:szCs w:val="24"/>
        </w:rPr>
        <w:t>'</w:t>
      </w:r>
      <w:r w:rsidRPr="00FD74F1">
        <w:rPr>
          <w:rFonts w:asciiTheme="majorBidi" w:hAnsiTheme="majorBidi" w:cstheme="majorBidi"/>
          <w:sz w:val="24"/>
          <w:szCs w:val="24"/>
        </w:rPr>
        <w:t xml:space="preserve"> (p. 6). </w:t>
      </w:r>
    </w:p>
    <w:p w14:paraId="19F2D602" w14:textId="77777777" w:rsidR="00767C49" w:rsidRPr="00FD74F1" w:rsidRDefault="00767C49" w:rsidP="00F50315">
      <w:pPr>
        <w:tabs>
          <w:tab w:val="left" w:pos="567"/>
        </w:tabs>
        <w:spacing w:after="0" w:line="288" w:lineRule="auto"/>
        <w:jc w:val="both"/>
        <w:rPr>
          <w:rFonts w:asciiTheme="majorBidi" w:hAnsiTheme="majorBidi" w:cstheme="majorBidi"/>
          <w:sz w:val="24"/>
          <w:szCs w:val="24"/>
        </w:rPr>
      </w:pPr>
    </w:p>
    <w:p w14:paraId="0F9FC793" w14:textId="0590572C" w:rsidR="003D7B42" w:rsidRDefault="00F50315" w:rsidP="00F50315">
      <w:pPr>
        <w:tabs>
          <w:tab w:val="left" w:pos="567"/>
        </w:tabs>
        <w:spacing w:after="0" w:line="288" w:lineRule="auto"/>
        <w:jc w:val="both"/>
        <w:rPr>
          <w:rFonts w:asciiTheme="majorBidi" w:hAnsiTheme="majorBidi" w:cstheme="majorBidi"/>
          <w:sz w:val="24"/>
          <w:szCs w:val="24"/>
        </w:rPr>
      </w:pPr>
      <w:r>
        <w:rPr>
          <w:rFonts w:asciiTheme="majorBidi" w:hAnsiTheme="majorBidi" w:cstheme="majorBidi"/>
          <w:sz w:val="24"/>
          <w:szCs w:val="24"/>
        </w:rPr>
        <w:tab/>
      </w:r>
      <w:r w:rsidR="00743498" w:rsidRPr="00FD74F1">
        <w:rPr>
          <w:rFonts w:asciiTheme="majorBidi" w:hAnsiTheme="majorBidi" w:cstheme="majorBidi"/>
          <w:sz w:val="24"/>
          <w:szCs w:val="24"/>
        </w:rPr>
        <w:t>Providing early intervention</w:t>
      </w:r>
      <w:r w:rsidR="003D7B42" w:rsidRPr="00FD74F1">
        <w:rPr>
          <w:rFonts w:asciiTheme="majorBidi" w:hAnsiTheme="majorBidi" w:cstheme="majorBidi"/>
          <w:sz w:val="24"/>
          <w:szCs w:val="24"/>
        </w:rPr>
        <w:t xml:space="preserve"> services to students identified as </w:t>
      </w:r>
      <w:r w:rsidR="005E7A82" w:rsidRPr="00FD74F1">
        <w:rPr>
          <w:rFonts w:asciiTheme="majorBidi" w:hAnsiTheme="majorBidi" w:cstheme="majorBidi"/>
          <w:sz w:val="24"/>
          <w:szCs w:val="24"/>
        </w:rPr>
        <w:t>being at high risk of failing a</w:t>
      </w:r>
      <w:r w:rsidR="005F70B2" w:rsidRPr="00FD74F1">
        <w:rPr>
          <w:rFonts w:asciiTheme="majorBidi" w:hAnsiTheme="majorBidi" w:cstheme="majorBidi"/>
          <w:sz w:val="24"/>
          <w:szCs w:val="24"/>
        </w:rPr>
        <w:t>n introductory</w:t>
      </w:r>
      <w:r w:rsidR="005E7A82" w:rsidRPr="00FD74F1">
        <w:rPr>
          <w:rFonts w:asciiTheme="majorBidi" w:hAnsiTheme="majorBidi" w:cstheme="majorBidi"/>
          <w:sz w:val="24"/>
          <w:szCs w:val="24"/>
        </w:rPr>
        <w:t xml:space="preserve"> </w:t>
      </w:r>
      <w:r w:rsidR="005F70B2" w:rsidRPr="00FD74F1">
        <w:rPr>
          <w:rFonts w:asciiTheme="majorBidi" w:hAnsiTheme="majorBidi" w:cstheme="majorBidi"/>
          <w:sz w:val="24"/>
          <w:szCs w:val="24"/>
        </w:rPr>
        <w:t xml:space="preserve">university </w:t>
      </w:r>
      <w:r w:rsidR="005E7A82" w:rsidRPr="00FD74F1">
        <w:rPr>
          <w:rFonts w:asciiTheme="majorBidi" w:hAnsiTheme="majorBidi" w:cstheme="majorBidi"/>
          <w:sz w:val="24"/>
          <w:szCs w:val="24"/>
        </w:rPr>
        <w:t>course</w:t>
      </w:r>
      <w:r w:rsidR="003D7B42" w:rsidRPr="00FD74F1">
        <w:rPr>
          <w:rFonts w:asciiTheme="majorBidi" w:hAnsiTheme="majorBidi" w:cstheme="majorBidi"/>
          <w:sz w:val="24"/>
          <w:szCs w:val="24"/>
        </w:rPr>
        <w:t xml:space="preserve"> is desirable for a number of reasons. </w:t>
      </w:r>
      <w:r>
        <w:rPr>
          <w:rFonts w:asciiTheme="majorBidi" w:hAnsiTheme="majorBidi" w:cstheme="majorBidi"/>
          <w:sz w:val="24"/>
          <w:szCs w:val="24"/>
        </w:rPr>
        <w:t xml:space="preserve"> </w:t>
      </w:r>
      <w:r w:rsidR="003D7B42" w:rsidRPr="00FD74F1">
        <w:rPr>
          <w:rFonts w:asciiTheme="majorBidi" w:hAnsiTheme="majorBidi" w:cstheme="majorBidi"/>
          <w:sz w:val="24"/>
          <w:szCs w:val="24"/>
        </w:rPr>
        <w:t>First, students</w:t>
      </w:r>
      <w:r w:rsidR="005E7A82" w:rsidRPr="00FD74F1">
        <w:rPr>
          <w:rFonts w:asciiTheme="majorBidi" w:hAnsiTheme="majorBidi" w:cstheme="majorBidi"/>
          <w:sz w:val="24"/>
          <w:szCs w:val="24"/>
        </w:rPr>
        <w:t>’</w:t>
      </w:r>
      <w:r w:rsidR="003D7B42" w:rsidRPr="00FD74F1">
        <w:rPr>
          <w:rFonts w:asciiTheme="majorBidi" w:hAnsiTheme="majorBidi" w:cstheme="majorBidi"/>
          <w:sz w:val="24"/>
          <w:szCs w:val="24"/>
        </w:rPr>
        <w:t xml:space="preserve"> costs</w:t>
      </w:r>
      <w:r w:rsidR="005E7A82" w:rsidRPr="00FD74F1">
        <w:rPr>
          <w:rFonts w:asciiTheme="majorBidi" w:hAnsiTheme="majorBidi" w:cstheme="majorBidi"/>
          <w:sz w:val="24"/>
          <w:szCs w:val="24"/>
        </w:rPr>
        <w:t xml:space="preserve"> (both direct and indirect) </w:t>
      </w:r>
      <w:r w:rsidR="003D7B42" w:rsidRPr="00FD74F1">
        <w:rPr>
          <w:rFonts w:asciiTheme="majorBidi" w:hAnsiTheme="majorBidi" w:cstheme="majorBidi"/>
          <w:sz w:val="24"/>
          <w:szCs w:val="24"/>
        </w:rPr>
        <w:t>of completing their programmes</w:t>
      </w:r>
      <w:r w:rsidR="005E7A82" w:rsidRPr="00FD74F1">
        <w:rPr>
          <w:rFonts w:asciiTheme="majorBidi" w:hAnsiTheme="majorBidi" w:cstheme="majorBidi"/>
          <w:sz w:val="24"/>
          <w:szCs w:val="24"/>
        </w:rPr>
        <w:t xml:space="preserve"> of study </w:t>
      </w:r>
      <w:r w:rsidR="005F70B2" w:rsidRPr="00FD74F1">
        <w:rPr>
          <w:rFonts w:asciiTheme="majorBidi" w:hAnsiTheme="majorBidi" w:cstheme="majorBidi"/>
          <w:sz w:val="24"/>
          <w:szCs w:val="24"/>
        </w:rPr>
        <w:t>are reduced</w:t>
      </w:r>
      <w:r w:rsidR="003D7B42" w:rsidRPr="00FD74F1">
        <w:rPr>
          <w:rFonts w:asciiTheme="majorBidi" w:hAnsiTheme="majorBidi" w:cstheme="majorBidi"/>
          <w:sz w:val="24"/>
          <w:szCs w:val="24"/>
        </w:rPr>
        <w:t xml:space="preserve"> when they don’t have to repeat </w:t>
      </w:r>
      <w:r w:rsidR="00CC5620" w:rsidRPr="00FD74F1">
        <w:rPr>
          <w:rFonts w:asciiTheme="majorBidi" w:hAnsiTheme="majorBidi" w:cstheme="majorBidi"/>
          <w:sz w:val="24"/>
          <w:szCs w:val="24"/>
        </w:rPr>
        <w:t>courses</w:t>
      </w:r>
      <w:r w:rsidR="003D7B42" w:rsidRPr="00FD74F1">
        <w:rPr>
          <w:rFonts w:asciiTheme="majorBidi" w:hAnsiTheme="majorBidi" w:cstheme="majorBidi"/>
          <w:sz w:val="24"/>
          <w:szCs w:val="24"/>
        </w:rPr>
        <w:t xml:space="preserve"> and don’t have to stay enrolled for longer than the </w:t>
      </w:r>
      <w:r w:rsidR="00CC5620" w:rsidRPr="00FD74F1">
        <w:rPr>
          <w:rFonts w:asciiTheme="majorBidi" w:hAnsiTheme="majorBidi" w:cstheme="majorBidi"/>
          <w:sz w:val="24"/>
          <w:szCs w:val="24"/>
        </w:rPr>
        <w:t>‘</w:t>
      </w:r>
      <w:r w:rsidR="003D7B42" w:rsidRPr="00FD74F1">
        <w:rPr>
          <w:rFonts w:asciiTheme="majorBidi" w:hAnsiTheme="majorBidi" w:cstheme="majorBidi"/>
          <w:sz w:val="24"/>
          <w:szCs w:val="24"/>
        </w:rPr>
        <w:t>normal</w:t>
      </w:r>
      <w:r w:rsidR="00CC5620" w:rsidRPr="00FD74F1">
        <w:rPr>
          <w:rFonts w:asciiTheme="majorBidi" w:hAnsiTheme="majorBidi" w:cstheme="majorBidi"/>
          <w:sz w:val="24"/>
          <w:szCs w:val="24"/>
        </w:rPr>
        <w:t>’</w:t>
      </w:r>
      <w:r w:rsidR="003D7B42" w:rsidRPr="00FD74F1">
        <w:rPr>
          <w:rFonts w:asciiTheme="majorBidi" w:hAnsiTheme="majorBidi" w:cstheme="majorBidi"/>
          <w:sz w:val="24"/>
          <w:szCs w:val="24"/>
        </w:rPr>
        <w:t xml:space="preserve"> duration </w:t>
      </w:r>
      <w:r w:rsidR="00CC5620" w:rsidRPr="00FD74F1">
        <w:rPr>
          <w:rFonts w:asciiTheme="majorBidi" w:hAnsiTheme="majorBidi" w:cstheme="majorBidi"/>
          <w:sz w:val="24"/>
          <w:szCs w:val="24"/>
        </w:rPr>
        <w:t>of</w:t>
      </w:r>
      <w:r w:rsidR="003D7B42" w:rsidRPr="00FD74F1">
        <w:rPr>
          <w:rFonts w:asciiTheme="majorBidi" w:hAnsiTheme="majorBidi" w:cstheme="majorBidi"/>
          <w:sz w:val="24"/>
          <w:szCs w:val="24"/>
        </w:rPr>
        <w:t xml:space="preserve"> their programmes.</w:t>
      </w:r>
      <w:r w:rsidR="00973842" w:rsidRPr="00FD74F1">
        <w:rPr>
          <w:rFonts w:asciiTheme="majorBidi" w:hAnsiTheme="majorBidi" w:cstheme="majorBidi"/>
          <w:sz w:val="24"/>
          <w:szCs w:val="24"/>
        </w:rPr>
        <w:t xml:space="preserve"> </w:t>
      </w:r>
      <w:r w:rsidR="00CC5620" w:rsidRPr="00FD74F1">
        <w:rPr>
          <w:rFonts w:asciiTheme="majorBidi" w:hAnsiTheme="majorBidi" w:cstheme="majorBidi"/>
          <w:sz w:val="24"/>
          <w:szCs w:val="24"/>
        </w:rPr>
        <w:t>Early intervention</w:t>
      </w:r>
      <w:r w:rsidR="005E7A82" w:rsidRPr="00FD74F1">
        <w:rPr>
          <w:rFonts w:asciiTheme="majorBidi" w:hAnsiTheme="majorBidi" w:cstheme="majorBidi"/>
          <w:sz w:val="24"/>
          <w:szCs w:val="24"/>
        </w:rPr>
        <w:t xml:space="preserve"> may help to ensure that students are financially </w:t>
      </w:r>
      <w:r w:rsidR="00CC5620" w:rsidRPr="00FD74F1">
        <w:rPr>
          <w:rFonts w:asciiTheme="majorBidi" w:hAnsiTheme="majorBidi" w:cstheme="majorBidi"/>
          <w:sz w:val="24"/>
          <w:szCs w:val="24"/>
        </w:rPr>
        <w:t xml:space="preserve">more </w:t>
      </w:r>
      <w:r w:rsidR="005E7A82" w:rsidRPr="00FD74F1">
        <w:rPr>
          <w:rFonts w:asciiTheme="majorBidi" w:hAnsiTheme="majorBidi" w:cstheme="majorBidi"/>
          <w:sz w:val="24"/>
          <w:szCs w:val="24"/>
        </w:rPr>
        <w:t xml:space="preserve">able to complete their programme of study. </w:t>
      </w:r>
      <w:r w:rsidR="00973842" w:rsidRPr="00FD74F1">
        <w:rPr>
          <w:rFonts w:asciiTheme="majorBidi" w:hAnsiTheme="majorBidi" w:cstheme="majorBidi"/>
          <w:sz w:val="24"/>
          <w:szCs w:val="24"/>
        </w:rPr>
        <w:t>Second</w:t>
      </w:r>
      <w:r>
        <w:rPr>
          <w:rFonts w:asciiTheme="majorBidi" w:hAnsiTheme="majorBidi" w:cstheme="majorBidi"/>
          <w:sz w:val="24"/>
          <w:szCs w:val="24"/>
        </w:rPr>
        <w:t>ly</w:t>
      </w:r>
      <w:r w:rsidR="00973842" w:rsidRPr="00FD74F1">
        <w:rPr>
          <w:rFonts w:asciiTheme="majorBidi" w:hAnsiTheme="majorBidi" w:cstheme="majorBidi"/>
          <w:sz w:val="24"/>
          <w:szCs w:val="24"/>
        </w:rPr>
        <w:t>, students</w:t>
      </w:r>
      <w:r w:rsidR="005E7A82" w:rsidRPr="00FD74F1">
        <w:rPr>
          <w:rFonts w:asciiTheme="majorBidi" w:hAnsiTheme="majorBidi" w:cstheme="majorBidi"/>
          <w:sz w:val="24"/>
          <w:szCs w:val="24"/>
        </w:rPr>
        <w:t xml:space="preserve"> who pass early courses</w:t>
      </w:r>
      <w:r w:rsidR="00973842" w:rsidRPr="00FD74F1">
        <w:rPr>
          <w:rFonts w:asciiTheme="majorBidi" w:hAnsiTheme="majorBidi" w:cstheme="majorBidi"/>
          <w:sz w:val="24"/>
          <w:szCs w:val="24"/>
        </w:rPr>
        <w:t xml:space="preserve"> are more likely to stay enrolled and to complet</w:t>
      </w:r>
      <w:r w:rsidR="005E7A82" w:rsidRPr="00FD74F1">
        <w:rPr>
          <w:rFonts w:asciiTheme="majorBidi" w:hAnsiTheme="majorBidi" w:cstheme="majorBidi"/>
          <w:sz w:val="24"/>
          <w:szCs w:val="24"/>
        </w:rPr>
        <w:t>e</w:t>
      </w:r>
      <w:r w:rsidR="00973842" w:rsidRPr="00FD74F1">
        <w:rPr>
          <w:rFonts w:asciiTheme="majorBidi" w:hAnsiTheme="majorBidi" w:cstheme="majorBidi"/>
          <w:sz w:val="24"/>
          <w:szCs w:val="24"/>
        </w:rPr>
        <w:t xml:space="preserve"> their programmes</w:t>
      </w:r>
      <w:r w:rsidR="005E7A82" w:rsidRPr="00FD74F1">
        <w:rPr>
          <w:rFonts w:asciiTheme="majorBidi" w:hAnsiTheme="majorBidi" w:cstheme="majorBidi"/>
          <w:sz w:val="24"/>
          <w:szCs w:val="24"/>
        </w:rPr>
        <w:t xml:space="preserve"> of study</w:t>
      </w:r>
      <w:r w:rsidR="00973842" w:rsidRPr="00FD74F1">
        <w:rPr>
          <w:rFonts w:asciiTheme="majorBidi" w:hAnsiTheme="majorBidi" w:cstheme="majorBidi"/>
          <w:sz w:val="24"/>
          <w:szCs w:val="24"/>
        </w:rPr>
        <w:t xml:space="preserve"> than students faced with the prospect of longer than planned period of study</w:t>
      </w:r>
      <w:r w:rsidR="005E7A82" w:rsidRPr="00FD74F1">
        <w:rPr>
          <w:rFonts w:asciiTheme="majorBidi" w:hAnsiTheme="majorBidi" w:cstheme="majorBidi"/>
          <w:sz w:val="24"/>
          <w:szCs w:val="24"/>
        </w:rPr>
        <w:t xml:space="preserve"> (</w:t>
      </w:r>
      <w:r>
        <w:rPr>
          <w:rFonts w:asciiTheme="majorBidi" w:hAnsiTheme="majorBidi" w:cstheme="majorBidi"/>
          <w:sz w:val="24"/>
          <w:szCs w:val="24"/>
        </w:rPr>
        <w:t>Tinto</w:t>
      </w:r>
      <w:r w:rsidR="00EA5187" w:rsidRPr="00FC7165">
        <w:rPr>
          <w:rFonts w:asciiTheme="majorBidi" w:hAnsiTheme="majorBidi" w:cstheme="majorBidi"/>
          <w:sz w:val="24"/>
          <w:szCs w:val="24"/>
        </w:rPr>
        <w:t xml:space="preserve"> 200</w:t>
      </w:r>
      <w:r w:rsidR="00130F86" w:rsidRPr="00FC7165">
        <w:rPr>
          <w:rFonts w:asciiTheme="majorBidi" w:hAnsiTheme="majorBidi" w:cstheme="majorBidi"/>
          <w:sz w:val="24"/>
          <w:szCs w:val="24"/>
        </w:rPr>
        <w:t>6</w:t>
      </w:r>
      <w:r>
        <w:rPr>
          <w:rFonts w:asciiTheme="majorBidi" w:hAnsiTheme="majorBidi" w:cstheme="majorBidi"/>
          <w:sz w:val="24"/>
          <w:szCs w:val="24"/>
        </w:rPr>
        <w:t>, Tinto 1987,</w:t>
      </w:r>
      <w:r w:rsidR="00EA5187" w:rsidRPr="00FC7165">
        <w:rPr>
          <w:rFonts w:asciiTheme="majorBidi" w:hAnsiTheme="majorBidi" w:cstheme="majorBidi"/>
          <w:sz w:val="24"/>
          <w:szCs w:val="24"/>
        </w:rPr>
        <w:t xml:space="preserve"> </w:t>
      </w:r>
      <w:proofErr w:type="spellStart"/>
      <w:r w:rsidR="00EA5187" w:rsidRPr="00FC7165">
        <w:rPr>
          <w:rFonts w:asciiTheme="majorBidi" w:hAnsiTheme="majorBidi" w:cstheme="majorBidi"/>
          <w:sz w:val="24"/>
          <w:szCs w:val="24"/>
        </w:rPr>
        <w:t>Terenzini</w:t>
      </w:r>
      <w:proofErr w:type="spellEnd"/>
      <w:r w:rsidR="00EA5187" w:rsidRPr="00FC7165">
        <w:rPr>
          <w:rFonts w:asciiTheme="majorBidi" w:hAnsiTheme="majorBidi" w:cstheme="majorBidi"/>
          <w:sz w:val="24"/>
          <w:szCs w:val="24"/>
        </w:rPr>
        <w:t xml:space="preserve"> </w:t>
      </w:r>
      <w:r>
        <w:rPr>
          <w:rFonts w:asciiTheme="majorBidi" w:hAnsiTheme="majorBidi" w:cstheme="majorBidi"/>
          <w:sz w:val="24"/>
          <w:szCs w:val="24"/>
        </w:rPr>
        <w:t xml:space="preserve">and </w:t>
      </w:r>
      <w:proofErr w:type="spellStart"/>
      <w:r>
        <w:rPr>
          <w:rFonts w:asciiTheme="majorBidi" w:hAnsiTheme="majorBidi" w:cstheme="majorBidi"/>
          <w:sz w:val="24"/>
          <w:szCs w:val="24"/>
        </w:rPr>
        <w:t>Pascarelli</w:t>
      </w:r>
      <w:proofErr w:type="spellEnd"/>
      <w:r w:rsidR="00EA5187" w:rsidRPr="00FC7165">
        <w:rPr>
          <w:rFonts w:asciiTheme="majorBidi" w:hAnsiTheme="majorBidi" w:cstheme="majorBidi"/>
          <w:sz w:val="24"/>
          <w:szCs w:val="24"/>
        </w:rPr>
        <w:t xml:space="preserve"> 1980</w:t>
      </w:r>
      <w:r w:rsidR="005E7A82" w:rsidRPr="00FC7165">
        <w:rPr>
          <w:rFonts w:asciiTheme="majorBidi" w:hAnsiTheme="majorBidi" w:cstheme="majorBidi"/>
          <w:sz w:val="24"/>
          <w:szCs w:val="24"/>
        </w:rPr>
        <w:t>)</w:t>
      </w:r>
      <w:r w:rsidR="00973842" w:rsidRPr="00FC7165">
        <w:rPr>
          <w:rFonts w:asciiTheme="majorBidi" w:hAnsiTheme="majorBidi" w:cstheme="majorBidi"/>
          <w:sz w:val="24"/>
          <w:szCs w:val="24"/>
        </w:rPr>
        <w:t xml:space="preserve">. </w:t>
      </w:r>
      <w:r w:rsidR="00F166A2" w:rsidRPr="00FC7165">
        <w:rPr>
          <w:rFonts w:asciiTheme="majorBidi" w:hAnsiTheme="majorBidi" w:cstheme="majorBidi"/>
          <w:sz w:val="24"/>
          <w:szCs w:val="24"/>
        </w:rPr>
        <w:t>Third</w:t>
      </w:r>
      <w:r>
        <w:rPr>
          <w:rFonts w:asciiTheme="majorBidi" w:hAnsiTheme="majorBidi" w:cstheme="majorBidi"/>
          <w:sz w:val="24"/>
          <w:szCs w:val="24"/>
        </w:rPr>
        <w:t>ly</w:t>
      </w:r>
      <w:r w:rsidR="00F166A2" w:rsidRPr="00FC7165">
        <w:rPr>
          <w:rFonts w:asciiTheme="majorBidi" w:hAnsiTheme="majorBidi" w:cstheme="majorBidi"/>
          <w:sz w:val="24"/>
          <w:szCs w:val="24"/>
        </w:rPr>
        <w:t xml:space="preserve">, </w:t>
      </w:r>
      <w:r w:rsidR="00973842" w:rsidRPr="00FC7165">
        <w:rPr>
          <w:rFonts w:asciiTheme="majorBidi" w:hAnsiTheme="majorBidi" w:cstheme="majorBidi"/>
          <w:sz w:val="24"/>
          <w:szCs w:val="24"/>
        </w:rPr>
        <w:t>students</w:t>
      </w:r>
      <w:r w:rsidR="005E7A82" w:rsidRPr="00FC7165">
        <w:rPr>
          <w:rFonts w:asciiTheme="majorBidi" w:hAnsiTheme="majorBidi" w:cstheme="majorBidi"/>
          <w:sz w:val="24"/>
          <w:szCs w:val="24"/>
        </w:rPr>
        <w:t xml:space="preserve"> who pass early courses</w:t>
      </w:r>
      <w:r w:rsidR="00973842" w:rsidRPr="00FC7165">
        <w:rPr>
          <w:rFonts w:asciiTheme="majorBidi" w:hAnsiTheme="majorBidi" w:cstheme="majorBidi"/>
          <w:sz w:val="24"/>
          <w:szCs w:val="24"/>
        </w:rPr>
        <w:t xml:space="preserve"> are more likely to be retained in their original programmes</w:t>
      </w:r>
      <w:r w:rsidR="005E7A82" w:rsidRPr="00FC7165">
        <w:rPr>
          <w:rFonts w:asciiTheme="majorBidi" w:hAnsiTheme="majorBidi" w:cstheme="majorBidi"/>
          <w:sz w:val="24"/>
          <w:szCs w:val="24"/>
        </w:rPr>
        <w:t xml:space="preserve"> of study</w:t>
      </w:r>
      <w:r w:rsidR="00973842" w:rsidRPr="00FC7165">
        <w:rPr>
          <w:rFonts w:asciiTheme="majorBidi" w:hAnsiTheme="majorBidi" w:cstheme="majorBidi"/>
          <w:sz w:val="24"/>
          <w:szCs w:val="24"/>
        </w:rPr>
        <w:t xml:space="preserve"> and </w:t>
      </w:r>
      <w:r w:rsidR="005E7A82" w:rsidRPr="00FC7165">
        <w:rPr>
          <w:rFonts w:asciiTheme="majorBidi" w:hAnsiTheme="majorBidi" w:cstheme="majorBidi"/>
          <w:sz w:val="24"/>
          <w:szCs w:val="24"/>
        </w:rPr>
        <w:t xml:space="preserve">not be lost to other programmes or other institutions, saving on the </w:t>
      </w:r>
      <w:r w:rsidR="008D17FE" w:rsidRPr="00FC7165">
        <w:rPr>
          <w:rFonts w:asciiTheme="majorBidi" w:hAnsiTheme="majorBidi" w:cstheme="majorBidi"/>
          <w:sz w:val="24"/>
          <w:szCs w:val="24"/>
        </w:rPr>
        <w:t xml:space="preserve">institutions’ </w:t>
      </w:r>
      <w:r w:rsidR="005E7A82" w:rsidRPr="00FC7165">
        <w:rPr>
          <w:rFonts w:asciiTheme="majorBidi" w:hAnsiTheme="majorBidi" w:cstheme="majorBidi"/>
          <w:sz w:val="24"/>
          <w:szCs w:val="24"/>
        </w:rPr>
        <w:t>administrative costs associated with transfers of credit.</w:t>
      </w:r>
      <w:r w:rsidR="00973842" w:rsidRPr="00FC7165">
        <w:rPr>
          <w:rFonts w:asciiTheme="majorBidi" w:hAnsiTheme="majorBidi" w:cstheme="majorBidi"/>
          <w:sz w:val="24"/>
          <w:szCs w:val="24"/>
        </w:rPr>
        <w:t xml:space="preserve"> </w:t>
      </w:r>
      <w:r w:rsidR="00F166A2" w:rsidRPr="00FC7165">
        <w:rPr>
          <w:rFonts w:asciiTheme="majorBidi" w:hAnsiTheme="majorBidi" w:cstheme="majorBidi"/>
          <w:sz w:val="24"/>
          <w:szCs w:val="24"/>
        </w:rPr>
        <w:t>Fourth</w:t>
      </w:r>
      <w:r w:rsidR="00973842" w:rsidRPr="00FC7165">
        <w:rPr>
          <w:rFonts w:asciiTheme="majorBidi" w:hAnsiTheme="majorBidi" w:cstheme="majorBidi"/>
          <w:sz w:val="24"/>
          <w:szCs w:val="24"/>
        </w:rPr>
        <w:t xml:space="preserve">, high completion/retention rates may have </w:t>
      </w:r>
      <w:r w:rsidR="00407FF3" w:rsidRPr="00FC7165">
        <w:rPr>
          <w:rFonts w:asciiTheme="majorBidi" w:hAnsiTheme="majorBidi" w:cstheme="majorBidi"/>
          <w:sz w:val="24"/>
          <w:szCs w:val="24"/>
        </w:rPr>
        <w:t xml:space="preserve">positive </w:t>
      </w:r>
      <w:r w:rsidR="00973842" w:rsidRPr="00FC7165">
        <w:rPr>
          <w:rFonts w:asciiTheme="majorBidi" w:hAnsiTheme="majorBidi" w:cstheme="majorBidi"/>
          <w:sz w:val="24"/>
          <w:szCs w:val="24"/>
        </w:rPr>
        <w:t>consequence</w:t>
      </w:r>
      <w:r w:rsidR="00407FF3" w:rsidRPr="00FC7165">
        <w:rPr>
          <w:rFonts w:asciiTheme="majorBidi" w:hAnsiTheme="majorBidi" w:cstheme="majorBidi"/>
          <w:sz w:val="24"/>
          <w:szCs w:val="24"/>
        </w:rPr>
        <w:t>s for</w:t>
      </w:r>
      <w:r w:rsidR="00CC5620" w:rsidRPr="00FC7165">
        <w:rPr>
          <w:rFonts w:asciiTheme="majorBidi" w:hAnsiTheme="majorBidi" w:cstheme="majorBidi"/>
          <w:sz w:val="24"/>
          <w:szCs w:val="24"/>
        </w:rPr>
        <w:t xml:space="preserve"> the</w:t>
      </w:r>
      <w:r w:rsidR="00407FF3" w:rsidRPr="00FC7165">
        <w:rPr>
          <w:rFonts w:asciiTheme="majorBidi" w:hAnsiTheme="majorBidi" w:cstheme="majorBidi"/>
          <w:sz w:val="24"/>
          <w:szCs w:val="24"/>
        </w:rPr>
        <w:t xml:space="preserve"> funding</w:t>
      </w:r>
      <w:r w:rsidR="005E7A82" w:rsidRPr="00FC7165">
        <w:rPr>
          <w:rFonts w:asciiTheme="majorBidi" w:hAnsiTheme="majorBidi" w:cstheme="majorBidi"/>
          <w:sz w:val="24"/>
          <w:szCs w:val="24"/>
        </w:rPr>
        <w:t xml:space="preserve"> of public institutions</w:t>
      </w:r>
      <w:r w:rsidR="00B2177C" w:rsidRPr="00FC7165">
        <w:rPr>
          <w:rFonts w:asciiTheme="majorBidi" w:hAnsiTheme="majorBidi" w:cstheme="majorBidi"/>
          <w:sz w:val="24"/>
          <w:szCs w:val="24"/>
        </w:rPr>
        <w:t xml:space="preserve"> (</w:t>
      </w:r>
      <w:proofErr w:type="spellStart"/>
      <w:r w:rsidR="00EA5187" w:rsidRPr="00FC7165">
        <w:rPr>
          <w:rFonts w:asciiTheme="majorBidi" w:hAnsiTheme="majorBidi" w:cstheme="majorBidi"/>
          <w:sz w:val="24"/>
          <w:szCs w:val="24"/>
        </w:rPr>
        <w:t>Attree</w:t>
      </w:r>
      <w:proofErr w:type="spellEnd"/>
      <w:r w:rsidR="00EA5187" w:rsidRPr="00FC7165">
        <w:rPr>
          <w:rFonts w:asciiTheme="majorBidi" w:hAnsiTheme="majorBidi" w:cstheme="majorBidi"/>
          <w:sz w:val="24"/>
          <w:szCs w:val="24"/>
        </w:rPr>
        <w:t xml:space="preserve">, Johnston </w:t>
      </w:r>
      <w:r>
        <w:rPr>
          <w:rFonts w:asciiTheme="majorBidi" w:hAnsiTheme="majorBidi" w:cstheme="majorBidi"/>
          <w:sz w:val="24"/>
          <w:szCs w:val="24"/>
        </w:rPr>
        <w:t>and</w:t>
      </w:r>
      <w:r w:rsidR="00EF710D">
        <w:rPr>
          <w:rFonts w:asciiTheme="majorBidi" w:hAnsiTheme="majorBidi" w:cstheme="majorBidi"/>
          <w:sz w:val="24"/>
          <w:szCs w:val="24"/>
        </w:rPr>
        <w:t xml:space="preserve"> Livermore 2014,</w:t>
      </w:r>
      <w:r w:rsidR="00EA5187" w:rsidRPr="00FC7165">
        <w:rPr>
          <w:rFonts w:asciiTheme="majorBidi" w:hAnsiTheme="majorBidi" w:cstheme="majorBidi"/>
          <w:sz w:val="24"/>
          <w:szCs w:val="24"/>
        </w:rPr>
        <w:t xml:space="preserve"> Campbell </w:t>
      </w:r>
      <w:r>
        <w:rPr>
          <w:rFonts w:asciiTheme="majorBidi" w:hAnsiTheme="majorBidi" w:cstheme="majorBidi"/>
          <w:sz w:val="24"/>
          <w:szCs w:val="24"/>
        </w:rPr>
        <w:t>and</w:t>
      </w:r>
      <w:r w:rsidR="00EF710D">
        <w:rPr>
          <w:rFonts w:asciiTheme="majorBidi" w:hAnsiTheme="majorBidi" w:cstheme="majorBidi"/>
          <w:sz w:val="24"/>
          <w:szCs w:val="24"/>
        </w:rPr>
        <w:t xml:space="preserve"> Hussey</w:t>
      </w:r>
      <w:r w:rsidR="00EA5187" w:rsidRPr="00FC7165">
        <w:rPr>
          <w:rFonts w:asciiTheme="majorBidi" w:hAnsiTheme="majorBidi" w:cstheme="majorBidi"/>
          <w:sz w:val="24"/>
          <w:szCs w:val="24"/>
        </w:rPr>
        <w:t xml:space="preserve"> 2014</w:t>
      </w:r>
      <w:r w:rsidR="00B2177C" w:rsidRPr="00FC7165">
        <w:rPr>
          <w:rFonts w:asciiTheme="majorBidi" w:hAnsiTheme="majorBidi" w:cstheme="majorBidi"/>
          <w:sz w:val="24"/>
          <w:szCs w:val="24"/>
        </w:rPr>
        <w:t>)</w:t>
      </w:r>
      <w:r w:rsidR="005E7A82" w:rsidRPr="00FC7165">
        <w:rPr>
          <w:rFonts w:asciiTheme="majorBidi" w:hAnsiTheme="majorBidi" w:cstheme="majorBidi"/>
          <w:sz w:val="24"/>
          <w:szCs w:val="24"/>
        </w:rPr>
        <w:t xml:space="preserve">. Higher completion or retention rates </w:t>
      </w:r>
      <w:r w:rsidR="00947972" w:rsidRPr="00FC7165">
        <w:rPr>
          <w:rFonts w:asciiTheme="majorBidi" w:hAnsiTheme="majorBidi" w:cstheme="majorBidi"/>
          <w:sz w:val="24"/>
          <w:szCs w:val="24"/>
        </w:rPr>
        <w:t xml:space="preserve">or measures of student engagement </w:t>
      </w:r>
      <w:r w:rsidR="005E7A82" w:rsidRPr="00FC7165">
        <w:rPr>
          <w:rFonts w:asciiTheme="majorBidi" w:hAnsiTheme="majorBidi" w:cstheme="majorBidi"/>
          <w:sz w:val="24"/>
          <w:szCs w:val="24"/>
        </w:rPr>
        <w:t>are increasingly being used as a metric for funding allocations</w:t>
      </w:r>
      <w:r w:rsidR="00947972" w:rsidRPr="00FC7165">
        <w:rPr>
          <w:rFonts w:asciiTheme="majorBidi" w:hAnsiTheme="majorBidi" w:cstheme="majorBidi"/>
          <w:sz w:val="24"/>
          <w:szCs w:val="24"/>
        </w:rPr>
        <w:t xml:space="preserve"> (</w:t>
      </w:r>
      <w:proofErr w:type="spellStart"/>
      <w:r w:rsidR="00947972" w:rsidRPr="00FC7165">
        <w:rPr>
          <w:rFonts w:asciiTheme="majorBidi" w:hAnsiTheme="majorBidi" w:cstheme="majorBidi"/>
          <w:sz w:val="24"/>
          <w:szCs w:val="24"/>
        </w:rPr>
        <w:t>Zepke</w:t>
      </w:r>
      <w:proofErr w:type="spellEnd"/>
      <w:r w:rsidR="00947972" w:rsidRPr="00FC7165">
        <w:rPr>
          <w:rFonts w:asciiTheme="majorBidi" w:hAnsiTheme="majorBidi" w:cstheme="majorBidi"/>
          <w:sz w:val="24"/>
          <w:szCs w:val="24"/>
        </w:rPr>
        <w:t xml:space="preserve"> </w:t>
      </w:r>
      <w:r>
        <w:rPr>
          <w:rFonts w:asciiTheme="majorBidi" w:hAnsiTheme="majorBidi" w:cstheme="majorBidi"/>
          <w:sz w:val="24"/>
          <w:szCs w:val="24"/>
        </w:rPr>
        <w:t>and</w:t>
      </w:r>
      <w:r w:rsidR="00D24FE7" w:rsidRPr="00FC7165">
        <w:rPr>
          <w:rFonts w:asciiTheme="majorBidi" w:hAnsiTheme="majorBidi" w:cstheme="majorBidi"/>
          <w:sz w:val="24"/>
          <w:szCs w:val="24"/>
        </w:rPr>
        <w:t xml:space="preserve"> </w:t>
      </w:r>
      <w:r w:rsidR="00947972" w:rsidRPr="00FC7165">
        <w:rPr>
          <w:rFonts w:asciiTheme="majorBidi" w:hAnsiTheme="majorBidi" w:cstheme="majorBidi"/>
          <w:sz w:val="24"/>
          <w:szCs w:val="24"/>
        </w:rPr>
        <w:t>Leach, 2010)</w:t>
      </w:r>
      <w:r w:rsidR="00407FF3" w:rsidRPr="00FC7165">
        <w:rPr>
          <w:rFonts w:asciiTheme="majorBidi" w:hAnsiTheme="majorBidi" w:cstheme="majorBidi"/>
          <w:sz w:val="24"/>
          <w:szCs w:val="24"/>
        </w:rPr>
        <w:t xml:space="preserve">. </w:t>
      </w:r>
      <w:r w:rsidR="00F166A2" w:rsidRPr="00FC7165">
        <w:rPr>
          <w:rFonts w:asciiTheme="majorBidi" w:hAnsiTheme="majorBidi" w:cstheme="majorBidi"/>
          <w:sz w:val="24"/>
          <w:szCs w:val="24"/>
        </w:rPr>
        <w:t>Fifth</w:t>
      </w:r>
      <w:r w:rsidR="00407FF3" w:rsidRPr="00DF26D7">
        <w:rPr>
          <w:rFonts w:asciiTheme="majorBidi" w:hAnsiTheme="majorBidi" w:cstheme="majorBidi"/>
          <w:sz w:val="24"/>
          <w:szCs w:val="24"/>
        </w:rPr>
        <w:t>, high student success rates may enhance the reputations of both the lecturers and their schools/departments, and ultimately their institution</w:t>
      </w:r>
      <w:r w:rsidR="005E7A82" w:rsidRPr="00DF26D7">
        <w:rPr>
          <w:rFonts w:asciiTheme="majorBidi" w:hAnsiTheme="majorBidi" w:cstheme="majorBidi"/>
          <w:sz w:val="24"/>
          <w:szCs w:val="24"/>
        </w:rPr>
        <w:t>s</w:t>
      </w:r>
      <w:r w:rsidR="00407FF3" w:rsidRPr="00DF26D7">
        <w:rPr>
          <w:rFonts w:asciiTheme="majorBidi" w:hAnsiTheme="majorBidi" w:cstheme="majorBidi"/>
          <w:sz w:val="24"/>
          <w:szCs w:val="24"/>
        </w:rPr>
        <w:t>.</w:t>
      </w:r>
      <w:r w:rsidR="005E7A82" w:rsidRPr="00DF26D7">
        <w:rPr>
          <w:rFonts w:asciiTheme="majorBidi" w:hAnsiTheme="majorBidi" w:cstheme="majorBidi"/>
          <w:sz w:val="24"/>
          <w:szCs w:val="24"/>
        </w:rPr>
        <w:t xml:space="preserve"> Reputational effects are important as higher education becomes increasingly more competitive (</w:t>
      </w:r>
      <w:r w:rsidR="007E2330" w:rsidRPr="00FC7165">
        <w:rPr>
          <w:rFonts w:asciiTheme="majorBidi" w:hAnsiTheme="majorBidi" w:cstheme="majorBidi"/>
          <w:sz w:val="24"/>
          <w:szCs w:val="24"/>
        </w:rPr>
        <w:t xml:space="preserve">Nguyen </w:t>
      </w:r>
      <w:r>
        <w:rPr>
          <w:rFonts w:asciiTheme="majorBidi" w:hAnsiTheme="majorBidi" w:cstheme="majorBidi"/>
          <w:sz w:val="24"/>
          <w:szCs w:val="24"/>
        </w:rPr>
        <w:t>and</w:t>
      </w:r>
      <w:r w:rsidR="00D24FE7" w:rsidRPr="00FC7165">
        <w:rPr>
          <w:rFonts w:asciiTheme="majorBidi" w:hAnsiTheme="majorBidi" w:cstheme="majorBidi"/>
          <w:sz w:val="24"/>
          <w:szCs w:val="24"/>
        </w:rPr>
        <w:t xml:space="preserve"> </w:t>
      </w:r>
      <w:r w:rsidR="00EF710D">
        <w:rPr>
          <w:rFonts w:asciiTheme="majorBidi" w:hAnsiTheme="majorBidi" w:cstheme="majorBidi"/>
          <w:sz w:val="24"/>
          <w:szCs w:val="24"/>
        </w:rPr>
        <w:t>LeBlanc</w:t>
      </w:r>
      <w:r w:rsidR="007E2330" w:rsidRPr="00FC7165">
        <w:rPr>
          <w:rFonts w:asciiTheme="majorBidi" w:hAnsiTheme="majorBidi" w:cstheme="majorBidi"/>
          <w:sz w:val="24"/>
          <w:szCs w:val="24"/>
        </w:rPr>
        <w:t xml:space="preserve"> 2001</w:t>
      </w:r>
      <w:r w:rsidR="005E7A82" w:rsidRPr="00FC7165">
        <w:rPr>
          <w:rFonts w:asciiTheme="majorBidi" w:hAnsiTheme="majorBidi" w:cstheme="majorBidi"/>
          <w:sz w:val="24"/>
          <w:szCs w:val="24"/>
        </w:rPr>
        <w:t>).</w:t>
      </w:r>
      <w:r w:rsidR="00F166A2" w:rsidRPr="00FC7165">
        <w:rPr>
          <w:rFonts w:asciiTheme="majorBidi" w:hAnsiTheme="majorBidi" w:cstheme="majorBidi"/>
          <w:sz w:val="24"/>
          <w:szCs w:val="24"/>
        </w:rPr>
        <w:t xml:space="preserve"> </w:t>
      </w:r>
      <w:r w:rsidR="00F166A2" w:rsidRPr="00DF26D7">
        <w:rPr>
          <w:rFonts w:asciiTheme="majorBidi" w:hAnsiTheme="majorBidi" w:cstheme="majorBidi"/>
          <w:sz w:val="24"/>
          <w:szCs w:val="24"/>
        </w:rPr>
        <w:t>The benefits of providing learning support services are thus numerous</w:t>
      </w:r>
      <w:r w:rsidR="005E7A82" w:rsidRPr="00DF26D7">
        <w:rPr>
          <w:rFonts w:asciiTheme="majorBidi" w:hAnsiTheme="majorBidi" w:cstheme="majorBidi"/>
          <w:sz w:val="24"/>
          <w:szCs w:val="24"/>
        </w:rPr>
        <w:t>,</w:t>
      </w:r>
      <w:r w:rsidR="00F166A2" w:rsidRPr="00DF26D7">
        <w:rPr>
          <w:rFonts w:asciiTheme="majorBidi" w:hAnsiTheme="majorBidi" w:cstheme="majorBidi"/>
          <w:sz w:val="24"/>
          <w:szCs w:val="24"/>
        </w:rPr>
        <w:t xml:space="preserve"> and accrue </w:t>
      </w:r>
      <w:r w:rsidR="008D17FE" w:rsidRPr="00DF26D7">
        <w:rPr>
          <w:rFonts w:asciiTheme="majorBidi" w:hAnsiTheme="majorBidi" w:cstheme="majorBidi"/>
          <w:sz w:val="24"/>
          <w:szCs w:val="24"/>
        </w:rPr>
        <w:t xml:space="preserve">not only </w:t>
      </w:r>
      <w:r w:rsidR="00F166A2" w:rsidRPr="00DF26D7">
        <w:rPr>
          <w:rFonts w:asciiTheme="majorBidi" w:hAnsiTheme="majorBidi" w:cstheme="majorBidi"/>
          <w:sz w:val="24"/>
          <w:szCs w:val="24"/>
        </w:rPr>
        <w:t>to students</w:t>
      </w:r>
      <w:r w:rsidR="005E7A82" w:rsidRPr="00DF26D7">
        <w:rPr>
          <w:rFonts w:asciiTheme="majorBidi" w:hAnsiTheme="majorBidi" w:cstheme="majorBidi"/>
          <w:sz w:val="24"/>
          <w:szCs w:val="24"/>
        </w:rPr>
        <w:t>,</w:t>
      </w:r>
      <w:r w:rsidR="00F166A2" w:rsidRPr="00DF26D7">
        <w:rPr>
          <w:rFonts w:asciiTheme="majorBidi" w:hAnsiTheme="majorBidi" w:cstheme="majorBidi"/>
          <w:sz w:val="24"/>
          <w:szCs w:val="24"/>
        </w:rPr>
        <w:t xml:space="preserve"> </w:t>
      </w:r>
      <w:r w:rsidR="008D17FE" w:rsidRPr="00DF26D7">
        <w:rPr>
          <w:rFonts w:asciiTheme="majorBidi" w:hAnsiTheme="majorBidi" w:cstheme="majorBidi"/>
          <w:sz w:val="24"/>
          <w:szCs w:val="24"/>
        </w:rPr>
        <w:t xml:space="preserve">but also to </w:t>
      </w:r>
      <w:r w:rsidR="00F166A2" w:rsidRPr="00DF26D7">
        <w:rPr>
          <w:rFonts w:asciiTheme="majorBidi" w:hAnsiTheme="majorBidi" w:cstheme="majorBidi"/>
          <w:sz w:val="24"/>
          <w:szCs w:val="24"/>
        </w:rPr>
        <w:t xml:space="preserve">teachers, and </w:t>
      </w:r>
      <w:r w:rsidR="008D17FE" w:rsidRPr="00DF26D7">
        <w:rPr>
          <w:rFonts w:asciiTheme="majorBidi" w:hAnsiTheme="majorBidi" w:cstheme="majorBidi"/>
          <w:sz w:val="24"/>
          <w:szCs w:val="24"/>
        </w:rPr>
        <w:t>their</w:t>
      </w:r>
      <w:r w:rsidR="00F166A2" w:rsidRPr="00DF26D7">
        <w:rPr>
          <w:rFonts w:asciiTheme="majorBidi" w:hAnsiTheme="majorBidi" w:cstheme="majorBidi"/>
          <w:sz w:val="24"/>
          <w:szCs w:val="24"/>
        </w:rPr>
        <w:t xml:space="preserve"> institutions.</w:t>
      </w:r>
    </w:p>
    <w:p w14:paraId="1408D0F0" w14:textId="77777777" w:rsidR="00767C49" w:rsidRPr="00DF26D7" w:rsidRDefault="00767C49" w:rsidP="00F50315">
      <w:pPr>
        <w:tabs>
          <w:tab w:val="left" w:pos="567"/>
        </w:tabs>
        <w:spacing w:after="0" w:line="288" w:lineRule="auto"/>
        <w:ind w:firstLine="720"/>
        <w:jc w:val="both"/>
        <w:rPr>
          <w:rFonts w:asciiTheme="majorBidi" w:hAnsiTheme="majorBidi" w:cstheme="majorBidi"/>
          <w:sz w:val="24"/>
          <w:szCs w:val="24"/>
        </w:rPr>
      </w:pPr>
    </w:p>
    <w:p w14:paraId="7FB818C2" w14:textId="6EBE8329" w:rsidR="00407FF3" w:rsidRDefault="00F50315" w:rsidP="00F50315">
      <w:pPr>
        <w:tabs>
          <w:tab w:val="left" w:pos="567"/>
        </w:tabs>
        <w:spacing w:after="0" w:line="288" w:lineRule="auto"/>
        <w:jc w:val="both"/>
        <w:rPr>
          <w:rFonts w:asciiTheme="majorBidi" w:hAnsiTheme="majorBidi" w:cstheme="majorBidi"/>
          <w:sz w:val="24"/>
          <w:szCs w:val="24"/>
        </w:rPr>
      </w:pPr>
      <w:r>
        <w:rPr>
          <w:rFonts w:asciiTheme="majorBidi" w:hAnsiTheme="majorBidi" w:cstheme="majorBidi"/>
          <w:sz w:val="24"/>
          <w:szCs w:val="24"/>
        </w:rPr>
        <w:tab/>
      </w:r>
      <w:r w:rsidR="00407FF3" w:rsidRPr="00DF26D7">
        <w:rPr>
          <w:rFonts w:asciiTheme="majorBidi" w:hAnsiTheme="majorBidi" w:cstheme="majorBidi"/>
          <w:sz w:val="24"/>
          <w:szCs w:val="24"/>
        </w:rPr>
        <w:t xml:space="preserve">Most tertiary education institutions provide some form of academic </w:t>
      </w:r>
      <w:r w:rsidR="00CC5620" w:rsidRPr="00DF26D7">
        <w:rPr>
          <w:rFonts w:asciiTheme="majorBidi" w:hAnsiTheme="majorBidi" w:cstheme="majorBidi"/>
          <w:sz w:val="24"/>
          <w:szCs w:val="24"/>
        </w:rPr>
        <w:t xml:space="preserve">and other </w:t>
      </w:r>
      <w:r w:rsidR="00407FF3" w:rsidRPr="00DF26D7">
        <w:rPr>
          <w:rFonts w:asciiTheme="majorBidi" w:hAnsiTheme="majorBidi" w:cstheme="majorBidi"/>
          <w:sz w:val="24"/>
          <w:szCs w:val="24"/>
        </w:rPr>
        <w:t xml:space="preserve">support services to help students </w:t>
      </w:r>
      <w:r w:rsidR="005E7A82" w:rsidRPr="00DF26D7">
        <w:rPr>
          <w:rFonts w:asciiTheme="majorBidi" w:hAnsiTheme="majorBidi" w:cstheme="majorBidi"/>
          <w:sz w:val="24"/>
          <w:szCs w:val="24"/>
        </w:rPr>
        <w:t xml:space="preserve">who are encountering difficulties </w:t>
      </w:r>
      <w:r w:rsidR="00407FF3" w:rsidRPr="00DF26D7">
        <w:rPr>
          <w:rFonts w:asciiTheme="majorBidi" w:hAnsiTheme="majorBidi" w:cstheme="majorBidi"/>
          <w:sz w:val="24"/>
          <w:szCs w:val="24"/>
        </w:rPr>
        <w:t>with their studies</w:t>
      </w:r>
      <w:r w:rsidR="00743498" w:rsidRPr="00DF26D7">
        <w:rPr>
          <w:rFonts w:asciiTheme="majorBidi" w:hAnsiTheme="majorBidi" w:cstheme="majorBidi"/>
          <w:sz w:val="24"/>
          <w:szCs w:val="24"/>
        </w:rPr>
        <w:t>,</w:t>
      </w:r>
      <w:r w:rsidR="00407FF3" w:rsidRPr="00DF26D7">
        <w:rPr>
          <w:rFonts w:asciiTheme="majorBidi" w:hAnsiTheme="majorBidi" w:cstheme="majorBidi"/>
          <w:sz w:val="24"/>
          <w:szCs w:val="24"/>
        </w:rPr>
        <w:t xml:space="preserve"> and students are generally encouraged to access these s</w:t>
      </w:r>
      <w:r w:rsidR="00743498" w:rsidRPr="00DF26D7">
        <w:rPr>
          <w:rFonts w:asciiTheme="majorBidi" w:hAnsiTheme="majorBidi" w:cstheme="majorBidi"/>
          <w:sz w:val="24"/>
          <w:szCs w:val="24"/>
        </w:rPr>
        <w:t>ervices when they need them. T</w:t>
      </w:r>
      <w:r w:rsidR="005E7A82" w:rsidRPr="00DF26D7">
        <w:rPr>
          <w:rFonts w:asciiTheme="majorBidi" w:hAnsiTheme="majorBidi" w:cstheme="majorBidi"/>
          <w:sz w:val="24"/>
          <w:szCs w:val="24"/>
        </w:rPr>
        <w:t>ypically, t</w:t>
      </w:r>
      <w:r w:rsidR="00743498" w:rsidRPr="00DF26D7">
        <w:rPr>
          <w:rFonts w:asciiTheme="majorBidi" w:hAnsiTheme="majorBidi" w:cstheme="majorBidi"/>
          <w:sz w:val="24"/>
          <w:szCs w:val="24"/>
        </w:rPr>
        <w:t>he</w:t>
      </w:r>
      <w:r w:rsidR="00407FF3" w:rsidRPr="00DF26D7">
        <w:rPr>
          <w:rFonts w:asciiTheme="majorBidi" w:hAnsiTheme="majorBidi" w:cstheme="majorBidi"/>
          <w:sz w:val="24"/>
          <w:szCs w:val="24"/>
        </w:rPr>
        <w:t>s</w:t>
      </w:r>
      <w:r w:rsidR="00743498" w:rsidRPr="00DF26D7">
        <w:rPr>
          <w:rFonts w:asciiTheme="majorBidi" w:hAnsiTheme="majorBidi" w:cstheme="majorBidi"/>
          <w:sz w:val="24"/>
          <w:szCs w:val="24"/>
        </w:rPr>
        <w:t>e</w:t>
      </w:r>
      <w:r w:rsidR="00407FF3" w:rsidRPr="00DF26D7">
        <w:rPr>
          <w:rFonts w:asciiTheme="majorBidi" w:hAnsiTheme="majorBidi" w:cstheme="majorBidi"/>
          <w:sz w:val="24"/>
          <w:szCs w:val="24"/>
        </w:rPr>
        <w:t xml:space="preserve"> </w:t>
      </w:r>
      <w:r w:rsidR="00743498" w:rsidRPr="00DF26D7">
        <w:rPr>
          <w:rFonts w:asciiTheme="majorBidi" w:hAnsiTheme="majorBidi" w:cstheme="majorBidi"/>
          <w:sz w:val="24"/>
          <w:szCs w:val="24"/>
        </w:rPr>
        <w:t xml:space="preserve">services </w:t>
      </w:r>
      <w:r w:rsidR="005E7A82" w:rsidRPr="00DF26D7">
        <w:rPr>
          <w:rFonts w:asciiTheme="majorBidi" w:hAnsiTheme="majorBidi" w:cstheme="majorBidi"/>
          <w:sz w:val="24"/>
          <w:szCs w:val="24"/>
        </w:rPr>
        <w:t>are</w:t>
      </w:r>
      <w:r w:rsidR="00743498" w:rsidRPr="00DF26D7">
        <w:rPr>
          <w:rFonts w:asciiTheme="majorBidi" w:hAnsiTheme="majorBidi" w:cstheme="majorBidi"/>
          <w:sz w:val="24"/>
          <w:szCs w:val="24"/>
        </w:rPr>
        <w:t xml:space="preserve"> </w:t>
      </w:r>
      <w:r w:rsidR="00CC5620" w:rsidRPr="00DF26D7">
        <w:rPr>
          <w:rFonts w:asciiTheme="majorBidi" w:hAnsiTheme="majorBidi" w:cstheme="majorBidi"/>
          <w:sz w:val="24"/>
          <w:szCs w:val="24"/>
        </w:rPr>
        <w:t xml:space="preserve">based on </w:t>
      </w:r>
      <w:r w:rsidR="00407FF3" w:rsidRPr="00DF26D7">
        <w:rPr>
          <w:rFonts w:asciiTheme="majorBidi" w:hAnsiTheme="majorBidi" w:cstheme="majorBidi"/>
          <w:sz w:val="24"/>
          <w:szCs w:val="24"/>
        </w:rPr>
        <w:t>self-referral</w:t>
      </w:r>
      <w:r w:rsidR="005E7A82" w:rsidRPr="00DF26D7">
        <w:rPr>
          <w:rFonts w:asciiTheme="majorBidi" w:hAnsiTheme="majorBidi" w:cstheme="majorBidi"/>
          <w:sz w:val="24"/>
          <w:szCs w:val="24"/>
        </w:rPr>
        <w:t xml:space="preserve">, </w:t>
      </w:r>
      <w:r w:rsidR="00EF710D">
        <w:rPr>
          <w:rFonts w:asciiTheme="majorBidi" w:hAnsiTheme="majorBidi" w:cstheme="majorBidi"/>
          <w:sz w:val="24"/>
          <w:szCs w:val="24"/>
        </w:rPr>
        <w:t>that is,</w:t>
      </w:r>
      <w:r w:rsidR="005E7A82" w:rsidRPr="00DF26D7">
        <w:rPr>
          <w:rFonts w:asciiTheme="majorBidi" w:hAnsiTheme="majorBidi" w:cstheme="majorBidi"/>
          <w:sz w:val="24"/>
          <w:szCs w:val="24"/>
        </w:rPr>
        <w:t xml:space="preserve"> the student must recognise a need to seek additional help and know how to access the appropriate support services</w:t>
      </w:r>
      <w:r w:rsidR="00743498" w:rsidRPr="00DF26D7">
        <w:rPr>
          <w:rFonts w:asciiTheme="majorBidi" w:hAnsiTheme="majorBidi" w:cstheme="majorBidi"/>
          <w:sz w:val="24"/>
          <w:szCs w:val="24"/>
        </w:rPr>
        <w:t>.</w:t>
      </w:r>
      <w:r w:rsidR="005E7A82" w:rsidRPr="00DF26D7">
        <w:rPr>
          <w:rFonts w:asciiTheme="majorBidi" w:hAnsiTheme="majorBidi" w:cstheme="majorBidi"/>
          <w:sz w:val="24"/>
          <w:szCs w:val="24"/>
        </w:rPr>
        <w:t xml:space="preserve"> Despite information about these services often being widely available,</w:t>
      </w:r>
      <w:r w:rsidR="00743498" w:rsidRPr="00DF26D7">
        <w:rPr>
          <w:rFonts w:asciiTheme="majorBidi" w:hAnsiTheme="majorBidi" w:cstheme="majorBidi"/>
          <w:sz w:val="24"/>
          <w:szCs w:val="24"/>
        </w:rPr>
        <w:t xml:space="preserve"> </w:t>
      </w:r>
      <w:r w:rsidR="005E7A82" w:rsidRPr="00DF26D7">
        <w:rPr>
          <w:rFonts w:asciiTheme="majorBidi" w:hAnsiTheme="majorBidi" w:cstheme="majorBidi"/>
          <w:sz w:val="24"/>
          <w:szCs w:val="24"/>
        </w:rPr>
        <w:t>not all students in need will access them. S</w:t>
      </w:r>
      <w:r w:rsidR="00743498" w:rsidRPr="00DF26D7">
        <w:rPr>
          <w:rFonts w:asciiTheme="majorBidi" w:hAnsiTheme="majorBidi" w:cstheme="majorBidi"/>
          <w:sz w:val="24"/>
          <w:szCs w:val="24"/>
        </w:rPr>
        <w:t xml:space="preserve">tudents who are highly motivated are more likely to access </w:t>
      </w:r>
      <w:r w:rsidR="005E7A82" w:rsidRPr="00DF26D7">
        <w:rPr>
          <w:rFonts w:asciiTheme="majorBidi" w:hAnsiTheme="majorBidi" w:cstheme="majorBidi"/>
          <w:sz w:val="24"/>
          <w:szCs w:val="24"/>
        </w:rPr>
        <w:t>academic support</w:t>
      </w:r>
      <w:r w:rsidR="00743498" w:rsidRPr="00DF26D7">
        <w:rPr>
          <w:rFonts w:asciiTheme="majorBidi" w:hAnsiTheme="majorBidi" w:cstheme="majorBidi"/>
          <w:sz w:val="24"/>
          <w:szCs w:val="24"/>
        </w:rPr>
        <w:t xml:space="preserve"> services</w:t>
      </w:r>
      <w:r w:rsidR="005E7A82" w:rsidRPr="00DF26D7">
        <w:rPr>
          <w:rFonts w:asciiTheme="majorBidi" w:hAnsiTheme="majorBidi" w:cstheme="majorBidi"/>
          <w:sz w:val="24"/>
          <w:szCs w:val="24"/>
        </w:rPr>
        <w:t>,</w:t>
      </w:r>
      <w:r w:rsidR="00743498" w:rsidRPr="00DF26D7">
        <w:rPr>
          <w:rFonts w:asciiTheme="majorBidi" w:hAnsiTheme="majorBidi" w:cstheme="majorBidi"/>
          <w:sz w:val="24"/>
          <w:szCs w:val="24"/>
        </w:rPr>
        <w:t xml:space="preserve"> while disengaged students are </w:t>
      </w:r>
      <w:r w:rsidR="005E7A82" w:rsidRPr="00DF26D7">
        <w:rPr>
          <w:rFonts w:asciiTheme="majorBidi" w:hAnsiTheme="majorBidi" w:cstheme="majorBidi"/>
          <w:sz w:val="24"/>
          <w:szCs w:val="24"/>
        </w:rPr>
        <w:t>less</w:t>
      </w:r>
      <w:r w:rsidR="00743498" w:rsidRPr="00DF26D7">
        <w:rPr>
          <w:rFonts w:asciiTheme="majorBidi" w:hAnsiTheme="majorBidi" w:cstheme="majorBidi"/>
          <w:sz w:val="24"/>
          <w:szCs w:val="24"/>
        </w:rPr>
        <w:t xml:space="preserve"> likely to</w:t>
      </w:r>
      <w:r w:rsidR="005E7A82" w:rsidRPr="00DF26D7">
        <w:rPr>
          <w:rFonts w:asciiTheme="majorBidi" w:hAnsiTheme="majorBidi" w:cstheme="majorBidi"/>
          <w:sz w:val="24"/>
          <w:szCs w:val="24"/>
        </w:rPr>
        <w:t xml:space="preserve"> (</w:t>
      </w:r>
      <w:r w:rsidR="00EF710D">
        <w:rPr>
          <w:rFonts w:asciiTheme="majorBidi" w:hAnsiTheme="majorBidi" w:cstheme="majorBidi"/>
          <w:sz w:val="24"/>
          <w:szCs w:val="24"/>
        </w:rPr>
        <w:t xml:space="preserve">Nichols 2010, Nash 2005, </w:t>
      </w:r>
      <w:proofErr w:type="gramStart"/>
      <w:r w:rsidR="00EF710D">
        <w:rPr>
          <w:rFonts w:asciiTheme="majorBidi" w:hAnsiTheme="majorBidi" w:cstheme="majorBidi"/>
          <w:sz w:val="24"/>
          <w:szCs w:val="24"/>
        </w:rPr>
        <w:t>Barefoot</w:t>
      </w:r>
      <w:proofErr w:type="gramEnd"/>
      <w:r w:rsidR="00EA5187" w:rsidRPr="00DF26D7">
        <w:rPr>
          <w:rFonts w:asciiTheme="majorBidi" w:hAnsiTheme="majorBidi" w:cstheme="majorBidi"/>
          <w:sz w:val="24"/>
          <w:szCs w:val="24"/>
        </w:rPr>
        <w:t xml:space="preserve"> 2004</w:t>
      </w:r>
      <w:r w:rsidR="005E7A82" w:rsidRPr="00DF26D7">
        <w:rPr>
          <w:rFonts w:asciiTheme="majorBidi" w:hAnsiTheme="majorBidi" w:cstheme="majorBidi"/>
          <w:sz w:val="24"/>
          <w:szCs w:val="24"/>
        </w:rPr>
        <w:t>)</w:t>
      </w:r>
      <w:r w:rsidR="00743498" w:rsidRPr="00DF26D7">
        <w:rPr>
          <w:rFonts w:asciiTheme="majorBidi" w:hAnsiTheme="majorBidi" w:cstheme="majorBidi"/>
          <w:sz w:val="24"/>
          <w:szCs w:val="24"/>
        </w:rPr>
        <w:t xml:space="preserve">. As such, the students </w:t>
      </w:r>
      <w:r w:rsidR="00743498" w:rsidRPr="00DF26D7">
        <w:rPr>
          <w:rFonts w:asciiTheme="majorBidi" w:hAnsiTheme="majorBidi" w:cstheme="majorBidi"/>
          <w:sz w:val="24"/>
          <w:szCs w:val="24"/>
        </w:rPr>
        <w:lastRenderedPageBreak/>
        <w:t xml:space="preserve">who </w:t>
      </w:r>
      <w:r w:rsidR="005E7A82" w:rsidRPr="00DF26D7">
        <w:rPr>
          <w:rFonts w:asciiTheme="majorBidi" w:hAnsiTheme="majorBidi" w:cstheme="majorBidi"/>
          <w:sz w:val="24"/>
          <w:szCs w:val="24"/>
        </w:rPr>
        <w:t>most</w:t>
      </w:r>
      <w:r w:rsidR="00743498" w:rsidRPr="00DF26D7">
        <w:rPr>
          <w:rFonts w:asciiTheme="majorBidi" w:hAnsiTheme="majorBidi" w:cstheme="majorBidi"/>
          <w:sz w:val="24"/>
          <w:szCs w:val="24"/>
        </w:rPr>
        <w:t xml:space="preserve"> need </w:t>
      </w:r>
      <w:r w:rsidR="00CC5620" w:rsidRPr="00DF26D7">
        <w:rPr>
          <w:rFonts w:asciiTheme="majorBidi" w:hAnsiTheme="majorBidi" w:cstheme="majorBidi"/>
          <w:sz w:val="24"/>
          <w:szCs w:val="24"/>
        </w:rPr>
        <w:t>academic and other</w:t>
      </w:r>
      <w:r w:rsidR="00743498" w:rsidRPr="00DF26D7">
        <w:rPr>
          <w:rFonts w:asciiTheme="majorBidi" w:hAnsiTheme="majorBidi" w:cstheme="majorBidi"/>
          <w:sz w:val="24"/>
          <w:szCs w:val="24"/>
        </w:rPr>
        <w:t xml:space="preserve"> support services tend to be the ones that do not actually access them. </w:t>
      </w:r>
      <w:r w:rsidR="000A4C3F" w:rsidRPr="00DF26D7">
        <w:rPr>
          <w:rFonts w:asciiTheme="majorBidi" w:hAnsiTheme="majorBidi" w:cstheme="majorBidi"/>
          <w:sz w:val="24"/>
          <w:szCs w:val="24"/>
        </w:rPr>
        <w:t>This diminishes the</w:t>
      </w:r>
      <w:r w:rsidR="00743498" w:rsidRPr="00DF26D7">
        <w:rPr>
          <w:rFonts w:asciiTheme="majorBidi" w:hAnsiTheme="majorBidi" w:cstheme="majorBidi"/>
          <w:sz w:val="24"/>
          <w:szCs w:val="24"/>
        </w:rPr>
        <w:t xml:space="preserve"> effectiveness of the services, not </w:t>
      </w:r>
      <w:r w:rsidR="000A4C3F" w:rsidRPr="00DF26D7">
        <w:rPr>
          <w:rFonts w:asciiTheme="majorBidi" w:hAnsiTheme="majorBidi" w:cstheme="majorBidi"/>
          <w:sz w:val="24"/>
          <w:szCs w:val="24"/>
        </w:rPr>
        <w:t xml:space="preserve">necessarily </w:t>
      </w:r>
      <w:r w:rsidR="00743498" w:rsidRPr="00DF26D7">
        <w:rPr>
          <w:rFonts w:asciiTheme="majorBidi" w:hAnsiTheme="majorBidi" w:cstheme="majorBidi"/>
          <w:sz w:val="24"/>
          <w:szCs w:val="24"/>
        </w:rPr>
        <w:t>because the services do not work, but because the students that need them</w:t>
      </w:r>
      <w:r w:rsidR="000A4C3F" w:rsidRPr="00DF26D7">
        <w:rPr>
          <w:rFonts w:asciiTheme="majorBidi" w:hAnsiTheme="majorBidi" w:cstheme="majorBidi"/>
          <w:sz w:val="24"/>
          <w:szCs w:val="24"/>
        </w:rPr>
        <w:t xml:space="preserve"> most</w:t>
      </w:r>
      <w:r w:rsidR="00743498" w:rsidRPr="00DF26D7">
        <w:rPr>
          <w:rFonts w:asciiTheme="majorBidi" w:hAnsiTheme="majorBidi" w:cstheme="majorBidi"/>
          <w:sz w:val="24"/>
          <w:szCs w:val="24"/>
        </w:rPr>
        <w:t xml:space="preserve"> do not utilise them.</w:t>
      </w:r>
    </w:p>
    <w:p w14:paraId="3144423B" w14:textId="77777777" w:rsidR="00767C49" w:rsidRPr="00DF26D7" w:rsidRDefault="00767C49" w:rsidP="00F50315">
      <w:pPr>
        <w:tabs>
          <w:tab w:val="left" w:pos="567"/>
        </w:tabs>
        <w:spacing w:after="0" w:line="288" w:lineRule="auto"/>
        <w:ind w:firstLine="720"/>
        <w:jc w:val="both"/>
        <w:rPr>
          <w:rFonts w:asciiTheme="majorBidi" w:hAnsiTheme="majorBidi" w:cstheme="majorBidi"/>
          <w:sz w:val="24"/>
          <w:szCs w:val="24"/>
        </w:rPr>
      </w:pPr>
    </w:p>
    <w:p w14:paraId="549AB9D2" w14:textId="40B885C6" w:rsidR="000A4C3F" w:rsidRDefault="00F50315" w:rsidP="00F50315">
      <w:pPr>
        <w:tabs>
          <w:tab w:val="left" w:pos="567"/>
        </w:tabs>
        <w:spacing w:after="0" w:line="288" w:lineRule="auto"/>
        <w:jc w:val="both"/>
        <w:rPr>
          <w:rFonts w:asciiTheme="majorBidi" w:hAnsiTheme="majorBidi" w:cstheme="majorBidi"/>
          <w:sz w:val="24"/>
          <w:szCs w:val="24"/>
        </w:rPr>
      </w:pPr>
      <w:r>
        <w:rPr>
          <w:rFonts w:asciiTheme="majorBidi" w:hAnsiTheme="majorBidi" w:cstheme="majorBidi"/>
          <w:sz w:val="24"/>
          <w:szCs w:val="24"/>
        </w:rPr>
        <w:tab/>
      </w:r>
      <w:r w:rsidR="000A4C3F" w:rsidRPr="00DF26D7">
        <w:rPr>
          <w:rFonts w:asciiTheme="majorBidi" w:hAnsiTheme="majorBidi" w:cstheme="majorBidi"/>
          <w:sz w:val="24"/>
          <w:szCs w:val="24"/>
        </w:rPr>
        <w:t>Th</w:t>
      </w:r>
      <w:r w:rsidR="00CC5620" w:rsidRPr="00DF26D7">
        <w:rPr>
          <w:rFonts w:asciiTheme="majorBidi" w:hAnsiTheme="majorBidi" w:cstheme="majorBidi"/>
          <w:sz w:val="24"/>
          <w:szCs w:val="24"/>
        </w:rPr>
        <w:t>e</w:t>
      </w:r>
      <w:r w:rsidR="000A4C3F" w:rsidRPr="00DF26D7">
        <w:rPr>
          <w:rFonts w:asciiTheme="majorBidi" w:hAnsiTheme="majorBidi" w:cstheme="majorBidi"/>
          <w:sz w:val="24"/>
          <w:szCs w:val="24"/>
        </w:rPr>
        <w:t xml:space="preserve"> problem</w:t>
      </w:r>
      <w:r w:rsidR="00CC5620" w:rsidRPr="00DF26D7">
        <w:rPr>
          <w:rFonts w:asciiTheme="majorBidi" w:hAnsiTheme="majorBidi" w:cstheme="majorBidi"/>
          <w:sz w:val="24"/>
          <w:szCs w:val="24"/>
        </w:rPr>
        <w:t>s associated with self-referral</w:t>
      </w:r>
      <w:r w:rsidR="000A4C3F" w:rsidRPr="00DF26D7">
        <w:rPr>
          <w:rFonts w:asciiTheme="majorBidi" w:hAnsiTheme="majorBidi" w:cstheme="majorBidi"/>
          <w:sz w:val="24"/>
          <w:szCs w:val="24"/>
        </w:rPr>
        <w:t xml:space="preserve"> could be avoided by proactively identifying students at higher risk of non-completion of programmes of study, early in each semester, and </w:t>
      </w:r>
      <w:r w:rsidR="00CC5620" w:rsidRPr="00DF26D7">
        <w:rPr>
          <w:rFonts w:asciiTheme="majorBidi" w:hAnsiTheme="majorBidi" w:cstheme="majorBidi"/>
          <w:sz w:val="24"/>
          <w:szCs w:val="24"/>
        </w:rPr>
        <w:t>directing</w:t>
      </w:r>
      <w:r w:rsidR="000A4C3F" w:rsidRPr="00DF26D7">
        <w:rPr>
          <w:rFonts w:asciiTheme="majorBidi" w:hAnsiTheme="majorBidi" w:cstheme="majorBidi"/>
          <w:sz w:val="24"/>
          <w:szCs w:val="24"/>
        </w:rPr>
        <w:t xml:space="preserve"> additional tailored support to</w:t>
      </w:r>
      <w:r w:rsidR="00CC5620" w:rsidRPr="00DF26D7">
        <w:rPr>
          <w:rFonts w:asciiTheme="majorBidi" w:hAnsiTheme="majorBidi" w:cstheme="majorBidi"/>
          <w:sz w:val="24"/>
          <w:szCs w:val="24"/>
        </w:rPr>
        <w:t>wards</w:t>
      </w:r>
      <w:r w:rsidR="000A4C3F" w:rsidRPr="00DF26D7">
        <w:rPr>
          <w:rFonts w:asciiTheme="majorBidi" w:hAnsiTheme="majorBidi" w:cstheme="majorBidi"/>
          <w:sz w:val="24"/>
          <w:szCs w:val="24"/>
        </w:rPr>
        <w:t xml:space="preserve"> those students. This type of </w:t>
      </w:r>
      <w:r w:rsidR="00857E4D" w:rsidRPr="00DF26D7">
        <w:rPr>
          <w:rFonts w:asciiTheme="majorBidi" w:hAnsiTheme="majorBidi" w:cstheme="majorBidi"/>
          <w:sz w:val="24"/>
          <w:szCs w:val="24"/>
        </w:rPr>
        <w:t>‘</w:t>
      </w:r>
      <w:r w:rsidR="000A4C3F" w:rsidRPr="00DF26D7">
        <w:rPr>
          <w:rFonts w:asciiTheme="majorBidi" w:hAnsiTheme="majorBidi" w:cstheme="majorBidi"/>
          <w:sz w:val="24"/>
          <w:szCs w:val="24"/>
        </w:rPr>
        <w:t>proactive pastoral care</w:t>
      </w:r>
      <w:r w:rsidR="00857E4D" w:rsidRPr="00DF26D7">
        <w:rPr>
          <w:rFonts w:asciiTheme="majorBidi" w:hAnsiTheme="majorBidi" w:cstheme="majorBidi"/>
          <w:sz w:val="24"/>
          <w:szCs w:val="24"/>
        </w:rPr>
        <w:t>’</w:t>
      </w:r>
      <w:r w:rsidR="000A4C3F" w:rsidRPr="00DF26D7">
        <w:rPr>
          <w:rFonts w:asciiTheme="majorBidi" w:hAnsiTheme="majorBidi" w:cstheme="majorBidi"/>
          <w:sz w:val="24"/>
          <w:szCs w:val="24"/>
        </w:rPr>
        <w:t xml:space="preserve"> is relatively uncommon, and the success (or otherwise) of these initiatives has rarely been empirically tested. Moreover, there is no clear guidance as to whether these initiatives should be undertaken for individual courses</w:t>
      </w:r>
      <w:r w:rsidR="00CC5620" w:rsidRPr="00DF26D7">
        <w:rPr>
          <w:rFonts w:asciiTheme="majorBidi" w:hAnsiTheme="majorBidi" w:cstheme="majorBidi"/>
          <w:sz w:val="24"/>
          <w:szCs w:val="24"/>
        </w:rPr>
        <w:t xml:space="preserve"> (</w:t>
      </w:r>
      <w:r w:rsidR="00EF710D">
        <w:rPr>
          <w:rFonts w:asciiTheme="majorBidi" w:hAnsiTheme="majorBidi" w:cstheme="majorBidi"/>
          <w:sz w:val="24"/>
          <w:szCs w:val="24"/>
        </w:rPr>
        <w:t>that is,</w:t>
      </w:r>
      <w:r w:rsidR="00CC5620" w:rsidRPr="00DF26D7">
        <w:rPr>
          <w:rFonts w:asciiTheme="majorBidi" w:hAnsiTheme="majorBidi" w:cstheme="majorBidi"/>
          <w:sz w:val="24"/>
          <w:szCs w:val="24"/>
        </w:rPr>
        <w:t xml:space="preserve"> students’ performance identified early in individual courses)</w:t>
      </w:r>
      <w:r w:rsidR="000A4C3F" w:rsidRPr="00DF26D7">
        <w:rPr>
          <w:rFonts w:asciiTheme="majorBidi" w:hAnsiTheme="majorBidi" w:cstheme="majorBidi"/>
          <w:sz w:val="24"/>
          <w:szCs w:val="24"/>
        </w:rPr>
        <w:t>, or only at the level of programmes of study as a whole.</w:t>
      </w:r>
    </w:p>
    <w:p w14:paraId="22ADB05F" w14:textId="77777777" w:rsidR="00767C49" w:rsidRPr="00DF26D7" w:rsidRDefault="00767C49" w:rsidP="00F50315">
      <w:pPr>
        <w:tabs>
          <w:tab w:val="left" w:pos="567"/>
        </w:tabs>
        <w:spacing w:after="0" w:line="288" w:lineRule="auto"/>
        <w:ind w:firstLine="720"/>
        <w:jc w:val="both"/>
        <w:rPr>
          <w:rFonts w:asciiTheme="majorBidi" w:hAnsiTheme="majorBidi" w:cstheme="majorBidi"/>
          <w:sz w:val="24"/>
          <w:szCs w:val="24"/>
        </w:rPr>
      </w:pPr>
    </w:p>
    <w:p w14:paraId="5579B6B1" w14:textId="01F0DB91" w:rsidR="002B06AA" w:rsidRDefault="00F50315" w:rsidP="00F50315">
      <w:pPr>
        <w:tabs>
          <w:tab w:val="left" w:pos="567"/>
        </w:tabs>
        <w:spacing w:after="0" w:line="288" w:lineRule="auto"/>
        <w:jc w:val="both"/>
        <w:rPr>
          <w:rFonts w:asciiTheme="majorBidi" w:hAnsiTheme="majorBidi" w:cstheme="majorBidi"/>
          <w:sz w:val="24"/>
          <w:szCs w:val="24"/>
        </w:rPr>
      </w:pPr>
      <w:r>
        <w:rPr>
          <w:rFonts w:asciiTheme="majorBidi" w:hAnsiTheme="majorBidi" w:cstheme="majorBidi"/>
          <w:sz w:val="24"/>
          <w:szCs w:val="24"/>
        </w:rPr>
        <w:tab/>
      </w:r>
      <w:r w:rsidR="00947972" w:rsidRPr="00DF26D7">
        <w:rPr>
          <w:rFonts w:asciiTheme="majorBidi" w:hAnsiTheme="majorBidi" w:cstheme="majorBidi"/>
          <w:sz w:val="24"/>
          <w:szCs w:val="24"/>
        </w:rPr>
        <w:t>The proactive pastoral care initiative</w:t>
      </w:r>
      <w:r w:rsidR="00C62433" w:rsidRPr="00DF26D7">
        <w:rPr>
          <w:rFonts w:asciiTheme="majorBidi" w:hAnsiTheme="majorBidi" w:cstheme="majorBidi"/>
          <w:sz w:val="24"/>
          <w:szCs w:val="24"/>
        </w:rPr>
        <w:t xml:space="preserve"> we evaluate in this paper is primarily an attempt to increase student engagement</w:t>
      </w:r>
      <w:r w:rsidR="00947972" w:rsidRPr="00DF26D7">
        <w:rPr>
          <w:rFonts w:asciiTheme="majorBidi" w:hAnsiTheme="majorBidi" w:cstheme="majorBidi"/>
          <w:sz w:val="24"/>
          <w:szCs w:val="24"/>
        </w:rPr>
        <w:t xml:space="preserve"> and student retention.</w:t>
      </w:r>
      <w:r w:rsidR="00857E4D" w:rsidRPr="00DF26D7">
        <w:rPr>
          <w:rFonts w:asciiTheme="majorBidi" w:hAnsiTheme="majorBidi" w:cstheme="majorBidi"/>
          <w:sz w:val="24"/>
          <w:szCs w:val="24"/>
        </w:rPr>
        <w:t xml:space="preserve"> Our observation is that many students who fail to complete course</w:t>
      </w:r>
      <w:r w:rsidR="00CC5620" w:rsidRPr="00DF26D7">
        <w:rPr>
          <w:rFonts w:asciiTheme="majorBidi" w:hAnsiTheme="majorBidi" w:cstheme="majorBidi"/>
          <w:sz w:val="24"/>
          <w:szCs w:val="24"/>
        </w:rPr>
        <w:t>s</w:t>
      </w:r>
      <w:r w:rsidR="00857E4D" w:rsidRPr="00DF26D7">
        <w:rPr>
          <w:rFonts w:asciiTheme="majorBidi" w:hAnsiTheme="majorBidi" w:cstheme="majorBidi"/>
          <w:sz w:val="24"/>
          <w:szCs w:val="24"/>
        </w:rPr>
        <w:t xml:space="preserve"> have often been disengaged from the beginning, not attending classes or completing assigned readings or coursework. Some of these students will engage later in the semester, but many </w:t>
      </w:r>
      <w:r w:rsidR="00CC5620" w:rsidRPr="00DF26D7">
        <w:rPr>
          <w:rFonts w:asciiTheme="majorBidi" w:hAnsiTheme="majorBidi" w:cstheme="majorBidi"/>
          <w:sz w:val="24"/>
          <w:szCs w:val="24"/>
        </w:rPr>
        <w:t>will delay</w:t>
      </w:r>
      <w:r w:rsidR="00857E4D" w:rsidRPr="00DF26D7">
        <w:rPr>
          <w:rFonts w:asciiTheme="majorBidi" w:hAnsiTheme="majorBidi" w:cstheme="majorBidi"/>
          <w:sz w:val="24"/>
          <w:szCs w:val="24"/>
        </w:rPr>
        <w:t xml:space="preserve"> this engagement until it is too late to have an appreciable impact on </w:t>
      </w:r>
      <w:r w:rsidR="00CC5620" w:rsidRPr="00DF26D7">
        <w:rPr>
          <w:rFonts w:asciiTheme="majorBidi" w:hAnsiTheme="majorBidi" w:cstheme="majorBidi"/>
          <w:sz w:val="24"/>
          <w:szCs w:val="24"/>
        </w:rPr>
        <w:t>overall performance in the course</w:t>
      </w:r>
      <w:r w:rsidR="00857E4D" w:rsidRPr="00DF26D7">
        <w:rPr>
          <w:rFonts w:asciiTheme="majorBidi" w:hAnsiTheme="majorBidi" w:cstheme="majorBidi"/>
          <w:sz w:val="24"/>
          <w:szCs w:val="24"/>
        </w:rPr>
        <w:t xml:space="preserve">. </w:t>
      </w:r>
      <w:r w:rsidR="00CC5620" w:rsidRPr="00DF26D7">
        <w:rPr>
          <w:rFonts w:asciiTheme="majorBidi" w:hAnsiTheme="majorBidi" w:cstheme="majorBidi"/>
          <w:sz w:val="24"/>
          <w:szCs w:val="24"/>
        </w:rPr>
        <w:t>A lack of engagement among introductory-level students</w:t>
      </w:r>
      <w:r w:rsidR="00857E4D" w:rsidRPr="00DF26D7">
        <w:rPr>
          <w:rFonts w:asciiTheme="majorBidi" w:hAnsiTheme="majorBidi" w:cstheme="majorBidi"/>
          <w:sz w:val="24"/>
          <w:szCs w:val="24"/>
        </w:rPr>
        <w:t xml:space="preserve"> may arise because many students who are just starting their tertiary studies experience a substantial culture shock </w:t>
      </w:r>
      <w:r w:rsidR="00857E4D" w:rsidRPr="00FC7165">
        <w:rPr>
          <w:rFonts w:asciiTheme="majorBidi" w:hAnsiTheme="majorBidi" w:cstheme="majorBidi"/>
          <w:sz w:val="24"/>
          <w:szCs w:val="24"/>
        </w:rPr>
        <w:t>(Christie</w:t>
      </w:r>
      <w:r w:rsidR="008A46AE">
        <w:rPr>
          <w:rFonts w:asciiTheme="majorBidi" w:hAnsiTheme="majorBidi" w:cstheme="majorBidi"/>
          <w:sz w:val="24"/>
          <w:szCs w:val="24"/>
        </w:rPr>
        <w:t xml:space="preserve">, </w:t>
      </w:r>
      <w:proofErr w:type="spellStart"/>
      <w:r w:rsidR="008A46AE">
        <w:rPr>
          <w:rFonts w:asciiTheme="majorBidi" w:hAnsiTheme="majorBidi" w:cstheme="majorBidi"/>
          <w:sz w:val="24"/>
          <w:szCs w:val="24"/>
        </w:rPr>
        <w:t>Tett</w:t>
      </w:r>
      <w:proofErr w:type="spellEnd"/>
      <w:r w:rsidR="008A46AE">
        <w:rPr>
          <w:rFonts w:asciiTheme="majorBidi" w:hAnsiTheme="majorBidi" w:cstheme="majorBidi"/>
          <w:sz w:val="24"/>
          <w:szCs w:val="24"/>
        </w:rPr>
        <w:t xml:space="preserve">, Cree, </w:t>
      </w:r>
      <w:proofErr w:type="spellStart"/>
      <w:r w:rsidR="008A46AE">
        <w:rPr>
          <w:rFonts w:asciiTheme="majorBidi" w:hAnsiTheme="majorBidi" w:cstheme="majorBidi"/>
          <w:sz w:val="24"/>
          <w:szCs w:val="24"/>
        </w:rPr>
        <w:t>Hounsell</w:t>
      </w:r>
      <w:proofErr w:type="spellEnd"/>
      <w:r w:rsidR="008A46AE">
        <w:rPr>
          <w:rFonts w:asciiTheme="majorBidi" w:hAnsiTheme="majorBidi" w:cstheme="majorBidi"/>
          <w:sz w:val="24"/>
          <w:szCs w:val="24"/>
        </w:rPr>
        <w:t xml:space="preserve"> </w:t>
      </w:r>
      <w:r>
        <w:rPr>
          <w:rFonts w:asciiTheme="majorBidi" w:hAnsiTheme="majorBidi" w:cstheme="majorBidi"/>
          <w:sz w:val="24"/>
          <w:szCs w:val="24"/>
        </w:rPr>
        <w:t>and</w:t>
      </w:r>
      <w:r w:rsidR="008A46AE">
        <w:rPr>
          <w:rFonts w:asciiTheme="majorBidi" w:hAnsiTheme="majorBidi" w:cstheme="majorBidi"/>
          <w:sz w:val="24"/>
          <w:szCs w:val="24"/>
        </w:rPr>
        <w:t xml:space="preserve"> </w:t>
      </w:r>
      <w:proofErr w:type="spellStart"/>
      <w:r w:rsidR="008A46AE">
        <w:rPr>
          <w:rFonts w:asciiTheme="majorBidi" w:hAnsiTheme="majorBidi" w:cstheme="majorBidi"/>
          <w:sz w:val="24"/>
          <w:szCs w:val="24"/>
        </w:rPr>
        <w:t>Mccune</w:t>
      </w:r>
      <w:proofErr w:type="spellEnd"/>
      <w:r w:rsidR="00FC7165">
        <w:rPr>
          <w:rFonts w:asciiTheme="majorBidi" w:hAnsiTheme="majorBidi" w:cstheme="majorBidi"/>
          <w:sz w:val="24"/>
          <w:szCs w:val="24"/>
        </w:rPr>
        <w:t xml:space="preserve"> </w:t>
      </w:r>
      <w:r w:rsidR="00857E4D" w:rsidRPr="00FC7165">
        <w:rPr>
          <w:rFonts w:asciiTheme="majorBidi" w:hAnsiTheme="majorBidi" w:cstheme="majorBidi"/>
          <w:sz w:val="24"/>
          <w:szCs w:val="24"/>
        </w:rPr>
        <w:t>2008</w:t>
      </w:r>
      <w:r w:rsidR="00857E4D" w:rsidRPr="00DF26D7">
        <w:rPr>
          <w:rFonts w:asciiTheme="majorBidi" w:hAnsiTheme="majorBidi" w:cstheme="majorBidi"/>
          <w:sz w:val="24"/>
          <w:szCs w:val="24"/>
        </w:rPr>
        <w:t xml:space="preserve">). This culture shock </w:t>
      </w:r>
      <w:r w:rsidR="00C62433" w:rsidRPr="00DF26D7">
        <w:rPr>
          <w:rFonts w:asciiTheme="majorBidi" w:hAnsiTheme="majorBidi" w:cstheme="majorBidi"/>
          <w:sz w:val="24"/>
          <w:szCs w:val="24"/>
        </w:rPr>
        <w:t>can occur</w:t>
      </w:r>
      <w:r w:rsidR="00857E4D" w:rsidRPr="00DF26D7">
        <w:rPr>
          <w:rFonts w:asciiTheme="majorBidi" w:hAnsiTheme="majorBidi" w:cstheme="majorBidi"/>
          <w:sz w:val="24"/>
          <w:szCs w:val="24"/>
        </w:rPr>
        <w:t xml:space="preserve"> because many students, particularly those who are the first in their family to attend university, lack the necessary social or cultural capital to engage with or fit into the university learning culture </w:t>
      </w:r>
      <w:r w:rsidR="00857E4D" w:rsidRPr="00FC7165">
        <w:rPr>
          <w:rFonts w:asciiTheme="majorBidi" w:hAnsiTheme="majorBidi" w:cstheme="majorBidi"/>
          <w:sz w:val="24"/>
          <w:szCs w:val="24"/>
        </w:rPr>
        <w:t>(Lawrence 2006</w:t>
      </w:r>
      <w:r w:rsidR="00857E4D" w:rsidRPr="00DF26D7">
        <w:rPr>
          <w:rFonts w:asciiTheme="majorBidi" w:hAnsiTheme="majorBidi" w:cstheme="majorBidi"/>
          <w:sz w:val="24"/>
          <w:szCs w:val="24"/>
        </w:rPr>
        <w:t>).</w:t>
      </w:r>
      <w:r w:rsidR="003231D9" w:rsidRPr="00DF26D7">
        <w:rPr>
          <w:rFonts w:asciiTheme="majorBidi" w:hAnsiTheme="majorBidi" w:cstheme="majorBidi"/>
          <w:sz w:val="24"/>
          <w:szCs w:val="24"/>
        </w:rPr>
        <w:t xml:space="preserve"> </w:t>
      </w:r>
      <w:r w:rsidR="00CC5620" w:rsidRPr="00DF26D7">
        <w:rPr>
          <w:rFonts w:asciiTheme="majorBidi" w:hAnsiTheme="majorBidi" w:cstheme="majorBidi"/>
          <w:sz w:val="24"/>
          <w:szCs w:val="24"/>
        </w:rPr>
        <w:t>Mann (2001) discusses this</w:t>
      </w:r>
      <w:r w:rsidR="002B06AA" w:rsidRPr="00DF26D7">
        <w:rPr>
          <w:rFonts w:asciiTheme="majorBidi" w:hAnsiTheme="majorBidi" w:cstheme="majorBidi"/>
          <w:sz w:val="24"/>
          <w:szCs w:val="24"/>
        </w:rPr>
        <w:t xml:space="preserve"> alienation that students may experience when entering the university environment</w:t>
      </w:r>
      <w:r w:rsidR="00CC5620" w:rsidRPr="00DF26D7">
        <w:rPr>
          <w:rFonts w:asciiTheme="majorBidi" w:hAnsiTheme="majorBidi" w:cstheme="majorBidi"/>
          <w:sz w:val="24"/>
          <w:szCs w:val="24"/>
        </w:rPr>
        <w:t>. She notes that</w:t>
      </w:r>
      <w:r w:rsidR="002B06AA" w:rsidRPr="00DF26D7">
        <w:rPr>
          <w:rFonts w:asciiTheme="majorBidi" w:hAnsiTheme="majorBidi" w:cstheme="majorBidi"/>
          <w:sz w:val="24"/>
          <w:szCs w:val="24"/>
        </w:rPr>
        <w:t>:</w:t>
      </w:r>
    </w:p>
    <w:p w14:paraId="7C53E54E" w14:textId="77777777" w:rsidR="00767C49" w:rsidRPr="00DF26D7" w:rsidRDefault="00767C49" w:rsidP="00F50315">
      <w:pPr>
        <w:tabs>
          <w:tab w:val="left" w:pos="567"/>
        </w:tabs>
        <w:spacing w:after="0" w:line="288" w:lineRule="auto"/>
        <w:ind w:firstLine="720"/>
        <w:jc w:val="both"/>
        <w:rPr>
          <w:rFonts w:asciiTheme="majorBidi" w:hAnsiTheme="majorBidi" w:cstheme="majorBidi"/>
          <w:sz w:val="24"/>
          <w:szCs w:val="24"/>
        </w:rPr>
      </w:pPr>
    </w:p>
    <w:p w14:paraId="487E8BC7" w14:textId="77777777" w:rsidR="00CE72A9" w:rsidRDefault="00F50315" w:rsidP="00F50315">
      <w:pPr>
        <w:tabs>
          <w:tab w:val="left" w:pos="567"/>
        </w:tabs>
        <w:spacing w:after="0" w:line="288" w:lineRule="auto"/>
        <w:ind w:left="567"/>
        <w:jc w:val="both"/>
        <w:rPr>
          <w:rFonts w:asciiTheme="majorBidi" w:hAnsiTheme="majorBidi" w:cstheme="majorBidi"/>
          <w:sz w:val="24"/>
          <w:szCs w:val="24"/>
        </w:rPr>
      </w:pPr>
      <w:r>
        <w:rPr>
          <w:rFonts w:asciiTheme="majorBidi" w:hAnsiTheme="majorBidi" w:cstheme="majorBidi"/>
          <w:sz w:val="24"/>
          <w:szCs w:val="24"/>
        </w:rPr>
        <w:t>'</w:t>
      </w:r>
      <w:r w:rsidR="00857E4D" w:rsidRPr="00DF26D7">
        <w:rPr>
          <w:rFonts w:asciiTheme="majorBidi" w:hAnsiTheme="majorBidi" w:cstheme="majorBidi"/>
          <w:sz w:val="24"/>
          <w:szCs w:val="24"/>
        </w:rPr>
        <w:t>…</w:t>
      </w:r>
      <w:r w:rsidR="002B06AA" w:rsidRPr="00DF26D7">
        <w:rPr>
          <w:rFonts w:asciiTheme="majorBidi" w:hAnsiTheme="majorBidi" w:cstheme="majorBidi"/>
          <w:sz w:val="24"/>
          <w:szCs w:val="24"/>
        </w:rPr>
        <w:t xml:space="preserve">the person who registers as a student in a higher education institution enters a pre-existing </w:t>
      </w:r>
      <w:proofErr w:type="spellStart"/>
      <w:r w:rsidR="002B06AA" w:rsidRPr="00DF26D7">
        <w:rPr>
          <w:rFonts w:asciiTheme="majorBidi" w:hAnsiTheme="majorBidi" w:cstheme="majorBidi"/>
          <w:sz w:val="24"/>
          <w:szCs w:val="24"/>
        </w:rPr>
        <w:t>discoursal</w:t>
      </w:r>
      <w:proofErr w:type="spellEnd"/>
      <w:r w:rsidR="002B06AA" w:rsidRPr="00DF26D7">
        <w:rPr>
          <w:rFonts w:asciiTheme="majorBidi" w:hAnsiTheme="majorBidi" w:cstheme="majorBidi"/>
          <w:sz w:val="24"/>
          <w:szCs w:val="24"/>
        </w:rPr>
        <w:t xml:space="preserve"> world in which they are positioned in various ways (as student, learner, competitor, debtor, consumer etc.), and in which more powerful others (lecturers, more experienced students etc.) have greater facility, knowledge and understanding of higher education discursive practices. From this perspective, the student is estranged from the language, culture and practices of the context in which they now find themselves, and is reduced, by their position in the discourse as first-year student, to a type rather than to</w:t>
      </w:r>
      <w:r w:rsidR="00C62433" w:rsidRPr="00DF26D7">
        <w:rPr>
          <w:rFonts w:asciiTheme="majorBidi" w:hAnsiTheme="majorBidi" w:cstheme="majorBidi"/>
          <w:sz w:val="24"/>
          <w:szCs w:val="24"/>
        </w:rPr>
        <w:t xml:space="preserve"> an individual</w:t>
      </w:r>
      <w:r w:rsidR="002B06AA" w:rsidRPr="00DF26D7">
        <w:rPr>
          <w:rFonts w:asciiTheme="majorBidi" w:hAnsiTheme="majorBidi" w:cstheme="majorBidi"/>
          <w:sz w:val="24"/>
          <w:szCs w:val="24"/>
        </w:rPr>
        <w:t>… Most students entering the new world of the academy are in an equivalent position to those crossing the borders of a new country</w:t>
      </w:r>
      <w:r w:rsidR="00CC5620" w:rsidRPr="00DF26D7">
        <w:rPr>
          <w:rFonts w:asciiTheme="majorBidi" w:hAnsiTheme="majorBidi" w:cstheme="majorBidi"/>
          <w:sz w:val="24"/>
          <w:szCs w:val="24"/>
        </w:rPr>
        <w:t xml:space="preserve"> </w:t>
      </w:r>
      <w:r w:rsidR="002B06AA" w:rsidRPr="00DF26D7">
        <w:rPr>
          <w:rFonts w:asciiTheme="majorBidi" w:hAnsiTheme="majorBidi" w:cstheme="majorBidi"/>
          <w:sz w:val="24"/>
          <w:szCs w:val="24"/>
        </w:rPr>
        <w:t>—</w:t>
      </w:r>
      <w:r w:rsidR="00CC5620" w:rsidRPr="00DF26D7">
        <w:rPr>
          <w:rFonts w:asciiTheme="majorBidi" w:hAnsiTheme="majorBidi" w:cstheme="majorBidi"/>
          <w:sz w:val="24"/>
          <w:szCs w:val="24"/>
        </w:rPr>
        <w:t xml:space="preserve"> </w:t>
      </w:r>
      <w:r w:rsidR="002B06AA" w:rsidRPr="00DF26D7">
        <w:rPr>
          <w:rFonts w:asciiTheme="majorBidi" w:hAnsiTheme="majorBidi" w:cstheme="majorBidi"/>
          <w:sz w:val="24"/>
          <w:szCs w:val="24"/>
        </w:rPr>
        <w:t>they have to deal with the bureaucracy of checkpoints, or matriculation, they may have limited knowledge of the local language and customs, and are alone.</w:t>
      </w:r>
      <w:r>
        <w:rPr>
          <w:rFonts w:asciiTheme="majorBidi" w:hAnsiTheme="majorBidi" w:cstheme="majorBidi"/>
          <w:sz w:val="24"/>
          <w:szCs w:val="24"/>
        </w:rPr>
        <w:t>'</w:t>
      </w:r>
      <w:r w:rsidR="002B06AA" w:rsidRPr="00DF26D7">
        <w:rPr>
          <w:rFonts w:asciiTheme="majorBidi" w:hAnsiTheme="majorBidi" w:cstheme="majorBidi"/>
          <w:sz w:val="24"/>
          <w:szCs w:val="24"/>
        </w:rPr>
        <w:t xml:space="preserve"> </w:t>
      </w:r>
    </w:p>
    <w:p w14:paraId="1593057A" w14:textId="39C51F4B" w:rsidR="002B06AA" w:rsidRDefault="002B06AA" w:rsidP="00F50315">
      <w:pPr>
        <w:tabs>
          <w:tab w:val="left" w:pos="567"/>
        </w:tabs>
        <w:spacing w:after="0" w:line="288" w:lineRule="auto"/>
        <w:ind w:left="567"/>
        <w:jc w:val="both"/>
        <w:rPr>
          <w:rFonts w:asciiTheme="majorBidi" w:hAnsiTheme="majorBidi" w:cstheme="majorBidi"/>
          <w:sz w:val="24"/>
          <w:szCs w:val="24"/>
        </w:rPr>
      </w:pPr>
      <w:proofErr w:type="gramStart"/>
      <w:r w:rsidRPr="00DF26D7">
        <w:rPr>
          <w:rFonts w:asciiTheme="majorBidi" w:hAnsiTheme="majorBidi" w:cstheme="majorBidi"/>
          <w:sz w:val="24"/>
          <w:szCs w:val="24"/>
        </w:rPr>
        <w:t>(</w:t>
      </w:r>
      <w:r w:rsidR="00EF710D">
        <w:rPr>
          <w:rFonts w:asciiTheme="majorBidi" w:hAnsiTheme="majorBidi" w:cstheme="majorBidi"/>
          <w:sz w:val="24"/>
          <w:szCs w:val="24"/>
        </w:rPr>
        <w:t>Mann</w:t>
      </w:r>
      <w:r w:rsidR="00CC5620" w:rsidRPr="00DF26D7">
        <w:rPr>
          <w:rFonts w:asciiTheme="majorBidi" w:hAnsiTheme="majorBidi" w:cstheme="majorBidi"/>
          <w:sz w:val="24"/>
          <w:szCs w:val="24"/>
        </w:rPr>
        <w:t xml:space="preserve"> 2001, </w:t>
      </w:r>
      <w:r w:rsidR="00EF710D">
        <w:rPr>
          <w:rFonts w:asciiTheme="majorBidi" w:hAnsiTheme="majorBidi" w:cstheme="majorBidi"/>
          <w:sz w:val="24"/>
          <w:szCs w:val="24"/>
        </w:rPr>
        <w:t>pp.</w:t>
      </w:r>
      <w:r w:rsidRPr="00DF26D7">
        <w:rPr>
          <w:rFonts w:asciiTheme="majorBidi" w:hAnsiTheme="majorBidi" w:cstheme="majorBidi"/>
          <w:sz w:val="24"/>
          <w:szCs w:val="24"/>
        </w:rPr>
        <w:t>10-11).</w:t>
      </w:r>
      <w:proofErr w:type="gramEnd"/>
    </w:p>
    <w:p w14:paraId="3990D567" w14:textId="77777777" w:rsidR="00767C49" w:rsidRPr="00DF26D7" w:rsidRDefault="00767C49" w:rsidP="00F50315">
      <w:pPr>
        <w:tabs>
          <w:tab w:val="left" w:pos="567"/>
        </w:tabs>
        <w:spacing w:after="0" w:line="288" w:lineRule="auto"/>
        <w:ind w:left="720"/>
        <w:jc w:val="both"/>
        <w:rPr>
          <w:rFonts w:asciiTheme="majorBidi" w:hAnsiTheme="majorBidi" w:cstheme="majorBidi"/>
          <w:sz w:val="24"/>
          <w:szCs w:val="24"/>
        </w:rPr>
      </w:pPr>
    </w:p>
    <w:p w14:paraId="5F3713E1" w14:textId="3FA6CD2E" w:rsidR="00F13BEE" w:rsidRDefault="00F50315" w:rsidP="00F50315">
      <w:pPr>
        <w:tabs>
          <w:tab w:val="left" w:pos="567"/>
        </w:tabs>
        <w:spacing w:after="0" w:line="288" w:lineRule="auto"/>
        <w:jc w:val="both"/>
        <w:rPr>
          <w:rFonts w:asciiTheme="majorBidi" w:hAnsiTheme="majorBidi" w:cstheme="majorBidi"/>
          <w:sz w:val="24"/>
          <w:szCs w:val="24"/>
        </w:rPr>
      </w:pPr>
      <w:r>
        <w:rPr>
          <w:rFonts w:asciiTheme="majorBidi" w:hAnsiTheme="majorBidi" w:cstheme="majorBidi"/>
          <w:sz w:val="24"/>
          <w:szCs w:val="24"/>
        </w:rPr>
        <w:tab/>
      </w:r>
      <w:r w:rsidR="002B06AA" w:rsidRPr="00DF26D7">
        <w:rPr>
          <w:rFonts w:asciiTheme="majorBidi" w:hAnsiTheme="majorBidi" w:cstheme="majorBidi"/>
          <w:sz w:val="24"/>
          <w:szCs w:val="24"/>
        </w:rPr>
        <w:t xml:space="preserve">Facing this alienation, students may find it safer </w:t>
      </w:r>
      <w:r w:rsidR="00F13BEE" w:rsidRPr="00DF26D7">
        <w:rPr>
          <w:rFonts w:asciiTheme="majorBidi" w:hAnsiTheme="majorBidi" w:cstheme="majorBidi"/>
          <w:sz w:val="24"/>
          <w:szCs w:val="24"/>
        </w:rPr>
        <w:t>to avoid engaging</w:t>
      </w:r>
      <w:r w:rsidR="002B06AA" w:rsidRPr="00DF26D7">
        <w:rPr>
          <w:rFonts w:asciiTheme="majorBidi" w:hAnsiTheme="majorBidi" w:cstheme="majorBidi"/>
          <w:sz w:val="24"/>
          <w:szCs w:val="24"/>
        </w:rPr>
        <w:t xml:space="preserve"> with the</w:t>
      </w:r>
      <w:r w:rsidR="00F13BEE" w:rsidRPr="00DF26D7">
        <w:rPr>
          <w:rFonts w:asciiTheme="majorBidi" w:hAnsiTheme="majorBidi" w:cstheme="majorBidi"/>
          <w:sz w:val="24"/>
          <w:szCs w:val="24"/>
        </w:rPr>
        <w:t>ir tertiary studies</w:t>
      </w:r>
      <w:r w:rsidR="002B06AA" w:rsidRPr="00DF26D7">
        <w:rPr>
          <w:rFonts w:asciiTheme="majorBidi" w:hAnsiTheme="majorBidi" w:cstheme="majorBidi"/>
          <w:sz w:val="24"/>
          <w:szCs w:val="24"/>
        </w:rPr>
        <w:t>.</w:t>
      </w:r>
      <w:r w:rsidR="003231D9" w:rsidRPr="00DF26D7">
        <w:rPr>
          <w:rFonts w:asciiTheme="majorBidi" w:hAnsiTheme="majorBidi" w:cstheme="majorBidi"/>
          <w:sz w:val="24"/>
          <w:szCs w:val="24"/>
        </w:rPr>
        <w:t xml:space="preserve"> Moreover, some students may suffer from </w:t>
      </w:r>
      <w:r>
        <w:rPr>
          <w:rFonts w:asciiTheme="majorBidi" w:hAnsiTheme="majorBidi" w:cstheme="majorBidi"/>
          <w:sz w:val="24"/>
          <w:szCs w:val="24"/>
        </w:rPr>
        <w:t>'</w:t>
      </w:r>
      <w:r w:rsidR="003231D9" w:rsidRPr="00DF26D7">
        <w:rPr>
          <w:rFonts w:asciiTheme="majorBidi" w:hAnsiTheme="majorBidi" w:cstheme="majorBidi"/>
          <w:sz w:val="24"/>
          <w:szCs w:val="24"/>
        </w:rPr>
        <w:t>imposter syndrome</w:t>
      </w:r>
      <w:r>
        <w:rPr>
          <w:rFonts w:asciiTheme="majorBidi" w:hAnsiTheme="majorBidi" w:cstheme="majorBidi"/>
          <w:sz w:val="24"/>
          <w:szCs w:val="24"/>
        </w:rPr>
        <w:t>'</w:t>
      </w:r>
      <w:r w:rsidR="003231D9" w:rsidRPr="00DF26D7">
        <w:rPr>
          <w:rFonts w:asciiTheme="majorBidi" w:hAnsiTheme="majorBidi" w:cstheme="majorBidi"/>
          <w:sz w:val="24"/>
          <w:szCs w:val="24"/>
        </w:rPr>
        <w:t xml:space="preserve">, wherein they feel a sense of not belonging or being </w:t>
      </w:r>
      <w:proofErr w:type="gramStart"/>
      <w:r w:rsidR="003231D9" w:rsidRPr="00DF26D7">
        <w:rPr>
          <w:rFonts w:asciiTheme="majorBidi" w:hAnsiTheme="majorBidi" w:cstheme="majorBidi"/>
          <w:sz w:val="24"/>
          <w:szCs w:val="24"/>
        </w:rPr>
        <w:t>deserving</w:t>
      </w:r>
      <w:proofErr w:type="gramEnd"/>
      <w:r w:rsidR="003231D9" w:rsidRPr="00DF26D7">
        <w:rPr>
          <w:rFonts w:asciiTheme="majorBidi" w:hAnsiTheme="majorBidi" w:cstheme="majorBidi"/>
          <w:sz w:val="24"/>
          <w:szCs w:val="24"/>
        </w:rPr>
        <w:t xml:space="preserve"> of university study </w:t>
      </w:r>
      <w:r w:rsidR="003231D9" w:rsidRPr="00FC7165">
        <w:rPr>
          <w:rFonts w:asciiTheme="majorBidi" w:hAnsiTheme="majorBidi" w:cstheme="majorBidi"/>
          <w:sz w:val="24"/>
          <w:szCs w:val="24"/>
        </w:rPr>
        <w:t>(Brookfield 1991</w:t>
      </w:r>
      <w:r w:rsidR="003231D9" w:rsidRPr="00DF26D7">
        <w:rPr>
          <w:rFonts w:asciiTheme="majorBidi" w:hAnsiTheme="majorBidi" w:cstheme="majorBidi"/>
          <w:sz w:val="24"/>
          <w:szCs w:val="24"/>
        </w:rPr>
        <w:t xml:space="preserve">).  </w:t>
      </w:r>
      <w:r w:rsidR="00857E4D" w:rsidRPr="00DF26D7">
        <w:rPr>
          <w:rFonts w:asciiTheme="majorBidi" w:hAnsiTheme="majorBidi" w:cstheme="majorBidi"/>
          <w:sz w:val="24"/>
          <w:szCs w:val="24"/>
        </w:rPr>
        <w:t xml:space="preserve">To </w:t>
      </w:r>
      <w:r w:rsidR="00857E4D" w:rsidRPr="00DF26D7">
        <w:rPr>
          <w:rFonts w:asciiTheme="majorBidi" w:hAnsiTheme="majorBidi" w:cstheme="majorBidi"/>
          <w:sz w:val="24"/>
          <w:szCs w:val="24"/>
        </w:rPr>
        <w:lastRenderedPageBreak/>
        <w:t>overcome th</w:t>
      </w:r>
      <w:r w:rsidR="003231D9" w:rsidRPr="00DF26D7">
        <w:rPr>
          <w:rFonts w:asciiTheme="majorBidi" w:hAnsiTheme="majorBidi" w:cstheme="majorBidi"/>
          <w:sz w:val="24"/>
          <w:szCs w:val="24"/>
        </w:rPr>
        <w:t>e</w:t>
      </w:r>
      <w:r w:rsidR="00857E4D" w:rsidRPr="00DF26D7">
        <w:rPr>
          <w:rFonts w:asciiTheme="majorBidi" w:hAnsiTheme="majorBidi" w:cstheme="majorBidi"/>
          <w:sz w:val="24"/>
          <w:szCs w:val="24"/>
        </w:rPr>
        <w:t>s</w:t>
      </w:r>
      <w:r w:rsidR="00F13BEE" w:rsidRPr="00DF26D7">
        <w:rPr>
          <w:rFonts w:asciiTheme="majorBidi" w:hAnsiTheme="majorBidi" w:cstheme="majorBidi"/>
          <w:sz w:val="24"/>
          <w:szCs w:val="24"/>
        </w:rPr>
        <w:t xml:space="preserve">e problems of alienation and </w:t>
      </w:r>
      <w:r>
        <w:rPr>
          <w:rFonts w:asciiTheme="majorBidi" w:hAnsiTheme="majorBidi" w:cstheme="majorBidi"/>
          <w:sz w:val="24"/>
          <w:szCs w:val="24"/>
        </w:rPr>
        <w:t>'</w:t>
      </w:r>
      <w:r w:rsidR="003231D9" w:rsidRPr="00DF26D7">
        <w:rPr>
          <w:rFonts w:asciiTheme="majorBidi" w:hAnsiTheme="majorBidi" w:cstheme="majorBidi"/>
          <w:sz w:val="24"/>
          <w:szCs w:val="24"/>
        </w:rPr>
        <w:t>imposter syndrome</w:t>
      </w:r>
      <w:r>
        <w:rPr>
          <w:rFonts w:asciiTheme="majorBidi" w:hAnsiTheme="majorBidi" w:cstheme="majorBidi"/>
          <w:sz w:val="24"/>
          <w:szCs w:val="24"/>
        </w:rPr>
        <w:t>'</w:t>
      </w:r>
      <w:r w:rsidR="00857E4D" w:rsidRPr="00DF26D7">
        <w:rPr>
          <w:rFonts w:asciiTheme="majorBidi" w:hAnsiTheme="majorBidi" w:cstheme="majorBidi"/>
          <w:sz w:val="24"/>
          <w:szCs w:val="24"/>
        </w:rPr>
        <w:t>, institutions or lecturers need to foster a sense of belonging in their students, such that the</w:t>
      </w:r>
      <w:r w:rsidR="003231D9" w:rsidRPr="00DF26D7">
        <w:rPr>
          <w:rFonts w:asciiTheme="majorBidi" w:hAnsiTheme="majorBidi" w:cstheme="majorBidi"/>
          <w:sz w:val="24"/>
          <w:szCs w:val="24"/>
        </w:rPr>
        <w:t xml:space="preserve"> students can</w:t>
      </w:r>
      <w:r w:rsidR="00857E4D" w:rsidRPr="00DF26D7">
        <w:rPr>
          <w:rFonts w:asciiTheme="majorBidi" w:hAnsiTheme="majorBidi" w:cstheme="majorBidi"/>
          <w:sz w:val="24"/>
          <w:szCs w:val="24"/>
        </w:rPr>
        <w:t xml:space="preserve"> feel safe in </w:t>
      </w:r>
      <w:r w:rsidR="00857E4D" w:rsidRPr="00FC7165">
        <w:rPr>
          <w:rFonts w:asciiTheme="majorBidi" w:hAnsiTheme="majorBidi" w:cstheme="majorBidi"/>
          <w:sz w:val="24"/>
          <w:szCs w:val="24"/>
        </w:rPr>
        <w:t xml:space="preserve">engaging </w:t>
      </w:r>
      <w:r w:rsidR="003231D9" w:rsidRPr="00FC7165">
        <w:rPr>
          <w:rFonts w:asciiTheme="majorBidi" w:hAnsiTheme="majorBidi" w:cstheme="majorBidi"/>
          <w:sz w:val="24"/>
          <w:szCs w:val="24"/>
        </w:rPr>
        <w:t>with</w:t>
      </w:r>
      <w:r w:rsidR="00857E4D" w:rsidRPr="00FC7165">
        <w:rPr>
          <w:rFonts w:asciiTheme="majorBidi" w:hAnsiTheme="majorBidi" w:cstheme="majorBidi"/>
          <w:sz w:val="24"/>
          <w:szCs w:val="24"/>
        </w:rPr>
        <w:t xml:space="preserve"> their studies (Bryson </w:t>
      </w:r>
      <w:r>
        <w:rPr>
          <w:rFonts w:asciiTheme="majorBidi" w:hAnsiTheme="majorBidi" w:cstheme="majorBidi"/>
          <w:sz w:val="24"/>
          <w:szCs w:val="24"/>
        </w:rPr>
        <w:t>and</w:t>
      </w:r>
      <w:r w:rsidR="008A46AE" w:rsidRPr="00FC7165">
        <w:rPr>
          <w:rFonts w:asciiTheme="majorBidi" w:hAnsiTheme="majorBidi" w:cstheme="majorBidi"/>
          <w:sz w:val="24"/>
          <w:szCs w:val="24"/>
        </w:rPr>
        <w:t xml:space="preserve"> </w:t>
      </w:r>
      <w:r w:rsidR="00857E4D" w:rsidRPr="00FC7165">
        <w:rPr>
          <w:rFonts w:asciiTheme="majorBidi" w:hAnsiTheme="majorBidi" w:cstheme="majorBidi"/>
          <w:sz w:val="24"/>
          <w:szCs w:val="24"/>
        </w:rPr>
        <w:t>Hand</w:t>
      </w:r>
      <w:r w:rsidR="00E16AE4">
        <w:rPr>
          <w:rFonts w:asciiTheme="majorBidi" w:hAnsiTheme="majorBidi" w:cstheme="majorBidi"/>
          <w:sz w:val="24"/>
          <w:szCs w:val="24"/>
        </w:rPr>
        <w:t xml:space="preserve"> 2007,</w:t>
      </w:r>
      <w:r w:rsidR="00857E4D" w:rsidRPr="00FC7165">
        <w:rPr>
          <w:rFonts w:asciiTheme="majorBidi" w:hAnsiTheme="majorBidi" w:cstheme="majorBidi"/>
          <w:sz w:val="24"/>
          <w:szCs w:val="24"/>
        </w:rPr>
        <w:t xml:space="preserve"> </w:t>
      </w:r>
      <w:proofErr w:type="spellStart"/>
      <w:r w:rsidR="00857E4D" w:rsidRPr="00FC7165">
        <w:rPr>
          <w:rFonts w:asciiTheme="majorBidi" w:hAnsiTheme="majorBidi" w:cstheme="majorBidi"/>
          <w:sz w:val="24"/>
          <w:szCs w:val="24"/>
        </w:rPr>
        <w:t>Kember</w:t>
      </w:r>
      <w:proofErr w:type="spellEnd"/>
      <w:r w:rsidR="008A46AE">
        <w:rPr>
          <w:rFonts w:asciiTheme="majorBidi" w:hAnsiTheme="majorBidi" w:cstheme="majorBidi"/>
          <w:sz w:val="24"/>
          <w:szCs w:val="24"/>
        </w:rPr>
        <w:t xml:space="preserve">, Lee </w:t>
      </w:r>
      <w:r>
        <w:rPr>
          <w:rFonts w:asciiTheme="majorBidi" w:hAnsiTheme="majorBidi" w:cstheme="majorBidi"/>
          <w:sz w:val="24"/>
          <w:szCs w:val="24"/>
        </w:rPr>
        <w:t>and</w:t>
      </w:r>
      <w:r w:rsidR="00E16AE4">
        <w:rPr>
          <w:rFonts w:asciiTheme="majorBidi" w:hAnsiTheme="majorBidi" w:cstheme="majorBidi"/>
          <w:sz w:val="24"/>
          <w:szCs w:val="24"/>
        </w:rPr>
        <w:t xml:space="preserve"> Li</w:t>
      </w:r>
      <w:r w:rsidR="00857E4D" w:rsidRPr="00FC7165">
        <w:rPr>
          <w:rFonts w:asciiTheme="majorBidi" w:hAnsiTheme="majorBidi" w:cstheme="majorBidi"/>
          <w:sz w:val="24"/>
          <w:szCs w:val="24"/>
        </w:rPr>
        <w:t xml:space="preserve"> 2001). </w:t>
      </w:r>
      <w:r w:rsidR="00E16AE4">
        <w:rPr>
          <w:rFonts w:asciiTheme="majorBidi" w:hAnsiTheme="majorBidi" w:cstheme="majorBidi"/>
          <w:sz w:val="24"/>
          <w:szCs w:val="24"/>
        </w:rPr>
        <w:t xml:space="preserve"> </w:t>
      </w:r>
      <w:r w:rsidR="00857E4D" w:rsidRPr="00DF26D7">
        <w:rPr>
          <w:rFonts w:asciiTheme="majorBidi" w:hAnsiTheme="majorBidi" w:cstheme="majorBidi"/>
          <w:sz w:val="24"/>
          <w:szCs w:val="24"/>
        </w:rPr>
        <w:t>Importantly,</w:t>
      </w:r>
      <w:r w:rsidR="00A15C52" w:rsidRPr="00DF26D7">
        <w:rPr>
          <w:rFonts w:asciiTheme="majorBidi" w:hAnsiTheme="majorBidi" w:cstheme="majorBidi"/>
          <w:sz w:val="24"/>
          <w:szCs w:val="24"/>
        </w:rPr>
        <w:t xml:space="preserve"> engagement is not just about the actions of students. As</w:t>
      </w:r>
      <w:r w:rsidR="00857E4D" w:rsidRPr="00DF26D7">
        <w:rPr>
          <w:rFonts w:asciiTheme="majorBidi" w:hAnsiTheme="majorBidi" w:cstheme="majorBidi"/>
          <w:sz w:val="24"/>
          <w:szCs w:val="24"/>
        </w:rPr>
        <w:t xml:space="preserve"> </w:t>
      </w:r>
      <w:proofErr w:type="spellStart"/>
      <w:r w:rsidR="00857E4D" w:rsidRPr="00DF26D7">
        <w:rPr>
          <w:rFonts w:asciiTheme="majorBidi" w:hAnsiTheme="majorBidi" w:cstheme="majorBidi"/>
          <w:sz w:val="24"/>
          <w:szCs w:val="24"/>
        </w:rPr>
        <w:t>Nystrand</w:t>
      </w:r>
      <w:proofErr w:type="spellEnd"/>
      <w:r w:rsidR="00857E4D" w:rsidRPr="00DF26D7">
        <w:rPr>
          <w:rFonts w:asciiTheme="majorBidi" w:hAnsiTheme="majorBidi" w:cstheme="majorBidi"/>
          <w:sz w:val="24"/>
          <w:szCs w:val="24"/>
        </w:rPr>
        <w:t xml:space="preserve"> and </w:t>
      </w:r>
      <w:proofErr w:type="spellStart"/>
      <w:r w:rsidR="00857E4D" w:rsidRPr="00DF26D7">
        <w:rPr>
          <w:rFonts w:asciiTheme="majorBidi" w:hAnsiTheme="majorBidi" w:cstheme="majorBidi"/>
          <w:sz w:val="24"/>
          <w:szCs w:val="24"/>
        </w:rPr>
        <w:t>Gamoran</w:t>
      </w:r>
      <w:proofErr w:type="spellEnd"/>
      <w:r w:rsidR="00857E4D" w:rsidRPr="00DF26D7">
        <w:rPr>
          <w:rFonts w:asciiTheme="majorBidi" w:hAnsiTheme="majorBidi" w:cstheme="majorBidi"/>
          <w:sz w:val="24"/>
          <w:szCs w:val="24"/>
        </w:rPr>
        <w:t xml:space="preserve"> (1991</w:t>
      </w:r>
      <w:r w:rsidR="00CE72A9">
        <w:rPr>
          <w:rFonts w:asciiTheme="majorBidi" w:hAnsiTheme="majorBidi" w:cstheme="majorBidi"/>
          <w:sz w:val="24"/>
          <w:szCs w:val="24"/>
        </w:rPr>
        <w:t>, p.284</w:t>
      </w:r>
      <w:r w:rsidR="00857E4D" w:rsidRPr="00DF26D7">
        <w:rPr>
          <w:rFonts w:asciiTheme="majorBidi" w:hAnsiTheme="majorBidi" w:cstheme="majorBidi"/>
          <w:sz w:val="24"/>
          <w:szCs w:val="24"/>
        </w:rPr>
        <w:t xml:space="preserve">) </w:t>
      </w:r>
      <w:r w:rsidR="00A15C52" w:rsidRPr="00DF26D7">
        <w:rPr>
          <w:rFonts w:asciiTheme="majorBidi" w:hAnsiTheme="majorBidi" w:cstheme="majorBidi"/>
          <w:sz w:val="24"/>
          <w:szCs w:val="24"/>
        </w:rPr>
        <w:t xml:space="preserve">note, </w:t>
      </w:r>
      <w:r w:rsidR="00857E4D" w:rsidRPr="00DF26D7">
        <w:rPr>
          <w:rFonts w:asciiTheme="majorBidi" w:hAnsiTheme="majorBidi" w:cstheme="majorBidi"/>
          <w:sz w:val="24"/>
          <w:szCs w:val="24"/>
        </w:rPr>
        <w:t xml:space="preserve">engagement </w:t>
      </w:r>
      <w:r>
        <w:rPr>
          <w:rFonts w:asciiTheme="majorBidi" w:hAnsiTheme="majorBidi" w:cstheme="majorBidi"/>
          <w:sz w:val="24"/>
          <w:szCs w:val="24"/>
        </w:rPr>
        <w:t>'</w:t>
      </w:r>
      <w:r w:rsidR="00857E4D" w:rsidRPr="00DF26D7">
        <w:rPr>
          <w:rFonts w:asciiTheme="majorBidi" w:hAnsiTheme="majorBidi" w:cstheme="majorBidi"/>
          <w:sz w:val="24"/>
          <w:szCs w:val="24"/>
        </w:rPr>
        <w:t xml:space="preserve">depends on what teachers and </w:t>
      </w:r>
      <w:r w:rsidR="00F13BEE" w:rsidRPr="00DF26D7">
        <w:rPr>
          <w:rFonts w:asciiTheme="majorBidi" w:hAnsiTheme="majorBidi" w:cstheme="majorBidi"/>
          <w:sz w:val="24"/>
          <w:szCs w:val="24"/>
        </w:rPr>
        <w:t>students do together</w:t>
      </w:r>
      <w:r>
        <w:rPr>
          <w:rFonts w:asciiTheme="majorBidi" w:hAnsiTheme="majorBidi" w:cstheme="majorBidi"/>
          <w:sz w:val="24"/>
          <w:szCs w:val="24"/>
        </w:rPr>
        <w:t>'</w:t>
      </w:r>
      <w:r w:rsidR="00F13BEE" w:rsidRPr="00DF26D7">
        <w:rPr>
          <w:rFonts w:asciiTheme="majorBidi" w:hAnsiTheme="majorBidi" w:cstheme="majorBidi"/>
          <w:sz w:val="24"/>
          <w:szCs w:val="24"/>
        </w:rPr>
        <w:t>. Moreover, e</w:t>
      </w:r>
      <w:r w:rsidR="00857E4D" w:rsidRPr="00DF26D7">
        <w:rPr>
          <w:rFonts w:asciiTheme="majorBidi" w:hAnsiTheme="majorBidi" w:cstheme="majorBidi"/>
          <w:sz w:val="24"/>
          <w:szCs w:val="24"/>
        </w:rPr>
        <w:t xml:space="preserve">ngagement is about building a relationship between </w:t>
      </w:r>
      <w:r w:rsidR="00A15C52" w:rsidRPr="00DF26D7">
        <w:rPr>
          <w:rFonts w:asciiTheme="majorBidi" w:hAnsiTheme="majorBidi" w:cstheme="majorBidi"/>
          <w:sz w:val="24"/>
          <w:szCs w:val="24"/>
        </w:rPr>
        <w:t>lecturers</w:t>
      </w:r>
      <w:r w:rsidR="00857E4D" w:rsidRPr="00DF26D7">
        <w:rPr>
          <w:rFonts w:asciiTheme="majorBidi" w:hAnsiTheme="majorBidi" w:cstheme="majorBidi"/>
          <w:sz w:val="24"/>
          <w:szCs w:val="24"/>
        </w:rPr>
        <w:t xml:space="preserve"> and students</w:t>
      </w:r>
      <w:r w:rsidR="003231D9" w:rsidRPr="00DF26D7">
        <w:rPr>
          <w:rFonts w:asciiTheme="majorBidi" w:hAnsiTheme="majorBidi" w:cstheme="majorBidi"/>
          <w:sz w:val="24"/>
          <w:szCs w:val="24"/>
        </w:rPr>
        <w:t xml:space="preserve"> that makes students feel valued </w:t>
      </w:r>
      <w:r>
        <w:rPr>
          <w:rFonts w:asciiTheme="majorBidi" w:hAnsiTheme="majorBidi" w:cstheme="majorBidi"/>
          <w:sz w:val="24"/>
          <w:szCs w:val="24"/>
        </w:rPr>
        <w:t>(</w:t>
      </w:r>
      <w:proofErr w:type="spellStart"/>
      <w:r>
        <w:rPr>
          <w:rFonts w:asciiTheme="majorBidi" w:hAnsiTheme="majorBidi" w:cstheme="majorBidi"/>
          <w:sz w:val="24"/>
          <w:szCs w:val="24"/>
        </w:rPr>
        <w:t>Bruning</w:t>
      </w:r>
      <w:proofErr w:type="spellEnd"/>
      <w:r w:rsidR="00F13BEE" w:rsidRPr="00DF26D7">
        <w:rPr>
          <w:rFonts w:asciiTheme="majorBidi" w:hAnsiTheme="majorBidi" w:cstheme="majorBidi"/>
          <w:sz w:val="24"/>
          <w:szCs w:val="24"/>
        </w:rPr>
        <w:t xml:space="preserve"> 2002).</w:t>
      </w:r>
    </w:p>
    <w:p w14:paraId="045791D6" w14:textId="77777777" w:rsidR="00767C49" w:rsidRPr="00DF26D7" w:rsidRDefault="00767C49" w:rsidP="00F50315">
      <w:pPr>
        <w:tabs>
          <w:tab w:val="left" w:pos="567"/>
        </w:tabs>
        <w:spacing w:after="0" w:line="288" w:lineRule="auto"/>
        <w:ind w:firstLine="720"/>
        <w:jc w:val="both"/>
        <w:rPr>
          <w:rFonts w:asciiTheme="majorBidi" w:hAnsiTheme="majorBidi" w:cstheme="majorBidi"/>
          <w:sz w:val="24"/>
          <w:szCs w:val="24"/>
        </w:rPr>
      </w:pPr>
    </w:p>
    <w:p w14:paraId="76822341" w14:textId="5B11C425" w:rsidR="002B06AA" w:rsidRDefault="00F50315" w:rsidP="00F50315">
      <w:pPr>
        <w:tabs>
          <w:tab w:val="left" w:pos="567"/>
        </w:tabs>
        <w:spacing w:after="0" w:line="288" w:lineRule="auto"/>
        <w:jc w:val="both"/>
        <w:rPr>
          <w:rFonts w:asciiTheme="majorBidi" w:hAnsiTheme="majorBidi" w:cstheme="majorBidi"/>
          <w:sz w:val="24"/>
          <w:szCs w:val="24"/>
        </w:rPr>
      </w:pPr>
      <w:r>
        <w:rPr>
          <w:rFonts w:asciiTheme="majorBidi" w:hAnsiTheme="majorBidi" w:cstheme="majorBidi"/>
          <w:sz w:val="24"/>
          <w:szCs w:val="24"/>
        </w:rPr>
        <w:tab/>
      </w:r>
      <w:r w:rsidR="003231D9" w:rsidRPr="00DF26D7">
        <w:rPr>
          <w:rFonts w:asciiTheme="majorBidi" w:hAnsiTheme="majorBidi" w:cstheme="majorBidi"/>
          <w:sz w:val="24"/>
          <w:szCs w:val="24"/>
        </w:rPr>
        <w:t>The starting point for building relationships</w:t>
      </w:r>
      <w:r w:rsidR="00A15C52" w:rsidRPr="00DF26D7">
        <w:rPr>
          <w:rFonts w:asciiTheme="majorBidi" w:hAnsiTheme="majorBidi" w:cstheme="majorBidi"/>
          <w:sz w:val="24"/>
          <w:szCs w:val="24"/>
        </w:rPr>
        <w:t xml:space="preserve"> between students and lecturers</w:t>
      </w:r>
      <w:r w:rsidR="003231D9" w:rsidRPr="00DF26D7">
        <w:rPr>
          <w:rFonts w:asciiTheme="majorBidi" w:hAnsiTheme="majorBidi" w:cstheme="majorBidi"/>
          <w:sz w:val="24"/>
          <w:szCs w:val="24"/>
        </w:rPr>
        <w:t xml:space="preserve"> is making </w:t>
      </w:r>
      <w:r w:rsidR="00A15C52" w:rsidRPr="00DF26D7">
        <w:rPr>
          <w:rFonts w:asciiTheme="majorBidi" w:hAnsiTheme="majorBidi" w:cstheme="majorBidi"/>
          <w:sz w:val="24"/>
          <w:szCs w:val="24"/>
        </w:rPr>
        <w:t xml:space="preserve">meaningful </w:t>
      </w:r>
      <w:r w:rsidR="003231D9" w:rsidRPr="00DF26D7">
        <w:rPr>
          <w:rFonts w:asciiTheme="majorBidi" w:hAnsiTheme="majorBidi" w:cstheme="majorBidi"/>
          <w:sz w:val="24"/>
          <w:szCs w:val="24"/>
        </w:rPr>
        <w:t>contact with students. For instance, o</w:t>
      </w:r>
      <w:r w:rsidR="002B06AA" w:rsidRPr="00DF26D7">
        <w:rPr>
          <w:rFonts w:asciiTheme="majorBidi" w:hAnsiTheme="majorBidi" w:cstheme="majorBidi"/>
          <w:sz w:val="24"/>
          <w:szCs w:val="24"/>
        </w:rPr>
        <w:t>ne of the responses that Mann</w:t>
      </w:r>
      <w:r w:rsidR="00F13BEE" w:rsidRPr="00DF26D7">
        <w:rPr>
          <w:rFonts w:asciiTheme="majorBidi" w:hAnsiTheme="majorBidi" w:cstheme="majorBidi"/>
          <w:sz w:val="24"/>
          <w:szCs w:val="24"/>
        </w:rPr>
        <w:t xml:space="preserve"> (2001)</w:t>
      </w:r>
      <w:r w:rsidR="002B06AA" w:rsidRPr="00DF26D7">
        <w:rPr>
          <w:rFonts w:asciiTheme="majorBidi" w:hAnsiTheme="majorBidi" w:cstheme="majorBidi"/>
          <w:sz w:val="24"/>
          <w:szCs w:val="24"/>
        </w:rPr>
        <w:t xml:space="preserve"> suggests </w:t>
      </w:r>
      <w:r w:rsidR="00857E4D" w:rsidRPr="00DF26D7">
        <w:rPr>
          <w:rFonts w:asciiTheme="majorBidi" w:hAnsiTheme="majorBidi" w:cstheme="majorBidi"/>
          <w:sz w:val="24"/>
          <w:szCs w:val="24"/>
        </w:rPr>
        <w:t>for dealing with</w:t>
      </w:r>
      <w:r w:rsidR="002B06AA" w:rsidRPr="00DF26D7">
        <w:rPr>
          <w:rFonts w:asciiTheme="majorBidi" w:hAnsiTheme="majorBidi" w:cstheme="majorBidi"/>
          <w:sz w:val="24"/>
          <w:szCs w:val="24"/>
        </w:rPr>
        <w:t xml:space="preserve"> students</w:t>
      </w:r>
      <w:r w:rsidR="003231D9" w:rsidRPr="00DF26D7">
        <w:rPr>
          <w:rFonts w:asciiTheme="majorBidi" w:hAnsiTheme="majorBidi" w:cstheme="majorBidi"/>
          <w:sz w:val="24"/>
          <w:szCs w:val="24"/>
        </w:rPr>
        <w:t>’ feelings of alienation</w:t>
      </w:r>
      <w:r w:rsidR="002B06AA" w:rsidRPr="00DF26D7">
        <w:rPr>
          <w:rFonts w:asciiTheme="majorBidi" w:hAnsiTheme="majorBidi" w:cstheme="majorBidi"/>
          <w:sz w:val="24"/>
          <w:szCs w:val="24"/>
        </w:rPr>
        <w:t xml:space="preserve"> is </w:t>
      </w:r>
      <w:r w:rsidR="00857E4D" w:rsidRPr="00DF26D7">
        <w:rPr>
          <w:rFonts w:asciiTheme="majorBidi" w:hAnsiTheme="majorBidi" w:cstheme="majorBidi"/>
          <w:sz w:val="24"/>
          <w:szCs w:val="24"/>
        </w:rPr>
        <w:t xml:space="preserve">through </w:t>
      </w:r>
      <w:r w:rsidR="002B06AA" w:rsidRPr="00DF26D7">
        <w:rPr>
          <w:rFonts w:asciiTheme="majorBidi" w:hAnsiTheme="majorBidi" w:cstheme="majorBidi"/>
          <w:sz w:val="24"/>
          <w:szCs w:val="24"/>
        </w:rPr>
        <w:t>hospitality:</w:t>
      </w:r>
    </w:p>
    <w:p w14:paraId="2E8261CF" w14:textId="77777777" w:rsidR="00767C49" w:rsidRPr="00DF26D7" w:rsidRDefault="00767C49" w:rsidP="00F50315">
      <w:pPr>
        <w:tabs>
          <w:tab w:val="left" w:pos="567"/>
        </w:tabs>
        <w:spacing w:after="0" w:line="288" w:lineRule="auto"/>
        <w:ind w:firstLine="720"/>
        <w:jc w:val="both"/>
        <w:rPr>
          <w:rFonts w:asciiTheme="majorBidi" w:hAnsiTheme="majorBidi" w:cstheme="majorBidi"/>
          <w:sz w:val="24"/>
          <w:szCs w:val="24"/>
        </w:rPr>
      </w:pPr>
    </w:p>
    <w:p w14:paraId="395AE65D" w14:textId="0E218376" w:rsidR="002B06AA" w:rsidRDefault="00F50315" w:rsidP="00F50315">
      <w:pPr>
        <w:tabs>
          <w:tab w:val="left" w:pos="567"/>
        </w:tabs>
        <w:spacing w:after="0" w:line="288" w:lineRule="auto"/>
        <w:ind w:left="567"/>
        <w:jc w:val="both"/>
        <w:rPr>
          <w:rFonts w:asciiTheme="majorBidi" w:hAnsiTheme="majorBidi" w:cstheme="majorBidi"/>
          <w:sz w:val="24"/>
          <w:szCs w:val="24"/>
        </w:rPr>
      </w:pPr>
      <w:r>
        <w:rPr>
          <w:rFonts w:asciiTheme="majorBidi" w:hAnsiTheme="majorBidi" w:cstheme="majorBidi"/>
          <w:sz w:val="24"/>
          <w:szCs w:val="24"/>
        </w:rPr>
        <w:t>'</w:t>
      </w:r>
      <w:r w:rsidR="002B06AA" w:rsidRPr="00DF26D7">
        <w:rPr>
          <w:rFonts w:asciiTheme="majorBidi" w:hAnsiTheme="majorBidi" w:cstheme="majorBidi"/>
          <w:sz w:val="24"/>
          <w:szCs w:val="24"/>
        </w:rPr>
        <w:t>We can remember to welcome new members of our community and to help them feel at home, as we would any visitor or stranger to our own home. Metaphorically, we can provide shelter and nourishment, maps, recommendations for good places to visit, and translations and explanations of strange customs and language.</w:t>
      </w:r>
      <w:r>
        <w:rPr>
          <w:rFonts w:asciiTheme="majorBidi" w:hAnsiTheme="majorBidi" w:cstheme="majorBidi"/>
          <w:sz w:val="24"/>
          <w:szCs w:val="24"/>
        </w:rPr>
        <w:t>'</w:t>
      </w:r>
      <w:r w:rsidR="002B06AA" w:rsidRPr="00DF26D7">
        <w:rPr>
          <w:rFonts w:asciiTheme="majorBidi" w:hAnsiTheme="majorBidi" w:cstheme="majorBidi"/>
          <w:sz w:val="24"/>
          <w:szCs w:val="24"/>
        </w:rPr>
        <w:t xml:space="preserve"> </w:t>
      </w:r>
      <w:proofErr w:type="gramStart"/>
      <w:r w:rsidR="002B06AA" w:rsidRPr="00DF26D7">
        <w:rPr>
          <w:rFonts w:asciiTheme="majorBidi" w:hAnsiTheme="majorBidi" w:cstheme="majorBidi"/>
          <w:sz w:val="24"/>
          <w:szCs w:val="24"/>
        </w:rPr>
        <w:t>(</w:t>
      </w:r>
      <w:r w:rsidR="00E16AE4">
        <w:rPr>
          <w:rFonts w:asciiTheme="majorBidi" w:hAnsiTheme="majorBidi" w:cstheme="majorBidi"/>
          <w:sz w:val="24"/>
          <w:szCs w:val="24"/>
        </w:rPr>
        <w:t>Mann</w:t>
      </w:r>
      <w:r w:rsidR="00F13BEE" w:rsidRPr="00DF26D7">
        <w:rPr>
          <w:rFonts w:asciiTheme="majorBidi" w:hAnsiTheme="majorBidi" w:cstheme="majorBidi"/>
          <w:sz w:val="24"/>
          <w:szCs w:val="24"/>
        </w:rPr>
        <w:t xml:space="preserve"> 2001, </w:t>
      </w:r>
      <w:r w:rsidR="00E16AE4">
        <w:rPr>
          <w:rFonts w:asciiTheme="majorBidi" w:hAnsiTheme="majorBidi" w:cstheme="majorBidi"/>
          <w:sz w:val="24"/>
          <w:szCs w:val="24"/>
        </w:rPr>
        <w:t>p.</w:t>
      </w:r>
      <w:r w:rsidR="002B06AA" w:rsidRPr="00DF26D7">
        <w:rPr>
          <w:rFonts w:asciiTheme="majorBidi" w:hAnsiTheme="majorBidi" w:cstheme="majorBidi"/>
          <w:sz w:val="24"/>
          <w:szCs w:val="24"/>
        </w:rPr>
        <w:t>17).</w:t>
      </w:r>
      <w:proofErr w:type="gramEnd"/>
    </w:p>
    <w:p w14:paraId="5AEF1C56" w14:textId="77777777" w:rsidR="00767C49" w:rsidRPr="00DF26D7" w:rsidRDefault="00767C49" w:rsidP="00F50315">
      <w:pPr>
        <w:tabs>
          <w:tab w:val="left" w:pos="567"/>
        </w:tabs>
        <w:spacing w:after="0" w:line="288" w:lineRule="auto"/>
        <w:ind w:left="720"/>
        <w:jc w:val="both"/>
        <w:rPr>
          <w:rFonts w:asciiTheme="majorBidi" w:hAnsiTheme="majorBidi" w:cstheme="majorBidi"/>
          <w:sz w:val="24"/>
          <w:szCs w:val="24"/>
        </w:rPr>
      </w:pPr>
    </w:p>
    <w:p w14:paraId="51404921" w14:textId="36BD0781" w:rsidR="002B06AA" w:rsidRDefault="00C62433" w:rsidP="00F50315">
      <w:pPr>
        <w:tabs>
          <w:tab w:val="left" w:pos="567"/>
        </w:tabs>
        <w:spacing w:after="0" w:line="288" w:lineRule="auto"/>
        <w:ind w:firstLine="567"/>
        <w:jc w:val="both"/>
        <w:rPr>
          <w:rFonts w:asciiTheme="majorBidi" w:hAnsiTheme="majorBidi" w:cstheme="majorBidi"/>
          <w:sz w:val="24"/>
          <w:szCs w:val="24"/>
        </w:rPr>
      </w:pPr>
      <w:r w:rsidRPr="00DF26D7">
        <w:rPr>
          <w:rFonts w:asciiTheme="majorBidi" w:hAnsiTheme="majorBidi" w:cstheme="majorBidi"/>
          <w:sz w:val="24"/>
          <w:szCs w:val="24"/>
        </w:rPr>
        <w:t>Our</w:t>
      </w:r>
      <w:r w:rsidR="003231D9" w:rsidRPr="00DF26D7">
        <w:rPr>
          <w:rFonts w:asciiTheme="majorBidi" w:hAnsiTheme="majorBidi" w:cstheme="majorBidi"/>
          <w:sz w:val="24"/>
          <w:szCs w:val="24"/>
        </w:rPr>
        <w:t xml:space="preserve"> proactive pastoral care initiative is based on a simple principle of making students feel valued and </w:t>
      </w:r>
      <w:r w:rsidR="00F13BEE" w:rsidRPr="00DF26D7">
        <w:rPr>
          <w:rFonts w:asciiTheme="majorBidi" w:hAnsiTheme="majorBidi" w:cstheme="majorBidi"/>
          <w:sz w:val="24"/>
          <w:szCs w:val="24"/>
        </w:rPr>
        <w:t xml:space="preserve">develop </w:t>
      </w:r>
      <w:r w:rsidR="003231D9" w:rsidRPr="00DF26D7">
        <w:rPr>
          <w:rFonts w:asciiTheme="majorBidi" w:hAnsiTheme="majorBidi" w:cstheme="majorBidi"/>
          <w:sz w:val="24"/>
          <w:szCs w:val="24"/>
        </w:rPr>
        <w:t>a sense of belonging, through establishing a connection between the student and staff (or a senior student).</w:t>
      </w:r>
      <w:r w:rsidR="00A15C52" w:rsidRPr="00DF26D7">
        <w:rPr>
          <w:rFonts w:asciiTheme="majorBidi" w:hAnsiTheme="majorBidi" w:cstheme="majorBidi"/>
          <w:sz w:val="24"/>
          <w:szCs w:val="24"/>
        </w:rPr>
        <w:t xml:space="preserve"> Our initiative (described in more detail below) starts with a simple personalised email to check in on students</w:t>
      </w:r>
      <w:r w:rsidR="00F13BEE" w:rsidRPr="00DF26D7">
        <w:rPr>
          <w:rFonts w:asciiTheme="majorBidi" w:hAnsiTheme="majorBidi" w:cstheme="majorBidi"/>
          <w:sz w:val="24"/>
          <w:szCs w:val="24"/>
        </w:rPr>
        <w:t xml:space="preserve"> who we have identified as being high-risk</w:t>
      </w:r>
      <w:r w:rsidR="00A15C52" w:rsidRPr="00DF26D7">
        <w:rPr>
          <w:rFonts w:asciiTheme="majorBidi" w:hAnsiTheme="majorBidi" w:cstheme="majorBidi"/>
          <w:sz w:val="24"/>
          <w:szCs w:val="24"/>
        </w:rPr>
        <w:t>.</w:t>
      </w:r>
      <w:r w:rsidR="003231D9" w:rsidRPr="00DF26D7">
        <w:rPr>
          <w:rFonts w:asciiTheme="majorBidi" w:hAnsiTheme="majorBidi" w:cstheme="majorBidi"/>
          <w:sz w:val="24"/>
          <w:szCs w:val="24"/>
        </w:rPr>
        <w:t xml:space="preserve"> Basic strategies such as </w:t>
      </w:r>
      <w:r w:rsidR="00A15C52" w:rsidRPr="00DF26D7">
        <w:rPr>
          <w:rFonts w:asciiTheme="majorBidi" w:hAnsiTheme="majorBidi" w:cstheme="majorBidi"/>
          <w:sz w:val="24"/>
          <w:szCs w:val="24"/>
        </w:rPr>
        <w:t xml:space="preserve">simply establishing a line of communication with the student </w:t>
      </w:r>
      <w:r w:rsidR="003231D9" w:rsidRPr="00DF26D7">
        <w:rPr>
          <w:rFonts w:asciiTheme="majorBidi" w:hAnsiTheme="majorBidi" w:cstheme="majorBidi"/>
          <w:sz w:val="24"/>
          <w:szCs w:val="24"/>
        </w:rPr>
        <w:t xml:space="preserve">may be all that is required to increase student retention </w:t>
      </w:r>
      <w:r w:rsidR="003231D9" w:rsidRPr="00FC7165">
        <w:rPr>
          <w:rFonts w:asciiTheme="majorBidi" w:hAnsiTheme="majorBidi" w:cstheme="majorBidi"/>
          <w:sz w:val="24"/>
          <w:szCs w:val="24"/>
        </w:rPr>
        <w:t xml:space="preserve">(Berger </w:t>
      </w:r>
      <w:r w:rsidR="00F50315">
        <w:rPr>
          <w:rFonts w:asciiTheme="majorBidi" w:hAnsiTheme="majorBidi" w:cstheme="majorBidi"/>
          <w:sz w:val="24"/>
          <w:szCs w:val="24"/>
        </w:rPr>
        <w:t>and</w:t>
      </w:r>
      <w:r w:rsidR="000C28A8" w:rsidRPr="00FC7165">
        <w:rPr>
          <w:rFonts w:asciiTheme="majorBidi" w:hAnsiTheme="majorBidi" w:cstheme="majorBidi"/>
          <w:sz w:val="24"/>
          <w:szCs w:val="24"/>
        </w:rPr>
        <w:t xml:space="preserve"> </w:t>
      </w:r>
      <w:r w:rsidR="003231D9" w:rsidRPr="00FC7165">
        <w:rPr>
          <w:rFonts w:asciiTheme="majorBidi" w:hAnsiTheme="majorBidi" w:cstheme="majorBidi"/>
          <w:sz w:val="24"/>
          <w:szCs w:val="24"/>
        </w:rPr>
        <w:t>Braxton 1998</w:t>
      </w:r>
      <w:r w:rsidR="003231D9" w:rsidRPr="00DF26D7">
        <w:rPr>
          <w:rFonts w:asciiTheme="majorBidi" w:hAnsiTheme="majorBidi" w:cstheme="majorBidi"/>
          <w:sz w:val="24"/>
          <w:szCs w:val="24"/>
        </w:rPr>
        <w:t>).</w:t>
      </w:r>
      <w:r w:rsidR="00A15C52" w:rsidRPr="00DF26D7">
        <w:rPr>
          <w:rFonts w:asciiTheme="majorBidi" w:hAnsiTheme="majorBidi" w:cstheme="majorBidi"/>
          <w:sz w:val="24"/>
          <w:szCs w:val="24"/>
        </w:rPr>
        <w:t xml:space="preserve"> At the very least it demonstrates a willingness to follow up on the student and may make the student feel valued, rather than </w:t>
      </w:r>
      <w:r w:rsidR="00F13BEE" w:rsidRPr="00DF26D7">
        <w:rPr>
          <w:rFonts w:asciiTheme="majorBidi" w:hAnsiTheme="majorBidi" w:cstheme="majorBidi"/>
          <w:sz w:val="24"/>
          <w:szCs w:val="24"/>
        </w:rPr>
        <w:t xml:space="preserve">their </w:t>
      </w:r>
      <w:r w:rsidR="00A15C52" w:rsidRPr="00DF26D7">
        <w:rPr>
          <w:rFonts w:asciiTheme="majorBidi" w:hAnsiTheme="majorBidi" w:cstheme="majorBidi"/>
          <w:sz w:val="24"/>
          <w:szCs w:val="24"/>
        </w:rPr>
        <w:t>simply</w:t>
      </w:r>
      <w:r w:rsidR="00F13BEE" w:rsidRPr="00DF26D7">
        <w:rPr>
          <w:rFonts w:asciiTheme="majorBidi" w:hAnsiTheme="majorBidi" w:cstheme="majorBidi"/>
          <w:sz w:val="24"/>
          <w:szCs w:val="24"/>
        </w:rPr>
        <w:t xml:space="preserve"> being</w:t>
      </w:r>
      <w:r w:rsidR="00A15C52" w:rsidRPr="00DF26D7">
        <w:rPr>
          <w:rFonts w:asciiTheme="majorBidi" w:hAnsiTheme="majorBidi" w:cstheme="majorBidi"/>
          <w:sz w:val="24"/>
          <w:szCs w:val="24"/>
        </w:rPr>
        <w:t xml:space="preserve"> another face in the crowd of a large lecture theatre. Nurturing a relationship between the student and the lecturer or the institution is critical.</w:t>
      </w:r>
      <w:r w:rsidR="003231D9" w:rsidRPr="00DF26D7">
        <w:rPr>
          <w:rFonts w:asciiTheme="majorBidi" w:hAnsiTheme="majorBidi" w:cstheme="majorBidi"/>
          <w:sz w:val="24"/>
          <w:szCs w:val="24"/>
        </w:rPr>
        <w:t xml:space="preserve"> </w:t>
      </w:r>
      <w:proofErr w:type="spellStart"/>
      <w:r w:rsidR="003231D9" w:rsidRPr="00DF26D7">
        <w:rPr>
          <w:rFonts w:asciiTheme="majorBidi" w:hAnsiTheme="majorBidi" w:cstheme="majorBidi"/>
          <w:sz w:val="24"/>
          <w:szCs w:val="24"/>
        </w:rPr>
        <w:t>Kahu</w:t>
      </w:r>
      <w:proofErr w:type="spellEnd"/>
      <w:r w:rsidR="003231D9" w:rsidRPr="00DF26D7">
        <w:rPr>
          <w:rFonts w:asciiTheme="majorBidi" w:hAnsiTheme="majorBidi" w:cstheme="majorBidi"/>
          <w:sz w:val="24"/>
          <w:szCs w:val="24"/>
        </w:rPr>
        <w:t xml:space="preserve"> (2013) notes that good relationships foster student engagement, which in turn leads to better grades and motivates students to </w:t>
      </w:r>
      <w:r w:rsidR="00A15C52" w:rsidRPr="00DF26D7">
        <w:rPr>
          <w:rFonts w:asciiTheme="majorBidi" w:hAnsiTheme="majorBidi" w:cstheme="majorBidi"/>
          <w:sz w:val="24"/>
          <w:szCs w:val="24"/>
        </w:rPr>
        <w:t>participate</w:t>
      </w:r>
      <w:r w:rsidR="003231D9" w:rsidRPr="00DF26D7">
        <w:rPr>
          <w:rFonts w:asciiTheme="majorBidi" w:hAnsiTheme="majorBidi" w:cstheme="majorBidi"/>
          <w:sz w:val="24"/>
          <w:szCs w:val="24"/>
        </w:rPr>
        <w:t>. Finn (1993) argues similarly</w:t>
      </w:r>
      <w:r w:rsidR="00EC2C26" w:rsidRPr="00DF26D7">
        <w:rPr>
          <w:rFonts w:asciiTheme="majorBidi" w:hAnsiTheme="majorBidi" w:cstheme="majorBidi"/>
          <w:sz w:val="24"/>
          <w:szCs w:val="24"/>
        </w:rPr>
        <w:t>, albeit beginning at the primary school level,</w:t>
      </w:r>
      <w:r w:rsidR="003231D9" w:rsidRPr="00DF26D7">
        <w:rPr>
          <w:rFonts w:asciiTheme="majorBidi" w:hAnsiTheme="majorBidi" w:cstheme="majorBidi"/>
          <w:sz w:val="24"/>
          <w:szCs w:val="24"/>
        </w:rPr>
        <w:t xml:space="preserve"> that participation in classroom and other activities can initiate a virtuous cycle of increased belongingness and more participation. </w:t>
      </w:r>
    </w:p>
    <w:p w14:paraId="221EFCCA" w14:textId="77777777" w:rsidR="00767C49" w:rsidRPr="00DF26D7" w:rsidRDefault="00767C49" w:rsidP="00F50315">
      <w:pPr>
        <w:tabs>
          <w:tab w:val="left" w:pos="567"/>
        </w:tabs>
        <w:spacing w:after="0" w:line="288" w:lineRule="auto"/>
        <w:ind w:firstLine="720"/>
        <w:jc w:val="both"/>
        <w:rPr>
          <w:rFonts w:asciiTheme="majorBidi" w:hAnsiTheme="majorBidi" w:cstheme="majorBidi"/>
          <w:sz w:val="24"/>
          <w:szCs w:val="24"/>
        </w:rPr>
      </w:pPr>
    </w:p>
    <w:p w14:paraId="4ED78421" w14:textId="0226AC9B" w:rsidR="00A25F96" w:rsidRDefault="00A15C52" w:rsidP="00F50315">
      <w:pPr>
        <w:tabs>
          <w:tab w:val="left" w:pos="567"/>
        </w:tabs>
        <w:spacing w:after="0" w:line="288" w:lineRule="auto"/>
        <w:ind w:firstLine="567"/>
        <w:jc w:val="both"/>
        <w:rPr>
          <w:rFonts w:asciiTheme="majorBidi" w:hAnsiTheme="majorBidi" w:cstheme="majorBidi"/>
          <w:sz w:val="24"/>
          <w:szCs w:val="24"/>
        </w:rPr>
      </w:pPr>
      <w:r w:rsidRPr="00DF26D7">
        <w:rPr>
          <w:rFonts w:asciiTheme="majorBidi" w:hAnsiTheme="majorBidi" w:cstheme="majorBidi"/>
          <w:sz w:val="24"/>
          <w:szCs w:val="24"/>
        </w:rPr>
        <w:t>Pastoral care work</w:t>
      </w:r>
      <w:r w:rsidR="00C62433" w:rsidRPr="00DF26D7">
        <w:rPr>
          <w:rFonts w:asciiTheme="majorBidi" w:hAnsiTheme="majorBidi" w:cstheme="majorBidi"/>
          <w:sz w:val="24"/>
          <w:szCs w:val="24"/>
        </w:rPr>
        <w:t>s</w:t>
      </w:r>
      <w:r w:rsidRPr="00DF26D7">
        <w:rPr>
          <w:rFonts w:asciiTheme="majorBidi" w:hAnsiTheme="majorBidi" w:cstheme="majorBidi"/>
          <w:sz w:val="24"/>
          <w:szCs w:val="24"/>
        </w:rPr>
        <w:t xml:space="preserve"> best when it is directed at the ‘right’ students, </w:t>
      </w:r>
      <w:r w:rsidR="00F50315">
        <w:rPr>
          <w:rFonts w:asciiTheme="majorBidi" w:hAnsiTheme="majorBidi" w:cstheme="majorBidi"/>
          <w:sz w:val="24"/>
          <w:szCs w:val="24"/>
        </w:rPr>
        <w:t>that is,</w:t>
      </w:r>
      <w:r w:rsidRPr="00DF26D7">
        <w:rPr>
          <w:rFonts w:asciiTheme="majorBidi" w:hAnsiTheme="majorBidi" w:cstheme="majorBidi"/>
          <w:sz w:val="24"/>
          <w:szCs w:val="24"/>
        </w:rPr>
        <w:t xml:space="preserve"> those that are in most need of assistance. However, i</w:t>
      </w:r>
      <w:r w:rsidR="00A25F96" w:rsidRPr="00DF26D7">
        <w:rPr>
          <w:rFonts w:asciiTheme="majorBidi" w:hAnsiTheme="majorBidi" w:cstheme="majorBidi"/>
          <w:sz w:val="24"/>
          <w:szCs w:val="24"/>
        </w:rPr>
        <w:t xml:space="preserve">dentifying students likely to fail a course is not easy, especially in a large introductory level paper where most students are likely to be unknown to the </w:t>
      </w:r>
      <w:proofErr w:type="gramStart"/>
      <w:r w:rsidR="00A25F96" w:rsidRPr="00DF26D7">
        <w:rPr>
          <w:rFonts w:asciiTheme="majorBidi" w:hAnsiTheme="majorBidi" w:cstheme="majorBidi"/>
          <w:sz w:val="24"/>
          <w:szCs w:val="24"/>
        </w:rPr>
        <w:t>lecturers,</w:t>
      </w:r>
      <w:proofErr w:type="gramEnd"/>
      <w:r w:rsidR="00A25F96" w:rsidRPr="00DF26D7">
        <w:rPr>
          <w:rFonts w:asciiTheme="majorBidi" w:hAnsiTheme="majorBidi" w:cstheme="majorBidi"/>
          <w:sz w:val="24"/>
          <w:szCs w:val="24"/>
        </w:rPr>
        <w:t xml:space="preserve"> </w:t>
      </w:r>
      <w:r w:rsidR="0062512D" w:rsidRPr="00DF26D7">
        <w:rPr>
          <w:rFonts w:asciiTheme="majorBidi" w:hAnsiTheme="majorBidi" w:cstheme="majorBidi"/>
          <w:sz w:val="24"/>
          <w:szCs w:val="24"/>
        </w:rPr>
        <w:t xml:space="preserve">and </w:t>
      </w:r>
      <w:r w:rsidR="00A25F96" w:rsidRPr="00DF26D7">
        <w:rPr>
          <w:rFonts w:asciiTheme="majorBidi" w:hAnsiTheme="majorBidi" w:cstheme="majorBidi"/>
          <w:sz w:val="24"/>
          <w:szCs w:val="24"/>
        </w:rPr>
        <w:t xml:space="preserve">especially early in the course when intervention would be most effective. Moreover, it is almost impossible for lecturers to effectively monitor individual student attendance in large lecture settings. It is even harder to identify students at significant risk of failure prior to substantial pieces of assessment being undertaken. Waiting until the first substantial piece of assessment, which may be a mid-term test, assignment or essay, risks leaving the identification too late for effective intervention. Poor performance in substantial pieces of assessment may discourage students from continuing with the course, or lead students to believe that they are incapable of doing well in the course and thus reduce their </w:t>
      </w:r>
      <w:r w:rsidR="00A25F96" w:rsidRPr="00DF26D7">
        <w:rPr>
          <w:rFonts w:asciiTheme="majorBidi" w:hAnsiTheme="majorBidi" w:cstheme="majorBidi"/>
          <w:sz w:val="24"/>
          <w:szCs w:val="24"/>
        </w:rPr>
        <w:lastRenderedPageBreak/>
        <w:t>effort in order to concentrate on other courses where they feel they have a greater chance of success. This inevitably leads to reduced chances of success in the course.</w:t>
      </w:r>
      <w:r w:rsidR="00F13BEE" w:rsidRPr="00DF26D7">
        <w:rPr>
          <w:rFonts w:asciiTheme="majorBidi" w:hAnsiTheme="majorBidi" w:cstheme="majorBidi"/>
          <w:sz w:val="24"/>
          <w:szCs w:val="24"/>
        </w:rPr>
        <w:t xml:space="preserve"> Our proactive pastoral care initiative (described below) ensures that intervention can be made early in the semester, before substantial items of assessment fall due.</w:t>
      </w:r>
    </w:p>
    <w:p w14:paraId="19D49A4A" w14:textId="77777777" w:rsidR="00767C49" w:rsidRPr="00DF26D7" w:rsidRDefault="00767C49" w:rsidP="00F50315">
      <w:pPr>
        <w:tabs>
          <w:tab w:val="left" w:pos="567"/>
        </w:tabs>
        <w:spacing w:after="0" w:line="288" w:lineRule="auto"/>
        <w:ind w:firstLine="720"/>
        <w:jc w:val="both"/>
        <w:rPr>
          <w:rFonts w:asciiTheme="majorBidi" w:hAnsiTheme="majorBidi" w:cstheme="majorBidi"/>
          <w:sz w:val="24"/>
          <w:szCs w:val="24"/>
        </w:rPr>
      </w:pPr>
    </w:p>
    <w:p w14:paraId="3CF4D3D5" w14:textId="0DB65A30" w:rsidR="00494091" w:rsidRDefault="000A4C3F" w:rsidP="00F50315">
      <w:pPr>
        <w:tabs>
          <w:tab w:val="left" w:pos="567"/>
        </w:tabs>
        <w:spacing w:after="0" w:line="288" w:lineRule="auto"/>
        <w:ind w:firstLine="567"/>
        <w:jc w:val="both"/>
        <w:rPr>
          <w:rFonts w:asciiTheme="majorBidi" w:hAnsiTheme="majorBidi" w:cstheme="majorBidi"/>
          <w:sz w:val="24"/>
          <w:szCs w:val="24"/>
        </w:rPr>
      </w:pPr>
      <w:r w:rsidRPr="00DF26D7">
        <w:rPr>
          <w:rFonts w:asciiTheme="majorBidi" w:hAnsiTheme="majorBidi" w:cstheme="majorBidi"/>
          <w:sz w:val="24"/>
          <w:szCs w:val="24"/>
        </w:rPr>
        <w:t>In this paper, w</w:t>
      </w:r>
      <w:r w:rsidR="00FD0691" w:rsidRPr="00DF26D7">
        <w:rPr>
          <w:rFonts w:asciiTheme="majorBidi" w:hAnsiTheme="majorBidi" w:cstheme="majorBidi"/>
          <w:sz w:val="24"/>
          <w:szCs w:val="24"/>
        </w:rPr>
        <w:t xml:space="preserve">e report on an innovative </w:t>
      </w:r>
      <w:r w:rsidRPr="00DF26D7">
        <w:rPr>
          <w:rFonts w:asciiTheme="majorBidi" w:hAnsiTheme="majorBidi" w:cstheme="majorBidi"/>
          <w:sz w:val="24"/>
          <w:szCs w:val="24"/>
        </w:rPr>
        <w:t>experiment</w:t>
      </w:r>
      <w:r w:rsidR="00FD0691" w:rsidRPr="00DF26D7">
        <w:rPr>
          <w:rFonts w:asciiTheme="majorBidi" w:hAnsiTheme="majorBidi" w:cstheme="majorBidi"/>
          <w:sz w:val="24"/>
          <w:szCs w:val="24"/>
        </w:rPr>
        <w:t xml:space="preserve"> to imp</w:t>
      </w:r>
      <w:r w:rsidR="00BE5463" w:rsidRPr="00DF26D7">
        <w:rPr>
          <w:rFonts w:asciiTheme="majorBidi" w:hAnsiTheme="majorBidi" w:cstheme="majorBidi"/>
          <w:sz w:val="24"/>
          <w:szCs w:val="24"/>
        </w:rPr>
        <w:t>ro</w:t>
      </w:r>
      <w:r w:rsidR="00FD0691" w:rsidRPr="00DF26D7">
        <w:rPr>
          <w:rFonts w:asciiTheme="majorBidi" w:hAnsiTheme="majorBidi" w:cstheme="majorBidi"/>
          <w:sz w:val="24"/>
          <w:szCs w:val="24"/>
        </w:rPr>
        <w:t>v</w:t>
      </w:r>
      <w:r w:rsidRPr="00DF26D7">
        <w:rPr>
          <w:rFonts w:asciiTheme="majorBidi" w:hAnsiTheme="majorBidi" w:cstheme="majorBidi"/>
          <w:sz w:val="24"/>
          <w:szCs w:val="24"/>
        </w:rPr>
        <w:t>e</w:t>
      </w:r>
      <w:r w:rsidR="00FD0691" w:rsidRPr="00DF26D7">
        <w:rPr>
          <w:rFonts w:asciiTheme="majorBidi" w:hAnsiTheme="majorBidi" w:cstheme="majorBidi"/>
          <w:sz w:val="24"/>
          <w:szCs w:val="24"/>
        </w:rPr>
        <w:t xml:space="preserve"> student performance</w:t>
      </w:r>
      <w:r w:rsidRPr="00DF26D7">
        <w:rPr>
          <w:rFonts w:asciiTheme="majorBidi" w:hAnsiTheme="majorBidi" w:cstheme="majorBidi"/>
          <w:sz w:val="24"/>
          <w:szCs w:val="24"/>
        </w:rPr>
        <w:t xml:space="preserve"> in a fairly large (approximately 300 students) first year university course in economics. Specifically, we implement a randomised controlled trial (RCT) of a proactive pastoral care </w:t>
      </w:r>
      <w:r w:rsidR="00F13BEE" w:rsidRPr="00DF26D7">
        <w:rPr>
          <w:rFonts w:asciiTheme="majorBidi" w:hAnsiTheme="majorBidi" w:cstheme="majorBidi"/>
          <w:sz w:val="24"/>
          <w:szCs w:val="24"/>
        </w:rPr>
        <w:t>intervention</w:t>
      </w:r>
      <w:r w:rsidRPr="00DF26D7">
        <w:rPr>
          <w:rFonts w:asciiTheme="majorBidi" w:hAnsiTheme="majorBidi" w:cstheme="majorBidi"/>
          <w:sz w:val="24"/>
          <w:szCs w:val="24"/>
        </w:rPr>
        <w:t xml:space="preserve"> within this course, </w:t>
      </w:r>
      <w:proofErr w:type="gramStart"/>
      <w:r w:rsidRPr="00DF26D7">
        <w:rPr>
          <w:rFonts w:asciiTheme="majorBidi" w:hAnsiTheme="majorBidi" w:cstheme="majorBidi"/>
          <w:sz w:val="24"/>
          <w:szCs w:val="24"/>
        </w:rPr>
        <w:t>then</w:t>
      </w:r>
      <w:proofErr w:type="gramEnd"/>
      <w:r w:rsidRPr="00DF26D7">
        <w:rPr>
          <w:rFonts w:asciiTheme="majorBidi" w:hAnsiTheme="majorBidi" w:cstheme="majorBidi"/>
          <w:sz w:val="24"/>
          <w:szCs w:val="24"/>
        </w:rPr>
        <w:t xml:space="preserve"> evaluate its effectiveness in terms of the</w:t>
      </w:r>
      <w:r w:rsidR="00BE5463" w:rsidRPr="00DF26D7">
        <w:rPr>
          <w:rFonts w:asciiTheme="majorBidi" w:hAnsiTheme="majorBidi" w:cstheme="majorBidi"/>
          <w:sz w:val="24"/>
          <w:szCs w:val="24"/>
        </w:rPr>
        <w:t xml:space="preserve"> successful completion of </w:t>
      </w:r>
      <w:r w:rsidRPr="00DF26D7">
        <w:rPr>
          <w:rFonts w:asciiTheme="majorBidi" w:hAnsiTheme="majorBidi" w:cstheme="majorBidi"/>
          <w:sz w:val="24"/>
          <w:szCs w:val="24"/>
        </w:rPr>
        <w:t>the course (i.e. the pass rate)</w:t>
      </w:r>
      <w:r w:rsidR="00BE5463" w:rsidRPr="00DF26D7">
        <w:rPr>
          <w:rFonts w:asciiTheme="majorBidi" w:hAnsiTheme="majorBidi" w:cstheme="majorBidi"/>
          <w:sz w:val="24"/>
          <w:szCs w:val="24"/>
        </w:rPr>
        <w:t>.</w:t>
      </w:r>
      <w:r w:rsidR="00FD0691" w:rsidRPr="00DF26D7">
        <w:rPr>
          <w:rFonts w:asciiTheme="majorBidi" w:hAnsiTheme="majorBidi" w:cstheme="majorBidi"/>
          <w:sz w:val="24"/>
          <w:szCs w:val="24"/>
        </w:rPr>
        <w:t xml:space="preserve"> </w:t>
      </w:r>
      <w:r w:rsidR="00494091" w:rsidRPr="00DF26D7">
        <w:rPr>
          <w:rFonts w:asciiTheme="majorBidi" w:hAnsiTheme="majorBidi" w:cstheme="majorBidi"/>
          <w:sz w:val="24"/>
          <w:szCs w:val="24"/>
        </w:rPr>
        <w:t>To avoid the issues associated with student self-referral to learning support services, students</w:t>
      </w:r>
      <w:r w:rsidRPr="00DF26D7">
        <w:rPr>
          <w:rFonts w:asciiTheme="majorBidi" w:hAnsiTheme="majorBidi" w:cstheme="majorBidi"/>
          <w:sz w:val="24"/>
          <w:szCs w:val="24"/>
        </w:rPr>
        <w:t xml:space="preserve"> at high risk of failure are identified early in the course</w:t>
      </w:r>
      <w:r w:rsidR="00F13BEE" w:rsidRPr="00DF26D7">
        <w:rPr>
          <w:rFonts w:asciiTheme="majorBidi" w:hAnsiTheme="majorBidi" w:cstheme="majorBidi"/>
          <w:sz w:val="24"/>
          <w:szCs w:val="24"/>
        </w:rPr>
        <w:t>. We</w:t>
      </w:r>
      <w:r w:rsidRPr="00DF26D7">
        <w:rPr>
          <w:rFonts w:asciiTheme="majorBidi" w:hAnsiTheme="majorBidi" w:cstheme="majorBidi"/>
          <w:sz w:val="24"/>
          <w:szCs w:val="24"/>
        </w:rPr>
        <w:t xml:space="preserve"> then randomly assigned </w:t>
      </w:r>
      <w:r w:rsidR="000E491D" w:rsidRPr="00DF26D7">
        <w:rPr>
          <w:rFonts w:asciiTheme="majorBidi" w:hAnsiTheme="majorBidi" w:cstheme="majorBidi"/>
          <w:sz w:val="24"/>
          <w:szCs w:val="24"/>
        </w:rPr>
        <w:t xml:space="preserve">them </w:t>
      </w:r>
      <w:r w:rsidRPr="00DF26D7">
        <w:rPr>
          <w:rFonts w:asciiTheme="majorBidi" w:hAnsiTheme="majorBidi" w:cstheme="majorBidi"/>
          <w:sz w:val="24"/>
          <w:szCs w:val="24"/>
        </w:rPr>
        <w:t>to one of two treatment groups, or to a control group</w:t>
      </w:r>
      <w:r w:rsidR="00F13BEE" w:rsidRPr="00DF26D7">
        <w:rPr>
          <w:rFonts w:asciiTheme="majorBidi" w:hAnsiTheme="majorBidi" w:cstheme="majorBidi"/>
          <w:sz w:val="24"/>
          <w:szCs w:val="24"/>
        </w:rPr>
        <w:t>, in order to evaluate the impact of the intervention</w:t>
      </w:r>
      <w:r w:rsidRPr="00DF26D7">
        <w:rPr>
          <w:rFonts w:asciiTheme="majorBidi" w:hAnsiTheme="majorBidi" w:cstheme="majorBidi"/>
          <w:sz w:val="24"/>
          <w:szCs w:val="24"/>
        </w:rPr>
        <w:t>.</w:t>
      </w:r>
      <w:r w:rsidR="00494091" w:rsidRPr="00DF26D7">
        <w:rPr>
          <w:rFonts w:asciiTheme="majorBidi" w:hAnsiTheme="majorBidi" w:cstheme="majorBidi"/>
          <w:sz w:val="24"/>
          <w:szCs w:val="24"/>
        </w:rPr>
        <w:t xml:space="preserve"> </w:t>
      </w:r>
    </w:p>
    <w:p w14:paraId="0C2FD89C" w14:textId="77777777" w:rsidR="00767C49" w:rsidRDefault="00767C49" w:rsidP="00F50315">
      <w:pPr>
        <w:tabs>
          <w:tab w:val="left" w:pos="567"/>
        </w:tabs>
        <w:spacing w:after="0" w:line="288" w:lineRule="auto"/>
        <w:ind w:firstLine="720"/>
        <w:jc w:val="both"/>
        <w:rPr>
          <w:rFonts w:asciiTheme="majorBidi" w:hAnsiTheme="majorBidi" w:cstheme="majorBidi"/>
          <w:sz w:val="24"/>
          <w:szCs w:val="24"/>
        </w:rPr>
      </w:pPr>
    </w:p>
    <w:p w14:paraId="15E3AAD6" w14:textId="77777777" w:rsidR="00E011EE" w:rsidRPr="00F50315" w:rsidRDefault="00E011EE" w:rsidP="00F50315">
      <w:pPr>
        <w:tabs>
          <w:tab w:val="left" w:pos="567"/>
        </w:tabs>
        <w:spacing w:after="0" w:line="288" w:lineRule="auto"/>
        <w:ind w:firstLine="720"/>
        <w:jc w:val="both"/>
        <w:rPr>
          <w:rFonts w:asciiTheme="majorBidi" w:hAnsiTheme="majorBidi" w:cstheme="majorBidi"/>
          <w:sz w:val="24"/>
          <w:szCs w:val="24"/>
        </w:rPr>
      </w:pPr>
    </w:p>
    <w:p w14:paraId="176F7729" w14:textId="20B869DD" w:rsidR="00517A54" w:rsidRDefault="00F50315" w:rsidP="00F50315">
      <w:pPr>
        <w:pStyle w:val="Heading2"/>
        <w:tabs>
          <w:tab w:val="left" w:pos="567"/>
        </w:tabs>
        <w:spacing w:before="0" w:line="288" w:lineRule="auto"/>
        <w:jc w:val="both"/>
        <w:rPr>
          <w:sz w:val="24"/>
          <w:szCs w:val="24"/>
        </w:rPr>
      </w:pPr>
      <w:r w:rsidRPr="00F50315">
        <w:rPr>
          <w:sz w:val="24"/>
          <w:szCs w:val="24"/>
        </w:rPr>
        <w:t xml:space="preserve">2.  </w:t>
      </w:r>
      <w:r w:rsidR="00517A54" w:rsidRPr="00F50315">
        <w:rPr>
          <w:sz w:val="24"/>
          <w:szCs w:val="24"/>
        </w:rPr>
        <w:t>Literature Review</w:t>
      </w:r>
    </w:p>
    <w:p w14:paraId="6B67390C" w14:textId="77777777" w:rsidR="00F50315" w:rsidRPr="00F50315" w:rsidRDefault="00F50315" w:rsidP="00F50315">
      <w:pPr>
        <w:tabs>
          <w:tab w:val="left" w:pos="567"/>
        </w:tabs>
        <w:spacing w:after="0" w:line="288" w:lineRule="auto"/>
        <w:jc w:val="both"/>
        <w:rPr>
          <w:rFonts w:asciiTheme="majorBidi" w:hAnsiTheme="majorBidi" w:cstheme="majorBidi"/>
          <w:sz w:val="12"/>
          <w:szCs w:val="12"/>
        </w:rPr>
      </w:pPr>
    </w:p>
    <w:p w14:paraId="217B033D" w14:textId="54AD485B" w:rsidR="00F13BEE" w:rsidRDefault="00517A54" w:rsidP="00F50315">
      <w:pPr>
        <w:tabs>
          <w:tab w:val="left" w:pos="567"/>
        </w:tabs>
        <w:spacing w:after="0" w:line="288" w:lineRule="auto"/>
        <w:jc w:val="both"/>
        <w:rPr>
          <w:rFonts w:asciiTheme="majorBidi" w:hAnsiTheme="majorBidi" w:cstheme="majorBidi"/>
          <w:sz w:val="24"/>
          <w:szCs w:val="24"/>
        </w:rPr>
      </w:pPr>
      <w:r w:rsidRPr="00DF26D7">
        <w:rPr>
          <w:rFonts w:asciiTheme="majorBidi" w:hAnsiTheme="majorBidi" w:cstheme="majorBidi"/>
          <w:sz w:val="24"/>
          <w:szCs w:val="24"/>
        </w:rPr>
        <w:t>Most universities</w:t>
      </w:r>
      <w:r w:rsidR="000B2D25" w:rsidRPr="00DF26D7">
        <w:rPr>
          <w:rFonts w:asciiTheme="majorBidi" w:hAnsiTheme="majorBidi" w:cstheme="majorBidi"/>
          <w:sz w:val="24"/>
          <w:szCs w:val="24"/>
        </w:rPr>
        <w:t>,</w:t>
      </w:r>
      <w:r w:rsidRPr="00DF26D7">
        <w:rPr>
          <w:rFonts w:asciiTheme="majorBidi" w:hAnsiTheme="majorBidi" w:cstheme="majorBidi"/>
          <w:sz w:val="24"/>
          <w:szCs w:val="24"/>
        </w:rPr>
        <w:t xml:space="preserve"> and other</w:t>
      </w:r>
      <w:r w:rsidR="00A25F96" w:rsidRPr="00DF26D7">
        <w:rPr>
          <w:rFonts w:asciiTheme="majorBidi" w:hAnsiTheme="majorBidi" w:cstheme="majorBidi"/>
          <w:sz w:val="24"/>
          <w:szCs w:val="24"/>
        </w:rPr>
        <w:t xml:space="preserve"> higher education</w:t>
      </w:r>
      <w:r w:rsidRPr="00DF26D7">
        <w:rPr>
          <w:rFonts w:asciiTheme="majorBidi" w:hAnsiTheme="majorBidi" w:cstheme="majorBidi"/>
          <w:sz w:val="24"/>
          <w:szCs w:val="24"/>
        </w:rPr>
        <w:t xml:space="preserve"> institutions</w:t>
      </w:r>
      <w:r w:rsidR="000B2D25" w:rsidRPr="00DF26D7">
        <w:rPr>
          <w:rFonts w:asciiTheme="majorBidi" w:hAnsiTheme="majorBidi" w:cstheme="majorBidi"/>
          <w:sz w:val="24"/>
          <w:szCs w:val="24"/>
        </w:rPr>
        <w:t>,</w:t>
      </w:r>
      <w:r w:rsidRPr="00DF26D7">
        <w:rPr>
          <w:rFonts w:asciiTheme="majorBidi" w:hAnsiTheme="majorBidi" w:cstheme="majorBidi"/>
          <w:sz w:val="24"/>
          <w:szCs w:val="24"/>
        </w:rPr>
        <w:t xml:space="preserve"> tend to provide learning sup</w:t>
      </w:r>
      <w:r w:rsidR="000B2D25" w:rsidRPr="00DF26D7">
        <w:rPr>
          <w:rFonts w:asciiTheme="majorBidi" w:hAnsiTheme="majorBidi" w:cstheme="majorBidi"/>
          <w:sz w:val="24"/>
          <w:szCs w:val="24"/>
        </w:rPr>
        <w:t>port services to students. The</w:t>
      </w:r>
      <w:r w:rsidR="00A25F96" w:rsidRPr="00DF26D7">
        <w:rPr>
          <w:rFonts w:asciiTheme="majorBidi" w:hAnsiTheme="majorBidi" w:cstheme="majorBidi"/>
          <w:sz w:val="24"/>
          <w:szCs w:val="24"/>
        </w:rPr>
        <w:t xml:space="preserve"> types of</w:t>
      </w:r>
      <w:r w:rsidR="000B2D25" w:rsidRPr="00DF26D7">
        <w:rPr>
          <w:rFonts w:asciiTheme="majorBidi" w:hAnsiTheme="majorBidi" w:cstheme="majorBidi"/>
          <w:sz w:val="24"/>
          <w:szCs w:val="24"/>
        </w:rPr>
        <w:t xml:space="preserve"> services provided</w:t>
      </w:r>
      <w:r w:rsidRPr="00DF26D7">
        <w:rPr>
          <w:rFonts w:asciiTheme="majorBidi" w:hAnsiTheme="majorBidi" w:cstheme="majorBidi"/>
          <w:sz w:val="24"/>
          <w:szCs w:val="24"/>
        </w:rPr>
        <w:t xml:space="preserve"> differ depending on the type of institution and education provided. The most common, however, tend to be in the form of extra tutorial assistance, academic counselling, and learning support services targeted at individual students. Some examples include interventions aimed at particular groups of students such as those making the transition into university</w:t>
      </w:r>
      <w:r w:rsidR="00F13BEE" w:rsidRPr="00DF26D7">
        <w:rPr>
          <w:rFonts w:asciiTheme="majorBidi" w:hAnsiTheme="majorBidi" w:cstheme="majorBidi"/>
          <w:sz w:val="24"/>
          <w:szCs w:val="24"/>
        </w:rPr>
        <w:t>. For instance</w:t>
      </w:r>
      <w:r w:rsidR="00A25F96" w:rsidRPr="00DF26D7">
        <w:rPr>
          <w:rFonts w:asciiTheme="majorBidi" w:hAnsiTheme="majorBidi" w:cstheme="majorBidi"/>
          <w:sz w:val="24"/>
          <w:szCs w:val="24"/>
        </w:rPr>
        <w:t xml:space="preserve">, </w:t>
      </w:r>
      <w:r w:rsidR="00EA76C0" w:rsidRPr="00DF26D7">
        <w:rPr>
          <w:rFonts w:asciiTheme="majorBidi" w:hAnsiTheme="majorBidi" w:cstheme="majorBidi"/>
          <w:sz w:val="24"/>
          <w:szCs w:val="24"/>
        </w:rPr>
        <w:t>Q</w:t>
      </w:r>
      <w:r w:rsidR="00A25F96" w:rsidRPr="00DF26D7">
        <w:rPr>
          <w:rFonts w:asciiTheme="majorBidi" w:hAnsiTheme="majorBidi" w:cstheme="majorBidi"/>
          <w:sz w:val="24"/>
          <w:szCs w:val="24"/>
        </w:rPr>
        <w:t>ueensland University of Technology</w:t>
      </w:r>
      <w:r w:rsidR="00EA76C0" w:rsidRPr="00DF26D7">
        <w:rPr>
          <w:rFonts w:asciiTheme="majorBidi" w:hAnsiTheme="majorBidi" w:cstheme="majorBidi"/>
          <w:sz w:val="24"/>
          <w:szCs w:val="24"/>
        </w:rPr>
        <w:t xml:space="preserve">’s </w:t>
      </w:r>
      <w:r w:rsidR="00EA76C0" w:rsidRPr="00DF26D7">
        <w:rPr>
          <w:rFonts w:asciiTheme="majorBidi" w:hAnsiTheme="majorBidi" w:cstheme="majorBidi"/>
          <w:i/>
          <w:sz w:val="24"/>
          <w:szCs w:val="24"/>
        </w:rPr>
        <w:t>Start Smart</w:t>
      </w:r>
      <w:r w:rsidR="00EA76C0" w:rsidRPr="00DF26D7">
        <w:rPr>
          <w:rFonts w:asciiTheme="majorBidi" w:hAnsiTheme="majorBidi" w:cstheme="majorBidi"/>
          <w:sz w:val="24"/>
          <w:szCs w:val="24"/>
        </w:rPr>
        <w:t xml:space="preserve"> program</w:t>
      </w:r>
      <w:r w:rsidR="00A25F96" w:rsidRPr="00DF26D7">
        <w:rPr>
          <w:rFonts w:asciiTheme="majorBidi" w:hAnsiTheme="majorBidi" w:cstheme="majorBidi"/>
          <w:sz w:val="24"/>
          <w:szCs w:val="24"/>
        </w:rPr>
        <w:t>me</w:t>
      </w:r>
      <w:r w:rsidR="00EA76C0" w:rsidRPr="00DF26D7">
        <w:rPr>
          <w:rFonts w:asciiTheme="majorBidi" w:hAnsiTheme="majorBidi" w:cstheme="majorBidi"/>
          <w:sz w:val="24"/>
          <w:szCs w:val="24"/>
        </w:rPr>
        <w:t xml:space="preserve"> supports undergraduate students who have not completed </w:t>
      </w:r>
      <w:r w:rsidR="00A25F96" w:rsidRPr="00DF26D7">
        <w:rPr>
          <w:rFonts w:asciiTheme="majorBidi" w:hAnsiTheme="majorBidi" w:cstheme="majorBidi"/>
          <w:sz w:val="24"/>
          <w:szCs w:val="24"/>
        </w:rPr>
        <w:t>Year 12 within the two</w:t>
      </w:r>
      <w:r w:rsidR="00EA76C0" w:rsidRPr="00DF26D7">
        <w:rPr>
          <w:rFonts w:asciiTheme="majorBidi" w:hAnsiTheme="majorBidi" w:cstheme="majorBidi"/>
          <w:sz w:val="24"/>
          <w:szCs w:val="24"/>
        </w:rPr>
        <w:t xml:space="preserve"> years prior to enrolment (Bennett </w:t>
      </w:r>
      <w:r w:rsidR="00F50315">
        <w:rPr>
          <w:rFonts w:asciiTheme="majorBidi" w:hAnsiTheme="majorBidi" w:cstheme="majorBidi"/>
          <w:sz w:val="24"/>
          <w:szCs w:val="24"/>
        </w:rPr>
        <w:t>and</w:t>
      </w:r>
      <w:r w:rsidR="00EA76C0" w:rsidRPr="00DF26D7">
        <w:rPr>
          <w:rFonts w:asciiTheme="majorBidi" w:hAnsiTheme="majorBidi" w:cstheme="majorBidi"/>
          <w:sz w:val="24"/>
          <w:szCs w:val="24"/>
        </w:rPr>
        <w:t xml:space="preserve"> </w:t>
      </w:r>
      <w:proofErr w:type="spellStart"/>
      <w:r w:rsidR="00EA76C0" w:rsidRPr="00DF26D7">
        <w:rPr>
          <w:rFonts w:asciiTheme="majorBidi" w:hAnsiTheme="majorBidi" w:cstheme="majorBidi"/>
          <w:sz w:val="24"/>
          <w:szCs w:val="24"/>
        </w:rPr>
        <w:t>M</w:t>
      </w:r>
      <w:r w:rsidR="00E16AE4">
        <w:rPr>
          <w:rFonts w:asciiTheme="majorBidi" w:hAnsiTheme="majorBidi" w:cstheme="majorBidi"/>
          <w:sz w:val="24"/>
          <w:szCs w:val="24"/>
        </w:rPr>
        <w:t>edew</w:t>
      </w:r>
      <w:proofErr w:type="spellEnd"/>
      <w:r w:rsidR="00F13BEE" w:rsidRPr="00DF26D7">
        <w:rPr>
          <w:rFonts w:asciiTheme="majorBidi" w:hAnsiTheme="majorBidi" w:cstheme="majorBidi"/>
          <w:sz w:val="24"/>
          <w:szCs w:val="24"/>
        </w:rPr>
        <w:t xml:space="preserve"> 2012),</w:t>
      </w:r>
      <w:r w:rsidR="00EA76C0" w:rsidRPr="00DF26D7">
        <w:rPr>
          <w:rFonts w:asciiTheme="majorBidi" w:hAnsiTheme="majorBidi" w:cstheme="majorBidi"/>
          <w:sz w:val="24"/>
          <w:szCs w:val="24"/>
        </w:rPr>
        <w:t xml:space="preserve"> </w:t>
      </w:r>
      <w:r w:rsidR="00F13BEE" w:rsidRPr="00DF26D7">
        <w:rPr>
          <w:rFonts w:asciiTheme="majorBidi" w:hAnsiTheme="majorBidi" w:cstheme="majorBidi"/>
          <w:sz w:val="24"/>
          <w:szCs w:val="24"/>
        </w:rPr>
        <w:t>while Charles Sturt University provides</w:t>
      </w:r>
      <w:r w:rsidR="00A25F96" w:rsidRPr="00DF26D7">
        <w:rPr>
          <w:rFonts w:asciiTheme="majorBidi" w:hAnsiTheme="majorBidi" w:cstheme="majorBidi"/>
          <w:sz w:val="24"/>
          <w:szCs w:val="24"/>
        </w:rPr>
        <w:t xml:space="preserve"> </w:t>
      </w:r>
      <w:r w:rsidR="00EA76C0" w:rsidRPr="00DF26D7">
        <w:rPr>
          <w:rFonts w:asciiTheme="majorBidi" w:hAnsiTheme="majorBidi" w:cstheme="majorBidi"/>
          <w:sz w:val="24"/>
          <w:szCs w:val="24"/>
        </w:rPr>
        <w:t>support for repeat</w:t>
      </w:r>
      <w:r w:rsidR="00A25F96" w:rsidRPr="00DF26D7">
        <w:rPr>
          <w:rFonts w:asciiTheme="majorBidi" w:hAnsiTheme="majorBidi" w:cstheme="majorBidi"/>
          <w:sz w:val="24"/>
          <w:szCs w:val="24"/>
        </w:rPr>
        <w:t>ed</w:t>
      </w:r>
      <w:r w:rsidR="00EA76C0" w:rsidRPr="00DF26D7">
        <w:rPr>
          <w:rFonts w:asciiTheme="majorBidi" w:hAnsiTheme="majorBidi" w:cstheme="majorBidi"/>
          <w:sz w:val="24"/>
          <w:szCs w:val="24"/>
        </w:rPr>
        <w:t xml:space="preserve"> fail students in distance education (</w:t>
      </w:r>
      <w:proofErr w:type="spellStart"/>
      <w:r w:rsidR="00EA76C0" w:rsidRPr="00DF26D7">
        <w:rPr>
          <w:rFonts w:asciiTheme="majorBidi" w:hAnsiTheme="majorBidi" w:cstheme="majorBidi"/>
          <w:sz w:val="24"/>
          <w:szCs w:val="24"/>
        </w:rPr>
        <w:t>Attree</w:t>
      </w:r>
      <w:proofErr w:type="spellEnd"/>
      <w:r w:rsidR="00EA76C0" w:rsidRPr="00DF26D7">
        <w:rPr>
          <w:rFonts w:asciiTheme="majorBidi" w:hAnsiTheme="majorBidi" w:cstheme="majorBidi"/>
          <w:sz w:val="24"/>
          <w:szCs w:val="24"/>
        </w:rPr>
        <w:t xml:space="preserve">, Johnston </w:t>
      </w:r>
      <w:r w:rsidR="00F50315">
        <w:rPr>
          <w:rFonts w:asciiTheme="majorBidi" w:hAnsiTheme="majorBidi" w:cstheme="majorBidi"/>
          <w:sz w:val="24"/>
          <w:szCs w:val="24"/>
        </w:rPr>
        <w:t>and</w:t>
      </w:r>
      <w:r w:rsidR="00E16AE4">
        <w:rPr>
          <w:rFonts w:asciiTheme="majorBidi" w:hAnsiTheme="majorBidi" w:cstheme="majorBidi"/>
          <w:sz w:val="24"/>
          <w:szCs w:val="24"/>
        </w:rPr>
        <w:t xml:space="preserve"> Livermore</w:t>
      </w:r>
      <w:r w:rsidR="00EA76C0" w:rsidRPr="00DF26D7">
        <w:rPr>
          <w:rFonts w:asciiTheme="majorBidi" w:hAnsiTheme="majorBidi" w:cstheme="majorBidi"/>
          <w:sz w:val="24"/>
          <w:szCs w:val="24"/>
        </w:rPr>
        <w:t xml:space="preserve"> </w:t>
      </w:r>
      <w:r w:rsidR="00EA5187" w:rsidRPr="00DF26D7">
        <w:rPr>
          <w:rFonts w:asciiTheme="majorBidi" w:hAnsiTheme="majorBidi" w:cstheme="majorBidi"/>
          <w:sz w:val="24"/>
          <w:szCs w:val="24"/>
        </w:rPr>
        <w:t>2014</w:t>
      </w:r>
      <w:r w:rsidR="00EA76C0" w:rsidRPr="00DF26D7">
        <w:rPr>
          <w:rFonts w:asciiTheme="majorBidi" w:hAnsiTheme="majorBidi" w:cstheme="majorBidi"/>
          <w:sz w:val="24"/>
          <w:szCs w:val="24"/>
        </w:rPr>
        <w:t>). Th</w:t>
      </w:r>
      <w:r w:rsidR="00EA5187" w:rsidRPr="00DF26D7">
        <w:rPr>
          <w:rFonts w:asciiTheme="majorBidi" w:hAnsiTheme="majorBidi" w:cstheme="majorBidi"/>
          <w:sz w:val="24"/>
          <w:szCs w:val="24"/>
        </w:rPr>
        <w:t>e Charles Sturt University</w:t>
      </w:r>
      <w:r w:rsidR="00EA76C0" w:rsidRPr="00DF26D7">
        <w:rPr>
          <w:rFonts w:asciiTheme="majorBidi" w:hAnsiTheme="majorBidi" w:cstheme="majorBidi"/>
          <w:sz w:val="24"/>
          <w:szCs w:val="24"/>
        </w:rPr>
        <w:t xml:space="preserve"> program</w:t>
      </w:r>
      <w:r w:rsidR="00A25F96" w:rsidRPr="00DF26D7">
        <w:rPr>
          <w:rFonts w:asciiTheme="majorBidi" w:hAnsiTheme="majorBidi" w:cstheme="majorBidi"/>
          <w:sz w:val="24"/>
          <w:szCs w:val="24"/>
        </w:rPr>
        <w:t>me</w:t>
      </w:r>
      <w:r w:rsidR="00EA76C0" w:rsidRPr="00DF26D7">
        <w:rPr>
          <w:rFonts w:asciiTheme="majorBidi" w:hAnsiTheme="majorBidi" w:cstheme="majorBidi"/>
          <w:sz w:val="24"/>
          <w:szCs w:val="24"/>
        </w:rPr>
        <w:t xml:space="preserve"> resulted in higher retention and success rates for students who experienced the intervention compared</w:t>
      </w:r>
      <w:r w:rsidR="00A25F96" w:rsidRPr="00DF26D7">
        <w:rPr>
          <w:rFonts w:asciiTheme="majorBidi" w:hAnsiTheme="majorBidi" w:cstheme="majorBidi"/>
          <w:sz w:val="24"/>
          <w:szCs w:val="24"/>
        </w:rPr>
        <w:t xml:space="preserve"> </w:t>
      </w:r>
      <w:r w:rsidR="00F13BEE" w:rsidRPr="00DF26D7">
        <w:rPr>
          <w:rFonts w:asciiTheme="majorBidi" w:hAnsiTheme="majorBidi" w:cstheme="majorBidi"/>
          <w:sz w:val="24"/>
          <w:szCs w:val="24"/>
        </w:rPr>
        <w:t>to similar students who did</w:t>
      </w:r>
      <w:r w:rsidR="00767C49">
        <w:rPr>
          <w:rFonts w:asciiTheme="majorBidi" w:hAnsiTheme="majorBidi" w:cstheme="majorBidi"/>
          <w:sz w:val="24"/>
          <w:szCs w:val="24"/>
        </w:rPr>
        <w:t xml:space="preserve"> no</w:t>
      </w:r>
      <w:r w:rsidR="00F13BEE" w:rsidRPr="00DF26D7">
        <w:rPr>
          <w:rFonts w:asciiTheme="majorBidi" w:hAnsiTheme="majorBidi" w:cstheme="majorBidi"/>
          <w:sz w:val="24"/>
          <w:szCs w:val="24"/>
        </w:rPr>
        <w:t>t.</w:t>
      </w:r>
    </w:p>
    <w:p w14:paraId="22959657" w14:textId="77777777" w:rsidR="00767C49" w:rsidRPr="00DF26D7" w:rsidRDefault="00767C49" w:rsidP="00F50315">
      <w:pPr>
        <w:tabs>
          <w:tab w:val="left" w:pos="567"/>
        </w:tabs>
        <w:spacing w:after="0" w:line="288" w:lineRule="auto"/>
        <w:jc w:val="both"/>
        <w:rPr>
          <w:rFonts w:asciiTheme="majorBidi" w:hAnsiTheme="majorBidi" w:cstheme="majorBidi"/>
          <w:sz w:val="24"/>
          <w:szCs w:val="24"/>
        </w:rPr>
      </w:pPr>
    </w:p>
    <w:p w14:paraId="392640E1" w14:textId="16F4280B" w:rsidR="00EA76C0" w:rsidRDefault="00F13BEE" w:rsidP="00F50315">
      <w:pPr>
        <w:tabs>
          <w:tab w:val="left" w:pos="567"/>
        </w:tabs>
        <w:spacing w:after="0" w:line="288" w:lineRule="auto"/>
        <w:ind w:firstLine="567"/>
        <w:jc w:val="both"/>
        <w:rPr>
          <w:rFonts w:asciiTheme="majorBidi" w:hAnsiTheme="majorBidi" w:cstheme="majorBidi"/>
          <w:sz w:val="24"/>
          <w:szCs w:val="24"/>
        </w:rPr>
      </w:pPr>
      <w:r w:rsidRPr="00DF26D7">
        <w:rPr>
          <w:rFonts w:asciiTheme="majorBidi" w:hAnsiTheme="majorBidi" w:cstheme="majorBidi"/>
          <w:sz w:val="24"/>
          <w:szCs w:val="24"/>
        </w:rPr>
        <w:t>Similarly, t</w:t>
      </w:r>
      <w:r w:rsidR="00EA76C0" w:rsidRPr="00DF26D7">
        <w:rPr>
          <w:rFonts w:asciiTheme="majorBidi" w:hAnsiTheme="majorBidi" w:cstheme="majorBidi"/>
          <w:sz w:val="24"/>
          <w:szCs w:val="24"/>
        </w:rPr>
        <w:t>he Freshman Empowerment Program at Central Michigan University targets new students from low-income families and/or who are first-generation college attendees. An evaluation of this program by Folger</w:t>
      </w:r>
      <w:r w:rsidR="001A4B6C">
        <w:rPr>
          <w:rFonts w:asciiTheme="majorBidi" w:hAnsiTheme="majorBidi" w:cstheme="majorBidi"/>
          <w:sz w:val="24"/>
          <w:szCs w:val="24"/>
        </w:rPr>
        <w:t>, Carter and Chase</w:t>
      </w:r>
      <w:r w:rsidR="00EA76C0" w:rsidRPr="00FC7165">
        <w:rPr>
          <w:rFonts w:asciiTheme="majorBidi" w:hAnsiTheme="majorBidi" w:cstheme="majorBidi"/>
          <w:sz w:val="24"/>
          <w:szCs w:val="24"/>
        </w:rPr>
        <w:t xml:space="preserve"> </w:t>
      </w:r>
      <w:r w:rsidR="00EA76C0" w:rsidRPr="00DF26D7">
        <w:rPr>
          <w:rFonts w:asciiTheme="majorBidi" w:hAnsiTheme="majorBidi" w:cstheme="majorBidi"/>
          <w:sz w:val="24"/>
          <w:szCs w:val="24"/>
        </w:rPr>
        <w:t>(2004) found that students that took part in this program</w:t>
      </w:r>
      <w:r w:rsidR="00A25F96" w:rsidRPr="00DF26D7">
        <w:rPr>
          <w:rFonts w:asciiTheme="majorBidi" w:hAnsiTheme="majorBidi" w:cstheme="majorBidi"/>
          <w:sz w:val="24"/>
          <w:szCs w:val="24"/>
        </w:rPr>
        <w:t>me</w:t>
      </w:r>
      <w:r w:rsidR="00EA76C0" w:rsidRPr="00DF26D7">
        <w:rPr>
          <w:rFonts w:asciiTheme="majorBidi" w:hAnsiTheme="majorBidi" w:cstheme="majorBidi"/>
          <w:sz w:val="24"/>
          <w:szCs w:val="24"/>
        </w:rPr>
        <w:t xml:space="preserve"> had a significantly higher GPA than similar studen</w:t>
      </w:r>
      <w:r w:rsidR="00A25F96" w:rsidRPr="00DF26D7">
        <w:rPr>
          <w:rFonts w:asciiTheme="majorBidi" w:hAnsiTheme="majorBidi" w:cstheme="majorBidi"/>
          <w:sz w:val="24"/>
          <w:szCs w:val="24"/>
        </w:rPr>
        <w:t xml:space="preserve">ts who chose not to be involved. </w:t>
      </w:r>
      <w:proofErr w:type="spellStart"/>
      <w:r w:rsidR="00EA76C0" w:rsidRPr="00DF26D7">
        <w:rPr>
          <w:rFonts w:asciiTheme="majorBidi" w:hAnsiTheme="majorBidi" w:cstheme="majorBidi"/>
          <w:sz w:val="24"/>
          <w:szCs w:val="24"/>
        </w:rPr>
        <w:t>Williford</w:t>
      </w:r>
      <w:proofErr w:type="spellEnd"/>
      <w:r w:rsidR="00EA76C0" w:rsidRPr="00DF26D7">
        <w:rPr>
          <w:rFonts w:asciiTheme="majorBidi" w:hAnsiTheme="majorBidi" w:cstheme="majorBidi"/>
          <w:sz w:val="24"/>
          <w:szCs w:val="24"/>
        </w:rPr>
        <w:t xml:space="preserve"> (1997) reports on an intervention program to retain freshmen at Ohio University. The program identifie</w:t>
      </w:r>
      <w:r w:rsidR="00A25F96" w:rsidRPr="00DF26D7">
        <w:rPr>
          <w:rFonts w:asciiTheme="majorBidi" w:hAnsiTheme="majorBidi" w:cstheme="majorBidi"/>
          <w:sz w:val="24"/>
          <w:szCs w:val="24"/>
        </w:rPr>
        <w:t>d</w:t>
      </w:r>
      <w:r w:rsidR="00EA76C0" w:rsidRPr="00DF26D7">
        <w:rPr>
          <w:rFonts w:asciiTheme="majorBidi" w:hAnsiTheme="majorBidi" w:cstheme="majorBidi"/>
          <w:sz w:val="24"/>
          <w:szCs w:val="24"/>
        </w:rPr>
        <w:t xml:space="preserve"> freshmen likely to leave Ohio University at the end of their first year and intervene</w:t>
      </w:r>
      <w:r w:rsidR="00352D20" w:rsidRPr="00DF26D7">
        <w:rPr>
          <w:rFonts w:asciiTheme="majorBidi" w:hAnsiTheme="majorBidi" w:cstheme="majorBidi"/>
          <w:sz w:val="24"/>
          <w:szCs w:val="24"/>
        </w:rPr>
        <w:t>d</w:t>
      </w:r>
      <w:r w:rsidR="00EA76C0" w:rsidRPr="00DF26D7">
        <w:rPr>
          <w:rFonts w:asciiTheme="majorBidi" w:hAnsiTheme="majorBidi" w:cstheme="majorBidi"/>
          <w:sz w:val="24"/>
          <w:szCs w:val="24"/>
        </w:rPr>
        <w:t xml:space="preserve"> to try and retain them. Overall</w:t>
      </w:r>
      <w:r w:rsidR="00352D20" w:rsidRPr="00DF26D7">
        <w:rPr>
          <w:rFonts w:asciiTheme="majorBidi" w:hAnsiTheme="majorBidi" w:cstheme="majorBidi"/>
          <w:sz w:val="24"/>
          <w:szCs w:val="24"/>
        </w:rPr>
        <w:t>,</w:t>
      </w:r>
      <w:r w:rsidR="00EA76C0" w:rsidRPr="00DF26D7">
        <w:rPr>
          <w:rFonts w:asciiTheme="majorBidi" w:hAnsiTheme="majorBidi" w:cstheme="majorBidi"/>
          <w:sz w:val="24"/>
          <w:szCs w:val="24"/>
        </w:rPr>
        <w:t xml:space="preserve"> fresh</w:t>
      </w:r>
      <w:r w:rsidR="00CE72A9">
        <w:rPr>
          <w:rFonts w:asciiTheme="majorBidi" w:hAnsiTheme="majorBidi" w:cstheme="majorBidi"/>
          <w:sz w:val="24"/>
          <w:szCs w:val="24"/>
        </w:rPr>
        <w:t xml:space="preserve">man retention increased from 72 percent in 1982 to 83 percent </w:t>
      </w:r>
      <w:r w:rsidR="00EA76C0" w:rsidRPr="00DF26D7">
        <w:rPr>
          <w:rFonts w:asciiTheme="majorBidi" w:hAnsiTheme="majorBidi" w:cstheme="majorBidi"/>
          <w:sz w:val="24"/>
          <w:szCs w:val="24"/>
        </w:rPr>
        <w:t>in 1995 with early-identified potential leavers having the highest return rates.</w:t>
      </w:r>
      <w:r w:rsidRPr="00DF26D7">
        <w:rPr>
          <w:rFonts w:asciiTheme="majorBidi" w:hAnsiTheme="majorBidi" w:cstheme="majorBidi"/>
          <w:sz w:val="24"/>
          <w:szCs w:val="24"/>
        </w:rPr>
        <w:t xml:space="preserve"> </w:t>
      </w:r>
      <w:r w:rsidR="00EA76C0" w:rsidRPr="00DF26D7">
        <w:rPr>
          <w:rFonts w:asciiTheme="majorBidi" w:hAnsiTheme="majorBidi" w:cstheme="majorBidi"/>
          <w:sz w:val="24"/>
          <w:szCs w:val="24"/>
        </w:rPr>
        <w:t>More recently</w:t>
      </w:r>
      <w:r w:rsidR="00352D20" w:rsidRPr="00DF26D7">
        <w:rPr>
          <w:rFonts w:asciiTheme="majorBidi" w:hAnsiTheme="majorBidi" w:cstheme="majorBidi"/>
          <w:sz w:val="24"/>
          <w:szCs w:val="24"/>
        </w:rPr>
        <w:t>,</w:t>
      </w:r>
      <w:r w:rsidR="00EA76C0" w:rsidRPr="00DF26D7">
        <w:rPr>
          <w:rFonts w:asciiTheme="majorBidi" w:hAnsiTheme="majorBidi" w:cstheme="majorBidi"/>
          <w:sz w:val="24"/>
          <w:szCs w:val="24"/>
        </w:rPr>
        <w:t xml:space="preserve"> Campbell </w:t>
      </w:r>
      <w:r w:rsidR="00352D20" w:rsidRPr="00DF26D7">
        <w:rPr>
          <w:rFonts w:asciiTheme="majorBidi" w:hAnsiTheme="majorBidi" w:cstheme="majorBidi"/>
          <w:sz w:val="24"/>
          <w:szCs w:val="24"/>
        </w:rPr>
        <w:t>and</w:t>
      </w:r>
      <w:r w:rsidR="00EA76C0" w:rsidRPr="00DF26D7">
        <w:rPr>
          <w:rFonts w:asciiTheme="majorBidi" w:hAnsiTheme="majorBidi" w:cstheme="majorBidi"/>
          <w:sz w:val="24"/>
          <w:szCs w:val="24"/>
        </w:rPr>
        <w:t xml:space="preserve"> Hussey (2014) reported evidence of the effects of an early intervention programme on economics student achievement at the University of Memphis. Although the Memphis programme involves students </w:t>
      </w:r>
      <w:r w:rsidR="00352D20" w:rsidRPr="00DF26D7">
        <w:rPr>
          <w:rFonts w:asciiTheme="majorBidi" w:hAnsiTheme="majorBidi" w:cstheme="majorBidi"/>
          <w:sz w:val="24"/>
          <w:szCs w:val="24"/>
        </w:rPr>
        <w:t>at all levels, not just first-</w:t>
      </w:r>
      <w:r w:rsidR="00EA76C0" w:rsidRPr="00DF26D7">
        <w:rPr>
          <w:rFonts w:asciiTheme="majorBidi" w:hAnsiTheme="majorBidi" w:cstheme="majorBidi"/>
          <w:sz w:val="24"/>
          <w:szCs w:val="24"/>
        </w:rPr>
        <w:t xml:space="preserve">year students, its intention is similar – that of improving student achievement </w:t>
      </w:r>
      <w:r w:rsidR="00EA76C0" w:rsidRPr="00DF26D7">
        <w:rPr>
          <w:rFonts w:asciiTheme="majorBidi" w:hAnsiTheme="majorBidi" w:cstheme="majorBidi"/>
          <w:sz w:val="24"/>
          <w:szCs w:val="24"/>
        </w:rPr>
        <w:lastRenderedPageBreak/>
        <w:t xml:space="preserve">through early intervention. They reported that students who were reported for early intervention received final grades </w:t>
      </w:r>
      <w:r w:rsidR="00CE72A9">
        <w:rPr>
          <w:rFonts w:asciiTheme="majorBidi" w:hAnsiTheme="majorBidi" w:cstheme="majorBidi"/>
          <w:sz w:val="24"/>
          <w:szCs w:val="24"/>
        </w:rPr>
        <w:t>that were on average almost 4.3 percent</w:t>
      </w:r>
      <w:r w:rsidR="00EA76C0" w:rsidRPr="00DF26D7">
        <w:rPr>
          <w:rFonts w:asciiTheme="majorBidi" w:hAnsiTheme="majorBidi" w:cstheme="majorBidi"/>
          <w:sz w:val="24"/>
          <w:szCs w:val="24"/>
        </w:rPr>
        <w:t xml:space="preserve"> higher than those who were not</w:t>
      </w:r>
      <w:r w:rsidRPr="00DF26D7">
        <w:rPr>
          <w:rFonts w:asciiTheme="majorBidi" w:hAnsiTheme="majorBidi" w:cstheme="majorBidi"/>
          <w:sz w:val="24"/>
          <w:szCs w:val="24"/>
        </w:rPr>
        <w:t xml:space="preserve"> reported</w:t>
      </w:r>
      <w:r w:rsidR="00EA76C0" w:rsidRPr="00DF26D7">
        <w:rPr>
          <w:rFonts w:asciiTheme="majorBidi" w:hAnsiTheme="majorBidi" w:cstheme="majorBidi"/>
          <w:sz w:val="24"/>
          <w:szCs w:val="24"/>
        </w:rPr>
        <w:t xml:space="preserve">. </w:t>
      </w:r>
    </w:p>
    <w:p w14:paraId="0910ACF7" w14:textId="77777777" w:rsidR="00767C49" w:rsidRPr="00DF26D7" w:rsidRDefault="00767C49" w:rsidP="00F50315">
      <w:pPr>
        <w:tabs>
          <w:tab w:val="left" w:pos="567"/>
        </w:tabs>
        <w:spacing w:after="0" w:line="288" w:lineRule="auto"/>
        <w:ind w:firstLine="720"/>
        <w:jc w:val="both"/>
        <w:rPr>
          <w:rFonts w:asciiTheme="majorBidi" w:hAnsiTheme="majorBidi" w:cstheme="majorBidi"/>
          <w:sz w:val="24"/>
          <w:szCs w:val="24"/>
        </w:rPr>
      </w:pPr>
    </w:p>
    <w:p w14:paraId="7C991CD2" w14:textId="2EE48D68" w:rsidR="00B2177C" w:rsidRDefault="00EA76C0" w:rsidP="00F50315">
      <w:pPr>
        <w:tabs>
          <w:tab w:val="left" w:pos="567"/>
        </w:tabs>
        <w:spacing w:after="0" w:line="288" w:lineRule="auto"/>
        <w:ind w:firstLine="567"/>
        <w:jc w:val="both"/>
        <w:rPr>
          <w:rFonts w:asciiTheme="majorBidi" w:hAnsiTheme="majorBidi" w:cstheme="majorBidi"/>
          <w:sz w:val="24"/>
          <w:szCs w:val="24"/>
        </w:rPr>
      </w:pPr>
      <w:r w:rsidRPr="00DF26D7">
        <w:rPr>
          <w:rFonts w:asciiTheme="majorBidi" w:hAnsiTheme="majorBidi" w:cstheme="majorBidi"/>
          <w:sz w:val="24"/>
          <w:szCs w:val="24"/>
        </w:rPr>
        <w:t>It is clear from the</w:t>
      </w:r>
      <w:r w:rsidR="005A40AC" w:rsidRPr="00DF26D7">
        <w:rPr>
          <w:rFonts w:asciiTheme="majorBidi" w:hAnsiTheme="majorBidi" w:cstheme="majorBidi"/>
          <w:sz w:val="24"/>
          <w:szCs w:val="24"/>
        </w:rPr>
        <w:t>se initiatives</w:t>
      </w:r>
      <w:r w:rsidRPr="00DF26D7">
        <w:rPr>
          <w:rFonts w:asciiTheme="majorBidi" w:hAnsiTheme="majorBidi" w:cstheme="majorBidi"/>
          <w:sz w:val="24"/>
          <w:szCs w:val="24"/>
        </w:rPr>
        <w:t xml:space="preserve"> that there is wide acceptance, in universities and other </w:t>
      </w:r>
      <w:r w:rsidR="005A40AC" w:rsidRPr="00DF26D7">
        <w:rPr>
          <w:rFonts w:asciiTheme="majorBidi" w:hAnsiTheme="majorBidi" w:cstheme="majorBidi"/>
          <w:sz w:val="24"/>
          <w:szCs w:val="24"/>
        </w:rPr>
        <w:t xml:space="preserve">higher education </w:t>
      </w:r>
      <w:r w:rsidRPr="00DF26D7">
        <w:rPr>
          <w:rFonts w:asciiTheme="majorBidi" w:hAnsiTheme="majorBidi" w:cstheme="majorBidi"/>
          <w:sz w:val="24"/>
          <w:szCs w:val="24"/>
        </w:rPr>
        <w:t>institutions, of the need to improve student performance</w:t>
      </w:r>
      <w:r w:rsidR="009F59BB" w:rsidRPr="00DF26D7">
        <w:rPr>
          <w:rFonts w:asciiTheme="majorBidi" w:hAnsiTheme="majorBidi" w:cstheme="majorBidi"/>
          <w:sz w:val="24"/>
          <w:szCs w:val="24"/>
        </w:rPr>
        <w:t xml:space="preserve"> by offering learning support services</w:t>
      </w:r>
      <w:r w:rsidRPr="00DF26D7">
        <w:rPr>
          <w:rFonts w:asciiTheme="majorBidi" w:hAnsiTheme="majorBidi" w:cstheme="majorBidi"/>
          <w:sz w:val="24"/>
          <w:szCs w:val="24"/>
        </w:rPr>
        <w:t>. It is also clear that there are difficulties associated with identifying students, especially in large classes, who should be offered interventi</w:t>
      </w:r>
      <w:r w:rsidR="005A40AC" w:rsidRPr="00DF26D7">
        <w:rPr>
          <w:rFonts w:asciiTheme="majorBidi" w:hAnsiTheme="majorBidi" w:cstheme="majorBidi"/>
          <w:sz w:val="24"/>
          <w:szCs w:val="24"/>
        </w:rPr>
        <w:t xml:space="preserve">on services in a timely manner. </w:t>
      </w:r>
      <w:r w:rsidRPr="00DF26D7">
        <w:rPr>
          <w:rFonts w:asciiTheme="majorBidi" w:hAnsiTheme="majorBidi" w:cstheme="majorBidi"/>
          <w:sz w:val="24"/>
          <w:szCs w:val="24"/>
        </w:rPr>
        <w:t xml:space="preserve">This leads to a need for creative and innovative ways of using </w:t>
      </w:r>
      <w:r w:rsidR="005A40AC" w:rsidRPr="00DF26D7">
        <w:rPr>
          <w:rFonts w:asciiTheme="majorBidi" w:hAnsiTheme="majorBidi" w:cstheme="majorBidi"/>
          <w:sz w:val="24"/>
          <w:szCs w:val="24"/>
        </w:rPr>
        <w:t>available data</w:t>
      </w:r>
      <w:r w:rsidRPr="00DF26D7">
        <w:rPr>
          <w:rFonts w:asciiTheme="majorBidi" w:hAnsiTheme="majorBidi" w:cstheme="majorBidi"/>
          <w:sz w:val="24"/>
          <w:szCs w:val="24"/>
        </w:rPr>
        <w:t xml:space="preserve"> to identify at-risk students</w:t>
      </w:r>
      <w:r w:rsidR="00E16AE4">
        <w:rPr>
          <w:rFonts w:asciiTheme="majorBidi" w:hAnsiTheme="majorBidi" w:cstheme="majorBidi"/>
          <w:sz w:val="24"/>
          <w:szCs w:val="24"/>
        </w:rPr>
        <w:t xml:space="preserve"> (Simpson </w:t>
      </w:r>
      <w:r w:rsidR="005A40AC" w:rsidRPr="00DF26D7">
        <w:rPr>
          <w:rFonts w:asciiTheme="majorBidi" w:hAnsiTheme="majorBidi" w:cstheme="majorBidi"/>
          <w:sz w:val="24"/>
          <w:szCs w:val="24"/>
        </w:rPr>
        <w:t>2004).</w:t>
      </w:r>
      <w:r w:rsidR="00F13BEE" w:rsidRPr="00DF26D7">
        <w:rPr>
          <w:rFonts w:asciiTheme="majorBidi" w:hAnsiTheme="majorBidi" w:cstheme="majorBidi"/>
          <w:sz w:val="24"/>
          <w:szCs w:val="24"/>
        </w:rPr>
        <w:t xml:space="preserve"> For instance, </w:t>
      </w:r>
      <w:proofErr w:type="spellStart"/>
      <w:r w:rsidR="002205EC" w:rsidRPr="00DF26D7">
        <w:rPr>
          <w:rFonts w:asciiTheme="majorBidi" w:hAnsiTheme="majorBidi" w:cstheme="majorBidi"/>
          <w:sz w:val="24"/>
          <w:szCs w:val="24"/>
        </w:rPr>
        <w:t>Macfadyen</w:t>
      </w:r>
      <w:proofErr w:type="spellEnd"/>
      <w:r w:rsidR="002205EC" w:rsidRPr="00DF26D7">
        <w:rPr>
          <w:rFonts w:asciiTheme="majorBidi" w:hAnsiTheme="majorBidi" w:cstheme="majorBidi"/>
          <w:sz w:val="24"/>
          <w:szCs w:val="24"/>
        </w:rPr>
        <w:t xml:space="preserve"> and Dawson (2010)</w:t>
      </w:r>
      <w:r w:rsidRPr="00DF26D7">
        <w:rPr>
          <w:rFonts w:asciiTheme="majorBidi" w:hAnsiTheme="majorBidi" w:cstheme="majorBidi"/>
          <w:sz w:val="24"/>
          <w:szCs w:val="24"/>
        </w:rPr>
        <w:t xml:space="preserve"> </w:t>
      </w:r>
      <w:r w:rsidR="002205EC" w:rsidRPr="00DF26D7">
        <w:rPr>
          <w:rFonts w:asciiTheme="majorBidi" w:hAnsiTheme="majorBidi" w:cstheme="majorBidi"/>
          <w:sz w:val="24"/>
          <w:szCs w:val="24"/>
        </w:rPr>
        <w:t>encourage the use of data available in web-based Learning Management Systems to highlight student academic performance</w:t>
      </w:r>
      <w:r w:rsidR="00EA5187" w:rsidRPr="00DF26D7">
        <w:rPr>
          <w:rFonts w:asciiTheme="majorBidi" w:hAnsiTheme="majorBidi" w:cstheme="majorBidi"/>
          <w:sz w:val="24"/>
          <w:szCs w:val="24"/>
        </w:rPr>
        <w:t xml:space="preserve"> in order to identify students at-risk of failing</w:t>
      </w:r>
      <w:r w:rsidR="002205EC" w:rsidRPr="00DF26D7">
        <w:rPr>
          <w:rFonts w:asciiTheme="majorBidi" w:hAnsiTheme="majorBidi" w:cstheme="majorBidi"/>
          <w:sz w:val="24"/>
          <w:szCs w:val="24"/>
        </w:rPr>
        <w:t xml:space="preserve">. </w:t>
      </w:r>
      <w:r w:rsidR="005A40AC" w:rsidRPr="00DF26D7">
        <w:rPr>
          <w:rFonts w:asciiTheme="majorBidi" w:hAnsiTheme="majorBidi" w:cstheme="majorBidi"/>
          <w:sz w:val="24"/>
          <w:szCs w:val="24"/>
        </w:rPr>
        <w:t xml:space="preserve">Similarly, </w:t>
      </w:r>
      <w:r w:rsidR="00E9395D" w:rsidRPr="00DF26D7">
        <w:rPr>
          <w:rFonts w:asciiTheme="majorBidi" w:hAnsiTheme="majorBidi" w:cstheme="majorBidi"/>
          <w:sz w:val="24"/>
          <w:szCs w:val="24"/>
        </w:rPr>
        <w:t xml:space="preserve">Campbell, </w:t>
      </w:r>
      <w:proofErr w:type="spellStart"/>
      <w:r w:rsidR="00E9395D" w:rsidRPr="00DF26D7">
        <w:rPr>
          <w:rFonts w:asciiTheme="majorBidi" w:hAnsiTheme="majorBidi" w:cstheme="majorBidi"/>
          <w:sz w:val="24"/>
          <w:szCs w:val="24"/>
        </w:rPr>
        <w:t>DeBlois</w:t>
      </w:r>
      <w:proofErr w:type="spellEnd"/>
      <w:r w:rsidR="00E9395D" w:rsidRPr="00DF26D7">
        <w:rPr>
          <w:rFonts w:asciiTheme="majorBidi" w:hAnsiTheme="majorBidi" w:cstheme="majorBidi"/>
          <w:sz w:val="24"/>
          <w:szCs w:val="24"/>
        </w:rPr>
        <w:t xml:space="preserve"> </w:t>
      </w:r>
      <w:r w:rsidR="00555A8F" w:rsidRPr="00DF26D7">
        <w:rPr>
          <w:rFonts w:asciiTheme="majorBidi" w:hAnsiTheme="majorBidi" w:cstheme="majorBidi"/>
          <w:sz w:val="24"/>
          <w:szCs w:val="24"/>
        </w:rPr>
        <w:t>and</w:t>
      </w:r>
      <w:r w:rsidR="00E9395D" w:rsidRPr="00DF26D7">
        <w:rPr>
          <w:rFonts w:asciiTheme="majorBidi" w:hAnsiTheme="majorBidi" w:cstheme="majorBidi"/>
          <w:sz w:val="24"/>
          <w:szCs w:val="24"/>
        </w:rPr>
        <w:t xml:space="preserve"> </w:t>
      </w:r>
      <w:proofErr w:type="spellStart"/>
      <w:r w:rsidR="00E9395D" w:rsidRPr="00DF26D7">
        <w:rPr>
          <w:rFonts w:asciiTheme="majorBidi" w:hAnsiTheme="majorBidi" w:cstheme="majorBidi"/>
          <w:sz w:val="24"/>
          <w:szCs w:val="24"/>
        </w:rPr>
        <w:t>Oblinger</w:t>
      </w:r>
      <w:proofErr w:type="spellEnd"/>
      <w:r w:rsidR="00E9395D" w:rsidRPr="00DF26D7">
        <w:rPr>
          <w:rFonts w:asciiTheme="majorBidi" w:hAnsiTheme="majorBidi" w:cstheme="majorBidi"/>
          <w:sz w:val="24"/>
          <w:szCs w:val="24"/>
        </w:rPr>
        <w:t xml:space="preserve"> (2007)</w:t>
      </w:r>
      <w:r w:rsidR="00555A8F" w:rsidRPr="00DF26D7">
        <w:rPr>
          <w:rFonts w:asciiTheme="majorBidi" w:hAnsiTheme="majorBidi" w:cstheme="majorBidi"/>
          <w:sz w:val="24"/>
          <w:szCs w:val="24"/>
        </w:rPr>
        <w:t>,</w:t>
      </w:r>
      <w:r w:rsidR="00E9395D" w:rsidRPr="00DF26D7">
        <w:rPr>
          <w:rFonts w:asciiTheme="majorBidi" w:hAnsiTheme="majorBidi" w:cstheme="majorBidi"/>
          <w:sz w:val="24"/>
          <w:szCs w:val="24"/>
        </w:rPr>
        <w:t xml:space="preserve"> and Campbell </w:t>
      </w:r>
      <w:r w:rsidR="005A40AC" w:rsidRPr="00DF26D7">
        <w:rPr>
          <w:rFonts w:asciiTheme="majorBidi" w:hAnsiTheme="majorBidi" w:cstheme="majorBidi"/>
          <w:sz w:val="24"/>
          <w:szCs w:val="24"/>
        </w:rPr>
        <w:t xml:space="preserve">and </w:t>
      </w:r>
      <w:proofErr w:type="spellStart"/>
      <w:r w:rsidR="005A40AC" w:rsidRPr="00DF26D7">
        <w:rPr>
          <w:rFonts w:asciiTheme="majorBidi" w:hAnsiTheme="majorBidi" w:cstheme="majorBidi"/>
          <w:sz w:val="24"/>
          <w:szCs w:val="24"/>
        </w:rPr>
        <w:t>Oblinger</w:t>
      </w:r>
      <w:proofErr w:type="spellEnd"/>
      <w:r w:rsidR="005A40AC" w:rsidRPr="00DF26D7">
        <w:rPr>
          <w:rFonts w:asciiTheme="majorBidi" w:hAnsiTheme="majorBidi" w:cstheme="majorBidi"/>
          <w:sz w:val="24"/>
          <w:szCs w:val="24"/>
        </w:rPr>
        <w:t xml:space="preserve"> (2007) advocate for</w:t>
      </w:r>
      <w:r w:rsidR="00E9395D" w:rsidRPr="00DF26D7">
        <w:rPr>
          <w:rFonts w:asciiTheme="majorBidi" w:hAnsiTheme="majorBidi" w:cstheme="majorBidi"/>
          <w:sz w:val="24"/>
          <w:szCs w:val="24"/>
        </w:rPr>
        <w:t xml:space="preserve"> </w:t>
      </w:r>
      <w:r w:rsidR="00F50315">
        <w:rPr>
          <w:rFonts w:asciiTheme="majorBidi" w:hAnsiTheme="majorBidi" w:cstheme="majorBidi"/>
          <w:sz w:val="24"/>
          <w:szCs w:val="24"/>
        </w:rPr>
        <w:t>'</w:t>
      </w:r>
      <w:r w:rsidR="00E9395D" w:rsidRPr="00DF26D7">
        <w:rPr>
          <w:rFonts w:asciiTheme="majorBidi" w:hAnsiTheme="majorBidi" w:cstheme="majorBidi"/>
          <w:sz w:val="24"/>
          <w:szCs w:val="24"/>
        </w:rPr>
        <w:t>Academic Analytics</w:t>
      </w:r>
      <w:r w:rsidR="00F50315">
        <w:rPr>
          <w:rFonts w:asciiTheme="majorBidi" w:hAnsiTheme="majorBidi" w:cstheme="majorBidi"/>
          <w:sz w:val="24"/>
          <w:szCs w:val="24"/>
        </w:rPr>
        <w:t>'</w:t>
      </w:r>
      <w:r w:rsidR="00A25F96" w:rsidRPr="00DF26D7">
        <w:rPr>
          <w:rFonts w:asciiTheme="majorBidi" w:hAnsiTheme="majorBidi" w:cstheme="majorBidi"/>
          <w:sz w:val="24"/>
          <w:szCs w:val="24"/>
        </w:rPr>
        <w:t xml:space="preserve"> </w:t>
      </w:r>
      <w:r w:rsidR="00E9395D" w:rsidRPr="00DF26D7">
        <w:rPr>
          <w:rFonts w:asciiTheme="majorBidi" w:hAnsiTheme="majorBidi" w:cstheme="majorBidi"/>
          <w:sz w:val="24"/>
          <w:szCs w:val="24"/>
        </w:rPr>
        <w:t xml:space="preserve">- the use of information from Academic Information Systems in combination with statistical methods to identify students who may face academic difficulties. </w:t>
      </w:r>
      <w:r w:rsidR="00F13BEE" w:rsidRPr="00DF26D7">
        <w:rPr>
          <w:rFonts w:asciiTheme="majorBidi" w:hAnsiTheme="majorBidi" w:cstheme="majorBidi"/>
          <w:sz w:val="24"/>
          <w:szCs w:val="24"/>
        </w:rPr>
        <w:t>As one example</w:t>
      </w:r>
      <w:r w:rsidR="00B2177C" w:rsidRPr="00DF26D7">
        <w:rPr>
          <w:rFonts w:asciiTheme="majorBidi" w:hAnsiTheme="majorBidi" w:cstheme="majorBidi"/>
          <w:sz w:val="24"/>
          <w:szCs w:val="24"/>
        </w:rPr>
        <w:t xml:space="preserve">, </w:t>
      </w:r>
      <w:r w:rsidR="00E9395D" w:rsidRPr="00DF26D7">
        <w:rPr>
          <w:rFonts w:asciiTheme="majorBidi" w:hAnsiTheme="majorBidi" w:cstheme="majorBidi"/>
          <w:sz w:val="24"/>
          <w:szCs w:val="24"/>
        </w:rPr>
        <w:t xml:space="preserve">Campbell, Finnegan </w:t>
      </w:r>
      <w:r w:rsidR="00B2177C" w:rsidRPr="00DF26D7">
        <w:rPr>
          <w:rFonts w:asciiTheme="majorBidi" w:hAnsiTheme="majorBidi" w:cstheme="majorBidi"/>
          <w:sz w:val="24"/>
          <w:szCs w:val="24"/>
        </w:rPr>
        <w:t>and</w:t>
      </w:r>
      <w:r w:rsidR="00E9395D" w:rsidRPr="00DF26D7">
        <w:rPr>
          <w:rFonts w:asciiTheme="majorBidi" w:hAnsiTheme="majorBidi" w:cstheme="majorBidi"/>
          <w:sz w:val="24"/>
          <w:szCs w:val="24"/>
        </w:rPr>
        <w:t xml:space="preserve"> Collins (2006) used regression analysis of student performance and selected online activity data and found that SAT scores were mildly predictive of future student success</w:t>
      </w:r>
      <w:r w:rsidR="00B2177C" w:rsidRPr="00DF26D7">
        <w:rPr>
          <w:rFonts w:asciiTheme="majorBidi" w:hAnsiTheme="majorBidi" w:cstheme="majorBidi"/>
          <w:sz w:val="24"/>
          <w:szCs w:val="24"/>
        </w:rPr>
        <w:t>. They</w:t>
      </w:r>
      <w:r w:rsidR="00E9395D" w:rsidRPr="00DF26D7">
        <w:rPr>
          <w:rFonts w:asciiTheme="majorBidi" w:hAnsiTheme="majorBidi" w:cstheme="majorBidi"/>
          <w:sz w:val="24"/>
          <w:szCs w:val="24"/>
        </w:rPr>
        <w:t xml:space="preserve"> recommended that institutional data be used to develop </w:t>
      </w:r>
      <w:r w:rsidR="00F50315">
        <w:rPr>
          <w:rFonts w:asciiTheme="majorBidi" w:hAnsiTheme="majorBidi" w:cstheme="majorBidi"/>
          <w:sz w:val="24"/>
          <w:szCs w:val="24"/>
        </w:rPr>
        <w:t>'</w:t>
      </w:r>
      <w:r w:rsidR="00E9395D" w:rsidRPr="00DF26D7">
        <w:rPr>
          <w:rFonts w:asciiTheme="majorBidi" w:hAnsiTheme="majorBidi" w:cstheme="majorBidi"/>
          <w:sz w:val="24"/>
          <w:szCs w:val="24"/>
        </w:rPr>
        <w:t>early warning</w:t>
      </w:r>
      <w:r w:rsidR="00F50315">
        <w:rPr>
          <w:rFonts w:asciiTheme="majorBidi" w:hAnsiTheme="majorBidi" w:cstheme="majorBidi"/>
          <w:sz w:val="24"/>
          <w:szCs w:val="24"/>
        </w:rPr>
        <w:t>'</w:t>
      </w:r>
      <w:r w:rsidR="00E9395D" w:rsidRPr="00DF26D7">
        <w:rPr>
          <w:rFonts w:asciiTheme="majorBidi" w:hAnsiTheme="majorBidi" w:cstheme="majorBidi"/>
          <w:sz w:val="24"/>
          <w:szCs w:val="24"/>
        </w:rPr>
        <w:t xml:space="preserve"> reporting tools that flag at-risk student</w:t>
      </w:r>
      <w:r w:rsidR="00B2177C" w:rsidRPr="00DF26D7">
        <w:rPr>
          <w:rFonts w:asciiTheme="majorBidi" w:hAnsiTheme="majorBidi" w:cstheme="majorBidi"/>
          <w:sz w:val="24"/>
          <w:szCs w:val="24"/>
        </w:rPr>
        <w:t>s.</w:t>
      </w:r>
    </w:p>
    <w:p w14:paraId="5FC84410" w14:textId="77777777" w:rsidR="00767C49" w:rsidRPr="00DF26D7" w:rsidRDefault="00767C49" w:rsidP="00F50315">
      <w:pPr>
        <w:tabs>
          <w:tab w:val="left" w:pos="567"/>
        </w:tabs>
        <w:spacing w:after="0" w:line="288" w:lineRule="auto"/>
        <w:ind w:firstLine="720"/>
        <w:jc w:val="both"/>
        <w:rPr>
          <w:rFonts w:asciiTheme="majorBidi" w:hAnsiTheme="majorBidi" w:cstheme="majorBidi"/>
          <w:sz w:val="24"/>
          <w:szCs w:val="24"/>
        </w:rPr>
      </w:pPr>
    </w:p>
    <w:p w14:paraId="4191044A" w14:textId="210BAF8B" w:rsidR="00E9395D" w:rsidRDefault="00555A8F" w:rsidP="00F50315">
      <w:pPr>
        <w:tabs>
          <w:tab w:val="left" w:pos="567"/>
        </w:tabs>
        <w:spacing w:after="0" w:line="288" w:lineRule="auto"/>
        <w:ind w:firstLine="567"/>
        <w:jc w:val="both"/>
        <w:rPr>
          <w:rFonts w:asciiTheme="majorBidi" w:hAnsiTheme="majorBidi" w:cstheme="majorBidi"/>
          <w:sz w:val="24"/>
          <w:szCs w:val="24"/>
        </w:rPr>
      </w:pPr>
      <w:r w:rsidRPr="00DF26D7">
        <w:rPr>
          <w:rFonts w:asciiTheme="majorBidi" w:hAnsiTheme="majorBidi" w:cstheme="majorBidi"/>
          <w:sz w:val="24"/>
          <w:szCs w:val="24"/>
        </w:rPr>
        <w:t>As these studies show, b</w:t>
      </w:r>
      <w:r w:rsidR="00E9395D" w:rsidRPr="00DF26D7">
        <w:rPr>
          <w:rFonts w:asciiTheme="majorBidi" w:hAnsiTheme="majorBidi" w:cstheme="majorBidi"/>
          <w:sz w:val="24"/>
          <w:szCs w:val="24"/>
        </w:rPr>
        <w:t xml:space="preserve">eing proactive is important because </w:t>
      </w:r>
      <w:r w:rsidR="00B2177C" w:rsidRPr="00DF26D7">
        <w:rPr>
          <w:rFonts w:asciiTheme="majorBidi" w:hAnsiTheme="majorBidi" w:cstheme="majorBidi"/>
          <w:sz w:val="24"/>
          <w:szCs w:val="24"/>
        </w:rPr>
        <w:t>this allows the intervention</w:t>
      </w:r>
      <w:r w:rsidR="00E9395D" w:rsidRPr="00DF26D7">
        <w:rPr>
          <w:rFonts w:asciiTheme="majorBidi" w:hAnsiTheme="majorBidi" w:cstheme="majorBidi"/>
          <w:sz w:val="24"/>
          <w:szCs w:val="24"/>
        </w:rPr>
        <w:t xml:space="preserve"> to reach students who may not have</w:t>
      </w:r>
      <w:r w:rsidR="00B2177C" w:rsidRPr="00DF26D7">
        <w:rPr>
          <w:rFonts w:asciiTheme="majorBidi" w:hAnsiTheme="majorBidi" w:cstheme="majorBidi"/>
          <w:sz w:val="24"/>
          <w:szCs w:val="24"/>
        </w:rPr>
        <w:t xml:space="preserve"> otherwise</w:t>
      </w:r>
      <w:r w:rsidR="00E9395D" w:rsidRPr="00DF26D7">
        <w:rPr>
          <w:rFonts w:asciiTheme="majorBidi" w:hAnsiTheme="majorBidi" w:cstheme="majorBidi"/>
          <w:sz w:val="24"/>
          <w:szCs w:val="24"/>
        </w:rPr>
        <w:t xml:space="preserve"> sought academic support services </w:t>
      </w:r>
      <w:r w:rsidR="00B2177C" w:rsidRPr="00DF26D7">
        <w:rPr>
          <w:rFonts w:asciiTheme="majorBidi" w:hAnsiTheme="majorBidi" w:cstheme="majorBidi"/>
          <w:sz w:val="24"/>
          <w:szCs w:val="24"/>
        </w:rPr>
        <w:t>for</w:t>
      </w:r>
      <w:r w:rsidR="00E9395D" w:rsidRPr="00DF26D7">
        <w:rPr>
          <w:rFonts w:asciiTheme="majorBidi" w:hAnsiTheme="majorBidi" w:cstheme="majorBidi"/>
          <w:sz w:val="24"/>
          <w:szCs w:val="24"/>
        </w:rPr>
        <w:t xml:space="preserve"> themselves. It also </w:t>
      </w:r>
      <w:r w:rsidR="00B2177C" w:rsidRPr="00DF26D7">
        <w:rPr>
          <w:rFonts w:asciiTheme="majorBidi" w:hAnsiTheme="majorBidi" w:cstheme="majorBidi"/>
          <w:sz w:val="24"/>
          <w:szCs w:val="24"/>
        </w:rPr>
        <w:t>demonstrates to</w:t>
      </w:r>
      <w:r w:rsidR="00E9395D" w:rsidRPr="00DF26D7">
        <w:rPr>
          <w:rFonts w:asciiTheme="majorBidi" w:hAnsiTheme="majorBidi" w:cstheme="majorBidi"/>
          <w:sz w:val="24"/>
          <w:szCs w:val="24"/>
        </w:rPr>
        <w:t xml:space="preserve"> students that the </w:t>
      </w:r>
      <w:r w:rsidR="00B2177C" w:rsidRPr="00DF26D7">
        <w:rPr>
          <w:rFonts w:asciiTheme="majorBidi" w:hAnsiTheme="majorBidi" w:cstheme="majorBidi"/>
          <w:sz w:val="24"/>
          <w:szCs w:val="24"/>
        </w:rPr>
        <w:t>institution</w:t>
      </w:r>
      <w:r w:rsidR="00E9395D" w:rsidRPr="00DF26D7">
        <w:rPr>
          <w:rFonts w:asciiTheme="majorBidi" w:hAnsiTheme="majorBidi" w:cstheme="majorBidi"/>
          <w:sz w:val="24"/>
          <w:szCs w:val="24"/>
        </w:rPr>
        <w:t xml:space="preserve"> cares about their performance and is willing to help them successfully complete their </w:t>
      </w:r>
      <w:r w:rsidR="00B2177C" w:rsidRPr="00DF26D7">
        <w:rPr>
          <w:rFonts w:asciiTheme="majorBidi" w:hAnsiTheme="majorBidi" w:cstheme="majorBidi"/>
          <w:sz w:val="24"/>
          <w:szCs w:val="24"/>
        </w:rPr>
        <w:t>course or programme of study, even though they may be</w:t>
      </w:r>
      <w:r w:rsidR="00E9395D" w:rsidRPr="00DF26D7">
        <w:rPr>
          <w:rFonts w:asciiTheme="majorBidi" w:hAnsiTheme="majorBidi" w:cstheme="majorBidi"/>
          <w:sz w:val="24"/>
          <w:szCs w:val="24"/>
        </w:rPr>
        <w:t xml:space="preserve"> just one of many in a very large class.</w:t>
      </w:r>
      <w:r w:rsidR="00A25F96" w:rsidRPr="00DF26D7">
        <w:rPr>
          <w:rFonts w:asciiTheme="majorBidi" w:hAnsiTheme="majorBidi" w:cstheme="majorBidi"/>
          <w:sz w:val="24"/>
          <w:szCs w:val="24"/>
        </w:rPr>
        <w:t xml:space="preserve"> </w:t>
      </w:r>
      <w:r w:rsidRPr="00DF26D7">
        <w:rPr>
          <w:rFonts w:asciiTheme="majorBidi" w:hAnsiTheme="majorBidi" w:cstheme="majorBidi"/>
          <w:sz w:val="24"/>
          <w:szCs w:val="24"/>
        </w:rPr>
        <w:t>This may lead to greater student engagement and better academic performance.</w:t>
      </w:r>
    </w:p>
    <w:p w14:paraId="20E80CD4" w14:textId="77777777" w:rsidR="00767C49" w:rsidRPr="00DF26D7" w:rsidRDefault="00767C49" w:rsidP="00F50315">
      <w:pPr>
        <w:tabs>
          <w:tab w:val="left" w:pos="567"/>
        </w:tabs>
        <w:spacing w:after="0" w:line="288" w:lineRule="auto"/>
        <w:ind w:firstLine="720"/>
        <w:jc w:val="both"/>
        <w:rPr>
          <w:rFonts w:asciiTheme="majorBidi" w:hAnsiTheme="majorBidi" w:cstheme="majorBidi"/>
          <w:sz w:val="24"/>
          <w:szCs w:val="24"/>
        </w:rPr>
      </w:pPr>
    </w:p>
    <w:p w14:paraId="66E94743" w14:textId="72047FB0" w:rsidR="00B2177C" w:rsidRDefault="00F50315" w:rsidP="00F50315">
      <w:pPr>
        <w:pStyle w:val="Heading2"/>
        <w:tabs>
          <w:tab w:val="left" w:pos="567"/>
        </w:tabs>
        <w:spacing w:before="0" w:line="288" w:lineRule="auto"/>
        <w:jc w:val="both"/>
        <w:rPr>
          <w:sz w:val="24"/>
          <w:szCs w:val="24"/>
        </w:rPr>
      </w:pPr>
      <w:r w:rsidRPr="00F50315">
        <w:rPr>
          <w:sz w:val="24"/>
          <w:szCs w:val="24"/>
        </w:rPr>
        <w:t xml:space="preserve">3.  </w:t>
      </w:r>
      <w:r w:rsidR="00B2177C" w:rsidRPr="00F50315">
        <w:rPr>
          <w:sz w:val="24"/>
          <w:szCs w:val="24"/>
        </w:rPr>
        <w:t>Study Setting</w:t>
      </w:r>
      <w:r w:rsidR="00A123D5" w:rsidRPr="00F50315">
        <w:rPr>
          <w:sz w:val="24"/>
          <w:szCs w:val="24"/>
        </w:rPr>
        <w:t xml:space="preserve"> and the Intervention</w:t>
      </w:r>
    </w:p>
    <w:p w14:paraId="64953FBE" w14:textId="77777777" w:rsidR="00F50315" w:rsidRPr="00F50315" w:rsidRDefault="00F50315" w:rsidP="00F50315">
      <w:pPr>
        <w:tabs>
          <w:tab w:val="left" w:pos="567"/>
        </w:tabs>
        <w:spacing w:after="0" w:line="288" w:lineRule="auto"/>
        <w:jc w:val="both"/>
        <w:rPr>
          <w:rFonts w:asciiTheme="majorBidi" w:hAnsiTheme="majorBidi" w:cstheme="majorBidi"/>
          <w:sz w:val="12"/>
          <w:szCs w:val="12"/>
        </w:rPr>
      </w:pPr>
    </w:p>
    <w:p w14:paraId="1E5FBF11" w14:textId="75947250" w:rsidR="00B2177C" w:rsidRDefault="00B2177C" w:rsidP="00F50315">
      <w:pPr>
        <w:tabs>
          <w:tab w:val="left" w:pos="567"/>
        </w:tabs>
        <w:spacing w:after="0" w:line="288" w:lineRule="auto"/>
        <w:jc w:val="both"/>
        <w:rPr>
          <w:rFonts w:asciiTheme="majorBidi" w:hAnsiTheme="majorBidi" w:cstheme="majorBidi"/>
          <w:sz w:val="24"/>
          <w:szCs w:val="24"/>
        </w:rPr>
      </w:pPr>
      <w:r w:rsidRPr="00357D66">
        <w:rPr>
          <w:rFonts w:asciiTheme="majorBidi" w:hAnsiTheme="majorBidi" w:cstheme="majorBidi"/>
          <w:sz w:val="24"/>
          <w:szCs w:val="24"/>
        </w:rPr>
        <w:t>The University of Waikato is a mid-sized university (approximately 1</w:t>
      </w:r>
      <w:r w:rsidR="003638A9" w:rsidRPr="00357D66">
        <w:rPr>
          <w:rFonts w:asciiTheme="majorBidi" w:hAnsiTheme="majorBidi" w:cstheme="majorBidi"/>
          <w:sz w:val="24"/>
          <w:szCs w:val="24"/>
        </w:rPr>
        <w:t>2</w:t>
      </w:r>
      <w:r w:rsidRPr="00357D66">
        <w:rPr>
          <w:rFonts w:asciiTheme="majorBidi" w:hAnsiTheme="majorBidi" w:cstheme="majorBidi"/>
          <w:sz w:val="24"/>
          <w:szCs w:val="24"/>
        </w:rPr>
        <w:t>,000 students) in New Zealand, located in Hamilton (</w:t>
      </w:r>
      <w:r w:rsidR="00AE5DEB" w:rsidRPr="00357D66">
        <w:rPr>
          <w:rFonts w:asciiTheme="majorBidi" w:hAnsiTheme="majorBidi" w:cstheme="majorBidi"/>
          <w:sz w:val="24"/>
          <w:szCs w:val="24"/>
        </w:rPr>
        <w:t xml:space="preserve">with a </w:t>
      </w:r>
      <w:r w:rsidRPr="00357D66">
        <w:rPr>
          <w:rFonts w:asciiTheme="majorBidi" w:hAnsiTheme="majorBidi" w:cstheme="majorBidi"/>
          <w:sz w:val="24"/>
          <w:szCs w:val="24"/>
        </w:rPr>
        <w:t xml:space="preserve">population </w:t>
      </w:r>
      <w:r w:rsidR="00AE5DEB" w:rsidRPr="00357D66">
        <w:rPr>
          <w:rFonts w:asciiTheme="majorBidi" w:hAnsiTheme="majorBidi" w:cstheme="majorBidi"/>
          <w:sz w:val="24"/>
          <w:szCs w:val="24"/>
        </w:rPr>
        <w:t xml:space="preserve">of </w:t>
      </w:r>
      <w:r w:rsidRPr="00357D66">
        <w:rPr>
          <w:rFonts w:asciiTheme="majorBidi" w:hAnsiTheme="majorBidi" w:cstheme="majorBidi"/>
          <w:sz w:val="24"/>
          <w:szCs w:val="24"/>
        </w:rPr>
        <w:t>approximately 150,000). Waikato Management School is a Triple Crown accredited business school within the university that offers a four-year management degree alongside three-year specialist degrees. The four-year management degree and a three-year specialist degree in business analysis include a compulsory first-year course in microeconomics within the core of the programme of study.</w:t>
      </w:r>
      <w:r w:rsidR="00674D92" w:rsidRPr="00357D66">
        <w:rPr>
          <w:rFonts w:asciiTheme="majorBidi" w:hAnsiTheme="majorBidi" w:cstheme="majorBidi"/>
          <w:sz w:val="24"/>
          <w:szCs w:val="24"/>
        </w:rPr>
        <w:t xml:space="preserve"> This course is offered two or three times per year, and each semester has between 300 and 350 students enrolled.</w:t>
      </w:r>
    </w:p>
    <w:p w14:paraId="0140F3E4" w14:textId="77777777" w:rsidR="00767C49" w:rsidRPr="00357D66" w:rsidRDefault="00767C49" w:rsidP="00F50315">
      <w:pPr>
        <w:tabs>
          <w:tab w:val="left" w:pos="567"/>
        </w:tabs>
        <w:spacing w:after="0" w:line="288" w:lineRule="auto"/>
        <w:jc w:val="both"/>
        <w:rPr>
          <w:rFonts w:asciiTheme="majorBidi" w:hAnsiTheme="majorBidi" w:cstheme="majorBidi"/>
          <w:sz w:val="24"/>
          <w:szCs w:val="24"/>
        </w:rPr>
      </w:pPr>
    </w:p>
    <w:p w14:paraId="4E89F0F5" w14:textId="2FB0DBA1" w:rsidR="00674D92" w:rsidRDefault="00A123D5" w:rsidP="00F50315">
      <w:pPr>
        <w:tabs>
          <w:tab w:val="left" w:pos="567"/>
        </w:tabs>
        <w:spacing w:after="0" w:line="288" w:lineRule="auto"/>
        <w:ind w:firstLine="567"/>
        <w:jc w:val="both"/>
        <w:rPr>
          <w:rFonts w:asciiTheme="majorBidi" w:hAnsiTheme="majorBidi" w:cstheme="majorBidi"/>
          <w:sz w:val="24"/>
          <w:szCs w:val="24"/>
        </w:rPr>
      </w:pPr>
      <w:r w:rsidRPr="00357D66">
        <w:rPr>
          <w:rFonts w:asciiTheme="majorBidi" w:hAnsiTheme="majorBidi" w:cstheme="majorBidi"/>
          <w:sz w:val="24"/>
          <w:szCs w:val="24"/>
        </w:rPr>
        <w:t xml:space="preserve">The course has neither an atypically high </w:t>
      </w:r>
      <w:r w:rsidR="00D2458C" w:rsidRPr="00357D66">
        <w:rPr>
          <w:rFonts w:asciiTheme="majorBidi" w:hAnsiTheme="majorBidi" w:cstheme="majorBidi"/>
          <w:sz w:val="24"/>
          <w:szCs w:val="24"/>
        </w:rPr>
        <w:t>n</w:t>
      </w:r>
      <w:r w:rsidRPr="00357D66">
        <w:rPr>
          <w:rFonts w:asciiTheme="majorBidi" w:hAnsiTheme="majorBidi" w:cstheme="majorBidi"/>
          <w:sz w:val="24"/>
          <w:szCs w:val="24"/>
        </w:rPr>
        <w:t>or low pass rate – on average approximately 80 percent of enrolled students will pass the course in any given semester. Prior to the intervention experiment, there was no course-specific pa</w:t>
      </w:r>
      <w:r w:rsidR="00AE5DEB" w:rsidRPr="00357D66">
        <w:rPr>
          <w:rFonts w:asciiTheme="majorBidi" w:hAnsiTheme="majorBidi" w:cstheme="majorBidi"/>
          <w:sz w:val="24"/>
          <w:szCs w:val="24"/>
        </w:rPr>
        <w:t>storal care initiative in place, although</w:t>
      </w:r>
      <w:r w:rsidRPr="00357D66">
        <w:rPr>
          <w:rFonts w:asciiTheme="majorBidi" w:hAnsiTheme="majorBidi" w:cstheme="majorBidi"/>
          <w:sz w:val="24"/>
          <w:szCs w:val="24"/>
        </w:rPr>
        <w:t xml:space="preserve"> </w:t>
      </w:r>
      <w:r w:rsidR="00AE5DEB" w:rsidRPr="00357D66">
        <w:rPr>
          <w:rFonts w:asciiTheme="majorBidi" w:hAnsiTheme="majorBidi" w:cstheme="majorBidi"/>
          <w:sz w:val="24"/>
          <w:szCs w:val="24"/>
        </w:rPr>
        <w:t>t</w:t>
      </w:r>
      <w:r w:rsidRPr="00357D66">
        <w:rPr>
          <w:rFonts w:asciiTheme="majorBidi" w:hAnsiTheme="majorBidi" w:cstheme="majorBidi"/>
          <w:sz w:val="24"/>
          <w:szCs w:val="24"/>
        </w:rPr>
        <w:t xml:space="preserve">he teaching </w:t>
      </w:r>
      <w:proofErr w:type="gramStart"/>
      <w:r w:rsidRPr="00357D66">
        <w:rPr>
          <w:rFonts w:asciiTheme="majorBidi" w:hAnsiTheme="majorBidi" w:cstheme="majorBidi"/>
          <w:sz w:val="24"/>
          <w:szCs w:val="24"/>
        </w:rPr>
        <w:t xml:space="preserve">staff </w:t>
      </w:r>
      <w:r w:rsidR="00CE72A9">
        <w:rPr>
          <w:rFonts w:asciiTheme="majorBidi" w:hAnsiTheme="majorBidi" w:cstheme="majorBidi"/>
          <w:sz w:val="24"/>
          <w:szCs w:val="24"/>
        </w:rPr>
        <w:t xml:space="preserve"> </w:t>
      </w:r>
      <w:r w:rsidRPr="00357D66">
        <w:rPr>
          <w:rFonts w:asciiTheme="majorBidi" w:hAnsiTheme="majorBidi" w:cstheme="majorBidi"/>
          <w:sz w:val="24"/>
          <w:szCs w:val="24"/>
        </w:rPr>
        <w:t>have</w:t>
      </w:r>
      <w:proofErr w:type="gramEnd"/>
      <w:r w:rsidRPr="00357D66">
        <w:rPr>
          <w:rFonts w:asciiTheme="majorBidi" w:hAnsiTheme="majorBidi" w:cstheme="majorBidi"/>
          <w:sz w:val="24"/>
          <w:szCs w:val="24"/>
        </w:rPr>
        <w:t xml:space="preserve"> weekly office hours available for students to seek additional </w:t>
      </w:r>
      <w:r w:rsidRPr="00357D66">
        <w:rPr>
          <w:rFonts w:asciiTheme="majorBidi" w:hAnsiTheme="majorBidi" w:cstheme="majorBidi"/>
          <w:sz w:val="24"/>
          <w:szCs w:val="24"/>
        </w:rPr>
        <w:lastRenderedPageBreak/>
        <w:t>help, and the university provides centrally-organised learning support services that students have ready access to. However, these pre-existing services necessarily require that students take the initiative to access them. Prior to the intervention experiment, t</w:t>
      </w:r>
      <w:r w:rsidR="00674D92" w:rsidRPr="00357D66">
        <w:rPr>
          <w:rFonts w:asciiTheme="majorBidi" w:hAnsiTheme="majorBidi" w:cstheme="majorBidi"/>
          <w:sz w:val="24"/>
          <w:szCs w:val="24"/>
        </w:rPr>
        <w:t xml:space="preserve">here </w:t>
      </w:r>
      <w:r w:rsidRPr="00357D66">
        <w:rPr>
          <w:rFonts w:asciiTheme="majorBidi" w:hAnsiTheme="majorBidi" w:cstheme="majorBidi"/>
          <w:sz w:val="24"/>
          <w:szCs w:val="24"/>
        </w:rPr>
        <w:t>wa</w:t>
      </w:r>
      <w:r w:rsidR="00674D92" w:rsidRPr="00357D66">
        <w:rPr>
          <w:rFonts w:asciiTheme="majorBidi" w:hAnsiTheme="majorBidi" w:cstheme="majorBidi"/>
          <w:sz w:val="24"/>
          <w:szCs w:val="24"/>
        </w:rPr>
        <w:t xml:space="preserve">s no </w:t>
      </w:r>
      <w:r w:rsidRPr="00357D66">
        <w:rPr>
          <w:rFonts w:asciiTheme="majorBidi" w:hAnsiTheme="majorBidi" w:cstheme="majorBidi"/>
          <w:sz w:val="24"/>
          <w:szCs w:val="24"/>
        </w:rPr>
        <w:t xml:space="preserve">coordinated </w:t>
      </w:r>
      <w:r w:rsidR="00674D92" w:rsidRPr="00357D66">
        <w:rPr>
          <w:rFonts w:asciiTheme="majorBidi" w:hAnsiTheme="majorBidi" w:cstheme="majorBidi"/>
          <w:sz w:val="24"/>
          <w:szCs w:val="24"/>
        </w:rPr>
        <w:t xml:space="preserve">mechanism or system for identifying and referring </w:t>
      </w:r>
      <w:r w:rsidRPr="00357D66">
        <w:rPr>
          <w:rFonts w:asciiTheme="majorBidi" w:hAnsiTheme="majorBidi" w:cstheme="majorBidi"/>
          <w:sz w:val="24"/>
          <w:szCs w:val="24"/>
        </w:rPr>
        <w:t xml:space="preserve">at-risk </w:t>
      </w:r>
      <w:r w:rsidR="00674D92" w:rsidRPr="00357D66">
        <w:rPr>
          <w:rFonts w:asciiTheme="majorBidi" w:hAnsiTheme="majorBidi" w:cstheme="majorBidi"/>
          <w:sz w:val="24"/>
          <w:szCs w:val="24"/>
        </w:rPr>
        <w:t>students to learning support services.</w:t>
      </w:r>
    </w:p>
    <w:p w14:paraId="33D92142" w14:textId="77777777" w:rsidR="00767C49" w:rsidRPr="00357D66" w:rsidRDefault="00767C49" w:rsidP="00F50315">
      <w:pPr>
        <w:tabs>
          <w:tab w:val="left" w:pos="567"/>
        </w:tabs>
        <w:spacing w:after="0" w:line="288" w:lineRule="auto"/>
        <w:ind w:firstLine="720"/>
        <w:jc w:val="both"/>
        <w:rPr>
          <w:rFonts w:asciiTheme="majorBidi" w:hAnsiTheme="majorBidi" w:cstheme="majorBidi"/>
          <w:sz w:val="24"/>
          <w:szCs w:val="24"/>
        </w:rPr>
      </w:pPr>
    </w:p>
    <w:p w14:paraId="51ADF113" w14:textId="11118E40" w:rsidR="00A123D5" w:rsidRDefault="00A123D5" w:rsidP="00F50315">
      <w:pPr>
        <w:tabs>
          <w:tab w:val="left" w:pos="567"/>
        </w:tabs>
        <w:spacing w:after="0" w:line="288" w:lineRule="auto"/>
        <w:ind w:firstLine="567"/>
        <w:jc w:val="both"/>
        <w:rPr>
          <w:rFonts w:asciiTheme="majorBidi" w:hAnsiTheme="majorBidi" w:cstheme="majorBidi"/>
          <w:sz w:val="24"/>
          <w:szCs w:val="24"/>
        </w:rPr>
      </w:pPr>
      <w:r w:rsidRPr="00357D66">
        <w:rPr>
          <w:rFonts w:asciiTheme="majorBidi" w:hAnsiTheme="majorBidi" w:cstheme="majorBidi"/>
          <w:sz w:val="24"/>
          <w:szCs w:val="24"/>
        </w:rPr>
        <w:t>The proactive pastoral care intervention was undertaken in the first semester</w:t>
      </w:r>
      <w:r w:rsidR="00D2458C" w:rsidRPr="00357D66">
        <w:rPr>
          <w:rFonts w:asciiTheme="majorBidi" w:hAnsiTheme="majorBidi" w:cstheme="majorBidi"/>
          <w:sz w:val="24"/>
          <w:szCs w:val="24"/>
        </w:rPr>
        <w:t>s</w:t>
      </w:r>
      <w:r w:rsidRPr="00357D66">
        <w:rPr>
          <w:rFonts w:asciiTheme="majorBidi" w:hAnsiTheme="majorBidi" w:cstheme="majorBidi"/>
          <w:sz w:val="24"/>
          <w:szCs w:val="24"/>
        </w:rPr>
        <w:t xml:space="preserve"> of </w:t>
      </w:r>
      <w:r w:rsidR="00D2458C" w:rsidRPr="00357D66">
        <w:rPr>
          <w:rFonts w:asciiTheme="majorBidi" w:hAnsiTheme="majorBidi" w:cstheme="majorBidi"/>
          <w:sz w:val="24"/>
          <w:szCs w:val="24"/>
        </w:rPr>
        <w:t xml:space="preserve">the </w:t>
      </w:r>
      <w:r w:rsidRPr="00357D66">
        <w:rPr>
          <w:rFonts w:asciiTheme="majorBidi" w:hAnsiTheme="majorBidi" w:cstheme="majorBidi"/>
          <w:sz w:val="24"/>
          <w:szCs w:val="24"/>
        </w:rPr>
        <w:t>2013, and 2014</w:t>
      </w:r>
      <w:r w:rsidR="00D2458C" w:rsidRPr="00357D66">
        <w:rPr>
          <w:rFonts w:asciiTheme="majorBidi" w:hAnsiTheme="majorBidi" w:cstheme="majorBidi"/>
          <w:sz w:val="24"/>
          <w:szCs w:val="24"/>
        </w:rPr>
        <w:t xml:space="preserve"> academic years</w:t>
      </w:r>
      <w:r w:rsidRPr="00357D66">
        <w:rPr>
          <w:rFonts w:asciiTheme="majorBidi" w:hAnsiTheme="majorBidi" w:cstheme="majorBidi"/>
          <w:sz w:val="24"/>
          <w:szCs w:val="24"/>
        </w:rPr>
        <w:t xml:space="preserve">. Both semesters were sixteen weeks long, with an initial six weeks of teaching, followed by a two-week teaching recess, then a further six weeks of teaching, and finally a three week study and examination period. Each student is requested (but not required) to sign up for a weekly tutorial group (there are many tutorial groups </w:t>
      </w:r>
      <w:r w:rsidR="00AE5DEB" w:rsidRPr="00357D66">
        <w:rPr>
          <w:rFonts w:asciiTheme="majorBidi" w:hAnsiTheme="majorBidi" w:cstheme="majorBidi"/>
          <w:sz w:val="24"/>
          <w:szCs w:val="24"/>
        </w:rPr>
        <w:t>available, on different days and at different times, for students to</w:t>
      </w:r>
      <w:r w:rsidRPr="00357D66">
        <w:rPr>
          <w:rFonts w:asciiTheme="majorBidi" w:hAnsiTheme="majorBidi" w:cstheme="majorBidi"/>
          <w:sz w:val="24"/>
          <w:szCs w:val="24"/>
        </w:rPr>
        <w:t xml:space="preserve"> choose from). Tutorial sessions begin in the second week of the semester. Attendance is </w:t>
      </w:r>
      <w:r w:rsidR="00AE5DEB" w:rsidRPr="00357D66">
        <w:rPr>
          <w:rFonts w:asciiTheme="majorBidi" w:hAnsiTheme="majorBidi" w:cstheme="majorBidi"/>
          <w:sz w:val="24"/>
          <w:szCs w:val="24"/>
        </w:rPr>
        <w:t>recorded</w:t>
      </w:r>
      <w:r w:rsidRPr="00357D66">
        <w:rPr>
          <w:rFonts w:asciiTheme="majorBidi" w:hAnsiTheme="majorBidi" w:cstheme="majorBidi"/>
          <w:sz w:val="24"/>
          <w:szCs w:val="24"/>
        </w:rPr>
        <w:t xml:space="preserve"> at tutorials, and is incentivised by contributing a small proportion to students’ overall grades. Students also complete weekly online tests that form part of the overall assessment of the paper</w:t>
      </w:r>
      <w:r w:rsidR="00297795" w:rsidRPr="00357D66">
        <w:rPr>
          <w:rFonts w:asciiTheme="majorBidi" w:hAnsiTheme="majorBidi" w:cstheme="majorBidi"/>
          <w:sz w:val="24"/>
          <w:szCs w:val="24"/>
        </w:rPr>
        <w:t xml:space="preserve">, </w:t>
      </w:r>
      <w:r w:rsidR="00AE5DEB" w:rsidRPr="00357D66">
        <w:rPr>
          <w:rFonts w:asciiTheme="majorBidi" w:hAnsiTheme="majorBidi" w:cstheme="majorBidi"/>
          <w:sz w:val="24"/>
          <w:szCs w:val="24"/>
        </w:rPr>
        <w:t>beginning from</w:t>
      </w:r>
      <w:r w:rsidR="00297795" w:rsidRPr="00357D66">
        <w:rPr>
          <w:rFonts w:asciiTheme="majorBidi" w:hAnsiTheme="majorBidi" w:cstheme="majorBidi"/>
          <w:sz w:val="24"/>
          <w:szCs w:val="24"/>
        </w:rPr>
        <w:t xml:space="preserve"> the end of th</w:t>
      </w:r>
      <w:r w:rsidR="00237704" w:rsidRPr="00357D66">
        <w:rPr>
          <w:rFonts w:asciiTheme="majorBidi" w:hAnsiTheme="majorBidi" w:cstheme="majorBidi"/>
          <w:sz w:val="24"/>
          <w:szCs w:val="24"/>
        </w:rPr>
        <w:t>e</w:t>
      </w:r>
      <w:r w:rsidR="00297795" w:rsidRPr="00357D66">
        <w:rPr>
          <w:rFonts w:asciiTheme="majorBidi" w:hAnsiTheme="majorBidi" w:cstheme="majorBidi"/>
          <w:sz w:val="24"/>
          <w:szCs w:val="24"/>
        </w:rPr>
        <w:t xml:space="preserve"> second week</w:t>
      </w:r>
      <w:r w:rsidRPr="00357D66">
        <w:rPr>
          <w:rFonts w:asciiTheme="majorBidi" w:hAnsiTheme="majorBidi" w:cstheme="majorBidi"/>
          <w:sz w:val="24"/>
          <w:szCs w:val="24"/>
        </w:rPr>
        <w:t>. Finally, students who are present in the second lecture of the first week of the semester complete an economic literacy test (</w:t>
      </w:r>
      <w:r w:rsidRPr="00FC7165">
        <w:rPr>
          <w:rFonts w:asciiTheme="majorBidi" w:hAnsiTheme="majorBidi" w:cstheme="majorBidi"/>
          <w:sz w:val="24"/>
          <w:szCs w:val="24"/>
        </w:rPr>
        <w:t xml:space="preserve">Cameron </w:t>
      </w:r>
      <w:r w:rsidR="00F50315">
        <w:rPr>
          <w:rFonts w:asciiTheme="majorBidi" w:hAnsiTheme="majorBidi" w:cstheme="majorBidi"/>
          <w:sz w:val="24"/>
          <w:szCs w:val="24"/>
        </w:rPr>
        <w:t>and</w:t>
      </w:r>
      <w:r w:rsidR="000C28A8" w:rsidRPr="00FC7165">
        <w:rPr>
          <w:rFonts w:asciiTheme="majorBidi" w:hAnsiTheme="majorBidi" w:cstheme="majorBidi"/>
          <w:sz w:val="24"/>
          <w:szCs w:val="24"/>
        </w:rPr>
        <w:t xml:space="preserve"> </w:t>
      </w:r>
      <w:r w:rsidRPr="00FC7165">
        <w:rPr>
          <w:rFonts w:asciiTheme="majorBidi" w:hAnsiTheme="majorBidi" w:cstheme="majorBidi"/>
          <w:sz w:val="24"/>
          <w:szCs w:val="24"/>
        </w:rPr>
        <w:t>Lim</w:t>
      </w:r>
      <w:r w:rsidRPr="00357D66">
        <w:rPr>
          <w:rFonts w:asciiTheme="majorBidi" w:hAnsiTheme="majorBidi" w:cstheme="majorBidi"/>
          <w:sz w:val="24"/>
          <w:szCs w:val="24"/>
        </w:rPr>
        <w:t xml:space="preserve"> 20</w:t>
      </w:r>
      <w:r w:rsidR="00297795" w:rsidRPr="00357D66">
        <w:rPr>
          <w:rFonts w:asciiTheme="majorBidi" w:hAnsiTheme="majorBidi" w:cstheme="majorBidi"/>
          <w:sz w:val="24"/>
          <w:szCs w:val="24"/>
        </w:rPr>
        <w:t>1</w:t>
      </w:r>
      <w:r w:rsidR="00EC0487" w:rsidRPr="00357D66">
        <w:rPr>
          <w:rFonts w:asciiTheme="majorBidi" w:hAnsiTheme="majorBidi" w:cstheme="majorBidi"/>
          <w:sz w:val="24"/>
          <w:szCs w:val="24"/>
        </w:rPr>
        <w:t>5</w:t>
      </w:r>
      <w:r w:rsidR="00297795" w:rsidRPr="00357D66">
        <w:rPr>
          <w:rFonts w:asciiTheme="majorBidi" w:hAnsiTheme="majorBidi" w:cstheme="majorBidi"/>
          <w:sz w:val="24"/>
          <w:szCs w:val="24"/>
        </w:rPr>
        <w:t>). The first substantial item of assessment is a mid-semester test that is held in the fifth week of the semester, and which contributes 15 percent of each student’s overall grade.</w:t>
      </w:r>
    </w:p>
    <w:p w14:paraId="2BDDB9FE" w14:textId="77777777" w:rsidR="00767C49" w:rsidRPr="00357D66" w:rsidRDefault="00767C49" w:rsidP="00F50315">
      <w:pPr>
        <w:tabs>
          <w:tab w:val="left" w:pos="567"/>
        </w:tabs>
        <w:spacing w:after="0" w:line="288" w:lineRule="auto"/>
        <w:ind w:firstLine="720"/>
        <w:jc w:val="both"/>
        <w:rPr>
          <w:rFonts w:asciiTheme="majorBidi" w:hAnsiTheme="majorBidi" w:cstheme="majorBidi"/>
          <w:sz w:val="24"/>
          <w:szCs w:val="24"/>
        </w:rPr>
      </w:pPr>
    </w:p>
    <w:p w14:paraId="5AE98111" w14:textId="5D607755" w:rsidR="00237704" w:rsidRDefault="00297795" w:rsidP="00F50315">
      <w:pPr>
        <w:tabs>
          <w:tab w:val="left" w:pos="567"/>
        </w:tabs>
        <w:spacing w:after="0" w:line="288" w:lineRule="auto"/>
        <w:ind w:firstLine="567"/>
        <w:jc w:val="both"/>
        <w:rPr>
          <w:rFonts w:asciiTheme="majorBidi" w:hAnsiTheme="majorBidi" w:cstheme="majorBidi"/>
          <w:sz w:val="24"/>
          <w:szCs w:val="24"/>
        </w:rPr>
      </w:pPr>
      <w:r w:rsidRPr="00357D66">
        <w:rPr>
          <w:rFonts w:asciiTheme="majorBidi" w:hAnsiTheme="majorBidi" w:cstheme="majorBidi"/>
          <w:sz w:val="24"/>
          <w:szCs w:val="24"/>
        </w:rPr>
        <w:t>It was felt that waiting until the fifth week</w:t>
      </w:r>
      <w:r w:rsidR="00AE5DEB" w:rsidRPr="00357D66">
        <w:rPr>
          <w:rFonts w:asciiTheme="majorBidi" w:hAnsiTheme="majorBidi" w:cstheme="majorBidi"/>
          <w:sz w:val="24"/>
          <w:szCs w:val="24"/>
        </w:rPr>
        <w:t xml:space="preserve"> (at the time of the mid-semester test)</w:t>
      </w:r>
      <w:r w:rsidRPr="00357D66">
        <w:rPr>
          <w:rFonts w:asciiTheme="majorBidi" w:hAnsiTheme="majorBidi" w:cstheme="majorBidi"/>
          <w:sz w:val="24"/>
          <w:szCs w:val="24"/>
        </w:rPr>
        <w:t xml:space="preserve"> to identify students at risk of failing the paper was too late for effective intervention. Instead, we sought to identify students at risk by the end of the fourth week of the semester, such that any intervention might be implemented before the mid-semester test </w:t>
      </w:r>
      <w:r w:rsidR="008E3A7C" w:rsidRPr="00357D66">
        <w:rPr>
          <w:rFonts w:asciiTheme="majorBidi" w:hAnsiTheme="majorBidi" w:cstheme="majorBidi"/>
          <w:sz w:val="24"/>
          <w:szCs w:val="24"/>
        </w:rPr>
        <w:t xml:space="preserve">was </w:t>
      </w:r>
      <w:r w:rsidRPr="00357D66">
        <w:rPr>
          <w:rFonts w:asciiTheme="majorBidi" w:hAnsiTheme="majorBidi" w:cstheme="majorBidi"/>
          <w:sz w:val="24"/>
          <w:szCs w:val="24"/>
        </w:rPr>
        <w:t xml:space="preserve">held. Thus, only data that were readily available at that time could be used </w:t>
      </w:r>
      <w:r w:rsidR="00AD7E56" w:rsidRPr="00357D66">
        <w:rPr>
          <w:rFonts w:asciiTheme="majorBidi" w:hAnsiTheme="majorBidi" w:cstheme="majorBidi"/>
          <w:sz w:val="24"/>
          <w:szCs w:val="24"/>
        </w:rPr>
        <w:t>in this model</w:t>
      </w:r>
      <w:r w:rsidRPr="00357D66">
        <w:rPr>
          <w:rFonts w:asciiTheme="majorBidi" w:hAnsiTheme="majorBidi" w:cstheme="majorBidi"/>
          <w:sz w:val="24"/>
          <w:szCs w:val="24"/>
        </w:rPr>
        <w:t xml:space="preserve">. This included basic </w:t>
      </w:r>
      <w:r w:rsidR="00AD7E56" w:rsidRPr="00357D66">
        <w:rPr>
          <w:rFonts w:asciiTheme="majorBidi" w:hAnsiTheme="majorBidi" w:cstheme="majorBidi"/>
          <w:sz w:val="24"/>
          <w:szCs w:val="24"/>
        </w:rPr>
        <w:t>programme of study</w:t>
      </w:r>
      <w:r w:rsidRPr="00357D66">
        <w:rPr>
          <w:rFonts w:asciiTheme="majorBidi" w:hAnsiTheme="majorBidi" w:cstheme="majorBidi"/>
          <w:sz w:val="24"/>
          <w:szCs w:val="24"/>
        </w:rPr>
        <w:t xml:space="preserve"> data (citizenship (domestic/international); and programme of study) and </w:t>
      </w:r>
      <w:r w:rsidR="00AD7E56" w:rsidRPr="00357D66">
        <w:rPr>
          <w:rFonts w:asciiTheme="majorBidi" w:hAnsiTheme="majorBidi" w:cstheme="majorBidi"/>
          <w:sz w:val="24"/>
          <w:szCs w:val="24"/>
        </w:rPr>
        <w:t xml:space="preserve">course-specific </w:t>
      </w:r>
      <w:r w:rsidRPr="00357D66">
        <w:rPr>
          <w:rFonts w:asciiTheme="majorBidi" w:hAnsiTheme="majorBidi" w:cstheme="majorBidi"/>
          <w:sz w:val="24"/>
          <w:szCs w:val="24"/>
        </w:rPr>
        <w:t>data (whether they had signed up for a tutorial; attendance at each of the first three tutorials; whether they had signed up for the online testing system; completion of each of the first three online tests; and completion of the economic literacy test in class in the first week).</w:t>
      </w:r>
      <w:r w:rsidR="00237704" w:rsidRPr="00357D66">
        <w:rPr>
          <w:rFonts w:asciiTheme="majorBidi" w:hAnsiTheme="majorBidi" w:cstheme="majorBidi"/>
          <w:sz w:val="24"/>
          <w:szCs w:val="24"/>
        </w:rPr>
        <w:t xml:space="preserve"> The combination of </w:t>
      </w:r>
      <w:r w:rsidR="00AD7E56" w:rsidRPr="00357D66">
        <w:rPr>
          <w:rFonts w:asciiTheme="majorBidi" w:hAnsiTheme="majorBidi" w:cstheme="majorBidi"/>
          <w:sz w:val="24"/>
          <w:szCs w:val="24"/>
        </w:rPr>
        <w:t>programme of study</w:t>
      </w:r>
      <w:r w:rsidR="00237704" w:rsidRPr="00357D66">
        <w:rPr>
          <w:rFonts w:asciiTheme="majorBidi" w:hAnsiTheme="majorBidi" w:cstheme="majorBidi"/>
          <w:sz w:val="24"/>
          <w:szCs w:val="24"/>
        </w:rPr>
        <w:t xml:space="preserve"> and behavioural data is important, as </w:t>
      </w:r>
      <w:r w:rsidR="00AE5DEB" w:rsidRPr="00357D66">
        <w:rPr>
          <w:rFonts w:asciiTheme="majorBidi" w:hAnsiTheme="majorBidi" w:cstheme="majorBidi"/>
          <w:sz w:val="24"/>
          <w:szCs w:val="24"/>
        </w:rPr>
        <w:t>student behaviour within courses has been found to be instrumental in contributing to a range of outcomes including persistence, satisfaction, achievement and academic success, as well as being good indicators of student engagement (</w:t>
      </w:r>
      <w:r w:rsidR="00AE5DEB" w:rsidRPr="00FC7165">
        <w:rPr>
          <w:rFonts w:asciiTheme="majorBidi" w:hAnsiTheme="majorBidi" w:cstheme="majorBidi"/>
          <w:sz w:val="24"/>
          <w:szCs w:val="24"/>
        </w:rPr>
        <w:t xml:space="preserve">Krause </w:t>
      </w:r>
      <w:r w:rsidR="00F50315">
        <w:rPr>
          <w:rFonts w:asciiTheme="majorBidi" w:hAnsiTheme="majorBidi" w:cstheme="majorBidi"/>
          <w:sz w:val="24"/>
          <w:szCs w:val="24"/>
        </w:rPr>
        <w:t>and</w:t>
      </w:r>
      <w:r w:rsidR="000C28A8" w:rsidRPr="00FC7165">
        <w:rPr>
          <w:rFonts w:asciiTheme="majorBidi" w:hAnsiTheme="majorBidi" w:cstheme="majorBidi"/>
          <w:sz w:val="24"/>
          <w:szCs w:val="24"/>
        </w:rPr>
        <w:t xml:space="preserve"> </w:t>
      </w:r>
      <w:r w:rsidR="00E16AE4">
        <w:rPr>
          <w:rFonts w:asciiTheme="majorBidi" w:hAnsiTheme="majorBidi" w:cstheme="majorBidi"/>
          <w:sz w:val="24"/>
          <w:szCs w:val="24"/>
        </w:rPr>
        <w:t>Coates 2008,</w:t>
      </w:r>
      <w:r w:rsidR="00AE5DEB" w:rsidRPr="00FC7165">
        <w:rPr>
          <w:rFonts w:asciiTheme="majorBidi" w:hAnsiTheme="majorBidi" w:cstheme="majorBidi"/>
          <w:sz w:val="24"/>
          <w:szCs w:val="24"/>
        </w:rPr>
        <w:t xml:space="preserve"> </w:t>
      </w:r>
      <w:proofErr w:type="spellStart"/>
      <w:r w:rsidR="00AE5DEB" w:rsidRPr="00FC7165">
        <w:rPr>
          <w:rFonts w:asciiTheme="majorBidi" w:hAnsiTheme="majorBidi" w:cstheme="majorBidi"/>
          <w:sz w:val="24"/>
          <w:szCs w:val="24"/>
        </w:rPr>
        <w:t>Pascarella</w:t>
      </w:r>
      <w:proofErr w:type="spellEnd"/>
      <w:r w:rsidR="00AE5DEB" w:rsidRPr="00FC7165">
        <w:rPr>
          <w:rFonts w:asciiTheme="majorBidi" w:hAnsiTheme="majorBidi" w:cstheme="majorBidi"/>
          <w:sz w:val="24"/>
          <w:szCs w:val="24"/>
        </w:rPr>
        <w:t xml:space="preserve"> </w:t>
      </w:r>
      <w:r w:rsidR="00F50315">
        <w:rPr>
          <w:rFonts w:asciiTheme="majorBidi" w:hAnsiTheme="majorBidi" w:cstheme="majorBidi"/>
          <w:sz w:val="24"/>
          <w:szCs w:val="24"/>
        </w:rPr>
        <w:t>and</w:t>
      </w:r>
      <w:r w:rsidR="000C28A8" w:rsidRPr="00FC7165">
        <w:rPr>
          <w:rFonts w:asciiTheme="majorBidi" w:hAnsiTheme="majorBidi" w:cstheme="majorBidi"/>
          <w:sz w:val="24"/>
          <w:szCs w:val="24"/>
        </w:rPr>
        <w:t xml:space="preserve"> </w:t>
      </w:r>
      <w:proofErr w:type="spellStart"/>
      <w:r w:rsidR="00F50315">
        <w:rPr>
          <w:rFonts w:asciiTheme="majorBidi" w:hAnsiTheme="majorBidi" w:cstheme="majorBidi"/>
          <w:sz w:val="24"/>
          <w:szCs w:val="24"/>
        </w:rPr>
        <w:t>Terenzini</w:t>
      </w:r>
      <w:proofErr w:type="spellEnd"/>
      <w:r w:rsidR="00F50315">
        <w:rPr>
          <w:rFonts w:asciiTheme="majorBidi" w:hAnsiTheme="majorBidi" w:cstheme="majorBidi"/>
          <w:sz w:val="24"/>
          <w:szCs w:val="24"/>
        </w:rPr>
        <w:t xml:space="preserve"> 2005,</w:t>
      </w:r>
      <w:r w:rsidR="00AE5DEB" w:rsidRPr="00357D66">
        <w:rPr>
          <w:rFonts w:asciiTheme="majorBidi" w:hAnsiTheme="majorBidi" w:cstheme="majorBidi"/>
          <w:sz w:val="24"/>
          <w:szCs w:val="24"/>
        </w:rPr>
        <w:t xml:space="preserve"> </w:t>
      </w:r>
      <w:proofErr w:type="spellStart"/>
      <w:r w:rsidR="00AE5DEB" w:rsidRPr="00357D66">
        <w:rPr>
          <w:rFonts w:asciiTheme="majorBidi" w:hAnsiTheme="majorBidi" w:cstheme="majorBidi"/>
          <w:sz w:val="24"/>
          <w:szCs w:val="24"/>
        </w:rPr>
        <w:t>Astin</w:t>
      </w:r>
      <w:proofErr w:type="spellEnd"/>
      <w:r w:rsidR="00AE5DEB" w:rsidRPr="00357D66">
        <w:rPr>
          <w:rFonts w:asciiTheme="majorBidi" w:hAnsiTheme="majorBidi" w:cstheme="majorBidi"/>
          <w:sz w:val="24"/>
          <w:szCs w:val="24"/>
        </w:rPr>
        <w:t xml:space="preserve"> 1999).</w:t>
      </w:r>
      <w:r w:rsidR="00237704" w:rsidRPr="00357D66">
        <w:rPr>
          <w:rFonts w:asciiTheme="majorBidi" w:hAnsiTheme="majorBidi" w:cstheme="majorBidi"/>
          <w:sz w:val="24"/>
          <w:szCs w:val="24"/>
        </w:rPr>
        <w:t xml:space="preserve"> </w:t>
      </w:r>
    </w:p>
    <w:p w14:paraId="74352285" w14:textId="77777777" w:rsidR="00767C49" w:rsidRPr="00357D66" w:rsidRDefault="00767C49" w:rsidP="00F50315">
      <w:pPr>
        <w:tabs>
          <w:tab w:val="left" w:pos="567"/>
        </w:tabs>
        <w:spacing w:after="0" w:line="288" w:lineRule="auto"/>
        <w:ind w:firstLine="720"/>
        <w:jc w:val="both"/>
        <w:rPr>
          <w:rFonts w:asciiTheme="majorBidi" w:hAnsiTheme="majorBidi" w:cstheme="majorBidi"/>
          <w:sz w:val="24"/>
          <w:szCs w:val="24"/>
        </w:rPr>
      </w:pPr>
    </w:p>
    <w:p w14:paraId="710EDA25" w14:textId="2A15D790" w:rsidR="00297795" w:rsidRDefault="00AD7E56" w:rsidP="00F50315">
      <w:pPr>
        <w:tabs>
          <w:tab w:val="left" w:pos="567"/>
        </w:tabs>
        <w:spacing w:after="0" w:line="288" w:lineRule="auto"/>
        <w:ind w:firstLine="567"/>
        <w:jc w:val="both"/>
        <w:rPr>
          <w:rFonts w:asciiTheme="majorBidi" w:hAnsiTheme="majorBidi" w:cstheme="majorBidi"/>
          <w:sz w:val="24"/>
          <w:szCs w:val="24"/>
        </w:rPr>
      </w:pPr>
      <w:r w:rsidRPr="00357D66">
        <w:rPr>
          <w:rFonts w:asciiTheme="majorBidi" w:hAnsiTheme="majorBidi" w:cstheme="majorBidi"/>
          <w:sz w:val="24"/>
          <w:szCs w:val="24"/>
        </w:rPr>
        <w:t>Two</w:t>
      </w:r>
      <w:r w:rsidR="00237704" w:rsidRPr="00357D66">
        <w:rPr>
          <w:rFonts w:asciiTheme="majorBidi" w:hAnsiTheme="majorBidi" w:cstheme="majorBidi"/>
          <w:sz w:val="24"/>
          <w:szCs w:val="24"/>
        </w:rPr>
        <w:t xml:space="preserve"> further categor</w:t>
      </w:r>
      <w:r w:rsidRPr="00357D66">
        <w:rPr>
          <w:rFonts w:asciiTheme="majorBidi" w:hAnsiTheme="majorBidi" w:cstheme="majorBidi"/>
          <w:sz w:val="24"/>
          <w:szCs w:val="24"/>
        </w:rPr>
        <w:t>ies</w:t>
      </w:r>
      <w:r w:rsidR="00237704" w:rsidRPr="00357D66">
        <w:rPr>
          <w:rFonts w:asciiTheme="majorBidi" w:hAnsiTheme="majorBidi" w:cstheme="majorBidi"/>
          <w:sz w:val="24"/>
          <w:szCs w:val="24"/>
        </w:rPr>
        <w:t xml:space="preserve"> of data, reflecting student </w:t>
      </w:r>
      <w:r w:rsidRPr="00357D66">
        <w:rPr>
          <w:rFonts w:asciiTheme="majorBidi" w:hAnsiTheme="majorBidi" w:cstheme="majorBidi"/>
          <w:sz w:val="24"/>
          <w:szCs w:val="24"/>
        </w:rPr>
        <w:t xml:space="preserve">demographics (gender, age), and student </w:t>
      </w:r>
      <w:r w:rsidR="00237704" w:rsidRPr="00357D66">
        <w:rPr>
          <w:rFonts w:asciiTheme="majorBidi" w:hAnsiTheme="majorBidi" w:cstheme="majorBidi"/>
          <w:sz w:val="24"/>
          <w:szCs w:val="24"/>
        </w:rPr>
        <w:t xml:space="preserve">aptitude, </w:t>
      </w:r>
      <w:r w:rsidRPr="00357D66">
        <w:rPr>
          <w:rFonts w:asciiTheme="majorBidi" w:hAnsiTheme="majorBidi" w:cstheme="majorBidi"/>
          <w:sz w:val="24"/>
          <w:szCs w:val="24"/>
        </w:rPr>
        <w:t>were</w:t>
      </w:r>
      <w:r w:rsidR="00237704" w:rsidRPr="00357D66">
        <w:rPr>
          <w:rFonts w:asciiTheme="majorBidi" w:hAnsiTheme="majorBidi" w:cstheme="majorBidi"/>
          <w:sz w:val="24"/>
          <w:szCs w:val="24"/>
        </w:rPr>
        <w:t xml:space="preserve"> considered. Student </w:t>
      </w:r>
      <w:proofErr w:type="gramStart"/>
      <w:r w:rsidR="00237704" w:rsidRPr="00357D66">
        <w:rPr>
          <w:rFonts w:asciiTheme="majorBidi" w:hAnsiTheme="majorBidi" w:cstheme="majorBidi"/>
          <w:sz w:val="24"/>
          <w:szCs w:val="24"/>
        </w:rPr>
        <w:t>performance in prior courses, or their performance in high school, are</w:t>
      </w:r>
      <w:proofErr w:type="gramEnd"/>
      <w:r w:rsidR="00237704" w:rsidRPr="00357D66">
        <w:rPr>
          <w:rFonts w:asciiTheme="majorBidi" w:hAnsiTheme="majorBidi" w:cstheme="majorBidi"/>
          <w:sz w:val="24"/>
          <w:szCs w:val="24"/>
        </w:rPr>
        <w:t xml:space="preserve"> likely to be good indicators of academic performance. However, </w:t>
      </w:r>
      <w:r w:rsidRPr="00357D66">
        <w:rPr>
          <w:rFonts w:asciiTheme="majorBidi" w:hAnsiTheme="majorBidi" w:cstheme="majorBidi"/>
          <w:sz w:val="24"/>
          <w:szCs w:val="24"/>
        </w:rPr>
        <w:t xml:space="preserve">due to institutional privacy rules </w:t>
      </w:r>
      <w:r w:rsidR="00237704" w:rsidRPr="00357D66">
        <w:rPr>
          <w:rFonts w:asciiTheme="majorBidi" w:hAnsiTheme="majorBidi" w:cstheme="majorBidi"/>
          <w:sz w:val="24"/>
          <w:szCs w:val="24"/>
        </w:rPr>
        <w:t xml:space="preserve">these </w:t>
      </w:r>
      <w:r w:rsidRPr="00357D66">
        <w:rPr>
          <w:rFonts w:asciiTheme="majorBidi" w:hAnsiTheme="majorBidi" w:cstheme="majorBidi"/>
          <w:sz w:val="24"/>
          <w:szCs w:val="24"/>
        </w:rPr>
        <w:t xml:space="preserve">(demographic and student performance) </w:t>
      </w:r>
      <w:r w:rsidR="00237704" w:rsidRPr="00357D66">
        <w:rPr>
          <w:rFonts w:asciiTheme="majorBidi" w:hAnsiTheme="majorBidi" w:cstheme="majorBidi"/>
          <w:sz w:val="24"/>
          <w:szCs w:val="24"/>
        </w:rPr>
        <w:t xml:space="preserve">data are not broadly available to teaching staff at the University of Waikato, although staff with administrative responsibilities (such as qualification convenors, subject convenors, or heads of department) </w:t>
      </w:r>
      <w:r w:rsidR="008E3A7C" w:rsidRPr="00357D66">
        <w:rPr>
          <w:rFonts w:asciiTheme="majorBidi" w:hAnsiTheme="majorBidi" w:cstheme="majorBidi"/>
          <w:sz w:val="24"/>
          <w:szCs w:val="24"/>
        </w:rPr>
        <w:t>can</w:t>
      </w:r>
      <w:r w:rsidR="00237704" w:rsidRPr="00357D66">
        <w:rPr>
          <w:rFonts w:asciiTheme="majorBidi" w:hAnsiTheme="majorBidi" w:cstheme="majorBidi"/>
          <w:sz w:val="24"/>
          <w:szCs w:val="24"/>
        </w:rPr>
        <w:t xml:space="preserve"> access</w:t>
      </w:r>
      <w:r w:rsidR="008E3A7C" w:rsidRPr="00357D66">
        <w:rPr>
          <w:rFonts w:asciiTheme="majorBidi" w:hAnsiTheme="majorBidi" w:cstheme="majorBidi"/>
          <w:sz w:val="24"/>
          <w:szCs w:val="24"/>
        </w:rPr>
        <w:t xml:space="preserve"> them</w:t>
      </w:r>
      <w:r w:rsidR="00237704" w:rsidRPr="00357D66">
        <w:rPr>
          <w:rFonts w:asciiTheme="majorBidi" w:hAnsiTheme="majorBidi" w:cstheme="majorBidi"/>
          <w:sz w:val="24"/>
          <w:szCs w:val="24"/>
        </w:rPr>
        <w:t xml:space="preserve">. While an institutional-level model of student risk of failure could potentially </w:t>
      </w:r>
      <w:r w:rsidR="00237704" w:rsidRPr="00357D66">
        <w:rPr>
          <w:rFonts w:asciiTheme="majorBidi" w:hAnsiTheme="majorBidi" w:cstheme="majorBidi"/>
          <w:sz w:val="24"/>
          <w:szCs w:val="24"/>
        </w:rPr>
        <w:lastRenderedPageBreak/>
        <w:t xml:space="preserve">perform better using student </w:t>
      </w:r>
      <w:r w:rsidRPr="00357D66">
        <w:rPr>
          <w:rFonts w:asciiTheme="majorBidi" w:hAnsiTheme="majorBidi" w:cstheme="majorBidi"/>
          <w:sz w:val="24"/>
          <w:szCs w:val="24"/>
        </w:rPr>
        <w:t xml:space="preserve">demographic and </w:t>
      </w:r>
      <w:r w:rsidR="00237704" w:rsidRPr="00357D66">
        <w:rPr>
          <w:rFonts w:asciiTheme="majorBidi" w:hAnsiTheme="majorBidi" w:cstheme="majorBidi"/>
          <w:sz w:val="24"/>
          <w:szCs w:val="24"/>
        </w:rPr>
        <w:t xml:space="preserve">academic performance data, as a demonstration tool for academic staff we instead used data that would be readily available to course lecturers without the need to </w:t>
      </w:r>
      <w:r w:rsidRPr="00357D66">
        <w:rPr>
          <w:rFonts w:asciiTheme="majorBidi" w:hAnsiTheme="majorBidi" w:cstheme="majorBidi"/>
          <w:sz w:val="24"/>
          <w:szCs w:val="24"/>
        </w:rPr>
        <w:t>request additional institutionally-held</w:t>
      </w:r>
      <w:r w:rsidR="00237704" w:rsidRPr="00357D66">
        <w:rPr>
          <w:rFonts w:asciiTheme="majorBidi" w:hAnsiTheme="majorBidi" w:cstheme="majorBidi"/>
          <w:sz w:val="24"/>
          <w:szCs w:val="24"/>
        </w:rPr>
        <w:t xml:space="preserve"> data.</w:t>
      </w:r>
    </w:p>
    <w:p w14:paraId="357A3753" w14:textId="77777777" w:rsidR="00767C49" w:rsidRPr="00357D66" w:rsidRDefault="00767C49" w:rsidP="00F50315">
      <w:pPr>
        <w:tabs>
          <w:tab w:val="left" w:pos="567"/>
        </w:tabs>
        <w:spacing w:after="0" w:line="288" w:lineRule="auto"/>
        <w:ind w:firstLine="720"/>
        <w:jc w:val="both"/>
        <w:rPr>
          <w:rFonts w:asciiTheme="majorBidi" w:hAnsiTheme="majorBidi" w:cstheme="majorBidi"/>
          <w:sz w:val="24"/>
          <w:szCs w:val="24"/>
        </w:rPr>
      </w:pPr>
    </w:p>
    <w:p w14:paraId="1098820C" w14:textId="2B7F23AB" w:rsidR="00A123D5" w:rsidRDefault="00AE5DEB" w:rsidP="00F50315">
      <w:pPr>
        <w:tabs>
          <w:tab w:val="left" w:pos="567"/>
        </w:tabs>
        <w:spacing w:after="0" w:line="288" w:lineRule="auto"/>
        <w:ind w:firstLine="567"/>
        <w:jc w:val="both"/>
        <w:rPr>
          <w:rFonts w:asciiTheme="majorBidi" w:hAnsiTheme="majorBidi" w:cstheme="majorBidi"/>
          <w:sz w:val="24"/>
          <w:szCs w:val="24"/>
        </w:rPr>
      </w:pPr>
      <w:r w:rsidRPr="00357D66">
        <w:rPr>
          <w:rFonts w:asciiTheme="majorBidi" w:hAnsiTheme="majorBidi" w:cstheme="majorBidi"/>
          <w:sz w:val="24"/>
          <w:szCs w:val="24"/>
        </w:rPr>
        <w:t>Following the identification of appropriate data, a</w:t>
      </w:r>
      <w:r w:rsidR="00A123D5" w:rsidRPr="00357D66">
        <w:rPr>
          <w:rFonts w:asciiTheme="majorBidi" w:hAnsiTheme="majorBidi" w:cstheme="majorBidi"/>
          <w:sz w:val="24"/>
          <w:szCs w:val="24"/>
        </w:rPr>
        <w:t xml:space="preserve"> logistic regression model was developed based on student data from the first semester of 2012 (see </w:t>
      </w:r>
      <w:r w:rsidR="00CE72A9">
        <w:rPr>
          <w:rFonts w:asciiTheme="majorBidi" w:hAnsiTheme="majorBidi" w:cstheme="majorBidi"/>
          <w:sz w:val="24"/>
          <w:szCs w:val="24"/>
        </w:rPr>
        <w:t>results, S</w:t>
      </w:r>
      <w:r w:rsidR="00297795" w:rsidRPr="00357D66">
        <w:rPr>
          <w:rFonts w:asciiTheme="majorBidi" w:hAnsiTheme="majorBidi" w:cstheme="majorBidi"/>
          <w:sz w:val="24"/>
          <w:szCs w:val="24"/>
        </w:rPr>
        <w:t>ection</w:t>
      </w:r>
      <w:r w:rsidR="00CE72A9">
        <w:rPr>
          <w:rFonts w:asciiTheme="majorBidi" w:hAnsiTheme="majorBidi" w:cstheme="majorBidi"/>
          <w:sz w:val="24"/>
          <w:szCs w:val="24"/>
        </w:rPr>
        <w:t xml:space="preserve"> 5</w:t>
      </w:r>
      <w:r w:rsidR="00A123D5" w:rsidRPr="00357D66">
        <w:rPr>
          <w:rFonts w:asciiTheme="majorBidi" w:hAnsiTheme="majorBidi" w:cstheme="majorBidi"/>
          <w:sz w:val="24"/>
          <w:szCs w:val="24"/>
        </w:rPr>
        <w:t xml:space="preserve">). This model was then used to </w:t>
      </w:r>
      <w:r w:rsidR="00297795" w:rsidRPr="00357D66">
        <w:rPr>
          <w:rFonts w:asciiTheme="majorBidi" w:hAnsiTheme="majorBidi" w:cstheme="majorBidi"/>
          <w:sz w:val="24"/>
          <w:szCs w:val="24"/>
        </w:rPr>
        <w:t xml:space="preserve">identify students at high risk of failure in 2013 and 2014. </w:t>
      </w:r>
    </w:p>
    <w:p w14:paraId="2CA935B5" w14:textId="77777777" w:rsidR="00767C49" w:rsidRPr="00357D66" w:rsidRDefault="00767C49" w:rsidP="00F50315">
      <w:pPr>
        <w:tabs>
          <w:tab w:val="left" w:pos="567"/>
        </w:tabs>
        <w:spacing w:after="0" w:line="288" w:lineRule="auto"/>
        <w:ind w:firstLine="720"/>
        <w:jc w:val="both"/>
        <w:rPr>
          <w:rFonts w:asciiTheme="majorBidi" w:hAnsiTheme="majorBidi" w:cstheme="majorBidi"/>
          <w:sz w:val="24"/>
          <w:szCs w:val="24"/>
        </w:rPr>
      </w:pPr>
    </w:p>
    <w:p w14:paraId="52AB71BB" w14:textId="08F2C2D2" w:rsidR="00FE7C27" w:rsidRDefault="00FE7C27" w:rsidP="00F50315">
      <w:pPr>
        <w:tabs>
          <w:tab w:val="left" w:pos="567"/>
        </w:tabs>
        <w:spacing w:after="0" w:line="288" w:lineRule="auto"/>
        <w:ind w:firstLine="567"/>
        <w:jc w:val="both"/>
        <w:rPr>
          <w:rFonts w:asciiTheme="majorBidi" w:hAnsiTheme="majorBidi" w:cstheme="majorBidi"/>
          <w:sz w:val="24"/>
          <w:szCs w:val="24"/>
        </w:rPr>
      </w:pPr>
      <w:r w:rsidRPr="00357D66">
        <w:rPr>
          <w:rFonts w:asciiTheme="majorBidi" w:hAnsiTheme="majorBidi" w:cstheme="majorBidi"/>
          <w:sz w:val="24"/>
          <w:szCs w:val="24"/>
        </w:rPr>
        <w:t>The experimental proactive pastoral care intervention was explicitly designed as a randomised controlled trial</w:t>
      </w:r>
      <w:r w:rsidR="0086050E" w:rsidRPr="00357D66">
        <w:rPr>
          <w:rFonts w:asciiTheme="majorBidi" w:hAnsiTheme="majorBidi" w:cstheme="majorBidi"/>
          <w:sz w:val="24"/>
          <w:szCs w:val="24"/>
        </w:rPr>
        <w:t xml:space="preserve"> (RCT)</w:t>
      </w:r>
      <w:r w:rsidRPr="00357D66">
        <w:rPr>
          <w:rFonts w:asciiTheme="majorBidi" w:hAnsiTheme="majorBidi" w:cstheme="majorBidi"/>
          <w:sz w:val="24"/>
          <w:szCs w:val="24"/>
        </w:rPr>
        <w:t xml:space="preserve">. RCTs are the ‘gold standard’ in impact evaluation, since they potentially ensure that all observed and unobserved confounders </w:t>
      </w:r>
      <w:proofErr w:type="gramStart"/>
      <w:r w:rsidRPr="00357D66">
        <w:rPr>
          <w:rFonts w:asciiTheme="majorBidi" w:hAnsiTheme="majorBidi" w:cstheme="majorBidi"/>
          <w:sz w:val="24"/>
          <w:szCs w:val="24"/>
        </w:rPr>
        <w:t>are</w:t>
      </w:r>
      <w:proofErr w:type="gramEnd"/>
      <w:r w:rsidRPr="00357D66">
        <w:rPr>
          <w:rFonts w:asciiTheme="majorBidi" w:hAnsiTheme="majorBidi" w:cstheme="majorBidi"/>
          <w:sz w:val="24"/>
          <w:szCs w:val="24"/>
        </w:rPr>
        <w:t xml:space="preserve"> controlled for through the process of randomisation into treatment and control groups (</w:t>
      </w:r>
      <w:proofErr w:type="spellStart"/>
      <w:r w:rsidR="007E2330" w:rsidRPr="00405F2F">
        <w:rPr>
          <w:rFonts w:asciiTheme="majorBidi" w:hAnsiTheme="majorBidi" w:cstheme="majorBidi"/>
          <w:sz w:val="24"/>
          <w:szCs w:val="24"/>
        </w:rPr>
        <w:t>Torgerson</w:t>
      </w:r>
      <w:proofErr w:type="spellEnd"/>
      <w:r w:rsidR="007E2330" w:rsidRPr="00405F2F">
        <w:rPr>
          <w:rFonts w:asciiTheme="majorBidi" w:hAnsiTheme="majorBidi" w:cstheme="majorBidi"/>
          <w:sz w:val="24"/>
          <w:szCs w:val="24"/>
        </w:rPr>
        <w:t xml:space="preserve"> </w:t>
      </w:r>
      <w:r w:rsidR="00F50315">
        <w:rPr>
          <w:rFonts w:asciiTheme="majorBidi" w:hAnsiTheme="majorBidi" w:cstheme="majorBidi"/>
          <w:sz w:val="24"/>
          <w:szCs w:val="24"/>
        </w:rPr>
        <w:t>and</w:t>
      </w:r>
      <w:r w:rsidR="000C28A8" w:rsidRPr="00405F2F">
        <w:rPr>
          <w:rFonts w:asciiTheme="majorBidi" w:hAnsiTheme="majorBidi" w:cstheme="majorBidi"/>
          <w:sz w:val="24"/>
          <w:szCs w:val="24"/>
        </w:rPr>
        <w:t xml:space="preserve"> </w:t>
      </w:r>
      <w:proofErr w:type="spellStart"/>
      <w:r w:rsidR="007E2330" w:rsidRPr="00357D66">
        <w:rPr>
          <w:rFonts w:asciiTheme="majorBidi" w:hAnsiTheme="majorBidi" w:cstheme="majorBidi"/>
          <w:sz w:val="24"/>
          <w:szCs w:val="24"/>
        </w:rPr>
        <w:t>Torgerson</w:t>
      </w:r>
      <w:proofErr w:type="spellEnd"/>
      <w:r w:rsidR="007E2330" w:rsidRPr="00357D66">
        <w:rPr>
          <w:rFonts w:asciiTheme="majorBidi" w:hAnsiTheme="majorBidi" w:cstheme="majorBidi"/>
          <w:sz w:val="24"/>
          <w:szCs w:val="24"/>
        </w:rPr>
        <w:t xml:space="preserve"> 2008</w:t>
      </w:r>
      <w:r w:rsidRPr="00357D66">
        <w:rPr>
          <w:rFonts w:asciiTheme="majorBidi" w:hAnsiTheme="majorBidi" w:cstheme="majorBidi"/>
          <w:sz w:val="24"/>
          <w:szCs w:val="24"/>
        </w:rPr>
        <w:t>). That is, the treatment and control groups should be very similar in terms of observable and unobservable characteristics. Provided that there are no spill</w:t>
      </w:r>
      <w:r w:rsidR="00AE5DEB" w:rsidRPr="00357D66">
        <w:rPr>
          <w:rFonts w:asciiTheme="majorBidi" w:hAnsiTheme="majorBidi" w:cstheme="majorBidi"/>
          <w:sz w:val="24"/>
          <w:szCs w:val="24"/>
        </w:rPr>
        <w:t>-</w:t>
      </w:r>
      <w:r w:rsidRPr="00357D66">
        <w:rPr>
          <w:rFonts w:asciiTheme="majorBidi" w:hAnsiTheme="majorBidi" w:cstheme="majorBidi"/>
          <w:sz w:val="24"/>
          <w:szCs w:val="24"/>
        </w:rPr>
        <w:t>over effects (from the treated group to the control group), then the observed differences between treatment and control following the intervention represent the ‘impact’ of the intervention.</w:t>
      </w:r>
    </w:p>
    <w:p w14:paraId="727E3053" w14:textId="77777777" w:rsidR="00767C49" w:rsidRPr="00357D66" w:rsidRDefault="00767C49" w:rsidP="00F50315">
      <w:pPr>
        <w:tabs>
          <w:tab w:val="left" w:pos="567"/>
        </w:tabs>
        <w:spacing w:after="0" w:line="288" w:lineRule="auto"/>
        <w:ind w:firstLine="720"/>
        <w:jc w:val="both"/>
        <w:rPr>
          <w:rFonts w:asciiTheme="majorBidi" w:hAnsiTheme="majorBidi" w:cstheme="majorBidi"/>
          <w:sz w:val="24"/>
          <w:szCs w:val="24"/>
        </w:rPr>
      </w:pPr>
    </w:p>
    <w:p w14:paraId="58CECF9E" w14:textId="77777777" w:rsidR="00E16AE4" w:rsidRDefault="00FE7C27" w:rsidP="00F50315">
      <w:pPr>
        <w:tabs>
          <w:tab w:val="left" w:pos="567"/>
        </w:tabs>
        <w:spacing w:after="0" w:line="288" w:lineRule="auto"/>
        <w:ind w:firstLine="567"/>
        <w:jc w:val="both"/>
        <w:rPr>
          <w:rFonts w:asciiTheme="majorBidi" w:hAnsiTheme="majorBidi" w:cstheme="majorBidi"/>
          <w:sz w:val="24"/>
          <w:szCs w:val="24"/>
        </w:rPr>
      </w:pPr>
      <w:r w:rsidRPr="00357D66">
        <w:rPr>
          <w:rFonts w:asciiTheme="majorBidi" w:hAnsiTheme="majorBidi" w:cstheme="majorBidi"/>
          <w:sz w:val="24"/>
          <w:szCs w:val="24"/>
        </w:rPr>
        <w:t>In this RCT, s</w:t>
      </w:r>
      <w:r w:rsidR="005E6473" w:rsidRPr="00357D66">
        <w:rPr>
          <w:rFonts w:asciiTheme="majorBidi" w:hAnsiTheme="majorBidi" w:cstheme="majorBidi"/>
          <w:sz w:val="24"/>
          <w:szCs w:val="24"/>
        </w:rPr>
        <w:t>tudents in</w:t>
      </w:r>
      <w:r w:rsidR="00AE5DEB" w:rsidRPr="00357D66">
        <w:rPr>
          <w:rFonts w:asciiTheme="majorBidi" w:hAnsiTheme="majorBidi" w:cstheme="majorBidi"/>
          <w:sz w:val="24"/>
          <w:szCs w:val="24"/>
        </w:rPr>
        <w:t xml:space="preserve"> the first semesters of</w:t>
      </w:r>
      <w:r w:rsidR="005E6473" w:rsidRPr="00357D66">
        <w:rPr>
          <w:rFonts w:asciiTheme="majorBidi" w:hAnsiTheme="majorBidi" w:cstheme="majorBidi"/>
          <w:sz w:val="24"/>
          <w:szCs w:val="24"/>
        </w:rPr>
        <w:t xml:space="preserve"> 2013 and 2014 who were identified a</w:t>
      </w:r>
      <w:r w:rsidR="00EA5187" w:rsidRPr="00357D66">
        <w:rPr>
          <w:rFonts w:asciiTheme="majorBidi" w:hAnsiTheme="majorBidi" w:cstheme="majorBidi"/>
          <w:sz w:val="24"/>
          <w:szCs w:val="24"/>
        </w:rPr>
        <w:t>s</w:t>
      </w:r>
      <w:r w:rsidR="005E6473" w:rsidRPr="00357D66">
        <w:rPr>
          <w:rFonts w:asciiTheme="majorBidi" w:hAnsiTheme="majorBidi" w:cstheme="majorBidi"/>
          <w:sz w:val="24"/>
          <w:szCs w:val="24"/>
        </w:rPr>
        <w:t xml:space="preserve"> being at high risk of failure were </w:t>
      </w:r>
      <w:r w:rsidR="000863BB" w:rsidRPr="00357D66">
        <w:rPr>
          <w:rFonts w:asciiTheme="majorBidi" w:hAnsiTheme="majorBidi" w:cstheme="majorBidi"/>
          <w:sz w:val="24"/>
          <w:szCs w:val="24"/>
        </w:rPr>
        <w:t xml:space="preserve">first stratified into three groups by the predicted probability of failure. Stratification was used to ensure that </w:t>
      </w:r>
      <w:r w:rsidR="0086050E" w:rsidRPr="00357D66">
        <w:rPr>
          <w:rFonts w:asciiTheme="majorBidi" w:hAnsiTheme="majorBidi" w:cstheme="majorBidi"/>
          <w:sz w:val="24"/>
          <w:szCs w:val="24"/>
        </w:rPr>
        <w:t xml:space="preserve">the </w:t>
      </w:r>
      <w:r w:rsidR="000863BB" w:rsidRPr="00357D66">
        <w:rPr>
          <w:rFonts w:asciiTheme="majorBidi" w:hAnsiTheme="majorBidi" w:cstheme="majorBidi"/>
          <w:sz w:val="24"/>
          <w:szCs w:val="24"/>
        </w:rPr>
        <w:t>treatment and control</w:t>
      </w:r>
      <w:r w:rsidR="0086050E" w:rsidRPr="00357D66">
        <w:rPr>
          <w:rFonts w:asciiTheme="majorBidi" w:hAnsiTheme="majorBidi" w:cstheme="majorBidi"/>
          <w:sz w:val="24"/>
          <w:szCs w:val="24"/>
        </w:rPr>
        <w:t xml:space="preserve"> groups</w:t>
      </w:r>
      <w:r w:rsidR="000863BB" w:rsidRPr="00357D66">
        <w:rPr>
          <w:rFonts w:asciiTheme="majorBidi" w:hAnsiTheme="majorBidi" w:cstheme="majorBidi"/>
          <w:sz w:val="24"/>
          <w:szCs w:val="24"/>
        </w:rPr>
        <w:t xml:space="preserve"> would be balanced in terms of their predicted probability of failure</w:t>
      </w:r>
      <w:r w:rsidR="0086050E" w:rsidRPr="00357D66">
        <w:rPr>
          <w:rFonts w:asciiTheme="majorBidi" w:hAnsiTheme="majorBidi" w:cstheme="majorBidi"/>
          <w:sz w:val="24"/>
          <w:szCs w:val="24"/>
        </w:rPr>
        <w:t>. This was</w:t>
      </w:r>
      <w:r w:rsidR="000863BB" w:rsidRPr="00357D66">
        <w:rPr>
          <w:rFonts w:asciiTheme="majorBidi" w:hAnsiTheme="majorBidi" w:cstheme="majorBidi"/>
          <w:sz w:val="24"/>
          <w:szCs w:val="24"/>
        </w:rPr>
        <w:t xml:space="preserve"> necessary because of the relatively small sample size. Then, equal numbers from each stratum were randomly </w:t>
      </w:r>
      <w:r w:rsidR="00A123D5" w:rsidRPr="00357D66">
        <w:rPr>
          <w:rFonts w:asciiTheme="majorBidi" w:hAnsiTheme="majorBidi" w:cstheme="majorBidi"/>
          <w:sz w:val="24"/>
          <w:szCs w:val="24"/>
        </w:rPr>
        <w:t xml:space="preserve">assigned </w:t>
      </w:r>
      <w:r w:rsidR="005E6473" w:rsidRPr="00357D66">
        <w:rPr>
          <w:rFonts w:asciiTheme="majorBidi" w:hAnsiTheme="majorBidi" w:cstheme="majorBidi"/>
          <w:sz w:val="24"/>
          <w:szCs w:val="24"/>
        </w:rPr>
        <w:t>in</w:t>
      </w:r>
      <w:r w:rsidR="00A123D5" w:rsidRPr="00357D66">
        <w:rPr>
          <w:rFonts w:asciiTheme="majorBidi" w:hAnsiTheme="majorBidi" w:cstheme="majorBidi"/>
          <w:sz w:val="24"/>
          <w:szCs w:val="24"/>
        </w:rPr>
        <w:t>to</w:t>
      </w:r>
      <w:r w:rsidR="005E6473" w:rsidRPr="00357D66">
        <w:rPr>
          <w:rFonts w:asciiTheme="majorBidi" w:hAnsiTheme="majorBidi" w:cstheme="majorBidi"/>
          <w:sz w:val="24"/>
          <w:szCs w:val="24"/>
        </w:rPr>
        <w:t xml:space="preserve"> one of</w:t>
      </w:r>
      <w:r w:rsidR="00AE5DEB" w:rsidRPr="00357D66">
        <w:rPr>
          <w:rFonts w:asciiTheme="majorBidi" w:hAnsiTheme="majorBidi" w:cstheme="majorBidi"/>
          <w:sz w:val="24"/>
          <w:szCs w:val="24"/>
        </w:rPr>
        <w:t xml:space="preserve"> three groups:</w:t>
      </w:r>
      <w:r w:rsidR="00A123D5" w:rsidRPr="00357D66">
        <w:rPr>
          <w:rFonts w:asciiTheme="majorBidi" w:hAnsiTheme="majorBidi" w:cstheme="majorBidi"/>
          <w:sz w:val="24"/>
          <w:szCs w:val="24"/>
        </w:rPr>
        <w:t xml:space="preserve"> </w:t>
      </w:r>
    </w:p>
    <w:p w14:paraId="7731377B" w14:textId="77777777" w:rsidR="00E16AE4" w:rsidRDefault="00E16AE4" w:rsidP="00F50315">
      <w:pPr>
        <w:tabs>
          <w:tab w:val="left" w:pos="567"/>
        </w:tabs>
        <w:spacing w:after="0" w:line="288" w:lineRule="auto"/>
        <w:ind w:firstLine="567"/>
        <w:jc w:val="both"/>
        <w:rPr>
          <w:rFonts w:asciiTheme="majorBidi" w:hAnsiTheme="majorBidi" w:cstheme="majorBidi"/>
          <w:sz w:val="24"/>
          <w:szCs w:val="24"/>
        </w:rPr>
      </w:pPr>
    </w:p>
    <w:p w14:paraId="41A07967" w14:textId="03B657EF" w:rsidR="00E16AE4" w:rsidRDefault="00FE7C27" w:rsidP="00E16AE4">
      <w:pPr>
        <w:tabs>
          <w:tab w:val="left" w:pos="567"/>
        </w:tabs>
        <w:spacing w:after="0" w:line="288" w:lineRule="auto"/>
        <w:ind w:left="426" w:hanging="426"/>
        <w:jc w:val="both"/>
        <w:rPr>
          <w:rFonts w:asciiTheme="majorBidi" w:hAnsiTheme="majorBidi" w:cstheme="majorBidi"/>
          <w:sz w:val="24"/>
          <w:szCs w:val="24"/>
        </w:rPr>
      </w:pPr>
      <w:r w:rsidRPr="00357D66">
        <w:rPr>
          <w:rFonts w:asciiTheme="majorBidi" w:hAnsiTheme="majorBidi" w:cstheme="majorBidi"/>
          <w:sz w:val="24"/>
          <w:szCs w:val="24"/>
        </w:rPr>
        <w:t xml:space="preserve">(1) </w:t>
      </w:r>
      <w:r w:rsidR="00E16AE4">
        <w:rPr>
          <w:rFonts w:asciiTheme="majorBidi" w:hAnsiTheme="majorBidi" w:cstheme="majorBidi"/>
          <w:sz w:val="24"/>
          <w:szCs w:val="24"/>
        </w:rPr>
        <w:tab/>
      </w:r>
      <w:r w:rsidR="00E16AE4" w:rsidRPr="00E16AE4">
        <w:rPr>
          <w:rFonts w:asciiTheme="majorBidi" w:hAnsiTheme="majorBidi" w:cstheme="majorBidi"/>
          <w:b/>
          <w:sz w:val="24"/>
          <w:szCs w:val="24"/>
        </w:rPr>
        <w:t>A</w:t>
      </w:r>
      <w:r w:rsidR="00E16AE4">
        <w:rPr>
          <w:rFonts w:asciiTheme="majorBidi" w:hAnsiTheme="majorBidi" w:cstheme="majorBidi"/>
          <w:b/>
          <w:sz w:val="24"/>
          <w:szCs w:val="24"/>
        </w:rPr>
        <w:t xml:space="preserve"> control G</w:t>
      </w:r>
      <w:r w:rsidR="00A123D5" w:rsidRPr="00E16AE4">
        <w:rPr>
          <w:rFonts w:asciiTheme="majorBidi" w:hAnsiTheme="majorBidi" w:cstheme="majorBidi"/>
          <w:b/>
          <w:sz w:val="24"/>
          <w:szCs w:val="24"/>
        </w:rPr>
        <w:t>roup</w:t>
      </w:r>
      <w:r w:rsidR="00A123D5" w:rsidRPr="00357D66">
        <w:rPr>
          <w:rFonts w:asciiTheme="majorBidi" w:hAnsiTheme="majorBidi" w:cstheme="majorBidi"/>
          <w:sz w:val="24"/>
          <w:szCs w:val="24"/>
        </w:rPr>
        <w:t xml:space="preserve"> which did not receive any intervention; </w:t>
      </w:r>
    </w:p>
    <w:p w14:paraId="5AC25436" w14:textId="77777777" w:rsidR="00E16AE4" w:rsidRDefault="00E16AE4" w:rsidP="00E16AE4">
      <w:pPr>
        <w:tabs>
          <w:tab w:val="left" w:pos="567"/>
        </w:tabs>
        <w:spacing w:after="0" w:line="288" w:lineRule="auto"/>
        <w:ind w:left="426" w:hanging="426"/>
        <w:jc w:val="both"/>
        <w:rPr>
          <w:rFonts w:asciiTheme="majorBidi" w:hAnsiTheme="majorBidi" w:cstheme="majorBidi"/>
          <w:sz w:val="24"/>
          <w:szCs w:val="24"/>
        </w:rPr>
      </w:pPr>
    </w:p>
    <w:p w14:paraId="70F6FF95" w14:textId="307DA9B6" w:rsidR="00E16AE4" w:rsidRDefault="00FE7C27" w:rsidP="00E16AE4">
      <w:pPr>
        <w:tabs>
          <w:tab w:val="left" w:pos="567"/>
        </w:tabs>
        <w:spacing w:after="0" w:line="288" w:lineRule="auto"/>
        <w:ind w:left="426" w:hanging="426"/>
        <w:jc w:val="both"/>
        <w:rPr>
          <w:rFonts w:asciiTheme="majorBidi" w:hAnsiTheme="majorBidi" w:cstheme="majorBidi"/>
          <w:sz w:val="24"/>
          <w:szCs w:val="24"/>
        </w:rPr>
      </w:pPr>
      <w:r w:rsidRPr="00357D66">
        <w:rPr>
          <w:rFonts w:asciiTheme="majorBidi" w:hAnsiTheme="majorBidi" w:cstheme="majorBidi"/>
          <w:sz w:val="24"/>
          <w:szCs w:val="24"/>
        </w:rPr>
        <w:t xml:space="preserve">(2) </w:t>
      </w:r>
      <w:r w:rsidR="00E16AE4">
        <w:rPr>
          <w:rFonts w:asciiTheme="majorBidi" w:hAnsiTheme="majorBidi" w:cstheme="majorBidi"/>
          <w:sz w:val="24"/>
          <w:szCs w:val="24"/>
        </w:rPr>
        <w:tab/>
      </w:r>
      <w:r w:rsidRPr="00E16AE4">
        <w:rPr>
          <w:rFonts w:asciiTheme="majorBidi" w:hAnsiTheme="majorBidi" w:cstheme="majorBidi"/>
          <w:b/>
          <w:sz w:val="24"/>
          <w:szCs w:val="24"/>
        </w:rPr>
        <w:t>Treatment G</w:t>
      </w:r>
      <w:r w:rsidR="00A123D5" w:rsidRPr="00E16AE4">
        <w:rPr>
          <w:rFonts w:asciiTheme="majorBidi" w:hAnsiTheme="majorBidi" w:cstheme="majorBidi"/>
          <w:b/>
          <w:sz w:val="24"/>
          <w:szCs w:val="24"/>
        </w:rPr>
        <w:t>roup A</w:t>
      </w:r>
      <w:r w:rsidR="00A123D5" w:rsidRPr="00357D66">
        <w:rPr>
          <w:rFonts w:asciiTheme="majorBidi" w:hAnsiTheme="majorBidi" w:cstheme="majorBidi"/>
          <w:sz w:val="24"/>
          <w:szCs w:val="24"/>
        </w:rPr>
        <w:t xml:space="preserve">, whose intervention was an email to alert them that the </w:t>
      </w:r>
      <w:r w:rsidRPr="00357D66">
        <w:rPr>
          <w:rFonts w:asciiTheme="majorBidi" w:hAnsiTheme="majorBidi" w:cstheme="majorBidi"/>
          <w:sz w:val="24"/>
          <w:szCs w:val="24"/>
        </w:rPr>
        <w:t>D</w:t>
      </w:r>
      <w:r w:rsidR="00A123D5" w:rsidRPr="00357D66">
        <w:rPr>
          <w:rFonts w:asciiTheme="majorBidi" w:hAnsiTheme="majorBidi" w:cstheme="majorBidi"/>
          <w:sz w:val="24"/>
          <w:szCs w:val="24"/>
        </w:rPr>
        <w:t>epartment</w:t>
      </w:r>
      <w:r w:rsidRPr="00357D66">
        <w:rPr>
          <w:rFonts w:asciiTheme="majorBidi" w:hAnsiTheme="majorBidi" w:cstheme="majorBidi"/>
          <w:sz w:val="24"/>
          <w:szCs w:val="24"/>
        </w:rPr>
        <w:t xml:space="preserve"> of Economics</w:t>
      </w:r>
      <w:r w:rsidR="00A123D5" w:rsidRPr="00357D66">
        <w:rPr>
          <w:rFonts w:asciiTheme="majorBidi" w:hAnsiTheme="majorBidi" w:cstheme="majorBidi"/>
          <w:sz w:val="24"/>
          <w:szCs w:val="24"/>
        </w:rPr>
        <w:t xml:space="preserve"> was concerned about their performance and alerting them to available support services provided by the department and the university</w:t>
      </w:r>
      <w:r w:rsidRPr="00357D66">
        <w:rPr>
          <w:rFonts w:asciiTheme="majorBidi" w:hAnsiTheme="majorBidi" w:cstheme="majorBidi"/>
          <w:sz w:val="24"/>
          <w:szCs w:val="24"/>
        </w:rPr>
        <w:t xml:space="preserve"> (see Appendix for the text of this email)</w:t>
      </w:r>
      <w:r w:rsidR="00A123D5" w:rsidRPr="00357D66">
        <w:rPr>
          <w:rFonts w:asciiTheme="majorBidi" w:hAnsiTheme="majorBidi" w:cstheme="majorBidi"/>
          <w:sz w:val="24"/>
          <w:szCs w:val="24"/>
        </w:rPr>
        <w:t>; and</w:t>
      </w:r>
      <w:r w:rsidRPr="00357D66">
        <w:rPr>
          <w:rFonts w:asciiTheme="majorBidi" w:hAnsiTheme="majorBidi" w:cstheme="majorBidi"/>
          <w:sz w:val="24"/>
          <w:szCs w:val="24"/>
        </w:rPr>
        <w:t xml:space="preserve"> </w:t>
      </w:r>
    </w:p>
    <w:p w14:paraId="6C258A22" w14:textId="77777777" w:rsidR="00E16AE4" w:rsidRDefault="00E16AE4" w:rsidP="00E16AE4">
      <w:pPr>
        <w:tabs>
          <w:tab w:val="left" w:pos="567"/>
        </w:tabs>
        <w:spacing w:after="0" w:line="288" w:lineRule="auto"/>
        <w:ind w:left="426" w:hanging="426"/>
        <w:jc w:val="both"/>
        <w:rPr>
          <w:rFonts w:asciiTheme="majorBidi" w:hAnsiTheme="majorBidi" w:cstheme="majorBidi"/>
          <w:sz w:val="24"/>
          <w:szCs w:val="24"/>
        </w:rPr>
      </w:pPr>
    </w:p>
    <w:p w14:paraId="05ECB1E3" w14:textId="5FE47751" w:rsidR="00A123D5" w:rsidRDefault="00FE7C27" w:rsidP="00E16AE4">
      <w:pPr>
        <w:tabs>
          <w:tab w:val="left" w:pos="567"/>
        </w:tabs>
        <w:spacing w:after="0" w:line="288" w:lineRule="auto"/>
        <w:ind w:left="426" w:hanging="426"/>
        <w:jc w:val="both"/>
        <w:rPr>
          <w:rFonts w:asciiTheme="majorBidi" w:hAnsiTheme="majorBidi" w:cstheme="majorBidi"/>
          <w:sz w:val="24"/>
          <w:szCs w:val="24"/>
        </w:rPr>
      </w:pPr>
      <w:r w:rsidRPr="00357D66">
        <w:rPr>
          <w:rFonts w:asciiTheme="majorBidi" w:hAnsiTheme="majorBidi" w:cstheme="majorBidi"/>
          <w:sz w:val="24"/>
          <w:szCs w:val="24"/>
        </w:rPr>
        <w:t xml:space="preserve">(3) </w:t>
      </w:r>
      <w:r w:rsidR="00E16AE4">
        <w:rPr>
          <w:rFonts w:asciiTheme="majorBidi" w:hAnsiTheme="majorBidi" w:cstheme="majorBidi"/>
          <w:sz w:val="24"/>
          <w:szCs w:val="24"/>
        </w:rPr>
        <w:tab/>
      </w:r>
      <w:r w:rsidRPr="00E16AE4">
        <w:rPr>
          <w:rFonts w:asciiTheme="majorBidi" w:hAnsiTheme="majorBidi" w:cstheme="majorBidi"/>
          <w:b/>
          <w:sz w:val="24"/>
          <w:szCs w:val="24"/>
        </w:rPr>
        <w:t>Treatment</w:t>
      </w:r>
      <w:r w:rsidR="00A123D5" w:rsidRPr="00E16AE4">
        <w:rPr>
          <w:rFonts w:asciiTheme="majorBidi" w:hAnsiTheme="majorBidi" w:cstheme="majorBidi"/>
          <w:b/>
          <w:sz w:val="24"/>
          <w:szCs w:val="24"/>
        </w:rPr>
        <w:t xml:space="preserve"> </w:t>
      </w:r>
      <w:r w:rsidRPr="00E16AE4">
        <w:rPr>
          <w:rFonts w:asciiTheme="majorBidi" w:hAnsiTheme="majorBidi" w:cstheme="majorBidi"/>
          <w:b/>
          <w:sz w:val="24"/>
          <w:szCs w:val="24"/>
        </w:rPr>
        <w:t>G</w:t>
      </w:r>
      <w:r w:rsidR="00A123D5" w:rsidRPr="00E16AE4">
        <w:rPr>
          <w:rFonts w:asciiTheme="majorBidi" w:hAnsiTheme="majorBidi" w:cstheme="majorBidi"/>
          <w:b/>
          <w:sz w:val="24"/>
          <w:szCs w:val="24"/>
        </w:rPr>
        <w:t>roup B</w:t>
      </w:r>
      <w:r w:rsidR="00A123D5" w:rsidRPr="00357D66">
        <w:rPr>
          <w:rFonts w:asciiTheme="majorBidi" w:hAnsiTheme="majorBidi" w:cstheme="majorBidi"/>
          <w:sz w:val="24"/>
          <w:szCs w:val="24"/>
        </w:rPr>
        <w:t>, who</w:t>
      </w:r>
      <w:r w:rsidRPr="00357D66">
        <w:rPr>
          <w:rFonts w:asciiTheme="majorBidi" w:hAnsiTheme="majorBidi" w:cstheme="majorBidi"/>
          <w:sz w:val="24"/>
          <w:szCs w:val="24"/>
        </w:rPr>
        <w:t xml:space="preserve"> received the same email as Treatment Group A, but also </w:t>
      </w:r>
      <w:proofErr w:type="gramStart"/>
      <w:r w:rsidR="00A123D5" w:rsidRPr="00357D66">
        <w:rPr>
          <w:rFonts w:asciiTheme="majorBidi" w:hAnsiTheme="majorBidi" w:cstheme="majorBidi"/>
          <w:sz w:val="24"/>
          <w:szCs w:val="24"/>
        </w:rPr>
        <w:t>a follow-up personal telephone call</w:t>
      </w:r>
      <w:proofErr w:type="gramEnd"/>
      <w:r w:rsidR="00A123D5" w:rsidRPr="00357D66">
        <w:rPr>
          <w:rFonts w:asciiTheme="majorBidi" w:hAnsiTheme="majorBidi" w:cstheme="majorBidi"/>
          <w:sz w:val="24"/>
          <w:szCs w:val="24"/>
        </w:rPr>
        <w:t xml:space="preserve">. </w:t>
      </w:r>
      <w:r w:rsidRPr="00357D66">
        <w:rPr>
          <w:rFonts w:asciiTheme="majorBidi" w:hAnsiTheme="majorBidi" w:cstheme="majorBidi"/>
          <w:sz w:val="24"/>
          <w:szCs w:val="24"/>
        </w:rPr>
        <w:t xml:space="preserve">In the 2013 </w:t>
      </w:r>
      <w:r w:rsidR="00A123D5" w:rsidRPr="00357D66">
        <w:rPr>
          <w:rFonts w:asciiTheme="majorBidi" w:hAnsiTheme="majorBidi" w:cstheme="majorBidi"/>
          <w:sz w:val="24"/>
          <w:szCs w:val="24"/>
        </w:rPr>
        <w:t xml:space="preserve">sub-sample, the follow-up telephone call was made by a staff member. A student tutor made the call in 2014. </w:t>
      </w:r>
      <w:r w:rsidRPr="00357D66">
        <w:rPr>
          <w:rFonts w:asciiTheme="majorBidi" w:hAnsiTheme="majorBidi" w:cstheme="majorBidi"/>
          <w:sz w:val="24"/>
          <w:szCs w:val="24"/>
        </w:rPr>
        <w:t xml:space="preserve">The slight difference in intervention between 2013 and 2014 allows us to additionally test whether students are more responsive to personal contact from staff, or from senior students who are closer to their own age and may </w:t>
      </w:r>
      <w:r w:rsidR="0086050E" w:rsidRPr="00357D66">
        <w:rPr>
          <w:rFonts w:asciiTheme="majorBidi" w:hAnsiTheme="majorBidi" w:cstheme="majorBidi"/>
          <w:sz w:val="24"/>
          <w:szCs w:val="24"/>
        </w:rPr>
        <w:t xml:space="preserve">therefore better </w:t>
      </w:r>
      <w:r w:rsidRPr="00357D66">
        <w:rPr>
          <w:rFonts w:asciiTheme="majorBidi" w:hAnsiTheme="majorBidi" w:cstheme="majorBidi"/>
          <w:sz w:val="24"/>
          <w:szCs w:val="24"/>
        </w:rPr>
        <w:t xml:space="preserve">understand their experiences and frustrations. In some cases, multiple attempts were required before students could be reached via telephone. </w:t>
      </w:r>
      <w:r w:rsidR="00A123D5" w:rsidRPr="00357D66">
        <w:rPr>
          <w:rFonts w:asciiTheme="majorBidi" w:hAnsiTheme="majorBidi" w:cstheme="majorBidi"/>
          <w:sz w:val="24"/>
          <w:szCs w:val="24"/>
        </w:rPr>
        <w:t xml:space="preserve">No further </w:t>
      </w:r>
      <w:r w:rsidRPr="00357D66">
        <w:rPr>
          <w:rFonts w:asciiTheme="majorBidi" w:hAnsiTheme="majorBidi" w:cstheme="majorBidi"/>
          <w:sz w:val="24"/>
          <w:szCs w:val="24"/>
        </w:rPr>
        <w:t xml:space="preserve">direct </w:t>
      </w:r>
      <w:r w:rsidR="00A123D5" w:rsidRPr="00357D66">
        <w:rPr>
          <w:rFonts w:asciiTheme="majorBidi" w:hAnsiTheme="majorBidi" w:cstheme="majorBidi"/>
          <w:sz w:val="24"/>
          <w:szCs w:val="24"/>
        </w:rPr>
        <w:t>intervention was provided after the i</w:t>
      </w:r>
      <w:r w:rsidRPr="00357D66">
        <w:rPr>
          <w:rFonts w:asciiTheme="majorBidi" w:hAnsiTheme="majorBidi" w:cstheme="majorBidi"/>
          <w:sz w:val="24"/>
          <w:szCs w:val="24"/>
        </w:rPr>
        <w:t>nitial email and telephone call</w:t>
      </w:r>
      <w:r w:rsidR="00A123D5" w:rsidRPr="00357D66">
        <w:rPr>
          <w:rFonts w:asciiTheme="majorBidi" w:hAnsiTheme="majorBidi" w:cstheme="majorBidi"/>
          <w:sz w:val="24"/>
          <w:szCs w:val="24"/>
        </w:rPr>
        <w:t>.</w:t>
      </w:r>
    </w:p>
    <w:p w14:paraId="6E10DC9B" w14:textId="77777777" w:rsidR="00767C49" w:rsidRPr="00357D66" w:rsidRDefault="00767C49" w:rsidP="00E16AE4">
      <w:pPr>
        <w:tabs>
          <w:tab w:val="left" w:pos="567"/>
        </w:tabs>
        <w:spacing w:after="0" w:line="288" w:lineRule="auto"/>
        <w:ind w:left="993" w:hanging="426"/>
        <w:jc w:val="both"/>
        <w:rPr>
          <w:rFonts w:asciiTheme="majorBidi" w:hAnsiTheme="majorBidi" w:cstheme="majorBidi"/>
          <w:sz w:val="24"/>
          <w:szCs w:val="24"/>
        </w:rPr>
      </w:pPr>
    </w:p>
    <w:p w14:paraId="225F0B82" w14:textId="77777777" w:rsidR="00E16AE4" w:rsidRDefault="00E16AE4">
      <w:pPr>
        <w:rPr>
          <w:rFonts w:asciiTheme="majorBidi" w:eastAsiaTheme="majorEastAsia" w:hAnsiTheme="majorBidi" w:cstheme="majorBidi"/>
          <w:b/>
          <w:bCs/>
          <w:sz w:val="24"/>
          <w:szCs w:val="24"/>
        </w:rPr>
      </w:pPr>
      <w:r>
        <w:rPr>
          <w:sz w:val="24"/>
          <w:szCs w:val="24"/>
        </w:rPr>
        <w:br w:type="page"/>
      </w:r>
    </w:p>
    <w:p w14:paraId="088FB045" w14:textId="05582A65" w:rsidR="00144F25" w:rsidRDefault="00F50315" w:rsidP="00F50315">
      <w:pPr>
        <w:pStyle w:val="Heading2"/>
        <w:tabs>
          <w:tab w:val="left" w:pos="567"/>
        </w:tabs>
        <w:spacing w:before="0" w:line="288" w:lineRule="auto"/>
        <w:jc w:val="both"/>
        <w:rPr>
          <w:sz w:val="24"/>
          <w:szCs w:val="24"/>
        </w:rPr>
      </w:pPr>
      <w:r w:rsidRPr="00F50315">
        <w:rPr>
          <w:sz w:val="24"/>
          <w:szCs w:val="24"/>
        </w:rPr>
        <w:lastRenderedPageBreak/>
        <w:t xml:space="preserve">4.  </w:t>
      </w:r>
      <w:r w:rsidR="00FE7C27" w:rsidRPr="00F50315">
        <w:rPr>
          <w:sz w:val="24"/>
          <w:szCs w:val="24"/>
        </w:rPr>
        <w:t>Evaluation Method</w:t>
      </w:r>
    </w:p>
    <w:p w14:paraId="43F5287A" w14:textId="77777777" w:rsidR="00F50315" w:rsidRPr="00F50315" w:rsidRDefault="00F50315" w:rsidP="00F50315">
      <w:pPr>
        <w:tabs>
          <w:tab w:val="left" w:pos="567"/>
        </w:tabs>
        <w:spacing w:after="0" w:line="288" w:lineRule="auto"/>
        <w:jc w:val="both"/>
        <w:rPr>
          <w:rFonts w:asciiTheme="majorBidi" w:hAnsiTheme="majorBidi" w:cstheme="majorBidi"/>
          <w:sz w:val="12"/>
          <w:szCs w:val="12"/>
        </w:rPr>
      </w:pPr>
    </w:p>
    <w:p w14:paraId="4EE5B6A1" w14:textId="78E99264" w:rsidR="00492F01" w:rsidRDefault="00492F01" w:rsidP="00F50315">
      <w:pPr>
        <w:tabs>
          <w:tab w:val="left" w:pos="567"/>
        </w:tabs>
        <w:spacing w:after="0" w:line="288" w:lineRule="auto"/>
        <w:jc w:val="both"/>
        <w:rPr>
          <w:rFonts w:asciiTheme="majorBidi" w:hAnsiTheme="majorBidi" w:cstheme="majorBidi"/>
          <w:sz w:val="24"/>
          <w:szCs w:val="24"/>
        </w:rPr>
      </w:pPr>
      <w:r w:rsidRPr="00357D66">
        <w:rPr>
          <w:rFonts w:asciiTheme="majorBidi" w:hAnsiTheme="majorBidi" w:cstheme="majorBidi"/>
          <w:sz w:val="24"/>
          <w:szCs w:val="24"/>
        </w:rPr>
        <w:t>We consider two outcome variables</w:t>
      </w:r>
      <w:r w:rsidR="00031B71" w:rsidRPr="00357D66">
        <w:rPr>
          <w:rFonts w:asciiTheme="majorBidi" w:hAnsiTheme="majorBidi" w:cstheme="majorBidi"/>
          <w:sz w:val="24"/>
          <w:szCs w:val="24"/>
        </w:rPr>
        <w:t>, both being measures of students’ academic performance in the course</w:t>
      </w:r>
      <w:r w:rsidRPr="00357D66">
        <w:rPr>
          <w:rFonts w:asciiTheme="majorBidi" w:hAnsiTheme="majorBidi" w:cstheme="majorBidi"/>
          <w:sz w:val="24"/>
          <w:szCs w:val="24"/>
        </w:rPr>
        <w:t>: (1) a binary outcome variable</w:t>
      </w:r>
      <w:r w:rsidR="00031B71" w:rsidRPr="00357D66">
        <w:rPr>
          <w:rFonts w:asciiTheme="majorBidi" w:hAnsiTheme="majorBidi" w:cstheme="majorBidi"/>
          <w:sz w:val="24"/>
          <w:szCs w:val="24"/>
        </w:rPr>
        <w:t xml:space="preserve"> (</w:t>
      </w:r>
      <w:r w:rsidR="00031B71" w:rsidRPr="00357D66">
        <w:rPr>
          <w:rFonts w:asciiTheme="majorBidi" w:hAnsiTheme="majorBidi" w:cstheme="majorBidi"/>
          <w:i/>
          <w:sz w:val="24"/>
          <w:szCs w:val="24"/>
        </w:rPr>
        <w:t>Pass</w:t>
      </w:r>
      <w:r w:rsidR="00031B71" w:rsidRPr="00357D66">
        <w:rPr>
          <w:rFonts w:asciiTheme="majorBidi" w:hAnsiTheme="majorBidi" w:cstheme="majorBidi"/>
          <w:sz w:val="24"/>
          <w:szCs w:val="24"/>
        </w:rPr>
        <w:t>)</w:t>
      </w:r>
      <w:r w:rsidRPr="00357D66">
        <w:rPr>
          <w:rFonts w:asciiTheme="majorBidi" w:hAnsiTheme="majorBidi" w:cstheme="majorBidi"/>
          <w:sz w:val="24"/>
          <w:szCs w:val="24"/>
        </w:rPr>
        <w:t xml:space="preserve"> set to one if the student passed the course (and zero otherwise); and (2) the percentage final </w:t>
      </w:r>
      <w:r w:rsidR="00031B71" w:rsidRPr="00357D66">
        <w:rPr>
          <w:rFonts w:asciiTheme="majorBidi" w:hAnsiTheme="majorBidi" w:cstheme="majorBidi"/>
          <w:sz w:val="24"/>
          <w:szCs w:val="24"/>
        </w:rPr>
        <w:t>mark (</w:t>
      </w:r>
      <w:proofErr w:type="spellStart"/>
      <w:r w:rsidR="00031B71" w:rsidRPr="00357D66">
        <w:rPr>
          <w:rFonts w:asciiTheme="majorBidi" w:hAnsiTheme="majorBidi" w:cstheme="majorBidi"/>
          <w:i/>
          <w:sz w:val="24"/>
          <w:szCs w:val="24"/>
        </w:rPr>
        <w:t>FinalMark</w:t>
      </w:r>
      <w:proofErr w:type="spellEnd"/>
      <w:r w:rsidR="00031B71" w:rsidRPr="00357D66">
        <w:rPr>
          <w:rFonts w:asciiTheme="majorBidi" w:hAnsiTheme="majorBidi" w:cstheme="majorBidi"/>
          <w:sz w:val="24"/>
          <w:szCs w:val="24"/>
        </w:rPr>
        <w:t>)</w:t>
      </w:r>
      <w:r w:rsidRPr="00357D66">
        <w:rPr>
          <w:rFonts w:asciiTheme="majorBidi" w:hAnsiTheme="majorBidi" w:cstheme="majorBidi"/>
          <w:sz w:val="24"/>
          <w:szCs w:val="24"/>
        </w:rPr>
        <w:t xml:space="preserve"> achieved by the student.</w:t>
      </w:r>
      <w:r w:rsidR="00031B71" w:rsidRPr="00357D66">
        <w:rPr>
          <w:rFonts w:asciiTheme="majorBidi" w:hAnsiTheme="majorBidi" w:cstheme="majorBidi"/>
          <w:sz w:val="24"/>
          <w:szCs w:val="24"/>
        </w:rPr>
        <w:t xml:space="preserve"> The effect of the two treatment interventions (compared with the control group) were tested using the following multiple regression equation:</w:t>
      </w:r>
    </w:p>
    <w:p w14:paraId="33493126" w14:textId="77777777" w:rsidR="00E16AE4" w:rsidRPr="00357D66" w:rsidRDefault="00E16AE4" w:rsidP="00F50315">
      <w:pPr>
        <w:tabs>
          <w:tab w:val="left" w:pos="567"/>
        </w:tabs>
        <w:spacing w:after="0" w:line="288" w:lineRule="auto"/>
        <w:jc w:val="both"/>
        <w:rPr>
          <w:rFonts w:asciiTheme="majorBidi" w:hAnsiTheme="majorBidi" w:cstheme="majorBidi"/>
          <w:sz w:val="24"/>
          <w:szCs w:val="24"/>
        </w:rPr>
      </w:pPr>
    </w:p>
    <w:p w14:paraId="77CB1417" w14:textId="2DE58A73" w:rsidR="00E16AE4" w:rsidRDefault="00031B71" w:rsidP="00E16AE4">
      <w:pPr>
        <w:tabs>
          <w:tab w:val="left" w:pos="0"/>
        </w:tabs>
        <w:spacing w:after="0" w:line="288" w:lineRule="auto"/>
        <w:jc w:val="center"/>
        <w:rPr>
          <w:rFonts w:asciiTheme="majorBidi" w:hAnsiTheme="majorBidi" w:cstheme="majorBidi"/>
          <w:i/>
          <w:iCs/>
        </w:rPr>
      </w:pPr>
      <w:r w:rsidRPr="00E16AE4">
        <w:rPr>
          <w:rFonts w:asciiTheme="majorBidi" w:hAnsiTheme="majorBidi" w:cstheme="majorBidi"/>
          <w:i/>
          <w:iCs/>
        </w:rPr>
        <w:t>Outcome = β</w:t>
      </w:r>
      <w:r w:rsidRPr="00E16AE4">
        <w:rPr>
          <w:rFonts w:asciiTheme="majorBidi" w:hAnsiTheme="majorBidi" w:cstheme="majorBidi"/>
          <w:i/>
          <w:iCs/>
          <w:vertAlign w:val="subscript"/>
        </w:rPr>
        <w:t>0</w:t>
      </w:r>
      <w:r w:rsidRPr="00E16AE4">
        <w:rPr>
          <w:rFonts w:asciiTheme="majorBidi" w:hAnsiTheme="majorBidi" w:cstheme="majorBidi"/>
          <w:i/>
          <w:iCs/>
        </w:rPr>
        <w:t xml:space="preserve"> + β</w:t>
      </w:r>
      <w:r w:rsidRPr="00E16AE4">
        <w:rPr>
          <w:rFonts w:asciiTheme="majorBidi" w:hAnsiTheme="majorBidi" w:cstheme="majorBidi"/>
          <w:i/>
          <w:iCs/>
          <w:vertAlign w:val="subscript"/>
        </w:rPr>
        <w:t>1</w:t>
      </w:r>
      <w:r w:rsidRPr="00E16AE4">
        <w:rPr>
          <w:rFonts w:asciiTheme="majorBidi" w:hAnsiTheme="majorBidi" w:cstheme="majorBidi"/>
          <w:i/>
          <w:iCs/>
        </w:rPr>
        <w:t>Year + β</w:t>
      </w:r>
      <w:r w:rsidRPr="00E16AE4">
        <w:rPr>
          <w:rFonts w:asciiTheme="majorBidi" w:hAnsiTheme="majorBidi" w:cstheme="majorBidi"/>
          <w:i/>
          <w:iCs/>
          <w:vertAlign w:val="subscript"/>
        </w:rPr>
        <w:t>2</w:t>
      </w:r>
      <w:r w:rsidRPr="00E16AE4">
        <w:rPr>
          <w:rFonts w:asciiTheme="majorBidi" w:hAnsiTheme="majorBidi" w:cstheme="majorBidi"/>
          <w:i/>
          <w:iCs/>
        </w:rPr>
        <w:t>TreatmentA + β</w:t>
      </w:r>
      <w:r w:rsidRPr="00E16AE4">
        <w:rPr>
          <w:rFonts w:asciiTheme="majorBidi" w:hAnsiTheme="majorBidi" w:cstheme="majorBidi"/>
          <w:i/>
          <w:iCs/>
          <w:vertAlign w:val="subscript"/>
        </w:rPr>
        <w:t>3</w:t>
      </w:r>
      <w:r w:rsidRPr="00E16AE4">
        <w:rPr>
          <w:rFonts w:asciiTheme="majorBidi" w:hAnsiTheme="majorBidi" w:cstheme="majorBidi"/>
          <w:i/>
          <w:iCs/>
        </w:rPr>
        <w:t xml:space="preserve">TreatmentB + </w:t>
      </w:r>
      <w:proofErr w:type="gramStart"/>
      <w:r w:rsidRPr="00E16AE4">
        <w:rPr>
          <w:rFonts w:asciiTheme="majorBidi" w:hAnsiTheme="majorBidi" w:cstheme="majorBidi"/>
          <w:i/>
          <w:iCs/>
        </w:rPr>
        <w:t>β</w:t>
      </w:r>
      <w:r w:rsidRPr="00E16AE4">
        <w:rPr>
          <w:rFonts w:asciiTheme="majorBidi" w:hAnsiTheme="majorBidi" w:cstheme="majorBidi"/>
          <w:i/>
          <w:iCs/>
          <w:vertAlign w:val="subscript"/>
        </w:rPr>
        <w:t>4</w:t>
      </w:r>
      <w:r w:rsidRPr="00870C48">
        <w:rPr>
          <w:rFonts w:asciiTheme="majorBidi" w:hAnsiTheme="majorBidi" w:cstheme="majorBidi"/>
          <w:iCs/>
        </w:rPr>
        <w:t>(</w:t>
      </w:r>
      <w:proofErr w:type="gramEnd"/>
      <w:r w:rsidRPr="00E16AE4">
        <w:rPr>
          <w:rFonts w:asciiTheme="majorBidi" w:hAnsiTheme="majorBidi" w:cstheme="majorBidi"/>
          <w:i/>
          <w:iCs/>
        </w:rPr>
        <w:t>Year*</w:t>
      </w:r>
      <w:proofErr w:type="spellStart"/>
      <w:r w:rsidRPr="00E16AE4">
        <w:rPr>
          <w:rFonts w:asciiTheme="majorBidi" w:hAnsiTheme="majorBidi" w:cstheme="majorBidi"/>
          <w:i/>
          <w:iCs/>
        </w:rPr>
        <w:t>TreatmentA</w:t>
      </w:r>
      <w:proofErr w:type="spellEnd"/>
      <w:r w:rsidRPr="00870C48">
        <w:rPr>
          <w:rFonts w:asciiTheme="majorBidi" w:hAnsiTheme="majorBidi" w:cstheme="majorBidi"/>
          <w:iCs/>
        </w:rPr>
        <w:t>)</w:t>
      </w:r>
    </w:p>
    <w:p w14:paraId="689C8FD7" w14:textId="26876706" w:rsidR="00031B71" w:rsidRPr="00E16AE4" w:rsidRDefault="00E16AE4" w:rsidP="00870C48">
      <w:pPr>
        <w:tabs>
          <w:tab w:val="left" w:pos="567"/>
        </w:tabs>
        <w:spacing w:after="0" w:line="288" w:lineRule="auto"/>
        <w:ind w:left="1701" w:hanging="1701"/>
        <w:jc w:val="both"/>
        <w:rPr>
          <w:rFonts w:asciiTheme="majorBidi" w:hAnsiTheme="majorBidi" w:cstheme="majorBidi"/>
        </w:rPr>
      </w:pPr>
      <w:r>
        <w:rPr>
          <w:rFonts w:asciiTheme="majorBidi" w:hAnsiTheme="majorBidi" w:cstheme="majorBidi"/>
          <w:i/>
          <w:iCs/>
        </w:rPr>
        <w:tab/>
      </w:r>
      <w:r>
        <w:rPr>
          <w:rFonts w:asciiTheme="majorBidi" w:hAnsiTheme="majorBidi" w:cstheme="majorBidi"/>
          <w:i/>
          <w:iCs/>
        </w:rPr>
        <w:tab/>
      </w:r>
      <w:r w:rsidR="00031B71" w:rsidRPr="00E16AE4">
        <w:rPr>
          <w:rFonts w:asciiTheme="majorBidi" w:hAnsiTheme="majorBidi" w:cstheme="majorBidi"/>
          <w:i/>
          <w:iCs/>
        </w:rPr>
        <w:t xml:space="preserve"> + </w:t>
      </w:r>
      <w:proofErr w:type="gramStart"/>
      <w:r w:rsidR="00031B71" w:rsidRPr="00E16AE4">
        <w:rPr>
          <w:rFonts w:asciiTheme="majorBidi" w:hAnsiTheme="majorBidi" w:cstheme="majorBidi"/>
          <w:i/>
          <w:iCs/>
        </w:rPr>
        <w:t>β</w:t>
      </w:r>
      <w:r w:rsidR="00031B71" w:rsidRPr="00E16AE4">
        <w:rPr>
          <w:rFonts w:asciiTheme="majorBidi" w:hAnsiTheme="majorBidi" w:cstheme="majorBidi"/>
          <w:i/>
          <w:iCs/>
          <w:vertAlign w:val="subscript"/>
        </w:rPr>
        <w:t>5</w:t>
      </w:r>
      <w:r w:rsidR="00031B71" w:rsidRPr="00870C48">
        <w:rPr>
          <w:rFonts w:asciiTheme="majorBidi" w:hAnsiTheme="majorBidi" w:cstheme="majorBidi"/>
          <w:iCs/>
        </w:rPr>
        <w:t>(</w:t>
      </w:r>
      <w:proofErr w:type="gramEnd"/>
      <w:r w:rsidR="00870C48">
        <w:rPr>
          <w:rFonts w:asciiTheme="majorBidi" w:hAnsiTheme="majorBidi" w:cstheme="majorBidi"/>
          <w:i/>
          <w:iCs/>
        </w:rPr>
        <w:t>Year*</w:t>
      </w:r>
      <w:proofErr w:type="spellStart"/>
      <w:r w:rsidR="00870C48">
        <w:rPr>
          <w:rFonts w:asciiTheme="majorBidi" w:hAnsiTheme="majorBidi" w:cstheme="majorBidi"/>
          <w:i/>
          <w:iCs/>
        </w:rPr>
        <w:t>TreatmentB</w:t>
      </w:r>
      <w:proofErr w:type="spellEnd"/>
      <w:r w:rsidR="00870C48">
        <w:rPr>
          <w:rFonts w:asciiTheme="majorBidi" w:hAnsiTheme="majorBidi" w:cstheme="majorBidi"/>
          <w:iCs/>
        </w:rPr>
        <w:t>)</w:t>
      </w:r>
      <w:r w:rsidR="00031B71" w:rsidRPr="00E16AE4">
        <w:rPr>
          <w:rFonts w:asciiTheme="majorBidi" w:hAnsiTheme="majorBidi" w:cstheme="majorBidi"/>
          <w:i/>
          <w:iCs/>
        </w:rPr>
        <w:t xml:space="preserve"> + β</w:t>
      </w:r>
      <w:r w:rsidR="00031B71" w:rsidRPr="00E16AE4">
        <w:rPr>
          <w:rFonts w:asciiTheme="majorBidi" w:hAnsiTheme="majorBidi" w:cstheme="majorBidi"/>
          <w:i/>
          <w:iCs/>
          <w:vertAlign w:val="subscript"/>
        </w:rPr>
        <w:t>6</w:t>
      </w:r>
      <w:r w:rsidR="00031B71" w:rsidRPr="00E16AE4">
        <w:rPr>
          <w:rFonts w:asciiTheme="majorBidi" w:hAnsiTheme="majorBidi" w:cstheme="majorBidi"/>
          <w:i/>
          <w:iCs/>
        </w:rPr>
        <w:t xml:space="preserve">X + ε </w:t>
      </w:r>
      <w:r w:rsidR="00314904" w:rsidRPr="00E16AE4">
        <w:rPr>
          <w:rFonts w:asciiTheme="majorBidi" w:hAnsiTheme="majorBidi" w:cstheme="majorBidi"/>
          <w:i/>
          <w:iCs/>
        </w:rPr>
        <w:tab/>
      </w:r>
      <w:r w:rsidR="00314904" w:rsidRPr="00E16AE4">
        <w:rPr>
          <w:rFonts w:asciiTheme="majorBidi" w:hAnsiTheme="majorBidi" w:cstheme="majorBidi"/>
          <w:i/>
          <w:iCs/>
        </w:rPr>
        <w:tab/>
      </w:r>
      <w:r>
        <w:rPr>
          <w:rFonts w:asciiTheme="majorBidi" w:hAnsiTheme="majorBidi" w:cstheme="majorBidi"/>
          <w:i/>
          <w:iCs/>
        </w:rPr>
        <w:tab/>
      </w:r>
      <w:r>
        <w:rPr>
          <w:rFonts w:asciiTheme="majorBidi" w:hAnsiTheme="majorBidi" w:cstheme="majorBidi"/>
          <w:i/>
          <w:iCs/>
        </w:rPr>
        <w:tab/>
      </w:r>
      <w:r>
        <w:rPr>
          <w:rFonts w:asciiTheme="majorBidi" w:hAnsiTheme="majorBidi" w:cstheme="majorBidi"/>
          <w:i/>
          <w:iCs/>
        </w:rPr>
        <w:tab/>
      </w:r>
      <w:r>
        <w:rPr>
          <w:rFonts w:asciiTheme="majorBidi" w:hAnsiTheme="majorBidi" w:cstheme="majorBidi"/>
          <w:i/>
          <w:iCs/>
        </w:rPr>
        <w:tab/>
      </w:r>
      <w:r w:rsidR="00314904" w:rsidRPr="00E16AE4">
        <w:rPr>
          <w:rFonts w:asciiTheme="majorBidi" w:hAnsiTheme="majorBidi" w:cstheme="majorBidi"/>
          <w:iCs/>
        </w:rPr>
        <w:t>(1)</w:t>
      </w:r>
    </w:p>
    <w:p w14:paraId="2F1EAF68" w14:textId="77777777" w:rsidR="00F50315" w:rsidRPr="00E16AE4" w:rsidRDefault="00F50315" w:rsidP="00F50315">
      <w:pPr>
        <w:tabs>
          <w:tab w:val="left" w:pos="567"/>
        </w:tabs>
        <w:spacing w:after="0" w:line="288" w:lineRule="auto"/>
        <w:ind w:firstLine="720"/>
        <w:jc w:val="both"/>
        <w:rPr>
          <w:rFonts w:asciiTheme="majorBidi" w:hAnsiTheme="majorBidi" w:cstheme="majorBidi"/>
        </w:rPr>
      </w:pPr>
    </w:p>
    <w:p w14:paraId="11B5722B" w14:textId="05F0C49F" w:rsidR="00031B71" w:rsidRDefault="00031B71" w:rsidP="00F50315">
      <w:pPr>
        <w:tabs>
          <w:tab w:val="left" w:pos="567"/>
        </w:tabs>
        <w:spacing w:after="0" w:line="288" w:lineRule="auto"/>
        <w:ind w:firstLine="567"/>
        <w:jc w:val="both"/>
        <w:rPr>
          <w:rFonts w:asciiTheme="majorBidi" w:hAnsiTheme="majorBidi" w:cstheme="majorBidi"/>
          <w:sz w:val="24"/>
          <w:szCs w:val="24"/>
        </w:rPr>
      </w:pPr>
      <w:r w:rsidRPr="00357D66">
        <w:rPr>
          <w:rFonts w:asciiTheme="majorBidi" w:hAnsiTheme="majorBidi" w:cstheme="majorBidi"/>
          <w:sz w:val="24"/>
          <w:szCs w:val="24"/>
        </w:rPr>
        <w:t xml:space="preserve">Where </w:t>
      </w:r>
      <w:r w:rsidRPr="00357D66">
        <w:rPr>
          <w:rFonts w:asciiTheme="majorBidi" w:hAnsiTheme="majorBidi" w:cstheme="majorBidi"/>
          <w:i/>
          <w:sz w:val="24"/>
          <w:szCs w:val="24"/>
        </w:rPr>
        <w:t>Outcome</w:t>
      </w:r>
      <w:r w:rsidRPr="00357D66">
        <w:rPr>
          <w:rFonts w:asciiTheme="majorBidi" w:hAnsiTheme="majorBidi" w:cstheme="majorBidi"/>
          <w:sz w:val="24"/>
          <w:szCs w:val="24"/>
        </w:rPr>
        <w:t xml:space="preserve"> is the outcome variable (</w:t>
      </w:r>
      <w:r w:rsidRPr="00357D66">
        <w:rPr>
          <w:rFonts w:asciiTheme="majorBidi" w:hAnsiTheme="majorBidi" w:cstheme="majorBidi"/>
          <w:i/>
          <w:sz w:val="24"/>
          <w:szCs w:val="24"/>
        </w:rPr>
        <w:t>Pass</w:t>
      </w:r>
      <w:r w:rsidRPr="00357D66">
        <w:rPr>
          <w:rFonts w:asciiTheme="majorBidi" w:hAnsiTheme="majorBidi" w:cstheme="majorBidi"/>
          <w:sz w:val="24"/>
          <w:szCs w:val="24"/>
        </w:rPr>
        <w:t xml:space="preserve"> or </w:t>
      </w:r>
      <w:proofErr w:type="spellStart"/>
      <w:r w:rsidRPr="00357D66">
        <w:rPr>
          <w:rFonts w:asciiTheme="majorBidi" w:hAnsiTheme="majorBidi" w:cstheme="majorBidi"/>
          <w:i/>
          <w:sz w:val="24"/>
          <w:szCs w:val="24"/>
        </w:rPr>
        <w:t>FinalMark</w:t>
      </w:r>
      <w:proofErr w:type="spellEnd"/>
      <w:r w:rsidRPr="00357D66">
        <w:rPr>
          <w:rFonts w:asciiTheme="majorBidi" w:hAnsiTheme="majorBidi" w:cstheme="majorBidi"/>
          <w:sz w:val="24"/>
          <w:szCs w:val="24"/>
        </w:rPr>
        <w:t>)</w:t>
      </w:r>
      <w:r w:rsidR="0086050E" w:rsidRPr="00357D66">
        <w:rPr>
          <w:rFonts w:asciiTheme="majorBidi" w:hAnsiTheme="majorBidi" w:cstheme="majorBidi"/>
          <w:sz w:val="24"/>
          <w:szCs w:val="24"/>
        </w:rPr>
        <w:t>,</w:t>
      </w:r>
      <w:r w:rsidRPr="00357D66">
        <w:rPr>
          <w:rFonts w:asciiTheme="majorBidi" w:hAnsiTheme="majorBidi" w:cstheme="majorBidi"/>
          <w:sz w:val="24"/>
          <w:szCs w:val="24"/>
        </w:rPr>
        <w:t xml:space="preserve"> </w:t>
      </w:r>
      <w:r w:rsidRPr="00357D66">
        <w:rPr>
          <w:rFonts w:asciiTheme="majorBidi" w:hAnsiTheme="majorBidi" w:cstheme="majorBidi"/>
          <w:i/>
          <w:sz w:val="24"/>
          <w:szCs w:val="24"/>
        </w:rPr>
        <w:t>Year</w:t>
      </w:r>
      <w:r w:rsidRPr="00357D66">
        <w:rPr>
          <w:rFonts w:asciiTheme="majorBidi" w:hAnsiTheme="majorBidi" w:cstheme="majorBidi"/>
          <w:sz w:val="24"/>
          <w:szCs w:val="24"/>
        </w:rPr>
        <w:t xml:space="preserve"> is a dummy variable (set to one for 2014), </w:t>
      </w:r>
      <w:proofErr w:type="spellStart"/>
      <w:r w:rsidRPr="00357D66">
        <w:rPr>
          <w:rFonts w:asciiTheme="majorBidi" w:hAnsiTheme="majorBidi" w:cstheme="majorBidi"/>
          <w:i/>
          <w:sz w:val="24"/>
          <w:szCs w:val="24"/>
        </w:rPr>
        <w:t>TreatmentA</w:t>
      </w:r>
      <w:proofErr w:type="spellEnd"/>
      <w:r w:rsidRPr="00357D66">
        <w:rPr>
          <w:rFonts w:asciiTheme="majorBidi" w:hAnsiTheme="majorBidi" w:cstheme="majorBidi"/>
          <w:sz w:val="24"/>
          <w:szCs w:val="24"/>
        </w:rPr>
        <w:t xml:space="preserve"> and </w:t>
      </w:r>
      <w:proofErr w:type="spellStart"/>
      <w:r w:rsidRPr="00357D66">
        <w:rPr>
          <w:rFonts w:asciiTheme="majorBidi" w:hAnsiTheme="majorBidi" w:cstheme="majorBidi"/>
          <w:i/>
          <w:sz w:val="24"/>
          <w:szCs w:val="24"/>
        </w:rPr>
        <w:t>TreatmentB</w:t>
      </w:r>
      <w:proofErr w:type="spellEnd"/>
      <w:r w:rsidRPr="00357D66">
        <w:rPr>
          <w:rFonts w:asciiTheme="majorBidi" w:hAnsiTheme="majorBidi" w:cstheme="majorBidi"/>
          <w:sz w:val="24"/>
          <w:szCs w:val="24"/>
        </w:rPr>
        <w:t xml:space="preserve"> are indicator dummy variables</w:t>
      </w:r>
      <w:r w:rsidR="00314904" w:rsidRPr="00357D66">
        <w:rPr>
          <w:rFonts w:asciiTheme="majorBidi" w:hAnsiTheme="majorBidi" w:cstheme="majorBidi"/>
          <w:sz w:val="24"/>
          <w:szCs w:val="24"/>
        </w:rPr>
        <w:t xml:space="preserve"> for Treatment Group A and Treatment Group B respectively (the Control group is the comparator)</w:t>
      </w:r>
      <w:r w:rsidRPr="00357D66">
        <w:rPr>
          <w:rFonts w:asciiTheme="majorBidi" w:hAnsiTheme="majorBidi" w:cstheme="majorBidi"/>
          <w:sz w:val="24"/>
          <w:szCs w:val="24"/>
        </w:rPr>
        <w:t xml:space="preserve">, </w:t>
      </w:r>
      <w:r w:rsidRPr="00357D66">
        <w:rPr>
          <w:rFonts w:asciiTheme="majorBidi" w:hAnsiTheme="majorBidi" w:cstheme="majorBidi"/>
          <w:i/>
          <w:sz w:val="24"/>
          <w:szCs w:val="24"/>
        </w:rPr>
        <w:t>X</w:t>
      </w:r>
      <w:r w:rsidRPr="00357D66">
        <w:rPr>
          <w:rFonts w:asciiTheme="majorBidi" w:hAnsiTheme="majorBidi" w:cstheme="majorBidi"/>
          <w:sz w:val="24"/>
          <w:szCs w:val="24"/>
        </w:rPr>
        <w:t xml:space="preserve"> is a vector of demographic and other control variables, and </w:t>
      </w:r>
      <w:r w:rsidRPr="00357D66">
        <w:rPr>
          <w:rFonts w:asciiTheme="majorBidi" w:hAnsiTheme="majorBidi" w:cstheme="majorBidi"/>
          <w:i/>
          <w:sz w:val="24"/>
          <w:szCs w:val="24"/>
        </w:rPr>
        <w:t>ε</w:t>
      </w:r>
      <w:r w:rsidRPr="00357D66">
        <w:rPr>
          <w:rFonts w:asciiTheme="majorBidi" w:hAnsiTheme="majorBidi" w:cstheme="majorBidi"/>
          <w:sz w:val="24"/>
          <w:szCs w:val="24"/>
        </w:rPr>
        <w:t xml:space="preserve"> is an idiosyncratic error term. The vector of demographic and other control variables included gender (set to one for male students), ethnicity (a dummy variable set to one for students of Asian, </w:t>
      </w:r>
      <w:r w:rsidR="00222E50" w:rsidRPr="00357D66">
        <w:rPr>
          <w:rFonts w:asciiTheme="majorBidi" w:hAnsiTheme="majorBidi" w:cstheme="majorBidi"/>
          <w:sz w:val="24"/>
          <w:szCs w:val="24"/>
        </w:rPr>
        <w:t xml:space="preserve">or New Zealand </w:t>
      </w:r>
      <w:r w:rsidRPr="00357D66">
        <w:rPr>
          <w:rFonts w:asciiTheme="majorBidi" w:hAnsiTheme="majorBidi" w:cstheme="majorBidi"/>
          <w:sz w:val="24"/>
          <w:szCs w:val="24"/>
        </w:rPr>
        <w:t>European ethnicity, and set to zero for students of Māori</w:t>
      </w:r>
      <w:r w:rsidR="00222E50" w:rsidRPr="00357D66">
        <w:rPr>
          <w:rFonts w:asciiTheme="majorBidi" w:hAnsiTheme="majorBidi" w:cstheme="majorBidi"/>
          <w:sz w:val="24"/>
          <w:szCs w:val="24"/>
        </w:rPr>
        <w:t>,</w:t>
      </w:r>
      <w:r w:rsidRPr="00357D66">
        <w:rPr>
          <w:rFonts w:asciiTheme="majorBidi" w:hAnsiTheme="majorBidi" w:cstheme="majorBidi"/>
          <w:sz w:val="24"/>
          <w:szCs w:val="24"/>
        </w:rPr>
        <w:t xml:space="preserve"> Pacific Island</w:t>
      </w:r>
      <w:r w:rsidR="00222E50" w:rsidRPr="00357D66">
        <w:rPr>
          <w:rFonts w:asciiTheme="majorBidi" w:hAnsiTheme="majorBidi" w:cstheme="majorBidi"/>
          <w:sz w:val="24"/>
          <w:szCs w:val="24"/>
        </w:rPr>
        <w:t>, or ‘Other’</w:t>
      </w:r>
      <w:r w:rsidRPr="00357D66">
        <w:rPr>
          <w:rFonts w:asciiTheme="majorBidi" w:hAnsiTheme="majorBidi" w:cstheme="majorBidi"/>
          <w:sz w:val="24"/>
          <w:szCs w:val="24"/>
        </w:rPr>
        <w:t xml:space="preserve"> ethnicity), age group (18-20; 21-25; 26 years and over), domestic status (set to one for </w:t>
      </w:r>
      <w:r w:rsidR="00EA5187" w:rsidRPr="00357D66">
        <w:rPr>
          <w:rFonts w:asciiTheme="majorBidi" w:hAnsiTheme="majorBidi" w:cstheme="majorBidi"/>
          <w:sz w:val="24"/>
          <w:szCs w:val="24"/>
        </w:rPr>
        <w:t xml:space="preserve">domestic </w:t>
      </w:r>
      <w:r w:rsidRPr="00357D66">
        <w:rPr>
          <w:rFonts w:asciiTheme="majorBidi" w:hAnsiTheme="majorBidi" w:cstheme="majorBidi"/>
          <w:sz w:val="24"/>
          <w:szCs w:val="24"/>
        </w:rPr>
        <w:t>students</w:t>
      </w:r>
      <w:r w:rsidR="0086050E" w:rsidRPr="00357D66">
        <w:rPr>
          <w:rFonts w:asciiTheme="majorBidi" w:hAnsiTheme="majorBidi" w:cstheme="majorBidi"/>
          <w:sz w:val="24"/>
          <w:szCs w:val="24"/>
        </w:rPr>
        <w:t>, and zero for international students</w:t>
      </w:r>
      <w:r w:rsidRPr="00357D66">
        <w:rPr>
          <w:rFonts w:asciiTheme="majorBidi" w:hAnsiTheme="majorBidi" w:cstheme="majorBidi"/>
          <w:sz w:val="24"/>
          <w:szCs w:val="24"/>
        </w:rPr>
        <w:t>), and decile rating</w:t>
      </w:r>
      <w:r w:rsidR="00314904" w:rsidRPr="00357D66">
        <w:rPr>
          <w:rFonts w:asciiTheme="majorBidi" w:hAnsiTheme="majorBidi" w:cstheme="majorBidi"/>
          <w:sz w:val="24"/>
          <w:szCs w:val="24"/>
        </w:rPr>
        <w:t xml:space="preserve"> of each student’s previous high school as a measure of socioeconomic status</w:t>
      </w:r>
      <w:r w:rsidRPr="00357D66">
        <w:rPr>
          <w:rFonts w:asciiTheme="majorBidi" w:hAnsiTheme="majorBidi" w:cstheme="majorBidi"/>
          <w:sz w:val="24"/>
          <w:szCs w:val="24"/>
        </w:rPr>
        <w:t>.</w:t>
      </w:r>
      <w:r w:rsidR="00314904" w:rsidRPr="00357D66">
        <w:rPr>
          <w:rFonts w:asciiTheme="majorBidi" w:hAnsiTheme="majorBidi" w:cstheme="majorBidi"/>
          <w:sz w:val="24"/>
          <w:szCs w:val="24"/>
        </w:rPr>
        <w:t xml:space="preserve"> New Zealand schools are rated to indicate the extent to which they draw students from low socio-economic communities, with decile 1 representing the ‘poorest’ 10 percent of schools, while decile 10 represents the ‘richest’ 10 percent of schools.</w:t>
      </w:r>
      <w:r w:rsidR="00181068" w:rsidRPr="00357D66">
        <w:rPr>
          <w:rFonts w:asciiTheme="majorBidi" w:hAnsiTheme="majorBidi" w:cstheme="majorBidi"/>
          <w:sz w:val="24"/>
          <w:szCs w:val="24"/>
        </w:rPr>
        <w:t xml:space="preserve"> High school d</w:t>
      </w:r>
      <w:r w:rsidR="00222E50" w:rsidRPr="00357D66">
        <w:rPr>
          <w:rFonts w:asciiTheme="majorBidi" w:hAnsiTheme="majorBidi" w:cstheme="majorBidi"/>
          <w:sz w:val="24"/>
          <w:szCs w:val="24"/>
        </w:rPr>
        <w:t>ecile rating is only available for students who completed high school in New Zealand, so we estimate models with and without this variable included.</w:t>
      </w:r>
    </w:p>
    <w:p w14:paraId="17EC1B46" w14:textId="77777777" w:rsidR="00767C49" w:rsidRPr="00357D66" w:rsidRDefault="00767C49" w:rsidP="00F50315">
      <w:pPr>
        <w:tabs>
          <w:tab w:val="left" w:pos="567"/>
        </w:tabs>
        <w:spacing w:after="0" w:line="288" w:lineRule="auto"/>
        <w:ind w:firstLine="720"/>
        <w:jc w:val="both"/>
        <w:rPr>
          <w:rFonts w:asciiTheme="majorBidi" w:hAnsiTheme="majorBidi" w:cstheme="majorBidi"/>
          <w:sz w:val="24"/>
          <w:szCs w:val="24"/>
        </w:rPr>
      </w:pPr>
    </w:p>
    <w:p w14:paraId="3348C8EE" w14:textId="09372F71" w:rsidR="00314904" w:rsidRDefault="00314904" w:rsidP="00F50315">
      <w:pPr>
        <w:tabs>
          <w:tab w:val="left" w:pos="567"/>
        </w:tabs>
        <w:spacing w:after="0" w:line="288" w:lineRule="auto"/>
        <w:ind w:firstLine="567"/>
        <w:jc w:val="both"/>
        <w:rPr>
          <w:rFonts w:asciiTheme="majorBidi" w:hAnsiTheme="majorBidi" w:cstheme="majorBidi"/>
          <w:sz w:val="24"/>
          <w:szCs w:val="24"/>
        </w:rPr>
      </w:pPr>
      <w:r w:rsidRPr="00357D66">
        <w:rPr>
          <w:rFonts w:asciiTheme="majorBidi" w:hAnsiTheme="majorBidi" w:cstheme="majorBidi"/>
          <w:sz w:val="24"/>
          <w:szCs w:val="24"/>
        </w:rPr>
        <w:t xml:space="preserve">Outcome variable </w:t>
      </w:r>
      <w:r w:rsidRPr="00357D66">
        <w:rPr>
          <w:rFonts w:asciiTheme="majorBidi" w:hAnsiTheme="majorBidi" w:cstheme="majorBidi"/>
          <w:i/>
          <w:sz w:val="24"/>
          <w:szCs w:val="24"/>
        </w:rPr>
        <w:t>Pass</w:t>
      </w:r>
      <w:r w:rsidRPr="00357D66">
        <w:rPr>
          <w:rFonts w:asciiTheme="majorBidi" w:hAnsiTheme="majorBidi" w:cstheme="majorBidi"/>
          <w:sz w:val="24"/>
          <w:szCs w:val="24"/>
        </w:rPr>
        <w:t xml:space="preserve"> was evaluated using a multiple logistic regression model, while </w:t>
      </w:r>
      <w:proofErr w:type="spellStart"/>
      <w:r w:rsidRPr="00357D66">
        <w:rPr>
          <w:rFonts w:asciiTheme="majorBidi" w:hAnsiTheme="majorBidi" w:cstheme="majorBidi"/>
          <w:i/>
          <w:sz w:val="24"/>
          <w:szCs w:val="24"/>
        </w:rPr>
        <w:t>FinalMark</w:t>
      </w:r>
      <w:proofErr w:type="spellEnd"/>
      <w:r w:rsidRPr="00357D66">
        <w:rPr>
          <w:rFonts w:asciiTheme="majorBidi" w:hAnsiTheme="majorBidi" w:cstheme="majorBidi"/>
          <w:sz w:val="24"/>
          <w:szCs w:val="24"/>
        </w:rPr>
        <w:t xml:space="preserve"> was evaluated using OLS regression. </w:t>
      </w:r>
      <w:r w:rsidR="00492F01" w:rsidRPr="00357D66">
        <w:rPr>
          <w:rFonts w:asciiTheme="majorBidi" w:hAnsiTheme="majorBidi" w:cstheme="majorBidi"/>
          <w:sz w:val="24"/>
          <w:szCs w:val="24"/>
        </w:rPr>
        <w:t xml:space="preserve">The variables of </w:t>
      </w:r>
      <w:r w:rsidR="00940FAD" w:rsidRPr="00357D66">
        <w:rPr>
          <w:rFonts w:asciiTheme="majorBidi" w:hAnsiTheme="majorBidi" w:cstheme="majorBidi"/>
          <w:sz w:val="24"/>
          <w:szCs w:val="24"/>
        </w:rPr>
        <w:t>relevance</w:t>
      </w:r>
      <w:r w:rsidR="00492F01" w:rsidRPr="00357D66">
        <w:rPr>
          <w:rFonts w:asciiTheme="majorBidi" w:hAnsiTheme="majorBidi" w:cstheme="majorBidi"/>
          <w:sz w:val="24"/>
          <w:szCs w:val="24"/>
        </w:rPr>
        <w:t xml:space="preserve"> to </w:t>
      </w:r>
      <w:r w:rsidRPr="00357D66">
        <w:rPr>
          <w:rFonts w:asciiTheme="majorBidi" w:hAnsiTheme="majorBidi" w:cstheme="majorBidi"/>
          <w:sz w:val="24"/>
          <w:szCs w:val="24"/>
        </w:rPr>
        <w:t>whether the intervention has any impact o</w:t>
      </w:r>
      <w:r w:rsidR="00EA5187" w:rsidRPr="00357D66">
        <w:rPr>
          <w:rFonts w:asciiTheme="majorBidi" w:hAnsiTheme="majorBidi" w:cstheme="majorBidi"/>
          <w:sz w:val="24"/>
          <w:szCs w:val="24"/>
        </w:rPr>
        <w:t>n</w:t>
      </w:r>
      <w:r w:rsidRPr="00357D66">
        <w:rPr>
          <w:rFonts w:asciiTheme="majorBidi" w:hAnsiTheme="majorBidi" w:cstheme="majorBidi"/>
          <w:sz w:val="24"/>
          <w:szCs w:val="24"/>
        </w:rPr>
        <w:t xml:space="preserve"> students’ academic performance are the Treatment variables, and their interactions with the </w:t>
      </w:r>
      <w:r w:rsidR="00EA5187" w:rsidRPr="00357D66">
        <w:rPr>
          <w:rFonts w:asciiTheme="majorBidi" w:hAnsiTheme="majorBidi" w:cstheme="majorBidi"/>
          <w:sz w:val="24"/>
          <w:szCs w:val="24"/>
        </w:rPr>
        <w:t>Y</w:t>
      </w:r>
      <w:r w:rsidRPr="00357D66">
        <w:rPr>
          <w:rFonts w:asciiTheme="majorBidi" w:hAnsiTheme="majorBidi" w:cstheme="majorBidi"/>
          <w:sz w:val="24"/>
          <w:szCs w:val="24"/>
        </w:rPr>
        <w:t xml:space="preserve">ear dummy variable. Specifically, the regression model framework in Equation (1) allows us to test whether each treatment had any effect in each year. If </w:t>
      </w:r>
      <w:r w:rsidRPr="00357D66">
        <w:rPr>
          <w:rFonts w:asciiTheme="majorBidi" w:hAnsiTheme="majorBidi" w:cstheme="majorBidi"/>
          <w:i/>
          <w:iCs/>
          <w:sz w:val="24"/>
          <w:szCs w:val="24"/>
        </w:rPr>
        <w:t>β</w:t>
      </w:r>
      <w:r w:rsidRPr="00357D66">
        <w:rPr>
          <w:rFonts w:asciiTheme="majorBidi" w:hAnsiTheme="majorBidi" w:cstheme="majorBidi"/>
          <w:i/>
          <w:iCs/>
          <w:sz w:val="24"/>
          <w:szCs w:val="24"/>
          <w:vertAlign w:val="subscript"/>
        </w:rPr>
        <w:t>2</w:t>
      </w:r>
      <w:r w:rsidRPr="00357D66">
        <w:rPr>
          <w:rFonts w:asciiTheme="majorBidi" w:hAnsiTheme="majorBidi" w:cstheme="majorBidi"/>
          <w:sz w:val="24"/>
          <w:szCs w:val="24"/>
        </w:rPr>
        <w:t xml:space="preserve"> is large, positive and statistically significant, then Treatment A had a significant impact on student academic performance in 2013. Similarly, </w:t>
      </w:r>
      <w:r w:rsidRPr="00357D66">
        <w:rPr>
          <w:rFonts w:asciiTheme="majorBidi" w:hAnsiTheme="majorBidi" w:cstheme="majorBidi"/>
          <w:i/>
          <w:iCs/>
          <w:sz w:val="24"/>
          <w:szCs w:val="24"/>
        </w:rPr>
        <w:t>β</w:t>
      </w:r>
      <w:r w:rsidRPr="00357D66">
        <w:rPr>
          <w:rFonts w:asciiTheme="majorBidi" w:hAnsiTheme="majorBidi" w:cstheme="majorBidi"/>
          <w:i/>
          <w:iCs/>
          <w:sz w:val="24"/>
          <w:szCs w:val="24"/>
          <w:vertAlign w:val="subscript"/>
        </w:rPr>
        <w:t>3</w:t>
      </w:r>
      <w:r w:rsidRPr="00357D66">
        <w:rPr>
          <w:rFonts w:asciiTheme="majorBidi" w:hAnsiTheme="majorBidi" w:cstheme="majorBidi"/>
          <w:sz w:val="24"/>
          <w:szCs w:val="24"/>
        </w:rPr>
        <w:t xml:space="preserve"> reveals whether Treatment B had a significant impact on student academic performance in 2013. For 2014, (</w:t>
      </w:r>
      <w:r w:rsidR="00222E50" w:rsidRPr="00357D66">
        <w:rPr>
          <w:rFonts w:asciiTheme="majorBidi" w:hAnsiTheme="majorBidi" w:cstheme="majorBidi"/>
          <w:i/>
          <w:iCs/>
          <w:sz w:val="24"/>
          <w:szCs w:val="24"/>
        </w:rPr>
        <w:t>β</w:t>
      </w:r>
      <w:r w:rsidR="00222E50" w:rsidRPr="00357D66">
        <w:rPr>
          <w:rFonts w:asciiTheme="majorBidi" w:hAnsiTheme="majorBidi" w:cstheme="majorBidi"/>
          <w:i/>
          <w:iCs/>
          <w:sz w:val="24"/>
          <w:szCs w:val="24"/>
          <w:vertAlign w:val="subscript"/>
        </w:rPr>
        <w:t>2</w:t>
      </w:r>
      <w:r w:rsidRPr="00357D66">
        <w:rPr>
          <w:rFonts w:asciiTheme="majorBidi" w:hAnsiTheme="majorBidi" w:cstheme="majorBidi"/>
          <w:sz w:val="24"/>
          <w:szCs w:val="24"/>
        </w:rPr>
        <w:t xml:space="preserve"> + </w:t>
      </w:r>
      <w:r w:rsidR="00222E50" w:rsidRPr="00357D66">
        <w:rPr>
          <w:rFonts w:asciiTheme="majorBidi" w:hAnsiTheme="majorBidi" w:cstheme="majorBidi"/>
          <w:i/>
          <w:iCs/>
          <w:sz w:val="24"/>
          <w:szCs w:val="24"/>
        </w:rPr>
        <w:t>β</w:t>
      </w:r>
      <w:r w:rsidR="00222E50" w:rsidRPr="00357D66">
        <w:rPr>
          <w:rFonts w:asciiTheme="majorBidi" w:hAnsiTheme="majorBidi" w:cstheme="majorBidi"/>
          <w:i/>
          <w:iCs/>
          <w:sz w:val="24"/>
          <w:szCs w:val="24"/>
          <w:vertAlign w:val="subscript"/>
        </w:rPr>
        <w:t>4</w:t>
      </w:r>
      <w:r w:rsidRPr="00357D66">
        <w:rPr>
          <w:rFonts w:asciiTheme="majorBidi" w:hAnsiTheme="majorBidi" w:cstheme="majorBidi"/>
          <w:sz w:val="24"/>
          <w:szCs w:val="24"/>
        </w:rPr>
        <w:t>) and (</w:t>
      </w:r>
      <w:r w:rsidR="00222E50" w:rsidRPr="00357D66">
        <w:rPr>
          <w:rFonts w:asciiTheme="majorBidi" w:hAnsiTheme="majorBidi" w:cstheme="majorBidi"/>
          <w:i/>
          <w:iCs/>
          <w:sz w:val="24"/>
          <w:szCs w:val="24"/>
        </w:rPr>
        <w:t>β</w:t>
      </w:r>
      <w:r w:rsidR="00222E50" w:rsidRPr="00357D66">
        <w:rPr>
          <w:rFonts w:asciiTheme="majorBidi" w:hAnsiTheme="majorBidi" w:cstheme="majorBidi"/>
          <w:i/>
          <w:iCs/>
          <w:sz w:val="24"/>
          <w:szCs w:val="24"/>
          <w:vertAlign w:val="subscript"/>
        </w:rPr>
        <w:t>3</w:t>
      </w:r>
      <w:r w:rsidRPr="00357D66">
        <w:rPr>
          <w:rFonts w:asciiTheme="majorBidi" w:hAnsiTheme="majorBidi" w:cstheme="majorBidi"/>
          <w:sz w:val="24"/>
          <w:szCs w:val="24"/>
        </w:rPr>
        <w:t xml:space="preserve"> + </w:t>
      </w:r>
      <w:r w:rsidR="00222E50" w:rsidRPr="00357D66">
        <w:rPr>
          <w:rFonts w:asciiTheme="majorBidi" w:hAnsiTheme="majorBidi" w:cstheme="majorBidi"/>
          <w:i/>
          <w:iCs/>
          <w:sz w:val="24"/>
          <w:szCs w:val="24"/>
        </w:rPr>
        <w:t>β</w:t>
      </w:r>
      <w:r w:rsidR="00222E50" w:rsidRPr="00357D66">
        <w:rPr>
          <w:rFonts w:asciiTheme="majorBidi" w:hAnsiTheme="majorBidi" w:cstheme="majorBidi"/>
          <w:i/>
          <w:iCs/>
          <w:sz w:val="24"/>
          <w:szCs w:val="24"/>
          <w:vertAlign w:val="subscript"/>
        </w:rPr>
        <w:t>5</w:t>
      </w:r>
      <w:r w:rsidRPr="00357D66">
        <w:rPr>
          <w:rFonts w:asciiTheme="majorBidi" w:hAnsiTheme="majorBidi" w:cstheme="majorBidi"/>
          <w:sz w:val="24"/>
          <w:szCs w:val="24"/>
        </w:rPr>
        <w:t>) reveal the effect</w:t>
      </w:r>
      <w:r w:rsidR="00181068" w:rsidRPr="00357D66">
        <w:rPr>
          <w:rFonts w:asciiTheme="majorBidi" w:hAnsiTheme="majorBidi" w:cstheme="majorBidi"/>
          <w:sz w:val="24"/>
          <w:szCs w:val="24"/>
        </w:rPr>
        <w:t xml:space="preserve"> in that year</w:t>
      </w:r>
      <w:r w:rsidRPr="00357D66">
        <w:rPr>
          <w:rFonts w:asciiTheme="majorBidi" w:hAnsiTheme="majorBidi" w:cstheme="majorBidi"/>
          <w:sz w:val="24"/>
          <w:szCs w:val="24"/>
        </w:rPr>
        <w:t xml:space="preserve"> of Treatment</w:t>
      </w:r>
      <w:r w:rsidR="00222E50" w:rsidRPr="00357D66">
        <w:rPr>
          <w:rFonts w:asciiTheme="majorBidi" w:hAnsiTheme="majorBidi" w:cstheme="majorBidi"/>
          <w:sz w:val="24"/>
          <w:szCs w:val="24"/>
        </w:rPr>
        <w:t>s</w:t>
      </w:r>
      <w:r w:rsidRPr="00357D66">
        <w:rPr>
          <w:rFonts w:asciiTheme="majorBidi" w:hAnsiTheme="majorBidi" w:cstheme="majorBidi"/>
          <w:sz w:val="24"/>
          <w:szCs w:val="24"/>
        </w:rPr>
        <w:t xml:space="preserve"> A and B</w:t>
      </w:r>
      <w:r w:rsidR="00222E50" w:rsidRPr="00357D66">
        <w:rPr>
          <w:rFonts w:asciiTheme="majorBidi" w:hAnsiTheme="majorBidi" w:cstheme="majorBidi"/>
          <w:sz w:val="24"/>
          <w:szCs w:val="24"/>
        </w:rPr>
        <w:t>, respectively.</w:t>
      </w:r>
      <w:r w:rsidRPr="00357D66">
        <w:rPr>
          <w:rFonts w:asciiTheme="majorBidi" w:hAnsiTheme="majorBidi" w:cstheme="majorBidi"/>
          <w:sz w:val="24"/>
          <w:szCs w:val="24"/>
        </w:rPr>
        <w:t xml:space="preserve"> </w:t>
      </w:r>
      <w:r w:rsidR="00222E50" w:rsidRPr="00357D66">
        <w:rPr>
          <w:rFonts w:asciiTheme="majorBidi" w:hAnsiTheme="majorBidi" w:cstheme="majorBidi"/>
          <w:sz w:val="24"/>
          <w:szCs w:val="24"/>
        </w:rPr>
        <w:t xml:space="preserve">Additionally, the coefficient </w:t>
      </w:r>
      <w:r w:rsidR="00222E50" w:rsidRPr="00357D66">
        <w:rPr>
          <w:rFonts w:asciiTheme="majorBidi" w:hAnsiTheme="majorBidi" w:cstheme="majorBidi"/>
          <w:i/>
          <w:iCs/>
          <w:sz w:val="24"/>
          <w:szCs w:val="24"/>
        </w:rPr>
        <w:t>β</w:t>
      </w:r>
      <w:r w:rsidR="00222E50" w:rsidRPr="00357D66">
        <w:rPr>
          <w:rFonts w:asciiTheme="majorBidi" w:hAnsiTheme="majorBidi" w:cstheme="majorBidi"/>
          <w:i/>
          <w:iCs/>
          <w:sz w:val="24"/>
          <w:szCs w:val="24"/>
          <w:vertAlign w:val="subscript"/>
        </w:rPr>
        <w:t>5</w:t>
      </w:r>
      <w:r w:rsidR="00222E50" w:rsidRPr="00357D66">
        <w:rPr>
          <w:rFonts w:asciiTheme="majorBidi" w:hAnsiTheme="majorBidi" w:cstheme="majorBidi"/>
          <w:sz w:val="24"/>
          <w:szCs w:val="24"/>
        </w:rPr>
        <w:t xml:space="preserve"> will reveal any difference in treatment between having a staff member or a senior student contact the at-risk students. Given that Treatment A was the same in both years, we expect that the coefficient </w:t>
      </w:r>
      <w:r w:rsidR="00222E50" w:rsidRPr="00357D66">
        <w:rPr>
          <w:rFonts w:asciiTheme="majorBidi" w:hAnsiTheme="majorBidi" w:cstheme="majorBidi"/>
          <w:i/>
          <w:iCs/>
          <w:sz w:val="24"/>
          <w:szCs w:val="24"/>
        </w:rPr>
        <w:t>β</w:t>
      </w:r>
      <w:r w:rsidR="00222E50" w:rsidRPr="00357D66">
        <w:rPr>
          <w:rFonts w:asciiTheme="majorBidi" w:hAnsiTheme="majorBidi" w:cstheme="majorBidi"/>
          <w:i/>
          <w:iCs/>
          <w:sz w:val="24"/>
          <w:szCs w:val="24"/>
          <w:vertAlign w:val="subscript"/>
        </w:rPr>
        <w:t>4</w:t>
      </w:r>
      <w:r w:rsidR="00222E50" w:rsidRPr="00357D66">
        <w:rPr>
          <w:rFonts w:asciiTheme="majorBidi" w:hAnsiTheme="majorBidi" w:cstheme="majorBidi"/>
          <w:sz w:val="24"/>
          <w:szCs w:val="24"/>
        </w:rPr>
        <w:t xml:space="preserve"> will be statistically insignificant. Finally, we test whether the treatments had any effect in each year individually (which naturally omits the </w:t>
      </w:r>
      <w:r w:rsidR="00222E50" w:rsidRPr="00357D66">
        <w:rPr>
          <w:rFonts w:asciiTheme="majorBidi" w:hAnsiTheme="majorBidi" w:cstheme="majorBidi"/>
          <w:i/>
          <w:sz w:val="24"/>
          <w:szCs w:val="24"/>
        </w:rPr>
        <w:t>Year</w:t>
      </w:r>
      <w:r w:rsidR="00222E50" w:rsidRPr="00357D66">
        <w:rPr>
          <w:rFonts w:asciiTheme="majorBidi" w:hAnsiTheme="majorBidi" w:cstheme="majorBidi"/>
          <w:sz w:val="24"/>
          <w:szCs w:val="24"/>
        </w:rPr>
        <w:t xml:space="preserve"> variable and </w:t>
      </w:r>
      <w:r w:rsidR="00940FAD" w:rsidRPr="00357D66">
        <w:rPr>
          <w:rFonts w:asciiTheme="majorBidi" w:hAnsiTheme="majorBidi" w:cstheme="majorBidi"/>
          <w:sz w:val="24"/>
          <w:szCs w:val="24"/>
        </w:rPr>
        <w:t xml:space="preserve">the </w:t>
      </w:r>
      <w:r w:rsidR="00222E50" w:rsidRPr="00357D66">
        <w:rPr>
          <w:rFonts w:asciiTheme="majorBidi" w:hAnsiTheme="majorBidi" w:cstheme="majorBidi"/>
          <w:sz w:val="24"/>
          <w:szCs w:val="24"/>
        </w:rPr>
        <w:t>interaction terms).</w:t>
      </w:r>
    </w:p>
    <w:p w14:paraId="57DF14BC" w14:textId="77777777" w:rsidR="00767C49" w:rsidRPr="00357D66" w:rsidRDefault="00767C49" w:rsidP="00F50315">
      <w:pPr>
        <w:tabs>
          <w:tab w:val="left" w:pos="567"/>
        </w:tabs>
        <w:spacing w:after="0" w:line="288" w:lineRule="auto"/>
        <w:ind w:firstLine="720"/>
        <w:jc w:val="both"/>
        <w:rPr>
          <w:rFonts w:asciiTheme="majorBidi" w:hAnsiTheme="majorBidi" w:cstheme="majorBidi"/>
          <w:sz w:val="24"/>
          <w:szCs w:val="24"/>
        </w:rPr>
      </w:pPr>
    </w:p>
    <w:p w14:paraId="68B02C39" w14:textId="473BEF83" w:rsidR="00FE7C27" w:rsidRDefault="00F50315" w:rsidP="00F50315">
      <w:pPr>
        <w:pStyle w:val="Heading2"/>
        <w:tabs>
          <w:tab w:val="left" w:pos="567"/>
        </w:tabs>
        <w:spacing w:before="0" w:line="288" w:lineRule="auto"/>
        <w:jc w:val="both"/>
        <w:rPr>
          <w:sz w:val="24"/>
          <w:szCs w:val="24"/>
        </w:rPr>
      </w:pPr>
      <w:r w:rsidRPr="00F50315">
        <w:rPr>
          <w:sz w:val="24"/>
          <w:szCs w:val="24"/>
        </w:rPr>
        <w:lastRenderedPageBreak/>
        <w:t xml:space="preserve">5.  </w:t>
      </w:r>
      <w:r w:rsidR="00FE7C27" w:rsidRPr="00F50315">
        <w:rPr>
          <w:sz w:val="24"/>
          <w:szCs w:val="24"/>
        </w:rPr>
        <w:t>Results</w:t>
      </w:r>
    </w:p>
    <w:p w14:paraId="42BCABF9" w14:textId="77777777" w:rsidR="00F50315" w:rsidRPr="00F50315" w:rsidRDefault="00F50315" w:rsidP="00F50315">
      <w:pPr>
        <w:tabs>
          <w:tab w:val="left" w:pos="567"/>
        </w:tabs>
        <w:spacing w:after="0" w:line="288" w:lineRule="auto"/>
        <w:jc w:val="both"/>
        <w:rPr>
          <w:rFonts w:asciiTheme="majorBidi" w:hAnsiTheme="majorBidi" w:cstheme="majorBidi"/>
          <w:sz w:val="12"/>
          <w:szCs w:val="12"/>
        </w:rPr>
      </w:pPr>
    </w:p>
    <w:p w14:paraId="0BB97A91" w14:textId="33882B52" w:rsidR="00222E50" w:rsidRDefault="00222E50" w:rsidP="00F50315">
      <w:pPr>
        <w:tabs>
          <w:tab w:val="left" w:pos="567"/>
        </w:tabs>
        <w:spacing w:after="0" w:line="288" w:lineRule="auto"/>
        <w:jc w:val="both"/>
        <w:rPr>
          <w:rFonts w:asciiTheme="majorBidi" w:hAnsiTheme="majorBidi" w:cstheme="majorBidi"/>
          <w:sz w:val="24"/>
          <w:szCs w:val="24"/>
        </w:rPr>
      </w:pPr>
      <w:r w:rsidRPr="00357D66">
        <w:rPr>
          <w:rFonts w:asciiTheme="majorBidi" w:hAnsiTheme="majorBidi" w:cstheme="majorBidi"/>
          <w:sz w:val="24"/>
          <w:szCs w:val="24"/>
        </w:rPr>
        <w:t>Table 1 shows the logistic regr</w:t>
      </w:r>
      <w:r w:rsidR="00E30A48" w:rsidRPr="00357D66">
        <w:rPr>
          <w:rFonts w:asciiTheme="majorBidi" w:hAnsiTheme="majorBidi" w:cstheme="majorBidi"/>
          <w:sz w:val="24"/>
          <w:szCs w:val="24"/>
        </w:rPr>
        <w:t>ession model</w:t>
      </w:r>
      <w:r w:rsidR="00DC6F66" w:rsidRPr="00357D66">
        <w:rPr>
          <w:rFonts w:asciiTheme="majorBidi" w:hAnsiTheme="majorBidi" w:cstheme="majorBidi"/>
          <w:sz w:val="24"/>
          <w:szCs w:val="24"/>
        </w:rPr>
        <w:t xml:space="preserve"> (with course failure as the dependent variable),</w:t>
      </w:r>
      <w:r w:rsidR="00E30A48" w:rsidRPr="00357D66">
        <w:rPr>
          <w:rFonts w:asciiTheme="majorBidi" w:hAnsiTheme="majorBidi" w:cstheme="majorBidi"/>
          <w:sz w:val="24"/>
          <w:szCs w:val="24"/>
        </w:rPr>
        <w:t xml:space="preserve"> based on </w:t>
      </w:r>
      <w:r w:rsidR="00DC6F66" w:rsidRPr="00357D66">
        <w:rPr>
          <w:rFonts w:asciiTheme="majorBidi" w:hAnsiTheme="majorBidi" w:cstheme="majorBidi"/>
          <w:sz w:val="24"/>
          <w:szCs w:val="24"/>
        </w:rPr>
        <w:t xml:space="preserve">330 students enrolled in the introductory economics course in </w:t>
      </w:r>
      <w:r w:rsidR="00E30A48" w:rsidRPr="00357D66">
        <w:rPr>
          <w:rFonts w:asciiTheme="majorBidi" w:hAnsiTheme="majorBidi" w:cstheme="majorBidi"/>
          <w:sz w:val="24"/>
          <w:szCs w:val="24"/>
        </w:rPr>
        <w:t>2012</w:t>
      </w:r>
      <w:r w:rsidR="00DC6F66" w:rsidRPr="00357D66">
        <w:rPr>
          <w:rFonts w:asciiTheme="majorBidi" w:hAnsiTheme="majorBidi" w:cstheme="majorBidi"/>
          <w:sz w:val="24"/>
          <w:szCs w:val="24"/>
        </w:rPr>
        <w:t>. This model</w:t>
      </w:r>
      <w:r w:rsidR="00E30A48" w:rsidRPr="00357D66">
        <w:rPr>
          <w:rFonts w:asciiTheme="majorBidi" w:hAnsiTheme="majorBidi" w:cstheme="majorBidi"/>
          <w:sz w:val="24"/>
          <w:szCs w:val="24"/>
        </w:rPr>
        <w:t xml:space="preserve"> </w:t>
      </w:r>
      <w:r w:rsidRPr="00357D66">
        <w:rPr>
          <w:rFonts w:asciiTheme="majorBidi" w:hAnsiTheme="majorBidi" w:cstheme="majorBidi"/>
          <w:sz w:val="24"/>
          <w:szCs w:val="24"/>
        </w:rPr>
        <w:t xml:space="preserve">was used to </w:t>
      </w:r>
      <w:r w:rsidR="00DC6F66" w:rsidRPr="00357D66">
        <w:rPr>
          <w:rFonts w:asciiTheme="majorBidi" w:hAnsiTheme="majorBidi" w:cstheme="majorBidi"/>
          <w:sz w:val="24"/>
          <w:szCs w:val="24"/>
        </w:rPr>
        <w:t>predict</w:t>
      </w:r>
      <w:r w:rsidRPr="00357D66">
        <w:rPr>
          <w:rFonts w:asciiTheme="majorBidi" w:hAnsiTheme="majorBidi" w:cstheme="majorBidi"/>
          <w:sz w:val="24"/>
          <w:szCs w:val="24"/>
        </w:rPr>
        <w:t xml:space="preserve"> students</w:t>
      </w:r>
      <w:r w:rsidR="00DC6F66" w:rsidRPr="00357D66">
        <w:rPr>
          <w:rFonts w:asciiTheme="majorBidi" w:hAnsiTheme="majorBidi" w:cstheme="majorBidi"/>
          <w:sz w:val="24"/>
          <w:szCs w:val="24"/>
        </w:rPr>
        <w:t xml:space="preserve">’ risk of failure in 2013 and 2014 and identify </w:t>
      </w:r>
      <w:r w:rsidR="00940FAD" w:rsidRPr="00357D66">
        <w:rPr>
          <w:rFonts w:asciiTheme="majorBidi" w:hAnsiTheme="majorBidi" w:cstheme="majorBidi"/>
          <w:sz w:val="24"/>
          <w:szCs w:val="24"/>
        </w:rPr>
        <w:t>potential candidates</w:t>
      </w:r>
      <w:r w:rsidR="00DC6F66" w:rsidRPr="00357D66">
        <w:rPr>
          <w:rFonts w:asciiTheme="majorBidi" w:hAnsiTheme="majorBidi" w:cstheme="majorBidi"/>
          <w:sz w:val="24"/>
          <w:szCs w:val="24"/>
        </w:rPr>
        <w:t xml:space="preserve"> for the intervention.</w:t>
      </w:r>
      <w:r w:rsidRPr="00357D66">
        <w:rPr>
          <w:rFonts w:asciiTheme="majorBidi" w:hAnsiTheme="majorBidi" w:cstheme="majorBidi"/>
          <w:sz w:val="24"/>
          <w:szCs w:val="24"/>
        </w:rPr>
        <w:t xml:space="preserve"> </w:t>
      </w:r>
      <w:r w:rsidR="00E30A48" w:rsidRPr="00357D66">
        <w:rPr>
          <w:rFonts w:asciiTheme="majorBidi" w:hAnsiTheme="majorBidi" w:cstheme="majorBidi"/>
          <w:sz w:val="24"/>
          <w:szCs w:val="24"/>
        </w:rPr>
        <w:t>Th</w:t>
      </w:r>
      <w:r w:rsidR="00DC6F66" w:rsidRPr="00357D66">
        <w:rPr>
          <w:rFonts w:asciiTheme="majorBidi" w:hAnsiTheme="majorBidi" w:cstheme="majorBidi"/>
          <w:sz w:val="24"/>
          <w:szCs w:val="24"/>
        </w:rPr>
        <w:t>e model</w:t>
      </w:r>
      <w:r w:rsidR="00E30A48" w:rsidRPr="00357D66">
        <w:rPr>
          <w:rFonts w:asciiTheme="majorBidi" w:hAnsiTheme="majorBidi" w:cstheme="majorBidi"/>
          <w:sz w:val="24"/>
          <w:szCs w:val="24"/>
        </w:rPr>
        <w:t xml:space="preserve"> was based on limited </w:t>
      </w:r>
      <w:r w:rsidR="00DC6F66" w:rsidRPr="00357D66">
        <w:rPr>
          <w:rFonts w:asciiTheme="majorBidi" w:hAnsiTheme="majorBidi" w:cstheme="majorBidi"/>
          <w:sz w:val="24"/>
          <w:szCs w:val="24"/>
        </w:rPr>
        <w:t>programme of study</w:t>
      </w:r>
      <w:r w:rsidR="00E30A48" w:rsidRPr="00357D66">
        <w:rPr>
          <w:rFonts w:asciiTheme="majorBidi" w:hAnsiTheme="majorBidi" w:cstheme="majorBidi"/>
          <w:sz w:val="24"/>
          <w:szCs w:val="24"/>
        </w:rPr>
        <w:t xml:space="preserve"> dat</w:t>
      </w:r>
      <w:r w:rsidR="00DC6F66" w:rsidRPr="00357D66">
        <w:rPr>
          <w:rFonts w:asciiTheme="majorBidi" w:hAnsiTheme="majorBidi" w:cstheme="majorBidi"/>
          <w:sz w:val="24"/>
          <w:szCs w:val="24"/>
        </w:rPr>
        <w:t>a</w:t>
      </w:r>
      <w:r w:rsidR="00E30A48" w:rsidRPr="00357D66">
        <w:rPr>
          <w:rFonts w:asciiTheme="majorBidi" w:hAnsiTheme="majorBidi" w:cstheme="majorBidi"/>
          <w:sz w:val="24"/>
          <w:szCs w:val="24"/>
        </w:rPr>
        <w:t xml:space="preserve"> </w:t>
      </w:r>
      <w:r w:rsidR="00DC6F66" w:rsidRPr="00357D66">
        <w:rPr>
          <w:rFonts w:asciiTheme="majorBidi" w:hAnsiTheme="majorBidi" w:cstheme="majorBidi"/>
          <w:sz w:val="24"/>
          <w:szCs w:val="24"/>
        </w:rPr>
        <w:t>and</w:t>
      </w:r>
      <w:r w:rsidR="00E30A48" w:rsidRPr="00357D66">
        <w:rPr>
          <w:rFonts w:asciiTheme="majorBidi" w:hAnsiTheme="majorBidi" w:cstheme="majorBidi"/>
          <w:sz w:val="24"/>
          <w:szCs w:val="24"/>
        </w:rPr>
        <w:t xml:space="preserve"> course-specific behavioural data available to lecturers by the end of the fourth week of the semester. </w:t>
      </w:r>
      <w:r w:rsidR="007D6140" w:rsidRPr="00357D66">
        <w:rPr>
          <w:rFonts w:asciiTheme="majorBidi" w:hAnsiTheme="majorBidi" w:cstheme="majorBidi"/>
          <w:sz w:val="24"/>
          <w:szCs w:val="24"/>
        </w:rPr>
        <w:t>Results from the model show that s</w:t>
      </w:r>
      <w:r w:rsidR="00E30A48" w:rsidRPr="00357D66">
        <w:rPr>
          <w:rFonts w:asciiTheme="majorBidi" w:hAnsiTheme="majorBidi" w:cstheme="majorBidi"/>
          <w:sz w:val="24"/>
          <w:szCs w:val="24"/>
        </w:rPr>
        <w:t>tudents who were not management students were significantly more likely to fail in 2012,</w:t>
      </w:r>
      <w:r w:rsidR="00E017DA" w:rsidRPr="00357D66">
        <w:rPr>
          <w:rFonts w:asciiTheme="majorBidi" w:hAnsiTheme="majorBidi" w:cstheme="majorBidi"/>
          <w:sz w:val="24"/>
          <w:szCs w:val="24"/>
        </w:rPr>
        <w:t xml:space="preserve"> having more than </w:t>
      </w:r>
      <w:proofErr w:type="gramStart"/>
      <w:r w:rsidR="00E017DA" w:rsidRPr="00357D66">
        <w:rPr>
          <w:rFonts w:asciiTheme="majorBidi" w:hAnsiTheme="majorBidi" w:cstheme="majorBidi"/>
          <w:sz w:val="24"/>
          <w:szCs w:val="24"/>
        </w:rPr>
        <w:t>double</w:t>
      </w:r>
      <w:proofErr w:type="gramEnd"/>
      <w:r w:rsidR="00E017DA" w:rsidRPr="00357D66">
        <w:rPr>
          <w:rFonts w:asciiTheme="majorBidi" w:hAnsiTheme="majorBidi" w:cstheme="majorBidi"/>
          <w:sz w:val="24"/>
          <w:szCs w:val="24"/>
        </w:rPr>
        <w:t xml:space="preserve"> the odds of failure compared with management students. The most important predictor appears to be </w:t>
      </w:r>
      <w:r w:rsidR="00E30A48" w:rsidRPr="00357D66">
        <w:rPr>
          <w:rFonts w:asciiTheme="majorBidi" w:hAnsiTheme="majorBidi" w:cstheme="majorBidi"/>
          <w:sz w:val="24"/>
          <w:szCs w:val="24"/>
        </w:rPr>
        <w:t>those who did not complete the third online test (which was due at the end of the fourth week of the semester)</w:t>
      </w:r>
      <w:r w:rsidR="00E017DA" w:rsidRPr="00357D66">
        <w:rPr>
          <w:rFonts w:asciiTheme="majorBidi" w:hAnsiTheme="majorBidi" w:cstheme="majorBidi"/>
          <w:sz w:val="24"/>
          <w:szCs w:val="24"/>
        </w:rPr>
        <w:t>, who had more than five times higher odds of failure than students who complete</w:t>
      </w:r>
      <w:r w:rsidR="007D6140" w:rsidRPr="00357D66">
        <w:rPr>
          <w:rFonts w:asciiTheme="majorBidi" w:hAnsiTheme="majorBidi" w:cstheme="majorBidi"/>
          <w:sz w:val="24"/>
          <w:szCs w:val="24"/>
        </w:rPr>
        <w:t>d</w:t>
      </w:r>
      <w:r w:rsidR="00E017DA" w:rsidRPr="00357D66">
        <w:rPr>
          <w:rFonts w:asciiTheme="majorBidi" w:hAnsiTheme="majorBidi" w:cstheme="majorBidi"/>
          <w:sz w:val="24"/>
          <w:szCs w:val="24"/>
        </w:rPr>
        <w:t xml:space="preserve"> the test. This probably reflects that, by the end of the third week, students are relatively settled into the study routine, and those that are not completing assessments </w:t>
      </w:r>
      <w:r w:rsidR="00181068" w:rsidRPr="00357D66">
        <w:rPr>
          <w:rFonts w:asciiTheme="majorBidi" w:hAnsiTheme="majorBidi" w:cstheme="majorBidi"/>
          <w:sz w:val="24"/>
          <w:szCs w:val="24"/>
        </w:rPr>
        <w:t xml:space="preserve">and coursework </w:t>
      </w:r>
      <w:r w:rsidR="00E017DA" w:rsidRPr="00357D66">
        <w:rPr>
          <w:rFonts w:asciiTheme="majorBidi" w:hAnsiTheme="majorBidi" w:cstheme="majorBidi"/>
          <w:sz w:val="24"/>
          <w:szCs w:val="24"/>
        </w:rPr>
        <w:t xml:space="preserve">by that stage are </w:t>
      </w:r>
      <w:r w:rsidR="001E3C3D" w:rsidRPr="00357D66">
        <w:rPr>
          <w:rFonts w:asciiTheme="majorBidi" w:hAnsiTheme="majorBidi" w:cstheme="majorBidi"/>
          <w:sz w:val="24"/>
          <w:szCs w:val="24"/>
        </w:rPr>
        <w:t xml:space="preserve">likely to be at </w:t>
      </w:r>
      <w:r w:rsidR="00E017DA" w:rsidRPr="00357D66">
        <w:rPr>
          <w:rFonts w:asciiTheme="majorBidi" w:hAnsiTheme="majorBidi" w:cstheme="majorBidi"/>
          <w:sz w:val="24"/>
          <w:szCs w:val="24"/>
        </w:rPr>
        <w:t xml:space="preserve">serious </w:t>
      </w:r>
      <w:r w:rsidR="001E3C3D" w:rsidRPr="00357D66">
        <w:rPr>
          <w:rFonts w:asciiTheme="majorBidi" w:hAnsiTheme="majorBidi" w:cstheme="majorBidi"/>
          <w:sz w:val="24"/>
          <w:szCs w:val="24"/>
        </w:rPr>
        <w:t>risk of failure</w:t>
      </w:r>
      <w:r w:rsidR="00E30A48" w:rsidRPr="00357D66">
        <w:rPr>
          <w:rFonts w:asciiTheme="majorBidi" w:hAnsiTheme="majorBidi" w:cstheme="majorBidi"/>
          <w:sz w:val="24"/>
          <w:szCs w:val="24"/>
        </w:rPr>
        <w:t>. Other variables were</w:t>
      </w:r>
      <w:r w:rsidR="00E017DA" w:rsidRPr="00357D66">
        <w:rPr>
          <w:rFonts w:asciiTheme="majorBidi" w:hAnsiTheme="majorBidi" w:cstheme="majorBidi"/>
          <w:sz w:val="24"/>
          <w:szCs w:val="24"/>
        </w:rPr>
        <w:t xml:space="preserve"> generally</w:t>
      </w:r>
      <w:r w:rsidR="00E30A48" w:rsidRPr="00357D66">
        <w:rPr>
          <w:rFonts w:asciiTheme="majorBidi" w:hAnsiTheme="majorBidi" w:cstheme="majorBidi"/>
          <w:sz w:val="24"/>
          <w:szCs w:val="24"/>
        </w:rPr>
        <w:t xml:space="preserve"> not statistically significant at conventional levels, </w:t>
      </w:r>
      <w:r w:rsidR="00E017DA" w:rsidRPr="00357D66">
        <w:rPr>
          <w:rFonts w:asciiTheme="majorBidi" w:hAnsiTheme="majorBidi" w:cstheme="majorBidi"/>
          <w:sz w:val="24"/>
          <w:szCs w:val="24"/>
        </w:rPr>
        <w:t xml:space="preserve">probably due to the degree of multicollinearity present in the model. However, all variables </w:t>
      </w:r>
      <w:r w:rsidR="00E30A48" w:rsidRPr="00357D66">
        <w:rPr>
          <w:rFonts w:asciiTheme="majorBidi" w:hAnsiTheme="majorBidi" w:cstheme="majorBidi"/>
          <w:sz w:val="24"/>
          <w:szCs w:val="24"/>
        </w:rPr>
        <w:t>were retained in the model for prediction purposes.</w:t>
      </w:r>
    </w:p>
    <w:p w14:paraId="242B5501" w14:textId="77777777" w:rsidR="00767C49" w:rsidRPr="00357D66" w:rsidRDefault="00767C49" w:rsidP="00F50315">
      <w:pPr>
        <w:tabs>
          <w:tab w:val="left" w:pos="567"/>
        </w:tabs>
        <w:spacing w:after="0" w:line="288" w:lineRule="auto"/>
        <w:jc w:val="both"/>
        <w:rPr>
          <w:rFonts w:asciiTheme="majorBidi" w:hAnsiTheme="majorBidi" w:cstheme="majorBidi"/>
          <w:sz w:val="24"/>
          <w:szCs w:val="24"/>
        </w:rPr>
      </w:pPr>
    </w:p>
    <w:p w14:paraId="7DB0C581" w14:textId="77777777" w:rsidR="0048470A" w:rsidRPr="0048470A" w:rsidRDefault="0048470A" w:rsidP="003B7DD2">
      <w:pPr>
        <w:pStyle w:val="Caption"/>
        <w:keepNext/>
        <w:tabs>
          <w:tab w:val="left" w:pos="567"/>
        </w:tabs>
        <w:spacing w:after="0"/>
        <w:jc w:val="center"/>
        <w:rPr>
          <w:rFonts w:asciiTheme="majorBidi" w:hAnsiTheme="majorBidi" w:cstheme="majorBidi"/>
          <w:iCs/>
          <w:sz w:val="22"/>
          <w:szCs w:val="22"/>
        </w:rPr>
      </w:pPr>
      <w:proofErr w:type="gramStart"/>
      <w:r w:rsidRPr="0048470A">
        <w:rPr>
          <w:rFonts w:asciiTheme="majorBidi" w:hAnsiTheme="majorBidi" w:cstheme="majorBidi"/>
          <w:iCs/>
          <w:sz w:val="22"/>
          <w:szCs w:val="22"/>
        </w:rPr>
        <w:t>Table 1.</w:t>
      </w:r>
      <w:proofErr w:type="gramEnd"/>
      <w:r w:rsidRPr="0048470A">
        <w:rPr>
          <w:rFonts w:asciiTheme="majorBidi" w:hAnsiTheme="majorBidi" w:cstheme="majorBidi"/>
          <w:iCs/>
          <w:sz w:val="22"/>
          <w:szCs w:val="22"/>
        </w:rPr>
        <w:t xml:space="preserve"> Logistic Regression Model of Failure Based on 2012 Data</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621"/>
        <w:gridCol w:w="4621"/>
      </w:tblGrid>
      <w:tr w:rsidR="0048470A" w:rsidRPr="0048470A" w14:paraId="44EF88DD" w14:textId="77777777" w:rsidTr="003B7DD2">
        <w:tc>
          <w:tcPr>
            <w:tcW w:w="4621" w:type="dxa"/>
            <w:tcBorders>
              <w:bottom w:val="single" w:sz="4" w:space="0" w:color="auto"/>
            </w:tcBorders>
            <w:vAlign w:val="center"/>
          </w:tcPr>
          <w:p w14:paraId="0195E4F2" w14:textId="77777777" w:rsidR="0048470A" w:rsidRPr="0048470A" w:rsidRDefault="0048470A" w:rsidP="00870C48">
            <w:pPr>
              <w:tabs>
                <w:tab w:val="left" w:pos="567"/>
              </w:tabs>
              <w:spacing w:before="80" w:after="80"/>
              <w:jc w:val="both"/>
              <w:rPr>
                <w:rFonts w:asciiTheme="majorBidi" w:hAnsiTheme="majorBidi" w:cstheme="majorBidi"/>
                <w:bCs/>
              </w:rPr>
            </w:pPr>
            <w:r w:rsidRPr="0048470A">
              <w:rPr>
                <w:rFonts w:asciiTheme="majorBidi" w:hAnsiTheme="majorBidi" w:cstheme="majorBidi"/>
                <w:bCs/>
              </w:rPr>
              <w:t>Variable</w:t>
            </w:r>
          </w:p>
        </w:tc>
        <w:tc>
          <w:tcPr>
            <w:tcW w:w="4621" w:type="dxa"/>
            <w:tcBorders>
              <w:bottom w:val="single" w:sz="4" w:space="0" w:color="auto"/>
            </w:tcBorders>
            <w:vAlign w:val="center"/>
          </w:tcPr>
          <w:p w14:paraId="6E7CCDC9" w14:textId="486970E3" w:rsidR="0048470A" w:rsidRPr="0048470A" w:rsidRDefault="0048470A" w:rsidP="00CE72A9">
            <w:pPr>
              <w:tabs>
                <w:tab w:val="left" w:pos="199"/>
              </w:tabs>
              <w:spacing w:before="80" w:after="80"/>
              <w:rPr>
                <w:rFonts w:asciiTheme="majorBidi" w:hAnsiTheme="majorBidi" w:cstheme="majorBidi"/>
                <w:bCs/>
              </w:rPr>
            </w:pPr>
            <w:r w:rsidRPr="0048470A">
              <w:rPr>
                <w:rFonts w:asciiTheme="majorBidi" w:hAnsiTheme="majorBidi" w:cstheme="majorBidi"/>
                <w:bCs/>
              </w:rPr>
              <w:t>Odds</w:t>
            </w:r>
            <w:r w:rsidR="003B7DD2">
              <w:rPr>
                <w:rFonts w:asciiTheme="majorBidi" w:hAnsiTheme="majorBidi" w:cstheme="majorBidi"/>
                <w:bCs/>
              </w:rPr>
              <w:t xml:space="preserve"> </w:t>
            </w:r>
            <w:r w:rsidRPr="0048470A">
              <w:rPr>
                <w:rFonts w:asciiTheme="majorBidi" w:hAnsiTheme="majorBidi" w:cstheme="majorBidi"/>
                <w:bCs/>
              </w:rPr>
              <w:t>Ratio</w:t>
            </w:r>
            <w:r w:rsidR="003B7DD2">
              <w:rPr>
                <w:rFonts w:asciiTheme="majorBidi" w:hAnsiTheme="majorBidi" w:cstheme="majorBidi"/>
                <w:bCs/>
              </w:rPr>
              <w:t xml:space="preserve"> </w:t>
            </w:r>
            <w:r w:rsidRPr="0048470A">
              <w:rPr>
                <w:rFonts w:asciiTheme="majorBidi" w:hAnsiTheme="majorBidi" w:cstheme="majorBidi"/>
                <w:bCs/>
              </w:rPr>
              <w:t>(Standard error)</w:t>
            </w:r>
          </w:p>
        </w:tc>
      </w:tr>
      <w:tr w:rsidR="0048470A" w:rsidRPr="0048470A" w14:paraId="76EA4CD0" w14:textId="77777777" w:rsidTr="003B7DD2">
        <w:tc>
          <w:tcPr>
            <w:tcW w:w="4621" w:type="dxa"/>
            <w:tcBorders>
              <w:top w:val="single" w:sz="4" w:space="0" w:color="auto"/>
              <w:bottom w:val="nil"/>
            </w:tcBorders>
            <w:vAlign w:val="center"/>
          </w:tcPr>
          <w:p w14:paraId="34625A6E" w14:textId="77777777" w:rsidR="0048470A" w:rsidRPr="0048470A" w:rsidRDefault="0048470A" w:rsidP="00F50315">
            <w:pPr>
              <w:tabs>
                <w:tab w:val="left" w:pos="567"/>
              </w:tabs>
              <w:jc w:val="both"/>
              <w:rPr>
                <w:rFonts w:asciiTheme="majorBidi" w:hAnsiTheme="majorBidi" w:cstheme="majorBidi"/>
              </w:rPr>
            </w:pPr>
            <w:r w:rsidRPr="0048470A">
              <w:rPr>
                <w:rFonts w:asciiTheme="majorBidi" w:hAnsiTheme="majorBidi" w:cstheme="majorBidi"/>
              </w:rPr>
              <w:t>International student</w:t>
            </w:r>
          </w:p>
        </w:tc>
        <w:tc>
          <w:tcPr>
            <w:tcW w:w="4621" w:type="dxa"/>
            <w:tcBorders>
              <w:top w:val="single" w:sz="4" w:space="0" w:color="auto"/>
              <w:bottom w:val="nil"/>
            </w:tcBorders>
            <w:vAlign w:val="center"/>
          </w:tcPr>
          <w:p w14:paraId="3302364F" w14:textId="5B957800" w:rsidR="0048470A" w:rsidRPr="0048470A" w:rsidRDefault="0048470A" w:rsidP="003B7DD2">
            <w:pPr>
              <w:tabs>
                <w:tab w:val="left" w:pos="567"/>
              </w:tabs>
              <w:jc w:val="both"/>
              <w:rPr>
                <w:rFonts w:asciiTheme="majorBidi" w:hAnsiTheme="majorBidi" w:cstheme="majorBidi"/>
              </w:rPr>
            </w:pPr>
            <w:r w:rsidRPr="0048470A">
              <w:rPr>
                <w:rFonts w:asciiTheme="majorBidi" w:hAnsiTheme="majorBidi" w:cstheme="majorBidi"/>
              </w:rPr>
              <w:t>0.929</w:t>
            </w:r>
            <w:r w:rsidR="003B7DD2">
              <w:rPr>
                <w:rFonts w:asciiTheme="majorBidi" w:hAnsiTheme="majorBidi" w:cstheme="majorBidi"/>
              </w:rPr>
              <w:t xml:space="preserve"> </w:t>
            </w:r>
            <w:r w:rsidR="003B7DD2">
              <w:rPr>
                <w:rFonts w:asciiTheme="majorBidi" w:hAnsiTheme="majorBidi" w:cstheme="majorBidi"/>
              </w:rPr>
              <w:tab/>
            </w:r>
            <w:r w:rsidR="003B7DD2">
              <w:rPr>
                <w:rFonts w:asciiTheme="majorBidi" w:hAnsiTheme="majorBidi" w:cstheme="majorBidi"/>
              </w:rPr>
              <w:tab/>
            </w:r>
            <w:r w:rsidRPr="0048470A">
              <w:rPr>
                <w:rFonts w:asciiTheme="majorBidi" w:hAnsiTheme="majorBidi" w:cstheme="majorBidi"/>
              </w:rPr>
              <w:t>(0.299)</w:t>
            </w:r>
          </w:p>
        </w:tc>
      </w:tr>
      <w:tr w:rsidR="0048470A" w:rsidRPr="0048470A" w14:paraId="574B03C4" w14:textId="77777777" w:rsidTr="003B7DD2">
        <w:tc>
          <w:tcPr>
            <w:tcW w:w="4621" w:type="dxa"/>
            <w:tcBorders>
              <w:top w:val="nil"/>
              <w:bottom w:val="nil"/>
            </w:tcBorders>
            <w:vAlign w:val="center"/>
          </w:tcPr>
          <w:p w14:paraId="1591B8C8" w14:textId="77777777" w:rsidR="0048470A" w:rsidRPr="0048470A" w:rsidRDefault="0048470A" w:rsidP="00F50315">
            <w:pPr>
              <w:tabs>
                <w:tab w:val="left" w:pos="567"/>
              </w:tabs>
              <w:jc w:val="both"/>
              <w:rPr>
                <w:rFonts w:asciiTheme="majorBidi" w:hAnsiTheme="majorBidi" w:cstheme="majorBidi"/>
              </w:rPr>
            </w:pPr>
            <w:r w:rsidRPr="0048470A">
              <w:rPr>
                <w:rFonts w:asciiTheme="majorBidi" w:hAnsiTheme="majorBidi" w:cstheme="majorBidi"/>
              </w:rPr>
              <w:t>Non-management student</w:t>
            </w:r>
          </w:p>
        </w:tc>
        <w:tc>
          <w:tcPr>
            <w:tcW w:w="4621" w:type="dxa"/>
            <w:tcBorders>
              <w:top w:val="nil"/>
              <w:bottom w:val="nil"/>
            </w:tcBorders>
            <w:vAlign w:val="center"/>
          </w:tcPr>
          <w:p w14:paraId="1E023F81" w14:textId="10296F25" w:rsidR="0048470A" w:rsidRPr="0048470A" w:rsidRDefault="0048470A" w:rsidP="003B7DD2">
            <w:pPr>
              <w:tabs>
                <w:tab w:val="left" w:pos="567"/>
              </w:tabs>
              <w:jc w:val="both"/>
              <w:rPr>
                <w:rFonts w:asciiTheme="majorBidi" w:hAnsiTheme="majorBidi" w:cstheme="majorBidi"/>
              </w:rPr>
            </w:pPr>
            <w:r w:rsidRPr="0048470A">
              <w:rPr>
                <w:rFonts w:asciiTheme="majorBidi" w:hAnsiTheme="majorBidi" w:cstheme="majorBidi"/>
              </w:rPr>
              <w:t>2.218</w:t>
            </w:r>
            <w:r w:rsidRPr="0048470A">
              <w:rPr>
                <w:rFonts w:asciiTheme="majorBidi" w:hAnsiTheme="majorBidi" w:cstheme="majorBidi"/>
                <w:vertAlign w:val="superscript"/>
              </w:rPr>
              <w:t>**</w:t>
            </w:r>
            <w:r w:rsidR="003B7DD2">
              <w:rPr>
                <w:rFonts w:asciiTheme="majorBidi" w:hAnsiTheme="majorBidi" w:cstheme="majorBidi"/>
                <w:vertAlign w:val="superscript"/>
              </w:rPr>
              <w:t xml:space="preserve"> </w:t>
            </w:r>
            <w:r w:rsidR="003B7DD2">
              <w:rPr>
                <w:rFonts w:asciiTheme="majorBidi" w:hAnsiTheme="majorBidi" w:cstheme="majorBidi"/>
                <w:vertAlign w:val="superscript"/>
              </w:rPr>
              <w:tab/>
            </w:r>
            <w:r w:rsidRPr="0048470A">
              <w:rPr>
                <w:rFonts w:asciiTheme="majorBidi" w:hAnsiTheme="majorBidi" w:cstheme="majorBidi"/>
              </w:rPr>
              <w:t>(0.735)</w:t>
            </w:r>
          </w:p>
        </w:tc>
      </w:tr>
      <w:tr w:rsidR="0048470A" w:rsidRPr="0048470A" w14:paraId="386393E4" w14:textId="77777777" w:rsidTr="003B7DD2">
        <w:tc>
          <w:tcPr>
            <w:tcW w:w="4621" w:type="dxa"/>
            <w:tcBorders>
              <w:top w:val="nil"/>
              <w:bottom w:val="nil"/>
            </w:tcBorders>
            <w:vAlign w:val="center"/>
          </w:tcPr>
          <w:p w14:paraId="73DC501D" w14:textId="77777777" w:rsidR="0048470A" w:rsidRPr="0048470A" w:rsidRDefault="0048470A" w:rsidP="00F50315">
            <w:pPr>
              <w:tabs>
                <w:tab w:val="left" w:pos="567"/>
              </w:tabs>
              <w:jc w:val="both"/>
              <w:rPr>
                <w:rFonts w:asciiTheme="majorBidi" w:hAnsiTheme="majorBidi" w:cstheme="majorBidi"/>
              </w:rPr>
            </w:pPr>
            <w:r w:rsidRPr="0048470A">
              <w:rPr>
                <w:rFonts w:asciiTheme="majorBidi" w:hAnsiTheme="majorBidi" w:cstheme="majorBidi"/>
              </w:rPr>
              <w:t>Not signed up for tutorials</w:t>
            </w:r>
          </w:p>
        </w:tc>
        <w:tc>
          <w:tcPr>
            <w:tcW w:w="4621" w:type="dxa"/>
            <w:tcBorders>
              <w:top w:val="nil"/>
              <w:bottom w:val="nil"/>
            </w:tcBorders>
            <w:vAlign w:val="center"/>
          </w:tcPr>
          <w:p w14:paraId="5262EE7A" w14:textId="3FECC59E" w:rsidR="0048470A" w:rsidRPr="0048470A" w:rsidRDefault="0048470A" w:rsidP="003B7DD2">
            <w:pPr>
              <w:tabs>
                <w:tab w:val="left" w:pos="567"/>
              </w:tabs>
              <w:jc w:val="both"/>
              <w:rPr>
                <w:rFonts w:asciiTheme="majorBidi" w:hAnsiTheme="majorBidi" w:cstheme="majorBidi"/>
              </w:rPr>
            </w:pPr>
            <w:r w:rsidRPr="0048470A">
              <w:rPr>
                <w:rFonts w:asciiTheme="majorBidi" w:hAnsiTheme="majorBidi" w:cstheme="majorBidi"/>
              </w:rPr>
              <w:t>0.329</w:t>
            </w:r>
            <w:r w:rsidR="003B7DD2">
              <w:rPr>
                <w:rFonts w:asciiTheme="majorBidi" w:hAnsiTheme="majorBidi" w:cstheme="majorBidi"/>
              </w:rPr>
              <w:t xml:space="preserve"> </w:t>
            </w:r>
            <w:r w:rsidR="003B7DD2">
              <w:rPr>
                <w:rFonts w:asciiTheme="majorBidi" w:hAnsiTheme="majorBidi" w:cstheme="majorBidi"/>
              </w:rPr>
              <w:tab/>
            </w:r>
            <w:r w:rsidR="003B7DD2">
              <w:rPr>
                <w:rFonts w:asciiTheme="majorBidi" w:hAnsiTheme="majorBidi" w:cstheme="majorBidi"/>
              </w:rPr>
              <w:tab/>
            </w:r>
            <w:r w:rsidRPr="0048470A">
              <w:rPr>
                <w:rFonts w:asciiTheme="majorBidi" w:hAnsiTheme="majorBidi" w:cstheme="majorBidi"/>
              </w:rPr>
              <w:t>(0.394)</w:t>
            </w:r>
          </w:p>
        </w:tc>
      </w:tr>
      <w:tr w:rsidR="0048470A" w:rsidRPr="0048470A" w14:paraId="33AC1324" w14:textId="77777777" w:rsidTr="003B7DD2">
        <w:tc>
          <w:tcPr>
            <w:tcW w:w="4621" w:type="dxa"/>
            <w:tcBorders>
              <w:top w:val="nil"/>
              <w:bottom w:val="nil"/>
            </w:tcBorders>
            <w:vAlign w:val="center"/>
          </w:tcPr>
          <w:p w14:paraId="5F2D55F0" w14:textId="77777777" w:rsidR="0048470A" w:rsidRPr="0048470A" w:rsidRDefault="0048470A" w:rsidP="00F50315">
            <w:pPr>
              <w:tabs>
                <w:tab w:val="left" w:pos="567"/>
              </w:tabs>
              <w:jc w:val="both"/>
              <w:rPr>
                <w:rFonts w:asciiTheme="majorBidi" w:hAnsiTheme="majorBidi" w:cstheme="majorBidi"/>
              </w:rPr>
            </w:pPr>
            <w:r w:rsidRPr="0048470A">
              <w:rPr>
                <w:rFonts w:asciiTheme="majorBidi" w:hAnsiTheme="majorBidi" w:cstheme="majorBidi"/>
              </w:rPr>
              <w:t>Did not attend first tutorial</w:t>
            </w:r>
          </w:p>
        </w:tc>
        <w:tc>
          <w:tcPr>
            <w:tcW w:w="4621" w:type="dxa"/>
            <w:tcBorders>
              <w:top w:val="nil"/>
              <w:bottom w:val="nil"/>
            </w:tcBorders>
            <w:vAlign w:val="center"/>
          </w:tcPr>
          <w:p w14:paraId="58CC60D8" w14:textId="5EB976F1" w:rsidR="0048470A" w:rsidRPr="0048470A" w:rsidRDefault="0048470A" w:rsidP="003B7DD2">
            <w:pPr>
              <w:tabs>
                <w:tab w:val="left" w:pos="567"/>
              </w:tabs>
              <w:jc w:val="both"/>
              <w:rPr>
                <w:rFonts w:asciiTheme="majorBidi" w:hAnsiTheme="majorBidi" w:cstheme="majorBidi"/>
              </w:rPr>
            </w:pPr>
            <w:r w:rsidRPr="0048470A">
              <w:rPr>
                <w:rFonts w:asciiTheme="majorBidi" w:hAnsiTheme="majorBidi" w:cstheme="majorBidi"/>
              </w:rPr>
              <w:t>1.294</w:t>
            </w:r>
            <w:r w:rsidR="003B7DD2">
              <w:rPr>
                <w:rFonts w:asciiTheme="majorBidi" w:hAnsiTheme="majorBidi" w:cstheme="majorBidi"/>
              </w:rPr>
              <w:t xml:space="preserve"> </w:t>
            </w:r>
            <w:r w:rsidR="003B7DD2">
              <w:rPr>
                <w:rFonts w:asciiTheme="majorBidi" w:hAnsiTheme="majorBidi" w:cstheme="majorBidi"/>
              </w:rPr>
              <w:tab/>
            </w:r>
            <w:r w:rsidR="003B7DD2">
              <w:rPr>
                <w:rFonts w:asciiTheme="majorBidi" w:hAnsiTheme="majorBidi" w:cstheme="majorBidi"/>
              </w:rPr>
              <w:tab/>
            </w:r>
            <w:r w:rsidRPr="0048470A">
              <w:rPr>
                <w:rFonts w:asciiTheme="majorBidi" w:hAnsiTheme="majorBidi" w:cstheme="majorBidi"/>
              </w:rPr>
              <w:t>(0.678)</w:t>
            </w:r>
          </w:p>
        </w:tc>
      </w:tr>
      <w:tr w:rsidR="0048470A" w:rsidRPr="0048470A" w14:paraId="5DA1E3CF" w14:textId="77777777" w:rsidTr="003B7DD2">
        <w:tc>
          <w:tcPr>
            <w:tcW w:w="4621" w:type="dxa"/>
            <w:tcBorders>
              <w:top w:val="nil"/>
              <w:bottom w:val="nil"/>
            </w:tcBorders>
            <w:vAlign w:val="center"/>
          </w:tcPr>
          <w:p w14:paraId="6B67094B" w14:textId="77777777" w:rsidR="0048470A" w:rsidRPr="0048470A" w:rsidRDefault="0048470A" w:rsidP="00F50315">
            <w:pPr>
              <w:tabs>
                <w:tab w:val="left" w:pos="567"/>
              </w:tabs>
              <w:jc w:val="both"/>
              <w:rPr>
                <w:rFonts w:asciiTheme="majorBidi" w:hAnsiTheme="majorBidi" w:cstheme="majorBidi"/>
              </w:rPr>
            </w:pPr>
            <w:r w:rsidRPr="0048470A">
              <w:rPr>
                <w:rFonts w:asciiTheme="majorBidi" w:hAnsiTheme="majorBidi" w:cstheme="majorBidi"/>
              </w:rPr>
              <w:t>Did not attend second tutorial</w:t>
            </w:r>
          </w:p>
        </w:tc>
        <w:tc>
          <w:tcPr>
            <w:tcW w:w="4621" w:type="dxa"/>
            <w:tcBorders>
              <w:top w:val="nil"/>
              <w:bottom w:val="nil"/>
            </w:tcBorders>
            <w:vAlign w:val="center"/>
          </w:tcPr>
          <w:p w14:paraId="2512CF27" w14:textId="1628B08E" w:rsidR="0048470A" w:rsidRPr="0048470A" w:rsidRDefault="0048470A" w:rsidP="003B7DD2">
            <w:pPr>
              <w:tabs>
                <w:tab w:val="left" w:pos="567"/>
              </w:tabs>
              <w:jc w:val="both"/>
              <w:rPr>
                <w:rFonts w:asciiTheme="majorBidi" w:hAnsiTheme="majorBidi" w:cstheme="majorBidi"/>
              </w:rPr>
            </w:pPr>
            <w:r w:rsidRPr="0048470A">
              <w:rPr>
                <w:rFonts w:asciiTheme="majorBidi" w:hAnsiTheme="majorBidi" w:cstheme="majorBidi"/>
              </w:rPr>
              <w:t>2.118</w:t>
            </w:r>
            <w:r w:rsidR="003B7DD2">
              <w:rPr>
                <w:rFonts w:asciiTheme="majorBidi" w:hAnsiTheme="majorBidi" w:cstheme="majorBidi"/>
              </w:rPr>
              <w:t xml:space="preserve"> </w:t>
            </w:r>
            <w:r w:rsidR="003B7DD2">
              <w:rPr>
                <w:rFonts w:asciiTheme="majorBidi" w:hAnsiTheme="majorBidi" w:cstheme="majorBidi"/>
              </w:rPr>
              <w:tab/>
            </w:r>
            <w:r w:rsidR="003B7DD2">
              <w:rPr>
                <w:rFonts w:asciiTheme="majorBidi" w:hAnsiTheme="majorBidi" w:cstheme="majorBidi"/>
              </w:rPr>
              <w:tab/>
            </w:r>
            <w:r w:rsidRPr="0048470A">
              <w:rPr>
                <w:rFonts w:asciiTheme="majorBidi" w:hAnsiTheme="majorBidi" w:cstheme="majorBidi"/>
              </w:rPr>
              <w:t>(0.998)</w:t>
            </w:r>
          </w:p>
        </w:tc>
      </w:tr>
      <w:tr w:rsidR="0048470A" w:rsidRPr="0048470A" w14:paraId="1BD69D6E" w14:textId="77777777" w:rsidTr="003B7DD2">
        <w:tc>
          <w:tcPr>
            <w:tcW w:w="4621" w:type="dxa"/>
            <w:tcBorders>
              <w:top w:val="nil"/>
              <w:bottom w:val="nil"/>
            </w:tcBorders>
            <w:vAlign w:val="center"/>
          </w:tcPr>
          <w:p w14:paraId="26AD5178" w14:textId="77777777" w:rsidR="0048470A" w:rsidRPr="0048470A" w:rsidRDefault="0048470A" w:rsidP="00F50315">
            <w:pPr>
              <w:tabs>
                <w:tab w:val="left" w:pos="567"/>
              </w:tabs>
              <w:jc w:val="both"/>
              <w:rPr>
                <w:rFonts w:asciiTheme="majorBidi" w:hAnsiTheme="majorBidi" w:cstheme="majorBidi"/>
              </w:rPr>
            </w:pPr>
            <w:r w:rsidRPr="0048470A">
              <w:rPr>
                <w:rFonts w:asciiTheme="majorBidi" w:hAnsiTheme="majorBidi" w:cstheme="majorBidi"/>
              </w:rPr>
              <w:t>Did not attend third tutorial</w:t>
            </w:r>
          </w:p>
        </w:tc>
        <w:tc>
          <w:tcPr>
            <w:tcW w:w="4621" w:type="dxa"/>
            <w:tcBorders>
              <w:top w:val="nil"/>
              <w:bottom w:val="nil"/>
            </w:tcBorders>
            <w:vAlign w:val="center"/>
          </w:tcPr>
          <w:p w14:paraId="49214165" w14:textId="4323C41F" w:rsidR="0048470A" w:rsidRPr="0048470A" w:rsidRDefault="0048470A" w:rsidP="003B7DD2">
            <w:pPr>
              <w:tabs>
                <w:tab w:val="left" w:pos="567"/>
              </w:tabs>
              <w:jc w:val="both"/>
              <w:rPr>
                <w:rFonts w:asciiTheme="majorBidi" w:hAnsiTheme="majorBidi" w:cstheme="majorBidi"/>
              </w:rPr>
            </w:pPr>
            <w:r w:rsidRPr="0048470A">
              <w:rPr>
                <w:rFonts w:asciiTheme="majorBidi" w:hAnsiTheme="majorBidi" w:cstheme="majorBidi"/>
              </w:rPr>
              <w:t>0.948</w:t>
            </w:r>
            <w:r w:rsidR="003B7DD2">
              <w:rPr>
                <w:rFonts w:asciiTheme="majorBidi" w:hAnsiTheme="majorBidi" w:cstheme="majorBidi"/>
              </w:rPr>
              <w:t xml:space="preserve"> </w:t>
            </w:r>
            <w:r w:rsidR="003B7DD2">
              <w:rPr>
                <w:rFonts w:asciiTheme="majorBidi" w:hAnsiTheme="majorBidi" w:cstheme="majorBidi"/>
              </w:rPr>
              <w:tab/>
            </w:r>
            <w:r w:rsidR="003B7DD2">
              <w:rPr>
                <w:rFonts w:asciiTheme="majorBidi" w:hAnsiTheme="majorBidi" w:cstheme="majorBidi"/>
              </w:rPr>
              <w:tab/>
            </w:r>
            <w:r w:rsidRPr="0048470A">
              <w:rPr>
                <w:rFonts w:asciiTheme="majorBidi" w:hAnsiTheme="majorBidi" w:cstheme="majorBidi"/>
              </w:rPr>
              <w:t>(0.508)</w:t>
            </w:r>
          </w:p>
        </w:tc>
      </w:tr>
      <w:tr w:rsidR="0048470A" w:rsidRPr="0048470A" w14:paraId="3FF91DEB" w14:textId="77777777" w:rsidTr="003B7DD2">
        <w:tc>
          <w:tcPr>
            <w:tcW w:w="4621" w:type="dxa"/>
            <w:tcBorders>
              <w:top w:val="nil"/>
              <w:bottom w:val="nil"/>
            </w:tcBorders>
            <w:vAlign w:val="center"/>
          </w:tcPr>
          <w:p w14:paraId="1362415B" w14:textId="77777777" w:rsidR="0048470A" w:rsidRPr="0048470A" w:rsidRDefault="0048470A" w:rsidP="00F50315">
            <w:pPr>
              <w:tabs>
                <w:tab w:val="left" w:pos="567"/>
              </w:tabs>
              <w:jc w:val="both"/>
              <w:rPr>
                <w:rFonts w:asciiTheme="majorBidi" w:hAnsiTheme="majorBidi" w:cstheme="majorBidi"/>
              </w:rPr>
            </w:pPr>
            <w:r w:rsidRPr="0048470A">
              <w:rPr>
                <w:rFonts w:asciiTheme="majorBidi" w:hAnsiTheme="majorBidi" w:cstheme="majorBidi"/>
              </w:rPr>
              <w:t>Not signed up for online tests</w:t>
            </w:r>
          </w:p>
        </w:tc>
        <w:tc>
          <w:tcPr>
            <w:tcW w:w="4621" w:type="dxa"/>
            <w:tcBorders>
              <w:top w:val="nil"/>
              <w:bottom w:val="nil"/>
            </w:tcBorders>
            <w:vAlign w:val="center"/>
          </w:tcPr>
          <w:p w14:paraId="1FE8C5CD" w14:textId="4E27A8E9" w:rsidR="0048470A" w:rsidRPr="0048470A" w:rsidRDefault="0048470A" w:rsidP="003B7DD2">
            <w:pPr>
              <w:tabs>
                <w:tab w:val="left" w:pos="567"/>
              </w:tabs>
              <w:jc w:val="both"/>
              <w:rPr>
                <w:rFonts w:asciiTheme="majorBidi" w:hAnsiTheme="majorBidi" w:cstheme="majorBidi"/>
              </w:rPr>
            </w:pPr>
            <w:r w:rsidRPr="0048470A">
              <w:rPr>
                <w:rFonts w:asciiTheme="majorBidi" w:hAnsiTheme="majorBidi" w:cstheme="majorBidi"/>
              </w:rPr>
              <w:t>0.204</w:t>
            </w:r>
            <w:r w:rsidRPr="0048470A">
              <w:rPr>
                <w:rFonts w:asciiTheme="majorBidi" w:hAnsiTheme="majorBidi" w:cstheme="majorBidi"/>
                <w:vertAlign w:val="superscript"/>
              </w:rPr>
              <w:t>*</w:t>
            </w:r>
            <w:r w:rsidR="003B7DD2">
              <w:rPr>
                <w:rFonts w:asciiTheme="majorBidi" w:hAnsiTheme="majorBidi" w:cstheme="majorBidi"/>
                <w:vertAlign w:val="superscript"/>
              </w:rPr>
              <w:t xml:space="preserve"> </w:t>
            </w:r>
            <w:r w:rsidR="003B7DD2">
              <w:rPr>
                <w:rFonts w:asciiTheme="majorBidi" w:hAnsiTheme="majorBidi" w:cstheme="majorBidi"/>
                <w:vertAlign w:val="superscript"/>
              </w:rPr>
              <w:tab/>
            </w:r>
            <w:r w:rsidRPr="0048470A">
              <w:rPr>
                <w:rFonts w:asciiTheme="majorBidi" w:hAnsiTheme="majorBidi" w:cstheme="majorBidi"/>
              </w:rPr>
              <w:t>(0.186)</w:t>
            </w:r>
          </w:p>
        </w:tc>
      </w:tr>
      <w:tr w:rsidR="0048470A" w:rsidRPr="0048470A" w14:paraId="4CB2C071" w14:textId="77777777" w:rsidTr="003B7DD2">
        <w:tc>
          <w:tcPr>
            <w:tcW w:w="4621" w:type="dxa"/>
            <w:tcBorders>
              <w:top w:val="nil"/>
              <w:bottom w:val="nil"/>
            </w:tcBorders>
            <w:vAlign w:val="center"/>
          </w:tcPr>
          <w:p w14:paraId="52FD8F0C" w14:textId="77777777" w:rsidR="0048470A" w:rsidRPr="0048470A" w:rsidRDefault="0048470A" w:rsidP="00F50315">
            <w:pPr>
              <w:tabs>
                <w:tab w:val="left" w:pos="567"/>
              </w:tabs>
              <w:jc w:val="both"/>
              <w:rPr>
                <w:rFonts w:asciiTheme="majorBidi" w:hAnsiTheme="majorBidi" w:cstheme="majorBidi"/>
              </w:rPr>
            </w:pPr>
            <w:r w:rsidRPr="0048470A">
              <w:rPr>
                <w:rFonts w:asciiTheme="majorBidi" w:hAnsiTheme="majorBidi" w:cstheme="majorBidi"/>
              </w:rPr>
              <w:t>Did not attempt first online test</w:t>
            </w:r>
          </w:p>
        </w:tc>
        <w:tc>
          <w:tcPr>
            <w:tcW w:w="4621" w:type="dxa"/>
            <w:tcBorders>
              <w:top w:val="nil"/>
              <w:bottom w:val="nil"/>
            </w:tcBorders>
            <w:vAlign w:val="center"/>
          </w:tcPr>
          <w:p w14:paraId="271ADD91" w14:textId="0F381D29" w:rsidR="0048470A" w:rsidRPr="0048470A" w:rsidRDefault="0048470A" w:rsidP="003B7DD2">
            <w:pPr>
              <w:tabs>
                <w:tab w:val="left" w:pos="567"/>
              </w:tabs>
              <w:jc w:val="both"/>
              <w:rPr>
                <w:rFonts w:asciiTheme="majorBidi" w:hAnsiTheme="majorBidi" w:cstheme="majorBidi"/>
              </w:rPr>
            </w:pPr>
            <w:r w:rsidRPr="0048470A">
              <w:rPr>
                <w:rFonts w:asciiTheme="majorBidi" w:hAnsiTheme="majorBidi" w:cstheme="majorBidi"/>
              </w:rPr>
              <w:t>0.781</w:t>
            </w:r>
            <w:r w:rsidR="003B7DD2">
              <w:rPr>
                <w:rFonts w:asciiTheme="majorBidi" w:hAnsiTheme="majorBidi" w:cstheme="majorBidi"/>
              </w:rPr>
              <w:t xml:space="preserve"> </w:t>
            </w:r>
            <w:r w:rsidR="003B7DD2">
              <w:rPr>
                <w:rFonts w:asciiTheme="majorBidi" w:hAnsiTheme="majorBidi" w:cstheme="majorBidi"/>
              </w:rPr>
              <w:tab/>
            </w:r>
            <w:r w:rsidR="003B7DD2">
              <w:rPr>
                <w:rFonts w:asciiTheme="majorBidi" w:hAnsiTheme="majorBidi" w:cstheme="majorBidi"/>
              </w:rPr>
              <w:tab/>
            </w:r>
            <w:r w:rsidRPr="0048470A">
              <w:rPr>
                <w:rFonts w:asciiTheme="majorBidi" w:hAnsiTheme="majorBidi" w:cstheme="majorBidi"/>
              </w:rPr>
              <w:t>(0.488)</w:t>
            </w:r>
          </w:p>
        </w:tc>
      </w:tr>
      <w:tr w:rsidR="0048470A" w:rsidRPr="0048470A" w14:paraId="7C34E3C1" w14:textId="77777777" w:rsidTr="003B7DD2">
        <w:tc>
          <w:tcPr>
            <w:tcW w:w="4621" w:type="dxa"/>
            <w:tcBorders>
              <w:top w:val="nil"/>
              <w:bottom w:val="nil"/>
            </w:tcBorders>
            <w:vAlign w:val="center"/>
          </w:tcPr>
          <w:p w14:paraId="008D94CF" w14:textId="77777777" w:rsidR="0048470A" w:rsidRPr="0048470A" w:rsidRDefault="0048470A" w:rsidP="00F50315">
            <w:pPr>
              <w:tabs>
                <w:tab w:val="left" w:pos="567"/>
              </w:tabs>
              <w:jc w:val="both"/>
              <w:rPr>
                <w:rFonts w:asciiTheme="majorBidi" w:hAnsiTheme="majorBidi" w:cstheme="majorBidi"/>
              </w:rPr>
            </w:pPr>
            <w:r w:rsidRPr="0048470A">
              <w:rPr>
                <w:rFonts w:asciiTheme="majorBidi" w:hAnsiTheme="majorBidi" w:cstheme="majorBidi"/>
              </w:rPr>
              <w:t>Did not attempt second online test</w:t>
            </w:r>
          </w:p>
        </w:tc>
        <w:tc>
          <w:tcPr>
            <w:tcW w:w="4621" w:type="dxa"/>
            <w:tcBorders>
              <w:top w:val="nil"/>
              <w:bottom w:val="nil"/>
            </w:tcBorders>
            <w:vAlign w:val="center"/>
          </w:tcPr>
          <w:p w14:paraId="56DD2081" w14:textId="429A92BE" w:rsidR="0048470A" w:rsidRPr="0048470A" w:rsidRDefault="0048470A" w:rsidP="003B7DD2">
            <w:pPr>
              <w:tabs>
                <w:tab w:val="left" w:pos="567"/>
              </w:tabs>
              <w:jc w:val="both"/>
              <w:rPr>
                <w:rFonts w:asciiTheme="majorBidi" w:hAnsiTheme="majorBidi" w:cstheme="majorBidi"/>
              </w:rPr>
            </w:pPr>
            <w:r w:rsidRPr="0048470A">
              <w:rPr>
                <w:rFonts w:asciiTheme="majorBidi" w:hAnsiTheme="majorBidi" w:cstheme="majorBidi"/>
              </w:rPr>
              <w:t>1.110</w:t>
            </w:r>
            <w:r w:rsidR="003B7DD2">
              <w:rPr>
                <w:rFonts w:asciiTheme="majorBidi" w:hAnsiTheme="majorBidi" w:cstheme="majorBidi"/>
              </w:rPr>
              <w:t xml:space="preserve"> </w:t>
            </w:r>
            <w:r w:rsidR="003B7DD2">
              <w:rPr>
                <w:rFonts w:asciiTheme="majorBidi" w:hAnsiTheme="majorBidi" w:cstheme="majorBidi"/>
              </w:rPr>
              <w:tab/>
            </w:r>
            <w:r w:rsidR="003B7DD2">
              <w:rPr>
                <w:rFonts w:asciiTheme="majorBidi" w:hAnsiTheme="majorBidi" w:cstheme="majorBidi"/>
              </w:rPr>
              <w:tab/>
            </w:r>
            <w:r w:rsidRPr="0048470A">
              <w:rPr>
                <w:rFonts w:asciiTheme="majorBidi" w:hAnsiTheme="majorBidi" w:cstheme="majorBidi"/>
              </w:rPr>
              <w:t>(0.558)</w:t>
            </w:r>
          </w:p>
        </w:tc>
      </w:tr>
      <w:tr w:rsidR="0048470A" w:rsidRPr="0048470A" w14:paraId="0BEE4C3C" w14:textId="77777777" w:rsidTr="003B7DD2">
        <w:tc>
          <w:tcPr>
            <w:tcW w:w="4621" w:type="dxa"/>
            <w:tcBorders>
              <w:top w:val="nil"/>
              <w:bottom w:val="nil"/>
            </w:tcBorders>
            <w:vAlign w:val="center"/>
          </w:tcPr>
          <w:p w14:paraId="14125CBA" w14:textId="77777777" w:rsidR="0048470A" w:rsidRPr="0048470A" w:rsidRDefault="0048470A" w:rsidP="00F50315">
            <w:pPr>
              <w:tabs>
                <w:tab w:val="left" w:pos="567"/>
              </w:tabs>
              <w:jc w:val="both"/>
              <w:rPr>
                <w:rFonts w:asciiTheme="majorBidi" w:hAnsiTheme="majorBidi" w:cstheme="majorBidi"/>
              </w:rPr>
            </w:pPr>
            <w:r w:rsidRPr="0048470A">
              <w:rPr>
                <w:rFonts w:asciiTheme="majorBidi" w:hAnsiTheme="majorBidi" w:cstheme="majorBidi"/>
              </w:rPr>
              <w:t>Did not attempt third online test</w:t>
            </w:r>
          </w:p>
        </w:tc>
        <w:tc>
          <w:tcPr>
            <w:tcW w:w="4621" w:type="dxa"/>
            <w:tcBorders>
              <w:top w:val="nil"/>
              <w:bottom w:val="nil"/>
            </w:tcBorders>
            <w:vAlign w:val="center"/>
          </w:tcPr>
          <w:p w14:paraId="71D4CDF6" w14:textId="653CBBDD" w:rsidR="0048470A" w:rsidRPr="0048470A" w:rsidRDefault="0048470A" w:rsidP="003B7DD2">
            <w:pPr>
              <w:tabs>
                <w:tab w:val="left" w:pos="567"/>
              </w:tabs>
              <w:jc w:val="both"/>
              <w:rPr>
                <w:rFonts w:asciiTheme="majorBidi" w:hAnsiTheme="majorBidi" w:cstheme="majorBidi"/>
              </w:rPr>
            </w:pPr>
            <w:r w:rsidRPr="0048470A">
              <w:rPr>
                <w:rFonts w:asciiTheme="majorBidi" w:hAnsiTheme="majorBidi" w:cstheme="majorBidi"/>
              </w:rPr>
              <w:t>5.445</w:t>
            </w:r>
            <w:r w:rsidRPr="0048470A">
              <w:rPr>
                <w:rFonts w:asciiTheme="majorBidi" w:hAnsiTheme="majorBidi" w:cstheme="majorBidi"/>
                <w:vertAlign w:val="superscript"/>
              </w:rPr>
              <w:t>***</w:t>
            </w:r>
            <w:r w:rsidR="003B7DD2">
              <w:rPr>
                <w:rFonts w:asciiTheme="majorBidi" w:hAnsiTheme="majorBidi" w:cstheme="majorBidi"/>
                <w:vertAlign w:val="superscript"/>
              </w:rPr>
              <w:t xml:space="preserve"> </w:t>
            </w:r>
            <w:r w:rsidRPr="0048470A">
              <w:rPr>
                <w:rFonts w:asciiTheme="majorBidi" w:hAnsiTheme="majorBidi" w:cstheme="majorBidi"/>
              </w:rPr>
              <w:t>(2.431)</w:t>
            </w:r>
          </w:p>
        </w:tc>
      </w:tr>
      <w:tr w:rsidR="0048470A" w:rsidRPr="0048470A" w14:paraId="7E95F12C" w14:textId="77777777" w:rsidTr="003B7DD2">
        <w:tc>
          <w:tcPr>
            <w:tcW w:w="4621" w:type="dxa"/>
            <w:tcBorders>
              <w:top w:val="nil"/>
              <w:bottom w:val="single" w:sz="4" w:space="0" w:color="auto"/>
            </w:tcBorders>
            <w:vAlign w:val="center"/>
          </w:tcPr>
          <w:p w14:paraId="4FEF42A2" w14:textId="77777777" w:rsidR="0048470A" w:rsidRPr="0048470A" w:rsidRDefault="0048470A" w:rsidP="00F50315">
            <w:pPr>
              <w:tabs>
                <w:tab w:val="left" w:pos="567"/>
              </w:tabs>
              <w:jc w:val="both"/>
              <w:rPr>
                <w:rFonts w:asciiTheme="majorBidi" w:hAnsiTheme="majorBidi" w:cstheme="majorBidi"/>
              </w:rPr>
            </w:pPr>
            <w:r w:rsidRPr="0048470A">
              <w:rPr>
                <w:rFonts w:asciiTheme="majorBidi" w:hAnsiTheme="majorBidi" w:cstheme="majorBidi"/>
              </w:rPr>
              <w:t>Did not complete economic literacy test</w:t>
            </w:r>
          </w:p>
        </w:tc>
        <w:tc>
          <w:tcPr>
            <w:tcW w:w="4621" w:type="dxa"/>
            <w:tcBorders>
              <w:top w:val="nil"/>
              <w:bottom w:val="single" w:sz="4" w:space="0" w:color="auto"/>
            </w:tcBorders>
            <w:vAlign w:val="center"/>
          </w:tcPr>
          <w:p w14:paraId="1EF02A5D" w14:textId="3EFC50E0" w:rsidR="0048470A" w:rsidRPr="0048470A" w:rsidRDefault="0048470A" w:rsidP="003B7DD2">
            <w:pPr>
              <w:tabs>
                <w:tab w:val="left" w:pos="567"/>
              </w:tabs>
              <w:jc w:val="both"/>
              <w:rPr>
                <w:rFonts w:asciiTheme="majorBidi" w:hAnsiTheme="majorBidi" w:cstheme="majorBidi"/>
              </w:rPr>
            </w:pPr>
            <w:r w:rsidRPr="0048470A">
              <w:rPr>
                <w:rFonts w:asciiTheme="majorBidi" w:hAnsiTheme="majorBidi" w:cstheme="majorBidi"/>
              </w:rPr>
              <w:t>2.315</w:t>
            </w:r>
            <w:r w:rsidRPr="0048470A">
              <w:rPr>
                <w:rFonts w:asciiTheme="majorBidi" w:hAnsiTheme="majorBidi" w:cstheme="majorBidi"/>
                <w:vertAlign w:val="superscript"/>
              </w:rPr>
              <w:t>*</w:t>
            </w:r>
            <w:r w:rsidR="003B7DD2">
              <w:rPr>
                <w:rFonts w:asciiTheme="majorBidi" w:hAnsiTheme="majorBidi" w:cstheme="majorBidi"/>
                <w:vertAlign w:val="superscript"/>
              </w:rPr>
              <w:t xml:space="preserve"> </w:t>
            </w:r>
            <w:r w:rsidR="003B7DD2">
              <w:rPr>
                <w:rFonts w:asciiTheme="majorBidi" w:hAnsiTheme="majorBidi" w:cstheme="majorBidi"/>
                <w:vertAlign w:val="superscript"/>
              </w:rPr>
              <w:tab/>
            </w:r>
            <w:r w:rsidRPr="0048470A">
              <w:rPr>
                <w:rFonts w:asciiTheme="majorBidi" w:hAnsiTheme="majorBidi" w:cstheme="majorBidi"/>
              </w:rPr>
              <w:t>(1.064)</w:t>
            </w:r>
          </w:p>
        </w:tc>
      </w:tr>
    </w:tbl>
    <w:p w14:paraId="59521873" w14:textId="77777777" w:rsidR="0048470A" w:rsidRPr="003B7DD2" w:rsidRDefault="0048470A" w:rsidP="00F50315">
      <w:pPr>
        <w:tabs>
          <w:tab w:val="left" w:pos="567"/>
        </w:tabs>
        <w:spacing w:after="0" w:line="240" w:lineRule="auto"/>
        <w:jc w:val="both"/>
        <w:rPr>
          <w:rFonts w:asciiTheme="majorBidi" w:hAnsiTheme="majorBidi" w:cstheme="majorBidi"/>
          <w:sz w:val="20"/>
          <w:szCs w:val="20"/>
        </w:rPr>
      </w:pPr>
      <w:r w:rsidRPr="003B7DD2">
        <w:rPr>
          <w:rFonts w:asciiTheme="majorBidi" w:hAnsiTheme="majorBidi" w:cstheme="majorBidi"/>
          <w:sz w:val="20"/>
          <w:szCs w:val="20"/>
        </w:rPr>
        <w:t>N=330; Pseudo R</w:t>
      </w:r>
      <w:r w:rsidRPr="003B7DD2">
        <w:rPr>
          <w:rFonts w:asciiTheme="majorBidi" w:hAnsiTheme="majorBidi" w:cstheme="majorBidi"/>
          <w:sz w:val="20"/>
          <w:szCs w:val="20"/>
          <w:vertAlign w:val="superscript"/>
        </w:rPr>
        <w:t>2</w:t>
      </w:r>
      <w:r w:rsidRPr="003B7DD2">
        <w:rPr>
          <w:rFonts w:asciiTheme="majorBidi" w:hAnsiTheme="majorBidi" w:cstheme="majorBidi"/>
          <w:sz w:val="20"/>
          <w:szCs w:val="20"/>
        </w:rPr>
        <w:t xml:space="preserve"> = 0.124; </w:t>
      </w:r>
      <w:r w:rsidRPr="003B7DD2">
        <w:rPr>
          <w:rFonts w:asciiTheme="majorBidi" w:hAnsiTheme="majorBidi" w:cstheme="majorBidi"/>
          <w:sz w:val="20"/>
          <w:szCs w:val="20"/>
          <w:vertAlign w:val="superscript"/>
        </w:rPr>
        <w:t>***</w:t>
      </w:r>
      <w:r w:rsidRPr="003B7DD2">
        <w:rPr>
          <w:rFonts w:asciiTheme="majorBidi" w:hAnsiTheme="majorBidi" w:cstheme="majorBidi"/>
          <w:sz w:val="20"/>
          <w:szCs w:val="20"/>
        </w:rPr>
        <w:t xml:space="preserve">p&lt;0.01; </w:t>
      </w:r>
      <w:r w:rsidRPr="003B7DD2">
        <w:rPr>
          <w:rFonts w:asciiTheme="majorBidi" w:hAnsiTheme="majorBidi" w:cstheme="majorBidi"/>
          <w:sz w:val="20"/>
          <w:szCs w:val="20"/>
          <w:vertAlign w:val="superscript"/>
        </w:rPr>
        <w:t>**</w:t>
      </w:r>
      <w:r w:rsidRPr="003B7DD2">
        <w:rPr>
          <w:rFonts w:asciiTheme="majorBidi" w:hAnsiTheme="majorBidi" w:cstheme="majorBidi"/>
          <w:sz w:val="20"/>
          <w:szCs w:val="20"/>
        </w:rPr>
        <w:t xml:space="preserve">p&lt;0.05; </w:t>
      </w:r>
      <w:r w:rsidRPr="003B7DD2">
        <w:rPr>
          <w:rFonts w:asciiTheme="majorBidi" w:hAnsiTheme="majorBidi" w:cstheme="majorBidi"/>
          <w:sz w:val="20"/>
          <w:szCs w:val="20"/>
          <w:vertAlign w:val="superscript"/>
        </w:rPr>
        <w:t>*</w:t>
      </w:r>
      <w:r w:rsidRPr="003B7DD2">
        <w:rPr>
          <w:rFonts w:asciiTheme="majorBidi" w:hAnsiTheme="majorBidi" w:cstheme="majorBidi"/>
          <w:sz w:val="20"/>
          <w:szCs w:val="20"/>
        </w:rPr>
        <w:t>p&lt;0.1</w:t>
      </w:r>
    </w:p>
    <w:p w14:paraId="2D68BFA3" w14:textId="77777777" w:rsidR="00767C49" w:rsidRDefault="00767C49" w:rsidP="00F50315">
      <w:pPr>
        <w:tabs>
          <w:tab w:val="left" w:pos="567"/>
        </w:tabs>
        <w:spacing w:after="0" w:line="288" w:lineRule="auto"/>
        <w:jc w:val="both"/>
        <w:rPr>
          <w:rFonts w:asciiTheme="majorBidi" w:hAnsiTheme="majorBidi" w:cstheme="majorBidi"/>
          <w:sz w:val="24"/>
          <w:szCs w:val="24"/>
        </w:rPr>
      </w:pPr>
    </w:p>
    <w:p w14:paraId="5A1D8C29" w14:textId="77777777" w:rsidR="00E011EE" w:rsidRPr="00357D66" w:rsidRDefault="00E011EE" w:rsidP="00F50315">
      <w:pPr>
        <w:tabs>
          <w:tab w:val="left" w:pos="567"/>
        </w:tabs>
        <w:spacing w:after="0" w:line="288" w:lineRule="auto"/>
        <w:jc w:val="both"/>
        <w:rPr>
          <w:rFonts w:asciiTheme="majorBidi" w:hAnsiTheme="majorBidi" w:cstheme="majorBidi"/>
          <w:sz w:val="24"/>
          <w:szCs w:val="24"/>
        </w:rPr>
      </w:pPr>
    </w:p>
    <w:p w14:paraId="073AAD09" w14:textId="1F461DE0" w:rsidR="00E30A48" w:rsidRDefault="00DC6F66" w:rsidP="003B7DD2">
      <w:pPr>
        <w:tabs>
          <w:tab w:val="left" w:pos="567"/>
        </w:tabs>
        <w:spacing w:after="0" w:line="288" w:lineRule="auto"/>
        <w:ind w:firstLine="567"/>
        <w:jc w:val="both"/>
        <w:rPr>
          <w:rFonts w:asciiTheme="majorBidi" w:hAnsiTheme="majorBidi" w:cstheme="majorBidi"/>
          <w:sz w:val="24"/>
          <w:szCs w:val="24"/>
        </w:rPr>
      </w:pPr>
      <w:r w:rsidRPr="00357D66">
        <w:rPr>
          <w:rFonts w:asciiTheme="majorBidi" w:hAnsiTheme="majorBidi" w:cstheme="majorBidi"/>
          <w:sz w:val="24"/>
          <w:szCs w:val="24"/>
        </w:rPr>
        <w:t xml:space="preserve">Predicting students at high-risk of failure requires a delicate balancing act between avoiding Type I errors (incorrectly identifying a student who will not eventually fail as being high risk) and Type II errors (failing to identify a student who is high risk). </w:t>
      </w:r>
      <w:r w:rsidR="000E73E5" w:rsidRPr="00357D66">
        <w:rPr>
          <w:rFonts w:asciiTheme="majorBidi" w:hAnsiTheme="majorBidi" w:cstheme="majorBidi"/>
          <w:sz w:val="24"/>
          <w:szCs w:val="24"/>
        </w:rPr>
        <w:t xml:space="preserve">Having a large number of </w:t>
      </w:r>
      <w:proofErr w:type="gramStart"/>
      <w:r w:rsidR="000E73E5" w:rsidRPr="00357D66">
        <w:rPr>
          <w:rFonts w:asciiTheme="majorBidi" w:hAnsiTheme="majorBidi" w:cstheme="majorBidi"/>
          <w:sz w:val="24"/>
          <w:szCs w:val="24"/>
        </w:rPr>
        <w:t>Type</w:t>
      </w:r>
      <w:proofErr w:type="gramEnd"/>
      <w:r w:rsidR="000E73E5" w:rsidRPr="00357D66">
        <w:rPr>
          <w:rFonts w:asciiTheme="majorBidi" w:hAnsiTheme="majorBidi" w:cstheme="majorBidi"/>
          <w:sz w:val="24"/>
          <w:szCs w:val="24"/>
        </w:rPr>
        <w:t xml:space="preserve"> I errors (low sensitivity) will lead to too many students being contacted who would not need the intervention. Having a large number of Type II errors (low specificity) would lead to students who need the intervention </w:t>
      </w:r>
      <w:r w:rsidR="00181068" w:rsidRPr="00357D66">
        <w:rPr>
          <w:rFonts w:asciiTheme="majorBidi" w:hAnsiTheme="majorBidi" w:cstheme="majorBidi"/>
          <w:sz w:val="24"/>
          <w:szCs w:val="24"/>
        </w:rPr>
        <w:t>not being contacted at all</w:t>
      </w:r>
      <w:r w:rsidR="000E73E5" w:rsidRPr="00357D66">
        <w:rPr>
          <w:rFonts w:asciiTheme="majorBidi" w:hAnsiTheme="majorBidi" w:cstheme="majorBidi"/>
          <w:sz w:val="24"/>
          <w:szCs w:val="24"/>
        </w:rPr>
        <w:t xml:space="preserve">. </w:t>
      </w:r>
      <w:r w:rsidRPr="00357D66">
        <w:rPr>
          <w:rFonts w:asciiTheme="majorBidi" w:hAnsiTheme="majorBidi" w:cstheme="majorBidi"/>
          <w:sz w:val="24"/>
          <w:szCs w:val="24"/>
        </w:rPr>
        <w:t>Predicted probabilities of failure were estimated based on the model in Table 1. We then selected a cut</w:t>
      </w:r>
      <w:r w:rsidR="007D6140" w:rsidRPr="00357D66">
        <w:rPr>
          <w:rFonts w:asciiTheme="majorBidi" w:hAnsiTheme="majorBidi" w:cstheme="majorBidi"/>
          <w:sz w:val="24"/>
          <w:szCs w:val="24"/>
        </w:rPr>
        <w:t>-</w:t>
      </w:r>
      <w:r w:rsidRPr="00357D66">
        <w:rPr>
          <w:rFonts w:asciiTheme="majorBidi" w:hAnsiTheme="majorBidi" w:cstheme="majorBidi"/>
          <w:sz w:val="24"/>
          <w:szCs w:val="24"/>
        </w:rPr>
        <w:t xml:space="preserve">off for ‘high risk’ that </w:t>
      </w:r>
      <w:r w:rsidR="00D55831" w:rsidRPr="00357D66">
        <w:rPr>
          <w:rFonts w:asciiTheme="majorBidi" w:hAnsiTheme="majorBidi" w:cstheme="majorBidi"/>
          <w:sz w:val="24"/>
          <w:szCs w:val="24"/>
        </w:rPr>
        <w:t>replicated as closely as possible the actual number of failing students. The resulting cut</w:t>
      </w:r>
      <w:r w:rsidR="007D6140" w:rsidRPr="00357D66">
        <w:rPr>
          <w:rFonts w:asciiTheme="majorBidi" w:hAnsiTheme="majorBidi" w:cstheme="majorBidi"/>
          <w:sz w:val="24"/>
          <w:szCs w:val="24"/>
        </w:rPr>
        <w:t>-</w:t>
      </w:r>
      <w:r w:rsidR="00D55831" w:rsidRPr="00357D66">
        <w:rPr>
          <w:rFonts w:asciiTheme="majorBidi" w:hAnsiTheme="majorBidi" w:cstheme="majorBidi"/>
          <w:sz w:val="24"/>
          <w:szCs w:val="24"/>
        </w:rPr>
        <w:t xml:space="preserve">off predicted probability of failure of 26% </w:t>
      </w:r>
      <w:r w:rsidRPr="00357D66">
        <w:rPr>
          <w:rFonts w:asciiTheme="majorBidi" w:hAnsiTheme="majorBidi" w:cstheme="majorBidi"/>
          <w:sz w:val="24"/>
          <w:szCs w:val="24"/>
        </w:rPr>
        <w:t xml:space="preserve">led to </w:t>
      </w:r>
      <w:proofErr w:type="gramStart"/>
      <w:r w:rsidRPr="00357D66">
        <w:rPr>
          <w:rFonts w:asciiTheme="majorBidi" w:hAnsiTheme="majorBidi" w:cstheme="majorBidi"/>
          <w:sz w:val="24"/>
          <w:szCs w:val="24"/>
        </w:rPr>
        <w:t>an in</w:t>
      </w:r>
      <w:proofErr w:type="gramEnd"/>
      <w:r w:rsidRPr="00357D66">
        <w:rPr>
          <w:rFonts w:asciiTheme="majorBidi" w:hAnsiTheme="majorBidi" w:cstheme="majorBidi"/>
          <w:sz w:val="24"/>
          <w:szCs w:val="24"/>
        </w:rPr>
        <w:t>-sample sensitivity</w:t>
      </w:r>
      <w:r w:rsidR="00A42802" w:rsidRPr="00357D66">
        <w:rPr>
          <w:rFonts w:asciiTheme="majorBidi" w:hAnsiTheme="majorBidi" w:cstheme="majorBidi"/>
          <w:sz w:val="24"/>
          <w:szCs w:val="24"/>
        </w:rPr>
        <w:t xml:space="preserve"> </w:t>
      </w:r>
      <w:r w:rsidR="00A42802" w:rsidRPr="00357D66">
        <w:rPr>
          <w:rFonts w:asciiTheme="majorBidi" w:hAnsiTheme="majorBidi" w:cstheme="majorBidi"/>
          <w:sz w:val="24"/>
          <w:szCs w:val="24"/>
        </w:rPr>
        <w:lastRenderedPageBreak/>
        <w:t>(true positive rate)</w:t>
      </w:r>
      <w:r w:rsidRPr="00357D66">
        <w:rPr>
          <w:rFonts w:asciiTheme="majorBidi" w:hAnsiTheme="majorBidi" w:cstheme="majorBidi"/>
          <w:sz w:val="24"/>
          <w:szCs w:val="24"/>
        </w:rPr>
        <w:t xml:space="preserve"> of</w:t>
      </w:r>
      <w:r w:rsidR="00A42802" w:rsidRPr="00357D66">
        <w:rPr>
          <w:rFonts w:asciiTheme="majorBidi" w:hAnsiTheme="majorBidi" w:cstheme="majorBidi"/>
          <w:sz w:val="24"/>
          <w:szCs w:val="24"/>
        </w:rPr>
        <w:t xml:space="preserve"> 48.7% and specificity (true negative rate) of 86.7%, which are acceptable given the sample size of 330</w:t>
      </w:r>
      <w:r w:rsidR="000E73E5" w:rsidRPr="00357D66">
        <w:rPr>
          <w:rFonts w:asciiTheme="majorBidi" w:hAnsiTheme="majorBidi" w:cstheme="majorBidi"/>
          <w:sz w:val="24"/>
          <w:szCs w:val="24"/>
        </w:rPr>
        <w:t xml:space="preserve"> and the goals of the intervention trial</w:t>
      </w:r>
      <w:r w:rsidR="00A42802" w:rsidRPr="00357D66">
        <w:rPr>
          <w:rFonts w:asciiTheme="majorBidi" w:hAnsiTheme="majorBidi" w:cstheme="majorBidi"/>
          <w:sz w:val="24"/>
          <w:szCs w:val="24"/>
        </w:rPr>
        <w:t>.</w:t>
      </w:r>
      <w:r w:rsidR="00A42802" w:rsidRPr="00357D66">
        <w:rPr>
          <w:rStyle w:val="FootnoteReference"/>
          <w:rFonts w:asciiTheme="majorBidi" w:hAnsiTheme="majorBidi" w:cstheme="majorBidi"/>
          <w:sz w:val="24"/>
          <w:szCs w:val="24"/>
        </w:rPr>
        <w:footnoteReference w:id="1"/>
      </w:r>
      <w:r w:rsidRPr="00357D66">
        <w:rPr>
          <w:rFonts w:asciiTheme="majorBidi" w:hAnsiTheme="majorBidi" w:cstheme="majorBidi"/>
          <w:sz w:val="24"/>
          <w:szCs w:val="24"/>
        </w:rPr>
        <w:t xml:space="preserve"> </w:t>
      </w:r>
    </w:p>
    <w:p w14:paraId="101C938D" w14:textId="77777777" w:rsidR="003B7DD2" w:rsidRPr="00357D66" w:rsidRDefault="003B7DD2" w:rsidP="00F50315">
      <w:pPr>
        <w:tabs>
          <w:tab w:val="left" w:pos="567"/>
        </w:tabs>
        <w:spacing w:after="0" w:line="288" w:lineRule="auto"/>
        <w:ind w:firstLine="720"/>
        <w:jc w:val="both"/>
        <w:rPr>
          <w:rFonts w:asciiTheme="majorBidi" w:hAnsiTheme="majorBidi" w:cstheme="majorBidi"/>
          <w:sz w:val="24"/>
          <w:szCs w:val="24"/>
        </w:rPr>
      </w:pPr>
    </w:p>
    <w:p w14:paraId="47B87139" w14:textId="4D563832" w:rsidR="00311589" w:rsidRDefault="00311589" w:rsidP="003B7DD2">
      <w:pPr>
        <w:tabs>
          <w:tab w:val="left" w:pos="567"/>
        </w:tabs>
        <w:spacing w:after="0" w:line="288" w:lineRule="auto"/>
        <w:ind w:firstLine="567"/>
        <w:jc w:val="both"/>
        <w:rPr>
          <w:rFonts w:asciiTheme="majorBidi" w:hAnsiTheme="majorBidi" w:cstheme="majorBidi"/>
          <w:sz w:val="24"/>
          <w:szCs w:val="24"/>
        </w:rPr>
      </w:pPr>
      <w:r w:rsidRPr="00357D66">
        <w:rPr>
          <w:rFonts w:asciiTheme="majorBidi" w:hAnsiTheme="majorBidi" w:cstheme="majorBidi"/>
          <w:sz w:val="24"/>
          <w:szCs w:val="24"/>
        </w:rPr>
        <w:t xml:space="preserve">Using this model, a total of </w:t>
      </w:r>
      <w:r w:rsidR="004F7149" w:rsidRPr="00357D66">
        <w:rPr>
          <w:rFonts w:asciiTheme="majorBidi" w:hAnsiTheme="majorBidi" w:cstheme="majorBidi"/>
          <w:sz w:val="24"/>
          <w:szCs w:val="24"/>
        </w:rPr>
        <w:t>92</w:t>
      </w:r>
      <w:r w:rsidRPr="00357D66">
        <w:rPr>
          <w:rFonts w:asciiTheme="majorBidi" w:hAnsiTheme="majorBidi" w:cstheme="majorBidi"/>
          <w:sz w:val="24"/>
          <w:szCs w:val="24"/>
        </w:rPr>
        <w:t xml:space="preserve"> students</w:t>
      </w:r>
      <w:r w:rsidR="00D55831" w:rsidRPr="00357D66">
        <w:rPr>
          <w:rFonts w:asciiTheme="majorBidi" w:hAnsiTheme="majorBidi" w:cstheme="majorBidi"/>
          <w:sz w:val="24"/>
          <w:szCs w:val="24"/>
        </w:rPr>
        <w:t xml:space="preserve"> </w:t>
      </w:r>
      <w:proofErr w:type="gramStart"/>
      <w:r w:rsidR="00D55831" w:rsidRPr="00357D66">
        <w:rPr>
          <w:rFonts w:asciiTheme="majorBidi" w:hAnsiTheme="majorBidi" w:cstheme="majorBidi"/>
          <w:sz w:val="24"/>
          <w:szCs w:val="24"/>
        </w:rPr>
        <w:t>were</w:t>
      </w:r>
      <w:proofErr w:type="gramEnd"/>
      <w:r w:rsidR="00D55831" w:rsidRPr="00357D66">
        <w:rPr>
          <w:rFonts w:asciiTheme="majorBidi" w:hAnsiTheme="majorBidi" w:cstheme="majorBidi"/>
          <w:sz w:val="24"/>
          <w:szCs w:val="24"/>
        </w:rPr>
        <w:t xml:space="preserve"> </w:t>
      </w:r>
      <w:r w:rsidR="00E36F9E" w:rsidRPr="00357D66">
        <w:rPr>
          <w:rFonts w:asciiTheme="majorBidi" w:hAnsiTheme="majorBidi" w:cstheme="majorBidi"/>
          <w:sz w:val="24"/>
          <w:szCs w:val="24"/>
        </w:rPr>
        <w:t xml:space="preserve">initially </w:t>
      </w:r>
      <w:r w:rsidR="00D55831" w:rsidRPr="00357D66">
        <w:rPr>
          <w:rFonts w:asciiTheme="majorBidi" w:hAnsiTheme="majorBidi" w:cstheme="majorBidi"/>
          <w:sz w:val="24"/>
          <w:szCs w:val="24"/>
        </w:rPr>
        <w:t>selected for inclusion in the intervention:</w:t>
      </w:r>
      <w:r w:rsidRPr="00357D66">
        <w:rPr>
          <w:rFonts w:asciiTheme="majorBidi" w:hAnsiTheme="majorBidi" w:cstheme="majorBidi"/>
          <w:sz w:val="24"/>
          <w:szCs w:val="24"/>
        </w:rPr>
        <w:t xml:space="preserve"> 45</w:t>
      </w:r>
      <w:r w:rsidR="00D55831" w:rsidRPr="00357D66">
        <w:rPr>
          <w:rFonts w:asciiTheme="majorBidi" w:hAnsiTheme="majorBidi" w:cstheme="majorBidi"/>
          <w:sz w:val="24"/>
          <w:szCs w:val="24"/>
        </w:rPr>
        <w:t xml:space="preserve"> (from a total of 317 enrolled students)</w:t>
      </w:r>
      <w:r w:rsidRPr="00357D66">
        <w:rPr>
          <w:rFonts w:asciiTheme="majorBidi" w:hAnsiTheme="majorBidi" w:cstheme="majorBidi"/>
          <w:sz w:val="24"/>
          <w:szCs w:val="24"/>
        </w:rPr>
        <w:t xml:space="preserve"> in 2013</w:t>
      </w:r>
      <w:r w:rsidR="00D55831" w:rsidRPr="00357D66">
        <w:rPr>
          <w:rFonts w:asciiTheme="majorBidi" w:hAnsiTheme="majorBidi" w:cstheme="majorBidi"/>
          <w:sz w:val="24"/>
          <w:szCs w:val="24"/>
        </w:rPr>
        <w:t>;</w:t>
      </w:r>
      <w:r w:rsidRPr="00357D66">
        <w:rPr>
          <w:rFonts w:asciiTheme="majorBidi" w:hAnsiTheme="majorBidi" w:cstheme="majorBidi"/>
          <w:sz w:val="24"/>
          <w:szCs w:val="24"/>
        </w:rPr>
        <w:t xml:space="preserve"> and </w:t>
      </w:r>
      <w:r w:rsidR="00E30A48" w:rsidRPr="00357D66">
        <w:rPr>
          <w:rFonts w:asciiTheme="majorBidi" w:hAnsiTheme="majorBidi" w:cstheme="majorBidi"/>
          <w:sz w:val="24"/>
          <w:szCs w:val="24"/>
        </w:rPr>
        <w:t>47</w:t>
      </w:r>
      <w:r w:rsidR="00D55831" w:rsidRPr="00357D66">
        <w:rPr>
          <w:rFonts w:asciiTheme="majorBidi" w:hAnsiTheme="majorBidi" w:cstheme="majorBidi"/>
          <w:sz w:val="24"/>
          <w:szCs w:val="24"/>
        </w:rPr>
        <w:t xml:space="preserve"> (from a total of 307 enrolled students) in 2014</w:t>
      </w:r>
      <w:r w:rsidRPr="00357D66">
        <w:rPr>
          <w:rFonts w:asciiTheme="majorBidi" w:hAnsiTheme="majorBidi" w:cstheme="majorBidi"/>
          <w:sz w:val="24"/>
          <w:szCs w:val="24"/>
        </w:rPr>
        <w:t xml:space="preserve">. Table </w:t>
      </w:r>
      <w:r w:rsidR="004F7149" w:rsidRPr="00357D66">
        <w:rPr>
          <w:rFonts w:asciiTheme="majorBidi" w:hAnsiTheme="majorBidi" w:cstheme="majorBidi"/>
          <w:sz w:val="24"/>
          <w:szCs w:val="24"/>
        </w:rPr>
        <w:t>2</w:t>
      </w:r>
      <w:r w:rsidRPr="00357D66">
        <w:rPr>
          <w:rFonts w:asciiTheme="majorBidi" w:hAnsiTheme="majorBidi" w:cstheme="majorBidi"/>
          <w:sz w:val="24"/>
          <w:szCs w:val="24"/>
        </w:rPr>
        <w:t xml:space="preserve"> shows the distribution of the total sample by gender, ethnicity and </w:t>
      </w:r>
      <w:r w:rsidR="004F7149" w:rsidRPr="00357D66">
        <w:rPr>
          <w:rFonts w:asciiTheme="majorBidi" w:hAnsiTheme="majorBidi" w:cstheme="majorBidi"/>
          <w:sz w:val="24"/>
          <w:szCs w:val="24"/>
        </w:rPr>
        <w:t>domestic status</w:t>
      </w:r>
      <w:r w:rsidRPr="00357D66">
        <w:rPr>
          <w:rFonts w:asciiTheme="majorBidi" w:hAnsiTheme="majorBidi" w:cstheme="majorBidi"/>
          <w:sz w:val="24"/>
          <w:szCs w:val="24"/>
        </w:rPr>
        <w:t xml:space="preserve">. The distributions in Table </w:t>
      </w:r>
      <w:r w:rsidR="004F7149" w:rsidRPr="00357D66">
        <w:rPr>
          <w:rFonts w:asciiTheme="majorBidi" w:hAnsiTheme="majorBidi" w:cstheme="majorBidi"/>
          <w:sz w:val="24"/>
          <w:szCs w:val="24"/>
        </w:rPr>
        <w:t>2</w:t>
      </w:r>
      <w:r w:rsidRPr="00357D66">
        <w:rPr>
          <w:rFonts w:asciiTheme="majorBidi" w:hAnsiTheme="majorBidi" w:cstheme="majorBidi"/>
          <w:sz w:val="24"/>
          <w:szCs w:val="24"/>
        </w:rPr>
        <w:t xml:space="preserve"> show that there were</w:t>
      </w:r>
      <w:r w:rsidR="004F7149" w:rsidRPr="00357D66">
        <w:rPr>
          <w:rFonts w:asciiTheme="majorBidi" w:hAnsiTheme="majorBidi" w:cstheme="majorBidi"/>
          <w:sz w:val="24"/>
          <w:szCs w:val="24"/>
        </w:rPr>
        <w:t xml:space="preserve"> similar proportions of students by gender, ethnicity, and domestic status in each year of the sample. Table 3 shows the distribution of the sample by experimental group (Control, Treatment A, and Treatment B).</w:t>
      </w:r>
      <w:r w:rsidR="00D55831" w:rsidRPr="00357D66">
        <w:rPr>
          <w:rFonts w:asciiTheme="majorBidi" w:hAnsiTheme="majorBidi" w:cstheme="majorBidi"/>
          <w:sz w:val="24"/>
          <w:szCs w:val="24"/>
        </w:rPr>
        <w:t xml:space="preserve"> Slightly over a third of the sample, 35</w:t>
      </w:r>
      <w:proofErr w:type="gramStart"/>
      <w:r w:rsidR="00D55831" w:rsidRPr="00357D66">
        <w:rPr>
          <w:rFonts w:asciiTheme="majorBidi" w:hAnsiTheme="majorBidi" w:cstheme="majorBidi"/>
          <w:sz w:val="24"/>
          <w:szCs w:val="24"/>
        </w:rPr>
        <w:t>%,</w:t>
      </w:r>
      <w:proofErr w:type="gramEnd"/>
      <w:r w:rsidR="00D55831" w:rsidRPr="00357D66">
        <w:rPr>
          <w:rFonts w:asciiTheme="majorBidi" w:hAnsiTheme="majorBidi" w:cstheme="majorBidi"/>
          <w:sz w:val="24"/>
          <w:szCs w:val="24"/>
        </w:rPr>
        <w:t xml:space="preserve"> were in the control group, while the two treatment groups had approximately 33% of students each. </w:t>
      </w:r>
      <w:r w:rsidR="004F7149" w:rsidRPr="00357D66">
        <w:rPr>
          <w:rFonts w:asciiTheme="majorBidi" w:hAnsiTheme="majorBidi" w:cstheme="majorBidi"/>
          <w:sz w:val="24"/>
          <w:szCs w:val="24"/>
        </w:rPr>
        <w:t xml:space="preserve"> The experimental groups </w:t>
      </w:r>
      <w:r w:rsidR="00265495" w:rsidRPr="00357D66">
        <w:rPr>
          <w:rFonts w:asciiTheme="majorBidi" w:hAnsiTheme="majorBidi" w:cstheme="majorBidi"/>
          <w:sz w:val="24"/>
          <w:szCs w:val="24"/>
        </w:rPr>
        <w:t xml:space="preserve">were </w:t>
      </w:r>
      <w:r w:rsidR="004F7149" w:rsidRPr="00357D66">
        <w:rPr>
          <w:rFonts w:asciiTheme="majorBidi" w:hAnsiTheme="majorBidi" w:cstheme="majorBidi"/>
          <w:sz w:val="24"/>
          <w:szCs w:val="24"/>
        </w:rPr>
        <w:t>relatively well balanced by these characteristics, with no statistically significant differences between the groups on any of these characteristics.</w:t>
      </w:r>
      <w:r w:rsidR="004F7149" w:rsidRPr="00357D66">
        <w:rPr>
          <w:rStyle w:val="FootnoteReference"/>
          <w:rFonts w:asciiTheme="majorBidi" w:hAnsiTheme="majorBidi" w:cstheme="majorBidi"/>
          <w:sz w:val="24"/>
          <w:szCs w:val="24"/>
        </w:rPr>
        <w:footnoteReference w:id="2"/>
      </w:r>
      <w:r w:rsidRPr="00357D66">
        <w:rPr>
          <w:rFonts w:asciiTheme="majorBidi" w:hAnsiTheme="majorBidi" w:cstheme="majorBidi"/>
          <w:sz w:val="24"/>
          <w:szCs w:val="24"/>
        </w:rPr>
        <w:t xml:space="preserve"> </w:t>
      </w:r>
    </w:p>
    <w:p w14:paraId="4CC75CA0" w14:textId="77777777" w:rsidR="00E011EE" w:rsidRPr="00357D66" w:rsidRDefault="00E011EE" w:rsidP="00F50315">
      <w:pPr>
        <w:tabs>
          <w:tab w:val="left" w:pos="567"/>
        </w:tabs>
        <w:spacing w:after="0" w:line="288" w:lineRule="auto"/>
        <w:ind w:firstLine="720"/>
        <w:jc w:val="both"/>
        <w:rPr>
          <w:rFonts w:asciiTheme="majorBidi" w:hAnsiTheme="majorBidi" w:cstheme="majorBidi"/>
          <w:sz w:val="24"/>
          <w:szCs w:val="24"/>
        </w:rPr>
      </w:pPr>
    </w:p>
    <w:p w14:paraId="12DE5CB1" w14:textId="77777777" w:rsidR="004013B6" w:rsidRPr="004013B6" w:rsidRDefault="004013B6" w:rsidP="00870C48">
      <w:pPr>
        <w:pStyle w:val="Caption"/>
        <w:tabs>
          <w:tab w:val="left" w:pos="567"/>
        </w:tabs>
        <w:spacing w:after="60"/>
        <w:jc w:val="center"/>
        <w:rPr>
          <w:rFonts w:ascii="Times New Roman" w:hAnsi="Times New Roman" w:cs="Times New Roman"/>
          <w:iCs/>
          <w:sz w:val="22"/>
          <w:szCs w:val="22"/>
        </w:rPr>
      </w:pPr>
      <w:proofErr w:type="gramStart"/>
      <w:r w:rsidRPr="004013B6">
        <w:rPr>
          <w:rFonts w:ascii="Times New Roman" w:hAnsi="Times New Roman" w:cs="Times New Roman"/>
          <w:iCs/>
          <w:sz w:val="22"/>
          <w:szCs w:val="22"/>
        </w:rPr>
        <w:t>Table 2.</w:t>
      </w:r>
      <w:proofErr w:type="gramEnd"/>
      <w:r w:rsidRPr="004013B6">
        <w:rPr>
          <w:rFonts w:ascii="Times New Roman" w:hAnsi="Times New Roman" w:cs="Times New Roman"/>
          <w:iCs/>
          <w:sz w:val="22"/>
          <w:szCs w:val="22"/>
        </w:rPr>
        <w:t xml:space="preserve"> Selected Sample Descriptive Statistics</w:t>
      </w:r>
    </w:p>
    <w:tbl>
      <w:tblPr>
        <w:tblStyle w:val="TableGrid"/>
        <w:tblW w:w="932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959"/>
        <w:gridCol w:w="1134"/>
        <w:gridCol w:w="1134"/>
        <w:gridCol w:w="1134"/>
        <w:gridCol w:w="1134"/>
        <w:gridCol w:w="1134"/>
        <w:gridCol w:w="1559"/>
        <w:gridCol w:w="1134"/>
      </w:tblGrid>
      <w:tr w:rsidR="004013B6" w:rsidRPr="004013B6" w14:paraId="118D1407" w14:textId="77777777" w:rsidTr="00870C48">
        <w:tc>
          <w:tcPr>
            <w:tcW w:w="959" w:type="dxa"/>
            <w:vMerge w:val="restart"/>
          </w:tcPr>
          <w:p w14:paraId="7796A21A" w14:textId="77777777" w:rsidR="004013B6" w:rsidRPr="004013B6" w:rsidRDefault="004013B6" w:rsidP="00F50315">
            <w:pPr>
              <w:tabs>
                <w:tab w:val="left" w:pos="567"/>
              </w:tabs>
              <w:jc w:val="both"/>
              <w:rPr>
                <w:rFonts w:ascii="Times New Roman" w:hAnsi="Times New Roman" w:cs="Times New Roman"/>
              </w:rPr>
            </w:pPr>
            <w:r w:rsidRPr="004013B6">
              <w:rPr>
                <w:rFonts w:ascii="Times New Roman" w:hAnsi="Times New Roman" w:cs="Times New Roman"/>
              </w:rPr>
              <w:t>Year</w:t>
            </w:r>
          </w:p>
        </w:tc>
        <w:tc>
          <w:tcPr>
            <w:tcW w:w="2268" w:type="dxa"/>
            <w:gridSpan w:val="2"/>
            <w:tcBorders>
              <w:top w:val="single" w:sz="4" w:space="0" w:color="auto"/>
              <w:bottom w:val="nil"/>
            </w:tcBorders>
          </w:tcPr>
          <w:p w14:paraId="68D5BB4D" w14:textId="77777777" w:rsidR="004013B6" w:rsidRPr="004013B6" w:rsidRDefault="004013B6" w:rsidP="00870C48">
            <w:pPr>
              <w:tabs>
                <w:tab w:val="left" w:pos="567"/>
              </w:tabs>
              <w:jc w:val="center"/>
              <w:rPr>
                <w:rFonts w:ascii="Times New Roman" w:hAnsi="Times New Roman" w:cs="Times New Roman"/>
              </w:rPr>
            </w:pPr>
            <w:r w:rsidRPr="004013B6">
              <w:rPr>
                <w:rFonts w:ascii="Times New Roman" w:hAnsi="Times New Roman" w:cs="Times New Roman"/>
              </w:rPr>
              <w:t>Gender</w:t>
            </w:r>
          </w:p>
        </w:tc>
        <w:tc>
          <w:tcPr>
            <w:tcW w:w="2268" w:type="dxa"/>
            <w:gridSpan w:val="2"/>
            <w:tcBorders>
              <w:top w:val="single" w:sz="4" w:space="0" w:color="auto"/>
              <w:bottom w:val="nil"/>
            </w:tcBorders>
          </w:tcPr>
          <w:p w14:paraId="6A7F5C8D" w14:textId="77777777" w:rsidR="004013B6" w:rsidRPr="004013B6" w:rsidRDefault="004013B6" w:rsidP="00870C48">
            <w:pPr>
              <w:tabs>
                <w:tab w:val="left" w:pos="567"/>
              </w:tabs>
              <w:jc w:val="center"/>
              <w:rPr>
                <w:rFonts w:ascii="Times New Roman" w:hAnsi="Times New Roman" w:cs="Times New Roman"/>
              </w:rPr>
            </w:pPr>
            <w:r w:rsidRPr="004013B6">
              <w:rPr>
                <w:rFonts w:ascii="Times New Roman" w:hAnsi="Times New Roman" w:cs="Times New Roman"/>
              </w:rPr>
              <w:t>Ethnicity</w:t>
            </w:r>
          </w:p>
        </w:tc>
        <w:tc>
          <w:tcPr>
            <w:tcW w:w="2693" w:type="dxa"/>
            <w:gridSpan w:val="2"/>
            <w:tcBorders>
              <w:top w:val="single" w:sz="4" w:space="0" w:color="auto"/>
              <w:bottom w:val="nil"/>
            </w:tcBorders>
          </w:tcPr>
          <w:p w14:paraId="330E766C" w14:textId="77777777" w:rsidR="004013B6" w:rsidRPr="004013B6" w:rsidRDefault="004013B6" w:rsidP="00870C48">
            <w:pPr>
              <w:tabs>
                <w:tab w:val="left" w:pos="567"/>
              </w:tabs>
              <w:jc w:val="center"/>
              <w:rPr>
                <w:rFonts w:ascii="Times New Roman" w:hAnsi="Times New Roman" w:cs="Times New Roman"/>
              </w:rPr>
            </w:pPr>
            <w:r w:rsidRPr="004013B6">
              <w:rPr>
                <w:rFonts w:ascii="Times New Roman" w:hAnsi="Times New Roman" w:cs="Times New Roman"/>
              </w:rPr>
              <w:t>Origin</w:t>
            </w:r>
          </w:p>
        </w:tc>
        <w:tc>
          <w:tcPr>
            <w:tcW w:w="1134" w:type="dxa"/>
            <w:vMerge w:val="restart"/>
            <w:tcBorders>
              <w:top w:val="single" w:sz="4" w:space="0" w:color="auto"/>
              <w:bottom w:val="nil"/>
            </w:tcBorders>
          </w:tcPr>
          <w:p w14:paraId="4CE1E7F9" w14:textId="77777777" w:rsidR="004013B6" w:rsidRPr="004013B6" w:rsidRDefault="004013B6" w:rsidP="00F50315">
            <w:pPr>
              <w:tabs>
                <w:tab w:val="left" w:pos="567"/>
              </w:tabs>
              <w:jc w:val="both"/>
              <w:rPr>
                <w:rFonts w:ascii="Times New Roman" w:hAnsi="Times New Roman" w:cs="Times New Roman"/>
              </w:rPr>
            </w:pPr>
            <w:r w:rsidRPr="004013B6">
              <w:rPr>
                <w:rFonts w:ascii="Times New Roman" w:hAnsi="Times New Roman" w:cs="Times New Roman"/>
              </w:rPr>
              <w:t>Total</w:t>
            </w:r>
          </w:p>
        </w:tc>
      </w:tr>
      <w:tr w:rsidR="004013B6" w:rsidRPr="004013B6" w14:paraId="72552692" w14:textId="77777777" w:rsidTr="00870C48">
        <w:tc>
          <w:tcPr>
            <w:tcW w:w="959" w:type="dxa"/>
            <w:vMerge/>
            <w:tcBorders>
              <w:bottom w:val="nil"/>
            </w:tcBorders>
          </w:tcPr>
          <w:p w14:paraId="6C45F87A" w14:textId="77777777" w:rsidR="004013B6" w:rsidRPr="004013B6" w:rsidRDefault="004013B6" w:rsidP="00F50315">
            <w:pPr>
              <w:tabs>
                <w:tab w:val="left" w:pos="567"/>
              </w:tabs>
              <w:jc w:val="both"/>
              <w:rPr>
                <w:rFonts w:ascii="Times New Roman" w:hAnsi="Times New Roman" w:cs="Times New Roman"/>
              </w:rPr>
            </w:pPr>
          </w:p>
        </w:tc>
        <w:tc>
          <w:tcPr>
            <w:tcW w:w="1134" w:type="dxa"/>
            <w:tcBorders>
              <w:top w:val="nil"/>
              <w:bottom w:val="single" w:sz="4" w:space="0" w:color="auto"/>
            </w:tcBorders>
          </w:tcPr>
          <w:p w14:paraId="535A5967" w14:textId="77777777" w:rsidR="004013B6" w:rsidRPr="004013B6" w:rsidRDefault="004013B6" w:rsidP="00F50315">
            <w:pPr>
              <w:tabs>
                <w:tab w:val="left" w:pos="567"/>
              </w:tabs>
              <w:jc w:val="both"/>
              <w:rPr>
                <w:rFonts w:ascii="Times New Roman" w:hAnsi="Times New Roman" w:cs="Times New Roman"/>
              </w:rPr>
            </w:pPr>
            <w:r w:rsidRPr="004013B6">
              <w:rPr>
                <w:rFonts w:ascii="Times New Roman" w:hAnsi="Times New Roman" w:cs="Times New Roman"/>
              </w:rPr>
              <w:t>Male</w:t>
            </w:r>
          </w:p>
        </w:tc>
        <w:tc>
          <w:tcPr>
            <w:tcW w:w="1134" w:type="dxa"/>
            <w:tcBorders>
              <w:top w:val="nil"/>
              <w:bottom w:val="single" w:sz="4" w:space="0" w:color="auto"/>
            </w:tcBorders>
          </w:tcPr>
          <w:p w14:paraId="4C24B2A3" w14:textId="77777777" w:rsidR="004013B6" w:rsidRPr="004013B6" w:rsidRDefault="004013B6" w:rsidP="00F50315">
            <w:pPr>
              <w:tabs>
                <w:tab w:val="left" w:pos="567"/>
              </w:tabs>
              <w:jc w:val="both"/>
              <w:rPr>
                <w:rFonts w:ascii="Times New Roman" w:hAnsi="Times New Roman" w:cs="Times New Roman"/>
              </w:rPr>
            </w:pPr>
            <w:r w:rsidRPr="004013B6">
              <w:rPr>
                <w:rFonts w:ascii="Times New Roman" w:hAnsi="Times New Roman" w:cs="Times New Roman"/>
              </w:rPr>
              <w:t>Female</w:t>
            </w:r>
          </w:p>
        </w:tc>
        <w:tc>
          <w:tcPr>
            <w:tcW w:w="1134" w:type="dxa"/>
            <w:tcBorders>
              <w:top w:val="nil"/>
              <w:bottom w:val="single" w:sz="4" w:space="0" w:color="auto"/>
            </w:tcBorders>
          </w:tcPr>
          <w:p w14:paraId="36E5F879" w14:textId="77777777" w:rsidR="004013B6" w:rsidRPr="004013B6" w:rsidRDefault="004013B6" w:rsidP="00F50315">
            <w:pPr>
              <w:tabs>
                <w:tab w:val="left" w:pos="567"/>
              </w:tabs>
              <w:jc w:val="both"/>
              <w:rPr>
                <w:rFonts w:ascii="Times New Roman" w:hAnsi="Times New Roman" w:cs="Times New Roman"/>
              </w:rPr>
            </w:pPr>
            <w:r w:rsidRPr="004013B6">
              <w:rPr>
                <w:rFonts w:ascii="Times New Roman" w:hAnsi="Times New Roman" w:cs="Times New Roman"/>
              </w:rPr>
              <w:t>MPO</w:t>
            </w:r>
          </w:p>
        </w:tc>
        <w:tc>
          <w:tcPr>
            <w:tcW w:w="1134" w:type="dxa"/>
            <w:tcBorders>
              <w:top w:val="nil"/>
              <w:bottom w:val="single" w:sz="4" w:space="0" w:color="auto"/>
            </w:tcBorders>
          </w:tcPr>
          <w:p w14:paraId="2F7A0AF5" w14:textId="77777777" w:rsidR="004013B6" w:rsidRPr="004013B6" w:rsidRDefault="004013B6" w:rsidP="00F50315">
            <w:pPr>
              <w:tabs>
                <w:tab w:val="left" w:pos="567"/>
              </w:tabs>
              <w:jc w:val="both"/>
              <w:rPr>
                <w:rFonts w:ascii="Times New Roman" w:hAnsi="Times New Roman" w:cs="Times New Roman"/>
              </w:rPr>
            </w:pPr>
            <w:r w:rsidRPr="004013B6">
              <w:rPr>
                <w:rFonts w:ascii="Times New Roman" w:hAnsi="Times New Roman" w:cs="Times New Roman"/>
              </w:rPr>
              <w:t>EA</w:t>
            </w:r>
          </w:p>
        </w:tc>
        <w:tc>
          <w:tcPr>
            <w:tcW w:w="1134" w:type="dxa"/>
            <w:tcBorders>
              <w:top w:val="nil"/>
              <w:bottom w:val="single" w:sz="4" w:space="0" w:color="auto"/>
            </w:tcBorders>
          </w:tcPr>
          <w:p w14:paraId="78031A0A" w14:textId="77777777" w:rsidR="004013B6" w:rsidRPr="004013B6" w:rsidRDefault="004013B6" w:rsidP="00F50315">
            <w:pPr>
              <w:tabs>
                <w:tab w:val="left" w:pos="567"/>
              </w:tabs>
              <w:jc w:val="both"/>
              <w:rPr>
                <w:rFonts w:ascii="Times New Roman" w:hAnsi="Times New Roman" w:cs="Times New Roman"/>
              </w:rPr>
            </w:pPr>
            <w:r w:rsidRPr="004013B6">
              <w:rPr>
                <w:rFonts w:ascii="Times New Roman" w:hAnsi="Times New Roman" w:cs="Times New Roman"/>
              </w:rPr>
              <w:t>Domestic</w:t>
            </w:r>
          </w:p>
        </w:tc>
        <w:tc>
          <w:tcPr>
            <w:tcW w:w="1559" w:type="dxa"/>
            <w:tcBorders>
              <w:top w:val="nil"/>
              <w:bottom w:val="single" w:sz="4" w:space="0" w:color="auto"/>
            </w:tcBorders>
          </w:tcPr>
          <w:p w14:paraId="2A0AE4F3" w14:textId="77777777" w:rsidR="004013B6" w:rsidRPr="004013B6" w:rsidRDefault="004013B6" w:rsidP="00F50315">
            <w:pPr>
              <w:tabs>
                <w:tab w:val="left" w:pos="567"/>
              </w:tabs>
              <w:jc w:val="both"/>
              <w:rPr>
                <w:rFonts w:ascii="Times New Roman" w:hAnsi="Times New Roman" w:cs="Times New Roman"/>
              </w:rPr>
            </w:pPr>
            <w:r w:rsidRPr="004013B6">
              <w:rPr>
                <w:rFonts w:ascii="Times New Roman" w:hAnsi="Times New Roman" w:cs="Times New Roman"/>
              </w:rPr>
              <w:t>International</w:t>
            </w:r>
          </w:p>
        </w:tc>
        <w:tc>
          <w:tcPr>
            <w:tcW w:w="1134" w:type="dxa"/>
            <w:vMerge/>
            <w:tcBorders>
              <w:top w:val="nil"/>
              <w:bottom w:val="single" w:sz="4" w:space="0" w:color="auto"/>
            </w:tcBorders>
          </w:tcPr>
          <w:p w14:paraId="7EFE06BB" w14:textId="77777777" w:rsidR="004013B6" w:rsidRPr="004013B6" w:rsidRDefault="004013B6" w:rsidP="00F50315">
            <w:pPr>
              <w:tabs>
                <w:tab w:val="left" w:pos="567"/>
              </w:tabs>
              <w:jc w:val="both"/>
              <w:rPr>
                <w:rFonts w:ascii="Times New Roman" w:hAnsi="Times New Roman" w:cs="Times New Roman"/>
              </w:rPr>
            </w:pPr>
          </w:p>
        </w:tc>
      </w:tr>
      <w:tr w:rsidR="004013B6" w:rsidRPr="004013B6" w14:paraId="1A5D1688" w14:textId="77777777" w:rsidTr="00870C48">
        <w:tc>
          <w:tcPr>
            <w:tcW w:w="959" w:type="dxa"/>
            <w:tcBorders>
              <w:top w:val="nil"/>
              <w:bottom w:val="nil"/>
            </w:tcBorders>
          </w:tcPr>
          <w:p w14:paraId="47B5ABCB" w14:textId="77777777" w:rsidR="004013B6" w:rsidRPr="004013B6" w:rsidRDefault="004013B6" w:rsidP="00F50315">
            <w:pPr>
              <w:tabs>
                <w:tab w:val="left" w:pos="567"/>
              </w:tabs>
              <w:jc w:val="both"/>
              <w:rPr>
                <w:rFonts w:ascii="Times New Roman" w:hAnsi="Times New Roman" w:cs="Times New Roman"/>
              </w:rPr>
            </w:pPr>
            <w:r w:rsidRPr="004013B6">
              <w:rPr>
                <w:rFonts w:ascii="Times New Roman" w:hAnsi="Times New Roman" w:cs="Times New Roman"/>
              </w:rPr>
              <w:t>2013</w:t>
            </w:r>
          </w:p>
        </w:tc>
        <w:tc>
          <w:tcPr>
            <w:tcW w:w="1134" w:type="dxa"/>
            <w:tcBorders>
              <w:top w:val="single" w:sz="4" w:space="0" w:color="auto"/>
              <w:bottom w:val="nil"/>
            </w:tcBorders>
          </w:tcPr>
          <w:p w14:paraId="1F8C7539" w14:textId="77777777" w:rsidR="004013B6" w:rsidRPr="004013B6" w:rsidRDefault="004013B6" w:rsidP="00F50315">
            <w:pPr>
              <w:tabs>
                <w:tab w:val="left" w:pos="567"/>
              </w:tabs>
              <w:jc w:val="both"/>
              <w:rPr>
                <w:rFonts w:ascii="Times New Roman" w:hAnsi="Times New Roman" w:cs="Times New Roman"/>
              </w:rPr>
            </w:pPr>
            <w:r w:rsidRPr="004013B6">
              <w:rPr>
                <w:rFonts w:ascii="Times New Roman" w:hAnsi="Times New Roman" w:cs="Times New Roman"/>
              </w:rPr>
              <w:t>25</w:t>
            </w:r>
          </w:p>
        </w:tc>
        <w:tc>
          <w:tcPr>
            <w:tcW w:w="1134" w:type="dxa"/>
            <w:tcBorders>
              <w:top w:val="single" w:sz="4" w:space="0" w:color="auto"/>
              <w:bottom w:val="nil"/>
            </w:tcBorders>
          </w:tcPr>
          <w:p w14:paraId="6A79C374" w14:textId="77777777" w:rsidR="004013B6" w:rsidRPr="004013B6" w:rsidRDefault="004013B6" w:rsidP="00F50315">
            <w:pPr>
              <w:tabs>
                <w:tab w:val="left" w:pos="567"/>
              </w:tabs>
              <w:jc w:val="both"/>
              <w:rPr>
                <w:rFonts w:ascii="Times New Roman" w:hAnsi="Times New Roman" w:cs="Times New Roman"/>
              </w:rPr>
            </w:pPr>
            <w:r w:rsidRPr="004013B6">
              <w:rPr>
                <w:rFonts w:ascii="Times New Roman" w:hAnsi="Times New Roman" w:cs="Times New Roman"/>
              </w:rPr>
              <w:t>20</w:t>
            </w:r>
          </w:p>
        </w:tc>
        <w:tc>
          <w:tcPr>
            <w:tcW w:w="1134" w:type="dxa"/>
            <w:tcBorders>
              <w:top w:val="single" w:sz="4" w:space="0" w:color="auto"/>
              <w:bottom w:val="nil"/>
            </w:tcBorders>
          </w:tcPr>
          <w:p w14:paraId="5C4C1860" w14:textId="77777777" w:rsidR="004013B6" w:rsidRPr="004013B6" w:rsidRDefault="004013B6" w:rsidP="00F50315">
            <w:pPr>
              <w:tabs>
                <w:tab w:val="left" w:pos="567"/>
              </w:tabs>
              <w:jc w:val="both"/>
              <w:rPr>
                <w:rFonts w:ascii="Times New Roman" w:hAnsi="Times New Roman" w:cs="Times New Roman"/>
              </w:rPr>
            </w:pPr>
            <w:r w:rsidRPr="004013B6">
              <w:rPr>
                <w:rFonts w:ascii="Times New Roman" w:hAnsi="Times New Roman" w:cs="Times New Roman"/>
              </w:rPr>
              <w:t>15</w:t>
            </w:r>
          </w:p>
        </w:tc>
        <w:tc>
          <w:tcPr>
            <w:tcW w:w="1134" w:type="dxa"/>
            <w:tcBorders>
              <w:top w:val="single" w:sz="4" w:space="0" w:color="auto"/>
              <w:bottom w:val="nil"/>
            </w:tcBorders>
          </w:tcPr>
          <w:p w14:paraId="6E4FEF8B" w14:textId="77777777" w:rsidR="004013B6" w:rsidRPr="004013B6" w:rsidRDefault="004013B6" w:rsidP="00F50315">
            <w:pPr>
              <w:tabs>
                <w:tab w:val="left" w:pos="567"/>
              </w:tabs>
              <w:jc w:val="both"/>
              <w:rPr>
                <w:rFonts w:ascii="Times New Roman" w:hAnsi="Times New Roman" w:cs="Times New Roman"/>
              </w:rPr>
            </w:pPr>
            <w:r w:rsidRPr="004013B6">
              <w:rPr>
                <w:rFonts w:ascii="Times New Roman" w:hAnsi="Times New Roman" w:cs="Times New Roman"/>
              </w:rPr>
              <w:t>30</w:t>
            </w:r>
          </w:p>
        </w:tc>
        <w:tc>
          <w:tcPr>
            <w:tcW w:w="1134" w:type="dxa"/>
            <w:tcBorders>
              <w:top w:val="single" w:sz="4" w:space="0" w:color="auto"/>
              <w:bottom w:val="nil"/>
            </w:tcBorders>
          </w:tcPr>
          <w:p w14:paraId="0BA58B14" w14:textId="77777777" w:rsidR="004013B6" w:rsidRPr="004013B6" w:rsidRDefault="004013B6" w:rsidP="00870C48">
            <w:pPr>
              <w:tabs>
                <w:tab w:val="left" w:pos="567"/>
              </w:tabs>
              <w:jc w:val="center"/>
              <w:rPr>
                <w:rFonts w:ascii="Times New Roman" w:hAnsi="Times New Roman" w:cs="Times New Roman"/>
              </w:rPr>
            </w:pPr>
            <w:r w:rsidRPr="004013B6">
              <w:rPr>
                <w:rFonts w:ascii="Times New Roman" w:hAnsi="Times New Roman" w:cs="Times New Roman"/>
              </w:rPr>
              <w:t>39</w:t>
            </w:r>
          </w:p>
        </w:tc>
        <w:tc>
          <w:tcPr>
            <w:tcW w:w="1559" w:type="dxa"/>
            <w:tcBorders>
              <w:top w:val="single" w:sz="4" w:space="0" w:color="auto"/>
              <w:bottom w:val="nil"/>
            </w:tcBorders>
          </w:tcPr>
          <w:p w14:paraId="68D5412D" w14:textId="77777777" w:rsidR="004013B6" w:rsidRPr="004013B6" w:rsidRDefault="004013B6" w:rsidP="00870C48">
            <w:pPr>
              <w:tabs>
                <w:tab w:val="left" w:pos="567"/>
              </w:tabs>
              <w:jc w:val="center"/>
              <w:rPr>
                <w:rFonts w:ascii="Times New Roman" w:hAnsi="Times New Roman" w:cs="Times New Roman"/>
              </w:rPr>
            </w:pPr>
            <w:r w:rsidRPr="004013B6">
              <w:rPr>
                <w:rFonts w:ascii="Times New Roman" w:hAnsi="Times New Roman" w:cs="Times New Roman"/>
              </w:rPr>
              <w:t>6</w:t>
            </w:r>
          </w:p>
        </w:tc>
        <w:tc>
          <w:tcPr>
            <w:tcW w:w="1134" w:type="dxa"/>
            <w:tcBorders>
              <w:top w:val="single" w:sz="4" w:space="0" w:color="auto"/>
              <w:bottom w:val="nil"/>
            </w:tcBorders>
          </w:tcPr>
          <w:p w14:paraId="58323D0E" w14:textId="77777777" w:rsidR="004013B6" w:rsidRPr="004013B6" w:rsidRDefault="004013B6" w:rsidP="00870C48">
            <w:pPr>
              <w:tabs>
                <w:tab w:val="left" w:pos="567"/>
              </w:tabs>
              <w:jc w:val="center"/>
              <w:rPr>
                <w:rFonts w:ascii="Times New Roman" w:hAnsi="Times New Roman" w:cs="Times New Roman"/>
              </w:rPr>
            </w:pPr>
            <w:r w:rsidRPr="004013B6">
              <w:rPr>
                <w:rFonts w:ascii="Times New Roman" w:hAnsi="Times New Roman" w:cs="Times New Roman"/>
              </w:rPr>
              <w:t>45</w:t>
            </w:r>
          </w:p>
        </w:tc>
      </w:tr>
      <w:tr w:rsidR="004013B6" w:rsidRPr="004013B6" w14:paraId="653FC518" w14:textId="77777777" w:rsidTr="00870C48">
        <w:tc>
          <w:tcPr>
            <w:tcW w:w="959" w:type="dxa"/>
            <w:tcBorders>
              <w:top w:val="nil"/>
              <w:bottom w:val="nil"/>
            </w:tcBorders>
          </w:tcPr>
          <w:p w14:paraId="00362E16" w14:textId="77777777" w:rsidR="004013B6" w:rsidRPr="004013B6" w:rsidRDefault="004013B6" w:rsidP="00F50315">
            <w:pPr>
              <w:tabs>
                <w:tab w:val="left" w:pos="567"/>
              </w:tabs>
              <w:jc w:val="both"/>
              <w:rPr>
                <w:rFonts w:ascii="Times New Roman" w:hAnsi="Times New Roman" w:cs="Times New Roman"/>
              </w:rPr>
            </w:pPr>
            <w:r w:rsidRPr="004013B6">
              <w:rPr>
                <w:rFonts w:ascii="Times New Roman" w:hAnsi="Times New Roman" w:cs="Times New Roman"/>
              </w:rPr>
              <w:t>2014</w:t>
            </w:r>
          </w:p>
        </w:tc>
        <w:tc>
          <w:tcPr>
            <w:tcW w:w="1134" w:type="dxa"/>
            <w:tcBorders>
              <w:top w:val="nil"/>
              <w:bottom w:val="nil"/>
            </w:tcBorders>
          </w:tcPr>
          <w:p w14:paraId="3992AAD4" w14:textId="77777777" w:rsidR="004013B6" w:rsidRPr="004013B6" w:rsidRDefault="004013B6" w:rsidP="00F50315">
            <w:pPr>
              <w:tabs>
                <w:tab w:val="left" w:pos="567"/>
              </w:tabs>
              <w:jc w:val="both"/>
              <w:rPr>
                <w:rFonts w:ascii="Times New Roman" w:hAnsi="Times New Roman" w:cs="Times New Roman"/>
              </w:rPr>
            </w:pPr>
            <w:r w:rsidRPr="004013B6">
              <w:rPr>
                <w:rFonts w:ascii="Times New Roman" w:hAnsi="Times New Roman" w:cs="Times New Roman"/>
              </w:rPr>
              <w:t>22</w:t>
            </w:r>
          </w:p>
        </w:tc>
        <w:tc>
          <w:tcPr>
            <w:tcW w:w="1134" w:type="dxa"/>
            <w:tcBorders>
              <w:top w:val="nil"/>
              <w:bottom w:val="nil"/>
            </w:tcBorders>
          </w:tcPr>
          <w:p w14:paraId="4AB060A2" w14:textId="77777777" w:rsidR="004013B6" w:rsidRPr="004013B6" w:rsidRDefault="004013B6" w:rsidP="00F50315">
            <w:pPr>
              <w:tabs>
                <w:tab w:val="left" w:pos="567"/>
              </w:tabs>
              <w:jc w:val="both"/>
              <w:rPr>
                <w:rFonts w:ascii="Times New Roman" w:hAnsi="Times New Roman" w:cs="Times New Roman"/>
              </w:rPr>
            </w:pPr>
            <w:r w:rsidRPr="004013B6">
              <w:rPr>
                <w:rFonts w:ascii="Times New Roman" w:hAnsi="Times New Roman" w:cs="Times New Roman"/>
              </w:rPr>
              <w:t>25</w:t>
            </w:r>
          </w:p>
        </w:tc>
        <w:tc>
          <w:tcPr>
            <w:tcW w:w="1134" w:type="dxa"/>
            <w:tcBorders>
              <w:top w:val="nil"/>
              <w:bottom w:val="nil"/>
            </w:tcBorders>
          </w:tcPr>
          <w:p w14:paraId="6B77F201" w14:textId="77777777" w:rsidR="004013B6" w:rsidRPr="004013B6" w:rsidRDefault="004013B6" w:rsidP="00F50315">
            <w:pPr>
              <w:tabs>
                <w:tab w:val="left" w:pos="567"/>
              </w:tabs>
              <w:jc w:val="both"/>
              <w:rPr>
                <w:rFonts w:ascii="Times New Roman" w:hAnsi="Times New Roman" w:cs="Times New Roman"/>
              </w:rPr>
            </w:pPr>
            <w:r w:rsidRPr="004013B6">
              <w:rPr>
                <w:rFonts w:ascii="Times New Roman" w:hAnsi="Times New Roman" w:cs="Times New Roman"/>
              </w:rPr>
              <w:t>19</w:t>
            </w:r>
          </w:p>
        </w:tc>
        <w:tc>
          <w:tcPr>
            <w:tcW w:w="1134" w:type="dxa"/>
            <w:tcBorders>
              <w:top w:val="nil"/>
              <w:bottom w:val="nil"/>
            </w:tcBorders>
          </w:tcPr>
          <w:p w14:paraId="738BF151" w14:textId="77777777" w:rsidR="004013B6" w:rsidRPr="004013B6" w:rsidRDefault="004013B6" w:rsidP="00F50315">
            <w:pPr>
              <w:tabs>
                <w:tab w:val="left" w:pos="567"/>
              </w:tabs>
              <w:jc w:val="both"/>
              <w:rPr>
                <w:rFonts w:ascii="Times New Roman" w:hAnsi="Times New Roman" w:cs="Times New Roman"/>
              </w:rPr>
            </w:pPr>
            <w:r w:rsidRPr="004013B6">
              <w:rPr>
                <w:rFonts w:ascii="Times New Roman" w:hAnsi="Times New Roman" w:cs="Times New Roman"/>
              </w:rPr>
              <w:t>28</w:t>
            </w:r>
          </w:p>
        </w:tc>
        <w:tc>
          <w:tcPr>
            <w:tcW w:w="1134" w:type="dxa"/>
            <w:tcBorders>
              <w:top w:val="nil"/>
              <w:bottom w:val="nil"/>
            </w:tcBorders>
          </w:tcPr>
          <w:p w14:paraId="5AB5B246" w14:textId="77777777" w:rsidR="004013B6" w:rsidRPr="004013B6" w:rsidRDefault="004013B6" w:rsidP="00870C48">
            <w:pPr>
              <w:tabs>
                <w:tab w:val="left" w:pos="567"/>
              </w:tabs>
              <w:jc w:val="center"/>
              <w:rPr>
                <w:rFonts w:ascii="Times New Roman" w:hAnsi="Times New Roman" w:cs="Times New Roman"/>
              </w:rPr>
            </w:pPr>
            <w:r w:rsidRPr="004013B6">
              <w:rPr>
                <w:rFonts w:ascii="Times New Roman" w:hAnsi="Times New Roman" w:cs="Times New Roman"/>
              </w:rPr>
              <w:t>39</w:t>
            </w:r>
          </w:p>
        </w:tc>
        <w:tc>
          <w:tcPr>
            <w:tcW w:w="1559" w:type="dxa"/>
            <w:tcBorders>
              <w:top w:val="nil"/>
              <w:bottom w:val="nil"/>
            </w:tcBorders>
          </w:tcPr>
          <w:p w14:paraId="07851F65" w14:textId="77777777" w:rsidR="004013B6" w:rsidRPr="004013B6" w:rsidRDefault="004013B6" w:rsidP="00870C48">
            <w:pPr>
              <w:tabs>
                <w:tab w:val="left" w:pos="567"/>
              </w:tabs>
              <w:jc w:val="center"/>
              <w:rPr>
                <w:rFonts w:ascii="Times New Roman" w:hAnsi="Times New Roman" w:cs="Times New Roman"/>
              </w:rPr>
            </w:pPr>
            <w:r w:rsidRPr="004013B6">
              <w:rPr>
                <w:rFonts w:ascii="Times New Roman" w:hAnsi="Times New Roman" w:cs="Times New Roman"/>
              </w:rPr>
              <w:t>8</w:t>
            </w:r>
          </w:p>
        </w:tc>
        <w:tc>
          <w:tcPr>
            <w:tcW w:w="1134" w:type="dxa"/>
            <w:tcBorders>
              <w:top w:val="nil"/>
              <w:bottom w:val="nil"/>
            </w:tcBorders>
          </w:tcPr>
          <w:p w14:paraId="191211C0" w14:textId="77777777" w:rsidR="004013B6" w:rsidRPr="004013B6" w:rsidRDefault="004013B6" w:rsidP="00870C48">
            <w:pPr>
              <w:tabs>
                <w:tab w:val="left" w:pos="567"/>
              </w:tabs>
              <w:jc w:val="center"/>
              <w:rPr>
                <w:rFonts w:ascii="Times New Roman" w:hAnsi="Times New Roman" w:cs="Times New Roman"/>
              </w:rPr>
            </w:pPr>
            <w:r w:rsidRPr="004013B6">
              <w:rPr>
                <w:rFonts w:ascii="Times New Roman" w:hAnsi="Times New Roman" w:cs="Times New Roman"/>
              </w:rPr>
              <w:t>47</w:t>
            </w:r>
          </w:p>
        </w:tc>
      </w:tr>
      <w:tr w:rsidR="004013B6" w:rsidRPr="004013B6" w14:paraId="58A002DD" w14:textId="77777777" w:rsidTr="00870C48">
        <w:tc>
          <w:tcPr>
            <w:tcW w:w="959" w:type="dxa"/>
            <w:tcBorders>
              <w:top w:val="nil"/>
            </w:tcBorders>
          </w:tcPr>
          <w:p w14:paraId="5A791B75" w14:textId="77777777" w:rsidR="004013B6" w:rsidRPr="004013B6" w:rsidRDefault="004013B6" w:rsidP="00F50315">
            <w:pPr>
              <w:tabs>
                <w:tab w:val="left" w:pos="567"/>
              </w:tabs>
              <w:jc w:val="both"/>
              <w:rPr>
                <w:rFonts w:ascii="Times New Roman" w:hAnsi="Times New Roman" w:cs="Times New Roman"/>
              </w:rPr>
            </w:pPr>
            <w:r w:rsidRPr="004013B6">
              <w:rPr>
                <w:rFonts w:ascii="Times New Roman" w:hAnsi="Times New Roman" w:cs="Times New Roman"/>
              </w:rPr>
              <w:t>Total</w:t>
            </w:r>
          </w:p>
        </w:tc>
        <w:tc>
          <w:tcPr>
            <w:tcW w:w="1134" w:type="dxa"/>
            <w:tcBorders>
              <w:top w:val="nil"/>
            </w:tcBorders>
          </w:tcPr>
          <w:p w14:paraId="731F4D5D" w14:textId="77777777" w:rsidR="004013B6" w:rsidRPr="004013B6" w:rsidRDefault="004013B6" w:rsidP="00F50315">
            <w:pPr>
              <w:tabs>
                <w:tab w:val="left" w:pos="567"/>
              </w:tabs>
              <w:jc w:val="both"/>
              <w:rPr>
                <w:rFonts w:ascii="Times New Roman" w:hAnsi="Times New Roman" w:cs="Times New Roman"/>
              </w:rPr>
            </w:pPr>
            <w:r w:rsidRPr="004013B6">
              <w:rPr>
                <w:rFonts w:ascii="Times New Roman" w:hAnsi="Times New Roman" w:cs="Times New Roman"/>
              </w:rPr>
              <w:t>47</w:t>
            </w:r>
          </w:p>
        </w:tc>
        <w:tc>
          <w:tcPr>
            <w:tcW w:w="1134" w:type="dxa"/>
            <w:tcBorders>
              <w:top w:val="nil"/>
            </w:tcBorders>
          </w:tcPr>
          <w:p w14:paraId="12E7DE47" w14:textId="77777777" w:rsidR="004013B6" w:rsidRPr="004013B6" w:rsidRDefault="004013B6" w:rsidP="00F50315">
            <w:pPr>
              <w:tabs>
                <w:tab w:val="left" w:pos="567"/>
              </w:tabs>
              <w:jc w:val="both"/>
              <w:rPr>
                <w:rFonts w:ascii="Times New Roman" w:hAnsi="Times New Roman" w:cs="Times New Roman"/>
              </w:rPr>
            </w:pPr>
            <w:r w:rsidRPr="004013B6">
              <w:rPr>
                <w:rFonts w:ascii="Times New Roman" w:hAnsi="Times New Roman" w:cs="Times New Roman"/>
              </w:rPr>
              <w:t>45</w:t>
            </w:r>
          </w:p>
        </w:tc>
        <w:tc>
          <w:tcPr>
            <w:tcW w:w="1134" w:type="dxa"/>
            <w:tcBorders>
              <w:top w:val="nil"/>
            </w:tcBorders>
          </w:tcPr>
          <w:p w14:paraId="6446F613" w14:textId="77777777" w:rsidR="004013B6" w:rsidRPr="004013B6" w:rsidRDefault="004013B6" w:rsidP="00F50315">
            <w:pPr>
              <w:tabs>
                <w:tab w:val="left" w:pos="567"/>
              </w:tabs>
              <w:jc w:val="both"/>
              <w:rPr>
                <w:rFonts w:ascii="Times New Roman" w:hAnsi="Times New Roman" w:cs="Times New Roman"/>
              </w:rPr>
            </w:pPr>
            <w:r w:rsidRPr="004013B6">
              <w:rPr>
                <w:rFonts w:ascii="Times New Roman" w:hAnsi="Times New Roman" w:cs="Times New Roman"/>
              </w:rPr>
              <w:t>34</w:t>
            </w:r>
          </w:p>
        </w:tc>
        <w:tc>
          <w:tcPr>
            <w:tcW w:w="1134" w:type="dxa"/>
            <w:tcBorders>
              <w:top w:val="nil"/>
            </w:tcBorders>
          </w:tcPr>
          <w:p w14:paraId="115B1E28" w14:textId="77777777" w:rsidR="004013B6" w:rsidRPr="004013B6" w:rsidRDefault="004013B6" w:rsidP="00F50315">
            <w:pPr>
              <w:tabs>
                <w:tab w:val="left" w:pos="567"/>
              </w:tabs>
              <w:jc w:val="both"/>
              <w:rPr>
                <w:rFonts w:ascii="Times New Roman" w:hAnsi="Times New Roman" w:cs="Times New Roman"/>
              </w:rPr>
            </w:pPr>
            <w:r w:rsidRPr="004013B6">
              <w:rPr>
                <w:rFonts w:ascii="Times New Roman" w:hAnsi="Times New Roman" w:cs="Times New Roman"/>
              </w:rPr>
              <w:t>58</w:t>
            </w:r>
          </w:p>
        </w:tc>
        <w:tc>
          <w:tcPr>
            <w:tcW w:w="1134" w:type="dxa"/>
            <w:tcBorders>
              <w:top w:val="nil"/>
            </w:tcBorders>
          </w:tcPr>
          <w:p w14:paraId="6FA0A38B" w14:textId="77777777" w:rsidR="004013B6" w:rsidRPr="004013B6" w:rsidRDefault="004013B6" w:rsidP="00870C48">
            <w:pPr>
              <w:tabs>
                <w:tab w:val="left" w:pos="567"/>
              </w:tabs>
              <w:jc w:val="center"/>
              <w:rPr>
                <w:rFonts w:ascii="Times New Roman" w:hAnsi="Times New Roman" w:cs="Times New Roman"/>
              </w:rPr>
            </w:pPr>
            <w:r w:rsidRPr="004013B6">
              <w:rPr>
                <w:rFonts w:ascii="Times New Roman" w:hAnsi="Times New Roman" w:cs="Times New Roman"/>
              </w:rPr>
              <w:t>78</w:t>
            </w:r>
          </w:p>
        </w:tc>
        <w:tc>
          <w:tcPr>
            <w:tcW w:w="1559" w:type="dxa"/>
            <w:tcBorders>
              <w:top w:val="nil"/>
            </w:tcBorders>
          </w:tcPr>
          <w:p w14:paraId="00AF027D" w14:textId="77777777" w:rsidR="004013B6" w:rsidRPr="004013B6" w:rsidRDefault="004013B6" w:rsidP="00870C48">
            <w:pPr>
              <w:tabs>
                <w:tab w:val="left" w:pos="567"/>
              </w:tabs>
              <w:jc w:val="center"/>
              <w:rPr>
                <w:rFonts w:ascii="Times New Roman" w:hAnsi="Times New Roman" w:cs="Times New Roman"/>
              </w:rPr>
            </w:pPr>
            <w:r w:rsidRPr="004013B6">
              <w:rPr>
                <w:rFonts w:ascii="Times New Roman" w:hAnsi="Times New Roman" w:cs="Times New Roman"/>
              </w:rPr>
              <w:t>14</w:t>
            </w:r>
          </w:p>
        </w:tc>
        <w:tc>
          <w:tcPr>
            <w:tcW w:w="1134" w:type="dxa"/>
            <w:tcBorders>
              <w:top w:val="nil"/>
            </w:tcBorders>
          </w:tcPr>
          <w:p w14:paraId="54FF139B" w14:textId="77777777" w:rsidR="004013B6" w:rsidRPr="004013B6" w:rsidRDefault="004013B6" w:rsidP="00870C48">
            <w:pPr>
              <w:tabs>
                <w:tab w:val="left" w:pos="567"/>
              </w:tabs>
              <w:jc w:val="center"/>
              <w:rPr>
                <w:rFonts w:ascii="Times New Roman" w:hAnsi="Times New Roman" w:cs="Times New Roman"/>
              </w:rPr>
            </w:pPr>
            <w:r w:rsidRPr="004013B6">
              <w:rPr>
                <w:rFonts w:ascii="Times New Roman" w:hAnsi="Times New Roman" w:cs="Times New Roman"/>
              </w:rPr>
              <w:t>92</w:t>
            </w:r>
          </w:p>
        </w:tc>
      </w:tr>
    </w:tbl>
    <w:p w14:paraId="0D9AD0A0" w14:textId="77777777" w:rsidR="004013B6" w:rsidRPr="00870C48" w:rsidRDefault="004013B6" w:rsidP="00F50315">
      <w:pPr>
        <w:tabs>
          <w:tab w:val="left" w:pos="567"/>
        </w:tabs>
        <w:spacing w:after="0" w:line="240" w:lineRule="auto"/>
        <w:jc w:val="both"/>
        <w:rPr>
          <w:rFonts w:ascii="Times New Roman" w:hAnsi="Times New Roman" w:cs="Times New Roman"/>
          <w:sz w:val="20"/>
          <w:szCs w:val="20"/>
        </w:rPr>
      </w:pPr>
      <w:r w:rsidRPr="00870C48">
        <w:rPr>
          <w:rFonts w:ascii="Times New Roman" w:hAnsi="Times New Roman" w:cs="Times New Roman"/>
          <w:sz w:val="20"/>
          <w:szCs w:val="20"/>
        </w:rPr>
        <w:t>MPO = Maori, Pacific Island or Other ethnicity; EA = NZ European or Asian</w:t>
      </w:r>
    </w:p>
    <w:p w14:paraId="074232AA" w14:textId="77777777" w:rsidR="004013B6" w:rsidRDefault="004013B6" w:rsidP="00F50315">
      <w:pPr>
        <w:tabs>
          <w:tab w:val="left" w:pos="567"/>
        </w:tabs>
        <w:spacing w:after="0" w:line="240" w:lineRule="auto"/>
        <w:jc w:val="both"/>
        <w:rPr>
          <w:rFonts w:ascii="Times New Roman" w:hAnsi="Times New Roman" w:cs="Times New Roman"/>
        </w:rPr>
      </w:pPr>
    </w:p>
    <w:p w14:paraId="036A3D46" w14:textId="77777777" w:rsidR="00870C48" w:rsidRPr="004013B6" w:rsidRDefault="00870C48" w:rsidP="00F50315">
      <w:pPr>
        <w:tabs>
          <w:tab w:val="left" w:pos="567"/>
        </w:tabs>
        <w:spacing w:after="0" w:line="240" w:lineRule="auto"/>
        <w:jc w:val="both"/>
        <w:rPr>
          <w:rFonts w:ascii="Times New Roman" w:hAnsi="Times New Roman" w:cs="Times New Roman"/>
        </w:rPr>
      </w:pPr>
    </w:p>
    <w:p w14:paraId="119E6180" w14:textId="74CEB56F" w:rsidR="004013B6" w:rsidRPr="004013B6" w:rsidRDefault="004013B6" w:rsidP="00870C48">
      <w:pPr>
        <w:pStyle w:val="Caption"/>
        <w:keepNext/>
        <w:tabs>
          <w:tab w:val="left" w:pos="567"/>
        </w:tabs>
        <w:spacing w:before="60" w:after="60"/>
        <w:jc w:val="center"/>
        <w:rPr>
          <w:rFonts w:ascii="Times New Roman" w:hAnsi="Times New Roman" w:cs="Times New Roman"/>
          <w:iCs/>
          <w:sz w:val="22"/>
          <w:szCs w:val="22"/>
        </w:rPr>
      </w:pPr>
      <w:proofErr w:type="gramStart"/>
      <w:r w:rsidRPr="004013B6">
        <w:rPr>
          <w:rFonts w:ascii="Times New Roman" w:hAnsi="Times New Roman" w:cs="Times New Roman"/>
          <w:iCs/>
          <w:sz w:val="22"/>
          <w:szCs w:val="22"/>
        </w:rPr>
        <w:t>Table 3.</w:t>
      </w:r>
      <w:proofErr w:type="gramEnd"/>
      <w:r w:rsidRPr="004013B6">
        <w:rPr>
          <w:rFonts w:ascii="Times New Roman" w:hAnsi="Times New Roman" w:cs="Times New Roman"/>
          <w:iCs/>
          <w:sz w:val="22"/>
          <w:szCs w:val="22"/>
        </w:rPr>
        <w:t xml:space="preserve"> Treatment Group Allocation by Year, Gender, E</w:t>
      </w:r>
      <w:r w:rsidR="00870C48">
        <w:rPr>
          <w:rFonts w:ascii="Times New Roman" w:hAnsi="Times New Roman" w:cs="Times New Roman"/>
          <w:iCs/>
          <w:sz w:val="22"/>
          <w:szCs w:val="22"/>
        </w:rPr>
        <w:t>thnic Grouping</w:t>
      </w:r>
      <w:r w:rsidRPr="004013B6">
        <w:rPr>
          <w:rFonts w:ascii="Times New Roman" w:hAnsi="Times New Roman" w:cs="Times New Roman"/>
          <w:iCs/>
          <w:sz w:val="22"/>
          <w:szCs w:val="22"/>
        </w:rPr>
        <w:t xml:space="preserve"> and Student Origin</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40"/>
        <w:gridCol w:w="1540"/>
        <w:gridCol w:w="1540"/>
        <w:gridCol w:w="1540"/>
        <w:gridCol w:w="1541"/>
        <w:gridCol w:w="1541"/>
      </w:tblGrid>
      <w:tr w:rsidR="004013B6" w:rsidRPr="004013B6" w14:paraId="0B712245" w14:textId="77777777" w:rsidTr="00870C48">
        <w:tc>
          <w:tcPr>
            <w:tcW w:w="3080" w:type="dxa"/>
            <w:gridSpan w:val="2"/>
            <w:tcBorders>
              <w:bottom w:val="single" w:sz="4" w:space="0" w:color="auto"/>
            </w:tcBorders>
            <w:vAlign w:val="center"/>
          </w:tcPr>
          <w:p w14:paraId="040F38C1" w14:textId="77777777" w:rsidR="004013B6" w:rsidRPr="004013B6" w:rsidRDefault="004013B6" w:rsidP="00870C48">
            <w:pPr>
              <w:tabs>
                <w:tab w:val="left" w:pos="567"/>
              </w:tabs>
              <w:spacing w:before="60" w:after="60"/>
              <w:jc w:val="both"/>
              <w:rPr>
                <w:rFonts w:ascii="Times New Roman" w:hAnsi="Times New Roman" w:cs="Times New Roman"/>
              </w:rPr>
            </w:pPr>
            <w:r w:rsidRPr="004013B6">
              <w:rPr>
                <w:rFonts w:ascii="Times New Roman" w:hAnsi="Times New Roman" w:cs="Times New Roman"/>
                <w:color w:val="000000"/>
              </w:rPr>
              <w:t>Experimental Group</w:t>
            </w:r>
          </w:p>
        </w:tc>
        <w:tc>
          <w:tcPr>
            <w:tcW w:w="1540" w:type="dxa"/>
            <w:tcBorders>
              <w:bottom w:val="single" w:sz="4" w:space="0" w:color="auto"/>
            </w:tcBorders>
            <w:vAlign w:val="center"/>
          </w:tcPr>
          <w:p w14:paraId="57010201" w14:textId="77777777" w:rsidR="004013B6" w:rsidRPr="004013B6" w:rsidRDefault="004013B6" w:rsidP="00870C48">
            <w:pPr>
              <w:tabs>
                <w:tab w:val="left" w:pos="567"/>
              </w:tabs>
              <w:spacing w:before="60" w:after="60"/>
              <w:jc w:val="both"/>
              <w:rPr>
                <w:rFonts w:ascii="Times New Roman" w:hAnsi="Times New Roman" w:cs="Times New Roman"/>
              </w:rPr>
            </w:pPr>
            <w:r w:rsidRPr="004013B6">
              <w:rPr>
                <w:rFonts w:ascii="Times New Roman" w:hAnsi="Times New Roman" w:cs="Times New Roman"/>
                <w:color w:val="000000"/>
              </w:rPr>
              <w:t>Control</w:t>
            </w:r>
          </w:p>
        </w:tc>
        <w:tc>
          <w:tcPr>
            <w:tcW w:w="1540" w:type="dxa"/>
            <w:tcBorders>
              <w:bottom w:val="single" w:sz="4" w:space="0" w:color="auto"/>
            </w:tcBorders>
            <w:vAlign w:val="center"/>
          </w:tcPr>
          <w:p w14:paraId="5CB6BB8D" w14:textId="77777777" w:rsidR="004013B6" w:rsidRPr="004013B6" w:rsidRDefault="004013B6" w:rsidP="00870C48">
            <w:pPr>
              <w:tabs>
                <w:tab w:val="left" w:pos="567"/>
              </w:tabs>
              <w:spacing w:before="60" w:after="60"/>
              <w:jc w:val="both"/>
              <w:rPr>
                <w:rFonts w:ascii="Times New Roman" w:hAnsi="Times New Roman" w:cs="Times New Roman"/>
              </w:rPr>
            </w:pPr>
            <w:r w:rsidRPr="004013B6">
              <w:rPr>
                <w:rFonts w:ascii="Times New Roman" w:hAnsi="Times New Roman" w:cs="Times New Roman"/>
                <w:color w:val="000000"/>
              </w:rPr>
              <w:t>Treatment A</w:t>
            </w:r>
          </w:p>
        </w:tc>
        <w:tc>
          <w:tcPr>
            <w:tcW w:w="1541" w:type="dxa"/>
            <w:tcBorders>
              <w:bottom w:val="single" w:sz="4" w:space="0" w:color="auto"/>
            </w:tcBorders>
            <w:vAlign w:val="center"/>
          </w:tcPr>
          <w:p w14:paraId="6945EC3B" w14:textId="77777777" w:rsidR="004013B6" w:rsidRPr="004013B6" w:rsidRDefault="004013B6" w:rsidP="00870C48">
            <w:pPr>
              <w:tabs>
                <w:tab w:val="left" w:pos="567"/>
              </w:tabs>
              <w:spacing w:before="60" w:after="60"/>
              <w:jc w:val="both"/>
              <w:rPr>
                <w:rFonts w:ascii="Times New Roman" w:hAnsi="Times New Roman" w:cs="Times New Roman"/>
              </w:rPr>
            </w:pPr>
            <w:r w:rsidRPr="004013B6">
              <w:rPr>
                <w:rFonts w:ascii="Times New Roman" w:hAnsi="Times New Roman" w:cs="Times New Roman"/>
                <w:color w:val="000000"/>
              </w:rPr>
              <w:t>Treatment B</w:t>
            </w:r>
          </w:p>
        </w:tc>
        <w:tc>
          <w:tcPr>
            <w:tcW w:w="1541" w:type="dxa"/>
            <w:tcBorders>
              <w:bottom w:val="single" w:sz="4" w:space="0" w:color="auto"/>
            </w:tcBorders>
            <w:vAlign w:val="center"/>
          </w:tcPr>
          <w:p w14:paraId="3A8495BC" w14:textId="77777777" w:rsidR="004013B6" w:rsidRPr="004013B6" w:rsidRDefault="004013B6" w:rsidP="00870C48">
            <w:pPr>
              <w:tabs>
                <w:tab w:val="left" w:pos="567"/>
              </w:tabs>
              <w:spacing w:before="60" w:after="60"/>
              <w:jc w:val="both"/>
              <w:rPr>
                <w:rFonts w:ascii="Times New Roman" w:hAnsi="Times New Roman" w:cs="Times New Roman"/>
              </w:rPr>
            </w:pPr>
            <w:r w:rsidRPr="004013B6">
              <w:rPr>
                <w:rFonts w:ascii="Times New Roman" w:hAnsi="Times New Roman" w:cs="Times New Roman"/>
                <w:color w:val="000000"/>
              </w:rPr>
              <w:t>Total</w:t>
            </w:r>
          </w:p>
        </w:tc>
      </w:tr>
      <w:tr w:rsidR="004013B6" w:rsidRPr="004013B6" w14:paraId="52D14846" w14:textId="77777777" w:rsidTr="00870C48">
        <w:tc>
          <w:tcPr>
            <w:tcW w:w="1540" w:type="dxa"/>
            <w:vMerge w:val="restart"/>
            <w:tcBorders>
              <w:top w:val="single" w:sz="4" w:space="0" w:color="auto"/>
              <w:bottom w:val="nil"/>
            </w:tcBorders>
            <w:vAlign w:val="center"/>
          </w:tcPr>
          <w:p w14:paraId="0E3C63CC" w14:textId="77777777" w:rsidR="004013B6" w:rsidRPr="004013B6" w:rsidRDefault="004013B6" w:rsidP="00F50315">
            <w:pPr>
              <w:tabs>
                <w:tab w:val="left" w:pos="567"/>
              </w:tabs>
              <w:jc w:val="both"/>
              <w:rPr>
                <w:rFonts w:ascii="Times New Roman" w:hAnsi="Times New Roman" w:cs="Times New Roman"/>
              </w:rPr>
            </w:pPr>
            <w:r w:rsidRPr="004013B6">
              <w:rPr>
                <w:rFonts w:ascii="Times New Roman" w:hAnsi="Times New Roman" w:cs="Times New Roman"/>
                <w:color w:val="000000"/>
              </w:rPr>
              <w:t>Year</w:t>
            </w:r>
          </w:p>
        </w:tc>
        <w:tc>
          <w:tcPr>
            <w:tcW w:w="1540" w:type="dxa"/>
            <w:tcBorders>
              <w:top w:val="single" w:sz="4" w:space="0" w:color="auto"/>
              <w:bottom w:val="nil"/>
            </w:tcBorders>
            <w:vAlign w:val="center"/>
          </w:tcPr>
          <w:p w14:paraId="3DCD3B76" w14:textId="77777777" w:rsidR="004013B6" w:rsidRPr="004013B6" w:rsidRDefault="004013B6" w:rsidP="00F50315">
            <w:pPr>
              <w:tabs>
                <w:tab w:val="left" w:pos="567"/>
              </w:tabs>
              <w:jc w:val="both"/>
              <w:rPr>
                <w:rFonts w:ascii="Times New Roman" w:hAnsi="Times New Roman" w:cs="Times New Roman"/>
              </w:rPr>
            </w:pPr>
            <w:r w:rsidRPr="004013B6">
              <w:rPr>
                <w:rFonts w:ascii="Times New Roman" w:hAnsi="Times New Roman" w:cs="Times New Roman"/>
                <w:color w:val="000000"/>
              </w:rPr>
              <w:t>2013</w:t>
            </w:r>
          </w:p>
        </w:tc>
        <w:tc>
          <w:tcPr>
            <w:tcW w:w="1540" w:type="dxa"/>
            <w:tcBorders>
              <w:top w:val="single" w:sz="4" w:space="0" w:color="auto"/>
              <w:bottom w:val="nil"/>
            </w:tcBorders>
            <w:vAlign w:val="center"/>
          </w:tcPr>
          <w:p w14:paraId="056EFA1C" w14:textId="77777777" w:rsidR="004013B6" w:rsidRPr="004013B6" w:rsidRDefault="004013B6" w:rsidP="00F50315">
            <w:pPr>
              <w:tabs>
                <w:tab w:val="left" w:pos="567"/>
              </w:tabs>
              <w:jc w:val="both"/>
              <w:rPr>
                <w:rFonts w:ascii="Times New Roman" w:hAnsi="Times New Roman" w:cs="Times New Roman"/>
              </w:rPr>
            </w:pPr>
            <w:r w:rsidRPr="004013B6">
              <w:rPr>
                <w:rFonts w:ascii="Times New Roman" w:hAnsi="Times New Roman" w:cs="Times New Roman"/>
                <w:color w:val="000000"/>
              </w:rPr>
              <w:t>15</w:t>
            </w:r>
          </w:p>
        </w:tc>
        <w:tc>
          <w:tcPr>
            <w:tcW w:w="1540" w:type="dxa"/>
            <w:tcBorders>
              <w:top w:val="single" w:sz="4" w:space="0" w:color="auto"/>
              <w:bottom w:val="nil"/>
            </w:tcBorders>
            <w:vAlign w:val="center"/>
          </w:tcPr>
          <w:p w14:paraId="0D7DA84A" w14:textId="77777777" w:rsidR="004013B6" w:rsidRPr="004013B6" w:rsidRDefault="004013B6" w:rsidP="00F50315">
            <w:pPr>
              <w:tabs>
                <w:tab w:val="left" w:pos="567"/>
              </w:tabs>
              <w:jc w:val="both"/>
              <w:rPr>
                <w:rFonts w:ascii="Times New Roman" w:hAnsi="Times New Roman" w:cs="Times New Roman"/>
              </w:rPr>
            </w:pPr>
            <w:r w:rsidRPr="004013B6">
              <w:rPr>
                <w:rFonts w:ascii="Times New Roman" w:hAnsi="Times New Roman" w:cs="Times New Roman"/>
                <w:color w:val="000000"/>
              </w:rPr>
              <w:t>15</w:t>
            </w:r>
          </w:p>
        </w:tc>
        <w:tc>
          <w:tcPr>
            <w:tcW w:w="1541" w:type="dxa"/>
            <w:tcBorders>
              <w:top w:val="single" w:sz="4" w:space="0" w:color="auto"/>
              <w:bottom w:val="nil"/>
            </w:tcBorders>
            <w:vAlign w:val="center"/>
          </w:tcPr>
          <w:p w14:paraId="28ADE77D" w14:textId="77777777" w:rsidR="004013B6" w:rsidRPr="004013B6" w:rsidRDefault="004013B6" w:rsidP="00F50315">
            <w:pPr>
              <w:tabs>
                <w:tab w:val="left" w:pos="567"/>
              </w:tabs>
              <w:jc w:val="both"/>
              <w:rPr>
                <w:rFonts w:ascii="Times New Roman" w:hAnsi="Times New Roman" w:cs="Times New Roman"/>
              </w:rPr>
            </w:pPr>
            <w:r w:rsidRPr="004013B6">
              <w:rPr>
                <w:rFonts w:ascii="Times New Roman" w:hAnsi="Times New Roman" w:cs="Times New Roman"/>
                <w:color w:val="000000"/>
              </w:rPr>
              <w:t>15</w:t>
            </w:r>
          </w:p>
        </w:tc>
        <w:tc>
          <w:tcPr>
            <w:tcW w:w="1541" w:type="dxa"/>
            <w:tcBorders>
              <w:top w:val="single" w:sz="4" w:space="0" w:color="auto"/>
              <w:bottom w:val="nil"/>
            </w:tcBorders>
            <w:vAlign w:val="center"/>
          </w:tcPr>
          <w:p w14:paraId="329680A0" w14:textId="77777777" w:rsidR="004013B6" w:rsidRPr="004013B6" w:rsidRDefault="004013B6" w:rsidP="00F50315">
            <w:pPr>
              <w:tabs>
                <w:tab w:val="left" w:pos="567"/>
              </w:tabs>
              <w:jc w:val="both"/>
              <w:rPr>
                <w:rFonts w:ascii="Times New Roman" w:hAnsi="Times New Roman" w:cs="Times New Roman"/>
              </w:rPr>
            </w:pPr>
            <w:r w:rsidRPr="004013B6">
              <w:rPr>
                <w:rFonts w:ascii="Times New Roman" w:hAnsi="Times New Roman" w:cs="Times New Roman"/>
                <w:color w:val="000000"/>
              </w:rPr>
              <w:t>45</w:t>
            </w:r>
          </w:p>
        </w:tc>
      </w:tr>
      <w:tr w:rsidR="004013B6" w:rsidRPr="004013B6" w14:paraId="0AF7E9BE" w14:textId="77777777" w:rsidTr="00870C48">
        <w:tc>
          <w:tcPr>
            <w:tcW w:w="1540" w:type="dxa"/>
            <w:vMerge/>
            <w:tcBorders>
              <w:top w:val="nil"/>
              <w:bottom w:val="nil"/>
            </w:tcBorders>
            <w:vAlign w:val="center"/>
          </w:tcPr>
          <w:p w14:paraId="41CE9094" w14:textId="77777777" w:rsidR="004013B6" w:rsidRPr="004013B6" w:rsidRDefault="004013B6" w:rsidP="00F50315">
            <w:pPr>
              <w:tabs>
                <w:tab w:val="left" w:pos="567"/>
              </w:tabs>
              <w:jc w:val="both"/>
              <w:rPr>
                <w:rFonts w:ascii="Times New Roman" w:hAnsi="Times New Roman" w:cs="Times New Roman"/>
              </w:rPr>
            </w:pPr>
          </w:p>
        </w:tc>
        <w:tc>
          <w:tcPr>
            <w:tcW w:w="1540" w:type="dxa"/>
            <w:tcBorders>
              <w:top w:val="nil"/>
              <w:bottom w:val="nil"/>
            </w:tcBorders>
            <w:vAlign w:val="center"/>
          </w:tcPr>
          <w:p w14:paraId="2C8D4DDE" w14:textId="77777777" w:rsidR="004013B6" w:rsidRPr="004013B6" w:rsidRDefault="004013B6" w:rsidP="00F50315">
            <w:pPr>
              <w:tabs>
                <w:tab w:val="left" w:pos="567"/>
              </w:tabs>
              <w:jc w:val="both"/>
              <w:rPr>
                <w:rFonts w:ascii="Times New Roman" w:hAnsi="Times New Roman" w:cs="Times New Roman"/>
              </w:rPr>
            </w:pPr>
            <w:r w:rsidRPr="004013B6">
              <w:rPr>
                <w:rFonts w:ascii="Times New Roman" w:hAnsi="Times New Roman" w:cs="Times New Roman"/>
                <w:color w:val="000000"/>
              </w:rPr>
              <w:t>2014</w:t>
            </w:r>
          </w:p>
        </w:tc>
        <w:tc>
          <w:tcPr>
            <w:tcW w:w="1540" w:type="dxa"/>
            <w:tcBorders>
              <w:top w:val="nil"/>
              <w:bottom w:val="nil"/>
            </w:tcBorders>
            <w:vAlign w:val="center"/>
          </w:tcPr>
          <w:p w14:paraId="43F0F7CB" w14:textId="77777777" w:rsidR="004013B6" w:rsidRPr="004013B6" w:rsidRDefault="004013B6" w:rsidP="00F50315">
            <w:pPr>
              <w:tabs>
                <w:tab w:val="left" w:pos="567"/>
              </w:tabs>
              <w:jc w:val="both"/>
              <w:rPr>
                <w:rFonts w:ascii="Times New Roman" w:hAnsi="Times New Roman" w:cs="Times New Roman"/>
              </w:rPr>
            </w:pPr>
            <w:r w:rsidRPr="004013B6">
              <w:rPr>
                <w:rFonts w:ascii="Times New Roman" w:hAnsi="Times New Roman" w:cs="Times New Roman"/>
                <w:color w:val="000000"/>
              </w:rPr>
              <w:t>17</w:t>
            </w:r>
          </w:p>
        </w:tc>
        <w:tc>
          <w:tcPr>
            <w:tcW w:w="1540" w:type="dxa"/>
            <w:tcBorders>
              <w:top w:val="nil"/>
              <w:bottom w:val="nil"/>
            </w:tcBorders>
            <w:vAlign w:val="center"/>
          </w:tcPr>
          <w:p w14:paraId="0E5EFECA" w14:textId="77777777" w:rsidR="004013B6" w:rsidRPr="004013B6" w:rsidRDefault="004013B6" w:rsidP="00F50315">
            <w:pPr>
              <w:tabs>
                <w:tab w:val="left" w:pos="567"/>
              </w:tabs>
              <w:jc w:val="both"/>
              <w:rPr>
                <w:rFonts w:ascii="Times New Roman" w:hAnsi="Times New Roman" w:cs="Times New Roman"/>
              </w:rPr>
            </w:pPr>
            <w:r w:rsidRPr="004013B6">
              <w:rPr>
                <w:rFonts w:ascii="Times New Roman" w:hAnsi="Times New Roman" w:cs="Times New Roman"/>
                <w:color w:val="000000"/>
              </w:rPr>
              <w:t>15</w:t>
            </w:r>
          </w:p>
        </w:tc>
        <w:tc>
          <w:tcPr>
            <w:tcW w:w="1541" w:type="dxa"/>
            <w:tcBorders>
              <w:top w:val="nil"/>
              <w:bottom w:val="nil"/>
            </w:tcBorders>
            <w:vAlign w:val="center"/>
          </w:tcPr>
          <w:p w14:paraId="6D614F44" w14:textId="77777777" w:rsidR="004013B6" w:rsidRPr="004013B6" w:rsidRDefault="004013B6" w:rsidP="00F50315">
            <w:pPr>
              <w:tabs>
                <w:tab w:val="left" w:pos="567"/>
              </w:tabs>
              <w:jc w:val="both"/>
              <w:rPr>
                <w:rFonts w:ascii="Times New Roman" w:hAnsi="Times New Roman" w:cs="Times New Roman"/>
              </w:rPr>
            </w:pPr>
            <w:r w:rsidRPr="004013B6">
              <w:rPr>
                <w:rFonts w:ascii="Times New Roman" w:hAnsi="Times New Roman" w:cs="Times New Roman"/>
                <w:color w:val="000000"/>
              </w:rPr>
              <w:t>15</w:t>
            </w:r>
          </w:p>
        </w:tc>
        <w:tc>
          <w:tcPr>
            <w:tcW w:w="1541" w:type="dxa"/>
            <w:tcBorders>
              <w:top w:val="nil"/>
              <w:bottom w:val="nil"/>
            </w:tcBorders>
            <w:vAlign w:val="center"/>
          </w:tcPr>
          <w:p w14:paraId="492AD345" w14:textId="77777777" w:rsidR="004013B6" w:rsidRPr="004013B6" w:rsidRDefault="004013B6" w:rsidP="00F50315">
            <w:pPr>
              <w:tabs>
                <w:tab w:val="left" w:pos="567"/>
              </w:tabs>
              <w:jc w:val="both"/>
              <w:rPr>
                <w:rFonts w:ascii="Times New Roman" w:hAnsi="Times New Roman" w:cs="Times New Roman"/>
              </w:rPr>
            </w:pPr>
            <w:r w:rsidRPr="004013B6">
              <w:rPr>
                <w:rFonts w:ascii="Times New Roman" w:hAnsi="Times New Roman" w:cs="Times New Roman"/>
                <w:color w:val="000000"/>
              </w:rPr>
              <w:t>47</w:t>
            </w:r>
          </w:p>
        </w:tc>
      </w:tr>
      <w:tr w:rsidR="004013B6" w:rsidRPr="004013B6" w14:paraId="20783F36" w14:textId="77777777" w:rsidTr="00870C48">
        <w:tc>
          <w:tcPr>
            <w:tcW w:w="1540" w:type="dxa"/>
            <w:vMerge w:val="restart"/>
            <w:tcBorders>
              <w:top w:val="nil"/>
              <w:bottom w:val="nil"/>
            </w:tcBorders>
            <w:vAlign w:val="center"/>
          </w:tcPr>
          <w:p w14:paraId="63CED22C" w14:textId="77777777" w:rsidR="004013B6" w:rsidRPr="004013B6" w:rsidRDefault="004013B6" w:rsidP="00F50315">
            <w:pPr>
              <w:tabs>
                <w:tab w:val="left" w:pos="567"/>
              </w:tabs>
              <w:jc w:val="both"/>
              <w:rPr>
                <w:rFonts w:ascii="Times New Roman" w:hAnsi="Times New Roman" w:cs="Times New Roman"/>
              </w:rPr>
            </w:pPr>
            <w:r w:rsidRPr="004013B6">
              <w:rPr>
                <w:rFonts w:ascii="Times New Roman" w:hAnsi="Times New Roman" w:cs="Times New Roman"/>
                <w:color w:val="000000"/>
              </w:rPr>
              <w:t>Gender</w:t>
            </w:r>
          </w:p>
        </w:tc>
        <w:tc>
          <w:tcPr>
            <w:tcW w:w="1540" w:type="dxa"/>
            <w:tcBorders>
              <w:top w:val="nil"/>
              <w:bottom w:val="nil"/>
            </w:tcBorders>
            <w:vAlign w:val="center"/>
          </w:tcPr>
          <w:p w14:paraId="1061CC03" w14:textId="77777777" w:rsidR="004013B6" w:rsidRPr="004013B6" w:rsidRDefault="004013B6" w:rsidP="00F50315">
            <w:pPr>
              <w:tabs>
                <w:tab w:val="left" w:pos="567"/>
              </w:tabs>
              <w:jc w:val="both"/>
              <w:rPr>
                <w:rFonts w:ascii="Times New Roman" w:hAnsi="Times New Roman" w:cs="Times New Roman"/>
              </w:rPr>
            </w:pPr>
            <w:r w:rsidRPr="004013B6">
              <w:rPr>
                <w:rFonts w:ascii="Times New Roman" w:hAnsi="Times New Roman" w:cs="Times New Roman"/>
                <w:color w:val="000000"/>
              </w:rPr>
              <w:t>Male</w:t>
            </w:r>
          </w:p>
        </w:tc>
        <w:tc>
          <w:tcPr>
            <w:tcW w:w="1540" w:type="dxa"/>
            <w:tcBorders>
              <w:top w:val="nil"/>
              <w:bottom w:val="nil"/>
            </w:tcBorders>
            <w:vAlign w:val="center"/>
          </w:tcPr>
          <w:p w14:paraId="12DC4365" w14:textId="77777777" w:rsidR="004013B6" w:rsidRPr="004013B6" w:rsidRDefault="004013B6" w:rsidP="00F50315">
            <w:pPr>
              <w:tabs>
                <w:tab w:val="left" w:pos="567"/>
              </w:tabs>
              <w:jc w:val="both"/>
              <w:rPr>
                <w:rFonts w:ascii="Times New Roman" w:hAnsi="Times New Roman" w:cs="Times New Roman"/>
              </w:rPr>
            </w:pPr>
            <w:r w:rsidRPr="004013B6">
              <w:rPr>
                <w:rFonts w:ascii="Times New Roman" w:hAnsi="Times New Roman" w:cs="Times New Roman"/>
                <w:color w:val="000000"/>
              </w:rPr>
              <w:t>15</w:t>
            </w:r>
          </w:p>
        </w:tc>
        <w:tc>
          <w:tcPr>
            <w:tcW w:w="1540" w:type="dxa"/>
            <w:tcBorders>
              <w:top w:val="nil"/>
              <w:bottom w:val="nil"/>
            </w:tcBorders>
            <w:vAlign w:val="center"/>
          </w:tcPr>
          <w:p w14:paraId="271224ED" w14:textId="77777777" w:rsidR="004013B6" w:rsidRPr="004013B6" w:rsidRDefault="004013B6" w:rsidP="00F50315">
            <w:pPr>
              <w:tabs>
                <w:tab w:val="left" w:pos="567"/>
              </w:tabs>
              <w:jc w:val="both"/>
              <w:rPr>
                <w:rFonts w:ascii="Times New Roman" w:hAnsi="Times New Roman" w:cs="Times New Roman"/>
              </w:rPr>
            </w:pPr>
            <w:r w:rsidRPr="004013B6">
              <w:rPr>
                <w:rFonts w:ascii="Times New Roman" w:hAnsi="Times New Roman" w:cs="Times New Roman"/>
                <w:color w:val="000000"/>
              </w:rPr>
              <w:t>15</w:t>
            </w:r>
          </w:p>
        </w:tc>
        <w:tc>
          <w:tcPr>
            <w:tcW w:w="1541" w:type="dxa"/>
            <w:tcBorders>
              <w:top w:val="nil"/>
              <w:bottom w:val="nil"/>
            </w:tcBorders>
            <w:vAlign w:val="center"/>
          </w:tcPr>
          <w:p w14:paraId="7E1F6A84" w14:textId="77777777" w:rsidR="004013B6" w:rsidRPr="004013B6" w:rsidRDefault="004013B6" w:rsidP="00F50315">
            <w:pPr>
              <w:tabs>
                <w:tab w:val="left" w:pos="567"/>
              </w:tabs>
              <w:jc w:val="both"/>
              <w:rPr>
                <w:rFonts w:ascii="Times New Roman" w:hAnsi="Times New Roman" w:cs="Times New Roman"/>
              </w:rPr>
            </w:pPr>
            <w:r w:rsidRPr="004013B6">
              <w:rPr>
                <w:rFonts w:ascii="Times New Roman" w:hAnsi="Times New Roman" w:cs="Times New Roman"/>
                <w:color w:val="000000"/>
              </w:rPr>
              <w:t>17</w:t>
            </w:r>
          </w:p>
        </w:tc>
        <w:tc>
          <w:tcPr>
            <w:tcW w:w="1541" w:type="dxa"/>
            <w:tcBorders>
              <w:top w:val="nil"/>
              <w:bottom w:val="nil"/>
            </w:tcBorders>
            <w:vAlign w:val="center"/>
          </w:tcPr>
          <w:p w14:paraId="164642AA" w14:textId="77777777" w:rsidR="004013B6" w:rsidRPr="004013B6" w:rsidRDefault="004013B6" w:rsidP="00F50315">
            <w:pPr>
              <w:tabs>
                <w:tab w:val="left" w:pos="567"/>
              </w:tabs>
              <w:jc w:val="both"/>
              <w:rPr>
                <w:rFonts w:ascii="Times New Roman" w:hAnsi="Times New Roman" w:cs="Times New Roman"/>
              </w:rPr>
            </w:pPr>
            <w:r w:rsidRPr="004013B6">
              <w:rPr>
                <w:rFonts w:ascii="Times New Roman" w:hAnsi="Times New Roman" w:cs="Times New Roman"/>
                <w:color w:val="000000"/>
              </w:rPr>
              <w:t>47</w:t>
            </w:r>
          </w:p>
        </w:tc>
      </w:tr>
      <w:tr w:rsidR="004013B6" w:rsidRPr="004013B6" w14:paraId="257F10B9" w14:textId="77777777" w:rsidTr="00870C48">
        <w:tc>
          <w:tcPr>
            <w:tcW w:w="1540" w:type="dxa"/>
            <w:vMerge/>
            <w:tcBorders>
              <w:top w:val="nil"/>
              <w:bottom w:val="nil"/>
            </w:tcBorders>
            <w:vAlign w:val="center"/>
          </w:tcPr>
          <w:p w14:paraId="401DD116" w14:textId="77777777" w:rsidR="004013B6" w:rsidRPr="004013B6" w:rsidRDefault="004013B6" w:rsidP="00F50315">
            <w:pPr>
              <w:tabs>
                <w:tab w:val="left" w:pos="567"/>
              </w:tabs>
              <w:jc w:val="both"/>
              <w:rPr>
                <w:rFonts w:ascii="Times New Roman" w:hAnsi="Times New Roman" w:cs="Times New Roman"/>
              </w:rPr>
            </w:pPr>
          </w:p>
        </w:tc>
        <w:tc>
          <w:tcPr>
            <w:tcW w:w="1540" w:type="dxa"/>
            <w:tcBorders>
              <w:top w:val="nil"/>
              <w:bottom w:val="nil"/>
            </w:tcBorders>
            <w:vAlign w:val="center"/>
          </w:tcPr>
          <w:p w14:paraId="52EB03FF" w14:textId="77777777" w:rsidR="004013B6" w:rsidRPr="004013B6" w:rsidRDefault="004013B6" w:rsidP="00F50315">
            <w:pPr>
              <w:tabs>
                <w:tab w:val="left" w:pos="567"/>
              </w:tabs>
              <w:jc w:val="both"/>
              <w:rPr>
                <w:rFonts w:ascii="Times New Roman" w:hAnsi="Times New Roman" w:cs="Times New Roman"/>
              </w:rPr>
            </w:pPr>
            <w:r w:rsidRPr="004013B6">
              <w:rPr>
                <w:rFonts w:ascii="Times New Roman" w:hAnsi="Times New Roman" w:cs="Times New Roman"/>
                <w:color w:val="000000"/>
              </w:rPr>
              <w:t>Female</w:t>
            </w:r>
          </w:p>
        </w:tc>
        <w:tc>
          <w:tcPr>
            <w:tcW w:w="1540" w:type="dxa"/>
            <w:tcBorders>
              <w:top w:val="nil"/>
              <w:bottom w:val="nil"/>
            </w:tcBorders>
            <w:vAlign w:val="center"/>
          </w:tcPr>
          <w:p w14:paraId="1D0520A9" w14:textId="77777777" w:rsidR="004013B6" w:rsidRPr="004013B6" w:rsidRDefault="004013B6" w:rsidP="00F50315">
            <w:pPr>
              <w:tabs>
                <w:tab w:val="left" w:pos="567"/>
              </w:tabs>
              <w:jc w:val="both"/>
              <w:rPr>
                <w:rFonts w:ascii="Times New Roman" w:hAnsi="Times New Roman" w:cs="Times New Roman"/>
              </w:rPr>
            </w:pPr>
            <w:r w:rsidRPr="004013B6">
              <w:rPr>
                <w:rFonts w:ascii="Times New Roman" w:hAnsi="Times New Roman" w:cs="Times New Roman"/>
                <w:color w:val="000000"/>
              </w:rPr>
              <w:t>17</w:t>
            </w:r>
          </w:p>
        </w:tc>
        <w:tc>
          <w:tcPr>
            <w:tcW w:w="1540" w:type="dxa"/>
            <w:tcBorders>
              <w:top w:val="nil"/>
              <w:bottom w:val="nil"/>
            </w:tcBorders>
            <w:vAlign w:val="center"/>
          </w:tcPr>
          <w:p w14:paraId="68C2B0C2" w14:textId="77777777" w:rsidR="004013B6" w:rsidRPr="004013B6" w:rsidRDefault="004013B6" w:rsidP="00F50315">
            <w:pPr>
              <w:tabs>
                <w:tab w:val="left" w:pos="567"/>
              </w:tabs>
              <w:jc w:val="both"/>
              <w:rPr>
                <w:rFonts w:ascii="Times New Roman" w:hAnsi="Times New Roman" w:cs="Times New Roman"/>
              </w:rPr>
            </w:pPr>
            <w:r w:rsidRPr="004013B6">
              <w:rPr>
                <w:rFonts w:ascii="Times New Roman" w:hAnsi="Times New Roman" w:cs="Times New Roman"/>
                <w:color w:val="000000"/>
              </w:rPr>
              <w:t>15</w:t>
            </w:r>
          </w:p>
        </w:tc>
        <w:tc>
          <w:tcPr>
            <w:tcW w:w="1541" w:type="dxa"/>
            <w:tcBorders>
              <w:top w:val="nil"/>
              <w:bottom w:val="nil"/>
            </w:tcBorders>
            <w:vAlign w:val="center"/>
          </w:tcPr>
          <w:p w14:paraId="1003F99E" w14:textId="77777777" w:rsidR="004013B6" w:rsidRPr="004013B6" w:rsidRDefault="004013B6" w:rsidP="00F50315">
            <w:pPr>
              <w:tabs>
                <w:tab w:val="left" w:pos="567"/>
              </w:tabs>
              <w:jc w:val="both"/>
              <w:rPr>
                <w:rFonts w:ascii="Times New Roman" w:hAnsi="Times New Roman" w:cs="Times New Roman"/>
              </w:rPr>
            </w:pPr>
            <w:r w:rsidRPr="004013B6">
              <w:rPr>
                <w:rFonts w:ascii="Times New Roman" w:hAnsi="Times New Roman" w:cs="Times New Roman"/>
                <w:color w:val="000000"/>
              </w:rPr>
              <w:t>13</w:t>
            </w:r>
          </w:p>
        </w:tc>
        <w:tc>
          <w:tcPr>
            <w:tcW w:w="1541" w:type="dxa"/>
            <w:tcBorders>
              <w:top w:val="nil"/>
              <w:bottom w:val="nil"/>
            </w:tcBorders>
            <w:vAlign w:val="center"/>
          </w:tcPr>
          <w:p w14:paraId="038BCE89" w14:textId="77777777" w:rsidR="004013B6" w:rsidRPr="004013B6" w:rsidRDefault="004013B6" w:rsidP="00F50315">
            <w:pPr>
              <w:tabs>
                <w:tab w:val="left" w:pos="567"/>
              </w:tabs>
              <w:jc w:val="both"/>
              <w:rPr>
                <w:rFonts w:ascii="Times New Roman" w:hAnsi="Times New Roman" w:cs="Times New Roman"/>
              </w:rPr>
            </w:pPr>
            <w:r w:rsidRPr="004013B6">
              <w:rPr>
                <w:rFonts w:ascii="Times New Roman" w:hAnsi="Times New Roman" w:cs="Times New Roman"/>
                <w:color w:val="000000"/>
              </w:rPr>
              <w:t>45</w:t>
            </w:r>
          </w:p>
        </w:tc>
      </w:tr>
      <w:tr w:rsidR="004013B6" w:rsidRPr="004013B6" w14:paraId="4CC14E1D" w14:textId="77777777" w:rsidTr="00870C48">
        <w:tc>
          <w:tcPr>
            <w:tcW w:w="1540" w:type="dxa"/>
            <w:vMerge w:val="restart"/>
            <w:tcBorders>
              <w:top w:val="nil"/>
              <w:bottom w:val="nil"/>
            </w:tcBorders>
            <w:vAlign w:val="center"/>
          </w:tcPr>
          <w:p w14:paraId="16B15077" w14:textId="77777777" w:rsidR="004013B6" w:rsidRPr="004013B6" w:rsidRDefault="004013B6" w:rsidP="00F50315">
            <w:pPr>
              <w:tabs>
                <w:tab w:val="left" w:pos="567"/>
              </w:tabs>
              <w:jc w:val="both"/>
              <w:rPr>
                <w:rFonts w:ascii="Times New Roman" w:hAnsi="Times New Roman" w:cs="Times New Roman"/>
              </w:rPr>
            </w:pPr>
            <w:r w:rsidRPr="004013B6">
              <w:rPr>
                <w:rFonts w:ascii="Times New Roman" w:hAnsi="Times New Roman" w:cs="Times New Roman"/>
                <w:color w:val="000000"/>
              </w:rPr>
              <w:t>Ethnicity</w:t>
            </w:r>
          </w:p>
        </w:tc>
        <w:tc>
          <w:tcPr>
            <w:tcW w:w="1540" w:type="dxa"/>
            <w:tcBorders>
              <w:top w:val="nil"/>
              <w:bottom w:val="nil"/>
            </w:tcBorders>
            <w:vAlign w:val="center"/>
          </w:tcPr>
          <w:p w14:paraId="2B68B51B" w14:textId="77777777" w:rsidR="004013B6" w:rsidRPr="004013B6" w:rsidRDefault="004013B6" w:rsidP="00F50315">
            <w:pPr>
              <w:tabs>
                <w:tab w:val="left" w:pos="567"/>
              </w:tabs>
              <w:jc w:val="both"/>
              <w:rPr>
                <w:rFonts w:ascii="Times New Roman" w:hAnsi="Times New Roman" w:cs="Times New Roman"/>
              </w:rPr>
            </w:pPr>
            <w:r w:rsidRPr="004013B6">
              <w:rPr>
                <w:rFonts w:ascii="Times New Roman" w:hAnsi="Times New Roman" w:cs="Times New Roman"/>
                <w:color w:val="000000"/>
              </w:rPr>
              <w:t>MPO</w:t>
            </w:r>
          </w:p>
        </w:tc>
        <w:tc>
          <w:tcPr>
            <w:tcW w:w="1540" w:type="dxa"/>
            <w:tcBorders>
              <w:top w:val="nil"/>
              <w:bottom w:val="nil"/>
            </w:tcBorders>
            <w:vAlign w:val="center"/>
          </w:tcPr>
          <w:p w14:paraId="6AF89869" w14:textId="77777777" w:rsidR="004013B6" w:rsidRPr="004013B6" w:rsidRDefault="004013B6" w:rsidP="00F50315">
            <w:pPr>
              <w:tabs>
                <w:tab w:val="left" w:pos="567"/>
              </w:tabs>
              <w:jc w:val="both"/>
              <w:rPr>
                <w:rFonts w:ascii="Times New Roman" w:hAnsi="Times New Roman" w:cs="Times New Roman"/>
              </w:rPr>
            </w:pPr>
            <w:r w:rsidRPr="004013B6">
              <w:rPr>
                <w:rFonts w:ascii="Times New Roman" w:hAnsi="Times New Roman" w:cs="Times New Roman"/>
                <w:color w:val="000000"/>
              </w:rPr>
              <w:t>15</w:t>
            </w:r>
          </w:p>
        </w:tc>
        <w:tc>
          <w:tcPr>
            <w:tcW w:w="1540" w:type="dxa"/>
            <w:tcBorders>
              <w:top w:val="nil"/>
              <w:bottom w:val="nil"/>
            </w:tcBorders>
            <w:vAlign w:val="center"/>
          </w:tcPr>
          <w:p w14:paraId="5DFBD88C" w14:textId="77777777" w:rsidR="004013B6" w:rsidRPr="004013B6" w:rsidRDefault="004013B6" w:rsidP="00F50315">
            <w:pPr>
              <w:tabs>
                <w:tab w:val="left" w:pos="567"/>
              </w:tabs>
              <w:jc w:val="both"/>
              <w:rPr>
                <w:rFonts w:ascii="Times New Roman" w:hAnsi="Times New Roman" w:cs="Times New Roman"/>
              </w:rPr>
            </w:pPr>
            <w:r w:rsidRPr="004013B6">
              <w:rPr>
                <w:rFonts w:ascii="Times New Roman" w:hAnsi="Times New Roman" w:cs="Times New Roman"/>
                <w:color w:val="000000"/>
              </w:rPr>
              <w:t>10</w:t>
            </w:r>
          </w:p>
        </w:tc>
        <w:tc>
          <w:tcPr>
            <w:tcW w:w="1541" w:type="dxa"/>
            <w:tcBorders>
              <w:top w:val="nil"/>
              <w:bottom w:val="nil"/>
            </w:tcBorders>
            <w:vAlign w:val="center"/>
          </w:tcPr>
          <w:p w14:paraId="21AF5BFC" w14:textId="77777777" w:rsidR="004013B6" w:rsidRPr="004013B6" w:rsidRDefault="004013B6" w:rsidP="00F50315">
            <w:pPr>
              <w:tabs>
                <w:tab w:val="left" w:pos="567"/>
              </w:tabs>
              <w:jc w:val="both"/>
              <w:rPr>
                <w:rFonts w:ascii="Times New Roman" w:hAnsi="Times New Roman" w:cs="Times New Roman"/>
              </w:rPr>
            </w:pPr>
            <w:r w:rsidRPr="004013B6">
              <w:rPr>
                <w:rFonts w:ascii="Times New Roman" w:hAnsi="Times New Roman" w:cs="Times New Roman"/>
                <w:color w:val="000000"/>
              </w:rPr>
              <w:t>9</w:t>
            </w:r>
          </w:p>
        </w:tc>
        <w:tc>
          <w:tcPr>
            <w:tcW w:w="1541" w:type="dxa"/>
            <w:tcBorders>
              <w:top w:val="nil"/>
              <w:bottom w:val="nil"/>
            </w:tcBorders>
            <w:vAlign w:val="center"/>
          </w:tcPr>
          <w:p w14:paraId="5F68A651" w14:textId="77777777" w:rsidR="004013B6" w:rsidRPr="004013B6" w:rsidRDefault="004013B6" w:rsidP="00F50315">
            <w:pPr>
              <w:tabs>
                <w:tab w:val="left" w:pos="567"/>
              </w:tabs>
              <w:jc w:val="both"/>
              <w:rPr>
                <w:rFonts w:ascii="Times New Roman" w:hAnsi="Times New Roman" w:cs="Times New Roman"/>
              </w:rPr>
            </w:pPr>
            <w:r w:rsidRPr="004013B6">
              <w:rPr>
                <w:rFonts w:ascii="Times New Roman" w:hAnsi="Times New Roman" w:cs="Times New Roman"/>
                <w:color w:val="000000"/>
              </w:rPr>
              <w:t>34</w:t>
            </w:r>
          </w:p>
        </w:tc>
      </w:tr>
      <w:tr w:rsidR="004013B6" w:rsidRPr="004013B6" w14:paraId="7659010F" w14:textId="77777777" w:rsidTr="00870C48">
        <w:tc>
          <w:tcPr>
            <w:tcW w:w="1540" w:type="dxa"/>
            <w:vMerge/>
            <w:tcBorders>
              <w:top w:val="nil"/>
              <w:bottom w:val="nil"/>
            </w:tcBorders>
            <w:vAlign w:val="center"/>
          </w:tcPr>
          <w:p w14:paraId="2EDE7C76" w14:textId="77777777" w:rsidR="004013B6" w:rsidRPr="004013B6" w:rsidRDefault="004013B6" w:rsidP="00F50315">
            <w:pPr>
              <w:tabs>
                <w:tab w:val="left" w:pos="567"/>
              </w:tabs>
              <w:jc w:val="both"/>
              <w:rPr>
                <w:rFonts w:ascii="Times New Roman" w:hAnsi="Times New Roman" w:cs="Times New Roman"/>
              </w:rPr>
            </w:pPr>
          </w:p>
        </w:tc>
        <w:tc>
          <w:tcPr>
            <w:tcW w:w="1540" w:type="dxa"/>
            <w:tcBorders>
              <w:top w:val="nil"/>
              <w:bottom w:val="nil"/>
            </w:tcBorders>
            <w:vAlign w:val="center"/>
          </w:tcPr>
          <w:p w14:paraId="2859911D" w14:textId="77777777" w:rsidR="004013B6" w:rsidRPr="004013B6" w:rsidRDefault="004013B6" w:rsidP="00F50315">
            <w:pPr>
              <w:tabs>
                <w:tab w:val="left" w:pos="567"/>
              </w:tabs>
              <w:jc w:val="both"/>
              <w:rPr>
                <w:rFonts w:ascii="Times New Roman" w:hAnsi="Times New Roman" w:cs="Times New Roman"/>
              </w:rPr>
            </w:pPr>
            <w:r w:rsidRPr="004013B6">
              <w:rPr>
                <w:rFonts w:ascii="Times New Roman" w:hAnsi="Times New Roman" w:cs="Times New Roman"/>
                <w:color w:val="000000"/>
              </w:rPr>
              <w:t>EA</w:t>
            </w:r>
          </w:p>
        </w:tc>
        <w:tc>
          <w:tcPr>
            <w:tcW w:w="1540" w:type="dxa"/>
            <w:tcBorders>
              <w:top w:val="nil"/>
              <w:bottom w:val="nil"/>
            </w:tcBorders>
            <w:vAlign w:val="center"/>
          </w:tcPr>
          <w:p w14:paraId="0F20BBA3" w14:textId="77777777" w:rsidR="004013B6" w:rsidRPr="004013B6" w:rsidRDefault="004013B6" w:rsidP="00F50315">
            <w:pPr>
              <w:tabs>
                <w:tab w:val="left" w:pos="567"/>
              </w:tabs>
              <w:jc w:val="both"/>
              <w:rPr>
                <w:rFonts w:ascii="Times New Roman" w:hAnsi="Times New Roman" w:cs="Times New Roman"/>
              </w:rPr>
            </w:pPr>
            <w:r w:rsidRPr="004013B6">
              <w:rPr>
                <w:rFonts w:ascii="Times New Roman" w:hAnsi="Times New Roman" w:cs="Times New Roman"/>
                <w:color w:val="000000"/>
              </w:rPr>
              <w:t>17</w:t>
            </w:r>
          </w:p>
        </w:tc>
        <w:tc>
          <w:tcPr>
            <w:tcW w:w="1540" w:type="dxa"/>
            <w:tcBorders>
              <w:top w:val="nil"/>
              <w:bottom w:val="nil"/>
            </w:tcBorders>
            <w:vAlign w:val="center"/>
          </w:tcPr>
          <w:p w14:paraId="75CB153B" w14:textId="77777777" w:rsidR="004013B6" w:rsidRPr="004013B6" w:rsidRDefault="004013B6" w:rsidP="00F50315">
            <w:pPr>
              <w:tabs>
                <w:tab w:val="left" w:pos="567"/>
              </w:tabs>
              <w:jc w:val="both"/>
              <w:rPr>
                <w:rFonts w:ascii="Times New Roman" w:hAnsi="Times New Roman" w:cs="Times New Roman"/>
              </w:rPr>
            </w:pPr>
            <w:r w:rsidRPr="004013B6">
              <w:rPr>
                <w:rFonts w:ascii="Times New Roman" w:hAnsi="Times New Roman" w:cs="Times New Roman"/>
                <w:color w:val="000000"/>
              </w:rPr>
              <w:t>20</w:t>
            </w:r>
          </w:p>
        </w:tc>
        <w:tc>
          <w:tcPr>
            <w:tcW w:w="1541" w:type="dxa"/>
            <w:tcBorders>
              <w:top w:val="nil"/>
              <w:bottom w:val="nil"/>
            </w:tcBorders>
            <w:vAlign w:val="center"/>
          </w:tcPr>
          <w:p w14:paraId="0AFA8168" w14:textId="77777777" w:rsidR="004013B6" w:rsidRPr="004013B6" w:rsidRDefault="004013B6" w:rsidP="00F50315">
            <w:pPr>
              <w:tabs>
                <w:tab w:val="left" w:pos="567"/>
              </w:tabs>
              <w:jc w:val="both"/>
              <w:rPr>
                <w:rFonts w:ascii="Times New Roman" w:hAnsi="Times New Roman" w:cs="Times New Roman"/>
              </w:rPr>
            </w:pPr>
            <w:r w:rsidRPr="004013B6">
              <w:rPr>
                <w:rFonts w:ascii="Times New Roman" w:hAnsi="Times New Roman" w:cs="Times New Roman"/>
                <w:color w:val="000000"/>
              </w:rPr>
              <w:t>21</w:t>
            </w:r>
          </w:p>
        </w:tc>
        <w:tc>
          <w:tcPr>
            <w:tcW w:w="1541" w:type="dxa"/>
            <w:tcBorders>
              <w:top w:val="nil"/>
              <w:bottom w:val="nil"/>
            </w:tcBorders>
            <w:vAlign w:val="center"/>
          </w:tcPr>
          <w:p w14:paraId="474327C1" w14:textId="77777777" w:rsidR="004013B6" w:rsidRPr="004013B6" w:rsidRDefault="004013B6" w:rsidP="00F50315">
            <w:pPr>
              <w:tabs>
                <w:tab w:val="left" w:pos="567"/>
              </w:tabs>
              <w:jc w:val="both"/>
              <w:rPr>
                <w:rFonts w:ascii="Times New Roman" w:hAnsi="Times New Roman" w:cs="Times New Roman"/>
              </w:rPr>
            </w:pPr>
            <w:r w:rsidRPr="004013B6">
              <w:rPr>
                <w:rFonts w:ascii="Times New Roman" w:hAnsi="Times New Roman" w:cs="Times New Roman"/>
                <w:color w:val="000000"/>
              </w:rPr>
              <w:t>58</w:t>
            </w:r>
          </w:p>
        </w:tc>
      </w:tr>
      <w:tr w:rsidR="004013B6" w:rsidRPr="004013B6" w14:paraId="5071048E" w14:textId="77777777" w:rsidTr="00870C48">
        <w:tc>
          <w:tcPr>
            <w:tcW w:w="1540" w:type="dxa"/>
            <w:vMerge w:val="restart"/>
            <w:tcBorders>
              <w:top w:val="nil"/>
              <w:bottom w:val="nil"/>
            </w:tcBorders>
            <w:vAlign w:val="center"/>
          </w:tcPr>
          <w:p w14:paraId="4F8A9682" w14:textId="77777777" w:rsidR="004013B6" w:rsidRPr="004013B6" w:rsidRDefault="004013B6" w:rsidP="00F50315">
            <w:pPr>
              <w:tabs>
                <w:tab w:val="left" w:pos="567"/>
              </w:tabs>
              <w:jc w:val="both"/>
              <w:rPr>
                <w:rFonts w:ascii="Times New Roman" w:hAnsi="Times New Roman" w:cs="Times New Roman"/>
              </w:rPr>
            </w:pPr>
            <w:r w:rsidRPr="004013B6">
              <w:rPr>
                <w:rFonts w:ascii="Times New Roman" w:hAnsi="Times New Roman" w:cs="Times New Roman"/>
                <w:color w:val="000000"/>
              </w:rPr>
              <w:t>Origin</w:t>
            </w:r>
          </w:p>
        </w:tc>
        <w:tc>
          <w:tcPr>
            <w:tcW w:w="1540" w:type="dxa"/>
            <w:tcBorders>
              <w:top w:val="nil"/>
              <w:bottom w:val="nil"/>
            </w:tcBorders>
            <w:vAlign w:val="center"/>
          </w:tcPr>
          <w:p w14:paraId="12BCCF06" w14:textId="77777777" w:rsidR="004013B6" w:rsidRPr="004013B6" w:rsidRDefault="004013B6" w:rsidP="00F50315">
            <w:pPr>
              <w:tabs>
                <w:tab w:val="left" w:pos="567"/>
              </w:tabs>
              <w:jc w:val="both"/>
              <w:rPr>
                <w:rFonts w:ascii="Times New Roman" w:hAnsi="Times New Roman" w:cs="Times New Roman"/>
              </w:rPr>
            </w:pPr>
            <w:r w:rsidRPr="004013B6">
              <w:rPr>
                <w:rFonts w:ascii="Times New Roman" w:hAnsi="Times New Roman" w:cs="Times New Roman"/>
                <w:color w:val="000000"/>
              </w:rPr>
              <w:t>Domestic</w:t>
            </w:r>
          </w:p>
        </w:tc>
        <w:tc>
          <w:tcPr>
            <w:tcW w:w="1540" w:type="dxa"/>
            <w:tcBorders>
              <w:top w:val="nil"/>
              <w:bottom w:val="nil"/>
            </w:tcBorders>
            <w:vAlign w:val="center"/>
          </w:tcPr>
          <w:p w14:paraId="705ECBD4" w14:textId="77777777" w:rsidR="004013B6" w:rsidRPr="004013B6" w:rsidRDefault="004013B6" w:rsidP="00F50315">
            <w:pPr>
              <w:tabs>
                <w:tab w:val="left" w:pos="567"/>
              </w:tabs>
              <w:jc w:val="both"/>
              <w:rPr>
                <w:rFonts w:ascii="Times New Roman" w:hAnsi="Times New Roman" w:cs="Times New Roman"/>
              </w:rPr>
            </w:pPr>
            <w:r w:rsidRPr="004013B6">
              <w:rPr>
                <w:rFonts w:ascii="Times New Roman" w:hAnsi="Times New Roman" w:cs="Times New Roman"/>
                <w:color w:val="000000"/>
              </w:rPr>
              <w:t>25</w:t>
            </w:r>
          </w:p>
        </w:tc>
        <w:tc>
          <w:tcPr>
            <w:tcW w:w="1540" w:type="dxa"/>
            <w:tcBorders>
              <w:top w:val="nil"/>
              <w:bottom w:val="nil"/>
            </w:tcBorders>
            <w:vAlign w:val="center"/>
          </w:tcPr>
          <w:p w14:paraId="7FBE7C1F" w14:textId="77777777" w:rsidR="004013B6" w:rsidRPr="004013B6" w:rsidRDefault="004013B6" w:rsidP="00F50315">
            <w:pPr>
              <w:tabs>
                <w:tab w:val="left" w:pos="567"/>
              </w:tabs>
              <w:jc w:val="both"/>
              <w:rPr>
                <w:rFonts w:ascii="Times New Roman" w:hAnsi="Times New Roman" w:cs="Times New Roman"/>
              </w:rPr>
            </w:pPr>
            <w:r w:rsidRPr="004013B6">
              <w:rPr>
                <w:rFonts w:ascii="Times New Roman" w:hAnsi="Times New Roman" w:cs="Times New Roman"/>
                <w:color w:val="000000"/>
              </w:rPr>
              <w:t>26</w:t>
            </w:r>
          </w:p>
        </w:tc>
        <w:tc>
          <w:tcPr>
            <w:tcW w:w="1541" w:type="dxa"/>
            <w:tcBorders>
              <w:top w:val="nil"/>
              <w:bottom w:val="nil"/>
            </w:tcBorders>
            <w:vAlign w:val="center"/>
          </w:tcPr>
          <w:p w14:paraId="49ACB80F" w14:textId="77777777" w:rsidR="004013B6" w:rsidRPr="004013B6" w:rsidRDefault="004013B6" w:rsidP="00F50315">
            <w:pPr>
              <w:tabs>
                <w:tab w:val="left" w:pos="567"/>
              </w:tabs>
              <w:jc w:val="both"/>
              <w:rPr>
                <w:rFonts w:ascii="Times New Roman" w:hAnsi="Times New Roman" w:cs="Times New Roman"/>
              </w:rPr>
            </w:pPr>
            <w:r w:rsidRPr="004013B6">
              <w:rPr>
                <w:rFonts w:ascii="Times New Roman" w:hAnsi="Times New Roman" w:cs="Times New Roman"/>
                <w:color w:val="000000"/>
              </w:rPr>
              <w:t>27</w:t>
            </w:r>
          </w:p>
        </w:tc>
        <w:tc>
          <w:tcPr>
            <w:tcW w:w="1541" w:type="dxa"/>
            <w:tcBorders>
              <w:top w:val="nil"/>
              <w:bottom w:val="nil"/>
            </w:tcBorders>
            <w:vAlign w:val="center"/>
          </w:tcPr>
          <w:p w14:paraId="021DE89A" w14:textId="77777777" w:rsidR="004013B6" w:rsidRPr="004013B6" w:rsidRDefault="004013B6" w:rsidP="00F50315">
            <w:pPr>
              <w:tabs>
                <w:tab w:val="left" w:pos="567"/>
              </w:tabs>
              <w:jc w:val="both"/>
              <w:rPr>
                <w:rFonts w:ascii="Times New Roman" w:hAnsi="Times New Roman" w:cs="Times New Roman"/>
              </w:rPr>
            </w:pPr>
            <w:r w:rsidRPr="004013B6">
              <w:rPr>
                <w:rFonts w:ascii="Times New Roman" w:hAnsi="Times New Roman" w:cs="Times New Roman"/>
                <w:color w:val="000000"/>
              </w:rPr>
              <w:t>78</w:t>
            </w:r>
          </w:p>
        </w:tc>
      </w:tr>
      <w:tr w:rsidR="004013B6" w:rsidRPr="004013B6" w14:paraId="27BA0FB2" w14:textId="77777777" w:rsidTr="00870C48">
        <w:tc>
          <w:tcPr>
            <w:tcW w:w="1540" w:type="dxa"/>
            <w:vMerge/>
            <w:tcBorders>
              <w:top w:val="nil"/>
              <w:bottom w:val="single" w:sz="4" w:space="0" w:color="auto"/>
            </w:tcBorders>
            <w:vAlign w:val="center"/>
          </w:tcPr>
          <w:p w14:paraId="1AC8A6AA" w14:textId="77777777" w:rsidR="004013B6" w:rsidRPr="004013B6" w:rsidRDefault="004013B6" w:rsidP="00F50315">
            <w:pPr>
              <w:tabs>
                <w:tab w:val="left" w:pos="567"/>
              </w:tabs>
              <w:jc w:val="both"/>
              <w:rPr>
                <w:rFonts w:ascii="Times New Roman" w:hAnsi="Times New Roman" w:cs="Times New Roman"/>
              </w:rPr>
            </w:pPr>
          </w:p>
        </w:tc>
        <w:tc>
          <w:tcPr>
            <w:tcW w:w="1540" w:type="dxa"/>
            <w:tcBorders>
              <w:top w:val="nil"/>
              <w:bottom w:val="single" w:sz="4" w:space="0" w:color="auto"/>
            </w:tcBorders>
            <w:vAlign w:val="center"/>
          </w:tcPr>
          <w:p w14:paraId="1EAE8188" w14:textId="77777777" w:rsidR="004013B6" w:rsidRPr="004013B6" w:rsidRDefault="004013B6" w:rsidP="00F50315">
            <w:pPr>
              <w:tabs>
                <w:tab w:val="left" w:pos="567"/>
              </w:tabs>
              <w:jc w:val="both"/>
              <w:rPr>
                <w:rFonts w:ascii="Times New Roman" w:hAnsi="Times New Roman" w:cs="Times New Roman"/>
              </w:rPr>
            </w:pPr>
            <w:r w:rsidRPr="004013B6">
              <w:rPr>
                <w:rFonts w:ascii="Times New Roman" w:hAnsi="Times New Roman" w:cs="Times New Roman"/>
                <w:color w:val="000000"/>
              </w:rPr>
              <w:t>International</w:t>
            </w:r>
          </w:p>
        </w:tc>
        <w:tc>
          <w:tcPr>
            <w:tcW w:w="1540" w:type="dxa"/>
            <w:tcBorders>
              <w:top w:val="nil"/>
              <w:bottom w:val="single" w:sz="4" w:space="0" w:color="auto"/>
            </w:tcBorders>
            <w:vAlign w:val="center"/>
          </w:tcPr>
          <w:p w14:paraId="27ABF39B" w14:textId="77777777" w:rsidR="004013B6" w:rsidRPr="004013B6" w:rsidRDefault="004013B6" w:rsidP="00F50315">
            <w:pPr>
              <w:tabs>
                <w:tab w:val="left" w:pos="567"/>
              </w:tabs>
              <w:jc w:val="both"/>
              <w:rPr>
                <w:rFonts w:ascii="Times New Roman" w:hAnsi="Times New Roman" w:cs="Times New Roman"/>
              </w:rPr>
            </w:pPr>
            <w:r w:rsidRPr="004013B6">
              <w:rPr>
                <w:rFonts w:ascii="Times New Roman" w:hAnsi="Times New Roman" w:cs="Times New Roman"/>
                <w:color w:val="000000"/>
              </w:rPr>
              <w:t>7</w:t>
            </w:r>
          </w:p>
        </w:tc>
        <w:tc>
          <w:tcPr>
            <w:tcW w:w="1540" w:type="dxa"/>
            <w:tcBorders>
              <w:top w:val="nil"/>
              <w:bottom w:val="single" w:sz="4" w:space="0" w:color="auto"/>
            </w:tcBorders>
            <w:vAlign w:val="center"/>
          </w:tcPr>
          <w:p w14:paraId="0AAD59CD" w14:textId="77777777" w:rsidR="004013B6" w:rsidRPr="004013B6" w:rsidRDefault="004013B6" w:rsidP="00F50315">
            <w:pPr>
              <w:tabs>
                <w:tab w:val="left" w:pos="567"/>
              </w:tabs>
              <w:jc w:val="both"/>
              <w:rPr>
                <w:rFonts w:ascii="Times New Roman" w:hAnsi="Times New Roman" w:cs="Times New Roman"/>
              </w:rPr>
            </w:pPr>
            <w:r w:rsidRPr="004013B6">
              <w:rPr>
                <w:rFonts w:ascii="Times New Roman" w:hAnsi="Times New Roman" w:cs="Times New Roman"/>
                <w:color w:val="000000"/>
              </w:rPr>
              <w:t>4</w:t>
            </w:r>
          </w:p>
        </w:tc>
        <w:tc>
          <w:tcPr>
            <w:tcW w:w="1541" w:type="dxa"/>
            <w:tcBorders>
              <w:top w:val="nil"/>
              <w:bottom w:val="single" w:sz="4" w:space="0" w:color="auto"/>
            </w:tcBorders>
            <w:vAlign w:val="center"/>
          </w:tcPr>
          <w:p w14:paraId="375AD4CE" w14:textId="77777777" w:rsidR="004013B6" w:rsidRPr="004013B6" w:rsidRDefault="004013B6" w:rsidP="00F50315">
            <w:pPr>
              <w:tabs>
                <w:tab w:val="left" w:pos="567"/>
              </w:tabs>
              <w:jc w:val="both"/>
              <w:rPr>
                <w:rFonts w:ascii="Times New Roman" w:hAnsi="Times New Roman" w:cs="Times New Roman"/>
              </w:rPr>
            </w:pPr>
            <w:r w:rsidRPr="004013B6">
              <w:rPr>
                <w:rFonts w:ascii="Times New Roman" w:hAnsi="Times New Roman" w:cs="Times New Roman"/>
                <w:color w:val="000000"/>
              </w:rPr>
              <w:t>3</w:t>
            </w:r>
          </w:p>
        </w:tc>
        <w:tc>
          <w:tcPr>
            <w:tcW w:w="1541" w:type="dxa"/>
            <w:tcBorders>
              <w:top w:val="nil"/>
              <w:bottom w:val="single" w:sz="4" w:space="0" w:color="auto"/>
            </w:tcBorders>
            <w:vAlign w:val="center"/>
          </w:tcPr>
          <w:p w14:paraId="32A2B9AE" w14:textId="77777777" w:rsidR="004013B6" w:rsidRPr="004013B6" w:rsidRDefault="004013B6" w:rsidP="00F50315">
            <w:pPr>
              <w:tabs>
                <w:tab w:val="left" w:pos="567"/>
              </w:tabs>
              <w:jc w:val="both"/>
              <w:rPr>
                <w:rFonts w:ascii="Times New Roman" w:hAnsi="Times New Roman" w:cs="Times New Roman"/>
              </w:rPr>
            </w:pPr>
            <w:r w:rsidRPr="004013B6">
              <w:rPr>
                <w:rFonts w:ascii="Times New Roman" w:hAnsi="Times New Roman" w:cs="Times New Roman"/>
                <w:color w:val="000000"/>
              </w:rPr>
              <w:t>14</w:t>
            </w:r>
          </w:p>
        </w:tc>
      </w:tr>
      <w:tr w:rsidR="004013B6" w:rsidRPr="004013B6" w14:paraId="0A9005AD" w14:textId="77777777" w:rsidTr="00870C48">
        <w:tc>
          <w:tcPr>
            <w:tcW w:w="3080" w:type="dxa"/>
            <w:gridSpan w:val="2"/>
            <w:tcBorders>
              <w:top w:val="single" w:sz="4" w:space="0" w:color="auto"/>
            </w:tcBorders>
            <w:vAlign w:val="center"/>
          </w:tcPr>
          <w:p w14:paraId="27F8DE15" w14:textId="77777777" w:rsidR="004013B6" w:rsidRPr="004013B6" w:rsidRDefault="004013B6" w:rsidP="00870C48">
            <w:pPr>
              <w:tabs>
                <w:tab w:val="left" w:pos="567"/>
              </w:tabs>
              <w:spacing w:before="40" w:after="40"/>
              <w:jc w:val="both"/>
              <w:rPr>
                <w:rFonts w:ascii="Times New Roman" w:hAnsi="Times New Roman" w:cs="Times New Roman"/>
              </w:rPr>
            </w:pPr>
            <w:r w:rsidRPr="004013B6">
              <w:rPr>
                <w:rFonts w:ascii="Times New Roman" w:hAnsi="Times New Roman" w:cs="Times New Roman"/>
                <w:color w:val="000000"/>
              </w:rPr>
              <w:t>Total</w:t>
            </w:r>
          </w:p>
        </w:tc>
        <w:tc>
          <w:tcPr>
            <w:tcW w:w="1540" w:type="dxa"/>
            <w:tcBorders>
              <w:top w:val="single" w:sz="4" w:space="0" w:color="auto"/>
            </w:tcBorders>
            <w:vAlign w:val="center"/>
          </w:tcPr>
          <w:p w14:paraId="116C8ADF" w14:textId="77777777" w:rsidR="004013B6" w:rsidRPr="004013B6" w:rsidRDefault="004013B6" w:rsidP="00870C48">
            <w:pPr>
              <w:tabs>
                <w:tab w:val="left" w:pos="567"/>
              </w:tabs>
              <w:spacing w:before="40" w:after="40"/>
              <w:jc w:val="both"/>
              <w:rPr>
                <w:rFonts w:ascii="Times New Roman" w:hAnsi="Times New Roman" w:cs="Times New Roman"/>
              </w:rPr>
            </w:pPr>
            <w:r w:rsidRPr="004013B6">
              <w:rPr>
                <w:rFonts w:ascii="Times New Roman" w:hAnsi="Times New Roman" w:cs="Times New Roman"/>
                <w:color w:val="000000"/>
              </w:rPr>
              <w:t>32</w:t>
            </w:r>
          </w:p>
        </w:tc>
        <w:tc>
          <w:tcPr>
            <w:tcW w:w="1540" w:type="dxa"/>
            <w:tcBorders>
              <w:top w:val="single" w:sz="4" w:space="0" w:color="auto"/>
            </w:tcBorders>
            <w:vAlign w:val="center"/>
          </w:tcPr>
          <w:p w14:paraId="0C184C2E" w14:textId="77777777" w:rsidR="004013B6" w:rsidRPr="004013B6" w:rsidRDefault="004013B6" w:rsidP="00870C48">
            <w:pPr>
              <w:tabs>
                <w:tab w:val="left" w:pos="567"/>
              </w:tabs>
              <w:spacing w:before="40" w:after="40"/>
              <w:jc w:val="both"/>
              <w:rPr>
                <w:rFonts w:ascii="Times New Roman" w:hAnsi="Times New Roman" w:cs="Times New Roman"/>
              </w:rPr>
            </w:pPr>
            <w:r w:rsidRPr="004013B6">
              <w:rPr>
                <w:rFonts w:ascii="Times New Roman" w:hAnsi="Times New Roman" w:cs="Times New Roman"/>
                <w:color w:val="000000"/>
              </w:rPr>
              <w:t>29</w:t>
            </w:r>
          </w:p>
        </w:tc>
        <w:tc>
          <w:tcPr>
            <w:tcW w:w="1541" w:type="dxa"/>
            <w:tcBorders>
              <w:top w:val="single" w:sz="4" w:space="0" w:color="auto"/>
            </w:tcBorders>
            <w:vAlign w:val="center"/>
          </w:tcPr>
          <w:p w14:paraId="1B2F38E9" w14:textId="77777777" w:rsidR="004013B6" w:rsidRPr="004013B6" w:rsidRDefault="004013B6" w:rsidP="00870C48">
            <w:pPr>
              <w:tabs>
                <w:tab w:val="left" w:pos="567"/>
              </w:tabs>
              <w:spacing w:before="40" w:after="40"/>
              <w:jc w:val="both"/>
              <w:rPr>
                <w:rFonts w:ascii="Times New Roman" w:hAnsi="Times New Roman" w:cs="Times New Roman"/>
              </w:rPr>
            </w:pPr>
            <w:r w:rsidRPr="004013B6">
              <w:rPr>
                <w:rFonts w:ascii="Times New Roman" w:hAnsi="Times New Roman" w:cs="Times New Roman"/>
                <w:color w:val="000000"/>
              </w:rPr>
              <w:t>29</w:t>
            </w:r>
          </w:p>
        </w:tc>
        <w:tc>
          <w:tcPr>
            <w:tcW w:w="1541" w:type="dxa"/>
            <w:tcBorders>
              <w:top w:val="single" w:sz="4" w:space="0" w:color="auto"/>
            </w:tcBorders>
            <w:vAlign w:val="center"/>
          </w:tcPr>
          <w:p w14:paraId="7DA6FEF5" w14:textId="77777777" w:rsidR="004013B6" w:rsidRPr="004013B6" w:rsidRDefault="004013B6" w:rsidP="00870C48">
            <w:pPr>
              <w:tabs>
                <w:tab w:val="left" w:pos="567"/>
              </w:tabs>
              <w:spacing w:before="40" w:after="40"/>
              <w:jc w:val="both"/>
              <w:rPr>
                <w:rFonts w:ascii="Times New Roman" w:hAnsi="Times New Roman" w:cs="Times New Roman"/>
              </w:rPr>
            </w:pPr>
            <w:r w:rsidRPr="004013B6">
              <w:rPr>
                <w:rFonts w:ascii="Times New Roman" w:hAnsi="Times New Roman" w:cs="Times New Roman"/>
                <w:color w:val="000000"/>
              </w:rPr>
              <w:t>92</w:t>
            </w:r>
          </w:p>
        </w:tc>
      </w:tr>
    </w:tbl>
    <w:p w14:paraId="52367D50" w14:textId="77777777" w:rsidR="004013B6" w:rsidRPr="00870C48" w:rsidRDefault="004013B6" w:rsidP="00F50315">
      <w:pPr>
        <w:tabs>
          <w:tab w:val="left" w:pos="567"/>
        </w:tabs>
        <w:spacing w:after="0" w:line="240" w:lineRule="auto"/>
        <w:jc w:val="both"/>
        <w:rPr>
          <w:rFonts w:ascii="Times New Roman" w:hAnsi="Times New Roman" w:cs="Times New Roman"/>
          <w:sz w:val="20"/>
          <w:szCs w:val="20"/>
        </w:rPr>
      </w:pPr>
      <w:r w:rsidRPr="00870C48">
        <w:rPr>
          <w:rFonts w:ascii="Times New Roman" w:hAnsi="Times New Roman" w:cs="Times New Roman"/>
          <w:sz w:val="20"/>
          <w:szCs w:val="20"/>
        </w:rPr>
        <w:t>MPO = Maori, Pacific Island or Other ethnicity; EA = NZ European or Asian</w:t>
      </w:r>
    </w:p>
    <w:p w14:paraId="10D8BE06" w14:textId="77777777" w:rsidR="0048470A" w:rsidRDefault="0048470A" w:rsidP="00F50315">
      <w:pPr>
        <w:tabs>
          <w:tab w:val="left" w:pos="567"/>
        </w:tabs>
        <w:spacing w:after="0" w:line="288" w:lineRule="auto"/>
        <w:jc w:val="both"/>
        <w:rPr>
          <w:rFonts w:asciiTheme="majorBidi" w:hAnsiTheme="majorBidi" w:cstheme="majorBidi"/>
          <w:sz w:val="24"/>
          <w:szCs w:val="24"/>
        </w:rPr>
      </w:pPr>
    </w:p>
    <w:p w14:paraId="17394D14" w14:textId="77777777" w:rsidR="00E011EE" w:rsidRPr="00E011EE" w:rsidRDefault="00E011EE" w:rsidP="00F50315">
      <w:pPr>
        <w:tabs>
          <w:tab w:val="left" w:pos="567"/>
        </w:tabs>
        <w:spacing w:after="0" w:line="288" w:lineRule="auto"/>
        <w:ind w:firstLine="720"/>
        <w:jc w:val="both"/>
        <w:rPr>
          <w:rFonts w:asciiTheme="majorBidi" w:hAnsiTheme="majorBidi" w:cstheme="majorBidi"/>
          <w:sz w:val="16"/>
          <w:szCs w:val="16"/>
        </w:rPr>
      </w:pPr>
    </w:p>
    <w:p w14:paraId="6031C527" w14:textId="1C26BDBD" w:rsidR="004F7149" w:rsidRDefault="00D55831" w:rsidP="00F50315">
      <w:pPr>
        <w:tabs>
          <w:tab w:val="left" w:pos="567"/>
        </w:tabs>
        <w:spacing w:after="0" w:line="288" w:lineRule="auto"/>
        <w:ind w:firstLine="720"/>
        <w:jc w:val="both"/>
        <w:rPr>
          <w:rFonts w:asciiTheme="majorBidi" w:hAnsiTheme="majorBidi" w:cstheme="majorBidi"/>
          <w:sz w:val="24"/>
          <w:szCs w:val="24"/>
        </w:rPr>
      </w:pPr>
      <w:r w:rsidRPr="00357D66">
        <w:rPr>
          <w:rFonts w:asciiTheme="majorBidi" w:hAnsiTheme="majorBidi" w:cstheme="majorBidi"/>
          <w:sz w:val="24"/>
          <w:szCs w:val="24"/>
        </w:rPr>
        <w:t xml:space="preserve">Of the 92 students in the sample, </w:t>
      </w:r>
      <w:r w:rsidR="00300D21" w:rsidRPr="00357D66">
        <w:rPr>
          <w:rFonts w:asciiTheme="majorBidi" w:hAnsiTheme="majorBidi" w:cstheme="majorBidi"/>
          <w:sz w:val="24"/>
          <w:szCs w:val="24"/>
        </w:rPr>
        <w:t>46</w:t>
      </w:r>
      <w:r w:rsidRPr="00357D66">
        <w:rPr>
          <w:rFonts w:asciiTheme="majorBidi" w:hAnsiTheme="majorBidi" w:cstheme="majorBidi"/>
          <w:sz w:val="24"/>
          <w:szCs w:val="24"/>
        </w:rPr>
        <w:t xml:space="preserve"> passed the course and </w:t>
      </w:r>
      <w:r w:rsidR="00300D21" w:rsidRPr="00357D66">
        <w:rPr>
          <w:rFonts w:asciiTheme="majorBidi" w:hAnsiTheme="majorBidi" w:cstheme="majorBidi"/>
          <w:sz w:val="24"/>
          <w:szCs w:val="24"/>
        </w:rPr>
        <w:t>44</w:t>
      </w:r>
      <w:r w:rsidRPr="00357D66">
        <w:rPr>
          <w:rFonts w:asciiTheme="majorBidi" w:hAnsiTheme="majorBidi" w:cstheme="majorBidi"/>
          <w:sz w:val="24"/>
          <w:szCs w:val="24"/>
        </w:rPr>
        <w:t xml:space="preserve"> failed, while two students in 2014 (one </w:t>
      </w:r>
      <w:r w:rsidR="001E3C3D" w:rsidRPr="00357D66">
        <w:rPr>
          <w:rFonts w:asciiTheme="majorBidi" w:hAnsiTheme="majorBidi" w:cstheme="majorBidi"/>
          <w:sz w:val="24"/>
          <w:szCs w:val="24"/>
        </w:rPr>
        <w:t xml:space="preserve">each </w:t>
      </w:r>
      <w:r w:rsidRPr="00357D66">
        <w:rPr>
          <w:rFonts w:asciiTheme="majorBidi" w:hAnsiTheme="majorBidi" w:cstheme="majorBidi"/>
          <w:sz w:val="24"/>
          <w:szCs w:val="24"/>
        </w:rPr>
        <w:t xml:space="preserve">from Treatment Group B, and </w:t>
      </w:r>
      <w:proofErr w:type="gramStart"/>
      <w:r w:rsidR="001E3C3D" w:rsidRPr="00357D66">
        <w:rPr>
          <w:rFonts w:asciiTheme="majorBidi" w:hAnsiTheme="majorBidi" w:cstheme="majorBidi"/>
          <w:sz w:val="24"/>
          <w:szCs w:val="24"/>
        </w:rPr>
        <w:t xml:space="preserve">the </w:t>
      </w:r>
      <w:r w:rsidRPr="00357D66">
        <w:rPr>
          <w:rFonts w:asciiTheme="majorBidi" w:hAnsiTheme="majorBidi" w:cstheme="majorBidi"/>
          <w:sz w:val="24"/>
          <w:szCs w:val="24"/>
        </w:rPr>
        <w:t xml:space="preserve"> </w:t>
      </w:r>
      <w:r w:rsidR="001E3C3D" w:rsidRPr="00357D66">
        <w:rPr>
          <w:rFonts w:asciiTheme="majorBidi" w:hAnsiTheme="majorBidi" w:cstheme="majorBidi"/>
          <w:sz w:val="24"/>
          <w:szCs w:val="24"/>
        </w:rPr>
        <w:t>C</w:t>
      </w:r>
      <w:r w:rsidRPr="00357D66">
        <w:rPr>
          <w:rFonts w:asciiTheme="majorBidi" w:hAnsiTheme="majorBidi" w:cstheme="majorBidi"/>
          <w:sz w:val="24"/>
          <w:szCs w:val="24"/>
        </w:rPr>
        <w:t>ontrol</w:t>
      </w:r>
      <w:proofErr w:type="gramEnd"/>
      <w:r w:rsidR="001E3C3D" w:rsidRPr="00357D66">
        <w:rPr>
          <w:rFonts w:asciiTheme="majorBidi" w:hAnsiTheme="majorBidi" w:cstheme="majorBidi"/>
          <w:sz w:val="24"/>
          <w:szCs w:val="24"/>
        </w:rPr>
        <w:t xml:space="preserve"> group</w:t>
      </w:r>
      <w:r w:rsidRPr="00357D66">
        <w:rPr>
          <w:rFonts w:asciiTheme="majorBidi" w:hAnsiTheme="majorBidi" w:cstheme="majorBidi"/>
          <w:sz w:val="24"/>
          <w:szCs w:val="24"/>
        </w:rPr>
        <w:t>) made late withdrawals from the course. This reduces the overall sample size</w:t>
      </w:r>
      <w:r w:rsidR="00E36F9E" w:rsidRPr="00357D66">
        <w:rPr>
          <w:rFonts w:asciiTheme="majorBidi" w:hAnsiTheme="majorBidi" w:cstheme="majorBidi"/>
          <w:sz w:val="24"/>
          <w:szCs w:val="24"/>
        </w:rPr>
        <w:t xml:space="preserve"> in the remaining tables below</w:t>
      </w:r>
      <w:r w:rsidRPr="00357D66">
        <w:rPr>
          <w:rFonts w:asciiTheme="majorBidi" w:hAnsiTheme="majorBidi" w:cstheme="majorBidi"/>
          <w:sz w:val="24"/>
          <w:szCs w:val="24"/>
        </w:rPr>
        <w:t xml:space="preserve"> to 90. By experimental group, in 2013 </w:t>
      </w:r>
      <w:r w:rsidR="00300D21" w:rsidRPr="00357D66">
        <w:rPr>
          <w:rFonts w:asciiTheme="majorBidi" w:hAnsiTheme="majorBidi" w:cstheme="majorBidi"/>
          <w:sz w:val="24"/>
          <w:szCs w:val="24"/>
        </w:rPr>
        <w:t>8</w:t>
      </w:r>
      <w:r w:rsidRPr="00357D66">
        <w:rPr>
          <w:rFonts w:asciiTheme="majorBidi" w:hAnsiTheme="majorBidi" w:cstheme="majorBidi"/>
          <w:sz w:val="24"/>
          <w:szCs w:val="24"/>
        </w:rPr>
        <w:t xml:space="preserve"> out of </w:t>
      </w:r>
      <w:r w:rsidR="00300D21" w:rsidRPr="00357D66">
        <w:rPr>
          <w:rFonts w:asciiTheme="majorBidi" w:hAnsiTheme="majorBidi" w:cstheme="majorBidi"/>
          <w:sz w:val="24"/>
          <w:szCs w:val="24"/>
        </w:rPr>
        <w:t>15</w:t>
      </w:r>
      <w:r w:rsidRPr="00357D66">
        <w:rPr>
          <w:rFonts w:asciiTheme="majorBidi" w:hAnsiTheme="majorBidi" w:cstheme="majorBidi"/>
          <w:sz w:val="24"/>
          <w:szCs w:val="24"/>
        </w:rPr>
        <w:t xml:space="preserve"> (</w:t>
      </w:r>
      <w:r w:rsidR="00300D21" w:rsidRPr="00357D66">
        <w:rPr>
          <w:rFonts w:asciiTheme="majorBidi" w:hAnsiTheme="majorBidi" w:cstheme="majorBidi"/>
          <w:sz w:val="24"/>
          <w:szCs w:val="24"/>
        </w:rPr>
        <w:t>53.3</w:t>
      </w:r>
      <w:r w:rsidRPr="00357D66">
        <w:rPr>
          <w:rFonts w:asciiTheme="majorBidi" w:hAnsiTheme="majorBidi" w:cstheme="majorBidi"/>
          <w:sz w:val="24"/>
          <w:szCs w:val="24"/>
        </w:rPr>
        <w:t>%) from the control group passed</w:t>
      </w:r>
      <w:r w:rsidR="00E717EE" w:rsidRPr="00357D66">
        <w:rPr>
          <w:rFonts w:asciiTheme="majorBidi" w:hAnsiTheme="majorBidi" w:cstheme="majorBidi"/>
          <w:sz w:val="24"/>
          <w:szCs w:val="24"/>
        </w:rPr>
        <w:t xml:space="preserve"> the course</w:t>
      </w:r>
      <w:r w:rsidRPr="00357D66">
        <w:rPr>
          <w:rFonts w:asciiTheme="majorBidi" w:hAnsiTheme="majorBidi" w:cstheme="majorBidi"/>
          <w:sz w:val="24"/>
          <w:szCs w:val="24"/>
        </w:rPr>
        <w:t xml:space="preserve">, </w:t>
      </w:r>
      <w:r w:rsidR="00E717EE" w:rsidRPr="00357D66">
        <w:rPr>
          <w:rFonts w:asciiTheme="majorBidi" w:hAnsiTheme="majorBidi" w:cstheme="majorBidi"/>
          <w:sz w:val="24"/>
          <w:szCs w:val="24"/>
        </w:rPr>
        <w:t xml:space="preserve">compared with </w:t>
      </w:r>
      <w:r w:rsidR="00300D21" w:rsidRPr="00357D66">
        <w:rPr>
          <w:rFonts w:asciiTheme="majorBidi" w:hAnsiTheme="majorBidi" w:cstheme="majorBidi"/>
          <w:sz w:val="24"/>
          <w:szCs w:val="24"/>
        </w:rPr>
        <w:t>10</w:t>
      </w:r>
      <w:r w:rsidRPr="00357D66">
        <w:rPr>
          <w:rFonts w:asciiTheme="majorBidi" w:hAnsiTheme="majorBidi" w:cstheme="majorBidi"/>
          <w:sz w:val="24"/>
          <w:szCs w:val="24"/>
        </w:rPr>
        <w:t xml:space="preserve"> out of </w:t>
      </w:r>
      <w:r w:rsidR="00300D21" w:rsidRPr="00357D66">
        <w:rPr>
          <w:rFonts w:asciiTheme="majorBidi" w:hAnsiTheme="majorBidi" w:cstheme="majorBidi"/>
          <w:sz w:val="24"/>
          <w:szCs w:val="24"/>
        </w:rPr>
        <w:t>15</w:t>
      </w:r>
      <w:r w:rsidRPr="00357D66">
        <w:rPr>
          <w:rFonts w:asciiTheme="majorBidi" w:hAnsiTheme="majorBidi" w:cstheme="majorBidi"/>
          <w:sz w:val="24"/>
          <w:szCs w:val="24"/>
        </w:rPr>
        <w:t xml:space="preserve"> (</w:t>
      </w:r>
      <w:r w:rsidR="00300D21" w:rsidRPr="00357D66">
        <w:rPr>
          <w:rFonts w:asciiTheme="majorBidi" w:hAnsiTheme="majorBidi" w:cstheme="majorBidi"/>
          <w:sz w:val="24"/>
          <w:szCs w:val="24"/>
        </w:rPr>
        <w:t>66.7</w:t>
      </w:r>
      <w:r w:rsidRPr="00357D66">
        <w:rPr>
          <w:rFonts w:asciiTheme="majorBidi" w:hAnsiTheme="majorBidi" w:cstheme="majorBidi"/>
          <w:sz w:val="24"/>
          <w:szCs w:val="24"/>
        </w:rPr>
        <w:t>%) from Treatment Group A</w:t>
      </w:r>
      <w:r w:rsidR="00E717EE" w:rsidRPr="00357D66">
        <w:rPr>
          <w:rFonts w:asciiTheme="majorBidi" w:hAnsiTheme="majorBidi" w:cstheme="majorBidi"/>
          <w:sz w:val="24"/>
          <w:szCs w:val="24"/>
        </w:rPr>
        <w:t xml:space="preserve">, and </w:t>
      </w:r>
      <w:r w:rsidR="00300D21" w:rsidRPr="00357D66">
        <w:rPr>
          <w:rFonts w:asciiTheme="majorBidi" w:hAnsiTheme="majorBidi" w:cstheme="majorBidi"/>
          <w:sz w:val="24"/>
          <w:szCs w:val="24"/>
        </w:rPr>
        <w:t>7</w:t>
      </w:r>
      <w:r w:rsidR="00E717EE" w:rsidRPr="00357D66">
        <w:rPr>
          <w:rFonts w:asciiTheme="majorBidi" w:hAnsiTheme="majorBidi" w:cstheme="majorBidi"/>
          <w:sz w:val="24"/>
          <w:szCs w:val="24"/>
        </w:rPr>
        <w:t xml:space="preserve"> out of </w:t>
      </w:r>
      <w:r w:rsidR="00300D21" w:rsidRPr="00357D66">
        <w:rPr>
          <w:rFonts w:asciiTheme="majorBidi" w:hAnsiTheme="majorBidi" w:cstheme="majorBidi"/>
          <w:sz w:val="24"/>
          <w:szCs w:val="24"/>
        </w:rPr>
        <w:t>15</w:t>
      </w:r>
      <w:r w:rsidR="00E717EE" w:rsidRPr="00357D66">
        <w:rPr>
          <w:rFonts w:asciiTheme="majorBidi" w:hAnsiTheme="majorBidi" w:cstheme="majorBidi"/>
          <w:sz w:val="24"/>
          <w:szCs w:val="24"/>
        </w:rPr>
        <w:t xml:space="preserve"> (</w:t>
      </w:r>
      <w:r w:rsidR="00300D21" w:rsidRPr="00357D66">
        <w:rPr>
          <w:rFonts w:asciiTheme="majorBidi" w:hAnsiTheme="majorBidi" w:cstheme="majorBidi"/>
          <w:sz w:val="24"/>
          <w:szCs w:val="24"/>
        </w:rPr>
        <w:t>46.7</w:t>
      </w:r>
      <w:r w:rsidR="00E717EE" w:rsidRPr="00357D66">
        <w:rPr>
          <w:rFonts w:asciiTheme="majorBidi" w:hAnsiTheme="majorBidi" w:cstheme="majorBidi"/>
          <w:sz w:val="24"/>
          <w:szCs w:val="24"/>
        </w:rPr>
        <w:t xml:space="preserve">%) from Treatment Group B. In 2014, </w:t>
      </w:r>
      <w:r w:rsidR="00300D21" w:rsidRPr="00357D66">
        <w:rPr>
          <w:rFonts w:asciiTheme="majorBidi" w:hAnsiTheme="majorBidi" w:cstheme="majorBidi"/>
          <w:sz w:val="24"/>
          <w:szCs w:val="24"/>
        </w:rPr>
        <w:t>5</w:t>
      </w:r>
      <w:r w:rsidR="00E717EE" w:rsidRPr="00357D66">
        <w:rPr>
          <w:rFonts w:asciiTheme="majorBidi" w:hAnsiTheme="majorBidi" w:cstheme="majorBidi"/>
          <w:sz w:val="24"/>
          <w:szCs w:val="24"/>
        </w:rPr>
        <w:t xml:space="preserve"> out of </w:t>
      </w:r>
      <w:r w:rsidR="00300D21" w:rsidRPr="00357D66">
        <w:rPr>
          <w:rFonts w:asciiTheme="majorBidi" w:hAnsiTheme="majorBidi" w:cstheme="majorBidi"/>
          <w:sz w:val="24"/>
          <w:szCs w:val="24"/>
        </w:rPr>
        <w:t>16</w:t>
      </w:r>
      <w:r w:rsidR="00E717EE" w:rsidRPr="00357D66">
        <w:rPr>
          <w:rFonts w:asciiTheme="majorBidi" w:hAnsiTheme="majorBidi" w:cstheme="majorBidi"/>
          <w:sz w:val="24"/>
          <w:szCs w:val="24"/>
        </w:rPr>
        <w:t xml:space="preserve"> (</w:t>
      </w:r>
      <w:r w:rsidR="00300D21" w:rsidRPr="00357D66">
        <w:rPr>
          <w:rFonts w:asciiTheme="majorBidi" w:hAnsiTheme="majorBidi" w:cstheme="majorBidi"/>
          <w:sz w:val="24"/>
          <w:szCs w:val="24"/>
        </w:rPr>
        <w:t>31.3</w:t>
      </w:r>
      <w:r w:rsidR="00E717EE" w:rsidRPr="00357D66">
        <w:rPr>
          <w:rFonts w:asciiTheme="majorBidi" w:hAnsiTheme="majorBidi" w:cstheme="majorBidi"/>
          <w:sz w:val="24"/>
          <w:szCs w:val="24"/>
        </w:rPr>
        <w:t xml:space="preserve">%) from the control group </w:t>
      </w:r>
      <w:r w:rsidR="00E717EE" w:rsidRPr="00357D66">
        <w:rPr>
          <w:rFonts w:asciiTheme="majorBidi" w:hAnsiTheme="majorBidi" w:cstheme="majorBidi"/>
          <w:sz w:val="24"/>
          <w:szCs w:val="24"/>
        </w:rPr>
        <w:lastRenderedPageBreak/>
        <w:t xml:space="preserve">passed the course, compared with </w:t>
      </w:r>
      <w:r w:rsidR="00300D21" w:rsidRPr="00357D66">
        <w:rPr>
          <w:rFonts w:asciiTheme="majorBidi" w:hAnsiTheme="majorBidi" w:cstheme="majorBidi"/>
          <w:sz w:val="24"/>
          <w:szCs w:val="24"/>
        </w:rPr>
        <w:t>7</w:t>
      </w:r>
      <w:r w:rsidR="00E717EE" w:rsidRPr="00357D66">
        <w:rPr>
          <w:rFonts w:asciiTheme="majorBidi" w:hAnsiTheme="majorBidi" w:cstheme="majorBidi"/>
          <w:sz w:val="24"/>
          <w:szCs w:val="24"/>
        </w:rPr>
        <w:t xml:space="preserve"> out of </w:t>
      </w:r>
      <w:r w:rsidR="00300D21" w:rsidRPr="00357D66">
        <w:rPr>
          <w:rFonts w:asciiTheme="majorBidi" w:hAnsiTheme="majorBidi" w:cstheme="majorBidi"/>
          <w:sz w:val="24"/>
          <w:szCs w:val="24"/>
        </w:rPr>
        <w:t>15</w:t>
      </w:r>
      <w:r w:rsidR="00E717EE" w:rsidRPr="00357D66">
        <w:rPr>
          <w:rFonts w:asciiTheme="majorBidi" w:hAnsiTheme="majorBidi" w:cstheme="majorBidi"/>
          <w:sz w:val="24"/>
          <w:szCs w:val="24"/>
        </w:rPr>
        <w:t xml:space="preserve"> (</w:t>
      </w:r>
      <w:r w:rsidR="00300D21" w:rsidRPr="00357D66">
        <w:rPr>
          <w:rFonts w:asciiTheme="majorBidi" w:hAnsiTheme="majorBidi" w:cstheme="majorBidi"/>
          <w:sz w:val="24"/>
          <w:szCs w:val="24"/>
        </w:rPr>
        <w:t>46.7</w:t>
      </w:r>
      <w:r w:rsidR="00E717EE" w:rsidRPr="00357D66">
        <w:rPr>
          <w:rFonts w:asciiTheme="majorBidi" w:hAnsiTheme="majorBidi" w:cstheme="majorBidi"/>
          <w:sz w:val="24"/>
          <w:szCs w:val="24"/>
        </w:rPr>
        <w:t xml:space="preserve">%) from Treatment Group A, and </w:t>
      </w:r>
      <w:r w:rsidR="00300D21" w:rsidRPr="00357D66">
        <w:rPr>
          <w:rFonts w:asciiTheme="majorBidi" w:hAnsiTheme="majorBidi" w:cstheme="majorBidi"/>
          <w:sz w:val="24"/>
          <w:szCs w:val="24"/>
        </w:rPr>
        <w:t>9</w:t>
      </w:r>
      <w:r w:rsidR="00E717EE" w:rsidRPr="00357D66">
        <w:rPr>
          <w:rFonts w:asciiTheme="majorBidi" w:hAnsiTheme="majorBidi" w:cstheme="majorBidi"/>
          <w:sz w:val="24"/>
          <w:szCs w:val="24"/>
        </w:rPr>
        <w:t xml:space="preserve"> out of </w:t>
      </w:r>
      <w:r w:rsidR="00300D21" w:rsidRPr="00357D66">
        <w:rPr>
          <w:rFonts w:asciiTheme="majorBidi" w:hAnsiTheme="majorBidi" w:cstheme="majorBidi"/>
          <w:sz w:val="24"/>
          <w:szCs w:val="24"/>
        </w:rPr>
        <w:t>14</w:t>
      </w:r>
      <w:r w:rsidR="00E717EE" w:rsidRPr="00357D66">
        <w:rPr>
          <w:rFonts w:asciiTheme="majorBidi" w:hAnsiTheme="majorBidi" w:cstheme="majorBidi"/>
          <w:sz w:val="24"/>
          <w:szCs w:val="24"/>
        </w:rPr>
        <w:t xml:space="preserve"> (</w:t>
      </w:r>
      <w:r w:rsidR="00300D21" w:rsidRPr="00357D66">
        <w:rPr>
          <w:rFonts w:asciiTheme="majorBidi" w:hAnsiTheme="majorBidi" w:cstheme="majorBidi"/>
          <w:sz w:val="24"/>
          <w:szCs w:val="24"/>
        </w:rPr>
        <w:t>64.3</w:t>
      </w:r>
      <w:r w:rsidR="00E717EE" w:rsidRPr="00357D66">
        <w:rPr>
          <w:rFonts w:asciiTheme="majorBidi" w:hAnsiTheme="majorBidi" w:cstheme="majorBidi"/>
          <w:sz w:val="24"/>
          <w:szCs w:val="24"/>
        </w:rPr>
        <w:t>%) from Treatment Group B.</w:t>
      </w:r>
    </w:p>
    <w:p w14:paraId="7AEF8F6B" w14:textId="77777777" w:rsidR="00E12BFB" w:rsidRPr="00357D66" w:rsidRDefault="00E12BFB" w:rsidP="00F50315">
      <w:pPr>
        <w:tabs>
          <w:tab w:val="left" w:pos="567"/>
        </w:tabs>
        <w:spacing w:after="0" w:line="288" w:lineRule="auto"/>
        <w:ind w:firstLine="720"/>
        <w:jc w:val="both"/>
        <w:rPr>
          <w:rFonts w:asciiTheme="majorBidi" w:hAnsiTheme="majorBidi" w:cstheme="majorBidi"/>
          <w:sz w:val="24"/>
          <w:szCs w:val="24"/>
        </w:rPr>
      </w:pPr>
    </w:p>
    <w:p w14:paraId="492121ED" w14:textId="77777777" w:rsidR="00E011EE" w:rsidRDefault="00E717EE" w:rsidP="00E011EE">
      <w:pPr>
        <w:tabs>
          <w:tab w:val="left" w:pos="567"/>
        </w:tabs>
        <w:spacing w:after="0" w:line="288" w:lineRule="auto"/>
        <w:ind w:firstLine="567"/>
        <w:jc w:val="both"/>
        <w:rPr>
          <w:rFonts w:asciiTheme="majorBidi" w:hAnsiTheme="majorBidi" w:cstheme="majorBidi"/>
          <w:sz w:val="24"/>
          <w:szCs w:val="24"/>
        </w:rPr>
      </w:pPr>
      <w:r w:rsidRPr="00357D66">
        <w:rPr>
          <w:rFonts w:asciiTheme="majorBidi" w:hAnsiTheme="majorBidi" w:cstheme="majorBidi"/>
          <w:sz w:val="24"/>
          <w:szCs w:val="24"/>
        </w:rPr>
        <w:t>Table 4 shows the logistic regression results (</w:t>
      </w:r>
      <w:r w:rsidR="00181068" w:rsidRPr="00357D66">
        <w:rPr>
          <w:rFonts w:asciiTheme="majorBidi" w:hAnsiTheme="majorBidi" w:cstheme="majorBidi"/>
          <w:sz w:val="24"/>
          <w:szCs w:val="24"/>
        </w:rPr>
        <w:t xml:space="preserve">with </w:t>
      </w:r>
      <w:r w:rsidRPr="00357D66">
        <w:rPr>
          <w:rFonts w:asciiTheme="majorBidi" w:hAnsiTheme="majorBidi" w:cstheme="majorBidi"/>
          <w:i/>
          <w:sz w:val="24"/>
          <w:szCs w:val="24"/>
        </w:rPr>
        <w:t>Pass</w:t>
      </w:r>
      <w:r w:rsidRPr="00357D66">
        <w:rPr>
          <w:rFonts w:asciiTheme="majorBidi" w:hAnsiTheme="majorBidi" w:cstheme="majorBidi"/>
          <w:sz w:val="24"/>
          <w:szCs w:val="24"/>
        </w:rPr>
        <w:t xml:space="preserve"> as dependent variable) separately for 2013 and 2014. The first and third columns include all students, while the second and fourth columns include students’ high school decile rating as an explanatory variable, reducing the sample </w:t>
      </w:r>
      <w:r w:rsidR="00BF4E3E" w:rsidRPr="00357D66">
        <w:rPr>
          <w:rFonts w:asciiTheme="majorBidi" w:hAnsiTheme="majorBidi" w:cstheme="majorBidi"/>
          <w:sz w:val="24"/>
          <w:szCs w:val="24"/>
        </w:rPr>
        <w:t xml:space="preserve">size to </w:t>
      </w:r>
      <w:r w:rsidR="00265495" w:rsidRPr="00357D66">
        <w:rPr>
          <w:rFonts w:asciiTheme="majorBidi" w:hAnsiTheme="majorBidi" w:cstheme="majorBidi"/>
          <w:sz w:val="24"/>
          <w:szCs w:val="24"/>
        </w:rPr>
        <w:t xml:space="preserve">the number of </w:t>
      </w:r>
      <w:r w:rsidR="00BF4E3E" w:rsidRPr="00357D66">
        <w:rPr>
          <w:rFonts w:asciiTheme="majorBidi" w:hAnsiTheme="majorBidi" w:cstheme="majorBidi"/>
          <w:sz w:val="24"/>
          <w:szCs w:val="24"/>
        </w:rPr>
        <w:t>domestic students</w:t>
      </w:r>
      <w:r w:rsidR="00265495" w:rsidRPr="00357D66">
        <w:rPr>
          <w:rFonts w:asciiTheme="majorBidi" w:hAnsiTheme="majorBidi" w:cstheme="majorBidi"/>
          <w:sz w:val="24"/>
          <w:szCs w:val="24"/>
        </w:rPr>
        <w:t xml:space="preserve"> in the sample</w:t>
      </w:r>
      <w:r w:rsidR="00BF4E3E" w:rsidRPr="00357D66">
        <w:rPr>
          <w:rFonts w:asciiTheme="majorBidi" w:hAnsiTheme="majorBidi" w:cstheme="majorBidi"/>
          <w:sz w:val="24"/>
          <w:szCs w:val="24"/>
        </w:rPr>
        <w:t xml:space="preserve">. In 2013, Treatment A appears to increase the odds of students passing the course, while Treatment B decreases the odds of passing the course. However, these results are not statistically significant. </w:t>
      </w:r>
    </w:p>
    <w:p w14:paraId="26E55266" w14:textId="77777777" w:rsidR="00E011EE" w:rsidRDefault="00E011EE" w:rsidP="00F50315">
      <w:pPr>
        <w:tabs>
          <w:tab w:val="left" w:pos="567"/>
        </w:tabs>
        <w:spacing w:after="0" w:line="288" w:lineRule="auto"/>
        <w:ind w:firstLine="720"/>
        <w:jc w:val="both"/>
        <w:rPr>
          <w:rFonts w:asciiTheme="majorBidi" w:hAnsiTheme="majorBidi" w:cstheme="majorBidi"/>
          <w:sz w:val="24"/>
          <w:szCs w:val="24"/>
        </w:rPr>
      </w:pPr>
    </w:p>
    <w:p w14:paraId="0E59A5C1" w14:textId="171F4D4D" w:rsidR="00E717EE" w:rsidRDefault="00BF4E3E" w:rsidP="00E011EE">
      <w:pPr>
        <w:tabs>
          <w:tab w:val="left" w:pos="567"/>
        </w:tabs>
        <w:spacing w:after="0" w:line="288" w:lineRule="auto"/>
        <w:ind w:firstLine="567"/>
        <w:jc w:val="both"/>
        <w:rPr>
          <w:rFonts w:asciiTheme="majorBidi" w:hAnsiTheme="majorBidi" w:cstheme="majorBidi"/>
          <w:sz w:val="24"/>
          <w:szCs w:val="24"/>
        </w:rPr>
      </w:pPr>
      <w:r w:rsidRPr="00357D66">
        <w:rPr>
          <w:rFonts w:asciiTheme="majorBidi" w:hAnsiTheme="majorBidi" w:cstheme="majorBidi"/>
          <w:sz w:val="24"/>
          <w:szCs w:val="24"/>
        </w:rPr>
        <w:t xml:space="preserve">The results for 2014 are quite different. Both treatments appear to increase the odds of students passing the course, and the effect of Treatment B is statistically significant. Specifically, the results show that students who are part of the Treatment B group in 2014 had more than </w:t>
      </w:r>
      <w:r w:rsidR="007122EA" w:rsidRPr="00357D66">
        <w:rPr>
          <w:rFonts w:asciiTheme="majorBidi" w:hAnsiTheme="majorBidi" w:cstheme="majorBidi"/>
          <w:sz w:val="24"/>
          <w:szCs w:val="24"/>
        </w:rPr>
        <w:t>seven</w:t>
      </w:r>
      <w:r w:rsidRPr="00357D66">
        <w:rPr>
          <w:rFonts w:asciiTheme="majorBidi" w:hAnsiTheme="majorBidi" w:cstheme="majorBidi"/>
          <w:sz w:val="24"/>
          <w:szCs w:val="24"/>
        </w:rPr>
        <w:t xml:space="preserve"> times higher odds of passing than the control group</w:t>
      </w:r>
      <w:r w:rsidR="00E717EE" w:rsidRPr="00357D66">
        <w:rPr>
          <w:rFonts w:asciiTheme="majorBidi" w:hAnsiTheme="majorBidi" w:cstheme="majorBidi"/>
          <w:sz w:val="24"/>
          <w:szCs w:val="24"/>
        </w:rPr>
        <w:t xml:space="preserve">. </w:t>
      </w:r>
      <w:r w:rsidR="007122EA" w:rsidRPr="00357D66">
        <w:rPr>
          <w:rFonts w:asciiTheme="majorBidi" w:hAnsiTheme="majorBidi" w:cstheme="majorBidi"/>
          <w:sz w:val="24"/>
          <w:szCs w:val="24"/>
        </w:rPr>
        <w:t>Overall</w:t>
      </w:r>
      <w:r w:rsidR="00E717EE" w:rsidRPr="00357D66">
        <w:rPr>
          <w:rFonts w:asciiTheme="majorBidi" w:hAnsiTheme="majorBidi" w:cstheme="majorBidi"/>
          <w:sz w:val="24"/>
          <w:szCs w:val="24"/>
        </w:rPr>
        <w:t xml:space="preserve">, we cannot </w:t>
      </w:r>
      <w:r w:rsidRPr="00357D66">
        <w:rPr>
          <w:rFonts w:asciiTheme="majorBidi" w:hAnsiTheme="majorBidi" w:cstheme="majorBidi"/>
          <w:sz w:val="24"/>
          <w:szCs w:val="24"/>
        </w:rPr>
        <w:t xml:space="preserve">definitively </w:t>
      </w:r>
      <w:r w:rsidR="00E717EE" w:rsidRPr="00357D66">
        <w:rPr>
          <w:rFonts w:asciiTheme="majorBidi" w:hAnsiTheme="majorBidi" w:cstheme="majorBidi"/>
          <w:sz w:val="24"/>
          <w:szCs w:val="24"/>
        </w:rPr>
        <w:t xml:space="preserve">conclude from these sub-samples </w:t>
      </w:r>
      <w:r w:rsidRPr="00357D66">
        <w:rPr>
          <w:rFonts w:asciiTheme="majorBidi" w:hAnsiTheme="majorBidi" w:cstheme="majorBidi"/>
          <w:sz w:val="24"/>
          <w:szCs w:val="24"/>
        </w:rPr>
        <w:t xml:space="preserve">whether Treatment </w:t>
      </w:r>
      <w:proofErr w:type="gramStart"/>
      <w:r w:rsidRPr="00357D66">
        <w:rPr>
          <w:rFonts w:asciiTheme="majorBidi" w:hAnsiTheme="majorBidi" w:cstheme="majorBidi"/>
          <w:sz w:val="24"/>
          <w:szCs w:val="24"/>
        </w:rPr>
        <w:t>A</w:t>
      </w:r>
      <w:proofErr w:type="gramEnd"/>
      <w:r w:rsidR="00E717EE" w:rsidRPr="00357D66">
        <w:rPr>
          <w:rFonts w:asciiTheme="majorBidi" w:hAnsiTheme="majorBidi" w:cstheme="majorBidi"/>
          <w:sz w:val="24"/>
          <w:szCs w:val="24"/>
        </w:rPr>
        <w:t xml:space="preserve"> increase</w:t>
      </w:r>
      <w:r w:rsidRPr="00357D66">
        <w:rPr>
          <w:rFonts w:asciiTheme="majorBidi" w:hAnsiTheme="majorBidi" w:cstheme="majorBidi"/>
          <w:sz w:val="24"/>
          <w:szCs w:val="24"/>
        </w:rPr>
        <w:t>s</w:t>
      </w:r>
      <w:r w:rsidR="00E717EE" w:rsidRPr="00357D66">
        <w:rPr>
          <w:rFonts w:asciiTheme="majorBidi" w:hAnsiTheme="majorBidi" w:cstheme="majorBidi"/>
          <w:sz w:val="24"/>
          <w:szCs w:val="24"/>
        </w:rPr>
        <w:t xml:space="preserve"> the odds of students passing the paper compared to students in the control group, </w:t>
      </w:r>
      <w:r w:rsidR="000A3463" w:rsidRPr="00357D66">
        <w:rPr>
          <w:rFonts w:asciiTheme="majorBidi" w:hAnsiTheme="majorBidi" w:cstheme="majorBidi"/>
          <w:sz w:val="24"/>
          <w:szCs w:val="24"/>
        </w:rPr>
        <w:t xml:space="preserve">although the insignificance of results for Treatment A may be due to a lack of statistical power arising from the relatively small sample size. In contrast, </w:t>
      </w:r>
      <w:r w:rsidRPr="00357D66">
        <w:rPr>
          <w:rFonts w:asciiTheme="majorBidi" w:hAnsiTheme="majorBidi" w:cstheme="majorBidi"/>
          <w:sz w:val="24"/>
          <w:szCs w:val="24"/>
        </w:rPr>
        <w:t>the results for Treatment B (at least in 2014) are promising</w:t>
      </w:r>
      <w:r w:rsidR="00E717EE" w:rsidRPr="00357D66">
        <w:rPr>
          <w:rFonts w:asciiTheme="majorBidi" w:hAnsiTheme="majorBidi" w:cstheme="majorBidi"/>
          <w:sz w:val="24"/>
          <w:szCs w:val="24"/>
        </w:rPr>
        <w:t>.</w:t>
      </w:r>
    </w:p>
    <w:p w14:paraId="535E0656" w14:textId="77777777" w:rsidR="00E12BFB" w:rsidRPr="00357D66" w:rsidRDefault="00E12BFB" w:rsidP="00B92CFB">
      <w:pPr>
        <w:tabs>
          <w:tab w:val="left" w:pos="567"/>
          <w:tab w:val="left" w:pos="2694"/>
        </w:tabs>
        <w:spacing w:after="0" w:line="288" w:lineRule="auto"/>
        <w:ind w:firstLine="720"/>
        <w:jc w:val="both"/>
        <w:rPr>
          <w:rFonts w:asciiTheme="majorBidi" w:hAnsiTheme="majorBidi" w:cstheme="majorBidi"/>
          <w:sz w:val="24"/>
          <w:szCs w:val="24"/>
        </w:rPr>
      </w:pPr>
    </w:p>
    <w:p w14:paraId="42099F4B" w14:textId="77777777" w:rsidR="00B85B21" w:rsidRPr="00B85B21" w:rsidRDefault="00B85B21" w:rsidP="00870C48">
      <w:pPr>
        <w:pStyle w:val="Caption"/>
        <w:keepNext/>
        <w:tabs>
          <w:tab w:val="left" w:pos="567"/>
        </w:tabs>
        <w:spacing w:after="0"/>
        <w:jc w:val="center"/>
        <w:rPr>
          <w:rFonts w:ascii="Times New Roman" w:hAnsi="Times New Roman" w:cs="Times New Roman"/>
          <w:iCs/>
          <w:sz w:val="22"/>
          <w:szCs w:val="22"/>
        </w:rPr>
      </w:pPr>
      <w:proofErr w:type="gramStart"/>
      <w:r w:rsidRPr="00B85B21">
        <w:rPr>
          <w:rFonts w:ascii="Times New Roman" w:hAnsi="Times New Roman" w:cs="Times New Roman"/>
          <w:iCs/>
          <w:sz w:val="22"/>
          <w:szCs w:val="22"/>
        </w:rPr>
        <w:t>Table 4.</w:t>
      </w:r>
      <w:proofErr w:type="gramEnd"/>
      <w:r w:rsidRPr="00B85B21">
        <w:rPr>
          <w:rFonts w:ascii="Times New Roman" w:hAnsi="Times New Roman" w:cs="Times New Roman"/>
          <w:iCs/>
          <w:sz w:val="22"/>
          <w:szCs w:val="22"/>
        </w:rPr>
        <w:t xml:space="preserve"> Logistic Regression Results for Passing the Course, by Year</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47"/>
        <w:gridCol w:w="1848"/>
        <w:gridCol w:w="1849"/>
        <w:gridCol w:w="1849"/>
        <w:gridCol w:w="1849"/>
      </w:tblGrid>
      <w:tr w:rsidR="00B85B21" w:rsidRPr="00B85B21" w14:paraId="5D4ABE2D" w14:textId="77777777" w:rsidTr="00870C48">
        <w:tc>
          <w:tcPr>
            <w:tcW w:w="1847" w:type="dxa"/>
            <w:vMerge w:val="restart"/>
            <w:vAlign w:val="center"/>
          </w:tcPr>
          <w:p w14:paraId="0630C868" w14:textId="77777777" w:rsidR="00B85B21" w:rsidRPr="00B85B21" w:rsidRDefault="00B85B21" w:rsidP="00F50315">
            <w:pPr>
              <w:tabs>
                <w:tab w:val="left" w:pos="567"/>
              </w:tabs>
              <w:jc w:val="both"/>
              <w:rPr>
                <w:rFonts w:ascii="Times New Roman" w:hAnsi="Times New Roman" w:cs="Times New Roman"/>
              </w:rPr>
            </w:pPr>
            <w:r w:rsidRPr="00B85B21">
              <w:rPr>
                <w:rFonts w:ascii="Times New Roman" w:hAnsi="Times New Roman" w:cs="Times New Roman"/>
              </w:rPr>
              <w:t>Regressors</w:t>
            </w:r>
            <w:r w:rsidRPr="00B85B21">
              <w:rPr>
                <w:rFonts w:ascii="Times New Roman" w:hAnsi="Times New Roman" w:cs="Times New Roman"/>
                <w:vertAlign w:val="superscript"/>
              </w:rPr>
              <w:t>†</w:t>
            </w:r>
          </w:p>
        </w:tc>
        <w:tc>
          <w:tcPr>
            <w:tcW w:w="3697" w:type="dxa"/>
            <w:gridSpan w:val="2"/>
            <w:tcBorders>
              <w:bottom w:val="nil"/>
            </w:tcBorders>
          </w:tcPr>
          <w:p w14:paraId="1884EE30" w14:textId="77777777" w:rsidR="00B85B21" w:rsidRPr="00870C48" w:rsidRDefault="00B85B21" w:rsidP="00870C48">
            <w:pPr>
              <w:tabs>
                <w:tab w:val="left" w:pos="567"/>
              </w:tabs>
              <w:jc w:val="center"/>
              <w:rPr>
                <w:rFonts w:ascii="Times New Roman" w:hAnsi="Times New Roman" w:cs="Times New Roman"/>
              </w:rPr>
            </w:pPr>
            <w:r w:rsidRPr="00870C48">
              <w:rPr>
                <w:rFonts w:ascii="Times New Roman" w:hAnsi="Times New Roman" w:cs="Times New Roman"/>
              </w:rPr>
              <w:t>2013</w:t>
            </w:r>
          </w:p>
        </w:tc>
        <w:tc>
          <w:tcPr>
            <w:tcW w:w="3698" w:type="dxa"/>
            <w:gridSpan w:val="2"/>
            <w:tcBorders>
              <w:bottom w:val="nil"/>
            </w:tcBorders>
          </w:tcPr>
          <w:p w14:paraId="3EB267F3" w14:textId="77777777" w:rsidR="00B85B21" w:rsidRPr="00870C48" w:rsidRDefault="00B85B21" w:rsidP="00870C48">
            <w:pPr>
              <w:tabs>
                <w:tab w:val="left" w:pos="567"/>
              </w:tabs>
              <w:jc w:val="center"/>
              <w:rPr>
                <w:rFonts w:ascii="Times New Roman" w:hAnsi="Times New Roman" w:cs="Times New Roman"/>
              </w:rPr>
            </w:pPr>
            <w:r w:rsidRPr="00870C48">
              <w:rPr>
                <w:rFonts w:ascii="Times New Roman" w:hAnsi="Times New Roman" w:cs="Times New Roman"/>
              </w:rPr>
              <w:t>2014</w:t>
            </w:r>
          </w:p>
        </w:tc>
      </w:tr>
      <w:tr w:rsidR="00B85B21" w:rsidRPr="00B85B21" w14:paraId="25E5E445" w14:textId="77777777" w:rsidTr="00870C48">
        <w:tc>
          <w:tcPr>
            <w:tcW w:w="1847" w:type="dxa"/>
            <w:vMerge/>
            <w:vAlign w:val="center"/>
          </w:tcPr>
          <w:p w14:paraId="176EA994" w14:textId="77777777" w:rsidR="00B85B21" w:rsidRPr="00B85B21" w:rsidRDefault="00B85B21" w:rsidP="00F50315">
            <w:pPr>
              <w:tabs>
                <w:tab w:val="left" w:pos="567"/>
              </w:tabs>
              <w:jc w:val="both"/>
              <w:rPr>
                <w:rFonts w:ascii="Times New Roman" w:hAnsi="Times New Roman" w:cs="Times New Roman"/>
                <w:b/>
                <w:bCs/>
              </w:rPr>
            </w:pPr>
          </w:p>
        </w:tc>
        <w:tc>
          <w:tcPr>
            <w:tcW w:w="1848" w:type="dxa"/>
            <w:tcBorders>
              <w:top w:val="nil"/>
            </w:tcBorders>
          </w:tcPr>
          <w:p w14:paraId="0B6C5575" w14:textId="77777777" w:rsidR="00B85B21" w:rsidRPr="00B85B21" w:rsidRDefault="00B85B21" w:rsidP="00870C48">
            <w:pPr>
              <w:pStyle w:val="ListParagraph"/>
              <w:tabs>
                <w:tab w:val="left" w:pos="567"/>
              </w:tabs>
              <w:ind w:left="0"/>
              <w:jc w:val="center"/>
              <w:rPr>
                <w:rFonts w:ascii="Times New Roman" w:hAnsi="Times New Roman" w:cs="Times New Roman"/>
              </w:rPr>
            </w:pPr>
            <w:r w:rsidRPr="00B85B21">
              <w:rPr>
                <w:rFonts w:ascii="Times New Roman" w:hAnsi="Times New Roman" w:cs="Times New Roman"/>
              </w:rPr>
              <w:t>Odds Ratio</w:t>
            </w:r>
          </w:p>
          <w:p w14:paraId="56170FF1" w14:textId="77777777" w:rsidR="00B85B21" w:rsidRPr="00B85B21" w:rsidRDefault="00B85B21" w:rsidP="00870C48">
            <w:pPr>
              <w:pStyle w:val="ListParagraph"/>
              <w:tabs>
                <w:tab w:val="left" w:pos="567"/>
              </w:tabs>
              <w:ind w:left="0"/>
              <w:jc w:val="center"/>
              <w:rPr>
                <w:rFonts w:ascii="Times New Roman" w:hAnsi="Times New Roman" w:cs="Times New Roman"/>
              </w:rPr>
            </w:pPr>
            <w:r w:rsidRPr="00B85B21">
              <w:rPr>
                <w:rFonts w:ascii="Times New Roman" w:hAnsi="Times New Roman" w:cs="Times New Roman"/>
              </w:rPr>
              <w:t>(Standard error)</w:t>
            </w:r>
          </w:p>
        </w:tc>
        <w:tc>
          <w:tcPr>
            <w:tcW w:w="1849" w:type="dxa"/>
            <w:tcBorders>
              <w:top w:val="nil"/>
            </w:tcBorders>
          </w:tcPr>
          <w:p w14:paraId="4DCB715C" w14:textId="77777777" w:rsidR="00B85B21" w:rsidRPr="00B85B21" w:rsidRDefault="00B85B21" w:rsidP="00870C48">
            <w:pPr>
              <w:pStyle w:val="ListParagraph"/>
              <w:tabs>
                <w:tab w:val="left" w:pos="567"/>
              </w:tabs>
              <w:ind w:left="0"/>
              <w:jc w:val="center"/>
              <w:rPr>
                <w:rFonts w:ascii="Times New Roman" w:hAnsi="Times New Roman" w:cs="Times New Roman"/>
              </w:rPr>
            </w:pPr>
            <w:r w:rsidRPr="00B85B21">
              <w:rPr>
                <w:rFonts w:ascii="Times New Roman" w:hAnsi="Times New Roman" w:cs="Times New Roman"/>
              </w:rPr>
              <w:t>Odds Ratio</w:t>
            </w:r>
          </w:p>
          <w:p w14:paraId="10C8A3FA" w14:textId="77777777" w:rsidR="00B85B21" w:rsidRPr="00B85B21" w:rsidRDefault="00B85B21" w:rsidP="00870C48">
            <w:pPr>
              <w:tabs>
                <w:tab w:val="left" w:pos="567"/>
              </w:tabs>
              <w:jc w:val="center"/>
              <w:rPr>
                <w:rFonts w:ascii="Times New Roman" w:hAnsi="Times New Roman" w:cs="Times New Roman"/>
              </w:rPr>
            </w:pPr>
            <w:r w:rsidRPr="00B85B21">
              <w:rPr>
                <w:rFonts w:ascii="Times New Roman" w:hAnsi="Times New Roman" w:cs="Times New Roman"/>
              </w:rPr>
              <w:t>(Standard error)</w:t>
            </w:r>
          </w:p>
        </w:tc>
        <w:tc>
          <w:tcPr>
            <w:tcW w:w="1849" w:type="dxa"/>
            <w:tcBorders>
              <w:top w:val="nil"/>
            </w:tcBorders>
          </w:tcPr>
          <w:p w14:paraId="7C476138" w14:textId="77777777" w:rsidR="00B85B21" w:rsidRPr="00B85B21" w:rsidRDefault="00B85B21" w:rsidP="00870C48">
            <w:pPr>
              <w:pStyle w:val="ListParagraph"/>
              <w:tabs>
                <w:tab w:val="left" w:pos="567"/>
              </w:tabs>
              <w:ind w:left="0"/>
              <w:jc w:val="center"/>
              <w:rPr>
                <w:rFonts w:ascii="Times New Roman" w:hAnsi="Times New Roman" w:cs="Times New Roman"/>
              </w:rPr>
            </w:pPr>
            <w:r w:rsidRPr="00B85B21">
              <w:rPr>
                <w:rFonts w:ascii="Times New Roman" w:hAnsi="Times New Roman" w:cs="Times New Roman"/>
              </w:rPr>
              <w:t>Odds Ratio</w:t>
            </w:r>
          </w:p>
          <w:p w14:paraId="59699269" w14:textId="77777777" w:rsidR="00B85B21" w:rsidRPr="00B85B21" w:rsidRDefault="00B85B21" w:rsidP="00870C48">
            <w:pPr>
              <w:tabs>
                <w:tab w:val="left" w:pos="567"/>
              </w:tabs>
              <w:jc w:val="center"/>
              <w:rPr>
                <w:rFonts w:ascii="Times New Roman" w:hAnsi="Times New Roman" w:cs="Times New Roman"/>
              </w:rPr>
            </w:pPr>
            <w:r w:rsidRPr="00B85B21">
              <w:rPr>
                <w:rFonts w:ascii="Times New Roman" w:hAnsi="Times New Roman" w:cs="Times New Roman"/>
              </w:rPr>
              <w:t>(Standard error)</w:t>
            </w:r>
          </w:p>
        </w:tc>
        <w:tc>
          <w:tcPr>
            <w:tcW w:w="1849" w:type="dxa"/>
            <w:tcBorders>
              <w:top w:val="nil"/>
            </w:tcBorders>
          </w:tcPr>
          <w:p w14:paraId="4222A3BB" w14:textId="77777777" w:rsidR="00B85B21" w:rsidRPr="00B85B21" w:rsidRDefault="00B85B21" w:rsidP="00870C48">
            <w:pPr>
              <w:pStyle w:val="ListParagraph"/>
              <w:tabs>
                <w:tab w:val="left" w:pos="567"/>
              </w:tabs>
              <w:ind w:left="0"/>
              <w:jc w:val="center"/>
              <w:rPr>
                <w:rFonts w:ascii="Times New Roman" w:hAnsi="Times New Roman" w:cs="Times New Roman"/>
              </w:rPr>
            </w:pPr>
            <w:r w:rsidRPr="00B85B21">
              <w:rPr>
                <w:rFonts w:ascii="Times New Roman" w:hAnsi="Times New Roman" w:cs="Times New Roman"/>
              </w:rPr>
              <w:t>Odds Ratio</w:t>
            </w:r>
          </w:p>
          <w:p w14:paraId="45F011C1" w14:textId="77777777" w:rsidR="00B85B21" w:rsidRPr="00B85B21" w:rsidRDefault="00B85B21" w:rsidP="00870C48">
            <w:pPr>
              <w:tabs>
                <w:tab w:val="left" w:pos="567"/>
              </w:tabs>
              <w:jc w:val="center"/>
              <w:rPr>
                <w:rFonts w:ascii="Times New Roman" w:hAnsi="Times New Roman" w:cs="Times New Roman"/>
              </w:rPr>
            </w:pPr>
            <w:r w:rsidRPr="00B85B21">
              <w:rPr>
                <w:rFonts w:ascii="Times New Roman" w:hAnsi="Times New Roman" w:cs="Times New Roman"/>
              </w:rPr>
              <w:t>(Standard error)</w:t>
            </w:r>
          </w:p>
        </w:tc>
      </w:tr>
      <w:tr w:rsidR="00B85B21" w:rsidRPr="00B85B21" w14:paraId="13219DE6" w14:textId="77777777" w:rsidTr="00870C48">
        <w:tc>
          <w:tcPr>
            <w:tcW w:w="1847" w:type="dxa"/>
            <w:vMerge/>
            <w:tcBorders>
              <w:bottom w:val="nil"/>
            </w:tcBorders>
            <w:vAlign w:val="center"/>
          </w:tcPr>
          <w:p w14:paraId="7F72E5A8" w14:textId="77777777" w:rsidR="00B85B21" w:rsidRPr="00B85B21" w:rsidRDefault="00B85B21" w:rsidP="00F50315">
            <w:pPr>
              <w:tabs>
                <w:tab w:val="left" w:pos="567"/>
              </w:tabs>
              <w:jc w:val="both"/>
              <w:rPr>
                <w:rFonts w:ascii="Times New Roman" w:hAnsi="Times New Roman" w:cs="Times New Roman"/>
                <w:b/>
              </w:rPr>
            </w:pPr>
          </w:p>
        </w:tc>
        <w:tc>
          <w:tcPr>
            <w:tcW w:w="1848" w:type="dxa"/>
            <w:tcBorders>
              <w:bottom w:val="nil"/>
            </w:tcBorders>
          </w:tcPr>
          <w:p w14:paraId="75E15FE1" w14:textId="77777777" w:rsidR="00B85B21" w:rsidRPr="00870C48" w:rsidRDefault="00B85B21" w:rsidP="00870C48">
            <w:pPr>
              <w:tabs>
                <w:tab w:val="left" w:pos="567"/>
              </w:tabs>
              <w:jc w:val="center"/>
              <w:rPr>
                <w:rFonts w:ascii="Times New Roman" w:hAnsi="Times New Roman" w:cs="Times New Roman"/>
              </w:rPr>
            </w:pPr>
            <w:r w:rsidRPr="00870C48">
              <w:rPr>
                <w:rFonts w:ascii="Times New Roman" w:hAnsi="Times New Roman" w:cs="Times New Roman"/>
                <w:bCs/>
              </w:rPr>
              <w:t>(1)</w:t>
            </w:r>
          </w:p>
        </w:tc>
        <w:tc>
          <w:tcPr>
            <w:tcW w:w="1849" w:type="dxa"/>
            <w:tcBorders>
              <w:bottom w:val="nil"/>
            </w:tcBorders>
          </w:tcPr>
          <w:p w14:paraId="622832B2" w14:textId="77777777" w:rsidR="00B85B21" w:rsidRPr="00870C48" w:rsidRDefault="00B85B21" w:rsidP="00870C48">
            <w:pPr>
              <w:tabs>
                <w:tab w:val="left" w:pos="567"/>
              </w:tabs>
              <w:jc w:val="center"/>
              <w:rPr>
                <w:rFonts w:ascii="Times New Roman" w:hAnsi="Times New Roman" w:cs="Times New Roman"/>
              </w:rPr>
            </w:pPr>
            <w:r w:rsidRPr="00870C48">
              <w:rPr>
                <w:rFonts w:ascii="Times New Roman" w:hAnsi="Times New Roman" w:cs="Times New Roman"/>
                <w:bCs/>
              </w:rPr>
              <w:t>(2)</w:t>
            </w:r>
          </w:p>
        </w:tc>
        <w:tc>
          <w:tcPr>
            <w:tcW w:w="1849" w:type="dxa"/>
            <w:tcBorders>
              <w:bottom w:val="nil"/>
            </w:tcBorders>
          </w:tcPr>
          <w:p w14:paraId="3B2DCF86" w14:textId="77777777" w:rsidR="00B85B21" w:rsidRPr="00870C48" w:rsidRDefault="00B85B21" w:rsidP="00870C48">
            <w:pPr>
              <w:tabs>
                <w:tab w:val="left" w:pos="567"/>
              </w:tabs>
              <w:jc w:val="center"/>
              <w:rPr>
                <w:rFonts w:ascii="Times New Roman" w:hAnsi="Times New Roman" w:cs="Times New Roman"/>
              </w:rPr>
            </w:pPr>
            <w:r w:rsidRPr="00870C48">
              <w:rPr>
                <w:rFonts w:ascii="Times New Roman" w:hAnsi="Times New Roman" w:cs="Times New Roman"/>
                <w:bCs/>
              </w:rPr>
              <w:t>(3)</w:t>
            </w:r>
          </w:p>
        </w:tc>
        <w:tc>
          <w:tcPr>
            <w:tcW w:w="1849" w:type="dxa"/>
            <w:tcBorders>
              <w:bottom w:val="nil"/>
            </w:tcBorders>
          </w:tcPr>
          <w:p w14:paraId="677F20FE" w14:textId="77777777" w:rsidR="00B85B21" w:rsidRPr="00870C48" w:rsidRDefault="00B85B21" w:rsidP="00870C48">
            <w:pPr>
              <w:tabs>
                <w:tab w:val="left" w:pos="567"/>
              </w:tabs>
              <w:jc w:val="center"/>
              <w:rPr>
                <w:rFonts w:ascii="Times New Roman" w:hAnsi="Times New Roman" w:cs="Times New Roman"/>
              </w:rPr>
            </w:pPr>
            <w:r w:rsidRPr="00870C48">
              <w:rPr>
                <w:rFonts w:ascii="Times New Roman" w:hAnsi="Times New Roman" w:cs="Times New Roman"/>
                <w:bCs/>
              </w:rPr>
              <w:t>(4)</w:t>
            </w:r>
          </w:p>
        </w:tc>
      </w:tr>
      <w:tr w:rsidR="00B85B21" w:rsidRPr="00B85B21" w14:paraId="278C87A3" w14:textId="77777777" w:rsidTr="00870C48">
        <w:tc>
          <w:tcPr>
            <w:tcW w:w="1847" w:type="dxa"/>
            <w:tcBorders>
              <w:top w:val="nil"/>
              <w:bottom w:val="nil"/>
            </w:tcBorders>
            <w:vAlign w:val="center"/>
          </w:tcPr>
          <w:p w14:paraId="0BB32A12" w14:textId="77777777" w:rsidR="00B85B21" w:rsidRPr="00B85B21" w:rsidRDefault="00B85B21" w:rsidP="00F50315">
            <w:pPr>
              <w:tabs>
                <w:tab w:val="left" w:pos="567"/>
              </w:tabs>
              <w:jc w:val="both"/>
              <w:rPr>
                <w:rFonts w:ascii="Times New Roman" w:hAnsi="Times New Roman" w:cs="Times New Roman"/>
                <w:iCs/>
              </w:rPr>
            </w:pPr>
            <w:proofErr w:type="spellStart"/>
            <w:r w:rsidRPr="00B85B21">
              <w:rPr>
                <w:rFonts w:ascii="Times New Roman" w:hAnsi="Times New Roman" w:cs="Times New Roman"/>
                <w:iCs/>
              </w:rPr>
              <w:t>TreatmentA</w:t>
            </w:r>
            <w:proofErr w:type="spellEnd"/>
          </w:p>
        </w:tc>
        <w:tc>
          <w:tcPr>
            <w:tcW w:w="1848" w:type="dxa"/>
            <w:tcBorders>
              <w:top w:val="nil"/>
              <w:bottom w:val="nil"/>
            </w:tcBorders>
          </w:tcPr>
          <w:p w14:paraId="736199C7" w14:textId="77777777" w:rsidR="00B85B21" w:rsidRPr="00B85B21" w:rsidRDefault="00B85B21" w:rsidP="00B92CFB">
            <w:pPr>
              <w:tabs>
                <w:tab w:val="decimal" w:pos="138"/>
              </w:tabs>
              <w:jc w:val="center"/>
              <w:rPr>
                <w:rFonts w:ascii="Times New Roman" w:hAnsi="Times New Roman" w:cs="Times New Roman"/>
              </w:rPr>
            </w:pPr>
            <w:r w:rsidRPr="00B85B21">
              <w:rPr>
                <w:rFonts w:ascii="Times New Roman" w:hAnsi="Times New Roman" w:cs="Times New Roman"/>
              </w:rPr>
              <w:t>1.064</w:t>
            </w:r>
          </w:p>
          <w:p w14:paraId="02554BB3" w14:textId="77777777" w:rsidR="00B85B21" w:rsidRPr="00B85B21" w:rsidRDefault="00B85B21" w:rsidP="00B92CFB">
            <w:pPr>
              <w:tabs>
                <w:tab w:val="decimal" w:pos="138"/>
              </w:tabs>
              <w:jc w:val="center"/>
              <w:rPr>
                <w:rFonts w:ascii="Times New Roman" w:hAnsi="Times New Roman" w:cs="Times New Roman"/>
              </w:rPr>
            </w:pPr>
            <w:r w:rsidRPr="00B85B21">
              <w:rPr>
                <w:rFonts w:ascii="Times New Roman" w:hAnsi="Times New Roman" w:cs="Times New Roman"/>
              </w:rPr>
              <w:t>(1.008)</w:t>
            </w:r>
          </w:p>
        </w:tc>
        <w:tc>
          <w:tcPr>
            <w:tcW w:w="1849" w:type="dxa"/>
            <w:tcBorders>
              <w:top w:val="nil"/>
              <w:bottom w:val="nil"/>
            </w:tcBorders>
          </w:tcPr>
          <w:p w14:paraId="1D45D4CA" w14:textId="77777777" w:rsidR="00B85B21" w:rsidRPr="00B85B21" w:rsidRDefault="00B85B21" w:rsidP="00870C48">
            <w:pPr>
              <w:tabs>
                <w:tab w:val="left" w:pos="567"/>
              </w:tabs>
              <w:jc w:val="center"/>
              <w:rPr>
                <w:rFonts w:ascii="Times New Roman" w:hAnsi="Times New Roman" w:cs="Times New Roman"/>
              </w:rPr>
            </w:pPr>
            <w:r w:rsidRPr="00B85B21">
              <w:rPr>
                <w:rFonts w:ascii="Times New Roman" w:hAnsi="Times New Roman" w:cs="Times New Roman"/>
              </w:rPr>
              <w:t>1.140</w:t>
            </w:r>
          </w:p>
          <w:p w14:paraId="1B011D28" w14:textId="77777777" w:rsidR="00B85B21" w:rsidRPr="00B85B21" w:rsidRDefault="00B85B21" w:rsidP="00870C48">
            <w:pPr>
              <w:tabs>
                <w:tab w:val="left" w:pos="567"/>
              </w:tabs>
              <w:jc w:val="center"/>
              <w:rPr>
                <w:rFonts w:ascii="Times New Roman" w:hAnsi="Times New Roman" w:cs="Times New Roman"/>
              </w:rPr>
            </w:pPr>
            <w:r w:rsidRPr="00B85B21">
              <w:rPr>
                <w:rFonts w:ascii="Times New Roman" w:hAnsi="Times New Roman" w:cs="Times New Roman"/>
              </w:rPr>
              <w:t>(1.416)</w:t>
            </w:r>
          </w:p>
        </w:tc>
        <w:tc>
          <w:tcPr>
            <w:tcW w:w="1849" w:type="dxa"/>
            <w:tcBorders>
              <w:top w:val="nil"/>
              <w:bottom w:val="nil"/>
            </w:tcBorders>
          </w:tcPr>
          <w:p w14:paraId="14C854DC" w14:textId="77777777" w:rsidR="00B85B21" w:rsidRPr="00B85B21" w:rsidRDefault="00B85B21" w:rsidP="00870C48">
            <w:pPr>
              <w:tabs>
                <w:tab w:val="left" w:pos="567"/>
              </w:tabs>
              <w:jc w:val="center"/>
              <w:rPr>
                <w:rFonts w:ascii="Times New Roman" w:hAnsi="Times New Roman" w:cs="Times New Roman"/>
              </w:rPr>
            </w:pPr>
            <w:r w:rsidRPr="00B85B21">
              <w:rPr>
                <w:rFonts w:ascii="Times New Roman" w:hAnsi="Times New Roman" w:cs="Times New Roman"/>
              </w:rPr>
              <w:t>2.130</w:t>
            </w:r>
          </w:p>
          <w:p w14:paraId="646C40C7" w14:textId="77777777" w:rsidR="00B85B21" w:rsidRPr="00B85B21" w:rsidRDefault="00B85B21" w:rsidP="00870C48">
            <w:pPr>
              <w:tabs>
                <w:tab w:val="left" w:pos="567"/>
              </w:tabs>
              <w:jc w:val="center"/>
              <w:rPr>
                <w:rFonts w:ascii="Times New Roman" w:hAnsi="Times New Roman" w:cs="Times New Roman"/>
              </w:rPr>
            </w:pPr>
            <w:r w:rsidRPr="00B85B21">
              <w:rPr>
                <w:rFonts w:ascii="Times New Roman" w:hAnsi="Times New Roman" w:cs="Times New Roman"/>
              </w:rPr>
              <w:t>(1.715)</w:t>
            </w:r>
          </w:p>
        </w:tc>
        <w:tc>
          <w:tcPr>
            <w:tcW w:w="1849" w:type="dxa"/>
            <w:tcBorders>
              <w:top w:val="nil"/>
              <w:bottom w:val="nil"/>
            </w:tcBorders>
          </w:tcPr>
          <w:p w14:paraId="27FE0FBA" w14:textId="77777777" w:rsidR="00B85B21" w:rsidRPr="00B85B21" w:rsidRDefault="00B85B21" w:rsidP="00870C48">
            <w:pPr>
              <w:tabs>
                <w:tab w:val="left" w:pos="567"/>
              </w:tabs>
              <w:jc w:val="center"/>
              <w:rPr>
                <w:rFonts w:ascii="Times New Roman" w:hAnsi="Times New Roman" w:cs="Times New Roman"/>
              </w:rPr>
            </w:pPr>
            <w:r w:rsidRPr="00B85B21">
              <w:rPr>
                <w:rFonts w:ascii="Times New Roman" w:hAnsi="Times New Roman" w:cs="Times New Roman"/>
              </w:rPr>
              <w:t>2.088</w:t>
            </w:r>
          </w:p>
          <w:p w14:paraId="58AE0898" w14:textId="77777777" w:rsidR="00B85B21" w:rsidRPr="00B85B21" w:rsidRDefault="00B85B21" w:rsidP="00870C48">
            <w:pPr>
              <w:tabs>
                <w:tab w:val="left" w:pos="567"/>
              </w:tabs>
              <w:jc w:val="center"/>
              <w:rPr>
                <w:rFonts w:ascii="Times New Roman" w:hAnsi="Times New Roman" w:cs="Times New Roman"/>
              </w:rPr>
            </w:pPr>
            <w:r w:rsidRPr="00B85B21">
              <w:rPr>
                <w:rFonts w:ascii="Times New Roman" w:hAnsi="Times New Roman" w:cs="Times New Roman"/>
              </w:rPr>
              <w:t>(1.969)</w:t>
            </w:r>
          </w:p>
        </w:tc>
      </w:tr>
      <w:tr w:rsidR="00B85B21" w:rsidRPr="00B85B21" w14:paraId="7F1B6025" w14:textId="77777777" w:rsidTr="00870C48">
        <w:tc>
          <w:tcPr>
            <w:tcW w:w="1847" w:type="dxa"/>
            <w:tcBorders>
              <w:top w:val="nil"/>
              <w:bottom w:val="nil"/>
            </w:tcBorders>
            <w:vAlign w:val="center"/>
          </w:tcPr>
          <w:p w14:paraId="553C3894" w14:textId="77777777" w:rsidR="00B85B21" w:rsidRPr="00B85B21" w:rsidRDefault="00B85B21" w:rsidP="00F50315">
            <w:pPr>
              <w:tabs>
                <w:tab w:val="left" w:pos="567"/>
              </w:tabs>
              <w:jc w:val="both"/>
              <w:rPr>
                <w:rFonts w:ascii="Times New Roman" w:hAnsi="Times New Roman" w:cs="Times New Roman"/>
                <w:iCs/>
              </w:rPr>
            </w:pPr>
            <w:proofErr w:type="spellStart"/>
            <w:r w:rsidRPr="00B85B21">
              <w:rPr>
                <w:rFonts w:ascii="Times New Roman" w:hAnsi="Times New Roman" w:cs="Times New Roman"/>
                <w:iCs/>
              </w:rPr>
              <w:t>TreatmentB</w:t>
            </w:r>
            <w:proofErr w:type="spellEnd"/>
          </w:p>
        </w:tc>
        <w:tc>
          <w:tcPr>
            <w:tcW w:w="1848" w:type="dxa"/>
            <w:tcBorders>
              <w:top w:val="nil"/>
              <w:bottom w:val="nil"/>
            </w:tcBorders>
          </w:tcPr>
          <w:p w14:paraId="025360BC" w14:textId="77777777" w:rsidR="00B85B21" w:rsidRPr="00B85B21" w:rsidRDefault="00B85B21" w:rsidP="00B92CFB">
            <w:pPr>
              <w:tabs>
                <w:tab w:val="decimal" w:pos="138"/>
              </w:tabs>
              <w:jc w:val="center"/>
              <w:rPr>
                <w:rFonts w:ascii="Times New Roman" w:hAnsi="Times New Roman" w:cs="Times New Roman"/>
              </w:rPr>
            </w:pPr>
            <w:r w:rsidRPr="00B85B21">
              <w:rPr>
                <w:rFonts w:ascii="Times New Roman" w:hAnsi="Times New Roman" w:cs="Times New Roman"/>
              </w:rPr>
              <w:t>0.655</w:t>
            </w:r>
          </w:p>
          <w:p w14:paraId="53B2AD0A" w14:textId="77777777" w:rsidR="00B85B21" w:rsidRPr="00B85B21" w:rsidRDefault="00B85B21" w:rsidP="00B92CFB">
            <w:pPr>
              <w:tabs>
                <w:tab w:val="decimal" w:pos="138"/>
              </w:tabs>
              <w:jc w:val="center"/>
              <w:rPr>
                <w:rFonts w:ascii="Times New Roman" w:hAnsi="Times New Roman" w:cs="Times New Roman"/>
              </w:rPr>
            </w:pPr>
            <w:r w:rsidRPr="00B85B21">
              <w:rPr>
                <w:rFonts w:ascii="Times New Roman" w:hAnsi="Times New Roman" w:cs="Times New Roman"/>
              </w:rPr>
              <w:t>(0.597)</w:t>
            </w:r>
          </w:p>
        </w:tc>
        <w:tc>
          <w:tcPr>
            <w:tcW w:w="1849" w:type="dxa"/>
            <w:tcBorders>
              <w:top w:val="nil"/>
              <w:bottom w:val="nil"/>
            </w:tcBorders>
          </w:tcPr>
          <w:p w14:paraId="08A540F0" w14:textId="77777777" w:rsidR="00B85B21" w:rsidRPr="00B85B21" w:rsidRDefault="00B85B21" w:rsidP="00870C48">
            <w:pPr>
              <w:tabs>
                <w:tab w:val="left" w:pos="567"/>
              </w:tabs>
              <w:jc w:val="center"/>
              <w:rPr>
                <w:rFonts w:ascii="Times New Roman" w:hAnsi="Times New Roman" w:cs="Times New Roman"/>
              </w:rPr>
            </w:pPr>
            <w:r w:rsidRPr="00B85B21">
              <w:rPr>
                <w:rFonts w:ascii="Times New Roman" w:hAnsi="Times New Roman" w:cs="Times New Roman"/>
              </w:rPr>
              <w:t>0.426</w:t>
            </w:r>
          </w:p>
          <w:p w14:paraId="46B8FBAC" w14:textId="77777777" w:rsidR="00B85B21" w:rsidRPr="00B85B21" w:rsidRDefault="00B85B21" w:rsidP="00870C48">
            <w:pPr>
              <w:tabs>
                <w:tab w:val="left" w:pos="567"/>
              </w:tabs>
              <w:jc w:val="center"/>
              <w:rPr>
                <w:rFonts w:ascii="Times New Roman" w:hAnsi="Times New Roman" w:cs="Times New Roman"/>
              </w:rPr>
            </w:pPr>
            <w:r w:rsidRPr="00B85B21">
              <w:rPr>
                <w:rFonts w:ascii="Times New Roman" w:hAnsi="Times New Roman" w:cs="Times New Roman"/>
              </w:rPr>
              <w:t>(0.478)</w:t>
            </w:r>
          </w:p>
        </w:tc>
        <w:tc>
          <w:tcPr>
            <w:tcW w:w="1849" w:type="dxa"/>
            <w:tcBorders>
              <w:top w:val="nil"/>
              <w:bottom w:val="nil"/>
            </w:tcBorders>
          </w:tcPr>
          <w:p w14:paraId="419BD013" w14:textId="77777777" w:rsidR="00B85B21" w:rsidRPr="00B85B21" w:rsidRDefault="00B85B21" w:rsidP="00870C48">
            <w:pPr>
              <w:tabs>
                <w:tab w:val="left" w:pos="567"/>
              </w:tabs>
              <w:jc w:val="center"/>
              <w:rPr>
                <w:rFonts w:ascii="Times New Roman" w:hAnsi="Times New Roman" w:cs="Times New Roman"/>
              </w:rPr>
            </w:pPr>
            <w:r w:rsidRPr="00B85B21">
              <w:rPr>
                <w:rFonts w:ascii="Times New Roman" w:hAnsi="Times New Roman" w:cs="Times New Roman"/>
              </w:rPr>
              <w:t>8.298</w:t>
            </w:r>
            <w:r w:rsidRPr="00B85B21">
              <w:rPr>
                <w:rFonts w:ascii="Times New Roman" w:hAnsi="Times New Roman" w:cs="Times New Roman"/>
                <w:vertAlign w:val="superscript"/>
              </w:rPr>
              <w:t>**</w:t>
            </w:r>
          </w:p>
          <w:p w14:paraId="118A3389" w14:textId="77777777" w:rsidR="00B85B21" w:rsidRPr="00B85B21" w:rsidRDefault="00B85B21" w:rsidP="00870C48">
            <w:pPr>
              <w:tabs>
                <w:tab w:val="left" w:pos="567"/>
              </w:tabs>
              <w:jc w:val="center"/>
              <w:rPr>
                <w:rFonts w:ascii="Times New Roman" w:hAnsi="Times New Roman" w:cs="Times New Roman"/>
              </w:rPr>
            </w:pPr>
            <w:r w:rsidRPr="00B85B21">
              <w:rPr>
                <w:rFonts w:ascii="Times New Roman" w:hAnsi="Times New Roman" w:cs="Times New Roman"/>
              </w:rPr>
              <w:t>(7.886)</w:t>
            </w:r>
          </w:p>
        </w:tc>
        <w:tc>
          <w:tcPr>
            <w:tcW w:w="1849" w:type="dxa"/>
            <w:tcBorders>
              <w:top w:val="nil"/>
              <w:bottom w:val="nil"/>
            </w:tcBorders>
          </w:tcPr>
          <w:p w14:paraId="7DE7BEF2" w14:textId="77777777" w:rsidR="00B85B21" w:rsidRPr="00B85B21" w:rsidRDefault="00B85B21" w:rsidP="00870C48">
            <w:pPr>
              <w:tabs>
                <w:tab w:val="left" w:pos="567"/>
              </w:tabs>
              <w:jc w:val="center"/>
              <w:rPr>
                <w:rFonts w:ascii="Times New Roman" w:hAnsi="Times New Roman" w:cs="Times New Roman"/>
              </w:rPr>
            </w:pPr>
            <w:r w:rsidRPr="00B85B21">
              <w:rPr>
                <w:rFonts w:ascii="Times New Roman" w:hAnsi="Times New Roman" w:cs="Times New Roman"/>
              </w:rPr>
              <w:t>7.630</w:t>
            </w:r>
            <w:r w:rsidRPr="00B85B21">
              <w:rPr>
                <w:rFonts w:ascii="Times New Roman" w:hAnsi="Times New Roman" w:cs="Times New Roman"/>
                <w:vertAlign w:val="superscript"/>
              </w:rPr>
              <w:t>**</w:t>
            </w:r>
          </w:p>
          <w:p w14:paraId="3E954240" w14:textId="77777777" w:rsidR="00B85B21" w:rsidRPr="00B85B21" w:rsidRDefault="00B85B21" w:rsidP="00870C48">
            <w:pPr>
              <w:tabs>
                <w:tab w:val="left" w:pos="567"/>
              </w:tabs>
              <w:jc w:val="center"/>
              <w:rPr>
                <w:rFonts w:ascii="Times New Roman" w:hAnsi="Times New Roman" w:cs="Times New Roman"/>
              </w:rPr>
            </w:pPr>
            <w:r w:rsidRPr="00B85B21">
              <w:rPr>
                <w:rFonts w:ascii="Times New Roman" w:hAnsi="Times New Roman" w:cs="Times New Roman"/>
              </w:rPr>
              <w:t>(7.727)</w:t>
            </w:r>
          </w:p>
        </w:tc>
      </w:tr>
      <w:tr w:rsidR="00B85B21" w:rsidRPr="00B85B21" w14:paraId="21A096F1" w14:textId="77777777" w:rsidTr="00870C48">
        <w:tc>
          <w:tcPr>
            <w:tcW w:w="1847" w:type="dxa"/>
            <w:tcBorders>
              <w:top w:val="nil"/>
              <w:bottom w:val="nil"/>
            </w:tcBorders>
          </w:tcPr>
          <w:p w14:paraId="584475E8" w14:textId="77777777" w:rsidR="00B85B21" w:rsidRPr="00B85B21" w:rsidRDefault="00B85B21" w:rsidP="00F50315">
            <w:pPr>
              <w:tabs>
                <w:tab w:val="left" w:pos="567"/>
              </w:tabs>
              <w:jc w:val="both"/>
              <w:rPr>
                <w:rFonts w:ascii="Times New Roman" w:hAnsi="Times New Roman" w:cs="Times New Roman"/>
              </w:rPr>
            </w:pPr>
            <w:r w:rsidRPr="00B85B21">
              <w:rPr>
                <w:rFonts w:ascii="Times New Roman" w:hAnsi="Times New Roman" w:cs="Times New Roman"/>
              </w:rPr>
              <w:t>N</w:t>
            </w:r>
          </w:p>
        </w:tc>
        <w:tc>
          <w:tcPr>
            <w:tcW w:w="1848" w:type="dxa"/>
            <w:tcBorders>
              <w:top w:val="nil"/>
              <w:bottom w:val="nil"/>
            </w:tcBorders>
          </w:tcPr>
          <w:p w14:paraId="556C38E5" w14:textId="77777777" w:rsidR="00B85B21" w:rsidRPr="00B85B21" w:rsidRDefault="00B85B21" w:rsidP="00B92CFB">
            <w:pPr>
              <w:tabs>
                <w:tab w:val="decimal" w:pos="138"/>
              </w:tabs>
              <w:jc w:val="center"/>
              <w:rPr>
                <w:rFonts w:ascii="Times New Roman" w:hAnsi="Times New Roman" w:cs="Times New Roman"/>
              </w:rPr>
            </w:pPr>
            <w:r w:rsidRPr="00B85B21">
              <w:rPr>
                <w:rFonts w:ascii="Times New Roman" w:hAnsi="Times New Roman" w:cs="Times New Roman"/>
              </w:rPr>
              <w:t>45</w:t>
            </w:r>
          </w:p>
        </w:tc>
        <w:tc>
          <w:tcPr>
            <w:tcW w:w="1849" w:type="dxa"/>
            <w:tcBorders>
              <w:top w:val="nil"/>
              <w:bottom w:val="nil"/>
            </w:tcBorders>
          </w:tcPr>
          <w:p w14:paraId="33CF8D72" w14:textId="77777777" w:rsidR="00B85B21" w:rsidRPr="00B85B21" w:rsidRDefault="00B85B21" w:rsidP="00870C48">
            <w:pPr>
              <w:tabs>
                <w:tab w:val="left" w:pos="567"/>
              </w:tabs>
              <w:jc w:val="center"/>
              <w:rPr>
                <w:rFonts w:ascii="Times New Roman" w:hAnsi="Times New Roman" w:cs="Times New Roman"/>
              </w:rPr>
            </w:pPr>
            <w:r w:rsidRPr="00B85B21">
              <w:rPr>
                <w:rFonts w:ascii="Times New Roman" w:hAnsi="Times New Roman" w:cs="Times New Roman"/>
              </w:rPr>
              <w:t>38</w:t>
            </w:r>
          </w:p>
        </w:tc>
        <w:tc>
          <w:tcPr>
            <w:tcW w:w="1849" w:type="dxa"/>
            <w:tcBorders>
              <w:top w:val="nil"/>
              <w:bottom w:val="nil"/>
            </w:tcBorders>
          </w:tcPr>
          <w:p w14:paraId="3C72299A" w14:textId="77777777" w:rsidR="00B85B21" w:rsidRPr="00B85B21" w:rsidRDefault="00B85B21" w:rsidP="00870C48">
            <w:pPr>
              <w:tabs>
                <w:tab w:val="left" w:pos="567"/>
              </w:tabs>
              <w:jc w:val="center"/>
              <w:rPr>
                <w:rFonts w:ascii="Times New Roman" w:hAnsi="Times New Roman" w:cs="Times New Roman"/>
              </w:rPr>
            </w:pPr>
            <w:r w:rsidRPr="00B85B21">
              <w:rPr>
                <w:rFonts w:ascii="Times New Roman" w:hAnsi="Times New Roman" w:cs="Times New Roman"/>
              </w:rPr>
              <w:t>45</w:t>
            </w:r>
          </w:p>
        </w:tc>
        <w:tc>
          <w:tcPr>
            <w:tcW w:w="1849" w:type="dxa"/>
            <w:tcBorders>
              <w:top w:val="nil"/>
              <w:bottom w:val="nil"/>
            </w:tcBorders>
          </w:tcPr>
          <w:p w14:paraId="02B2D4F6" w14:textId="77777777" w:rsidR="00B85B21" w:rsidRPr="00B85B21" w:rsidRDefault="00B85B21" w:rsidP="00870C48">
            <w:pPr>
              <w:tabs>
                <w:tab w:val="left" w:pos="567"/>
              </w:tabs>
              <w:jc w:val="center"/>
              <w:rPr>
                <w:rFonts w:ascii="Times New Roman" w:hAnsi="Times New Roman" w:cs="Times New Roman"/>
              </w:rPr>
            </w:pPr>
            <w:r w:rsidRPr="00B85B21">
              <w:rPr>
                <w:rFonts w:ascii="Times New Roman" w:hAnsi="Times New Roman" w:cs="Times New Roman"/>
              </w:rPr>
              <w:t>36</w:t>
            </w:r>
          </w:p>
        </w:tc>
      </w:tr>
      <w:tr w:rsidR="00B85B21" w:rsidRPr="00B85B21" w14:paraId="4AD05C05" w14:textId="77777777" w:rsidTr="00870C48">
        <w:tc>
          <w:tcPr>
            <w:tcW w:w="1847" w:type="dxa"/>
            <w:tcBorders>
              <w:top w:val="nil"/>
            </w:tcBorders>
          </w:tcPr>
          <w:p w14:paraId="28CB7086" w14:textId="77777777" w:rsidR="00B85B21" w:rsidRPr="00B85B21" w:rsidRDefault="00B85B21" w:rsidP="00F50315">
            <w:pPr>
              <w:tabs>
                <w:tab w:val="left" w:pos="567"/>
              </w:tabs>
              <w:jc w:val="both"/>
              <w:rPr>
                <w:rFonts w:ascii="Times New Roman" w:hAnsi="Times New Roman" w:cs="Times New Roman"/>
              </w:rPr>
            </w:pPr>
            <w:r w:rsidRPr="00B85B21">
              <w:rPr>
                <w:rFonts w:ascii="Times New Roman" w:hAnsi="Times New Roman" w:cs="Times New Roman"/>
              </w:rPr>
              <w:t>Pseudo R</w:t>
            </w:r>
            <w:r w:rsidRPr="00B85B21">
              <w:rPr>
                <w:rFonts w:ascii="Times New Roman" w:hAnsi="Times New Roman" w:cs="Times New Roman"/>
                <w:vertAlign w:val="superscript"/>
              </w:rPr>
              <w:t>2</w:t>
            </w:r>
          </w:p>
        </w:tc>
        <w:tc>
          <w:tcPr>
            <w:tcW w:w="1848" w:type="dxa"/>
            <w:tcBorders>
              <w:top w:val="nil"/>
            </w:tcBorders>
          </w:tcPr>
          <w:p w14:paraId="1FA88E69" w14:textId="77777777" w:rsidR="00B85B21" w:rsidRPr="00B85B21" w:rsidRDefault="00B85B21" w:rsidP="00B92CFB">
            <w:pPr>
              <w:tabs>
                <w:tab w:val="decimal" w:pos="138"/>
              </w:tabs>
              <w:jc w:val="center"/>
              <w:rPr>
                <w:rFonts w:ascii="Times New Roman" w:hAnsi="Times New Roman" w:cs="Times New Roman"/>
              </w:rPr>
            </w:pPr>
            <w:r w:rsidRPr="00B85B21">
              <w:rPr>
                <w:rFonts w:ascii="Times New Roman" w:hAnsi="Times New Roman" w:cs="Times New Roman"/>
              </w:rPr>
              <w:t>0.261</w:t>
            </w:r>
          </w:p>
        </w:tc>
        <w:tc>
          <w:tcPr>
            <w:tcW w:w="1849" w:type="dxa"/>
            <w:tcBorders>
              <w:top w:val="nil"/>
            </w:tcBorders>
          </w:tcPr>
          <w:p w14:paraId="206C21CC" w14:textId="77777777" w:rsidR="00B85B21" w:rsidRPr="00B85B21" w:rsidRDefault="00B85B21" w:rsidP="00870C48">
            <w:pPr>
              <w:tabs>
                <w:tab w:val="left" w:pos="567"/>
              </w:tabs>
              <w:jc w:val="center"/>
              <w:rPr>
                <w:rFonts w:ascii="Times New Roman" w:hAnsi="Times New Roman" w:cs="Times New Roman"/>
              </w:rPr>
            </w:pPr>
            <w:r w:rsidRPr="00B85B21">
              <w:rPr>
                <w:rFonts w:ascii="Times New Roman" w:hAnsi="Times New Roman" w:cs="Times New Roman"/>
              </w:rPr>
              <w:t>0.331</w:t>
            </w:r>
          </w:p>
        </w:tc>
        <w:tc>
          <w:tcPr>
            <w:tcW w:w="1849" w:type="dxa"/>
            <w:tcBorders>
              <w:top w:val="nil"/>
            </w:tcBorders>
          </w:tcPr>
          <w:p w14:paraId="6F5945CE" w14:textId="77777777" w:rsidR="00B85B21" w:rsidRPr="00B85B21" w:rsidRDefault="00B85B21" w:rsidP="00870C48">
            <w:pPr>
              <w:tabs>
                <w:tab w:val="left" w:pos="567"/>
              </w:tabs>
              <w:jc w:val="center"/>
              <w:rPr>
                <w:rFonts w:ascii="Times New Roman" w:hAnsi="Times New Roman" w:cs="Times New Roman"/>
              </w:rPr>
            </w:pPr>
            <w:r w:rsidRPr="00B85B21">
              <w:rPr>
                <w:rFonts w:ascii="Times New Roman" w:hAnsi="Times New Roman" w:cs="Times New Roman"/>
              </w:rPr>
              <w:t>0.111</w:t>
            </w:r>
          </w:p>
        </w:tc>
        <w:tc>
          <w:tcPr>
            <w:tcW w:w="1849" w:type="dxa"/>
            <w:tcBorders>
              <w:top w:val="nil"/>
            </w:tcBorders>
          </w:tcPr>
          <w:p w14:paraId="4ED7E09A" w14:textId="77777777" w:rsidR="00B85B21" w:rsidRPr="00B85B21" w:rsidRDefault="00B85B21" w:rsidP="00870C48">
            <w:pPr>
              <w:tabs>
                <w:tab w:val="left" w:pos="567"/>
              </w:tabs>
              <w:jc w:val="center"/>
              <w:rPr>
                <w:rFonts w:ascii="Times New Roman" w:hAnsi="Times New Roman" w:cs="Times New Roman"/>
              </w:rPr>
            </w:pPr>
            <w:r w:rsidRPr="00B85B21">
              <w:rPr>
                <w:rFonts w:ascii="Times New Roman" w:hAnsi="Times New Roman" w:cs="Times New Roman"/>
              </w:rPr>
              <w:t>0.115</w:t>
            </w:r>
          </w:p>
        </w:tc>
      </w:tr>
    </w:tbl>
    <w:p w14:paraId="3667111F" w14:textId="77777777" w:rsidR="00B85B21" w:rsidRPr="00B92CFB" w:rsidRDefault="00B85B21" w:rsidP="00F50315">
      <w:pPr>
        <w:tabs>
          <w:tab w:val="left" w:pos="567"/>
        </w:tabs>
        <w:spacing w:after="0" w:line="240" w:lineRule="auto"/>
        <w:jc w:val="both"/>
        <w:rPr>
          <w:rFonts w:ascii="Times New Roman" w:hAnsi="Times New Roman" w:cs="Times New Roman"/>
          <w:bCs/>
          <w:sz w:val="20"/>
          <w:szCs w:val="20"/>
        </w:rPr>
      </w:pPr>
      <w:r w:rsidRPr="00B92CFB">
        <w:rPr>
          <w:rFonts w:ascii="Times New Roman" w:hAnsi="Times New Roman" w:cs="Times New Roman"/>
          <w:bCs/>
          <w:sz w:val="20"/>
          <w:szCs w:val="20"/>
          <w:vertAlign w:val="superscript"/>
        </w:rPr>
        <w:t>†</w:t>
      </w:r>
      <w:r w:rsidRPr="00B92CFB">
        <w:rPr>
          <w:rFonts w:ascii="Times New Roman" w:hAnsi="Times New Roman" w:cs="Times New Roman"/>
          <w:bCs/>
          <w:sz w:val="20"/>
          <w:szCs w:val="20"/>
        </w:rPr>
        <w:t xml:space="preserve"> Control variables not shown for brevity</w:t>
      </w:r>
      <w:r w:rsidRPr="00B92CFB">
        <w:rPr>
          <w:rFonts w:ascii="Times New Roman" w:hAnsi="Times New Roman" w:cs="Times New Roman"/>
          <w:sz w:val="20"/>
          <w:szCs w:val="20"/>
        </w:rPr>
        <w:t>;</w:t>
      </w:r>
      <w:r w:rsidRPr="00B92CFB">
        <w:rPr>
          <w:rFonts w:ascii="Times New Roman" w:hAnsi="Times New Roman" w:cs="Times New Roman"/>
          <w:bCs/>
          <w:sz w:val="20"/>
          <w:szCs w:val="20"/>
        </w:rPr>
        <w:t xml:space="preserve"> </w:t>
      </w:r>
      <w:r w:rsidRPr="00B92CFB">
        <w:rPr>
          <w:rFonts w:ascii="Times New Roman" w:hAnsi="Times New Roman" w:cs="Times New Roman"/>
          <w:bCs/>
          <w:sz w:val="20"/>
          <w:szCs w:val="20"/>
          <w:vertAlign w:val="superscript"/>
        </w:rPr>
        <w:t>*</w:t>
      </w:r>
      <w:r w:rsidRPr="00B92CFB">
        <w:rPr>
          <w:rFonts w:ascii="Times New Roman" w:hAnsi="Times New Roman" w:cs="Times New Roman"/>
          <w:sz w:val="20"/>
          <w:szCs w:val="20"/>
          <w:vertAlign w:val="superscript"/>
        </w:rPr>
        <w:t>*</w:t>
      </w:r>
      <w:r w:rsidRPr="00B92CFB">
        <w:rPr>
          <w:rFonts w:ascii="Times New Roman" w:hAnsi="Times New Roman" w:cs="Times New Roman"/>
          <w:sz w:val="20"/>
          <w:szCs w:val="20"/>
        </w:rPr>
        <w:t>p&lt;0.05</w:t>
      </w:r>
      <w:r w:rsidRPr="00B92CFB">
        <w:rPr>
          <w:rFonts w:ascii="Times New Roman" w:hAnsi="Times New Roman" w:cs="Times New Roman"/>
          <w:bCs/>
          <w:sz w:val="20"/>
          <w:szCs w:val="20"/>
        </w:rPr>
        <w:t>.</w:t>
      </w:r>
    </w:p>
    <w:p w14:paraId="120446E9" w14:textId="77777777" w:rsidR="00E011EE" w:rsidRPr="00357D66" w:rsidRDefault="00E011EE" w:rsidP="00F50315">
      <w:pPr>
        <w:tabs>
          <w:tab w:val="left" w:pos="567"/>
        </w:tabs>
        <w:spacing w:after="0" w:line="288" w:lineRule="auto"/>
        <w:jc w:val="both"/>
        <w:rPr>
          <w:rFonts w:asciiTheme="majorBidi" w:hAnsiTheme="majorBidi" w:cstheme="majorBidi"/>
          <w:sz w:val="24"/>
          <w:szCs w:val="24"/>
        </w:rPr>
      </w:pPr>
    </w:p>
    <w:p w14:paraId="1B69E3CF" w14:textId="0B3EFE3C" w:rsidR="00B92CFB" w:rsidRDefault="00CE07B8" w:rsidP="003B7DD2">
      <w:pPr>
        <w:tabs>
          <w:tab w:val="left" w:pos="567"/>
        </w:tabs>
        <w:spacing w:after="0" w:line="288" w:lineRule="auto"/>
        <w:ind w:firstLine="567"/>
        <w:jc w:val="both"/>
        <w:rPr>
          <w:rFonts w:asciiTheme="majorBidi" w:hAnsiTheme="majorBidi" w:cstheme="majorBidi"/>
          <w:sz w:val="24"/>
          <w:szCs w:val="24"/>
        </w:rPr>
      </w:pPr>
      <w:r w:rsidRPr="00357D66">
        <w:rPr>
          <w:rFonts w:asciiTheme="majorBidi" w:hAnsiTheme="majorBidi" w:cstheme="majorBidi"/>
          <w:sz w:val="24"/>
          <w:szCs w:val="24"/>
        </w:rPr>
        <w:t>The results for the corresponding linear regressions</w:t>
      </w:r>
      <w:r w:rsidR="00542144" w:rsidRPr="00357D66">
        <w:rPr>
          <w:rFonts w:asciiTheme="majorBidi" w:hAnsiTheme="majorBidi" w:cstheme="majorBidi"/>
          <w:sz w:val="24"/>
          <w:szCs w:val="24"/>
        </w:rPr>
        <w:t xml:space="preserve"> on</w:t>
      </w:r>
      <w:r w:rsidR="00181068" w:rsidRPr="00357D66">
        <w:rPr>
          <w:rFonts w:asciiTheme="majorBidi" w:hAnsiTheme="majorBidi" w:cstheme="majorBidi"/>
          <w:sz w:val="24"/>
          <w:szCs w:val="24"/>
        </w:rPr>
        <w:t xml:space="preserve"> students’ percentage overall mark</w:t>
      </w:r>
      <w:r w:rsidR="00542144" w:rsidRPr="00357D66">
        <w:rPr>
          <w:rFonts w:asciiTheme="majorBidi" w:hAnsiTheme="majorBidi" w:cstheme="majorBidi"/>
          <w:sz w:val="24"/>
          <w:szCs w:val="24"/>
        </w:rPr>
        <w:t xml:space="preserve"> </w:t>
      </w:r>
      <w:r w:rsidR="00181068" w:rsidRPr="00357D66">
        <w:rPr>
          <w:rFonts w:asciiTheme="majorBidi" w:hAnsiTheme="majorBidi" w:cstheme="majorBidi"/>
          <w:sz w:val="24"/>
          <w:szCs w:val="24"/>
        </w:rPr>
        <w:t>(</w:t>
      </w:r>
      <w:proofErr w:type="spellStart"/>
      <w:r w:rsidR="00542144" w:rsidRPr="00357D66">
        <w:rPr>
          <w:rFonts w:asciiTheme="majorBidi" w:hAnsiTheme="majorBidi" w:cstheme="majorBidi"/>
          <w:i/>
          <w:sz w:val="24"/>
          <w:szCs w:val="24"/>
        </w:rPr>
        <w:t>FinalMark</w:t>
      </w:r>
      <w:proofErr w:type="spellEnd"/>
      <w:r w:rsidR="00181068" w:rsidRPr="00357D66">
        <w:rPr>
          <w:rFonts w:asciiTheme="majorBidi" w:hAnsiTheme="majorBidi" w:cstheme="majorBidi"/>
          <w:sz w:val="24"/>
          <w:szCs w:val="24"/>
        </w:rPr>
        <w:t>)</w:t>
      </w:r>
      <w:r w:rsidRPr="00357D66">
        <w:rPr>
          <w:rFonts w:asciiTheme="majorBidi" w:hAnsiTheme="majorBidi" w:cstheme="majorBidi"/>
          <w:sz w:val="24"/>
          <w:szCs w:val="24"/>
        </w:rPr>
        <w:t xml:space="preserve"> are shown in Table </w:t>
      </w:r>
      <w:r w:rsidR="00542144" w:rsidRPr="00357D66">
        <w:rPr>
          <w:rFonts w:asciiTheme="majorBidi" w:hAnsiTheme="majorBidi" w:cstheme="majorBidi"/>
          <w:sz w:val="24"/>
          <w:szCs w:val="24"/>
        </w:rPr>
        <w:t>5</w:t>
      </w:r>
      <w:r w:rsidRPr="00357D66">
        <w:rPr>
          <w:rFonts w:asciiTheme="majorBidi" w:hAnsiTheme="majorBidi" w:cstheme="majorBidi"/>
          <w:sz w:val="24"/>
          <w:szCs w:val="24"/>
        </w:rPr>
        <w:t xml:space="preserve">. These results suggest that for 2013 being in either treatment group actually </w:t>
      </w:r>
      <w:r w:rsidR="00D64B7A" w:rsidRPr="00357D66">
        <w:rPr>
          <w:rFonts w:asciiTheme="majorBidi" w:hAnsiTheme="majorBidi" w:cstheme="majorBidi"/>
          <w:sz w:val="24"/>
          <w:szCs w:val="24"/>
        </w:rPr>
        <w:t xml:space="preserve">slightly </w:t>
      </w:r>
      <w:r w:rsidRPr="00357D66">
        <w:rPr>
          <w:rFonts w:asciiTheme="majorBidi" w:hAnsiTheme="majorBidi" w:cstheme="majorBidi"/>
          <w:sz w:val="24"/>
          <w:szCs w:val="24"/>
        </w:rPr>
        <w:t>reduced a student’s</w:t>
      </w:r>
      <w:r w:rsidR="00D64B7A" w:rsidRPr="00357D66">
        <w:rPr>
          <w:rFonts w:asciiTheme="majorBidi" w:hAnsiTheme="majorBidi" w:cstheme="majorBidi"/>
          <w:sz w:val="24"/>
          <w:szCs w:val="24"/>
        </w:rPr>
        <w:t xml:space="preserve"> final</w:t>
      </w:r>
      <w:r w:rsidRPr="00357D66">
        <w:rPr>
          <w:rFonts w:asciiTheme="majorBidi" w:hAnsiTheme="majorBidi" w:cstheme="majorBidi"/>
          <w:sz w:val="24"/>
          <w:szCs w:val="24"/>
        </w:rPr>
        <w:t xml:space="preserve"> mark on average compared to students in the control group. </w:t>
      </w:r>
      <w:r w:rsidR="00D64B7A" w:rsidRPr="00357D66">
        <w:rPr>
          <w:rFonts w:asciiTheme="majorBidi" w:hAnsiTheme="majorBidi" w:cstheme="majorBidi"/>
          <w:sz w:val="24"/>
          <w:szCs w:val="24"/>
        </w:rPr>
        <w:t xml:space="preserve">However, those results are statistically insignificant. In 2014, students in both </w:t>
      </w:r>
      <w:r w:rsidRPr="00357D66">
        <w:rPr>
          <w:rFonts w:asciiTheme="majorBidi" w:hAnsiTheme="majorBidi" w:cstheme="majorBidi"/>
          <w:sz w:val="24"/>
          <w:szCs w:val="24"/>
        </w:rPr>
        <w:t>treatment groups have higher marks, as indicated by the positive coefficients.</w:t>
      </w:r>
      <w:r w:rsidR="00A25F96" w:rsidRPr="00357D66">
        <w:rPr>
          <w:rFonts w:asciiTheme="majorBidi" w:hAnsiTheme="majorBidi" w:cstheme="majorBidi"/>
          <w:sz w:val="24"/>
          <w:szCs w:val="24"/>
        </w:rPr>
        <w:t xml:space="preserve"> </w:t>
      </w:r>
      <w:r w:rsidR="00D64B7A" w:rsidRPr="00357D66">
        <w:rPr>
          <w:rFonts w:asciiTheme="majorBidi" w:hAnsiTheme="majorBidi" w:cstheme="majorBidi"/>
          <w:sz w:val="24"/>
          <w:szCs w:val="24"/>
        </w:rPr>
        <w:t>The coefficients for Treatment A are statistically insignificant, but the</w:t>
      </w:r>
      <w:r w:rsidRPr="00357D66">
        <w:rPr>
          <w:rFonts w:asciiTheme="majorBidi" w:hAnsiTheme="majorBidi" w:cstheme="majorBidi"/>
          <w:sz w:val="24"/>
          <w:szCs w:val="24"/>
        </w:rPr>
        <w:t xml:space="preserve"> coefficients for </w:t>
      </w:r>
      <w:r w:rsidR="00D64B7A" w:rsidRPr="00357D66">
        <w:rPr>
          <w:rFonts w:asciiTheme="majorBidi" w:hAnsiTheme="majorBidi" w:cstheme="majorBidi"/>
          <w:iCs/>
          <w:sz w:val="24"/>
          <w:szCs w:val="24"/>
        </w:rPr>
        <w:t>Treatment B</w:t>
      </w:r>
      <w:r w:rsidRPr="00357D66">
        <w:rPr>
          <w:rFonts w:asciiTheme="majorBidi" w:hAnsiTheme="majorBidi" w:cstheme="majorBidi"/>
          <w:sz w:val="24"/>
          <w:szCs w:val="24"/>
        </w:rPr>
        <w:t xml:space="preserve"> are statistically significant</w:t>
      </w:r>
      <w:r w:rsidR="00D64B7A" w:rsidRPr="00357D66">
        <w:rPr>
          <w:rFonts w:asciiTheme="majorBidi" w:hAnsiTheme="majorBidi" w:cstheme="majorBidi"/>
          <w:sz w:val="24"/>
          <w:szCs w:val="24"/>
        </w:rPr>
        <w:t xml:space="preserve"> and suggest that students in Treatment B received marks that were, on average, 20 percentage points higher than the control group (or 23 percentage points higher when controlling for high school decile rating for domestic students only)</w:t>
      </w:r>
      <w:r w:rsidRPr="00357D66">
        <w:rPr>
          <w:rFonts w:asciiTheme="majorBidi" w:hAnsiTheme="majorBidi" w:cstheme="majorBidi"/>
          <w:sz w:val="24"/>
          <w:szCs w:val="24"/>
        </w:rPr>
        <w:t>.</w:t>
      </w:r>
      <w:r w:rsidR="00A25F96" w:rsidRPr="00357D66">
        <w:rPr>
          <w:rFonts w:asciiTheme="majorBidi" w:hAnsiTheme="majorBidi" w:cstheme="majorBidi"/>
          <w:sz w:val="24"/>
          <w:szCs w:val="24"/>
        </w:rPr>
        <w:t xml:space="preserve"> </w:t>
      </w:r>
    </w:p>
    <w:p w14:paraId="0AABFF85" w14:textId="77777777" w:rsidR="00B92CFB" w:rsidRDefault="00B92CFB">
      <w:pPr>
        <w:rPr>
          <w:rFonts w:asciiTheme="majorBidi" w:hAnsiTheme="majorBidi" w:cstheme="majorBidi"/>
          <w:sz w:val="24"/>
          <w:szCs w:val="24"/>
        </w:rPr>
      </w:pPr>
      <w:r>
        <w:rPr>
          <w:rFonts w:asciiTheme="majorBidi" w:hAnsiTheme="majorBidi" w:cstheme="majorBidi"/>
          <w:sz w:val="24"/>
          <w:szCs w:val="24"/>
        </w:rPr>
        <w:br w:type="page"/>
      </w:r>
    </w:p>
    <w:p w14:paraId="3DDF6D6E" w14:textId="401A0014" w:rsidR="00E42372" w:rsidRPr="00B85B21" w:rsidRDefault="00E42372" w:rsidP="00E011EE">
      <w:pPr>
        <w:pStyle w:val="Caption"/>
        <w:keepNext/>
        <w:tabs>
          <w:tab w:val="left" w:pos="567"/>
        </w:tabs>
        <w:spacing w:after="80"/>
        <w:jc w:val="center"/>
        <w:rPr>
          <w:rFonts w:ascii="Times New Roman" w:hAnsi="Times New Roman" w:cs="Times New Roman"/>
          <w:iCs/>
          <w:sz w:val="22"/>
          <w:szCs w:val="22"/>
        </w:rPr>
      </w:pPr>
      <w:proofErr w:type="gramStart"/>
      <w:r w:rsidRPr="00B85B21">
        <w:rPr>
          <w:rFonts w:ascii="Times New Roman" w:hAnsi="Times New Roman" w:cs="Times New Roman"/>
          <w:iCs/>
          <w:sz w:val="22"/>
          <w:szCs w:val="22"/>
        </w:rPr>
        <w:lastRenderedPageBreak/>
        <w:t>Table 5.</w:t>
      </w:r>
      <w:proofErr w:type="gramEnd"/>
      <w:r w:rsidRPr="00B85B21">
        <w:rPr>
          <w:rFonts w:ascii="Times New Roman" w:hAnsi="Times New Roman" w:cs="Times New Roman"/>
          <w:iCs/>
          <w:sz w:val="22"/>
          <w:szCs w:val="22"/>
        </w:rPr>
        <w:t xml:space="preserve"> Linear Reg</w:t>
      </w:r>
      <w:r w:rsidR="00CE72A9">
        <w:rPr>
          <w:rFonts w:ascii="Times New Roman" w:hAnsi="Times New Roman" w:cs="Times New Roman"/>
          <w:iCs/>
          <w:sz w:val="22"/>
          <w:szCs w:val="22"/>
        </w:rPr>
        <w:t xml:space="preserve">ression Results for Final Mark </w:t>
      </w:r>
      <w:r w:rsidRPr="00B85B21">
        <w:rPr>
          <w:rFonts w:ascii="Times New Roman" w:hAnsi="Times New Roman" w:cs="Times New Roman"/>
          <w:iCs/>
          <w:sz w:val="22"/>
          <w:szCs w:val="22"/>
        </w:rPr>
        <w:t>by Year</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47"/>
        <w:gridCol w:w="1848"/>
        <w:gridCol w:w="1849"/>
        <w:gridCol w:w="1849"/>
        <w:gridCol w:w="1849"/>
      </w:tblGrid>
      <w:tr w:rsidR="00E42372" w:rsidRPr="00B85B21" w14:paraId="0D206B9E" w14:textId="77777777" w:rsidTr="00B92CFB">
        <w:tc>
          <w:tcPr>
            <w:tcW w:w="1847" w:type="dxa"/>
            <w:vMerge w:val="restart"/>
            <w:vAlign w:val="center"/>
          </w:tcPr>
          <w:p w14:paraId="3F75F9E4" w14:textId="77777777" w:rsidR="00E42372" w:rsidRPr="00B85B21" w:rsidRDefault="00E42372" w:rsidP="00F50315">
            <w:pPr>
              <w:tabs>
                <w:tab w:val="left" w:pos="567"/>
              </w:tabs>
              <w:jc w:val="both"/>
              <w:rPr>
                <w:rFonts w:ascii="Times New Roman" w:hAnsi="Times New Roman" w:cs="Times New Roman"/>
              </w:rPr>
            </w:pPr>
            <w:r w:rsidRPr="00B85B21">
              <w:rPr>
                <w:rFonts w:ascii="Times New Roman" w:hAnsi="Times New Roman" w:cs="Times New Roman"/>
              </w:rPr>
              <w:t>Regressors</w:t>
            </w:r>
            <w:r w:rsidRPr="00B85B21">
              <w:rPr>
                <w:rFonts w:ascii="Times New Roman" w:hAnsi="Times New Roman" w:cs="Times New Roman"/>
                <w:vertAlign w:val="superscript"/>
              </w:rPr>
              <w:t>†</w:t>
            </w:r>
          </w:p>
        </w:tc>
        <w:tc>
          <w:tcPr>
            <w:tcW w:w="3697" w:type="dxa"/>
            <w:gridSpan w:val="2"/>
            <w:tcBorders>
              <w:bottom w:val="nil"/>
            </w:tcBorders>
          </w:tcPr>
          <w:p w14:paraId="2C006D01" w14:textId="77777777" w:rsidR="00E42372" w:rsidRPr="00B92CFB" w:rsidRDefault="00E42372" w:rsidP="00B92CFB">
            <w:pPr>
              <w:tabs>
                <w:tab w:val="left" w:pos="567"/>
              </w:tabs>
              <w:jc w:val="center"/>
              <w:rPr>
                <w:rFonts w:ascii="Times New Roman" w:hAnsi="Times New Roman" w:cs="Times New Roman"/>
              </w:rPr>
            </w:pPr>
            <w:r w:rsidRPr="00B92CFB">
              <w:rPr>
                <w:rFonts w:ascii="Times New Roman" w:hAnsi="Times New Roman" w:cs="Times New Roman"/>
              </w:rPr>
              <w:t>2013</w:t>
            </w:r>
          </w:p>
        </w:tc>
        <w:tc>
          <w:tcPr>
            <w:tcW w:w="3698" w:type="dxa"/>
            <w:gridSpan w:val="2"/>
            <w:tcBorders>
              <w:bottom w:val="nil"/>
            </w:tcBorders>
          </w:tcPr>
          <w:p w14:paraId="27629CA7" w14:textId="77777777" w:rsidR="00E42372" w:rsidRPr="00B92CFB" w:rsidRDefault="00E42372" w:rsidP="00B92CFB">
            <w:pPr>
              <w:tabs>
                <w:tab w:val="left" w:pos="567"/>
              </w:tabs>
              <w:jc w:val="center"/>
              <w:rPr>
                <w:rFonts w:ascii="Times New Roman" w:hAnsi="Times New Roman" w:cs="Times New Roman"/>
              </w:rPr>
            </w:pPr>
            <w:r w:rsidRPr="00B92CFB">
              <w:rPr>
                <w:rFonts w:ascii="Times New Roman" w:hAnsi="Times New Roman" w:cs="Times New Roman"/>
              </w:rPr>
              <w:t>2014</w:t>
            </w:r>
          </w:p>
        </w:tc>
      </w:tr>
      <w:tr w:rsidR="00E42372" w:rsidRPr="00B85B21" w14:paraId="4193709E" w14:textId="77777777" w:rsidTr="00B92CFB">
        <w:tc>
          <w:tcPr>
            <w:tcW w:w="1847" w:type="dxa"/>
            <w:vMerge/>
            <w:vAlign w:val="center"/>
          </w:tcPr>
          <w:p w14:paraId="2FCD41AC" w14:textId="77777777" w:rsidR="00E42372" w:rsidRPr="00B85B21" w:rsidRDefault="00E42372" w:rsidP="00F50315">
            <w:pPr>
              <w:tabs>
                <w:tab w:val="left" w:pos="567"/>
              </w:tabs>
              <w:jc w:val="both"/>
              <w:rPr>
                <w:rFonts w:ascii="Times New Roman" w:hAnsi="Times New Roman" w:cs="Times New Roman"/>
                <w:b/>
                <w:bCs/>
              </w:rPr>
            </w:pPr>
          </w:p>
        </w:tc>
        <w:tc>
          <w:tcPr>
            <w:tcW w:w="1848" w:type="dxa"/>
            <w:tcBorders>
              <w:top w:val="nil"/>
            </w:tcBorders>
          </w:tcPr>
          <w:p w14:paraId="705D42F1" w14:textId="77777777" w:rsidR="00E42372" w:rsidRPr="00B92CFB" w:rsidRDefault="00E42372" w:rsidP="00B92CFB">
            <w:pPr>
              <w:pStyle w:val="ListParagraph"/>
              <w:tabs>
                <w:tab w:val="left" w:pos="567"/>
              </w:tabs>
              <w:ind w:left="0"/>
              <w:jc w:val="center"/>
              <w:rPr>
                <w:rFonts w:ascii="Times New Roman" w:hAnsi="Times New Roman" w:cs="Times New Roman"/>
              </w:rPr>
            </w:pPr>
            <w:r w:rsidRPr="00B92CFB">
              <w:rPr>
                <w:rFonts w:ascii="Times New Roman" w:hAnsi="Times New Roman" w:cs="Times New Roman"/>
              </w:rPr>
              <w:t>Coefficient</w:t>
            </w:r>
          </w:p>
          <w:p w14:paraId="44DE0120" w14:textId="77777777" w:rsidR="00E42372" w:rsidRPr="00B92CFB" w:rsidRDefault="00E42372" w:rsidP="00B92CFB">
            <w:pPr>
              <w:pStyle w:val="ListParagraph"/>
              <w:tabs>
                <w:tab w:val="left" w:pos="567"/>
              </w:tabs>
              <w:ind w:left="0"/>
              <w:jc w:val="center"/>
              <w:rPr>
                <w:rFonts w:ascii="Times New Roman" w:hAnsi="Times New Roman" w:cs="Times New Roman"/>
              </w:rPr>
            </w:pPr>
            <w:r w:rsidRPr="00B92CFB">
              <w:rPr>
                <w:rFonts w:ascii="Times New Roman" w:hAnsi="Times New Roman" w:cs="Times New Roman"/>
              </w:rPr>
              <w:t>(Standard error)</w:t>
            </w:r>
          </w:p>
        </w:tc>
        <w:tc>
          <w:tcPr>
            <w:tcW w:w="1849" w:type="dxa"/>
            <w:tcBorders>
              <w:top w:val="nil"/>
            </w:tcBorders>
          </w:tcPr>
          <w:p w14:paraId="13DDFFEB" w14:textId="77777777" w:rsidR="00E42372" w:rsidRPr="00B92CFB" w:rsidRDefault="00E42372" w:rsidP="00B92CFB">
            <w:pPr>
              <w:pStyle w:val="ListParagraph"/>
              <w:tabs>
                <w:tab w:val="left" w:pos="567"/>
              </w:tabs>
              <w:ind w:left="0"/>
              <w:jc w:val="center"/>
              <w:rPr>
                <w:rFonts w:ascii="Times New Roman" w:hAnsi="Times New Roman" w:cs="Times New Roman"/>
              </w:rPr>
            </w:pPr>
            <w:r w:rsidRPr="00B92CFB">
              <w:rPr>
                <w:rFonts w:ascii="Times New Roman" w:hAnsi="Times New Roman" w:cs="Times New Roman"/>
              </w:rPr>
              <w:t>Coefficient</w:t>
            </w:r>
          </w:p>
          <w:p w14:paraId="46AFA54D" w14:textId="77777777" w:rsidR="00E42372" w:rsidRPr="00B92CFB" w:rsidRDefault="00E42372" w:rsidP="00B92CFB">
            <w:pPr>
              <w:tabs>
                <w:tab w:val="left" w:pos="567"/>
              </w:tabs>
              <w:jc w:val="center"/>
              <w:rPr>
                <w:rFonts w:ascii="Times New Roman" w:hAnsi="Times New Roman" w:cs="Times New Roman"/>
              </w:rPr>
            </w:pPr>
            <w:r w:rsidRPr="00B92CFB">
              <w:rPr>
                <w:rFonts w:ascii="Times New Roman" w:hAnsi="Times New Roman" w:cs="Times New Roman"/>
              </w:rPr>
              <w:t>(Standard error)</w:t>
            </w:r>
          </w:p>
        </w:tc>
        <w:tc>
          <w:tcPr>
            <w:tcW w:w="1849" w:type="dxa"/>
            <w:tcBorders>
              <w:top w:val="nil"/>
            </w:tcBorders>
          </w:tcPr>
          <w:p w14:paraId="5B654706" w14:textId="77777777" w:rsidR="00E42372" w:rsidRPr="00B92CFB" w:rsidRDefault="00E42372" w:rsidP="00B92CFB">
            <w:pPr>
              <w:pStyle w:val="ListParagraph"/>
              <w:tabs>
                <w:tab w:val="left" w:pos="567"/>
              </w:tabs>
              <w:ind w:left="0"/>
              <w:jc w:val="center"/>
              <w:rPr>
                <w:rFonts w:ascii="Times New Roman" w:hAnsi="Times New Roman" w:cs="Times New Roman"/>
              </w:rPr>
            </w:pPr>
            <w:r w:rsidRPr="00B92CFB">
              <w:rPr>
                <w:rFonts w:ascii="Times New Roman" w:hAnsi="Times New Roman" w:cs="Times New Roman"/>
              </w:rPr>
              <w:t>Coefficient</w:t>
            </w:r>
          </w:p>
          <w:p w14:paraId="57629907" w14:textId="77777777" w:rsidR="00E42372" w:rsidRPr="00B92CFB" w:rsidRDefault="00E42372" w:rsidP="00B92CFB">
            <w:pPr>
              <w:tabs>
                <w:tab w:val="left" w:pos="567"/>
              </w:tabs>
              <w:jc w:val="center"/>
              <w:rPr>
                <w:rFonts w:ascii="Times New Roman" w:hAnsi="Times New Roman" w:cs="Times New Roman"/>
              </w:rPr>
            </w:pPr>
            <w:r w:rsidRPr="00B92CFB">
              <w:rPr>
                <w:rFonts w:ascii="Times New Roman" w:hAnsi="Times New Roman" w:cs="Times New Roman"/>
              </w:rPr>
              <w:t>(Standard error)</w:t>
            </w:r>
          </w:p>
        </w:tc>
        <w:tc>
          <w:tcPr>
            <w:tcW w:w="1849" w:type="dxa"/>
            <w:tcBorders>
              <w:top w:val="nil"/>
            </w:tcBorders>
          </w:tcPr>
          <w:p w14:paraId="7C95984D" w14:textId="77777777" w:rsidR="00E42372" w:rsidRPr="00B92CFB" w:rsidRDefault="00E42372" w:rsidP="00B92CFB">
            <w:pPr>
              <w:pStyle w:val="ListParagraph"/>
              <w:tabs>
                <w:tab w:val="left" w:pos="567"/>
              </w:tabs>
              <w:ind w:left="0"/>
              <w:jc w:val="center"/>
              <w:rPr>
                <w:rFonts w:ascii="Times New Roman" w:hAnsi="Times New Roman" w:cs="Times New Roman"/>
              </w:rPr>
            </w:pPr>
            <w:r w:rsidRPr="00B92CFB">
              <w:rPr>
                <w:rFonts w:ascii="Times New Roman" w:hAnsi="Times New Roman" w:cs="Times New Roman"/>
              </w:rPr>
              <w:t>Coefficient</w:t>
            </w:r>
          </w:p>
          <w:p w14:paraId="1200BE5B" w14:textId="77777777" w:rsidR="00E42372" w:rsidRPr="00B92CFB" w:rsidRDefault="00E42372" w:rsidP="00B92CFB">
            <w:pPr>
              <w:tabs>
                <w:tab w:val="left" w:pos="567"/>
              </w:tabs>
              <w:jc w:val="center"/>
              <w:rPr>
                <w:rFonts w:ascii="Times New Roman" w:hAnsi="Times New Roman" w:cs="Times New Roman"/>
              </w:rPr>
            </w:pPr>
            <w:r w:rsidRPr="00B92CFB">
              <w:rPr>
                <w:rFonts w:ascii="Times New Roman" w:hAnsi="Times New Roman" w:cs="Times New Roman"/>
              </w:rPr>
              <w:t>(Standard error)</w:t>
            </w:r>
          </w:p>
        </w:tc>
      </w:tr>
      <w:tr w:rsidR="00E42372" w:rsidRPr="00B85B21" w14:paraId="674C8B04" w14:textId="77777777" w:rsidTr="00B92CFB">
        <w:tc>
          <w:tcPr>
            <w:tcW w:w="1847" w:type="dxa"/>
            <w:vMerge/>
            <w:tcBorders>
              <w:bottom w:val="nil"/>
            </w:tcBorders>
            <w:vAlign w:val="center"/>
          </w:tcPr>
          <w:p w14:paraId="505422C8" w14:textId="77777777" w:rsidR="00E42372" w:rsidRPr="00B85B21" w:rsidRDefault="00E42372" w:rsidP="00F50315">
            <w:pPr>
              <w:tabs>
                <w:tab w:val="left" w:pos="567"/>
              </w:tabs>
              <w:jc w:val="both"/>
              <w:rPr>
                <w:rFonts w:ascii="Times New Roman" w:hAnsi="Times New Roman" w:cs="Times New Roman"/>
                <w:b/>
              </w:rPr>
            </w:pPr>
          </w:p>
        </w:tc>
        <w:tc>
          <w:tcPr>
            <w:tcW w:w="1848" w:type="dxa"/>
            <w:tcBorders>
              <w:bottom w:val="nil"/>
            </w:tcBorders>
          </w:tcPr>
          <w:p w14:paraId="46C73423" w14:textId="77777777" w:rsidR="00E42372" w:rsidRPr="00B92CFB" w:rsidRDefault="00E42372" w:rsidP="00B92CFB">
            <w:pPr>
              <w:tabs>
                <w:tab w:val="left" w:pos="567"/>
              </w:tabs>
              <w:jc w:val="center"/>
              <w:rPr>
                <w:rFonts w:ascii="Times New Roman" w:hAnsi="Times New Roman" w:cs="Times New Roman"/>
              </w:rPr>
            </w:pPr>
            <w:r w:rsidRPr="00B92CFB">
              <w:rPr>
                <w:rFonts w:ascii="Times New Roman" w:hAnsi="Times New Roman" w:cs="Times New Roman"/>
                <w:bCs/>
              </w:rPr>
              <w:t>(1)</w:t>
            </w:r>
          </w:p>
        </w:tc>
        <w:tc>
          <w:tcPr>
            <w:tcW w:w="1849" w:type="dxa"/>
            <w:tcBorders>
              <w:bottom w:val="nil"/>
            </w:tcBorders>
          </w:tcPr>
          <w:p w14:paraId="6328089E" w14:textId="77777777" w:rsidR="00E42372" w:rsidRPr="00B92CFB" w:rsidRDefault="00E42372" w:rsidP="00B92CFB">
            <w:pPr>
              <w:tabs>
                <w:tab w:val="left" w:pos="567"/>
              </w:tabs>
              <w:jc w:val="center"/>
              <w:rPr>
                <w:rFonts w:ascii="Times New Roman" w:hAnsi="Times New Roman" w:cs="Times New Roman"/>
              </w:rPr>
            </w:pPr>
            <w:r w:rsidRPr="00B92CFB">
              <w:rPr>
                <w:rFonts w:ascii="Times New Roman" w:hAnsi="Times New Roman" w:cs="Times New Roman"/>
                <w:bCs/>
              </w:rPr>
              <w:t>(2)</w:t>
            </w:r>
          </w:p>
        </w:tc>
        <w:tc>
          <w:tcPr>
            <w:tcW w:w="1849" w:type="dxa"/>
            <w:tcBorders>
              <w:bottom w:val="nil"/>
            </w:tcBorders>
          </w:tcPr>
          <w:p w14:paraId="11DF7071" w14:textId="77777777" w:rsidR="00E42372" w:rsidRPr="00B92CFB" w:rsidRDefault="00E42372" w:rsidP="00B92CFB">
            <w:pPr>
              <w:tabs>
                <w:tab w:val="left" w:pos="567"/>
              </w:tabs>
              <w:jc w:val="center"/>
              <w:rPr>
                <w:rFonts w:ascii="Times New Roman" w:hAnsi="Times New Roman" w:cs="Times New Roman"/>
              </w:rPr>
            </w:pPr>
            <w:r w:rsidRPr="00B92CFB">
              <w:rPr>
                <w:rFonts w:ascii="Times New Roman" w:hAnsi="Times New Roman" w:cs="Times New Roman"/>
                <w:bCs/>
              </w:rPr>
              <w:t>(3)</w:t>
            </w:r>
          </w:p>
        </w:tc>
        <w:tc>
          <w:tcPr>
            <w:tcW w:w="1849" w:type="dxa"/>
            <w:tcBorders>
              <w:bottom w:val="nil"/>
            </w:tcBorders>
          </w:tcPr>
          <w:p w14:paraId="43E946C3" w14:textId="77777777" w:rsidR="00E42372" w:rsidRPr="00B92CFB" w:rsidRDefault="00E42372" w:rsidP="00B92CFB">
            <w:pPr>
              <w:tabs>
                <w:tab w:val="left" w:pos="567"/>
              </w:tabs>
              <w:jc w:val="center"/>
              <w:rPr>
                <w:rFonts w:ascii="Times New Roman" w:hAnsi="Times New Roman" w:cs="Times New Roman"/>
              </w:rPr>
            </w:pPr>
            <w:r w:rsidRPr="00B92CFB">
              <w:rPr>
                <w:rFonts w:ascii="Times New Roman" w:hAnsi="Times New Roman" w:cs="Times New Roman"/>
                <w:bCs/>
              </w:rPr>
              <w:t>(4)</w:t>
            </w:r>
          </w:p>
        </w:tc>
      </w:tr>
      <w:tr w:rsidR="00E42372" w:rsidRPr="00B85B21" w14:paraId="0F36E3FA" w14:textId="77777777" w:rsidTr="00B92CFB">
        <w:tc>
          <w:tcPr>
            <w:tcW w:w="1847" w:type="dxa"/>
            <w:tcBorders>
              <w:top w:val="nil"/>
              <w:bottom w:val="nil"/>
            </w:tcBorders>
            <w:vAlign w:val="center"/>
          </w:tcPr>
          <w:p w14:paraId="7E7E1308" w14:textId="77777777" w:rsidR="00E42372" w:rsidRPr="00B85B21" w:rsidRDefault="00E42372" w:rsidP="00F50315">
            <w:pPr>
              <w:tabs>
                <w:tab w:val="left" w:pos="567"/>
              </w:tabs>
              <w:jc w:val="both"/>
              <w:rPr>
                <w:rFonts w:ascii="Times New Roman" w:hAnsi="Times New Roman" w:cs="Times New Roman"/>
                <w:iCs/>
              </w:rPr>
            </w:pPr>
            <w:proofErr w:type="spellStart"/>
            <w:r w:rsidRPr="00B85B21">
              <w:rPr>
                <w:rFonts w:ascii="Times New Roman" w:hAnsi="Times New Roman" w:cs="Times New Roman"/>
                <w:iCs/>
              </w:rPr>
              <w:t>TreatmentA</w:t>
            </w:r>
            <w:proofErr w:type="spellEnd"/>
          </w:p>
        </w:tc>
        <w:tc>
          <w:tcPr>
            <w:tcW w:w="1848" w:type="dxa"/>
            <w:tcBorders>
              <w:top w:val="nil"/>
              <w:bottom w:val="nil"/>
            </w:tcBorders>
          </w:tcPr>
          <w:p w14:paraId="45AD2067" w14:textId="77777777" w:rsidR="00E42372" w:rsidRPr="00B92CFB" w:rsidRDefault="00E42372" w:rsidP="00B92CFB">
            <w:pPr>
              <w:tabs>
                <w:tab w:val="left" w:pos="567"/>
              </w:tabs>
              <w:jc w:val="center"/>
              <w:rPr>
                <w:rFonts w:ascii="Times New Roman" w:hAnsi="Times New Roman" w:cs="Times New Roman"/>
              </w:rPr>
            </w:pPr>
            <w:r w:rsidRPr="00B92CFB">
              <w:rPr>
                <w:rFonts w:ascii="Times New Roman" w:hAnsi="Times New Roman" w:cs="Times New Roman"/>
              </w:rPr>
              <w:t>-1.831</w:t>
            </w:r>
          </w:p>
          <w:p w14:paraId="1DC0EB0F" w14:textId="77777777" w:rsidR="00E42372" w:rsidRPr="00B92CFB" w:rsidRDefault="00E42372" w:rsidP="00B92CFB">
            <w:pPr>
              <w:tabs>
                <w:tab w:val="left" w:pos="567"/>
              </w:tabs>
              <w:jc w:val="center"/>
              <w:rPr>
                <w:rFonts w:ascii="Times New Roman" w:hAnsi="Times New Roman" w:cs="Times New Roman"/>
              </w:rPr>
            </w:pPr>
            <w:r w:rsidRPr="00B92CFB">
              <w:rPr>
                <w:rFonts w:ascii="Times New Roman" w:hAnsi="Times New Roman" w:cs="Times New Roman"/>
              </w:rPr>
              <w:t>(7.442)</w:t>
            </w:r>
          </w:p>
        </w:tc>
        <w:tc>
          <w:tcPr>
            <w:tcW w:w="1849" w:type="dxa"/>
            <w:tcBorders>
              <w:top w:val="nil"/>
              <w:bottom w:val="nil"/>
            </w:tcBorders>
          </w:tcPr>
          <w:p w14:paraId="0D06578C" w14:textId="77777777" w:rsidR="00E42372" w:rsidRPr="00B92CFB" w:rsidRDefault="00E42372" w:rsidP="00B92CFB">
            <w:pPr>
              <w:tabs>
                <w:tab w:val="left" w:pos="567"/>
              </w:tabs>
              <w:jc w:val="center"/>
              <w:rPr>
                <w:rFonts w:ascii="Times New Roman" w:hAnsi="Times New Roman" w:cs="Times New Roman"/>
              </w:rPr>
            </w:pPr>
            <w:r w:rsidRPr="00B92CFB">
              <w:rPr>
                <w:rFonts w:ascii="Times New Roman" w:hAnsi="Times New Roman" w:cs="Times New Roman"/>
              </w:rPr>
              <w:t>-2.561</w:t>
            </w:r>
          </w:p>
          <w:p w14:paraId="47595912" w14:textId="77777777" w:rsidR="00E42372" w:rsidRPr="00B92CFB" w:rsidRDefault="00E42372" w:rsidP="00B92CFB">
            <w:pPr>
              <w:tabs>
                <w:tab w:val="left" w:pos="567"/>
              </w:tabs>
              <w:jc w:val="center"/>
              <w:rPr>
                <w:rFonts w:ascii="Times New Roman" w:hAnsi="Times New Roman" w:cs="Times New Roman"/>
              </w:rPr>
            </w:pPr>
            <w:r w:rsidRPr="00B92CFB">
              <w:rPr>
                <w:rFonts w:ascii="Times New Roman" w:hAnsi="Times New Roman" w:cs="Times New Roman"/>
              </w:rPr>
              <w:t>(9.469)</w:t>
            </w:r>
          </w:p>
        </w:tc>
        <w:tc>
          <w:tcPr>
            <w:tcW w:w="1849" w:type="dxa"/>
            <w:tcBorders>
              <w:top w:val="nil"/>
              <w:bottom w:val="nil"/>
            </w:tcBorders>
          </w:tcPr>
          <w:p w14:paraId="49BADEC1" w14:textId="77777777" w:rsidR="00E42372" w:rsidRPr="00B92CFB" w:rsidRDefault="00E42372" w:rsidP="00B92CFB">
            <w:pPr>
              <w:tabs>
                <w:tab w:val="left" w:pos="567"/>
              </w:tabs>
              <w:jc w:val="center"/>
              <w:rPr>
                <w:rFonts w:ascii="Times New Roman" w:hAnsi="Times New Roman" w:cs="Times New Roman"/>
              </w:rPr>
            </w:pPr>
            <w:r w:rsidRPr="00B92CFB">
              <w:rPr>
                <w:rFonts w:ascii="Times New Roman" w:hAnsi="Times New Roman" w:cs="Times New Roman"/>
              </w:rPr>
              <w:t>11.01</w:t>
            </w:r>
          </w:p>
          <w:p w14:paraId="21007C70" w14:textId="77777777" w:rsidR="00E42372" w:rsidRPr="00B92CFB" w:rsidRDefault="00E42372" w:rsidP="00B92CFB">
            <w:pPr>
              <w:tabs>
                <w:tab w:val="left" w:pos="567"/>
              </w:tabs>
              <w:jc w:val="center"/>
              <w:rPr>
                <w:rFonts w:ascii="Times New Roman" w:hAnsi="Times New Roman" w:cs="Times New Roman"/>
              </w:rPr>
            </w:pPr>
            <w:r w:rsidRPr="00B92CFB">
              <w:rPr>
                <w:rFonts w:ascii="Times New Roman" w:hAnsi="Times New Roman" w:cs="Times New Roman"/>
              </w:rPr>
              <w:t>(8.061)</w:t>
            </w:r>
          </w:p>
        </w:tc>
        <w:tc>
          <w:tcPr>
            <w:tcW w:w="1849" w:type="dxa"/>
            <w:tcBorders>
              <w:top w:val="nil"/>
              <w:bottom w:val="nil"/>
            </w:tcBorders>
          </w:tcPr>
          <w:p w14:paraId="2AB2A4DD" w14:textId="77777777" w:rsidR="00E42372" w:rsidRPr="00B92CFB" w:rsidRDefault="00E42372" w:rsidP="00B92CFB">
            <w:pPr>
              <w:tabs>
                <w:tab w:val="left" w:pos="567"/>
              </w:tabs>
              <w:jc w:val="center"/>
              <w:rPr>
                <w:rFonts w:ascii="Times New Roman" w:hAnsi="Times New Roman" w:cs="Times New Roman"/>
              </w:rPr>
            </w:pPr>
            <w:r w:rsidRPr="00B92CFB">
              <w:rPr>
                <w:rFonts w:ascii="Times New Roman" w:hAnsi="Times New Roman" w:cs="Times New Roman"/>
              </w:rPr>
              <w:t>9.789</w:t>
            </w:r>
          </w:p>
          <w:p w14:paraId="226B7366" w14:textId="77777777" w:rsidR="00E42372" w:rsidRPr="00B92CFB" w:rsidRDefault="00E42372" w:rsidP="00B92CFB">
            <w:pPr>
              <w:tabs>
                <w:tab w:val="left" w:pos="567"/>
              </w:tabs>
              <w:jc w:val="center"/>
              <w:rPr>
                <w:rFonts w:ascii="Times New Roman" w:hAnsi="Times New Roman" w:cs="Times New Roman"/>
              </w:rPr>
            </w:pPr>
            <w:r w:rsidRPr="00B92CFB">
              <w:rPr>
                <w:rFonts w:ascii="Times New Roman" w:hAnsi="Times New Roman" w:cs="Times New Roman"/>
              </w:rPr>
              <w:t>(10.10)</w:t>
            </w:r>
          </w:p>
        </w:tc>
      </w:tr>
      <w:tr w:rsidR="00E42372" w:rsidRPr="00B85B21" w14:paraId="344D2CBE" w14:textId="77777777" w:rsidTr="00B92CFB">
        <w:tc>
          <w:tcPr>
            <w:tcW w:w="1847" w:type="dxa"/>
            <w:tcBorders>
              <w:top w:val="nil"/>
              <w:bottom w:val="nil"/>
            </w:tcBorders>
            <w:vAlign w:val="center"/>
          </w:tcPr>
          <w:p w14:paraId="47D4B214" w14:textId="77777777" w:rsidR="00E42372" w:rsidRPr="00B85B21" w:rsidRDefault="00E42372" w:rsidP="00F50315">
            <w:pPr>
              <w:tabs>
                <w:tab w:val="left" w:pos="567"/>
              </w:tabs>
              <w:jc w:val="both"/>
              <w:rPr>
                <w:rFonts w:ascii="Times New Roman" w:hAnsi="Times New Roman" w:cs="Times New Roman"/>
                <w:iCs/>
              </w:rPr>
            </w:pPr>
            <w:proofErr w:type="spellStart"/>
            <w:r w:rsidRPr="00B85B21">
              <w:rPr>
                <w:rFonts w:ascii="Times New Roman" w:hAnsi="Times New Roman" w:cs="Times New Roman"/>
                <w:iCs/>
              </w:rPr>
              <w:t>TreatmentB</w:t>
            </w:r>
            <w:proofErr w:type="spellEnd"/>
          </w:p>
        </w:tc>
        <w:tc>
          <w:tcPr>
            <w:tcW w:w="1848" w:type="dxa"/>
            <w:tcBorders>
              <w:top w:val="nil"/>
              <w:bottom w:val="nil"/>
            </w:tcBorders>
          </w:tcPr>
          <w:p w14:paraId="45C09550" w14:textId="77777777" w:rsidR="00E42372" w:rsidRPr="00B92CFB" w:rsidRDefault="00E42372" w:rsidP="00B92CFB">
            <w:pPr>
              <w:tabs>
                <w:tab w:val="left" w:pos="567"/>
              </w:tabs>
              <w:jc w:val="center"/>
              <w:rPr>
                <w:rFonts w:ascii="Times New Roman" w:hAnsi="Times New Roman" w:cs="Times New Roman"/>
              </w:rPr>
            </w:pPr>
            <w:r w:rsidRPr="00B92CFB">
              <w:rPr>
                <w:rFonts w:ascii="Times New Roman" w:hAnsi="Times New Roman" w:cs="Times New Roman"/>
              </w:rPr>
              <w:t>-3.343</w:t>
            </w:r>
          </w:p>
          <w:p w14:paraId="082CF50F" w14:textId="77777777" w:rsidR="00E42372" w:rsidRPr="00B92CFB" w:rsidRDefault="00E42372" w:rsidP="00B92CFB">
            <w:pPr>
              <w:tabs>
                <w:tab w:val="left" w:pos="567"/>
              </w:tabs>
              <w:jc w:val="center"/>
              <w:rPr>
                <w:rFonts w:ascii="Times New Roman" w:hAnsi="Times New Roman" w:cs="Times New Roman"/>
              </w:rPr>
            </w:pPr>
            <w:r w:rsidRPr="00B92CFB">
              <w:rPr>
                <w:rFonts w:ascii="Times New Roman" w:hAnsi="Times New Roman" w:cs="Times New Roman"/>
              </w:rPr>
              <w:t>(7.045)</w:t>
            </w:r>
          </w:p>
        </w:tc>
        <w:tc>
          <w:tcPr>
            <w:tcW w:w="1849" w:type="dxa"/>
            <w:tcBorders>
              <w:top w:val="nil"/>
              <w:bottom w:val="nil"/>
            </w:tcBorders>
          </w:tcPr>
          <w:p w14:paraId="3FC1EF81" w14:textId="77777777" w:rsidR="00E42372" w:rsidRPr="00B92CFB" w:rsidRDefault="00E42372" w:rsidP="00B92CFB">
            <w:pPr>
              <w:tabs>
                <w:tab w:val="left" w:pos="567"/>
              </w:tabs>
              <w:jc w:val="center"/>
              <w:rPr>
                <w:rFonts w:ascii="Times New Roman" w:hAnsi="Times New Roman" w:cs="Times New Roman"/>
              </w:rPr>
            </w:pPr>
            <w:r w:rsidRPr="00B92CFB">
              <w:rPr>
                <w:rFonts w:ascii="Times New Roman" w:hAnsi="Times New Roman" w:cs="Times New Roman"/>
              </w:rPr>
              <w:t>-6.076</w:t>
            </w:r>
          </w:p>
          <w:p w14:paraId="0E0E0467" w14:textId="77777777" w:rsidR="00E42372" w:rsidRPr="00B92CFB" w:rsidRDefault="00E42372" w:rsidP="00B92CFB">
            <w:pPr>
              <w:tabs>
                <w:tab w:val="left" w:pos="567"/>
              </w:tabs>
              <w:jc w:val="center"/>
              <w:rPr>
                <w:rFonts w:ascii="Times New Roman" w:hAnsi="Times New Roman" w:cs="Times New Roman"/>
              </w:rPr>
            </w:pPr>
            <w:r w:rsidRPr="00B92CFB">
              <w:rPr>
                <w:rFonts w:ascii="Times New Roman" w:hAnsi="Times New Roman" w:cs="Times New Roman"/>
              </w:rPr>
              <w:t>(8.362)</w:t>
            </w:r>
          </w:p>
        </w:tc>
        <w:tc>
          <w:tcPr>
            <w:tcW w:w="1849" w:type="dxa"/>
            <w:tcBorders>
              <w:top w:val="nil"/>
              <w:bottom w:val="nil"/>
            </w:tcBorders>
          </w:tcPr>
          <w:p w14:paraId="4ACBA368" w14:textId="77777777" w:rsidR="00E42372" w:rsidRPr="00B92CFB" w:rsidRDefault="00E42372" w:rsidP="00B92CFB">
            <w:pPr>
              <w:tabs>
                <w:tab w:val="left" w:pos="567"/>
              </w:tabs>
              <w:jc w:val="center"/>
              <w:rPr>
                <w:rFonts w:ascii="Times New Roman" w:hAnsi="Times New Roman" w:cs="Times New Roman"/>
              </w:rPr>
            </w:pPr>
            <w:r w:rsidRPr="00B92CFB">
              <w:rPr>
                <w:rFonts w:ascii="Times New Roman" w:hAnsi="Times New Roman" w:cs="Times New Roman"/>
              </w:rPr>
              <w:t>20.30</w:t>
            </w:r>
            <w:r w:rsidRPr="00B92CFB">
              <w:rPr>
                <w:rFonts w:ascii="Times New Roman" w:hAnsi="Times New Roman" w:cs="Times New Roman"/>
                <w:vertAlign w:val="superscript"/>
              </w:rPr>
              <w:t>**</w:t>
            </w:r>
          </w:p>
          <w:p w14:paraId="0148AB45" w14:textId="77777777" w:rsidR="00E42372" w:rsidRPr="00B92CFB" w:rsidRDefault="00E42372" w:rsidP="00B92CFB">
            <w:pPr>
              <w:tabs>
                <w:tab w:val="left" w:pos="567"/>
              </w:tabs>
              <w:jc w:val="center"/>
              <w:rPr>
                <w:rFonts w:ascii="Times New Roman" w:hAnsi="Times New Roman" w:cs="Times New Roman"/>
              </w:rPr>
            </w:pPr>
            <w:r w:rsidRPr="00B92CFB">
              <w:rPr>
                <w:rFonts w:ascii="Times New Roman" w:hAnsi="Times New Roman" w:cs="Times New Roman"/>
              </w:rPr>
              <w:t>(8.881)</w:t>
            </w:r>
          </w:p>
        </w:tc>
        <w:tc>
          <w:tcPr>
            <w:tcW w:w="1849" w:type="dxa"/>
            <w:tcBorders>
              <w:top w:val="nil"/>
              <w:bottom w:val="nil"/>
            </w:tcBorders>
          </w:tcPr>
          <w:p w14:paraId="5BDF2B6A" w14:textId="77777777" w:rsidR="00E42372" w:rsidRPr="00B92CFB" w:rsidRDefault="00E42372" w:rsidP="00B92CFB">
            <w:pPr>
              <w:tabs>
                <w:tab w:val="left" w:pos="567"/>
              </w:tabs>
              <w:jc w:val="center"/>
              <w:rPr>
                <w:rFonts w:ascii="Times New Roman" w:hAnsi="Times New Roman" w:cs="Times New Roman"/>
              </w:rPr>
            </w:pPr>
            <w:r w:rsidRPr="00B92CFB">
              <w:rPr>
                <w:rFonts w:ascii="Times New Roman" w:hAnsi="Times New Roman" w:cs="Times New Roman"/>
              </w:rPr>
              <w:t>23.37</w:t>
            </w:r>
            <w:r w:rsidRPr="00B92CFB">
              <w:rPr>
                <w:rFonts w:ascii="Times New Roman" w:hAnsi="Times New Roman" w:cs="Times New Roman"/>
                <w:vertAlign w:val="superscript"/>
              </w:rPr>
              <w:t>**</w:t>
            </w:r>
          </w:p>
          <w:p w14:paraId="1B9167F0" w14:textId="77777777" w:rsidR="00E42372" w:rsidRPr="00B92CFB" w:rsidRDefault="00E42372" w:rsidP="00B92CFB">
            <w:pPr>
              <w:tabs>
                <w:tab w:val="left" w:pos="567"/>
              </w:tabs>
              <w:jc w:val="center"/>
              <w:rPr>
                <w:rFonts w:ascii="Times New Roman" w:hAnsi="Times New Roman" w:cs="Times New Roman"/>
              </w:rPr>
            </w:pPr>
            <w:r w:rsidRPr="00B92CFB">
              <w:rPr>
                <w:rFonts w:ascii="Times New Roman" w:hAnsi="Times New Roman" w:cs="Times New Roman"/>
              </w:rPr>
              <w:t>(10.05)</w:t>
            </w:r>
          </w:p>
        </w:tc>
      </w:tr>
      <w:tr w:rsidR="00E42372" w:rsidRPr="00B85B21" w14:paraId="373D756C" w14:textId="77777777" w:rsidTr="00B92CFB">
        <w:tc>
          <w:tcPr>
            <w:tcW w:w="1847" w:type="dxa"/>
            <w:tcBorders>
              <w:top w:val="nil"/>
              <w:bottom w:val="nil"/>
            </w:tcBorders>
          </w:tcPr>
          <w:p w14:paraId="0FBA449A" w14:textId="77777777" w:rsidR="00E42372" w:rsidRPr="00B85B21" w:rsidRDefault="00E42372" w:rsidP="00F50315">
            <w:pPr>
              <w:tabs>
                <w:tab w:val="left" w:pos="567"/>
              </w:tabs>
              <w:jc w:val="both"/>
              <w:rPr>
                <w:rFonts w:ascii="Times New Roman" w:hAnsi="Times New Roman" w:cs="Times New Roman"/>
              </w:rPr>
            </w:pPr>
            <w:r w:rsidRPr="00B85B21">
              <w:rPr>
                <w:rFonts w:ascii="Times New Roman" w:hAnsi="Times New Roman" w:cs="Times New Roman"/>
              </w:rPr>
              <w:t>N</w:t>
            </w:r>
          </w:p>
        </w:tc>
        <w:tc>
          <w:tcPr>
            <w:tcW w:w="1848" w:type="dxa"/>
            <w:tcBorders>
              <w:top w:val="nil"/>
              <w:bottom w:val="nil"/>
            </w:tcBorders>
          </w:tcPr>
          <w:p w14:paraId="77E677AC" w14:textId="77777777" w:rsidR="00E42372" w:rsidRPr="00B92CFB" w:rsidRDefault="00E42372" w:rsidP="00B92CFB">
            <w:pPr>
              <w:tabs>
                <w:tab w:val="left" w:pos="567"/>
              </w:tabs>
              <w:jc w:val="center"/>
              <w:rPr>
                <w:rFonts w:ascii="Times New Roman" w:hAnsi="Times New Roman" w:cs="Times New Roman"/>
              </w:rPr>
            </w:pPr>
            <w:r w:rsidRPr="00B92CFB">
              <w:rPr>
                <w:rFonts w:ascii="Times New Roman" w:hAnsi="Times New Roman" w:cs="Times New Roman"/>
              </w:rPr>
              <w:t>45</w:t>
            </w:r>
          </w:p>
        </w:tc>
        <w:tc>
          <w:tcPr>
            <w:tcW w:w="1849" w:type="dxa"/>
            <w:tcBorders>
              <w:top w:val="nil"/>
              <w:bottom w:val="nil"/>
            </w:tcBorders>
          </w:tcPr>
          <w:p w14:paraId="5F89F65F" w14:textId="77777777" w:rsidR="00E42372" w:rsidRPr="00B92CFB" w:rsidRDefault="00E42372" w:rsidP="00B92CFB">
            <w:pPr>
              <w:tabs>
                <w:tab w:val="left" w:pos="567"/>
              </w:tabs>
              <w:jc w:val="center"/>
              <w:rPr>
                <w:rFonts w:ascii="Times New Roman" w:hAnsi="Times New Roman" w:cs="Times New Roman"/>
              </w:rPr>
            </w:pPr>
            <w:r w:rsidRPr="00B92CFB">
              <w:rPr>
                <w:rFonts w:ascii="Times New Roman" w:hAnsi="Times New Roman" w:cs="Times New Roman"/>
              </w:rPr>
              <w:t>38</w:t>
            </w:r>
          </w:p>
        </w:tc>
        <w:tc>
          <w:tcPr>
            <w:tcW w:w="1849" w:type="dxa"/>
            <w:tcBorders>
              <w:top w:val="nil"/>
              <w:bottom w:val="nil"/>
            </w:tcBorders>
          </w:tcPr>
          <w:p w14:paraId="4ABD8223" w14:textId="77777777" w:rsidR="00E42372" w:rsidRPr="00B92CFB" w:rsidRDefault="00E42372" w:rsidP="00B92CFB">
            <w:pPr>
              <w:tabs>
                <w:tab w:val="left" w:pos="567"/>
              </w:tabs>
              <w:jc w:val="center"/>
              <w:rPr>
                <w:rFonts w:ascii="Times New Roman" w:hAnsi="Times New Roman" w:cs="Times New Roman"/>
              </w:rPr>
            </w:pPr>
            <w:r w:rsidRPr="00B92CFB">
              <w:rPr>
                <w:rFonts w:ascii="Times New Roman" w:hAnsi="Times New Roman" w:cs="Times New Roman"/>
              </w:rPr>
              <w:t>45</w:t>
            </w:r>
          </w:p>
        </w:tc>
        <w:tc>
          <w:tcPr>
            <w:tcW w:w="1849" w:type="dxa"/>
            <w:tcBorders>
              <w:top w:val="nil"/>
              <w:bottom w:val="nil"/>
            </w:tcBorders>
          </w:tcPr>
          <w:p w14:paraId="63365A92" w14:textId="77777777" w:rsidR="00E42372" w:rsidRPr="00B92CFB" w:rsidRDefault="00E42372" w:rsidP="00B92CFB">
            <w:pPr>
              <w:tabs>
                <w:tab w:val="left" w:pos="567"/>
              </w:tabs>
              <w:jc w:val="center"/>
              <w:rPr>
                <w:rFonts w:ascii="Times New Roman" w:hAnsi="Times New Roman" w:cs="Times New Roman"/>
              </w:rPr>
            </w:pPr>
            <w:r w:rsidRPr="00B92CFB">
              <w:rPr>
                <w:rFonts w:ascii="Times New Roman" w:hAnsi="Times New Roman" w:cs="Times New Roman"/>
              </w:rPr>
              <w:t>36</w:t>
            </w:r>
          </w:p>
        </w:tc>
      </w:tr>
      <w:tr w:rsidR="00E42372" w:rsidRPr="00B85B21" w14:paraId="256C0BD4" w14:textId="77777777" w:rsidTr="00B92CFB">
        <w:tc>
          <w:tcPr>
            <w:tcW w:w="1847" w:type="dxa"/>
            <w:tcBorders>
              <w:top w:val="nil"/>
            </w:tcBorders>
          </w:tcPr>
          <w:p w14:paraId="4BCE76AB" w14:textId="77777777" w:rsidR="00E42372" w:rsidRPr="00B85B21" w:rsidRDefault="00E42372" w:rsidP="00F50315">
            <w:pPr>
              <w:tabs>
                <w:tab w:val="left" w:pos="567"/>
              </w:tabs>
              <w:jc w:val="both"/>
              <w:rPr>
                <w:rFonts w:ascii="Times New Roman" w:hAnsi="Times New Roman" w:cs="Times New Roman"/>
              </w:rPr>
            </w:pPr>
            <w:r w:rsidRPr="00B85B21">
              <w:rPr>
                <w:rFonts w:ascii="Times New Roman" w:hAnsi="Times New Roman" w:cs="Times New Roman"/>
              </w:rPr>
              <w:t>Adjusted R</w:t>
            </w:r>
            <w:r w:rsidRPr="00B85B21">
              <w:rPr>
                <w:rFonts w:ascii="Times New Roman" w:hAnsi="Times New Roman" w:cs="Times New Roman"/>
                <w:vertAlign w:val="superscript"/>
              </w:rPr>
              <w:t>2</w:t>
            </w:r>
          </w:p>
        </w:tc>
        <w:tc>
          <w:tcPr>
            <w:tcW w:w="1848" w:type="dxa"/>
            <w:tcBorders>
              <w:top w:val="nil"/>
            </w:tcBorders>
          </w:tcPr>
          <w:p w14:paraId="4AAB4E12" w14:textId="77777777" w:rsidR="00E42372" w:rsidRPr="00B92CFB" w:rsidRDefault="00E42372" w:rsidP="00B92CFB">
            <w:pPr>
              <w:tabs>
                <w:tab w:val="left" w:pos="567"/>
              </w:tabs>
              <w:jc w:val="center"/>
              <w:rPr>
                <w:rFonts w:ascii="Times New Roman" w:hAnsi="Times New Roman" w:cs="Times New Roman"/>
              </w:rPr>
            </w:pPr>
            <w:r w:rsidRPr="00B92CFB">
              <w:rPr>
                <w:rFonts w:ascii="Times New Roman" w:hAnsi="Times New Roman" w:cs="Times New Roman"/>
              </w:rPr>
              <w:t>0.020</w:t>
            </w:r>
          </w:p>
        </w:tc>
        <w:tc>
          <w:tcPr>
            <w:tcW w:w="1849" w:type="dxa"/>
            <w:tcBorders>
              <w:top w:val="nil"/>
            </w:tcBorders>
          </w:tcPr>
          <w:p w14:paraId="28DEDB1D" w14:textId="77777777" w:rsidR="00E42372" w:rsidRPr="00B92CFB" w:rsidRDefault="00E42372" w:rsidP="00B92CFB">
            <w:pPr>
              <w:tabs>
                <w:tab w:val="left" w:pos="567"/>
              </w:tabs>
              <w:jc w:val="center"/>
              <w:rPr>
                <w:rFonts w:ascii="Times New Roman" w:hAnsi="Times New Roman" w:cs="Times New Roman"/>
              </w:rPr>
            </w:pPr>
            <w:r w:rsidRPr="00B92CFB">
              <w:rPr>
                <w:rFonts w:ascii="Times New Roman" w:hAnsi="Times New Roman" w:cs="Times New Roman"/>
              </w:rPr>
              <w:t>0.024</w:t>
            </w:r>
          </w:p>
        </w:tc>
        <w:tc>
          <w:tcPr>
            <w:tcW w:w="1849" w:type="dxa"/>
            <w:tcBorders>
              <w:top w:val="nil"/>
            </w:tcBorders>
          </w:tcPr>
          <w:p w14:paraId="0888A175" w14:textId="77777777" w:rsidR="00E42372" w:rsidRPr="00B92CFB" w:rsidRDefault="00E42372" w:rsidP="00B92CFB">
            <w:pPr>
              <w:tabs>
                <w:tab w:val="left" w:pos="567"/>
              </w:tabs>
              <w:jc w:val="center"/>
              <w:rPr>
                <w:rFonts w:ascii="Times New Roman" w:hAnsi="Times New Roman" w:cs="Times New Roman"/>
              </w:rPr>
            </w:pPr>
            <w:r w:rsidRPr="00B92CFB">
              <w:rPr>
                <w:rFonts w:ascii="Times New Roman" w:hAnsi="Times New Roman" w:cs="Times New Roman"/>
              </w:rPr>
              <w:t>0.034</w:t>
            </w:r>
          </w:p>
        </w:tc>
        <w:tc>
          <w:tcPr>
            <w:tcW w:w="1849" w:type="dxa"/>
            <w:tcBorders>
              <w:top w:val="nil"/>
            </w:tcBorders>
          </w:tcPr>
          <w:p w14:paraId="7CA6C8A3" w14:textId="77777777" w:rsidR="00E42372" w:rsidRPr="00B92CFB" w:rsidRDefault="00E42372" w:rsidP="00B92CFB">
            <w:pPr>
              <w:tabs>
                <w:tab w:val="left" w:pos="567"/>
              </w:tabs>
              <w:jc w:val="center"/>
              <w:rPr>
                <w:rFonts w:ascii="Times New Roman" w:hAnsi="Times New Roman" w:cs="Times New Roman"/>
              </w:rPr>
            </w:pPr>
            <w:r w:rsidRPr="00B92CFB">
              <w:rPr>
                <w:rFonts w:ascii="Times New Roman" w:hAnsi="Times New Roman" w:cs="Times New Roman"/>
              </w:rPr>
              <w:t>0.042</w:t>
            </w:r>
          </w:p>
        </w:tc>
      </w:tr>
    </w:tbl>
    <w:p w14:paraId="3D0E8C2C" w14:textId="77777777" w:rsidR="00E42372" w:rsidRPr="00B85B21" w:rsidRDefault="00E42372" w:rsidP="00F50315">
      <w:pPr>
        <w:tabs>
          <w:tab w:val="left" w:pos="567"/>
        </w:tabs>
        <w:spacing w:after="0" w:line="240" w:lineRule="auto"/>
        <w:jc w:val="both"/>
        <w:rPr>
          <w:rFonts w:ascii="Times New Roman" w:hAnsi="Times New Roman" w:cs="Times New Roman"/>
        </w:rPr>
      </w:pPr>
      <w:r w:rsidRPr="00B85B21">
        <w:rPr>
          <w:rFonts w:ascii="Times New Roman" w:hAnsi="Times New Roman" w:cs="Times New Roman"/>
          <w:bCs/>
          <w:vertAlign w:val="superscript"/>
        </w:rPr>
        <w:t>†</w:t>
      </w:r>
      <w:r w:rsidRPr="00B85B21">
        <w:rPr>
          <w:rFonts w:ascii="Times New Roman" w:hAnsi="Times New Roman" w:cs="Times New Roman"/>
          <w:bCs/>
        </w:rPr>
        <w:t xml:space="preserve"> Control variables not shown for brevity; </w:t>
      </w:r>
      <w:r w:rsidRPr="00B85B21">
        <w:rPr>
          <w:rFonts w:ascii="Times New Roman" w:hAnsi="Times New Roman" w:cs="Times New Roman"/>
          <w:bCs/>
          <w:vertAlign w:val="superscript"/>
        </w:rPr>
        <w:t>*</w:t>
      </w:r>
      <w:r w:rsidRPr="00B85B21">
        <w:rPr>
          <w:rFonts w:ascii="Times New Roman" w:hAnsi="Times New Roman" w:cs="Times New Roman"/>
          <w:vertAlign w:val="superscript"/>
        </w:rPr>
        <w:t>*</w:t>
      </w:r>
      <w:r w:rsidRPr="00B85B21">
        <w:rPr>
          <w:rFonts w:ascii="Times New Roman" w:hAnsi="Times New Roman" w:cs="Times New Roman"/>
        </w:rPr>
        <w:t>p&lt;0.05.</w:t>
      </w:r>
    </w:p>
    <w:p w14:paraId="72244AC0" w14:textId="77777777" w:rsidR="00E42372" w:rsidRDefault="00E42372" w:rsidP="00F50315">
      <w:pPr>
        <w:tabs>
          <w:tab w:val="left" w:pos="567"/>
        </w:tabs>
        <w:spacing w:after="0" w:line="288" w:lineRule="auto"/>
        <w:ind w:firstLine="720"/>
        <w:jc w:val="both"/>
        <w:rPr>
          <w:rFonts w:asciiTheme="majorBidi" w:hAnsiTheme="majorBidi" w:cstheme="majorBidi"/>
          <w:sz w:val="24"/>
          <w:szCs w:val="24"/>
        </w:rPr>
      </w:pPr>
    </w:p>
    <w:p w14:paraId="47D8E1FF" w14:textId="22670361" w:rsidR="00DA07D7" w:rsidRDefault="00CE07B8" w:rsidP="003B7DD2">
      <w:pPr>
        <w:tabs>
          <w:tab w:val="left" w:pos="567"/>
        </w:tabs>
        <w:spacing w:after="0" w:line="288" w:lineRule="auto"/>
        <w:ind w:firstLine="567"/>
        <w:jc w:val="both"/>
        <w:rPr>
          <w:rFonts w:asciiTheme="majorBidi" w:hAnsiTheme="majorBidi" w:cstheme="majorBidi"/>
          <w:sz w:val="24"/>
          <w:szCs w:val="24"/>
        </w:rPr>
      </w:pPr>
      <w:r w:rsidRPr="00357D66">
        <w:rPr>
          <w:rFonts w:asciiTheme="majorBidi" w:hAnsiTheme="majorBidi" w:cstheme="majorBidi"/>
          <w:sz w:val="24"/>
          <w:szCs w:val="24"/>
        </w:rPr>
        <w:t xml:space="preserve">It is very likely that the results </w:t>
      </w:r>
      <w:r w:rsidR="00D64B7A" w:rsidRPr="00357D66">
        <w:rPr>
          <w:rFonts w:asciiTheme="majorBidi" w:hAnsiTheme="majorBidi" w:cstheme="majorBidi"/>
          <w:sz w:val="24"/>
          <w:szCs w:val="24"/>
        </w:rPr>
        <w:t>shown in Tables 4 and 5</w:t>
      </w:r>
      <w:r w:rsidRPr="00357D66">
        <w:rPr>
          <w:rFonts w:asciiTheme="majorBidi" w:hAnsiTheme="majorBidi" w:cstheme="majorBidi"/>
          <w:sz w:val="24"/>
          <w:szCs w:val="24"/>
        </w:rPr>
        <w:t xml:space="preserve"> have been affected by the relatively small samples sizes</w:t>
      </w:r>
      <w:r w:rsidR="00D64B7A" w:rsidRPr="00357D66">
        <w:rPr>
          <w:rFonts w:asciiTheme="majorBidi" w:hAnsiTheme="majorBidi" w:cstheme="majorBidi"/>
          <w:sz w:val="24"/>
          <w:szCs w:val="24"/>
        </w:rPr>
        <w:t xml:space="preserve"> when the years are treated independently of each other</w:t>
      </w:r>
      <w:r w:rsidRPr="00357D66">
        <w:rPr>
          <w:rFonts w:asciiTheme="majorBidi" w:hAnsiTheme="majorBidi" w:cstheme="majorBidi"/>
          <w:sz w:val="24"/>
          <w:szCs w:val="24"/>
        </w:rPr>
        <w:t>.</w:t>
      </w:r>
      <w:r w:rsidR="00D64B7A" w:rsidRPr="00357D66">
        <w:rPr>
          <w:rFonts w:asciiTheme="majorBidi" w:hAnsiTheme="majorBidi" w:cstheme="majorBidi"/>
          <w:sz w:val="24"/>
          <w:szCs w:val="24"/>
        </w:rPr>
        <w:t xml:space="preserve"> These small sample sizes reduce the statistical power to identify the effects of treatment. In contrast, Table 6 shows the results when the two years are combined into a single sample, using the model specified in Equation (1).</w:t>
      </w:r>
      <w:r w:rsidR="00A25F96" w:rsidRPr="00357D66">
        <w:rPr>
          <w:rFonts w:asciiTheme="majorBidi" w:hAnsiTheme="majorBidi" w:cstheme="majorBidi"/>
          <w:sz w:val="24"/>
          <w:szCs w:val="24"/>
        </w:rPr>
        <w:t xml:space="preserve"> </w:t>
      </w:r>
      <w:r w:rsidR="00D64B7A" w:rsidRPr="00357D66">
        <w:rPr>
          <w:rFonts w:asciiTheme="majorBidi" w:hAnsiTheme="majorBidi" w:cstheme="majorBidi"/>
          <w:sz w:val="24"/>
          <w:szCs w:val="24"/>
        </w:rPr>
        <w:t xml:space="preserve">The first two columns show the logistic regression results for the </w:t>
      </w:r>
      <w:r w:rsidR="00D64B7A" w:rsidRPr="00357D66">
        <w:rPr>
          <w:rFonts w:asciiTheme="majorBidi" w:hAnsiTheme="majorBidi" w:cstheme="majorBidi"/>
          <w:i/>
          <w:sz w:val="24"/>
          <w:szCs w:val="24"/>
        </w:rPr>
        <w:t>Pass</w:t>
      </w:r>
      <w:r w:rsidR="00D64B7A" w:rsidRPr="00357D66">
        <w:rPr>
          <w:rFonts w:asciiTheme="majorBidi" w:hAnsiTheme="majorBidi" w:cstheme="majorBidi"/>
          <w:sz w:val="24"/>
          <w:szCs w:val="24"/>
        </w:rPr>
        <w:t xml:space="preserve"> outcome variable, with and without high school decile rating as a control variable. The last two columns show the corresponding linear regression results for the </w:t>
      </w:r>
      <w:proofErr w:type="spellStart"/>
      <w:r w:rsidR="00D64B7A" w:rsidRPr="00357D66">
        <w:rPr>
          <w:rFonts w:asciiTheme="majorBidi" w:hAnsiTheme="majorBidi" w:cstheme="majorBidi"/>
          <w:i/>
          <w:sz w:val="24"/>
          <w:szCs w:val="24"/>
        </w:rPr>
        <w:t>FinalMark</w:t>
      </w:r>
      <w:proofErr w:type="spellEnd"/>
      <w:r w:rsidR="00D64B7A" w:rsidRPr="00357D66">
        <w:rPr>
          <w:rFonts w:asciiTheme="majorBidi" w:hAnsiTheme="majorBidi" w:cstheme="majorBidi"/>
          <w:sz w:val="24"/>
          <w:szCs w:val="24"/>
        </w:rPr>
        <w:t xml:space="preserve"> outcome variable.</w:t>
      </w:r>
      <w:r w:rsidR="00F140F6" w:rsidRPr="00357D66">
        <w:rPr>
          <w:rFonts w:asciiTheme="majorBidi" w:hAnsiTheme="majorBidi" w:cstheme="majorBidi"/>
          <w:sz w:val="24"/>
          <w:szCs w:val="24"/>
        </w:rPr>
        <w:t xml:space="preserve"> The logistic regression results are similar to those reported in Table 4, suggesting that Treatment A increased the odds of passing the course in 2013 </w:t>
      </w:r>
      <w:r w:rsidR="008052E1" w:rsidRPr="00357D66">
        <w:rPr>
          <w:rFonts w:asciiTheme="majorBidi" w:hAnsiTheme="majorBidi" w:cstheme="majorBidi"/>
          <w:sz w:val="24"/>
          <w:szCs w:val="24"/>
        </w:rPr>
        <w:t>while</w:t>
      </w:r>
      <w:r w:rsidR="00F140F6" w:rsidRPr="00357D66">
        <w:rPr>
          <w:rFonts w:asciiTheme="majorBidi" w:hAnsiTheme="majorBidi" w:cstheme="majorBidi"/>
          <w:sz w:val="24"/>
          <w:szCs w:val="24"/>
        </w:rPr>
        <w:t xml:space="preserve"> Treatment B decreased the odds of passing the course. However, both effects were statistically insignificant. The effects of treatments in 2014 can be assessed by looking at the combined coefficients (the natural log of the odds ratios reported in Table 6) for the treatment variable and the interaction with the year dummy. The combined odds ratios suggest that in 2014 Treatment A increased the odds of passing the course by </w:t>
      </w:r>
      <w:r w:rsidR="008052E1" w:rsidRPr="00357D66">
        <w:rPr>
          <w:rFonts w:asciiTheme="majorBidi" w:hAnsiTheme="majorBidi" w:cstheme="majorBidi"/>
          <w:sz w:val="24"/>
          <w:szCs w:val="24"/>
        </w:rPr>
        <w:t>93</w:t>
      </w:r>
      <w:r w:rsidR="00F140F6" w:rsidRPr="00357D66">
        <w:rPr>
          <w:rFonts w:asciiTheme="majorBidi" w:hAnsiTheme="majorBidi" w:cstheme="majorBidi"/>
          <w:sz w:val="24"/>
          <w:szCs w:val="24"/>
        </w:rPr>
        <w:t xml:space="preserve">% (or </w:t>
      </w:r>
      <w:r w:rsidR="008052E1" w:rsidRPr="00357D66">
        <w:rPr>
          <w:rFonts w:asciiTheme="majorBidi" w:hAnsiTheme="majorBidi" w:cstheme="majorBidi"/>
          <w:sz w:val="24"/>
          <w:szCs w:val="24"/>
        </w:rPr>
        <w:t>130</w:t>
      </w:r>
      <w:r w:rsidR="00F140F6" w:rsidRPr="00357D66">
        <w:rPr>
          <w:rFonts w:asciiTheme="majorBidi" w:hAnsiTheme="majorBidi" w:cstheme="majorBidi"/>
          <w:sz w:val="24"/>
          <w:szCs w:val="24"/>
        </w:rPr>
        <w:t>% when controlling for high school decile rating), while Treatment B increased the odds of passing the course by 2</w:t>
      </w:r>
      <w:r w:rsidR="008052E1" w:rsidRPr="00357D66">
        <w:rPr>
          <w:rFonts w:asciiTheme="majorBidi" w:hAnsiTheme="majorBidi" w:cstheme="majorBidi"/>
          <w:sz w:val="24"/>
          <w:szCs w:val="24"/>
        </w:rPr>
        <w:t>67</w:t>
      </w:r>
      <w:r w:rsidR="00F140F6" w:rsidRPr="00357D66">
        <w:rPr>
          <w:rFonts w:asciiTheme="majorBidi" w:hAnsiTheme="majorBidi" w:cstheme="majorBidi"/>
          <w:sz w:val="24"/>
          <w:szCs w:val="24"/>
        </w:rPr>
        <w:t>% (or 18</w:t>
      </w:r>
      <w:r w:rsidR="008052E1" w:rsidRPr="00357D66">
        <w:rPr>
          <w:rFonts w:asciiTheme="majorBidi" w:hAnsiTheme="majorBidi" w:cstheme="majorBidi"/>
          <w:sz w:val="24"/>
          <w:szCs w:val="24"/>
        </w:rPr>
        <w:t>2</w:t>
      </w:r>
      <w:r w:rsidR="00F140F6" w:rsidRPr="00357D66">
        <w:rPr>
          <w:rFonts w:asciiTheme="majorBidi" w:hAnsiTheme="majorBidi" w:cstheme="majorBidi"/>
          <w:sz w:val="24"/>
          <w:szCs w:val="24"/>
        </w:rPr>
        <w:t xml:space="preserve">% when controlling for high school decile rating). However, </w:t>
      </w:r>
      <w:r w:rsidR="008052E1" w:rsidRPr="00357D66">
        <w:rPr>
          <w:rFonts w:asciiTheme="majorBidi" w:hAnsiTheme="majorBidi" w:cstheme="majorBidi"/>
          <w:sz w:val="24"/>
          <w:szCs w:val="24"/>
        </w:rPr>
        <w:t>despite the large size of the effects</w:t>
      </w:r>
      <w:r w:rsidR="00F140F6" w:rsidRPr="00357D66">
        <w:rPr>
          <w:rFonts w:asciiTheme="majorBidi" w:hAnsiTheme="majorBidi" w:cstheme="majorBidi"/>
          <w:sz w:val="24"/>
          <w:szCs w:val="24"/>
        </w:rPr>
        <w:t xml:space="preserve"> neither effect is statistically significant</w:t>
      </w:r>
      <w:r w:rsidR="00DA07D7" w:rsidRPr="00357D66">
        <w:rPr>
          <w:rFonts w:asciiTheme="majorBidi" w:hAnsiTheme="majorBidi" w:cstheme="majorBidi"/>
          <w:sz w:val="24"/>
          <w:szCs w:val="24"/>
        </w:rPr>
        <w:t>.</w:t>
      </w:r>
    </w:p>
    <w:p w14:paraId="75548EA0" w14:textId="77777777" w:rsidR="00E42372" w:rsidRPr="00357D66" w:rsidRDefault="00E42372" w:rsidP="00F50315">
      <w:pPr>
        <w:tabs>
          <w:tab w:val="left" w:pos="567"/>
        </w:tabs>
        <w:spacing w:after="0" w:line="288" w:lineRule="auto"/>
        <w:ind w:firstLine="720"/>
        <w:jc w:val="both"/>
        <w:rPr>
          <w:rFonts w:asciiTheme="majorBidi" w:hAnsiTheme="majorBidi" w:cstheme="majorBidi"/>
          <w:sz w:val="24"/>
          <w:szCs w:val="24"/>
        </w:rPr>
      </w:pPr>
    </w:p>
    <w:p w14:paraId="47CBFB27" w14:textId="11CF9F13" w:rsidR="00BB0E1C" w:rsidRPr="007821E7" w:rsidRDefault="00BB0E1C" w:rsidP="00E011EE">
      <w:pPr>
        <w:pStyle w:val="Caption"/>
        <w:keepNext/>
        <w:tabs>
          <w:tab w:val="left" w:pos="567"/>
        </w:tabs>
        <w:spacing w:after="80"/>
        <w:jc w:val="center"/>
        <w:rPr>
          <w:rFonts w:ascii="Times New Roman" w:hAnsi="Times New Roman" w:cs="Times New Roman"/>
          <w:iCs/>
          <w:sz w:val="22"/>
          <w:szCs w:val="22"/>
        </w:rPr>
      </w:pPr>
      <w:proofErr w:type="gramStart"/>
      <w:r w:rsidRPr="007821E7">
        <w:rPr>
          <w:rFonts w:ascii="Times New Roman" w:hAnsi="Times New Roman" w:cs="Times New Roman"/>
          <w:iCs/>
          <w:sz w:val="22"/>
          <w:szCs w:val="22"/>
        </w:rPr>
        <w:t>Table 6.</w:t>
      </w:r>
      <w:proofErr w:type="gramEnd"/>
      <w:r w:rsidRPr="007821E7">
        <w:rPr>
          <w:rFonts w:ascii="Times New Roman" w:hAnsi="Times New Roman" w:cs="Times New Roman"/>
          <w:iCs/>
          <w:sz w:val="22"/>
          <w:szCs w:val="22"/>
        </w:rPr>
        <w:t xml:space="preserve"> Logistic and Linear Regression Re</w:t>
      </w:r>
      <w:r w:rsidR="00B92CFB" w:rsidRPr="007821E7">
        <w:rPr>
          <w:rFonts w:ascii="Times New Roman" w:hAnsi="Times New Roman" w:cs="Times New Roman"/>
          <w:iCs/>
          <w:sz w:val="22"/>
          <w:szCs w:val="22"/>
        </w:rPr>
        <w:t>sults for the Combined D</w:t>
      </w:r>
      <w:r w:rsidRPr="007821E7">
        <w:rPr>
          <w:rFonts w:ascii="Times New Roman" w:hAnsi="Times New Roman" w:cs="Times New Roman"/>
          <w:iCs/>
          <w:sz w:val="22"/>
          <w:szCs w:val="22"/>
        </w:rPr>
        <w:t>ataset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060"/>
        <w:gridCol w:w="1785"/>
        <w:gridCol w:w="1805"/>
        <w:gridCol w:w="1786"/>
        <w:gridCol w:w="1806"/>
      </w:tblGrid>
      <w:tr w:rsidR="00BB0E1C" w:rsidRPr="007821E7" w14:paraId="2EF2FE77" w14:textId="77777777" w:rsidTr="00E011EE">
        <w:tc>
          <w:tcPr>
            <w:tcW w:w="2060" w:type="dxa"/>
            <w:tcBorders>
              <w:bottom w:val="nil"/>
            </w:tcBorders>
          </w:tcPr>
          <w:p w14:paraId="776EDA43" w14:textId="77777777" w:rsidR="00BB0E1C" w:rsidRPr="007821E7" w:rsidRDefault="00BB0E1C" w:rsidP="00F50315">
            <w:pPr>
              <w:tabs>
                <w:tab w:val="left" w:pos="567"/>
              </w:tabs>
              <w:jc w:val="both"/>
              <w:rPr>
                <w:rFonts w:ascii="Times New Roman" w:hAnsi="Times New Roman" w:cs="Times New Roman"/>
              </w:rPr>
            </w:pPr>
          </w:p>
        </w:tc>
        <w:tc>
          <w:tcPr>
            <w:tcW w:w="3590" w:type="dxa"/>
            <w:gridSpan w:val="2"/>
            <w:tcBorders>
              <w:bottom w:val="nil"/>
            </w:tcBorders>
          </w:tcPr>
          <w:p w14:paraId="72B82709" w14:textId="77777777" w:rsidR="00BB0E1C" w:rsidRPr="007821E7" w:rsidRDefault="00BB0E1C" w:rsidP="00F50315">
            <w:pPr>
              <w:tabs>
                <w:tab w:val="left" w:pos="567"/>
              </w:tabs>
              <w:jc w:val="both"/>
              <w:rPr>
                <w:rFonts w:ascii="Times New Roman" w:hAnsi="Times New Roman" w:cs="Times New Roman"/>
              </w:rPr>
            </w:pPr>
            <w:r w:rsidRPr="007821E7">
              <w:rPr>
                <w:rFonts w:ascii="Times New Roman" w:hAnsi="Times New Roman" w:cs="Times New Roman"/>
              </w:rPr>
              <w:t>Logistic model, Odds-ratios(SE)</w:t>
            </w:r>
          </w:p>
        </w:tc>
        <w:tc>
          <w:tcPr>
            <w:tcW w:w="3592" w:type="dxa"/>
            <w:gridSpan w:val="2"/>
            <w:tcBorders>
              <w:bottom w:val="nil"/>
            </w:tcBorders>
          </w:tcPr>
          <w:p w14:paraId="1DBE7749" w14:textId="77777777" w:rsidR="00BB0E1C" w:rsidRPr="007821E7" w:rsidRDefault="00BB0E1C" w:rsidP="00F50315">
            <w:pPr>
              <w:tabs>
                <w:tab w:val="left" w:pos="567"/>
              </w:tabs>
              <w:jc w:val="both"/>
              <w:rPr>
                <w:rFonts w:ascii="Times New Roman" w:hAnsi="Times New Roman" w:cs="Times New Roman"/>
              </w:rPr>
            </w:pPr>
            <w:r w:rsidRPr="007821E7">
              <w:rPr>
                <w:rFonts w:ascii="Times New Roman" w:hAnsi="Times New Roman" w:cs="Times New Roman"/>
              </w:rPr>
              <w:t>Linear model, Coefficients(SE)</w:t>
            </w:r>
          </w:p>
        </w:tc>
      </w:tr>
      <w:tr w:rsidR="00BB0E1C" w:rsidRPr="007821E7" w14:paraId="13404006" w14:textId="77777777" w:rsidTr="00E011EE">
        <w:tc>
          <w:tcPr>
            <w:tcW w:w="2060" w:type="dxa"/>
            <w:tcBorders>
              <w:top w:val="nil"/>
              <w:bottom w:val="single" w:sz="4" w:space="0" w:color="auto"/>
            </w:tcBorders>
          </w:tcPr>
          <w:p w14:paraId="3B18F7FE" w14:textId="77777777" w:rsidR="00BB0E1C" w:rsidRPr="007821E7" w:rsidRDefault="00BB0E1C" w:rsidP="00F50315">
            <w:pPr>
              <w:tabs>
                <w:tab w:val="left" w:pos="567"/>
              </w:tabs>
              <w:jc w:val="both"/>
              <w:rPr>
                <w:rFonts w:ascii="Times New Roman" w:hAnsi="Times New Roman" w:cs="Times New Roman"/>
                <w:bCs/>
              </w:rPr>
            </w:pPr>
            <w:r w:rsidRPr="007821E7">
              <w:rPr>
                <w:rFonts w:ascii="Times New Roman" w:hAnsi="Times New Roman" w:cs="Times New Roman"/>
              </w:rPr>
              <w:t>Regressors</w:t>
            </w:r>
            <w:r w:rsidRPr="007821E7">
              <w:rPr>
                <w:rFonts w:ascii="Times New Roman" w:hAnsi="Times New Roman" w:cs="Times New Roman"/>
                <w:bCs/>
                <w:vertAlign w:val="superscript"/>
              </w:rPr>
              <w:t>†</w:t>
            </w:r>
          </w:p>
        </w:tc>
        <w:tc>
          <w:tcPr>
            <w:tcW w:w="1785" w:type="dxa"/>
            <w:tcBorders>
              <w:top w:val="nil"/>
              <w:bottom w:val="single" w:sz="4" w:space="0" w:color="auto"/>
            </w:tcBorders>
          </w:tcPr>
          <w:p w14:paraId="47EEA02B" w14:textId="77777777" w:rsidR="00BB0E1C" w:rsidRPr="007821E7" w:rsidRDefault="00BB0E1C" w:rsidP="007821E7">
            <w:pPr>
              <w:pStyle w:val="ListParagraph"/>
              <w:tabs>
                <w:tab w:val="left" w:pos="567"/>
              </w:tabs>
              <w:ind w:left="0"/>
              <w:jc w:val="center"/>
              <w:rPr>
                <w:rFonts w:ascii="Times New Roman" w:hAnsi="Times New Roman" w:cs="Times New Roman"/>
                <w:bCs/>
              </w:rPr>
            </w:pPr>
            <w:r w:rsidRPr="007821E7">
              <w:rPr>
                <w:rFonts w:ascii="Times New Roman" w:hAnsi="Times New Roman" w:cs="Times New Roman"/>
                <w:bCs/>
              </w:rPr>
              <w:t>(1)</w:t>
            </w:r>
          </w:p>
        </w:tc>
        <w:tc>
          <w:tcPr>
            <w:tcW w:w="1805" w:type="dxa"/>
            <w:tcBorders>
              <w:top w:val="nil"/>
              <w:bottom w:val="single" w:sz="4" w:space="0" w:color="auto"/>
            </w:tcBorders>
          </w:tcPr>
          <w:p w14:paraId="288363BF" w14:textId="77777777" w:rsidR="00BB0E1C" w:rsidRPr="007821E7" w:rsidRDefault="00BB0E1C" w:rsidP="007821E7">
            <w:pPr>
              <w:tabs>
                <w:tab w:val="left" w:pos="567"/>
              </w:tabs>
              <w:jc w:val="center"/>
              <w:rPr>
                <w:rFonts w:ascii="Times New Roman" w:hAnsi="Times New Roman" w:cs="Times New Roman"/>
                <w:bCs/>
              </w:rPr>
            </w:pPr>
            <w:r w:rsidRPr="007821E7">
              <w:rPr>
                <w:rFonts w:ascii="Times New Roman" w:hAnsi="Times New Roman" w:cs="Times New Roman"/>
                <w:bCs/>
              </w:rPr>
              <w:t>(2)</w:t>
            </w:r>
          </w:p>
        </w:tc>
        <w:tc>
          <w:tcPr>
            <w:tcW w:w="1786" w:type="dxa"/>
            <w:tcBorders>
              <w:top w:val="nil"/>
              <w:bottom w:val="single" w:sz="4" w:space="0" w:color="auto"/>
            </w:tcBorders>
          </w:tcPr>
          <w:p w14:paraId="53964CDC" w14:textId="77777777" w:rsidR="00BB0E1C" w:rsidRPr="007821E7" w:rsidRDefault="00BB0E1C" w:rsidP="007821E7">
            <w:pPr>
              <w:tabs>
                <w:tab w:val="left" w:pos="567"/>
              </w:tabs>
              <w:jc w:val="center"/>
              <w:rPr>
                <w:rFonts w:ascii="Times New Roman" w:hAnsi="Times New Roman" w:cs="Times New Roman"/>
                <w:bCs/>
              </w:rPr>
            </w:pPr>
            <w:r w:rsidRPr="007821E7">
              <w:rPr>
                <w:rFonts w:ascii="Times New Roman" w:hAnsi="Times New Roman" w:cs="Times New Roman"/>
                <w:bCs/>
              </w:rPr>
              <w:t>(3)</w:t>
            </w:r>
          </w:p>
        </w:tc>
        <w:tc>
          <w:tcPr>
            <w:tcW w:w="1806" w:type="dxa"/>
            <w:tcBorders>
              <w:top w:val="nil"/>
              <w:bottom w:val="single" w:sz="4" w:space="0" w:color="auto"/>
            </w:tcBorders>
          </w:tcPr>
          <w:p w14:paraId="480F6FC9" w14:textId="77777777" w:rsidR="00BB0E1C" w:rsidRPr="007821E7" w:rsidRDefault="00BB0E1C" w:rsidP="007821E7">
            <w:pPr>
              <w:tabs>
                <w:tab w:val="left" w:pos="567"/>
              </w:tabs>
              <w:jc w:val="center"/>
              <w:rPr>
                <w:rFonts w:ascii="Times New Roman" w:hAnsi="Times New Roman" w:cs="Times New Roman"/>
                <w:bCs/>
              </w:rPr>
            </w:pPr>
            <w:r w:rsidRPr="007821E7">
              <w:rPr>
                <w:rFonts w:ascii="Times New Roman" w:hAnsi="Times New Roman" w:cs="Times New Roman"/>
                <w:bCs/>
              </w:rPr>
              <w:t>(4)</w:t>
            </w:r>
          </w:p>
        </w:tc>
      </w:tr>
      <w:tr w:rsidR="00BB0E1C" w:rsidRPr="007821E7" w14:paraId="66F34D19" w14:textId="77777777" w:rsidTr="007821E7">
        <w:tc>
          <w:tcPr>
            <w:tcW w:w="2060" w:type="dxa"/>
            <w:tcBorders>
              <w:top w:val="single" w:sz="4" w:space="0" w:color="auto"/>
              <w:bottom w:val="nil"/>
            </w:tcBorders>
          </w:tcPr>
          <w:p w14:paraId="22E4DD08" w14:textId="77777777" w:rsidR="00BB0E1C" w:rsidRPr="007821E7" w:rsidRDefault="00BB0E1C" w:rsidP="00F50315">
            <w:pPr>
              <w:tabs>
                <w:tab w:val="left" w:pos="567"/>
              </w:tabs>
              <w:jc w:val="both"/>
              <w:rPr>
                <w:rFonts w:ascii="Times New Roman" w:hAnsi="Times New Roman" w:cs="Times New Roman"/>
                <w:iCs/>
              </w:rPr>
            </w:pPr>
            <w:proofErr w:type="spellStart"/>
            <w:r w:rsidRPr="007821E7">
              <w:rPr>
                <w:rFonts w:ascii="Times New Roman" w:hAnsi="Times New Roman" w:cs="Times New Roman"/>
                <w:iCs/>
              </w:rPr>
              <w:t>TreatmentA</w:t>
            </w:r>
            <w:proofErr w:type="spellEnd"/>
          </w:p>
        </w:tc>
        <w:tc>
          <w:tcPr>
            <w:tcW w:w="1785" w:type="dxa"/>
            <w:tcBorders>
              <w:top w:val="single" w:sz="4" w:space="0" w:color="auto"/>
              <w:bottom w:val="nil"/>
            </w:tcBorders>
            <w:vAlign w:val="center"/>
          </w:tcPr>
          <w:p w14:paraId="41002DE2" w14:textId="77777777" w:rsidR="00BB0E1C" w:rsidRPr="007821E7" w:rsidRDefault="00BB0E1C" w:rsidP="007821E7">
            <w:pPr>
              <w:tabs>
                <w:tab w:val="left" w:pos="567"/>
              </w:tabs>
              <w:jc w:val="center"/>
              <w:rPr>
                <w:rFonts w:ascii="Times New Roman" w:hAnsi="Times New Roman" w:cs="Times New Roman"/>
              </w:rPr>
            </w:pPr>
            <w:r w:rsidRPr="007821E7">
              <w:rPr>
                <w:rFonts w:ascii="Times New Roman" w:hAnsi="Times New Roman" w:cs="Times New Roman"/>
              </w:rPr>
              <w:t>1.535</w:t>
            </w:r>
          </w:p>
          <w:p w14:paraId="3EED16DC" w14:textId="77777777" w:rsidR="00BB0E1C" w:rsidRPr="007821E7" w:rsidRDefault="00BB0E1C" w:rsidP="007821E7">
            <w:pPr>
              <w:tabs>
                <w:tab w:val="left" w:pos="567"/>
              </w:tabs>
              <w:jc w:val="center"/>
              <w:rPr>
                <w:rFonts w:ascii="Times New Roman" w:hAnsi="Times New Roman" w:cs="Times New Roman"/>
              </w:rPr>
            </w:pPr>
            <w:r w:rsidRPr="007821E7">
              <w:rPr>
                <w:rFonts w:ascii="Times New Roman" w:hAnsi="Times New Roman" w:cs="Times New Roman"/>
              </w:rPr>
              <w:t>(1.222)</w:t>
            </w:r>
          </w:p>
        </w:tc>
        <w:tc>
          <w:tcPr>
            <w:tcW w:w="1805" w:type="dxa"/>
            <w:tcBorders>
              <w:top w:val="single" w:sz="4" w:space="0" w:color="auto"/>
              <w:bottom w:val="nil"/>
            </w:tcBorders>
            <w:vAlign w:val="center"/>
          </w:tcPr>
          <w:p w14:paraId="2892D502" w14:textId="77777777" w:rsidR="00BB0E1C" w:rsidRPr="007821E7" w:rsidRDefault="00BB0E1C" w:rsidP="007821E7">
            <w:pPr>
              <w:tabs>
                <w:tab w:val="left" w:pos="567"/>
              </w:tabs>
              <w:jc w:val="center"/>
              <w:rPr>
                <w:rFonts w:ascii="Times New Roman" w:hAnsi="Times New Roman" w:cs="Times New Roman"/>
              </w:rPr>
            </w:pPr>
            <w:r w:rsidRPr="007821E7">
              <w:rPr>
                <w:rFonts w:ascii="Times New Roman" w:hAnsi="Times New Roman" w:cs="Times New Roman"/>
              </w:rPr>
              <w:t>1.976</w:t>
            </w:r>
          </w:p>
          <w:p w14:paraId="24027476" w14:textId="77777777" w:rsidR="00BB0E1C" w:rsidRPr="007821E7" w:rsidRDefault="00BB0E1C" w:rsidP="007821E7">
            <w:pPr>
              <w:tabs>
                <w:tab w:val="left" w:pos="567"/>
              </w:tabs>
              <w:jc w:val="center"/>
              <w:rPr>
                <w:rFonts w:ascii="Times New Roman" w:hAnsi="Times New Roman" w:cs="Times New Roman"/>
              </w:rPr>
            </w:pPr>
            <w:r w:rsidRPr="007821E7">
              <w:rPr>
                <w:rFonts w:ascii="Times New Roman" w:hAnsi="Times New Roman" w:cs="Times New Roman"/>
              </w:rPr>
              <w:t>(1.829)</w:t>
            </w:r>
          </w:p>
        </w:tc>
        <w:tc>
          <w:tcPr>
            <w:tcW w:w="1786" w:type="dxa"/>
            <w:tcBorders>
              <w:top w:val="single" w:sz="4" w:space="0" w:color="auto"/>
              <w:bottom w:val="nil"/>
            </w:tcBorders>
            <w:vAlign w:val="center"/>
          </w:tcPr>
          <w:p w14:paraId="0D3A9854" w14:textId="77777777" w:rsidR="00BB0E1C" w:rsidRPr="007821E7" w:rsidRDefault="00BB0E1C" w:rsidP="007821E7">
            <w:pPr>
              <w:tabs>
                <w:tab w:val="left" w:pos="567"/>
              </w:tabs>
              <w:jc w:val="center"/>
              <w:rPr>
                <w:rFonts w:ascii="Times New Roman" w:hAnsi="Times New Roman" w:cs="Times New Roman"/>
              </w:rPr>
            </w:pPr>
            <w:r w:rsidRPr="007821E7">
              <w:rPr>
                <w:rFonts w:ascii="Times New Roman" w:hAnsi="Times New Roman" w:cs="Times New Roman"/>
              </w:rPr>
              <w:t>-0.457</w:t>
            </w:r>
          </w:p>
          <w:p w14:paraId="1BF2909B" w14:textId="77777777" w:rsidR="00BB0E1C" w:rsidRPr="007821E7" w:rsidRDefault="00BB0E1C" w:rsidP="007821E7">
            <w:pPr>
              <w:tabs>
                <w:tab w:val="left" w:pos="567"/>
              </w:tabs>
              <w:jc w:val="center"/>
              <w:rPr>
                <w:rFonts w:ascii="Times New Roman" w:hAnsi="Times New Roman" w:cs="Times New Roman"/>
              </w:rPr>
            </w:pPr>
            <w:r w:rsidRPr="007821E7">
              <w:rPr>
                <w:rFonts w:ascii="Times New Roman" w:hAnsi="Times New Roman" w:cs="Times New Roman"/>
              </w:rPr>
              <w:t>(7.720)</w:t>
            </w:r>
          </w:p>
        </w:tc>
        <w:tc>
          <w:tcPr>
            <w:tcW w:w="1806" w:type="dxa"/>
            <w:tcBorders>
              <w:top w:val="single" w:sz="4" w:space="0" w:color="auto"/>
              <w:bottom w:val="nil"/>
            </w:tcBorders>
            <w:vAlign w:val="center"/>
          </w:tcPr>
          <w:p w14:paraId="43A245BA" w14:textId="77777777" w:rsidR="00BB0E1C" w:rsidRPr="007821E7" w:rsidRDefault="00BB0E1C" w:rsidP="007821E7">
            <w:pPr>
              <w:tabs>
                <w:tab w:val="left" w:pos="567"/>
              </w:tabs>
              <w:jc w:val="center"/>
              <w:rPr>
                <w:rFonts w:ascii="Times New Roman" w:hAnsi="Times New Roman" w:cs="Times New Roman"/>
              </w:rPr>
            </w:pPr>
            <w:r w:rsidRPr="007821E7">
              <w:rPr>
                <w:rFonts w:ascii="Times New Roman" w:hAnsi="Times New Roman" w:cs="Times New Roman"/>
              </w:rPr>
              <w:t>-0.811</w:t>
            </w:r>
          </w:p>
          <w:p w14:paraId="4359CBFC" w14:textId="77777777" w:rsidR="00BB0E1C" w:rsidRPr="007821E7" w:rsidRDefault="00BB0E1C" w:rsidP="007821E7">
            <w:pPr>
              <w:tabs>
                <w:tab w:val="left" w:pos="567"/>
              </w:tabs>
              <w:jc w:val="center"/>
              <w:rPr>
                <w:rFonts w:ascii="Times New Roman" w:hAnsi="Times New Roman" w:cs="Times New Roman"/>
              </w:rPr>
            </w:pPr>
            <w:r w:rsidRPr="007821E7">
              <w:rPr>
                <w:rFonts w:ascii="Times New Roman" w:hAnsi="Times New Roman" w:cs="Times New Roman"/>
              </w:rPr>
              <w:t>(9.256)</w:t>
            </w:r>
          </w:p>
        </w:tc>
      </w:tr>
      <w:tr w:rsidR="00BB0E1C" w:rsidRPr="007821E7" w14:paraId="7A033B30" w14:textId="77777777" w:rsidTr="007821E7">
        <w:tc>
          <w:tcPr>
            <w:tcW w:w="2060" w:type="dxa"/>
            <w:tcBorders>
              <w:top w:val="nil"/>
              <w:bottom w:val="nil"/>
            </w:tcBorders>
          </w:tcPr>
          <w:p w14:paraId="1EE1AE06" w14:textId="77777777" w:rsidR="00BB0E1C" w:rsidRPr="007821E7" w:rsidRDefault="00BB0E1C" w:rsidP="00F50315">
            <w:pPr>
              <w:tabs>
                <w:tab w:val="left" w:pos="567"/>
              </w:tabs>
              <w:jc w:val="both"/>
              <w:rPr>
                <w:rFonts w:ascii="Times New Roman" w:hAnsi="Times New Roman" w:cs="Times New Roman"/>
                <w:iCs/>
              </w:rPr>
            </w:pPr>
            <w:proofErr w:type="spellStart"/>
            <w:r w:rsidRPr="007821E7">
              <w:rPr>
                <w:rFonts w:ascii="Times New Roman" w:hAnsi="Times New Roman" w:cs="Times New Roman"/>
                <w:iCs/>
              </w:rPr>
              <w:t>TreatmentB</w:t>
            </w:r>
            <w:proofErr w:type="spellEnd"/>
          </w:p>
        </w:tc>
        <w:tc>
          <w:tcPr>
            <w:tcW w:w="1785" w:type="dxa"/>
            <w:tcBorders>
              <w:top w:val="nil"/>
              <w:bottom w:val="nil"/>
            </w:tcBorders>
            <w:vAlign w:val="center"/>
          </w:tcPr>
          <w:p w14:paraId="52DDCBE8" w14:textId="77777777" w:rsidR="00BB0E1C" w:rsidRPr="007821E7" w:rsidRDefault="00BB0E1C" w:rsidP="007821E7">
            <w:pPr>
              <w:tabs>
                <w:tab w:val="left" w:pos="567"/>
              </w:tabs>
              <w:jc w:val="center"/>
              <w:rPr>
                <w:rFonts w:ascii="Times New Roman" w:hAnsi="Times New Roman" w:cs="Times New Roman"/>
              </w:rPr>
            </w:pPr>
            <w:r w:rsidRPr="007821E7">
              <w:rPr>
                <w:rFonts w:ascii="Times New Roman" w:hAnsi="Times New Roman" w:cs="Times New Roman"/>
              </w:rPr>
              <w:t>0.734</w:t>
            </w:r>
          </w:p>
          <w:p w14:paraId="21E4782C" w14:textId="77777777" w:rsidR="00BB0E1C" w:rsidRPr="007821E7" w:rsidRDefault="00BB0E1C" w:rsidP="007821E7">
            <w:pPr>
              <w:tabs>
                <w:tab w:val="left" w:pos="567"/>
              </w:tabs>
              <w:jc w:val="center"/>
              <w:rPr>
                <w:rFonts w:ascii="Times New Roman" w:hAnsi="Times New Roman" w:cs="Times New Roman"/>
              </w:rPr>
            </w:pPr>
            <w:r w:rsidRPr="007821E7">
              <w:rPr>
                <w:rFonts w:ascii="Times New Roman" w:hAnsi="Times New Roman" w:cs="Times New Roman"/>
              </w:rPr>
              <w:t>(0.560)</w:t>
            </w:r>
          </w:p>
        </w:tc>
        <w:tc>
          <w:tcPr>
            <w:tcW w:w="1805" w:type="dxa"/>
            <w:tcBorders>
              <w:top w:val="nil"/>
              <w:bottom w:val="nil"/>
            </w:tcBorders>
            <w:vAlign w:val="center"/>
          </w:tcPr>
          <w:p w14:paraId="54E2F13F" w14:textId="77777777" w:rsidR="00BB0E1C" w:rsidRPr="007821E7" w:rsidRDefault="00BB0E1C" w:rsidP="007821E7">
            <w:pPr>
              <w:tabs>
                <w:tab w:val="left" w:pos="567"/>
              </w:tabs>
              <w:jc w:val="center"/>
              <w:rPr>
                <w:rFonts w:ascii="Times New Roman" w:hAnsi="Times New Roman" w:cs="Times New Roman"/>
              </w:rPr>
            </w:pPr>
            <w:r w:rsidRPr="007821E7">
              <w:rPr>
                <w:rFonts w:ascii="Times New Roman" w:hAnsi="Times New Roman" w:cs="Times New Roman"/>
              </w:rPr>
              <w:t>0.602</w:t>
            </w:r>
          </w:p>
          <w:p w14:paraId="214DDFBF" w14:textId="77777777" w:rsidR="00BB0E1C" w:rsidRPr="007821E7" w:rsidRDefault="00BB0E1C" w:rsidP="007821E7">
            <w:pPr>
              <w:tabs>
                <w:tab w:val="left" w:pos="567"/>
              </w:tabs>
              <w:jc w:val="center"/>
              <w:rPr>
                <w:rFonts w:ascii="Times New Roman" w:hAnsi="Times New Roman" w:cs="Times New Roman"/>
              </w:rPr>
            </w:pPr>
            <w:r w:rsidRPr="007821E7">
              <w:rPr>
                <w:rFonts w:ascii="Times New Roman" w:hAnsi="Times New Roman" w:cs="Times New Roman"/>
              </w:rPr>
              <w:t>(0.517)</w:t>
            </w:r>
          </w:p>
        </w:tc>
        <w:tc>
          <w:tcPr>
            <w:tcW w:w="1786" w:type="dxa"/>
            <w:tcBorders>
              <w:top w:val="nil"/>
              <w:bottom w:val="nil"/>
            </w:tcBorders>
            <w:vAlign w:val="center"/>
          </w:tcPr>
          <w:p w14:paraId="438D5E68" w14:textId="77777777" w:rsidR="00BB0E1C" w:rsidRPr="007821E7" w:rsidRDefault="00BB0E1C" w:rsidP="007821E7">
            <w:pPr>
              <w:tabs>
                <w:tab w:val="left" w:pos="567"/>
              </w:tabs>
              <w:jc w:val="center"/>
              <w:rPr>
                <w:rFonts w:ascii="Times New Roman" w:hAnsi="Times New Roman" w:cs="Times New Roman"/>
              </w:rPr>
            </w:pPr>
            <w:r w:rsidRPr="007821E7">
              <w:rPr>
                <w:rFonts w:ascii="Times New Roman" w:hAnsi="Times New Roman" w:cs="Times New Roman"/>
              </w:rPr>
              <w:t>-3.525</w:t>
            </w:r>
          </w:p>
          <w:p w14:paraId="216B8237" w14:textId="77777777" w:rsidR="00BB0E1C" w:rsidRPr="007821E7" w:rsidRDefault="00BB0E1C" w:rsidP="007821E7">
            <w:pPr>
              <w:tabs>
                <w:tab w:val="left" w:pos="567"/>
              </w:tabs>
              <w:jc w:val="center"/>
              <w:rPr>
                <w:rFonts w:ascii="Times New Roman" w:hAnsi="Times New Roman" w:cs="Times New Roman"/>
              </w:rPr>
            </w:pPr>
            <w:r w:rsidRPr="007821E7">
              <w:rPr>
                <w:rFonts w:ascii="Times New Roman" w:hAnsi="Times New Roman" w:cs="Times New Roman"/>
              </w:rPr>
              <w:t>(7.524)</w:t>
            </w:r>
          </w:p>
        </w:tc>
        <w:tc>
          <w:tcPr>
            <w:tcW w:w="1806" w:type="dxa"/>
            <w:tcBorders>
              <w:top w:val="nil"/>
              <w:bottom w:val="nil"/>
            </w:tcBorders>
            <w:vAlign w:val="center"/>
          </w:tcPr>
          <w:p w14:paraId="346F47EE" w14:textId="77777777" w:rsidR="00BB0E1C" w:rsidRPr="007821E7" w:rsidRDefault="00BB0E1C" w:rsidP="007821E7">
            <w:pPr>
              <w:tabs>
                <w:tab w:val="left" w:pos="567"/>
              </w:tabs>
              <w:jc w:val="center"/>
              <w:rPr>
                <w:rFonts w:ascii="Times New Roman" w:hAnsi="Times New Roman" w:cs="Times New Roman"/>
              </w:rPr>
            </w:pPr>
            <w:r w:rsidRPr="007821E7">
              <w:rPr>
                <w:rFonts w:ascii="Times New Roman" w:hAnsi="Times New Roman" w:cs="Times New Roman"/>
              </w:rPr>
              <w:t>-6.483</w:t>
            </w:r>
          </w:p>
          <w:p w14:paraId="2C274809" w14:textId="77777777" w:rsidR="00BB0E1C" w:rsidRPr="007821E7" w:rsidRDefault="00BB0E1C" w:rsidP="007821E7">
            <w:pPr>
              <w:tabs>
                <w:tab w:val="left" w:pos="567"/>
              </w:tabs>
              <w:jc w:val="center"/>
              <w:rPr>
                <w:rFonts w:ascii="Times New Roman" w:hAnsi="Times New Roman" w:cs="Times New Roman"/>
              </w:rPr>
            </w:pPr>
            <w:r w:rsidRPr="007821E7">
              <w:rPr>
                <w:rFonts w:ascii="Times New Roman" w:hAnsi="Times New Roman" w:cs="Times New Roman"/>
              </w:rPr>
              <w:t>(8.806)</w:t>
            </w:r>
          </w:p>
        </w:tc>
      </w:tr>
      <w:tr w:rsidR="00BB0E1C" w:rsidRPr="007821E7" w14:paraId="78AD20B4" w14:textId="77777777" w:rsidTr="007821E7">
        <w:tc>
          <w:tcPr>
            <w:tcW w:w="2060" w:type="dxa"/>
            <w:tcBorders>
              <w:top w:val="nil"/>
              <w:bottom w:val="nil"/>
            </w:tcBorders>
          </w:tcPr>
          <w:p w14:paraId="690289EF" w14:textId="77777777" w:rsidR="00BB0E1C" w:rsidRPr="007821E7" w:rsidRDefault="00BB0E1C" w:rsidP="00F50315">
            <w:pPr>
              <w:tabs>
                <w:tab w:val="left" w:pos="567"/>
              </w:tabs>
              <w:jc w:val="both"/>
              <w:rPr>
                <w:rFonts w:ascii="Times New Roman" w:hAnsi="Times New Roman" w:cs="Times New Roman"/>
                <w:iCs/>
              </w:rPr>
            </w:pPr>
            <w:r w:rsidRPr="007821E7">
              <w:rPr>
                <w:rFonts w:ascii="Times New Roman" w:hAnsi="Times New Roman" w:cs="Times New Roman"/>
                <w:iCs/>
              </w:rPr>
              <w:t>Year2</w:t>
            </w:r>
          </w:p>
        </w:tc>
        <w:tc>
          <w:tcPr>
            <w:tcW w:w="1785" w:type="dxa"/>
            <w:tcBorders>
              <w:top w:val="nil"/>
              <w:bottom w:val="nil"/>
            </w:tcBorders>
            <w:vAlign w:val="center"/>
          </w:tcPr>
          <w:p w14:paraId="21728C70" w14:textId="77777777" w:rsidR="00BB0E1C" w:rsidRPr="007821E7" w:rsidRDefault="00BB0E1C" w:rsidP="007821E7">
            <w:pPr>
              <w:tabs>
                <w:tab w:val="left" w:pos="567"/>
              </w:tabs>
              <w:jc w:val="center"/>
              <w:rPr>
                <w:rFonts w:ascii="Times New Roman" w:hAnsi="Times New Roman" w:cs="Times New Roman"/>
              </w:rPr>
            </w:pPr>
            <w:r w:rsidRPr="007821E7">
              <w:rPr>
                <w:rFonts w:ascii="Times New Roman" w:hAnsi="Times New Roman" w:cs="Times New Roman"/>
              </w:rPr>
              <w:t>0.352</w:t>
            </w:r>
          </w:p>
          <w:p w14:paraId="42826CC5" w14:textId="77777777" w:rsidR="00BB0E1C" w:rsidRPr="007821E7" w:rsidRDefault="00BB0E1C" w:rsidP="007821E7">
            <w:pPr>
              <w:tabs>
                <w:tab w:val="left" w:pos="567"/>
              </w:tabs>
              <w:jc w:val="center"/>
              <w:rPr>
                <w:rFonts w:ascii="Times New Roman" w:hAnsi="Times New Roman" w:cs="Times New Roman"/>
              </w:rPr>
            </w:pPr>
            <w:r w:rsidRPr="007821E7">
              <w:rPr>
                <w:rFonts w:ascii="Times New Roman" w:hAnsi="Times New Roman" w:cs="Times New Roman"/>
              </w:rPr>
              <w:t>(0.278)</w:t>
            </w:r>
          </w:p>
        </w:tc>
        <w:tc>
          <w:tcPr>
            <w:tcW w:w="1805" w:type="dxa"/>
            <w:tcBorders>
              <w:top w:val="nil"/>
              <w:bottom w:val="nil"/>
            </w:tcBorders>
            <w:vAlign w:val="center"/>
          </w:tcPr>
          <w:p w14:paraId="2093915E" w14:textId="77777777" w:rsidR="00BB0E1C" w:rsidRPr="007821E7" w:rsidRDefault="00BB0E1C" w:rsidP="007821E7">
            <w:pPr>
              <w:tabs>
                <w:tab w:val="left" w:pos="567"/>
              </w:tabs>
              <w:jc w:val="center"/>
              <w:rPr>
                <w:rFonts w:ascii="Times New Roman" w:hAnsi="Times New Roman" w:cs="Times New Roman"/>
              </w:rPr>
            </w:pPr>
            <w:r w:rsidRPr="007821E7">
              <w:rPr>
                <w:rFonts w:ascii="Times New Roman" w:hAnsi="Times New Roman" w:cs="Times New Roman"/>
              </w:rPr>
              <w:t>0.393</w:t>
            </w:r>
          </w:p>
          <w:p w14:paraId="583C87C8" w14:textId="77777777" w:rsidR="00BB0E1C" w:rsidRPr="007821E7" w:rsidRDefault="00BB0E1C" w:rsidP="007821E7">
            <w:pPr>
              <w:tabs>
                <w:tab w:val="left" w:pos="567"/>
              </w:tabs>
              <w:jc w:val="center"/>
              <w:rPr>
                <w:rFonts w:ascii="Times New Roman" w:hAnsi="Times New Roman" w:cs="Times New Roman"/>
              </w:rPr>
            </w:pPr>
            <w:r w:rsidRPr="007821E7">
              <w:rPr>
                <w:rFonts w:ascii="Times New Roman" w:hAnsi="Times New Roman" w:cs="Times New Roman"/>
              </w:rPr>
              <w:t>(0.347)</w:t>
            </w:r>
          </w:p>
        </w:tc>
        <w:tc>
          <w:tcPr>
            <w:tcW w:w="1786" w:type="dxa"/>
            <w:tcBorders>
              <w:top w:val="nil"/>
              <w:bottom w:val="nil"/>
            </w:tcBorders>
            <w:vAlign w:val="center"/>
          </w:tcPr>
          <w:p w14:paraId="2531EC2F" w14:textId="77777777" w:rsidR="00BB0E1C" w:rsidRPr="007821E7" w:rsidRDefault="00BB0E1C" w:rsidP="007821E7">
            <w:pPr>
              <w:tabs>
                <w:tab w:val="left" w:pos="567"/>
              </w:tabs>
              <w:jc w:val="center"/>
              <w:rPr>
                <w:rFonts w:ascii="Times New Roman" w:hAnsi="Times New Roman" w:cs="Times New Roman"/>
              </w:rPr>
            </w:pPr>
            <w:r w:rsidRPr="007821E7">
              <w:rPr>
                <w:rFonts w:ascii="Times New Roman" w:hAnsi="Times New Roman" w:cs="Times New Roman"/>
              </w:rPr>
              <w:t>-14.57</w:t>
            </w:r>
            <w:r w:rsidRPr="007821E7">
              <w:rPr>
                <w:rFonts w:ascii="Times New Roman" w:hAnsi="Times New Roman" w:cs="Times New Roman"/>
                <w:vertAlign w:val="superscript"/>
              </w:rPr>
              <w:t>*</w:t>
            </w:r>
          </w:p>
          <w:p w14:paraId="073E8977" w14:textId="77777777" w:rsidR="00BB0E1C" w:rsidRPr="007821E7" w:rsidRDefault="00BB0E1C" w:rsidP="007821E7">
            <w:pPr>
              <w:tabs>
                <w:tab w:val="left" w:pos="567"/>
              </w:tabs>
              <w:jc w:val="center"/>
              <w:rPr>
                <w:rFonts w:ascii="Times New Roman" w:hAnsi="Times New Roman" w:cs="Times New Roman"/>
              </w:rPr>
            </w:pPr>
            <w:r w:rsidRPr="007821E7">
              <w:rPr>
                <w:rFonts w:ascii="Times New Roman" w:hAnsi="Times New Roman" w:cs="Times New Roman"/>
              </w:rPr>
              <w:t>(7.509)</w:t>
            </w:r>
          </w:p>
        </w:tc>
        <w:tc>
          <w:tcPr>
            <w:tcW w:w="1806" w:type="dxa"/>
            <w:tcBorders>
              <w:top w:val="nil"/>
              <w:bottom w:val="nil"/>
            </w:tcBorders>
            <w:vAlign w:val="center"/>
          </w:tcPr>
          <w:p w14:paraId="052C4B2A" w14:textId="77777777" w:rsidR="00BB0E1C" w:rsidRPr="007821E7" w:rsidRDefault="00BB0E1C" w:rsidP="007821E7">
            <w:pPr>
              <w:tabs>
                <w:tab w:val="left" w:pos="567"/>
              </w:tabs>
              <w:jc w:val="center"/>
              <w:rPr>
                <w:rFonts w:ascii="Times New Roman" w:hAnsi="Times New Roman" w:cs="Times New Roman"/>
              </w:rPr>
            </w:pPr>
            <w:r w:rsidRPr="007821E7">
              <w:rPr>
                <w:rFonts w:ascii="Times New Roman" w:hAnsi="Times New Roman" w:cs="Times New Roman"/>
              </w:rPr>
              <w:t>-16.98</w:t>
            </w:r>
            <w:r w:rsidRPr="007821E7">
              <w:rPr>
                <w:rFonts w:ascii="Times New Roman" w:hAnsi="Times New Roman" w:cs="Times New Roman"/>
                <w:vertAlign w:val="superscript"/>
              </w:rPr>
              <w:t>*</w:t>
            </w:r>
          </w:p>
          <w:p w14:paraId="0F4C2ED3" w14:textId="77777777" w:rsidR="00BB0E1C" w:rsidRPr="007821E7" w:rsidRDefault="00BB0E1C" w:rsidP="007821E7">
            <w:pPr>
              <w:tabs>
                <w:tab w:val="left" w:pos="567"/>
              </w:tabs>
              <w:jc w:val="center"/>
              <w:rPr>
                <w:rFonts w:ascii="Times New Roman" w:hAnsi="Times New Roman" w:cs="Times New Roman"/>
              </w:rPr>
            </w:pPr>
            <w:r w:rsidRPr="007821E7">
              <w:rPr>
                <w:rFonts w:ascii="Times New Roman" w:hAnsi="Times New Roman" w:cs="Times New Roman"/>
              </w:rPr>
              <w:t>(8.82)</w:t>
            </w:r>
          </w:p>
        </w:tc>
      </w:tr>
      <w:tr w:rsidR="00BB0E1C" w:rsidRPr="007821E7" w14:paraId="3EB4FD63" w14:textId="77777777" w:rsidTr="007821E7">
        <w:tc>
          <w:tcPr>
            <w:tcW w:w="2060" w:type="dxa"/>
            <w:tcBorders>
              <w:top w:val="nil"/>
              <w:bottom w:val="nil"/>
            </w:tcBorders>
          </w:tcPr>
          <w:p w14:paraId="24CC813E" w14:textId="77777777" w:rsidR="00BB0E1C" w:rsidRPr="007821E7" w:rsidRDefault="00BB0E1C" w:rsidP="00F50315">
            <w:pPr>
              <w:tabs>
                <w:tab w:val="left" w:pos="567"/>
              </w:tabs>
              <w:jc w:val="both"/>
              <w:rPr>
                <w:rFonts w:ascii="Times New Roman" w:hAnsi="Times New Roman" w:cs="Times New Roman"/>
                <w:iCs/>
              </w:rPr>
            </w:pPr>
            <w:r w:rsidRPr="007821E7">
              <w:rPr>
                <w:rFonts w:ascii="Times New Roman" w:hAnsi="Times New Roman" w:cs="Times New Roman"/>
                <w:iCs/>
              </w:rPr>
              <w:t>Year2*</w:t>
            </w:r>
            <w:proofErr w:type="spellStart"/>
            <w:r w:rsidRPr="007821E7">
              <w:rPr>
                <w:rFonts w:ascii="Times New Roman" w:hAnsi="Times New Roman" w:cs="Times New Roman"/>
                <w:iCs/>
              </w:rPr>
              <w:t>TreatmentA</w:t>
            </w:r>
            <w:proofErr w:type="spellEnd"/>
          </w:p>
        </w:tc>
        <w:tc>
          <w:tcPr>
            <w:tcW w:w="1785" w:type="dxa"/>
            <w:tcBorders>
              <w:top w:val="nil"/>
              <w:bottom w:val="nil"/>
            </w:tcBorders>
            <w:vAlign w:val="center"/>
          </w:tcPr>
          <w:p w14:paraId="5486F7EC" w14:textId="77777777" w:rsidR="00BB0E1C" w:rsidRPr="007821E7" w:rsidRDefault="00BB0E1C" w:rsidP="007821E7">
            <w:pPr>
              <w:tabs>
                <w:tab w:val="left" w:pos="567"/>
              </w:tabs>
              <w:jc w:val="center"/>
              <w:rPr>
                <w:rFonts w:ascii="Times New Roman" w:hAnsi="Times New Roman" w:cs="Times New Roman"/>
              </w:rPr>
            </w:pPr>
            <w:r w:rsidRPr="007821E7">
              <w:rPr>
                <w:rFonts w:ascii="Times New Roman" w:hAnsi="Times New Roman" w:cs="Times New Roman"/>
              </w:rPr>
              <w:t>1.257</w:t>
            </w:r>
          </w:p>
          <w:p w14:paraId="58E1EEC0" w14:textId="77777777" w:rsidR="00BB0E1C" w:rsidRPr="007821E7" w:rsidRDefault="00BB0E1C" w:rsidP="007821E7">
            <w:pPr>
              <w:tabs>
                <w:tab w:val="left" w:pos="567"/>
              </w:tabs>
              <w:jc w:val="center"/>
              <w:rPr>
                <w:rFonts w:ascii="Times New Roman" w:hAnsi="Times New Roman" w:cs="Times New Roman"/>
              </w:rPr>
            </w:pPr>
            <w:r w:rsidRPr="007821E7">
              <w:rPr>
                <w:rFonts w:ascii="Times New Roman" w:hAnsi="Times New Roman" w:cs="Times New Roman"/>
              </w:rPr>
              <w:t>(1.399)</w:t>
            </w:r>
          </w:p>
        </w:tc>
        <w:tc>
          <w:tcPr>
            <w:tcW w:w="1805" w:type="dxa"/>
            <w:tcBorders>
              <w:top w:val="nil"/>
              <w:bottom w:val="nil"/>
            </w:tcBorders>
            <w:vAlign w:val="center"/>
          </w:tcPr>
          <w:p w14:paraId="6E9129AB" w14:textId="77777777" w:rsidR="00BB0E1C" w:rsidRPr="007821E7" w:rsidRDefault="00BB0E1C" w:rsidP="007821E7">
            <w:pPr>
              <w:tabs>
                <w:tab w:val="left" w:pos="567"/>
              </w:tabs>
              <w:jc w:val="center"/>
              <w:rPr>
                <w:rFonts w:ascii="Times New Roman" w:hAnsi="Times New Roman" w:cs="Times New Roman"/>
              </w:rPr>
            </w:pPr>
            <w:r w:rsidRPr="007821E7">
              <w:rPr>
                <w:rFonts w:ascii="Times New Roman" w:hAnsi="Times New Roman" w:cs="Times New Roman"/>
              </w:rPr>
              <w:t>1.163</w:t>
            </w:r>
          </w:p>
          <w:p w14:paraId="51F870DE" w14:textId="77777777" w:rsidR="00BB0E1C" w:rsidRPr="007821E7" w:rsidRDefault="00BB0E1C" w:rsidP="007821E7">
            <w:pPr>
              <w:tabs>
                <w:tab w:val="left" w:pos="567"/>
              </w:tabs>
              <w:jc w:val="center"/>
              <w:rPr>
                <w:rFonts w:ascii="Times New Roman" w:hAnsi="Times New Roman" w:cs="Times New Roman"/>
              </w:rPr>
            </w:pPr>
            <w:r w:rsidRPr="007821E7">
              <w:rPr>
                <w:rFonts w:ascii="Times New Roman" w:hAnsi="Times New Roman" w:cs="Times New Roman"/>
              </w:rPr>
              <w:t>(1.518)</w:t>
            </w:r>
          </w:p>
        </w:tc>
        <w:tc>
          <w:tcPr>
            <w:tcW w:w="1786" w:type="dxa"/>
            <w:tcBorders>
              <w:top w:val="nil"/>
              <w:bottom w:val="nil"/>
            </w:tcBorders>
            <w:vAlign w:val="center"/>
          </w:tcPr>
          <w:p w14:paraId="430ED621" w14:textId="77777777" w:rsidR="00BB0E1C" w:rsidRPr="007821E7" w:rsidRDefault="00BB0E1C" w:rsidP="007821E7">
            <w:pPr>
              <w:tabs>
                <w:tab w:val="left" w:pos="567"/>
              </w:tabs>
              <w:jc w:val="center"/>
              <w:rPr>
                <w:rFonts w:ascii="Times New Roman" w:hAnsi="Times New Roman" w:cs="Times New Roman"/>
              </w:rPr>
            </w:pPr>
            <w:r w:rsidRPr="007821E7">
              <w:rPr>
                <w:rFonts w:ascii="Times New Roman" w:hAnsi="Times New Roman" w:cs="Times New Roman"/>
              </w:rPr>
              <w:t>11.77</w:t>
            </w:r>
          </w:p>
          <w:p w14:paraId="2B3995E4" w14:textId="77777777" w:rsidR="00BB0E1C" w:rsidRPr="007821E7" w:rsidRDefault="00BB0E1C" w:rsidP="007821E7">
            <w:pPr>
              <w:tabs>
                <w:tab w:val="left" w:pos="567"/>
              </w:tabs>
              <w:jc w:val="center"/>
              <w:rPr>
                <w:rFonts w:ascii="Times New Roman" w:hAnsi="Times New Roman" w:cs="Times New Roman"/>
              </w:rPr>
            </w:pPr>
            <w:r w:rsidRPr="007821E7">
              <w:rPr>
                <w:rFonts w:ascii="Times New Roman" w:hAnsi="Times New Roman" w:cs="Times New Roman"/>
              </w:rPr>
              <w:t>(10.70)</w:t>
            </w:r>
          </w:p>
        </w:tc>
        <w:tc>
          <w:tcPr>
            <w:tcW w:w="1806" w:type="dxa"/>
            <w:tcBorders>
              <w:top w:val="nil"/>
              <w:bottom w:val="nil"/>
            </w:tcBorders>
            <w:vAlign w:val="center"/>
          </w:tcPr>
          <w:p w14:paraId="5B3826DD" w14:textId="77777777" w:rsidR="00BB0E1C" w:rsidRPr="007821E7" w:rsidRDefault="00BB0E1C" w:rsidP="007821E7">
            <w:pPr>
              <w:tabs>
                <w:tab w:val="left" w:pos="567"/>
              </w:tabs>
              <w:jc w:val="center"/>
              <w:rPr>
                <w:rFonts w:ascii="Times New Roman" w:hAnsi="Times New Roman" w:cs="Times New Roman"/>
              </w:rPr>
            </w:pPr>
            <w:r w:rsidRPr="007821E7">
              <w:rPr>
                <w:rFonts w:ascii="Times New Roman" w:hAnsi="Times New Roman" w:cs="Times New Roman"/>
              </w:rPr>
              <w:t>13.09</w:t>
            </w:r>
          </w:p>
          <w:p w14:paraId="1437E0BA" w14:textId="77777777" w:rsidR="00BB0E1C" w:rsidRPr="007821E7" w:rsidRDefault="00BB0E1C" w:rsidP="007821E7">
            <w:pPr>
              <w:tabs>
                <w:tab w:val="left" w:pos="567"/>
              </w:tabs>
              <w:jc w:val="center"/>
              <w:rPr>
                <w:rFonts w:ascii="Times New Roman" w:hAnsi="Times New Roman" w:cs="Times New Roman"/>
              </w:rPr>
            </w:pPr>
            <w:r w:rsidRPr="007821E7">
              <w:rPr>
                <w:rFonts w:ascii="Times New Roman" w:hAnsi="Times New Roman" w:cs="Times New Roman"/>
              </w:rPr>
              <w:t>(13.10)</w:t>
            </w:r>
          </w:p>
        </w:tc>
      </w:tr>
      <w:tr w:rsidR="00BB0E1C" w:rsidRPr="007821E7" w14:paraId="5C5D599B" w14:textId="77777777" w:rsidTr="007821E7">
        <w:tc>
          <w:tcPr>
            <w:tcW w:w="2060" w:type="dxa"/>
            <w:tcBorders>
              <w:top w:val="nil"/>
              <w:bottom w:val="nil"/>
            </w:tcBorders>
          </w:tcPr>
          <w:p w14:paraId="4069932F" w14:textId="77777777" w:rsidR="00BB0E1C" w:rsidRPr="007821E7" w:rsidRDefault="00BB0E1C" w:rsidP="00F50315">
            <w:pPr>
              <w:tabs>
                <w:tab w:val="left" w:pos="567"/>
              </w:tabs>
              <w:jc w:val="both"/>
              <w:rPr>
                <w:rFonts w:ascii="Times New Roman" w:hAnsi="Times New Roman" w:cs="Times New Roman"/>
                <w:iCs/>
              </w:rPr>
            </w:pPr>
            <w:r w:rsidRPr="007821E7">
              <w:rPr>
                <w:rFonts w:ascii="Times New Roman" w:hAnsi="Times New Roman" w:cs="Times New Roman"/>
                <w:iCs/>
              </w:rPr>
              <w:t>Year2*</w:t>
            </w:r>
            <w:proofErr w:type="spellStart"/>
            <w:r w:rsidRPr="007821E7">
              <w:rPr>
                <w:rFonts w:ascii="Times New Roman" w:hAnsi="Times New Roman" w:cs="Times New Roman"/>
                <w:iCs/>
              </w:rPr>
              <w:t>TreatmentB</w:t>
            </w:r>
            <w:proofErr w:type="spellEnd"/>
          </w:p>
        </w:tc>
        <w:tc>
          <w:tcPr>
            <w:tcW w:w="1785" w:type="dxa"/>
            <w:tcBorders>
              <w:top w:val="nil"/>
              <w:bottom w:val="nil"/>
            </w:tcBorders>
            <w:vAlign w:val="center"/>
          </w:tcPr>
          <w:p w14:paraId="2D405235" w14:textId="77777777" w:rsidR="00BB0E1C" w:rsidRPr="007821E7" w:rsidRDefault="00BB0E1C" w:rsidP="007821E7">
            <w:pPr>
              <w:tabs>
                <w:tab w:val="left" w:pos="567"/>
              </w:tabs>
              <w:jc w:val="center"/>
              <w:rPr>
                <w:rFonts w:ascii="Times New Roman" w:hAnsi="Times New Roman" w:cs="Times New Roman"/>
              </w:rPr>
            </w:pPr>
            <w:r w:rsidRPr="007821E7">
              <w:rPr>
                <w:rFonts w:ascii="Times New Roman" w:hAnsi="Times New Roman" w:cs="Times New Roman"/>
              </w:rPr>
              <w:t>5.001</w:t>
            </w:r>
          </w:p>
          <w:p w14:paraId="179E96D2" w14:textId="77777777" w:rsidR="00BB0E1C" w:rsidRPr="007821E7" w:rsidRDefault="00BB0E1C" w:rsidP="007821E7">
            <w:pPr>
              <w:tabs>
                <w:tab w:val="left" w:pos="567"/>
              </w:tabs>
              <w:jc w:val="center"/>
              <w:rPr>
                <w:rFonts w:ascii="Times New Roman" w:hAnsi="Times New Roman" w:cs="Times New Roman"/>
              </w:rPr>
            </w:pPr>
            <w:r w:rsidRPr="007821E7">
              <w:rPr>
                <w:rFonts w:ascii="Times New Roman" w:hAnsi="Times New Roman" w:cs="Times New Roman"/>
              </w:rPr>
              <w:t>(5.618)</w:t>
            </w:r>
          </w:p>
        </w:tc>
        <w:tc>
          <w:tcPr>
            <w:tcW w:w="1805" w:type="dxa"/>
            <w:tcBorders>
              <w:top w:val="nil"/>
              <w:bottom w:val="nil"/>
            </w:tcBorders>
            <w:vAlign w:val="center"/>
          </w:tcPr>
          <w:p w14:paraId="3A0CA86B" w14:textId="77777777" w:rsidR="00BB0E1C" w:rsidRPr="007821E7" w:rsidRDefault="00BB0E1C" w:rsidP="007821E7">
            <w:pPr>
              <w:tabs>
                <w:tab w:val="left" w:pos="567"/>
              </w:tabs>
              <w:jc w:val="center"/>
              <w:rPr>
                <w:rFonts w:ascii="Times New Roman" w:hAnsi="Times New Roman" w:cs="Times New Roman"/>
              </w:rPr>
            </w:pPr>
            <w:r w:rsidRPr="007821E7">
              <w:rPr>
                <w:rFonts w:ascii="Times New Roman" w:hAnsi="Times New Roman" w:cs="Times New Roman"/>
              </w:rPr>
              <w:t>4.689</w:t>
            </w:r>
          </w:p>
          <w:p w14:paraId="12A5D835" w14:textId="77777777" w:rsidR="00BB0E1C" w:rsidRPr="007821E7" w:rsidRDefault="00BB0E1C" w:rsidP="007821E7">
            <w:pPr>
              <w:tabs>
                <w:tab w:val="left" w:pos="567"/>
              </w:tabs>
              <w:jc w:val="center"/>
              <w:rPr>
                <w:rFonts w:ascii="Times New Roman" w:hAnsi="Times New Roman" w:cs="Times New Roman"/>
              </w:rPr>
            </w:pPr>
            <w:r w:rsidRPr="007821E7">
              <w:rPr>
                <w:rFonts w:ascii="Times New Roman" w:hAnsi="Times New Roman" w:cs="Times New Roman"/>
              </w:rPr>
              <w:t>(5.759)</w:t>
            </w:r>
          </w:p>
        </w:tc>
        <w:tc>
          <w:tcPr>
            <w:tcW w:w="1786" w:type="dxa"/>
            <w:tcBorders>
              <w:top w:val="nil"/>
              <w:bottom w:val="nil"/>
            </w:tcBorders>
            <w:vAlign w:val="center"/>
          </w:tcPr>
          <w:p w14:paraId="7F6419BB" w14:textId="77777777" w:rsidR="00BB0E1C" w:rsidRPr="007821E7" w:rsidRDefault="00BB0E1C" w:rsidP="007821E7">
            <w:pPr>
              <w:tabs>
                <w:tab w:val="left" w:pos="567"/>
              </w:tabs>
              <w:jc w:val="center"/>
              <w:rPr>
                <w:rFonts w:ascii="Times New Roman" w:hAnsi="Times New Roman" w:cs="Times New Roman"/>
              </w:rPr>
            </w:pPr>
            <w:r w:rsidRPr="007821E7">
              <w:rPr>
                <w:rFonts w:ascii="Times New Roman" w:hAnsi="Times New Roman" w:cs="Times New Roman"/>
              </w:rPr>
              <w:t>19.60</w:t>
            </w:r>
            <w:r w:rsidRPr="007821E7">
              <w:rPr>
                <w:rFonts w:ascii="Times New Roman" w:hAnsi="Times New Roman" w:cs="Times New Roman"/>
                <w:vertAlign w:val="superscript"/>
              </w:rPr>
              <w:t>*</w:t>
            </w:r>
          </w:p>
          <w:p w14:paraId="3E3C08C7" w14:textId="77777777" w:rsidR="00BB0E1C" w:rsidRPr="007821E7" w:rsidRDefault="00BB0E1C" w:rsidP="007821E7">
            <w:pPr>
              <w:tabs>
                <w:tab w:val="left" w:pos="567"/>
              </w:tabs>
              <w:jc w:val="center"/>
              <w:rPr>
                <w:rFonts w:ascii="Times New Roman" w:hAnsi="Times New Roman" w:cs="Times New Roman"/>
              </w:rPr>
            </w:pPr>
            <w:r w:rsidRPr="007821E7">
              <w:rPr>
                <w:rFonts w:ascii="Times New Roman" w:hAnsi="Times New Roman" w:cs="Times New Roman"/>
              </w:rPr>
              <w:t>(10.85)</w:t>
            </w:r>
          </w:p>
        </w:tc>
        <w:tc>
          <w:tcPr>
            <w:tcW w:w="1806" w:type="dxa"/>
            <w:tcBorders>
              <w:top w:val="nil"/>
              <w:bottom w:val="nil"/>
            </w:tcBorders>
            <w:vAlign w:val="center"/>
          </w:tcPr>
          <w:p w14:paraId="20299F13" w14:textId="77777777" w:rsidR="00BB0E1C" w:rsidRPr="007821E7" w:rsidRDefault="00BB0E1C" w:rsidP="007821E7">
            <w:pPr>
              <w:tabs>
                <w:tab w:val="left" w:pos="567"/>
              </w:tabs>
              <w:jc w:val="center"/>
              <w:rPr>
                <w:rFonts w:ascii="Times New Roman" w:hAnsi="Times New Roman" w:cs="Times New Roman"/>
              </w:rPr>
            </w:pPr>
            <w:r w:rsidRPr="007821E7">
              <w:rPr>
                <w:rFonts w:ascii="Times New Roman" w:hAnsi="Times New Roman" w:cs="Times New Roman"/>
              </w:rPr>
              <w:t>23.58</w:t>
            </w:r>
            <w:r w:rsidRPr="007821E7">
              <w:rPr>
                <w:rFonts w:ascii="Times New Roman" w:hAnsi="Times New Roman" w:cs="Times New Roman"/>
                <w:vertAlign w:val="superscript"/>
              </w:rPr>
              <w:t>*</w:t>
            </w:r>
          </w:p>
          <w:p w14:paraId="77C85B24" w14:textId="77777777" w:rsidR="00BB0E1C" w:rsidRPr="007821E7" w:rsidRDefault="00BB0E1C" w:rsidP="007821E7">
            <w:pPr>
              <w:tabs>
                <w:tab w:val="left" w:pos="567"/>
              </w:tabs>
              <w:jc w:val="center"/>
              <w:rPr>
                <w:rFonts w:ascii="Times New Roman" w:hAnsi="Times New Roman" w:cs="Times New Roman"/>
              </w:rPr>
            </w:pPr>
            <w:r w:rsidRPr="007821E7">
              <w:rPr>
                <w:rFonts w:ascii="Times New Roman" w:hAnsi="Times New Roman" w:cs="Times New Roman"/>
              </w:rPr>
              <w:t>(12.53)</w:t>
            </w:r>
          </w:p>
        </w:tc>
      </w:tr>
      <w:tr w:rsidR="00BB0E1C" w:rsidRPr="007821E7" w14:paraId="0860EF33" w14:textId="77777777" w:rsidTr="007821E7">
        <w:tc>
          <w:tcPr>
            <w:tcW w:w="2060" w:type="dxa"/>
            <w:tcBorders>
              <w:top w:val="nil"/>
              <w:bottom w:val="nil"/>
            </w:tcBorders>
          </w:tcPr>
          <w:p w14:paraId="04436DF2" w14:textId="77777777" w:rsidR="00BB0E1C" w:rsidRPr="007821E7" w:rsidRDefault="00BB0E1C" w:rsidP="00B92CFB">
            <w:pPr>
              <w:tabs>
                <w:tab w:val="left" w:pos="567"/>
              </w:tabs>
              <w:rPr>
                <w:rFonts w:ascii="Times New Roman" w:hAnsi="Times New Roman" w:cs="Times New Roman"/>
              </w:rPr>
            </w:pPr>
            <w:r w:rsidRPr="007821E7">
              <w:rPr>
                <w:rFonts w:ascii="Times New Roman" w:hAnsi="Times New Roman" w:cs="Times New Roman"/>
              </w:rPr>
              <w:t>Pseudo R</w:t>
            </w:r>
            <w:r w:rsidRPr="007821E7">
              <w:rPr>
                <w:rFonts w:ascii="Times New Roman" w:hAnsi="Times New Roman" w:cs="Times New Roman"/>
                <w:vertAlign w:val="superscript"/>
              </w:rPr>
              <w:t>2</w:t>
            </w:r>
            <w:r w:rsidRPr="007821E7">
              <w:rPr>
                <w:rFonts w:ascii="Times New Roman" w:hAnsi="Times New Roman" w:cs="Times New Roman"/>
              </w:rPr>
              <w:t xml:space="preserve"> / Adjusted R</w:t>
            </w:r>
            <w:r w:rsidRPr="007821E7">
              <w:rPr>
                <w:rFonts w:ascii="Times New Roman" w:hAnsi="Times New Roman" w:cs="Times New Roman"/>
                <w:vertAlign w:val="superscript"/>
              </w:rPr>
              <w:t>2</w:t>
            </w:r>
          </w:p>
        </w:tc>
        <w:tc>
          <w:tcPr>
            <w:tcW w:w="1785" w:type="dxa"/>
            <w:tcBorders>
              <w:top w:val="nil"/>
              <w:bottom w:val="nil"/>
            </w:tcBorders>
            <w:vAlign w:val="center"/>
          </w:tcPr>
          <w:p w14:paraId="29DDA034" w14:textId="77777777" w:rsidR="00BB0E1C" w:rsidRPr="007821E7" w:rsidRDefault="00BB0E1C" w:rsidP="007821E7">
            <w:pPr>
              <w:tabs>
                <w:tab w:val="left" w:pos="567"/>
              </w:tabs>
              <w:jc w:val="center"/>
              <w:rPr>
                <w:rFonts w:ascii="Times New Roman" w:hAnsi="Times New Roman" w:cs="Times New Roman"/>
              </w:rPr>
            </w:pPr>
            <w:r w:rsidRPr="007821E7">
              <w:rPr>
                <w:rFonts w:ascii="Times New Roman" w:hAnsi="Times New Roman" w:cs="Times New Roman"/>
              </w:rPr>
              <w:t>0.082</w:t>
            </w:r>
          </w:p>
        </w:tc>
        <w:tc>
          <w:tcPr>
            <w:tcW w:w="1805" w:type="dxa"/>
            <w:tcBorders>
              <w:top w:val="nil"/>
              <w:bottom w:val="nil"/>
            </w:tcBorders>
            <w:vAlign w:val="center"/>
          </w:tcPr>
          <w:p w14:paraId="3657A2B7" w14:textId="77777777" w:rsidR="00BB0E1C" w:rsidRPr="007821E7" w:rsidRDefault="00BB0E1C" w:rsidP="007821E7">
            <w:pPr>
              <w:tabs>
                <w:tab w:val="left" w:pos="567"/>
              </w:tabs>
              <w:jc w:val="center"/>
              <w:rPr>
                <w:rFonts w:ascii="Times New Roman" w:hAnsi="Times New Roman" w:cs="Times New Roman"/>
              </w:rPr>
            </w:pPr>
            <w:r w:rsidRPr="007821E7">
              <w:rPr>
                <w:rFonts w:ascii="Times New Roman" w:hAnsi="Times New Roman" w:cs="Times New Roman"/>
              </w:rPr>
              <w:t>0.097</w:t>
            </w:r>
          </w:p>
        </w:tc>
        <w:tc>
          <w:tcPr>
            <w:tcW w:w="1786" w:type="dxa"/>
            <w:tcBorders>
              <w:top w:val="nil"/>
              <w:bottom w:val="nil"/>
            </w:tcBorders>
            <w:vAlign w:val="center"/>
          </w:tcPr>
          <w:p w14:paraId="5B0A0651" w14:textId="77777777" w:rsidR="00BB0E1C" w:rsidRPr="007821E7" w:rsidRDefault="00BB0E1C" w:rsidP="007821E7">
            <w:pPr>
              <w:tabs>
                <w:tab w:val="left" w:pos="567"/>
              </w:tabs>
              <w:jc w:val="center"/>
              <w:rPr>
                <w:rFonts w:ascii="Times New Roman" w:hAnsi="Times New Roman" w:cs="Times New Roman"/>
              </w:rPr>
            </w:pPr>
            <w:r w:rsidRPr="007821E7">
              <w:rPr>
                <w:rFonts w:ascii="Times New Roman" w:hAnsi="Times New Roman" w:cs="Times New Roman"/>
              </w:rPr>
              <w:t>0.039</w:t>
            </w:r>
          </w:p>
        </w:tc>
        <w:tc>
          <w:tcPr>
            <w:tcW w:w="1806" w:type="dxa"/>
            <w:tcBorders>
              <w:top w:val="nil"/>
              <w:bottom w:val="nil"/>
            </w:tcBorders>
            <w:vAlign w:val="center"/>
          </w:tcPr>
          <w:p w14:paraId="2AA14857" w14:textId="77777777" w:rsidR="00BB0E1C" w:rsidRPr="007821E7" w:rsidRDefault="00BB0E1C" w:rsidP="007821E7">
            <w:pPr>
              <w:tabs>
                <w:tab w:val="left" w:pos="567"/>
              </w:tabs>
              <w:jc w:val="center"/>
              <w:rPr>
                <w:rFonts w:ascii="Times New Roman" w:hAnsi="Times New Roman" w:cs="Times New Roman"/>
              </w:rPr>
            </w:pPr>
            <w:r w:rsidRPr="007821E7">
              <w:rPr>
                <w:rFonts w:ascii="Times New Roman" w:hAnsi="Times New Roman" w:cs="Times New Roman"/>
              </w:rPr>
              <w:t>0.034</w:t>
            </w:r>
          </w:p>
        </w:tc>
      </w:tr>
      <w:tr w:rsidR="00BB0E1C" w:rsidRPr="007821E7" w14:paraId="4D8B360A" w14:textId="77777777" w:rsidTr="007821E7">
        <w:tc>
          <w:tcPr>
            <w:tcW w:w="2060" w:type="dxa"/>
            <w:tcBorders>
              <w:top w:val="nil"/>
            </w:tcBorders>
          </w:tcPr>
          <w:p w14:paraId="09C536D8" w14:textId="77777777" w:rsidR="00BB0E1C" w:rsidRPr="007821E7" w:rsidRDefault="00BB0E1C" w:rsidP="00F50315">
            <w:pPr>
              <w:tabs>
                <w:tab w:val="left" w:pos="567"/>
              </w:tabs>
              <w:spacing w:line="288" w:lineRule="auto"/>
              <w:jc w:val="both"/>
              <w:rPr>
                <w:rFonts w:asciiTheme="majorBidi" w:hAnsiTheme="majorBidi" w:cstheme="majorBidi"/>
              </w:rPr>
            </w:pPr>
            <w:r w:rsidRPr="007821E7">
              <w:rPr>
                <w:rFonts w:asciiTheme="majorBidi" w:hAnsiTheme="majorBidi" w:cstheme="majorBidi"/>
              </w:rPr>
              <w:t>N</w:t>
            </w:r>
          </w:p>
        </w:tc>
        <w:tc>
          <w:tcPr>
            <w:tcW w:w="1785" w:type="dxa"/>
            <w:tcBorders>
              <w:top w:val="nil"/>
            </w:tcBorders>
            <w:vAlign w:val="center"/>
          </w:tcPr>
          <w:p w14:paraId="6DD5C299" w14:textId="77777777" w:rsidR="00BB0E1C" w:rsidRPr="007821E7" w:rsidRDefault="00BB0E1C" w:rsidP="007821E7">
            <w:pPr>
              <w:tabs>
                <w:tab w:val="left" w:pos="567"/>
              </w:tabs>
              <w:spacing w:line="288" w:lineRule="auto"/>
              <w:jc w:val="center"/>
              <w:rPr>
                <w:rFonts w:asciiTheme="majorBidi" w:hAnsiTheme="majorBidi" w:cstheme="majorBidi"/>
              </w:rPr>
            </w:pPr>
            <w:r w:rsidRPr="007821E7">
              <w:rPr>
                <w:rFonts w:asciiTheme="majorBidi" w:hAnsiTheme="majorBidi" w:cstheme="majorBidi"/>
              </w:rPr>
              <w:t>90</w:t>
            </w:r>
          </w:p>
        </w:tc>
        <w:tc>
          <w:tcPr>
            <w:tcW w:w="1805" w:type="dxa"/>
            <w:tcBorders>
              <w:top w:val="nil"/>
            </w:tcBorders>
            <w:vAlign w:val="center"/>
          </w:tcPr>
          <w:p w14:paraId="3C976862" w14:textId="77777777" w:rsidR="00BB0E1C" w:rsidRPr="007821E7" w:rsidRDefault="00BB0E1C" w:rsidP="007821E7">
            <w:pPr>
              <w:tabs>
                <w:tab w:val="left" w:pos="567"/>
              </w:tabs>
              <w:spacing w:line="288" w:lineRule="auto"/>
              <w:jc w:val="center"/>
              <w:rPr>
                <w:rFonts w:asciiTheme="majorBidi" w:hAnsiTheme="majorBidi" w:cstheme="majorBidi"/>
              </w:rPr>
            </w:pPr>
            <w:r w:rsidRPr="007821E7">
              <w:rPr>
                <w:rFonts w:asciiTheme="majorBidi" w:hAnsiTheme="majorBidi" w:cstheme="majorBidi"/>
              </w:rPr>
              <w:t>74</w:t>
            </w:r>
          </w:p>
        </w:tc>
        <w:tc>
          <w:tcPr>
            <w:tcW w:w="1786" w:type="dxa"/>
            <w:tcBorders>
              <w:top w:val="nil"/>
            </w:tcBorders>
            <w:vAlign w:val="center"/>
          </w:tcPr>
          <w:p w14:paraId="178C5ABC" w14:textId="77777777" w:rsidR="00BB0E1C" w:rsidRPr="007821E7" w:rsidRDefault="00BB0E1C" w:rsidP="007821E7">
            <w:pPr>
              <w:tabs>
                <w:tab w:val="left" w:pos="567"/>
              </w:tabs>
              <w:spacing w:line="288" w:lineRule="auto"/>
              <w:jc w:val="center"/>
              <w:rPr>
                <w:rFonts w:asciiTheme="majorBidi" w:hAnsiTheme="majorBidi" w:cstheme="majorBidi"/>
              </w:rPr>
            </w:pPr>
            <w:r w:rsidRPr="007821E7">
              <w:rPr>
                <w:rFonts w:asciiTheme="majorBidi" w:hAnsiTheme="majorBidi" w:cstheme="majorBidi"/>
              </w:rPr>
              <w:t>90</w:t>
            </w:r>
          </w:p>
        </w:tc>
        <w:tc>
          <w:tcPr>
            <w:tcW w:w="1806" w:type="dxa"/>
            <w:tcBorders>
              <w:top w:val="nil"/>
            </w:tcBorders>
            <w:vAlign w:val="center"/>
          </w:tcPr>
          <w:p w14:paraId="7E819DAF" w14:textId="77777777" w:rsidR="00BB0E1C" w:rsidRPr="007821E7" w:rsidRDefault="00BB0E1C" w:rsidP="007821E7">
            <w:pPr>
              <w:tabs>
                <w:tab w:val="left" w:pos="567"/>
              </w:tabs>
              <w:spacing w:line="288" w:lineRule="auto"/>
              <w:jc w:val="center"/>
              <w:rPr>
                <w:rFonts w:asciiTheme="majorBidi" w:hAnsiTheme="majorBidi" w:cstheme="majorBidi"/>
              </w:rPr>
            </w:pPr>
            <w:r w:rsidRPr="007821E7">
              <w:rPr>
                <w:rFonts w:asciiTheme="majorBidi" w:hAnsiTheme="majorBidi" w:cstheme="majorBidi"/>
              </w:rPr>
              <w:t>74</w:t>
            </w:r>
          </w:p>
        </w:tc>
      </w:tr>
    </w:tbl>
    <w:p w14:paraId="70A4F406" w14:textId="77777777" w:rsidR="00BB0E1C" w:rsidRPr="003B7DD2" w:rsidRDefault="00BB0E1C" w:rsidP="00F50315">
      <w:pPr>
        <w:tabs>
          <w:tab w:val="left" w:pos="567"/>
        </w:tabs>
        <w:spacing w:after="0" w:line="288" w:lineRule="auto"/>
        <w:jc w:val="both"/>
        <w:rPr>
          <w:rFonts w:asciiTheme="majorBidi" w:hAnsiTheme="majorBidi" w:cstheme="majorBidi"/>
          <w:sz w:val="20"/>
          <w:szCs w:val="20"/>
        </w:rPr>
      </w:pPr>
      <w:r w:rsidRPr="003B7DD2">
        <w:rPr>
          <w:rFonts w:asciiTheme="majorBidi" w:hAnsiTheme="majorBidi" w:cstheme="majorBidi"/>
          <w:bCs/>
          <w:sz w:val="20"/>
          <w:szCs w:val="20"/>
          <w:vertAlign w:val="superscript"/>
        </w:rPr>
        <w:t>†</w:t>
      </w:r>
      <w:r w:rsidRPr="003B7DD2">
        <w:rPr>
          <w:rFonts w:asciiTheme="majorBidi" w:hAnsiTheme="majorBidi" w:cstheme="majorBidi"/>
          <w:bCs/>
          <w:sz w:val="20"/>
          <w:szCs w:val="20"/>
        </w:rPr>
        <w:t xml:space="preserve"> Control variables not shown for brevity; </w:t>
      </w:r>
      <w:r w:rsidRPr="003B7DD2">
        <w:rPr>
          <w:rFonts w:asciiTheme="majorBidi" w:hAnsiTheme="majorBidi" w:cstheme="majorBidi"/>
          <w:sz w:val="20"/>
          <w:szCs w:val="20"/>
          <w:vertAlign w:val="superscript"/>
        </w:rPr>
        <w:t>*</w:t>
      </w:r>
      <w:r w:rsidRPr="003B7DD2">
        <w:rPr>
          <w:rFonts w:asciiTheme="majorBidi" w:hAnsiTheme="majorBidi" w:cstheme="majorBidi"/>
          <w:sz w:val="20"/>
          <w:szCs w:val="20"/>
        </w:rPr>
        <w:t>p&lt;0.1</w:t>
      </w:r>
    </w:p>
    <w:p w14:paraId="14273E82" w14:textId="077F07D0" w:rsidR="00F313AD" w:rsidRDefault="00DA07D7" w:rsidP="003B7DD2">
      <w:pPr>
        <w:tabs>
          <w:tab w:val="left" w:pos="567"/>
        </w:tabs>
        <w:spacing w:after="0" w:line="288" w:lineRule="auto"/>
        <w:ind w:firstLine="567"/>
        <w:jc w:val="both"/>
        <w:rPr>
          <w:rFonts w:asciiTheme="majorBidi" w:hAnsiTheme="majorBidi" w:cstheme="majorBidi"/>
          <w:sz w:val="24"/>
          <w:szCs w:val="24"/>
        </w:rPr>
      </w:pPr>
      <w:r w:rsidRPr="00357D66">
        <w:rPr>
          <w:rFonts w:asciiTheme="majorBidi" w:hAnsiTheme="majorBidi" w:cstheme="majorBidi"/>
          <w:sz w:val="24"/>
          <w:szCs w:val="24"/>
        </w:rPr>
        <w:lastRenderedPageBreak/>
        <w:t>The linear regression results are similar to those reported in Table 5. Students participating in the study achieved 14.</w:t>
      </w:r>
      <w:r w:rsidR="00B238F1" w:rsidRPr="00357D66">
        <w:rPr>
          <w:rFonts w:asciiTheme="majorBidi" w:hAnsiTheme="majorBidi" w:cstheme="majorBidi"/>
          <w:sz w:val="24"/>
          <w:szCs w:val="24"/>
        </w:rPr>
        <w:t xml:space="preserve">6 </w:t>
      </w:r>
      <w:r w:rsidRPr="00357D66">
        <w:rPr>
          <w:rFonts w:asciiTheme="majorBidi" w:hAnsiTheme="majorBidi" w:cstheme="majorBidi"/>
          <w:sz w:val="24"/>
          <w:szCs w:val="24"/>
        </w:rPr>
        <w:t>percentage points lower final marks in 2014 compared with 2013 (or 17.</w:t>
      </w:r>
      <w:r w:rsidR="00181068" w:rsidRPr="00357D66">
        <w:rPr>
          <w:rFonts w:asciiTheme="majorBidi" w:hAnsiTheme="majorBidi" w:cstheme="majorBidi"/>
          <w:sz w:val="24"/>
          <w:szCs w:val="24"/>
        </w:rPr>
        <w:t>0</w:t>
      </w:r>
      <w:r w:rsidRPr="00357D66">
        <w:rPr>
          <w:rFonts w:asciiTheme="majorBidi" w:hAnsiTheme="majorBidi" w:cstheme="majorBidi"/>
          <w:sz w:val="24"/>
          <w:szCs w:val="24"/>
        </w:rPr>
        <w:t xml:space="preserve"> percentage points lower after controlling for high school decile rating). Both treatments have small, negative, but statistically insignificant effects on student marks in 2013.  Again, the effects of treatments in 2014 can be assessed by looking at the combined coefficients for the treatment variable and the interaction with the year dummy. The combined coefficients show that Treatment A increased students’ final marks in 201</w:t>
      </w:r>
      <w:r w:rsidR="00A72D48" w:rsidRPr="00357D66">
        <w:rPr>
          <w:rFonts w:asciiTheme="majorBidi" w:hAnsiTheme="majorBidi" w:cstheme="majorBidi"/>
          <w:sz w:val="24"/>
          <w:szCs w:val="24"/>
        </w:rPr>
        <w:t>4</w:t>
      </w:r>
      <w:r w:rsidRPr="00357D66">
        <w:rPr>
          <w:rFonts w:asciiTheme="majorBidi" w:hAnsiTheme="majorBidi" w:cstheme="majorBidi"/>
          <w:sz w:val="24"/>
          <w:szCs w:val="24"/>
        </w:rPr>
        <w:t xml:space="preserve"> by </w:t>
      </w:r>
      <w:r w:rsidR="008052E1" w:rsidRPr="00357D66">
        <w:rPr>
          <w:rFonts w:asciiTheme="majorBidi" w:hAnsiTheme="majorBidi" w:cstheme="majorBidi"/>
          <w:sz w:val="24"/>
          <w:szCs w:val="24"/>
        </w:rPr>
        <w:t>11.3</w:t>
      </w:r>
      <w:r w:rsidRPr="00357D66">
        <w:rPr>
          <w:rFonts w:asciiTheme="majorBidi" w:hAnsiTheme="majorBidi" w:cstheme="majorBidi"/>
          <w:sz w:val="24"/>
          <w:szCs w:val="24"/>
        </w:rPr>
        <w:t xml:space="preserve"> percentage points (or </w:t>
      </w:r>
      <w:r w:rsidR="008052E1" w:rsidRPr="00357D66">
        <w:rPr>
          <w:rFonts w:asciiTheme="majorBidi" w:hAnsiTheme="majorBidi" w:cstheme="majorBidi"/>
          <w:sz w:val="24"/>
          <w:szCs w:val="24"/>
        </w:rPr>
        <w:t>12.3</w:t>
      </w:r>
      <w:r w:rsidRPr="00357D66">
        <w:rPr>
          <w:rFonts w:asciiTheme="majorBidi" w:hAnsiTheme="majorBidi" w:cstheme="majorBidi"/>
          <w:sz w:val="24"/>
          <w:szCs w:val="24"/>
        </w:rPr>
        <w:t xml:space="preserve"> percentage points when controlling for high school decile rating), while Treatment B increased students’ final marks in </w:t>
      </w:r>
      <w:r w:rsidR="0065294D" w:rsidRPr="00357D66">
        <w:rPr>
          <w:rFonts w:asciiTheme="majorBidi" w:hAnsiTheme="majorBidi" w:cstheme="majorBidi"/>
          <w:sz w:val="24"/>
          <w:szCs w:val="24"/>
        </w:rPr>
        <w:t>2014</w:t>
      </w:r>
      <w:r w:rsidRPr="00357D66">
        <w:rPr>
          <w:rFonts w:asciiTheme="majorBidi" w:hAnsiTheme="majorBidi" w:cstheme="majorBidi"/>
          <w:sz w:val="24"/>
          <w:szCs w:val="24"/>
        </w:rPr>
        <w:t xml:space="preserve"> by </w:t>
      </w:r>
      <w:r w:rsidR="008052E1" w:rsidRPr="00357D66">
        <w:rPr>
          <w:rFonts w:asciiTheme="majorBidi" w:hAnsiTheme="majorBidi" w:cstheme="majorBidi"/>
          <w:sz w:val="24"/>
          <w:szCs w:val="24"/>
        </w:rPr>
        <w:t>16.1</w:t>
      </w:r>
      <w:r w:rsidRPr="00357D66">
        <w:rPr>
          <w:rFonts w:asciiTheme="majorBidi" w:hAnsiTheme="majorBidi" w:cstheme="majorBidi"/>
          <w:sz w:val="24"/>
          <w:szCs w:val="24"/>
        </w:rPr>
        <w:t xml:space="preserve"> percentage points (or 17.</w:t>
      </w:r>
      <w:r w:rsidR="008052E1" w:rsidRPr="00357D66">
        <w:rPr>
          <w:rFonts w:asciiTheme="majorBidi" w:hAnsiTheme="majorBidi" w:cstheme="majorBidi"/>
          <w:sz w:val="24"/>
          <w:szCs w:val="24"/>
        </w:rPr>
        <w:t>1</w:t>
      </w:r>
      <w:r w:rsidRPr="00357D66">
        <w:rPr>
          <w:rFonts w:asciiTheme="majorBidi" w:hAnsiTheme="majorBidi" w:cstheme="majorBidi"/>
          <w:sz w:val="24"/>
          <w:szCs w:val="24"/>
        </w:rPr>
        <w:t xml:space="preserve"> percentage points when controlling for high school decile rating). The effect of Treatment A </w:t>
      </w:r>
      <w:r w:rsidR="008052E1" w:rsidRPr="00357D66">
        <w:rPr>
          <w:rFonts w:asciiTheme="majorBidi" w:hAnsiTheme="majorBidi" w:cstheme="majorBidi"/>
          <w:sz w:val="24"/>
          <w:szCs w:val="24"/>
        </w:rPr>
        <w:t xml:space="preserve">in 2014 </w:t>
      </w:r>
      <w:r w:rsidRPr="00357D66">
        <w:rPr>
          <w:rFonts w:asciiTheme="majorBidi" w:hAnsiTheme="majorBidi" w:cstheme="majorBidi"/>
          <w:sz w:val="24"/>
          <w:szCs w:val="24"/>
        </w:rPr>
        <w:t>was not statistically significant (p = 0.13 and p = 0.19 with and without the control for high school decile rating respectively), but the effect of Treatment B</w:t>
      </w:r>
      <w:r w:rsidR="008052E1" w:rsidRPr="00357D66">
        <w:rPr>
          <w:rFonts w:asciiTheme="majorBidi" w:hAnsiTheme="majorBidi" w:cstheme="majorBidi"/>
          <w:sz w:val="24"/>
          <w:szCs w:val="24"/>
        </w:rPr>
        <w:t xml:space="preserve"> in 2014</w:t>
      </w:r>
      <w:r w:rsidRPr="00357D66">
        <w:rPr>
          <w:rFonts w:asciiTheme="majorBidi" w:hAnsiTheme="majorBidi" w:cstheme="majorBidi"/>
          <w:sz w:val="24"/>
          <w:szCs w:val="24"/>
        </w:rPr>
        <w:t xml:space="preserve"> was statistically significant (p = 0.04 and p = 0.06 with and without the control for high school decile rating respectively).</w:t>
      </w:r>
      <w:r w:rsidR="00083C48" w:rsidRPr="00357D66">
        <w:rPr>
          <w:rFonts w:asciiTheme="majorBidi" w:hAnsiTheme="majorBidi" w:cstheme="majorBidi"/>
          <w:sz w:val="24"/>
          <w:szCs w:val="24"/>
        </w:rPr>
        <w:t xml:space="preserve"> </w:t>
      </w:r>
      <w:r w:rsidR="00F313AD" w:rsidRPr="00357D66">
        <w:rPr>
          <w:rFonts w:asciiTheme="majorBidi" w:hAnsiTheme="majorBidi" w:cstheme="majorBidi"/>
          <w:sz w:val="24"/>
          <w:szCs w:val="24"/>
        </w:rPr>
        <w:t xml:space="preserve">Importantly, the linear regression results are consistent with those of the logistic regressions. The largest effects are for Treatment B in </w:t>
      </w:r>
      <w:r w:rsidR="00083C48" w:rsidRPr="00357D66">
        <w:rPr>
          <w:rFonts w:asciiTheme="majorBidi" w:hAnsiTheme="majorBidi" w:cstheme="majorBidi"/>
          <w:sz w:val="24"/>
          <w:szCs w:val="24"/>
        </w:rPr>
        <w:t>2014, and a substantial increase in the odds of passing the course (from the logistic regression models) is consistent with a substantial increase in final marks.</w:t>
      </w:r>
    </w:p>
    <w:p w14:paraId="03327495" w14:textId="77777777" w:rsidR="00BB0E1C" w:rsidRPr="00357D66" w:rsidRDefault="00BB0E1C" w:rsidP="00F50315">
      <w:pPr>
        <w:tabs>
          <w:tab w:val="left" w:pos="567"/>
        </w:tabs>
        <w:spacing w:after="0" w:line="288" w:lineRule="auto"/>
        <w:ind w:firstLine="720"/>
        <w:jc w:val="both"/>
        <w:rPr>
          <w:rFonts w:asciiTheme="majorBidi" w:hAnsiTheme="majorBidi" w:cstheme="majorBidi"/>
          <w:sz w:val="24"/>
          <w:szCs w:val="24"/>
        </w:rPr>
      </w:pPr>
    </w:p>
    <w:p w14:paraId="3D162EA8" w14:textId="102871E5" w:rsidR="0095102A" w:rsidRDefault="003B005D" w:rsidP="00F50315">
      <w:pPr>
        <w:pStyle w:val="Heading2"/>
        <w:tabs>
          <w:tab w:val="left" w:pos="567"/>
        </w:tabs>
        <w:spacing w:before="0" w:line="288" w:lineRule="auto"/>
        <w:jc w:val="both"/>
        <w:rPr>
          <w:sz w:val="24"/>
          <w:szCs w:val="24"/>
        </w:rPr>
      </w:pPr>
      <w:r w:rsidRPr="003B005D">
        <w:rPr>
          <w:sz w:val="24"/>
          <w:szCs w:val="24"/>
        </w:rPr>
        <w:t xml:space="preserve">6.  </w:t>
      </w:r>
      <w:r w:rsidR="0095102A" w:rsidRPr="003B005D">
        <w:rPr>
          <w:sz w:val="24"/>
          <w:szCs w:val="24"/>
        </w:rPr>
        <w:t>Discussion</w:t>
      </w:r>
    </w:p>
    <w:p w14:paraId="5993F6AC" w14:textId="77777777" w:rsidR="003B005D" w:rsidRPr="003B005D" w:rsidRDefault="003B005D" w:rsidP="00F50315">
      <w:pPr>
        <w:tabs>
          <w:tab w:val="left" w:pos="567"/>
        </w:tabs>
        <w:spacing w:after="0" w:line="288" w:lineRule="auto"/>
        <w:jc w:val="both"/>
        <w:rPr>
          <w:rFonts w:asciiTheme="majorBidi" w:hAnsiTheme="majorBidi" w:cstheme="majorBidi"/>
          <w:sz w:val="12"/>
          <w:szCs w:val="12"/>
        </w:rPr>
      </w:pPr>
    </w:p>
    <w:p w14:paraId="6C596862" w14:textId="272B8A50" w:rsidR="0095102A" w:rsidRDefault="0095102A" w:rsidP="00F50315">
      <w:pPr>
        <w:tabs>
          <w:tab w:val="left" w:pos="567"/>
        </w:tabs>
        <w:spacing w:after="0" w:line="288" w:lineRule="auto"/>
        <w:jc w:val="both"/>
        <w:rPr>
          <w:rFonts w:asciiTheme="majorBidi" w:hAnsiTheme="majorBidi" w:cstheme="majorBidi"/>
          <w:iCs/>
          <w:sz w:val="24"/>
          <w:szCs w:val="24"/>
        </w:rPr>
      </w:pPr>
      <w:r w:rsidRPr="00357D66">
        <w:rPr>
          <w:rFonts w:asciiTheme="majorBidi" w:hAnsiTheme="majorBidi" w:cstheme="majorBidi"/>
          <w:sz w:val="24"/>
          <w:szCs w:val="24"/>
        </w:rPr>
        <w:t xml:space="preserve">Interpreting the results from Tables 5 and 6 with respect to Equation (1), </w:t>
      </w:r>
      <w:r w:rsidRPr="00357D66">
        <w:rPr>
          <w:rFonts w:asciiTheme="majorBidi" w:hAnsiTheme="majorBidi" w:cstheme="majorBidi"/>
          <w:i/>
          <w:iCs/>
          <w:sz w:val="24"/>
          <w:szCs w:val="24"/>
        </w:rPr>
        <w:t>β</w:t>
      </w:r>
      <w:r w:rsidRPr="00357D66">
        <w:rPr>
          <w:rFonts w:asciiTheme="majorBidi" w:hAnsiTheme="majorBidi" w:cstheme="majorBidi"/>
          <w:i/>
          <w:iCs/>
          <w:sz w:val="24"/>
          <w:szCs w:val="24"/>
          <w:vertAlign w:val="subscript"/>
        </w:rPr>
        <w:t>2</w:t>
      </w:r>
      <w:r w:rsidRPr="00357D66">
        <w:rPr>
          <w:rFonts w:asciiTheme="majorBidi" w:hAnsiTheme="majorBidi" w:cstheme="majorBidi"/>
          <w:i/>
          <w:iCs/>
          <w:sz w:val="24"/>
          <w:szCs w:val="24"/>
        </w:rPr>
        <w:t xml:space="preserve"> </w:t>
      </w:r>
      <w:r w:rsidRPr="00357D66">
        <w:rPr>
          <w:rFonts w:asciiTheme="majorBidi" w:hAnsiTheme="majorBidi" w:cstheme="majorBidi"/>
          <w:iCs/>
          <w:sz w:val="24"/>
          <w:szCs w:val="24"/>
        </w:rPr>
        <w:t xml:space="preserve">and </w:t>
      </w:r>
      <w:r w:rsidRPr="00357D66">
        <w:rPr>
          <w:rFonts w:asciiTheme="majorBidi" w:hAnsiTheme="majorBidi" w:cstheme="majorBidi"/>
          <w:i/>
          <w:iCs/>
          <w:sz w:val="24"/>
          <w:szCs w:val="24"/>
        </w:rPr>
        <w:t>β</w:t>
      </w:r>
      <w:r w:rsidRPr="00357D66">
        <w:rPr>
          <w:rFonts w:asciiTheme="majorBidi" w:hAnsiTheme="majorBidi" w:cstheme="majorBidi"/>
          <w:i/>
          <w:iCs/>
          <w:sz w:val="24"/>
          <w:szCs w:val="24"/>
          <w:vertAlign w:val="subscript"/>
        </w:rPr>
        <w:t>3</w:t>
      </w:r>
      <w:r w:rsidRPr="00357D66">
        <w:rPr>
          <w:rFonts w:asciiTheme="majorBidi" w:hAnsiTheme="majorBidi" w:cstheme="majorBidi"/>
          <w:iCs/>
          <w:sz w:val="24"/>
          <w:szCs w:val="24"/>
        </w:rPr>
        <w:t xml:space="preserve"> (the effects of Treatment A and Treatment B, respectively, in 2013) are not statistically significant. Similarly, </w:t>
      </w:r>
      <w:r w:rsidRPr="00357D66">
        <w:rPr>
          <w:rFonts w:asciiTheme="majorBidi" w:hAnsiTheme="majorBidi" w:cstheme="majorBidi"/>
          <w:sz w:val="24"/>
          <w:szCs w:val="24"/>
        </w:rPr>
        <w:t>[</w:t>
      </w:r>
      <w:r w:rsidRPr="00357D66">
        <w:rPr>
          <w:rFonts w:asciiTheme="majorBidi" w:hAnsiTheme="majorBidi" w:cstheme="majorBidi"/>
          <w:i/>
          <w:iCs/>
          <w:sz w:val="24"/>
          <w:szCs w:val="24"/>
        </w:rPr>
        <w:t>β</w:t>
      </w:r>
      <w:r w:rsidRPr="00357D66">
        <w:rPr>
          <w:rFonts w:asciiTheme="majorBidi" w:hAnsiTheme="majorBidi" w:cstheme="majorBidi"/>
          <w:i/>
          <w:iCs/>
          <w:sz w:val="24"/>
          <w:szCs w:val="24"/>
          <w:vertAlign w:val="subscript"/>
        </w:rPr>
        <w:t>2</w:t>
      </w:r>
      <w:r w:rsidRPr="00357D66">
        <w:rPr>
          <w:rFonts w:asciiTheme="majorBidi" w:hAnsiTheme="majorBidi" w:cstheme="majorBidi"/>
          <w:sz w:val="24"/>
          <w:szCs w:val="24"/>
        </w:rPr>
        <w:t xml:space="preserve"> + </w:t>
      </w:r>
      <w:r w:rsidRPr="00357D66">
        <w:rPr>
          <w:rFonts w:asciiTheme="majorBidi" w:hAnsiTheme="majorBidi" w:cstheme="majorBidi"/>
          <w:i/>
          <w:iCs/>
          <w:sz w:val="24"/>
          <w:szCs w:val="24"/>
        </w:rPr>
        <w:t>β</w:t>
      </w:r>
      <w:r w:rsidRPr="00357D66">
        <w:rPr>
          <w:rFonts w:asciiTheme="majorBidi" w:hAnsiTheme="majorBidi" w:cstheme="majorBidi"/>
          <w:i/>
          <w:iCs/>
          <w:sz w:val="24"/>
          <w:szCs w:val="24"/>
          <w:vertAlign w:val="subscript"/>
        </w:rPr>
        <w:t>4</w:t>
      </w:r>
      <w:r w:rsidRPr="00357D66">
        <w:rPr>
          <w:rFonts w:asciiTheme="majorBidi" w:hAnsiTheme="majorBidi" w:cstheme="majorBidi"/>
          <w:sz w:val="24"/>
          <w:szCs w:val="24"/>
        </w:rPr>
        <w:t>] (the effect of Treatment A in 2014) is also not statistically significant. However, [</w:t>
      </w:r>
      <w:r w:rsidRPr="00357D66">
        <w:rPr>
          <w:rFonts w:asciiTheme="majorBidi" w:hAnsiTheme="majorBidi" w:cstheme="majorBidi"/>
          <w:i/>
          <w:iCs/>
          <w:sz w:val="24"/>
          <w:szCs w:val="24"/>
        </w:rPr>
        <w:t>β</w:t>
      </w:r>
      <w:r w:rsidRPr="00357D66">
        <w:rPr>
          <w:rFonts w:asciiTheme="majorBidi" w:hAnsiTheme="majorBidi" w:cstheme="majorBidi"/>
          <w:i/>
          <w:iCs/>
          <w:sz w:val="24"/>
          <w:szCs w:val="24"/>
          <w:vertAlign w:val="subscript"/>
        </w:rPr>
        <w:t>3</w:t>
      </w:r>
      <w:r w:rsidRPr="00357D66">
        <w:rPr>
          <w:rFonts w:asciiTheme="majorBidi" w:hAnsiTheme="majorBidi" w:cstheme="majorBidi"/>
          <w:sz w:val="24"/>
          <w:szCs w:val="24"/>
        </w:rPr>
        <w:t xml:space="preserve"> + </w:t>
      </w:r>
      <w:r w:rsidRPr="00357D66">
        <w:rPr>
          <w:rFonts w:asciiTheme="majorBidi" w:hAnsiTheme="majorBidi" w:cstheme="majorBidi"/>
          <w:i/>
          <w:iCs/>
          <w:sz w:val="24"/>
          <w:szCs w:val="24"/>
        </w:rPr>
        <w:t>β</w:t>
      </w:r>
      <w:r w:rsidRPr="00357D66">
        <w:rPr>
          <w:rFonts w:asciiTheme="majorBidi" w:hAnsiTheme="majorBidi" w:cstheme="majorBidi"/>
          <w:i/>
          <w:iCs/>
          <w:sz w:val="24"/>
          <w:szCs w:val="24"/>
          <w:vertAlign w:val="subscript"/>
        </w:rPr>
        <w:t>5</w:t>
      </w:r>
      <w:r w:rsidRPr="00357D66">
        <w:rPr>
          <w:rFonts w:asciiTheme="majorBidi" w:hAnsiTheme="majorBidi" w:cstheme="majorBidi"/>
          <w:sz w:val="24"/>
          <w:szCs w:val="24"/>
        </w:rPr>
        <w:t>] (the effect of Treatment B in 201</w:t>
      </w:r>
      <w:r w:rsidR="000B4828" w:rsidRPr="00357D66">
        <w:rPr>
          <w:rFonts w:asciiTheme="majorBidi" w:hAnsiTheme="majorBidi" w:cstheme="majorBidi"/>
          <w:sz w:val="24"/>
          <w:szCs w:val="24"/>
        </w:rPr>
        <w:t>4</w:t>
      </w:r>
      <w:r w:rsidRPr="00357D66">
        <w:rPr>
          <w:rFonts w:asciiTheme="majorBidi" w:hAnsiTheme="majorBidi" w:cstheme="majorBidi"/>
          <w:sz w:val="24"/>
          <w:szCs w:val="24"/>
        </w:rPr>
        <w:t xml:space="preserve">) is large, positive and statistically significant (in terms of its effect on students’ final marks, if not their odds of passing the course). This reveals that Treatment B significantly improved student outcomes in 2014. The coefficient </w:t>
      </w:r>
      <w:r w:rsidRPr="00357D66">
        <w:rPr>
          <w:rFonts w:asciiTheme="majorBidi" w:hAnsiTheme="majorBidi" w:cstheme="majorBidi"/>
          <w:i/>
          <w:iCs/>
          <w:sz w:val="24"/>
          <w:szCs w:val="24"/>
        </w:rPr>
        <w:t>β</w:t>
      </w:r>
      <w:r w:rsidRPr="00357D66">
        <w:rPr>
          <w:rFonts w:asciiTheme="majorBidi" w:hAnsiTheme="majorBidi" w:cstheme="majorBidi"/>
          <w:i/>
          <w:iCs/>
          <w:sz w:val="24"/>
          <w:szCs w:val="24"/>
          <w:vertAlign w:val="subscript"/>
        </w:rPr>
        <w:t>5</w:t>
      </w:r>
      <w:r w:rsidRPr="00357D66">
        <w:rPr>
          <w:rFonts w:asciiTheme="majorBidi" w:hAnsiTheme="majorBidi" w:cstheme="majorBidi"/>
          <w:iCs/>
          <w:sz w:val="24"/>
          <w:szCs w:val="24"/>
        </w:rPr>
        <w:t xml:space="preserve"> is statistically significant and positive, which suggests that the success of Treatment B in 2014, </w:t>
      </w:r>
      <w:r w:rsidR="00D269EE" w:rsidRPr="00357D66">
        <w:rPr>
          <w:rFonts w:asciiTheme="majorBidi" w:hAnsiTheme="majorBidi" w:cstheme="majorBidi"/>
          <w:iCs/>
          <w:sz w:val="24"/>
          <w:szCs w:val="24"/>
        </w:rPr>
        <w:t>and</w:t>
      </w:r>
      <w:r w:rsidRPr="00357D66">
        <w:rPr>
          <w:rFonts w:asciiTheme="majorBidi" w:hAnsiTheme="majorBidi" w:cstheme="majorBidi"/>
          <w:iCs/>
          <w:sz w:val="24"/>
          <w:szCs w:val="24"/>
        </w:rPr>
        <w:t xml:space="preserve"> not in 2013, arises when a senior student, rather than an academic staff member, contacts the at-risk students.</w:t>
      </w:r>
    </w:p>
    <w:p w14:paraId="41AF28E8" w14:textId="77777777" w:rsidR="00BB0E1C" w:rsidRPr="00357D66" w:rsidRDefault="00BB0E1C" w:rsidP="00F50315">
      <w:pPr>
        <w:tabs>
          <w:tab w:val="left" w:pos="567"/>
        </w:tabs>
        <w:spacing w:after="0" w:line="288" w:lineRule="auto"/>
        <w:jc w:val="both"/>
        <w:rPr>
          <w:rFonts w:asciiTheme="majorBidi" w:hAnsiTheme="majorBidi" w:cstheme="majorBidi"/>
          <w:iCs/>
          <w:sz w:val="24"/>
          <w:szCs w:val="24"/>
        </w:rPr>
      </w:pPr>
    </w:p>
    <w:p w14:paraId="48A85F4E" w14:textId="1C98E6EB" w:rsidR="0095102A" w:rsidRDefault="0095102A" w:rsidP="003B005D">
      <w:pPr>
        <w:tabs>
          <w:tab w:val="left" w:pos="567"/>
        </w:tabs>
        <w:spacing w:after="0" w:line="288" w:lineRule="auto"/>
        <w:ind w:firstLine="567"/>
        <w:jc w:val="both"/>
        <w:rPr>
          <w:rFonts w:asciiTheme="majorBidi" w:hAnsiTheme="majorBidi" w:cstheme="majorBidi"/>
          <w:iCs/>
          <w:sz w:val="24"/>
          <w:szCs w:val="24"/>
        </w:rPr>
      </w:pPr>
      <w:r w:rsidRPr="00357D66">
        <w:rPr>
          <w:rFonts w:asciiTheme="majorBidi" w:hAnsiTheme="majorBidi" w:cstheme="majorBidi"/>
          <w:iCs/>
          <w:sz w:val="24"/>
          <w:szCs w:val="24"/>
        </w:rPr>
        <w:t xml:space="preserve">This latter result is interesting. We had initially expected, based on the literature on student engagement and retention outlined in the introduction, that developing a relationship between the lecturer and the students was most important. Instead we found that the students have responded more positively to contact from a senior student. This may be because the senior student is better able to relate to the sense of alienation or culture shock that the </w:t>
      </w:r>
      <w:r w:rsidR="00F50315">
        <w:rPr>
          <w:rFonts w:asciiTheme="majorBidi" w:hAnsiTheme="majorBidi" w:cstheme="majorBidi"/>
          <w:iCs/>
          <w:sz w:val="24"/>
          <w:szCs w:val="24"/>
        </w:rPr>
        <w:t>'</w:t>
      </w:r>
      <w:r w:rsidR="0097753C" w:rsidRPr="00357D66">
        <w:rPr>
          <w:rFonts w:asciiTheme="majorBidi" w:hAnsiTheme="majorBidi" w:cstheme="majorBidi"/>
          <w:iCs/>
          <w:sz w:val="24"/>
          <w:szCs w:val="24"/>
        </w:rPr>
        <w:t>newer</w:t>
      </w:r>
      <w:r w:rsidR="00F50315">
        <w:rPr>
          <w:rFonts w:asciiTheme="majorBidi" w:hAnsiTheme="majorBidi" w:cstheme="majorBidi"/>
          <w:iCs/>
          <w:sz w:val="24"/>
          <w:szCs w:val="24"/>
        </w:rPr>
        <w:t>'</w:t>
      </w:r>
      <w:r w:rsidR="0097753C" w:rsidRPr="00357D66">
        <w:rPr>
          <w:rFonts w:asciiTheme="majorBidi" w:hAnsiTheme="majorBidi" w:cstheme="majorBidi"/>
          <w:iCs/>
          <w:sz w:val="24"/>
          <w:szCs w:val="24"/>
        </w:rPr>
        <w:t xml:space="preserve"> </w:t>
      </w:r>
      <w:r w:rsidRPr="00357D66">
        <w:rPr>
          <w:rFonts w:asciiTheme="majorBidi" w:hAnsiTheme="majorBidi" w:cstheme="majorBidi"/>
          <w:iCs/>
          <w:sz w:val="24"/>
          <w:szCs w:val="24"/>
        </w:rPr>
        <w:t xml:space="preserve">students are experiencing, having recently gone through a similar experience themselves. </w:t>
      </w:r>
      <w:r w:rsidR="00BE16BA" w:rsidRPr="00357D66">
        <w:rPr>
          <w:rFonts w:asciiTheme="majorBidi" w:hAnsiTheme="majorBidi" w:cstheme="majorBidi"/>
          <w:iCs/>
          <w:sz w:val="24"/>
          <w:szCs w:val="24"/>
        </w:rPr>
        <w:t xml:space="preserve">A senior student may have more relevant advice for new students, as they may be more aware of the intricacies of dealing with university support services than academic staff, </w:t>
      </w:r>
      <w:proofErr w:type="gramStart"/>
      <w:r w:rsidR="00BE16BA" w:rsidRPr="00357D66">
        <w:rPr>
          <w:rFonts w:asciiTheme="majorBidi" w:hAnsiTheme="majorBidi" w:cstheme="majorBidi"/>
          <w:iCs/>
          <w:sz w:val="24"/>
          <w:szCs w:val="24"/>
        </w:rPr>
        <w:t>who</w:t>
      </w:r>
      <w:proofErr w:type="gramEnd"/>
      <w:r w:rsidR="00BE16BA" w:rsidRPr="00357D66">
        <w:rPr>
          <w:rFonts w:asciiTheme="majorBidi" w:hAnsiTheme="majorBidi" w:cstheme="majorBidi"/>
          <w:iCs/>
          <w:sz w:val="24"/>
          <w:szCs w:val="24"/>
        </w:rPr>
        <w:t xml:space="preserve"> typically have no direct experience of these systems. Moreover, n</w:t>
      </w:r>
      <w:r w:rsidRPr="00357D66">
        <w:rPr>
          <w:rFonts w:asciiTheme="majorBidi" w:hAnsiTheme="majorBidi" w:cstheme="majorBidi"/>
          <w:iCs/>
          <w:sz w:val="24"/>
          <w:szCs w:val="24"/>
        </w:rPr>
        <w:t>ew students</w:t>
      </w:r>
      <w:r w:rsidR="00BE16BA" w:rsidRPr="00357D66">
        <w:rPr>
          <w:rFonts w:asciiTheme="majorBidi" w:hAnsiTheme="majorBidi" w:cstheme="majorBidi"/>
          <w:iCs/>
          <w:sz w:val="24"/>
          <w:szCs w:val="24"/>
        </w:rPr>
        <w:t xml:space="preserve"> who are feeling alienated by the university system</w:t>
      </w:r>
      <w:r w:rsidRPr="00357D66">
        <w:rPr>
          <w:rFonts w:asciiTheme="majorBidi" w:hAnsiTheme="majorBidi" w:cstheme="majorBidi"/>
          <w:iCs/>
          <w:sz w:val="24"/>
          <w:szCs w:val="24"/>
        </w:rPr>
        <w:t xml:space="preserve"> may be more accepting of advice from </w:t>
      </w:r>
      <w:r w:rsidR="00BE16BA" w:rsidRPr="00357D66">
        <w:rPr>
          <w:rFonts w:asciiTheme="majorBidi" w:hAnsiTheme="majorBidi" w:cstheme="majorBidi"/>
          <w:iCs/>
          <w:sz w:val="24"/>
          <w:szCs w:val="24"/>
        </w:rPr>
        <w:t>someone who has been in a similar position before, providing advice that might be perceived as being more authentic.</w:t>
      </w:r>
    </w:p>
    <w:p w14:paraId="435B45A2" w14:textId="6C1B0ADC" w:rsidR="00A72D48" w:rsidRDefault="00A72D48" w:rsidP="003B005D">
      <w:pPr>
        <w:tabs>
          <w:tab w:val="left" w:pos="567"/>
        </w:tabs>
        <w:spacing w:after="0" w:line="288" w:lineRule="auto"/>
        <w:ind w:firstLine="567"/>
        <w:jc w:val="both"/>
        <w:rPr>
          <w:rFonts w:asciiTheme="majorBidi" w:hAnsiTheme="majorBidi" w:cstheme="majorBidi"/>
          <w:sz w:val="24"/>
          <w:szCs w:val="24"/>
        </w:rPr>
      </w:pPr>
      <w:r w:rsidRPr="00357D66">
        <w:rPr>
          <w:rFonts w:asciiTheme="majorBidi" w:hAnsiTheme="majorBidi" w:cstheme="majorBidi"/>
          <w:sz w:val="24"/>
          <w:szCs w:val="24"/>
        </w:rPr>
        <w:lastRenderedPageBreak/>
        <w:t xml:space="preserve">Given the results in the previous </w:t>
      </w:r>
      <w:r w:rsidR="00BE16BA" w:rsidRPr="00357D66">
        <w:rPr>
          <w:rFonts w:asciiTheme="majorBidi" w:hAnsiTheme="majorBidi" w:cstheme="majorBidi"/>
          <w:sz w:val="24"/>
          <w:szCs w:val="24"/>
        </w:rPr>
        <w:t>section</w:t>
      </w:r>
      <w:r w:rsidRPr="00357D66">
        <w:rPr>
          <w:rFonts w:asciiTheme="majorBidi" w:hAnsiTheme="majorBidi" w:cstheme="majorBidi"/>
          <w:sz w:val="24"/>
          <w:szCs w:val="24"/>
        </w:rPr>
        <w:t xml:space="preserve">, it is reasonable to ask: </w:t>
      </w:r>
      <w:r w:rsidR="00F50315">
        <w:rPr>
          <w:rFonts w:asciiTheme="majorBidi" w:hAnsiTheme="majorBidi" w:cstheme="majorBidi"/>
          <w:sz w:val="24"/>
          <w:szCs w:val="24"/>
        </w:rPr>
        <w:t>'</w:t>
      </w:r>
      <w:r w:rsidRPr="00357D66">
        <w:rPr>
          <w:rFonts w:asciiTheme="majorBidi" w:hAnsiTheme="majorBidi" w:cstheme="majorBidi"/>
          <w:sz w:val="24"/>
          <w:szCs w:val="24"/>
        </w:rPr>
        <w:t>What would have been the effect if Treatment B had been made available to all at-risk students in 2014?</w:t>
      </w:r>
      <w:r w:rsidR="00F50315">
        <w:rPr>
          <w:rFonts w:asciiTheme="majorBidi" w:hAnsiTheme="majorBidi" w:cstheme="majorBidi"/>
          <w:sz w:val="24"/>
          <w:szCs w:val="24"/>
        </w:rPr>
        <w:t>'</w:t>
      </w:r>
      <w:r w:rsidRPr="00357D66">
        <w:rPr>
          <w:rFonts w:asciiTheme="majorBidi" w:hAnsiTheme="majorBidi" w:cstheme="majorBidi"/>
          <w:sz w:val="24"/>
          <w:szCs w:val="24"/>
        </w:rPr>
        <w:t xml:space="preserve"> To answer this question, we use the results from the linear regression (Column 3 in Table 6), and assume that all students in the control group receive the additional 16.1 percentage points in final marks</w:t>
      </w:r>
      <w:r w:rsidR="00D269EE" w:rsidRPr="00357D66">
        <w:rPr>
          <w:rFonts w:asciiTheme="majorBidi" w:hAnsiTheme="majorBidi" w:cstheme="majorBidi"/>
          <w:sz w:val="24"/>
          <w:szCs w:val="24"/>
        </w:rPr>
        <w:t xml:space="preserve"> (being the estimated effect of Treatment B, when compared with the control in 2014)</w:t>
      </w:r>
      <w:r w:rsidRPr="00357D66">
        <w:rPr>
          <w:rFonts w:asciiTheme="majorBidi" w:hAnsiTheme="majorBidi" w:cstheme="majorBidi"/>
          <w:sz w:val="24"/>
          <w:szCs w:val="24"/>
        </w:rPr>
        <w:t>, while the students in Treatment Group A receive an additional 4.8 percentage points (being the difference between the effect</w:t>
      </w:r>
      <w:r w:rsidR="00D269EE" w:rsidRPr="00357D66">
        <w:rPr>
          <w:rFonts w:asciiTheme="majorBidi" w:hAnsiTheme="majorBidi" w:cstheme="majorBidi"/>
          <w:sz w:val="24"/>
          <w:szCs w:val="24"/>
        </w:rPr>
        <w:t>s</w:t>
      </w:r>
      <w:r w:rsidRPr="00357D66">
        <w:rPr>
          <w:rFonts w:asciiTheme="majorBidi" w:hAnsiTheme="majorBidi" w:cstheme="majorBidi"/>
          <w:sz w:val="24"/>
          <w:szCs w:val="24"/>
        </w:rPr>
        <w:t xml:space="preserve"> of Treatment B and Treatment A in 2014). We compare this with the results that would have obtained assuming that all students were in the control group, which we estimate by reducing the percentage final mark of Treatment A students by 11.3 percentage points</w:t>
      </w:r>
      <w:r w:rsidR="00D269EE" w:rsidRPr="00357D66">
        <w:rPr>
          <w:rFonts w:asciiTheme="majorBidi" w:hAnsiTheme="majorBidi" w:cstheme="majorBidi"/>
          <w:sz w:val="24"/>
          <w:szCs w:val="24"/>
        </w:rPr>
        <w:t xml:space="preserve"> (the estimated effect of Treatment A in 2014)</w:t>
      </w:r>
      <w:r w:rsidRPr="00357D66">
        <w:rPr>
          <w:rFonts w:asciiTheme="majorBidi" w:hAnsiTheme="majorBidi" w:cstheme="majorBidi"/>
          <w:sz w:val="24"/>
          <w:szCs w:val="24"/>
        </w:rPr>
        <w:t>, and the percentage final mark of Treatment B students by 16.1 percentage points</w:t>
      </w:r>
      <w:r w:rsidR="00D269EE" w:rsidRPr="00357D66">
        <w:rPr>
          <w:rFonts w:asciiTheme="majorBidi" w:hAnsiTheme="majorBidi" w:cstheme="majorBidi"/>
          <w:sz w:val="24"/>
          <w:szCs w:val="24"/>
        </w:rPr>
        <w:t xml:space="preserve"> (the estimated effect of Treatment B in 2014)</w:t>
      </w:r>
      <w:r w:rsidRPr="00357D66">
        <w:rPr>
          <w:rFonts w:asciiTheme="majorBidi" w:hAnsiTheme="majorBidi" w:cstheme="majorBidi"/>
          <w:sz w:val="24"/>
          <w:szCs w:val="24"/>
        </w:rPr>
        <w:t xml:space="preserve">. This simple simulation demonstrates a substantial effect of Treatment B. </w:t>
      </w:r>
      <w:r w:rsidR="00D269EE" w:rsidRPr="00357D66">
        <w:rPr>
          <w:rFonts w:asciiTheme="majorBidi" w:hAnsiTheme="majorBidi" w:cstheme="majorBidi"/>
          <w:sz w:val="24"/>
          <w:szCs w:val="24"/>
        </w:rPr>
        <w:t>Without the full intervention</w:t>
      </w:r>
      <w:r w:rsidRPr="00357D66">
        <w:rPr>
          <w:rFonts w:asciiTheme="majorBidi" w:hAnsiTheme="majorBidi" w:cstheme="majorBidi"/>
          <w:sz w:val="24"/>
          <w:szCs w:val="24"/>
        </w:rPr>
        <w:t xml:space="preserve">, </w:t>
      </w:r>
      <w:r w:rsidR="00D269EE" w:rsidRPr="00357D66">
        <w:rPr>
          <w:rFonts w:asciiTheme="majorBidi" w:hAnsiTheme="majorBidi" w:cstheme="majorBidi"/>
          <w:sz w:val="24"/>
          <w:szCs w:val="24"/>
        </w:rPr>
        <w:t xml:space="preserve">we estimate that </w:t>
      </w:r>
      <w:r w:rsidRPr="00357D66">
        <w:rPr>
          <w:rFonts w:asciiTheme="majorBidi" w:hAnsiTheme="majorBidi" w:cstheme="majorBidi"/>
          <w:sz w:val="24"/>
          <w:szCs w:val="24"/>
        </w:rPr>
        <w:t>13 out of 45 students would fail the course, but with</w:t>
      </w:r>
      <w:r w:rsidR="00D269EE" w:rsidRPr="00357D66">
        <w:rPr>
          <w:rFonts w:asciiTheme="majorBidi" w:hAnsiTheme="majorBidi" w:cstheme="majorBidi"/>
          <w:sz w:val="24"/>
          <w:szCs w:val="24"/>
        </w:rPr>
        <w:t xml:space="preserve"> the full intervention</w:t>
      </w:r>
      <w:r w:rsidRPr="00357D66">
        <w:rPr>
          <w:rFonts w:asciiTheme="majorBidi" w:hAnsiTheme="majorBidi" w:cstheme="majorBidi"/>
          <w:sz w:val="24"/>
          <w:szCs w:val="24"/>
        </w:rPr>
        <w:t xml:space="preserve"> this more than doubles to 27 out of 45.</w:t>
      </w:r>
      <w:r w:rsidR="00D52FEF" w:rsidRPr="00357D66">
        <w:rPr>
          <w:rFonts w:asciiTheme="majorBidi" w:hAnsiTheme="majorBidi" w:cstheme="majorBidi"/>
          <w:sz w:val="24"/>
          <w:szCs w:val="24"/>
        </w:rPr>
        <w:t xml:space="preserve"> In other words, the intervention would increase pass rates by </w:t>
      </w:r>
      <w:r w:rsidR="00D269EE" w:rsidRPr="00357D66">
        <w:rPr>
          <w:rFonts w:asciiTheme="majorBidi" w:hAnsiTheme="majorBidi" w:cstheme="majorBidi"/>
          <w:sz w:val="24"/>
          <w:szCs w:val="24"/>
        </w:rPr>
        <w:t xml:space="preserve">around </w:t>
      </w:r>
      <w:r w:rsidR="00D52FEF" w:rsidRPr="00357D66">
        <w:rPr>
          <w:rFonts w:asciiTheme="majorBidi" w:hAnsiTheme="majorBidi" w:cstheme="majorBidi"/>
          <w:sz w:val="24"/>
          <w:szCs w:val="24"/>
        </w:rPr>
        <w:t>31 percentage points.</w:t>
      </w:r>
    </w:p>
    <w:p w14:paraId="494D6B83" w14:textId="77777777" w:rsidR="00BB0E1C" w:rsidRPr="00357D66" w:rsidRDefault="00BB0E1C" w:rsidP="00F50315">
      <w:pPr>
        <w:tabs>
          <w:tab w:val="left" w:pos="567"/>
        </w:tabs>
        <w:spacing w:after="0" w:line="288" w:lineRule="auto"/>
        <w:ind w:firstLine="720"/>
        <w:jc w:val="both"/>
        <w:rPr>
          <w:rFonts w:asciiTheme="majorBidi" w:hAnsiTheme="majorBidi" w:cstheme="majorBidi"/>
          <w:sz w:val="24"/>
          <w:szCs w:val="24"/>
        </w:rPr>
      </w:pPr>
    </w:p>
    <w:p w14:paraId="656D6C23" w14:textId="212E8043" w:rsidR="00A72D48" w:rsidRDefault="00A72D48" w:rsidP="003B005D">
      <w:pPr>
        <w:tabs>
          <w:tab w:val="left" w:pos="567"/>
        </w:tabs>
        <w:spacing w:after="0" w:line="288" w:lineRule="auto"/>
        <w:ind w:firstLine="567"/>
        <w:jc w:val="both"/>
        <w:rPr>
          <w:rFonts w:asciiTheme="majorBidi" w:hAnsiTheme="majorBidi" w:cstheme="majorBidi"/>
          <w:sz w:val="24"/>
          <w:szCs w:val="24"/>
        </w:rPr>
      </w:pPr>
      <w:r w:rsidRPr="00357D66">
        <w:rPr>
          <w:rFonts w:asciiTheme="majorBidi" w:hAnsiTheme="majorBidi" w:cstheme="majorBidi"/>
          <w:sz w:val="24"/>
          <w:szCs w:val="24"/>
        </w:rPr>
        <w:t xml:space="preserve">One final consideration is the cost-effectiveness of this intervention. </w:t>
      </w:r>
      <w:r w:rsidR="00D52FEF" w:rsidRPr="00357D66">
        <w:rPr>
          <w:rFonts w:asciiTheme="majorBidi" w:hAnsiTheme="majorBidi" w:cstheme="majorBidi"/>
          <w:sz w:val="24"/>
          <w:szCs w:val="24"/>
        </w:rPr>
        <w:t>The proactive pastoral care initiative we trialled (Treatment B) was very simple, involving a single email (which involves minimal cost), plus follow-up phone calls. Some students required multiple follow-up calls, but in total it took no more than 12 hours to contact and advise the 14 students in Treatment B. Considering the cost of a senior student (as used in 2014) at around NZ$25 per hour, the c</w:t>
      </w:r>
      <w:r w:rsidR="00D269EE" w:rsidRPr="00357D66">
        <w:rPr>
          <w:rFonts w:asciiTheme="majorBidi" w:hAnsiTheme="majorBidi" w:cstheme="majorBidi"/>
          <w:sz w:val="24"/>
          <w:szCs w:val="24"/>
        </w:rPr>
        <w:t>ost-</w:t>
      </w:r>
      <w:r w:rsidR="00D52FEF" w:rsidRPr="00357D66">
        <w:rPr>
          <w:rFonts w:asciiTheme="majorBidi" w:hAnsiTheme="majorBidi" w:cstheme="majorBidi"/>
          <w:sz w:val="24"/>
          <w:szCs w:val="24"/>
        </w:rPr>
        <w:t>per</w:t>
      </w:r>
      <w:r w:rsidR="00D269EE" w:rsidRPr="00357D66">
        <w:rPr>
          <w:rFonts w:asciiTheme="majorBidi" w:hAnsiTheme="majorBidi" w:cstheme="majorBidi"/>
          <w:sz w:val="24"/>
          <w:szCs w:val="24"/>
        </w:rPr>
        <w:t>-</w:t>
      </w:r>
      <w:r w:rsidR="00D52FEF" w:rsidRPr="00357D66">
        <w:rPr>
          <w:rFonts w:asciiTheme="majorBidi" w:hAnsiTheme="majorBidi" w:cstheme="majorBidi"/>
          <w:sz w:val="24"/>
          <w:szCs w:val="24"/>
        </w:rPr>
        <w:t>student</w:t>
      </w:r>
      <w:r w:rsidR="00D269EE" w:rsidRPr="00357D66">
        <w:rPr>
          <w:rFonts w:asciiTheme="majorBidi" w:hAnsiTheme="majorBidi" w:cstheme="majorBidi"/>
          <w:sz w:val="24"/>
          <w:szCs w:val="24"/>
        </w:rPr>
        <w:t>-contacted</w:t>
      </w:r>
      <w:r w:rsidR="00D52FEF" w:rsidRPr="00357D66">
        <w:rPr>
          <w:rFonts w:asciiTheme="majorBidi" w:hAnsiTheme="majorBidi" w:cstheme="majorBidi"/>
          <w:sz w:val="24"/>
          <w:szCs w:val="24"/>
        </w:rPr>
        <w:t xml:space="preserve"> </w:t>
      </w:r>
      <w:r w:rsidR="00D269EE" w:rsidRPr="00357D66">
        <w:rPr>
          <w:rFonts w:asciiTheme="majorBidi" w:hAnsiTheme="majorBidi" w:cstheme="majorBidi"/>
          <w:sz w:val="24"/>
          <w:szCs w:val="24"/>
        </w:rPr>
        <w:t xml:space="preserve">of the intervention </w:t>
      </w:r>
      <w:r w:rsidR="00D52FEF" w:rsidRPr="00357D66">
        <w:rPr>
          <w:rFonts w:asciiTheme="majorBidi" w:hAnsiTheme="majorBidi" w:cstheme="majorBidi"/>
          <w:sz w:val="24"/>
          <w:szCs w:val="24"/>
        </w:rPr>
        <w:t xml:space="preserve">was approximately NZ$21. </w:t>
      </w:r>
      <w:proofErr w:type="gramStart"/>
      <w:r w:rsidR="00D52FEF" w:rsidRPr="00357D66">
        <w:rPr>
          <w:rFonts w:asciiTheme="majorBidi" w:hAnsiTheme="majorBidi" w:cstheme="majorBidi"/>
          <w:sz w:val="24"/>
          <w:szCs w:val="24"/>
        </w:rPr>
        <w:t>If 31 percent of those treated pass rather than fail (as per the simulation in the previous paragraph), then the cost-per-failure-averted is about NZ$69.</w:t>
      </w:r>
      <w:proofErr w:type="gramEnd"/>
      <w:r w:rsidR="00D52FEF" w:rsidRPr="00357D66">
        <w:rPr>
          <w:rFonts w:asciiTheme="majorBidi" w:hAnsiTheme="majorBidi" w:cstheme="majorBidi"/>
          <w:sz w:val="24"/>
          <w:szCs w:val="24"/>
        </w:rPr>
        <w:t xml:space="preserve"> This seems like a reasonable cost for institutions looking to increase the pass rates in introductory courses. Of course, this cost would be greater if a lecturer is making the calls rather than a senior student, </w:t>
      </w:r>
      <w:r w:rsidR="00BE16BA" w:rsidRPr="00357D66">
        <w:rPr>
          <w:rFonts w:asciiTheme="majorBidi" w:hAnsiTheme="majorBidi" w:cstheme="majorBidi"/>
          <w:sz w:val="24"/>
          <w:szCs w:val="24"/>
        </w:rPr>
        <w:t>although</w:t>
      </w:r>
      <w:r w:rsidR="00D52FEF" w:rsidRPr="00357D66">
        <w:rPr>
          <w:rFonts w:asciiTheme="majorBidi" w:hAnsiTheme="majorBidi" w:cstheme="majorBidi"/>
          <w:sz w:val="24"/>
          <w:szCs w:val="24"/>
        </w:rPr>
        <w:t xml:space="preserve"> our results suggest that the</w:t>
      </w:r>
      <w:r w:rsidR="00BE16BA" w:rsidRPr="00357D66">
        <w:rPr>
          <w:rFonts w:asciiTheme="majorBidi" w:hAnsiTheme="majorBidi" w:cstheme="majorBidi"/>
          <w:sz w:val="24"/>
          <w:szCs w:val="24"/>
        </w:rPr>
        <w:t xml:space="preserve"> intervention works best</w:t>
      </w:r>
      <w:r w:rsidR="00D52FEF" w:rsidRPr="00357D66">
        <w:rPr>
          <w:rFonts w:asciiTheme="majorBidi" w:hAnsiTheme="majorBidi" w:cstheme="majorBidi"/>
          <w:sz w:val="24"/>
          <w:szCs w:val="24"/>
        </w:rPr>
        <w:t xml:space="preserve"> when a senior student is the one contacting students.</w:t>
      </w:r>
    </w:p>
    <w:p w14:paraId="3A225EA0" w14:textId="77777777" w:rsidR="00BB0E1C" w:rsidRPr="00357D66" w:rsidRDefault="00BB0E1C" w:rsidP="00F50315">
      <w:pPr>
        <w:tabs>
          <w:tab w:val="left" w:pos="567"/>
        </w:tabs>
        <w:spacing w:after="0" w:line="288" w:lineRule="auto"/>
        <w:ind w:firstLine="720"/>
        <w:jc w:val="both"/>
        <w:rPr>
          <w:rFonts w:asciiTheme="majorBidi" w:hAnsiTheme="majorBidi" w:cstheme="majorBidi"/>
          <w:sz w:val="24"/>
          <w:szCs w:val="24"/>
        </w:rPr>
      </w:pPr>
    </w:p>
    <w:p w14:paraId="00DD9324" w14:textId="77777777" w:rsidR="007821E7" w:rsidRDefault="00BE16BA" w:rsidP="003B005D">
      <w:pPr>
        <w:tabs>
          <w:tab w:val="left" w:pos="567"/>
        </w:tabs>
        <w:spacing w:after="0" w:line="288" w:lineRule="auto"/>
        <w:ind w:firstLine="567"/>
        <w:jc w:val="both"/>
        <w:rPr>
          <w:rFonts w:asciiTheme="majorBidi" w:hAnsiTheme="majorBidi" w:cstheme="majorBidi"/>
          <w:sz w:val="24"/>
          <w:szCs w:val="24"/>
        </w:rPr>
      </w:pPr>
      <w:r w:rsidRPr="00357D66">
        <w:rPr>
          <w:rFonts w:asciiTheme="majorBidi" w:hAnsiTheme="majorBidi" w:cstheme="majorBidi"/>
          <w:sz w:val="24"/>
          <w:szCs w:val="24"/>
        </w:rPr>
        <w:t>Based on the results of this trial, the potential gains from a wider roll-out are substantial. However, the results need to be considered in context. The intervention was trialled in a single first-year university course. Students who were in the treated group (Treatment B) benefited from significantly increased final marks in this course</w:t>
      </w:r>
      <w:r w:rsidR="00D269EE" w:rsidRPr="00357D66">
        <w:rPr>
          <w:rFonts w:asciiTheme="majorBidi" w:hAnsiTheme="majorBidi" w:cstheme="majorBidi"/>
          <w:sz w:val="24"/>
          <w:szCs w:val="24"/>
        </w:rPr>
        <w:t xml:space="preserve"> in 2014</w:t>
      </w:r>
      <w:r w:rsidRPr="00357D66">
        <w:rPr>
          <w:rFonts w:asciiTheme="majorBidi" w:hAnsiTheme="majorBidi" w:cstheme="majorBidi"/>
          <w:sz w:val="24"/>
          <w:szCs w:val="24"/>
        </w:rPr>
        <w:t>. However, we have not considered the effects this may have had on other courses. It is possible that students who feel more valued in the</w:t>
      </w:r>
      <w:r w:rsidR="00D269EE" w:rsidRPr="00357D66">
        <w:rPr>
          <w:rFonts w:asciiTheme="majorBidi" w:hAnsiTheme="majorBidi" w:cstheme="majorBidi"/>
          <w:sz w:val="24"/>
          <w:szCs w:val="24"/>
        </w:rPr>
        <w:t>ir</w:t>
      </w:r>
      <w:r w:rsidRPr="00357D66">
        <w:rPr>
          <w:rFonts w:asciiTheme="majorBidi" w:hAnsiTheme="majorBidi" w:cstheme="majorBidi"/>
          <w:sz w:val="24"/>
          <w:szCs w:val="24"/>
        </w:rPr>
        <w:t xml:space="preserve"> first-year economics course put more effort into that course. However, students face competing demands for their time</w:t>
      </w:r>
      <w:r w:rsidR="00D269EE" w:rsidRPr="00357D66">
        <w:rPr>
          <w:rFonts w:asciiTheme="majorBidi" w:hAnsiTheme="majorBidi" w:cstheme="majorBidi"/>
          <w:sz w:val="24"/>
          <w:szCs w:val="24"/>
        </w:rPr>
        <w:t xml:space="preserve"> that affect</w:t>
      </w:r>
      <w:r w:rsidR="00513C9B" w:rsidRPr="00357D66">
        <w:rPr>
          <w:rFonts w:asciiTheme="majorBidi" w:hAnsiTheme="majorBidi" w:cstheme="majorBidi"/>
          <w:sz w:val="24"/>
          <w:szCs w:val="24"/>
        </w:rPr>
        <w:t xml:space="preserve"> their motivation (Winn </w:t>
      </w:r>
      <w:proofErr w:type="gramStart"/>
      <w:r w:rsidR="00513C9B" w:rsidRPr="00357D66">
        <w:rPr>
          <w:rFonts w:asciiTheme="majorBidi" w:hAnsiTheme="majorBidi" w:cstheme="majorBidi"/>
          <w:sz w:val="24"/>
          <w:szCs w:val="24"/>
        </w:rPr>
        <w:t>2002)</w:t>
      </w:r>
      <w:r w:rsidRPr="00357D66">
        <w:rPr>
          <w:rFonts w:asciiTheme="majorBidi" w:hAnsiTheme="majorBidi" w:cstheme="majorBidi"/>
          <w:sz w:val="24"/>
          <w:szCs w:val="24"/>
        </w:rPr>
        <w:t>,</w:t>
      </w:r>
      <w:proofErr w:type="gramEnd"/>
      <w:r w:rsidRPr="00357D66">
        <w:rPr>
          <w:rFonts w:asciiTheme="majorBidi" w:hAnsiTheme="majorBidi" w:cstheme="majorBidi"/>
          <w:sz w:val="24"/>
          <w:szCs w:val="24"/>
        </w:rPr>
        <w:t xml:space="preserve"> and more effort on first-year economics may mean that these students put less effort into their other courses, for no net overall gain in their academic performance. </w:t>
      </w:r>
    </w:p>
    <w:p w14:paraId="12DAE435" w14:textId="77777777" w:rsidR="007821E7" w:rsidRDefault="007821E7" w:rsidP="003B005D">
      <w:pPr>
        <w:tabs>
          <w:tab w:val="left" w:pos="567"/>
        </w:tabs>
        <w:spacing w:after="0" w:line="288" w:lineRule="auto"/>
        <w:ind w:firstLine="567"/>
        <w:jc w:val="both"/>
        <w:rPr>
          <w:rFonts w:asciiTheme="majorBidi" w:hAnsiTheme="majorBidi" w:cstheme="majorBidi"/>
          <w:sz w:val="24"/>
          <w:szCs w:val="24"/>
        </w:rPr>
      </w:pPr>
    </w:p>
    <w:p w14:paraId="7627BC19" w14:textId="4F628D7D" w:rsidR="00D52FEF" w:rsidRDefault="00D269EE" w:rsidP="003B005D">
      <w:pPr>
        <w:tabs>
          <w:tab w:val="left" w:pos="567"/>
        </w:tabs>
        <w:spacing w:after="0" w:line="288" w:lineRule="auto"/>
        <w:ind w:firstLine="567"/>
        <w:jc w:val="both"/>
        <w:rPr>
          <w:rFonts w:asciiTheme="majorBidi" w:hAnsiTheme="majorBidi" w:cstheme="majorBidi"/>
          <w:sz w:val="24"/>
          <w:szCs w:val="24"/>
        </w:rPr>
      </w:pPr>
      <w:r w:rsidRPr="00357D66">
        <w:rPr>
          <w:rFonts w:asciiTheme="majorBidi" w:hAnsiTheme="majorBidi" w:cstheme="majorBidi"/>
          <w:sz w:val="24"/>
          <w:szCs w:val="24"/>
        </w:rPr>
        <w:t>Alternatively</w:t>
      </w:r>
      <w:r w:rsidR="00BE16BA" w:rsidRPr="00357D66">
        <w:rPr>
          <w:rFonts w:asciiTheme="majorBidi" w:hAnsiTheme="majorBidi" w:cstheme="majorBidi"/>
          <w:sz w:val="24"/>
          <w:szCs w:val="24"/>
        </w:rPr>
        <w:t xml:space="preserve">, making students feel valued might create a ‘halo effect’ for the whole institution, whereby students feel valued not just in the first-year economics course but in their degree programme as a whole, leading to more effort across all courses and improved </w:t>
      </w:r>
      <w:r w:rsidR="00BE16BA" w:rsidRPr="00357D66">
        <w:rPr>
          <w:rFonts w:asciiTheme="majorBidi" w:hAnsiTheme="majorBidi" w:cstheme="majorBidi"/>
          <w:sz w:val="24"/>
          <w:szCs w:val="24"/>
        </w:rPr>
        <w:lastRenderedPageBreak/>
        <w:t>academic performance as a result. We have not evaluated the</w:t>
      </w:r>
      <w:r w:rsidR="00A023E3" w:rsidRPr="00357D66">
        <w:rPr>
          <w:rFonts w:asciiTheme="majorBidi" w:hAnsiTheme="majorBidi" w:cstheme="majorBidi"/>
          <w:sz w:val="24"/>
          <w:szCs w:val="24"/>
        </w:rPr>
        <w:t xml:space="preserve">se </w:t>
      </w:r>
      <w:r w:rsidR="00BE16BA" w:rsidRPr="00357D66">
        <w:rPr>
          <w:rFonts w:asciiTheme="majorBidi" w:hAnsiTheme="majorBidi" w:cstheme="majorBidi"/>
          <w:sz w:val="24"/>
          <w:szCs w:val="24"/>
        </w:rPr>
        <w:t xml:space="preserve">impacts on students’ performance in other courses or their programme of study as a whole, and so we are unable to tease out which, if any, of these </w:t>
      </w:r>
      <w:r w:rsidR="00A023E3" w:rsidRPr="00357D66">
        <w:rPr>
          <w:rFonts w:asciiTheme="majorBidi" w:hAnsiTheme="majorBidi" w:cstheme="majorBidi"/>
          <w:sz w:val="24"/>
          <w:szCs w:val="24"/>
        </w:rPr>
        <w:t>negative or positive spill</w:t>
      </w:r>
      <w:r w:rsidRPr="00357D66">
        <w:rPr>
          <w:rFonts w:asciiTheme="majorBidi" w:hAnsiTheme="majorBidi" w:cstheme="majorBidi"/>
          <w:sz w:val="24"/>
          <w:szCs w:val="24"/>
        </w:rPr>
        <w:t>-</w:t>
      </w:r>
      <w:r w:rsidR="00A023E3" w:rsidRPr="00357D66">
        <w:rPr>
          <w:rFonts w:asciiTheme="majorBidi" w:hAnsiTheme="majorBidi" w:cstheme="majorBidi"/>
          <w:sz w:val="24"/>
          <w:szCs w:val="24"/>
        </w:rPr>
        <w:t xml:space="preserve">over effects </w:t>
      </w:r>
      <w:r w:rsidR="00BE16BA" w:rsidRPr="00357D66">
        <w:rPr>
          <w:rFonts w:asciiTheme="majorBidi" w:hAnsiTheme="majorBidi" w:cstheme="majorBidi"/>
          <w:sz w:val="24"/>
          <w:szCs w:val="24"/>
        </w:rPr>
        <w:t>is apparent.</w:t>
      </w:r>
      <w:r w:rsidR="00A023E3" w:rsidRPr="00357D66">
        <w:rPr>
          <w:rFonts w:asciiTheme="majorBidi" w:hAnsiTheme="majorBidi" w:cstheme="majorBidi"/>
          <w:sz w:val="24"/>
          <w:szCs w:val="24"/>
        </w:rPr>
        <w:t xml:space="preserve"> Further research should address this open question.</w:t>
      </w:r>
    </w:p>
    <w:p w14:paraId="5394F864" w14:textId="77777777" w:rsidR="00BB0E1C" w:rsidRPr="00357D66" w:rsidRDefault="00BB0E1C" w:rsidP="00F50315">
      <w:pPr>
        <w:tabs>
          <w:tab w:val="left" w:pos="567"/>
        </w:tabs>
        <w:spacing w:after="0" w:line="288" w:lineRule="auto"/>
        <w:ind w:firstLine="720"/>
        <w:jc w:val="both"/>
        <w:rPr>
          <w:rFonts w:asciiTheme="majorBidi" w:hAnsiTheme="majorBidi" w:cstheme="majorBidi"/>
          <w:sz w:val="24"/>
          <w:szCs w:val="24"/>
        </w:rPr>
      </w:pPr>
    </w:p>
    <w:p w14:paraId="2A5EDE4B" w14:textId="457B2147" w:rsidR="00BE16BA" w:rsidRDefault="00CE386F" w:rsidP="003B005D">
      <w:pPr>
        <w:tabs>
          <w:tab w:val="left" w:pos="567"/>
        </w:tabs>
        <w:spacing w:after="0" w:line="288" w:lineRule="auto"/>
        <w:ind w:firstLine="567"/>
        <w:jc w:val="both"/>
        <w:rPr>
          <w:rFonts w:asciiTheme="majorBidi" w:hAnsiTheme="majorBidi" w:cstheme="majorBidi"/>
          <w:sz w:val="24"/>
          <w:szCs w:val="24"/>
        </w:rPr>
      </w:pPr>
      <w:r w:rsidRPr="00357D66">
        <w:rPr>
          <w:rFonts w:asciiTheme="majorBidi" w:hAnsiTheme="majorBidi" w:cstheme="majorBidi"/>
          <w:sz w:val="24"/>
          <w:szCs w:val="24"/>
        </w:rPr>
        <w:t>Hand and Bryson (2008) argue that a wider institutional-level approach is needed to improve engagement for both students and staff. We concur. The cost of the initiative we implemented was small, which suggests that institution-wide rollout is achievable at relatively low-cost.</w:t>
      </w:r>
      <w:r w:rsidR="00EC4D02" w:rsidRPr="00357D66">
        <w:rPr>
          <w:rFonts w:asciiTheme="majorBidi" w:hAnsiTheme="majorBidi" w:cstheme="majorBidi"/>
          <w:sz w:val="24"/>
          <w:szCs w:val="24"/>
        </w:rPr>
        <w:t xml:space="preserve"> A further argument for rolling out the initiative institution-wide is that the sample size in t</w:t>
      </w:r>
      <w:r w:rsidR="0089530F" w:rsidRPr="00357D66">
        <w:rPr>
          <w:rFonts w:asciiTheme="majorBidi" w:hAnsiTheme="majorBidi" w:cstheme="majorBidi"/>
          <w:sz w:val="24"/>
          <w:szCs w:val="24"/>
        </w:rPr>
        <w:t>his trial was necessarily small, and so the evaluation lacked power to identify small impacts (such as the impact of Treatment A). A wider rollout would enable additional data to be collected and the initiative to be evaluated using a larger dataset, as well as testing for the cross-course effects discussed in the previous paragraph.</w:t>
      </w:r>
    </w:p>
    <w:p w14:paraId="1509ED1F" w14:textId="77777777" w:rsidR="00BB0E1C" w:rsidRPr="00357D66" w:rsidRDefault="00BB0E1C" w:rsidP="00F50315">
      <w:pPr>
        <w:tabs>
          <w:tab w:val="left" w:pos="567"/>
        </w:tabs>
        <w:spacing w:after="0" w:line="288" w:lineRule="auto"/>
        <w:ind w:firstLine="720"/>
        <w:jc w:val="both"/>
        <w:rPr>
          <w:rFonts w:asciiTheme="majorBidi" w:hAnsiTheme="majorBidi" w:cstheme="majorBidi"/>
          <w:sz w:val="24"/>
          <w:szCs w:val="24"/>
        </w:rPr>
      </w:pPr>
    </w:p>
    <w:p w14:paraId="30A1CF7A" w14:textId="1ACDFDC4" w:rsidR="0089530F" w:rsidRDefault="0089530F" w:rsidP="003B005D">
      <w:pPr>
        <w:tabs>
          <w:tab w:val="left" w:pos="567"/>
        </w:tabs>
        <w:spacing w:after="0" w:line="288" w:lineRule="auto"/>
        <w:ind w:firstLine="567"/>
        <w:jc w:val="both"/>
        <w:rPr>
          <w:rFonts w:asciiTheme="majorBidi" w:hAnsiTheme="majorBidi" w:cstheme="majorBidi"/>
          <w:sz w:val="24"/>
          <w:szCs w:val="24"/>
        </w:rPr>
      </w:pPr>
      <w:r w:rsidRPr="00357D66">
        <w:rPr>
          <w:rFonts w:asciiTheme="majorBidi" w:hAnsiTheme="majorBidi" w:cstheme="majorBidi"/>
          <w:sz w:val="24"/>
          <w:szCs w:val="24"/>
        </w:rPr>
        <w:t xml:space="preserve">One area of concern may be that students respond to the proactive pastoral care initiative </w:t>
      </w:r>
      <w:r w:rsidR="00D269EE" w:rsidRPr="00357D66">
        <w:rPr>
          <w:rFonts w:asciiTheme="majorBidi" w:hAnsiTheme="majorBidi" w:cstheme="majorBidi"/>
          <w:sz w:val="24"/>
          <w:szCs w:val="24"/>
        </w:rPr>
        <w:t>by</w:t>
      </w:r>
      <w:r w:rsidRPr="00357D66">
        <w:rPr>
          <w:rFonts w:asciiTheme="majorBidi" w:hAnsiTheme="majorBidi" w:cstheme="majorBidi"/>
          <w:sz w:val="24"/>
          <w:szCs w:val="24"/>
        </w:rPr>
        <w:t xml:space="preserve"> adopting surface strategies, rather than deep learning. </w:t>
      </w:r>
      <w:proofErr w:type="spellStart"/>
      <w:r w:rsidRPr="00357D66">
        <w:rPr>
          <w:rFonts w:asciiTheme="majorBidi" w:hAnsiTheme="majorBidi" w:cstheme="majorBidi"/>
          <w:sz w:val="24"/>
          <w:szCs w:val="24"/>
        </w:rPr>
        <w:t>Nystrand</w:t>
      </w:r>
      <w:proofErr w:type="spellEnd"/>
      <w:r w:rsidRPr="00357D66">
        <w:rPr>
          <w:rFonts w:asciiTheme="majorBidi" w:hAnsiTheme="majorBidi" w:cstheme="majorBidi"/>
          <w:sz w:val="24"/>
          <w:szCs w:val="24"/>
        </w:rPr>
        <w:t xml:space="preserve"> and </w:t>
      </w:r>
      <w:proofErr w:type="spellStart"/>
      <w:r w:rsidRPr="00357D66">
        <w:rPr>
          <w:rFonts w:asciiTheme="majorBidi" w:hAnsiTheme="majorBidi" w:cstheme="majorBidi"/>
          <w:sz w:val="24"/>
          <w:szCs w:val="24"/>
        </w:rPr>
        <w:t>Gamoran</w:t>
      </w:r>
      <w:proofErr w:type="spellEnd"/>
      <w:r w:rsidRPr="00357D66">
        <w:rPr>
          <w:rFonts w:asciiTheme="majorBidi" w:hAnsiTheme="majorBidi" w:cstheme="majorBidi"/>
          <w:sz w:val="24"/>
          <w:szCs w:val="24"/>
        </w:rPr>
        <w:t xml:space="preserve"> (1991) distinguish between procedural engagement, which is superficial and task-based, and substantive engagement, which is a more invested, deeper level of engagement. We argue that procedural engagement is probably better for the student, and certainly better for student retention, than no engagement at all</w:t>
      </w:r>
      <w:r w:rsidR="00D269EE" w:rsidRPr="00357D66">
        <w:rPr>
          <w:rFonts w:asciiTheme="majorBidi" w:hAnsiTheme="majorBidi" w:cstheme="majorBidi"/>
          <w:sz w:val="24"/>
          <w:szCs w:val="24"/>
        </w:rPr>
        <w:t>, which is the alternative for many of the students in this intervention</w:t>
      </w:r>
      <w:r w:rsidRPr="00357D66">
        <w:rPr>
          <w:rFonts w:asciiTheme="majorBidi" w:hAnsiTheme="majorBidi" w:cstheme="majorBidi"/>
          <w:sz w:val="24"/>
          <w:szCs w:val="24"/>
        </w:rPr>
        <w:t>. Students who are not at all engaged have little or no likelihood of moving to deeper learning as they progress through their studies, if they progress at all.</w:t>
      </w:r>
    </w:p>
    <w:p w14:paraId="38DA7B1B" w14:textId="77777777" w:rsidR="00BB0E1C" w:rsidRPr="00357D66" w:rsidRDefault="00BB0E1C" w:rsidP="00F50315">
      <w:pPr>
        <w:tabs>
          <w:tab w:val="left" w:pos="567"/>
        </w:tabs>
        <w:spacing w:after="0" w:line="288" w:lineRule="auto"/>
        <w:ind w:firstLine="720"/>
        <w:jc w:val="both"/>
        <w:rPr>
          <w:rFonts w:asciiTheme="majorBidi" w:hAnsiTheme="majorBidi" w:cstheme="majorBidi"/>
          <w:sz w:val="24"/>
          <w:szCs w:val="24"/>
        </w:rPr>
      </w:pPr>
    </w:p>
    <w:p w14:paraId="52C2579B" w14:textId="77777777" w:rsidR="007821E7" w:rsidRDefault="00D269EE" w:rsidP="003B005D">
      <w:pPr>
        <w:tabs>
          <w:tab w:val="left" w:pos="567"/>
        </w:tabs>
        <w:spacing w:after="0" w:line="288" w:lineRule="auto"/>
        <w:ind w:firstLine="567"/>
        <w:jc w:val="both"/>
        <w:rPr>
          <w:rFonts w:asciiTheme="majorBidi" w:hAnsiTheme="majorBidi" w:cstheme="majorBidi"/>
          <w:sz w:val="24"/>
          <w:szCs w:val="24"/>
        </w:rPr>
      </w:pPr>
      <w:r w:rsidRPr="00357D66">
        <w:rPr>
          <w:rFonts w:asciiTheme="majorBidi" w:hAnsiTheme="majorBidi" w:cstheme="majorBidi"/>
          <w:sz w:val="24"/>
          <w:szCs w:val="24"/>
        </w:rPr>
        <w:t>Finally, w</w:t>
      </w:r>
      <w:r w:rsidR="0089530F" w:rsidRPr="00357D66">
        <w:rPr>
          <w:rFonts w:asciiTheme="majorBidi" w:hAnsiTheme="majorBidi" w:cstheme="majorBidi"/>
          <w:sz w:val="24"/>
          <w:szCs w:val="24"/>
        </w:rPr>
        <w:t xml:space="preserve">e must note some further limitations to our study. First, our results are based on a single course undertaken at a single institution. They may not generalise to other contexts. Further evaluations of similar low-cost interventions should be undertaken to better understand the wider applicability of this approach. However, </w:t>
      </w:r>
      <w:proofErr w:type="spellStart"/>
      <w:r w:rsidR="0089530F" w:rsidRPr="00357D66">
        <w:rPr>
          <w:rFonts w:asciiTheme="majorBidi" w:hAnsiTheme="majorBidi" w:cstheme="majorBidi"/>
          <w:sz w:val="24"/>
          <w:szCs w:val="24"/>
        </w:rPr>
        <w:t>Kahu</w:t>
      </w:r>
      <w:proofErr w:type="spellEnd"/>
      <w:r w:rsidR="0089530F" w:rsidRPr="00357D66">
        <w:rPr>
          <w:rFonts w:asciiTheme="majorBidi" w:hAnsiTheme="majorBidi" w:cstheme="majorBidi"/>
          <w:sz w:val="24"/>
          <w:szCs w:val="24"/>
        </w:rPr>
        <w:t xml:space="preserve"> (2013) cautions against over-generalisation and highlights the need for student engagement research that focuses on single institutions and our paper contributes in that vein. </w:t>
      </w:r>
    </w:p>
    <w:p w14:paraId="32559B31" w14:textId="77777777" w:rsidR="007821E7" w:rsidRDefault="007821E7" w:rsidP="003B005D">
      <w:pPr>
        <w:tabs>
          <w:tab w:val="left" w:pos="567"/>
        </w:tabs>
        <w:spacing w:after="0" w:line="288" w:lineRule="auto"/>
        <w:ind w:firstLine="567"/>
        <w:jc w:val="both"/>
        <w:rPr>
          <w:rFonts w:asciiTheme="majorBidi" w:hAnsiTheme="majorBidi" w:cstheme="majorBidi"/>
          <w:sz w:val="24"/>
          <w:szCs w:val="24"/>
        </w:rPr>
      </w:pPr>
    </w:p>
    <w:p w14:paraId="192F66A4" w14:textId="77777777" w:rsidR="007821E7" w:rsidRDefault="0089530F" w:rsidP="003B005D">
      <w:pPr>
        <w:tabs>
          <w:tab w:val="left" w:pos="567"/>
        </w:tabs>
        <w:spacing w:after="0" w:line="288" w:lineRule="auto"/>
        <w:ind w:firstLine="567"/>
        <w:jc w:val="both"/>
        <w:rPr>
          <w:rFonts w:asciiTheme="majorBidi" w:hAnsiTheme="majorBidi" w:cstheme="majorBidi"/>
          <w:sz w:val="24"/>
          <w:szCs w:val="24"/>
        </w:rPr>
      </w:pPr>
      <w:r w:rsidRPr="00357D66">
        <w:rPr>
          <w:rFonts w:asciiTheme="majorBidi" w:hAnsiTheme="majorBidi" w:cstheme="majorBidi"/>
          <w:sz w:val="24"/>
          <w:szCs w:val="24"/>
        </w:rPr>
        <w:t>Second</w:t>
      </w:r>
      <w:r w:rsidR="007821E7">
        <w:rPr>
          <w:rFonts w:asciiTheme="majorBidi" w:hAnsiTheme="majorBidi" w:cstheme="majorBidi"/>
          <w:sz w:val="24"/>
          <w:szCs w:val="24"/>
        </w:rPr>
        <w:t>ly</w:t>
      </w:r>
      <w:r w:rsidRPr="00357D66">
        <w:rPr>
          <w:rFonts w:asciiTheme="majorBidi" w:hAnsiTheme="majorBidi" w:cstheme="majorBidi"/>
          <w:sz w:val="24"/>
          <w:szCs w:val="24"/>
        </w:rPr>
        <w:t xml:space="preserve">, the difference between an academic staff member and a senior student contacting the at-risk students was evaluated across two different semesters. As our evaluation was based on a stratified randomisation within semesters, we cannot control for any other differences between those semesters that might explain the differences we found. </w:t>
      </w:r>
    </w:p>
    <w:p w14:paraId="63041994" w14:textId="77777777" w:rsidR="007821E7" w:rsidRDefault="007821E7" w:rsidP="003B005D">
      <w:pPr>
        <w:tabs>
          <w:tab w:val="left" w:pos="567"/>
        </w:tabs>
        <w:spacing w:after="0" w:line="288" w:lineRule="auto"/>
        <w:ind w:firstLine="567"/>
        <w:jc w:val="both"/>
        <w:rPr>
          <w:rFonts w:asciiTheme="majorBidi" w:hAnsiTheme="majorBidi" w:cstheme="majorBidi"/>
          <w:sz w:val="24"/>
          <w:szCs w:val="24"/>
        </w:rPr>
      </w:pPr>
    </w:p>
    <w:p w14:paraId="676BB412" w14:textId="4A817220" w:rsidR="00144F25" w:rsidRDefault="00D269EE" w:rsidP="003B005D">
      <w:pPr>
        <w:tabs>
          <w:tab w:val="left" w:pos="567"/>
        </w:tabs>
        <w:spacing w:after="0" w:line="288" w:lineRule="auto"/>
        <w:ind w:firstLine="567"/>
        <w:jc w:val="both"/>
        <w:rPr>
          <w:rFonts w:asciiTheme="majorBidi" w:hAnsiTheme="majorBidi" w:cstheme="majorBidi"/>
          <w:sz w:val="24"/>
          <w:szCs w:val="24"/>
        </w:rPr>
      </w:pPr>
      <w:r w:rsidRPr="00357D66">
        <w:rPr>
          <w:rFonts w:asciiTheme="majorBidi" w:hAnsiTheme="majorBidi" w:cstheme="majorBidi"/>
          <w:sz w:val="24"/>
          <w:szCs w:val="24"/>
        </w:rPr>
        <w:t>Third</w:t>
      </w:r>
      <w:r w:rsidR="007821E7">
        <w:rPr>
          <w:rFonts w:asciiTheme="majorBidi" w:hAnsiTheme="majorBidi" w:cstheme="majorBidi"/>
          <w:sz w:val="24"/>
          <w:szCs w:val="24"/>
        </w:rPr>
        <w:t>ly</w:t>
      </w:r>
      <w:r w:rsidR="0089530F" w:rsidRPr="00357D66">
        <w:rPr>
          <w:rFonts w:asciiTheme="majorBidi" w:hAnsiTheme="majorBidi" w:cstheme="majorBidi"/>
          <w:sz w:val="24"/>
          <w:szCs w:val="24"/>
        </w:rPr>
        <w:t xml:space="preserve">, one could argue that our results represent </w:t>
      </w:r>
      <w:r w:rsidR="0089530F" w:rsidRPr="00FC7165">
        <w:rPr>
          <w:rFonts w:asciiTheme="majorBidi" w:hAnsiTheme="majorBidi" w:cstheme="majorBidi"/>
          <w:sz w:val="24"/>
          <w:szCs w:val="24"/>
        </w:rPr>
        <w:t>simply a</w:t>
      </w:r>
      <w:r w:rsidR="00B2177C" w:rsidRPr="00FC7165">
        <w:rPr>
          <w:rFonts w:asciiTheme="majorBidi" w:hAnsiTheme="majorBidi" w:cstheme="majorBidi"/>
          <w:sz w:val="24"/>
          <w:szCs w:val="24"/>
        </w:rPr>
        <w:t xml:space="preserve"> </w:t>
      </w:r>
      <w:r w:rsidR="00F50315">
        <w:rPr>
          <w:rFonts w:asciiTheme="majorBidi" w:hAnsiTheme="majorBidi" w:cstheme="majorBidi"/>
          <w:sz w:val="24"/>
          <w:szCs w:val="24"/>
        </w:rPr>
        <w:t>'</w:t>
      </w:r>
      <w:r w:rsidR="00B2177C" w:rsidRPr="00FC7165">
        <w:rPr>
          <w:rFonts w:asciiTheme="majorBidi" w:hAnsiTheme="majorBidi" w:cstheme="majorBidi"/>
          <w:sz w:val="24"/>
          <w:szCs w:val="24"/>
        </w:rPr>
        <w:t>Hawthorne effect</w:t>
      </w:r>
      <w:r w:rsidR="00F50315">
        <w:rPr>
          <w:rFonts w:asciiTheme="majorBidi" w:hAnsiTheme="majorBidi" w:cstheme="majorBidi"/>
          <w:sz w:val="24"/>
          <w:szCs w:val="24"/>
        </w:rPr>
        <w:t>'</w:t>
      </w:r>
      <w:r w:rsidR="00B2177C" w:rsidRPr="00FC7165">
        <w:rPr>
          <w:rFonts w:asciiTheme="majorBidi" w:hAnsiTheme="majorBidi" w:cstheme="majorBidi"/>
          <w:sz w:val="24"/>
          <w:szCs w:val="24"/>
        </w:rPr>
        <w:t xml:space="preserve"> </w:t>
      </w:r>
      <w:r w:rsidR="0089530F" w:rsidRPr="00FC7165">
        <w:rPr>
          <w:rFonts w:asciiTheme="majorBidi" w:hAnsiTheme="majorBidi" w:cstheme="majorBidi"/>
          <w:sz w:val="24"/>
          <w:szCs w:val="24"/>
        </w:rPr>
        <w:t>(</w:t>
      </w:r>
      <w:proofErr w:type="spellStart"/>
      <w:r w:rsidR="0089530F" w:rsidRPr="00FC7165">
        <w:rPr>
          <w:rFonts w:asciiTheme="majorBidi" w:hAnsiTheme="majorBidi" w:cstheme="majorBidi"/>
          <w:sz w:val="24"/>
          <w:szCs w:val="24"/>
        </w:rPr>
        <w:t>Lowis</w:t>
      </w:r>
      <w:proofErr w:type="spellEnd"/>
      <w:r w:rsidR="0089530F" w:rsidRPr="00FC7165">
        <w:rPr>
          <w:rFonts w:asciiTheme="majorBidi" w:hAnsiTheme="majorBidi" w:cstheme="majorBidi"/>
          <w:sz w:val="24"/>
          <w:szCs w:val="24"/>
        </w:rPr>
        <w:t xml:space="preserve"> </w:t>
      </w:r>
      <w:r w:rsidR="00F50315">
        <w:rPr>
          <w:rFonts w:asciiTheme="majorBidi" w:hAnsiTheme="majorBidi" w:cstheme="majorBidi"/>
          <w:sz w:val="24"/>
          <w:szCs w:val="24"/>
        </w:rPr>
        <w:t>and</w:t>
      </w:r>
      <w:r w:rsidR="000C28A8" w:rsidRPr="00FC7165">
        <w:rPr>
          <w:rFonts w:asciiTheme="majorBidi" w:hAnsiTheme="majorBidi" w:cstheme="majorBidi"/>
          <w:sz w:val="24"/>
          <w:szCs w:val="24"/>
        </w:rPr>
        <w:t xml:space="preserve"> </w:t>
      </w:r>
      <w:proofErr w:type="spellStart"/>
      <w:r w:rsidR="0089530F" w:rsidRPr="00FC7165">
        <w:rPr>
          <w:rFonts w:asciiTheme="majorBidi" w:hAnsiTheme="majorBidi" w:cstheme="majorBidi"/>
          <w:sz w:val="24"/>
          <w:szCs w:val="24"/>
        </w:rPr>
        <w:t>Castley</w:t>
      </w:r>
      <w:proofErr w:type="spellEnd"/>
      <w:r w:rsidR="0089530F" w:rsidRPr="00FC7165">
        <w:rPr>
          <w:rFonts w:asciiTheme="majorBidi" w:hAnsiTheme="majorBidi" w:cstheme="majorBidi"/>
          <w:sz w:val="24"/>
          <w:szCs w:val="24"/>
        </w:rPr>
        <w:t xml:space="preserve"> 2008)</w:t>
      </w:r>
      <w:r w:rsidR="00B2177C" w:rsidRPr="00FC7165">
        <w:rPr>
          <w:rFonts w:asciiTheme="majorBidi" w:hAnsiTheme="majorBidi" w:cstheme="majorBidi"/>
          <w:sz w:val="24"/>
          <w:szCs w:val="24"/>
        </w:rPr>
        <w:t>.</w:t>
      </w:r>
      <w:r w:rsidR="0089530F" w:rsidRPr="00FC7165">
        <w:rPr>
          <w:rFonts w:asciiTheme="majorBidi" w:hAnsiTheme="majorBidi" w:cstheme="majorBidi"/>
          <w:sz w:val="24"/>
          <w:szCs w:val="24"/>
        </w:rPr>
        <w:t xml:space="preserve"> However, this should not be a </w:t>
      </w:r>
      <w:r w:rsidR="0089530F" w:rsidRPr="00357D66">
        <w:rPr>
          <w:rFonts w:asciiTheme="majorBidi" w:hAnsiTheme="majorBidi" w:cstheme="majorBidi"/>
          <w:sz w:val="24"/>
          <w:szCs w:val="24"/>
        </w:rPr>
        <w:t xml:space="preserve">concern as the particular mechanism through which students respond is less relevant than the </w:t>
      </w:r>
      <w:r w:rsidRPr="00357D66">
        <w:rPr>
          <w:rFonts w:asciiTheme="majorBidi" w:hAnsiTheme="majorBidi" w:cstheme="majorBidi"/>
          <w:sz w:val="24"/>
          <w:szCs w:val="24"/>
        </w:rPr>
        <w:t xml:space="preserve">improvement in </w:t>
      </w:r>
      <w:r w:rsidR="0089530F" w:rsidRPr="00357D66">
        <w:rPr>
          <w:rFonts w:asciiTheme="majorBidi" w:hAnsiTheme="majorBidi" w:cstheme="majorBidi"/>
          <w:sz w:val="24"/>
          <w:szCs w:val="24"/>
        </w:rPr>
        <w:t>academic performance that results</w:t>
      </w:r>
      <w:r w:rsidRPr="00357D66">
        <w:rPr>
          <w:rFonts w:asciiTheme="majorBidi" w:hAnsiTheme="majorBidi" w:cstheme="majorBidi"/>
          <w:sz w:val="24"/>
          <w:szCs w:val="24"/>
        </w:rPr>
        <w:t xml:space="preserve"> from the intervention. This is the case</w:t>
      </w:r>
      <w:r w:rsidR="0089530F" w:rsidRPr="00357D66">
        <w:rPr>
          <w:rFonts w:asciiTheme="majorBidi" w:hAnsiTheme="majorBidi" w:cstheme="majorBidi"/>
          <w:sz w:val="24"/>
          <w:szCs w:val="24"/>
        </w:rPr>
        <w:t xml:space="preserve"> provided, as noted above, that overall academic performance is not detrimentally affected. </w:t>
      </w:r>
    </w:p>
    <w:p w14:paraId="30B1812B" w14:textId="77777777" w:rsidR="00BB0E1C" w:rsidRPr="00357D66" w:rsidRDefault="00BB0E1C" w:rsidP="00F50315">
      <w:pPr>
        <w:tabs>
          <w:tab w:val="left" w:pos="567"/>
        </w:tabs>
        <w:spacing w:after="0" w:line="288" w:lineRule="auto"/>
        <w:ind w:firstLine="720"/>
        <w:jc w:val="both"/>
        <w:rPr>
          <w:rFonts w:asciiTheme="majorBidi" w:hAnsiTheme="majorBidi" w:cstheme="majorBidi"/>
          <w:sz w:val="24"/>
          <w:szCs w:val="24"/>
        </w:rPr>
      </w:pPr>
    </w:p>
    <w:p w14:paraId="6E526785" w14:textId="52072CAA" w:rsidR="00A023E3" w:rsidRDefault="003B005D" w:rsidP="00F50315">
      <w:pPr>
        <w:pStyle w:val="Heading2"/>
        <w:tabs>
          <w:tab w:val="left" w:pos="567"/>
        </w:tabs>
        <w:spacing w:before="0" w:line="288" w:lineRule="auto"/>
        <w:jc w:val="both"/>
        <w:rPr>
          <w:sz w:val="24"/>
          <w:szCs w:val="24"/>
        </w:rPr>
      </w:pPr>
      <w:r w:rsidRPr="003B005D">
        <w:rPr>
          <w:sz w:val="24"/>
          <w:szCs w:val="24"/>
        </w:rPr>
        <w:lastRenderedPageBreak/>
        <w:t xml:space="preserve">7.  </w:t>
      </w:r>
      <w:r w:rsidR="00A023E3" w:rsidRPr="003B005D">
        <w:rPr>
          <w:sz w:val="24"/>
          <w:szCs w:val="24"/>
        </w:rPr>
        <w:t>Conclusion</w:t>
      </w:r>
      <w:r w:rsidRPr="003B005D">
        <w:rPr>
          <w:sz w:val="24"/>
          <w:szCs w:val="24"/>
        </w:rPr>
        <w:t>s</w:t>
      </w:r>
    </w:p>
    <w:p w14:paraId="127B3E33" w14:textId="77777777" w:rsidR="003B005D" w:rsidRPr="003B005D" w:rsidRDefault="003B005D" w:rsidP="00F50315">
      <w:pPr>
        <w:tabs>
          <w:tab w:val="left" w:pos="567"/>
        </w:tabs>
        <w:spacing w:after="0" w:line="288" w:lineRule="auto"/>
        <w:jc w:val="both"/>
        <w:rPr>
          <w:rFonts w:asciiTheme="majorBidi" w:hAnsiTheme="majorBidi" w:cstheme="majorBidi"/>
          <w:sz w:val="12"/>
          <w:szCs w:val="12"/>
        </w:rPr>
      </w:pPr>
    </w:p>
    <w:p w14:paraId="3D11C8D5" w14:textId="25E6E8D5" w:rsidR="00A023E3" w:rsidRPr="00357D66" w:rsidRDefault="00A023E3" w:rsidP="00F50315">
      <w:pPr>
        <w:tabs>
          <w:tab w:val="left" w:pos="567"/>
        </w:tabs>
        <w:spacing w:after="0" w:line="288" w:lineRule="auto"/>
        <w:jc w:val="both"/>
        <w:rPr>
          <w:rFonts w:asciiTheme="majorBidi" w:hAnsiTheme="majorBidi" w:cstheme="majorBidi"/>
          <w:sz w:val="24"/>
          <w:szCs w:val="24"/>
        </w:rPr>
      </w:pPr>
      <w:r w:rsidRPr="00357D66">
        <w:rPr>
          <w:rFonts w:asciiTheme="majorBidi" w:hAnsiTheme="majorBidi" w:cstheme="majorBidi"/>
          <w:sz w:val="24"/>
          <w:szCs w:val="24"/>
        </w:rPr>
        <w:t xml:space="preserve">In this paper we evaluated the impact of a proactive pastoral care initiative in a single first-year university course. The initiative involved a simple contact with students, making them feel welcome in the course and intending to increase student engagement. The initiative was a qualified success. When students are contacted both via email and personal telephone call, their final marks in the course are significantly higher. The initiative is simple and cost-effective, and should be rolled out across the </w:t>
      </w:r>
      <w:proofErr w:type="gramStart"/>
      <w:r w:rsidRPr="00357D66">
        <w:rPr>
          <w:rFonts w:asciiTheme="majorBidi" w:hAnsiTheme="majorBidi" w:cstheme="majorBidi"/>
          <w:sz w:val="24"/>
          <w:szCs w:val="24"/>
        </w:rPr>
        <w:t>institution,</w:t>
      </w:r>
      <w:proofErr w:type="gramEnd"/>
      <w:r w:rsidRPr="00357D66">
        <w:rPr>
          <w:rFonts w:asciiTheme="majorBidi" w:hAnsiTheme="majorBidi" w:cstheme="majorBidi"/>
          <w:sz w:val="24"/>
          <w:szCs w:val="24"/>
        </w:rPr>
        <w:t xml:space="preserve"> and trialled</w:t>
      </w:r>
      <w:r w:rsidR="00D269EE" w:rsidRPr="00357D66">
        <w:rPr>
          <w:rFonts w:asciiTheme="majorBidi" w:hAnsiTheme="majorBidi" w:cstheme="majorBidi"/>
          <w:sz w:val="24"/>
          <w:szCs w:val="24"/>
        </w:rPr>
        <w:t xml:space="preserve"> and evaluated</w:t>
      </w:r>
      <w:r w:rsidRPr="00357D66">
        <w:rPr>
          <w:rFonts w:asciiTheme="majorBidi" w:hAnsiTheme="majorBidi" w:cstheme="majorBidi"/>
          <w:sz w:val="24"/>
          <w:szCs w:val="24"/>
        </w:rPr>
        <w:t xml:space="preserve"> in other institutions as well.</w:t>
      </w:r>
    </w:p>
    <w:p w14:paraId="43E39497" w14:textId="77777777" w:rsidR="007E096D" w:rsidRDefault="007E096D" w:rsidP="00F50315">
      <w:pPr>
        <w:pStyle w:val="Caption"/>
        <w:keepNext/>
        <w:tabs>
          <w:tab w:val="left" w:pos="567"/>
        </w:tabs>
        <w:spacing w:after="0" w:line="288" w:lineRule="auto"/>
        <w:jc w:val="both"/>
        <w:rPr>
          <w:rFonts w:asciiTheme="majorBidi" w:hAnsiTheme="majorBidi" w:cstheme="majorBidi"/>
          <w:sz w:val="24"/>
          <w:szCs w:val="24"/>
        </w:rPr>
      </w:pPr>
    </w:p>
    <w:p w14:paraId="4FADE0A1" w14:textId="1EFBC158" w:rsidR="007821E7" w:rsidRPr="009A5650" w:rsidRDefault="007821E7" w:rsidP="009A5650">
      <w:pPr>
        <w:pStyle w:val="Heading2"/>
        <w:tabs>
          <w:tab w:val="left" w:pos="567"/>
        </w:tabs>
        <w:spacing w:before="0" w:line="288" w:lineRule="auto"/>
        <w:rPr>
          <w:sz w:val="24"/>
          <w:szCs w:val="24"/>
        </w:rPr>
      </w:pPr>
      <w:r w:rsidRPr="009A5650">
        <w:rPr>
          <w:sz w:val="24"/>
          <w:szCs w:val="24"/>
        </w:rPr>
        <w:t>Appendix</w:t>
      </w:r>
    </w:p>
    <w:p w14:paraId="72C23AFA" w14:textId="77777777" w:rsidR="009A5650" w:rsidRPr="009A5650" w:rsidRDefault="009A5650" w:rsidP="007821E7">
      <w:pPr>
        <w:tabs>
          <w:tab w:val="left" w:pos="567"/>
        </w:tabs>
        <w:spacing w:after="0" w:line="288" w:lineRule="auto"/>
        <w:jc w:val="both"/>
        <w:rPr>
          <w:rFonts w:asciiTheme="majorBidi" w:hAnsiTheme="majorBidi" w:cstheme="majorBidi"/>
          <w:sz w:val="12"/>
          <w:szCs w:val="12"/>
        </w:rPr>
      </w:pPr>
    </w:p>
    <w:p w14:paraId="01E8216F" w14:textId="77777777" w:rsidR="007821E7" w:rsidRPr="00E31F8F" w:rsidRDefault="007821E7" w:rsidP="00CE72A9">
      <w:pPr>
        <w:pBdr>
          <w:top w:val="single" w:sz="4" w:space="1" w:color="auto"/>
          <w:left w:val="single" w:sz="4" w:space="4" w:color="auto"/>
          <w:bottom w:val="single" w:sz="4" w:space="1" w:color="auto"/>
          <w:right w:val="single" w:sz="4" w:space="4" w:color="auto"/>
        </w:pBdr>
        <w:tabs>
          <w:tab w:val="left" w:pos="567"/>
        </w:tabs>
        <w:spacing w:after="0" w:line="288" w:lineRule="auto"/>
        <w:jc w:val="both"/>
        <w:rPr>
          <w:rFonts w:asciiTheme="majorBidi" w:hAnsiTheme="majorBidi" w:cstheme="majorBidi"/>
          <w:sz w:val="24"/>
          <w:szCs w:val="24"/>
        </w:rPr>
      </w:pPr>
      <w:r>
        <w:rPr>
          <w:rFonts w:asciiTheme="majorBidi" w:hAnsiTheme="majorBidi" w:cstheme="majorBidi"/>
          <w:sz w:val="24"/>
          <w:szCs w:val="24"/>
        </w:rPr>
        <w:t>Dear *****</w:t>
      </w:r>
    </w:p>
    <w:p w14:paraId="415752F3" w14:textId="77777777" w:rsidR="007821E7" w:rsidRPr="007821E7" w:rsidRDefault="007821E7" w:rsidP="00CE72A9">
      <w:pPr>
        <w:pBdr>
          <w:top w:val="single" w:sz="4" w:space="1" w:color="auto"/>
          <w:left w:val="single" w:sz="4" w:space="4" w:color="auto"/>
          <w:bottom w:val="single" w:sz="4" w:space="1" w:color="auto"/>
          <w:right w:val="single" w:sz="4" w:space="4" w:color="auto"/>
        </w:pBdr>
        <w:tabs>
          <w:tab w:val="left" w:pos="567"/>
        </w:tabs>
        <w:spacing w:after="0" w:line="288" w:lineRule="auto"/>
        <w:jc w:val="both"/>
        <w:rPr>
          <w:rFonts w:asciiTheme="majorBidi" w:hAnsiTheme="majorBidi" w:cstheme="majorBidi"/>
          <w:sz w:val="12"/>
          <w:szCs w:val="12"/>
        </w:rPr>
      </w:pPr>
    </w:p>
    <w:p w14:paraId="4E1613E3" w14:textId="77777777" w:rsidR="007821E7" w:rsidRDefault="007821E7" w:rsidP="00CE72A9">
      <w:pPr>
        <w:pBdr>
          <w:top w:val="single" w:sz="4" w:space="1" w:color="auto"/>
          <w:left w:val="single" w:sz="4" w:space="4" w:color="auto"/>
          <w:bottom w:val="single" w:sz="4" w:space="1" w:color="auto"/>
          <w:right w:val="single" w:sz="4" w:space="4" w:color="auto"/>
        </w:pBdr>
        <w:tabs>
          <w:tab w:val="left" w:pos="567"/>
        </w:tabs>
        <w:spacing w:after="0" w:line="288" w:lineRule="auto"/>
        <w:jc w:val="both"/>
        <w:rPr>
          <w:rFonts w:asciiTheme="majorBidi" w:hAnsiTheme="majorBidi" w:cstheme="majorBidi"/>
          <w:sz w:val="24"/>
          <w:szCs w:val="24"/>
        </w:rPr>
      </w:pPr>
      <w:r w:rsidRPr="00E31F8F">
        <w:rPr>
          <w:rFonts w:asciiTheme="majorBidi" w:hAnsiTheme="majorBidi" w:cstheme="majorBidi"/>
          <w:sz w:val="24"/>
          <w:szCs w:val="24"/>
        </w:rPr>
        <w:t>We have identified a number of students who are at high risk of not passing ECON100, and we are</w:t>
      </w:r>
      <w:r>
        <w:rPr>
          <w:rFonts w:asciiTheme="majorBidi" w:hAnsiTheme="majorBidi" w:cstheme="majorBidi"/>
          <w:sz w:val="24"/>
          <w:szCs w:val="24"/>
        </w:rPr>
        <w:t xml:space="preserve"> concerned about your progress.  </w:t>
      </w:r>
      <w:r w:rsidRPr="00E31F8F">
        <w:rPr>
          <w:rFonts w:asciiTheme="majorBidi" w:hAnsiTheme="majorBidi" w:cstheme="majorBidi"/>
          <w:sz w:val="24"/>
          <w:szCs w:val="24"/>
        </w:rPr>
        <w:t xml:space="preserve">Our records show that in the first four teaching weeks you have [**attended none of the three ECON100 tutorials. You have also completed just two of the </w:t>
      </w:r>
      <w:proofErr w:type="spellStart"/>
      <w:r w:rsidRPr="00E31F8F">
        <w:rPr>
          <w:rFonts w:asciiTheme="majorBidi" w:hAnsiTheme="majorBidi" w:cstheme="majorBidi"/>
          <w:sz w:val="24"/>
          <w:szCs w:val="24"/>
        </w:rPr>
        <w:t>Aplia</w:t>
      </w:r>
      <w:proofErr w:type="spellEnd"/>
      <w:r w:rsidRPr="00E31F8F">
        <w:rPr>
          <w:rFonts w:asciiTheme="majorBidi" w:hAnsiTheme="majorBidi" w:cstheme="majorBidi"/>
          <w:sz w:val="24"/>
          <w:szCs w:val="24"/>
        </w:rPr>
        <w:t xml:space="preserve"> online tests. You also missed the economic literacy test in the first week of the paper**]. </w:t>
      </w:r>
    </w:p>
    <w:p w14:paraId="4005D39E" w14:textId="77777777" w:rsidR="007821E7" w:rsidRPr="007821E7" w:rsidRDefault="007821E7" w:rsidP="00CE72A9">
      <w:pPr>
        <w:pBdr>
          <w:top w:val="single" w:sz="4" w:space="1" w:color="auto"/>
          <w:left w:val="single" w:sz="4" w:space="4" w:color="auto"/>
          <w:bottom w:val="single" w:sz="4" w:space="1" w:color="auto"/>
          <w:right w:val="single" w:sz="4" w:space="4" w:color="auto"/>
        </w:pBdr>
        <w:tabs>
          <w:tab w:val="left" w:pos="567"/>
        </w:tabs>
        <w:spacing w:after="0" w:line="288" w:lineRule="auto"/>
        <w:jc w:val="both"/>
        <w:rPr>
          <w:rFonts w:asciiTheme="majorBidi" w:hAnsiTheme="majorBidi" w:cstheme="majorBidi"/>
          <w:sz w:val="12"/>
          <w:szCs w:val="12"/>
        </w:rPr>
      </w:pPr>
    </w:p>
    <w:p w14:paraId="5EC20E3B" w14:textId="2E9D90C4" w:rsidR="007821E7" w:rsidRDefault="009A5650" w:rsidP="00CE72A9">
      <w:pPr>
        <w:pBdr>
          <w:top w:val="single" w:sz="4" w:space="1" w:color="auto"/>
          <w:left w:val="single" w:sz="4" w:space="4" w:color="auto"/>
          <w:bottom w:val="single" w:sz="4" w:space="1" w:color="auto"/>
          <w:right w:val="single" w:sz="4" w:space="4" w:color="auto"/>
        </w:pBdr>
        <w:tabs>
          <w:tab w:val="left" w:pos="426"/>
        </w:tabs>
        <w:spacing w:after="0" w:line="288" w:lineRule="auto"/>
        <w:jc w:val="both"/>
        <w:rPr>
          <w:rFonts w:asciiTheme="majorBidi" w:hAnsiTheme="majorBidi" w:cstheme="majorBidi"/>
          <w:sz w:val="24"/>
          <w:szCs w:val="24"/>
        </w:rPr>
      </w:pPr>
      <w:r>
        <w:rPr>
          <w:rFonts w:asciiTheme="majorBidi" w:hAnsiTheme="majorBidi" w:cstheme="majorBidi"/>
          <w:sz w:val="24"/>
          <w:szCs w:val="24"/>
        </w:rPr>
        <w:tab/>
      </w:r>
      <w:r w:rsidR="007821E7" w:rsidRPr="00E31F8F">
        <w:rPr>
          <w:rFonts w:asciiTheme="majorBidi" w:hAnsiTheme="majorBidi" w:cstheme="majorBidi"/>
          <w:sz w:val="24"/>
          <w:szCs w:val="24"/>
        </w:rPr>
        <w:t>If you are finding it difficult to keep up with the paper, there are several options for extra assistance:</w:t>
      </w:r>
      <w:r>
        <w:rPr>
          <w:rFonts w:asciiTheme="majorBidi" w:hAnsiTheme="majorBidi" w:cstheme="majorBidi"/>
          <w:sz w:val="24"/>
          <w:szCs w:val="24"/>
        </w:rPr>
        <w:t xml:space="preserve"> </w:t>
      </w:r>
      <w:r w:rsidR="007821E7" w:rsidRPr="00E31F8F">
        <w:rPr>
          <w:rFonts w:asciiTheme="majorBidi" w:hAnsiTheme="majorBidi" w:cstheme="majorBidi"/>
          <w:sz w:val="24"/>
          <w:szCs w:val="24"/>
        </w:rPr>
        <w:t xml:space="preserve">Student Learning Support (in the </w:t>
      </w:r>
      <w:proofErr w:type="gramStart"/>
      <w:r w:rsidR="007821E7" w:rsidRPr="00E31F8F">
        <w:rPr>
          <w:rFonts w:asciiTheme="majorBidi" w:hAnsiTheme="majorBidi" w:cstheme="majorBidi"/>
          <w:sz w:val="24"/>
          <w:szCs w:val="24"/>
        </w:rPr>
        <w:t>ITS</w:t>
      </w:r>
      <w:proofErr w:type="gramEnd"/>
      <w:r w:rsidR="007821E7" w:rsidRPr="00E31F8F">
        <w:rPr>
          <w:rFonts w:asciiTheme="majorBidi" w:hAnsiTheme="majorBidi" w:cstheme="majorBidi"/>
          <w:sz w:val="24"/>
          <w:szCs w:val="24"/>
        </w:rPr>
        <w:t xml:space="preserve"> building or email slsadmin@waikato.ac.nz) or the Management Student Centre (msc@mngt.waikato.ac.nz) can help you develop your time management and other study skills. If you are having particular problems with </w:t>
      </w:r>
      <w:proofErr w:type="spellStart"/>
      <w:r w:rsidR="007821E7" w:rsidRPr="00E31F8F">
        <w:rPr>
          <w:rFonts w:asciiTheme="majorBidi" w:hAnsiTheme="majorBidi" w:cstheme="majorBidi"/>
          <w:sz w:val="24"/>
          <w:szCs w:val="24"/>
        </w:rPr>
        <w:t>Aplia</w:t>
      </w:r>
      <w:proofErr w:type="spellEnd"/>
      <w:r w:rsidR="007821E7" w:rsidRPr="00E31F8F">
        <w:rPr>
          <w:rFonts w:asciiTheme="majorBidi" w:hAnsiTheme="majorBidi" w:cstheme="majorBidi"/>
          <w:sz w:val="24"/>
          <w:szCs w:val="24"/>
        </w:rPr>
        <w:t xml:space="preserve"> or the paper in general, you can meet with ***** or ***** during our office hours, or at any other time if you make an appointment.</w:t>
      </w:r>
      <w:r w:rsidR="007821E7">
        <w:rPr>
          <w:rFonts w:asciiTheme="majorBidi" w:hAnsiTheme="majorBidi" w:cstheme="majorBidi"/>
          <w:sz w:val="24"/>
          <w:szCs w:val="24"/>
        </w:rPr>
        <w:t xml:space="preserve"> </w:t>
      </w:r>
    </w:p>
    <w:p w14:paraId="55A8DCDA" w14:textId="77777777" w:rsidR="007821E7" w:rsidRPr="007821E7" w:rsidRDefault="007821E7" w:rsidP="00CE72A9">
      <w:pPr>
        <w:pBdr>
          <w:top w:val="single" w:sz="4" w:space="1" w:color="auto"/>
          <w:left w:val="single" w:sz="4" w:space="4" w:color="auto"/>
          <w:bottom w:val="single" w:sz="4" w:space="1" w:color="auto"/>
          <w:right w:val="single" w:sz="4" w:space="4" w:color="auto"/>
        </w:pBdr>
        <w:tabs>
          <w:tab w:val="left" w:pos="426"/>
        </w:tabs>
        <w:spacing w:after="0" w:line="288" w:lineRule="auto"/>
        <w:jc w:val="both"/>
        <w:rPr>
          <w:rFonts w:asciiTheme="majorBidi" w:hAnsiTheme="majorBidi" w:cstheme="majorBidi"/>
          <w:sz w:val="12"/>
          <w:szCs w:val="12"/>
        </w:rPr>
      </w:pPr>
    </w:p>
    <w:p w14:paraId="4A2D74DB" w14:textId="72A3F794" w:rsidR="007821E7" w:rsidRDefault="009A5650" w:rsidP="00CE72A9">
      <w:pPr>
        <w:pBdr>
          <w:top w:val="single" w:sz="4" w:space="1" w:color="auto"/>
          <w:left w:val="single" w:sz="4" w:space="4" w:color="auto"/>
          <w:bottom w:val="single" w:sz="4" w:space="1" w:color="auto"/>
          <w:right w:val="single" w:sz="4" w:space="4" w:color="auto"/>
        </w:pBdr>
        <w:tabs>
          <w:tab w:val="left" w:pos="426"/>
        </w:tabs>
        <w:spacing w:after="0" w:line="288" w:lineRule="auto"/>
        <w:jc w:val="both"/>
        <w:rPr>
          <w:rFonts w:asciiTheme="majorBidi" w:hAnsiTheme="majorBidi" w:cstheme="majorBidi"/>
          <w:sz w:val="24"/>
          <w:szCs w:val="24"/>
        </w:rPr>
      </w:pPr>
      <w:r>
        <w:rPr>
          <w:rFonts w:asciiTheme="majorBidi" w:hAnsiTheme="majorBidi" w:cstheme="majorBidi"/>
          <w:sz w:val="24"/>
          <w:szCs w:val="24"/>
        </w:rPr>
        <w:tab/>
      </w:r>
      <w:r w:rsidR="007821E7" w:rsidRPr="00E31F8F">
        <w:rPr>
          <w:rFonts w:asciiTheme="majorBidi" w:hAnsiTheme="majorBidi" w:cstheme="majorBidi"/>
          <w:sz w:val="24"/>
          <w:szCs w:val="24"/>
        </w:rPr>
        <w:t>We strongly recommend that you attend all your tutorials. Tutorial questions are mostly made up of past test and exam questions, and we often ask similar questions in those assessments. Tutorials also provide you with an opportunity to ask questions and receive guidance about the paper material from an experienced tutor.</w:t>
      </w:r>
    </w:p>
    <w:p w14:paraId="4CE8D158" w14:textId="77777777" w:rsidR="007821E7" w:rsidRPr="007821E7" w:rsidRDefault="007821E7" w:rsidP="00CE72A9">
      <w:pPr>
        <w:pBdr>
          <w:top w:val="single" w:sz="4" w:space="1" w:color="auto"/>
          <w:left w:val="single" w:sz="4" w:space="4" w:color="auto"/>
          <w:bottom w:val="single" w:sz="4" w:space="1" w:color="auto"/>
          <w:right w:val="single" w:sz="4" w:space="4" w:color="auto"/>
        </w:pBdr>
        <w:tabs>
          <w:tab w:val="left" w:pos="426"/>
        </w:tabs>
        <w:spacing w:after="0" w:line="288" w:lineRule="auto"/>
        <w:jc w:val="both"/>
        <w:rPr>
          <w:rFonts w:asciiTheme="majorBidi" w:hAnsiTheme="majorBidi" w:cstheme="majorBidi"/>
          <w:sz w:val="12"/>
          <w:szCs w:val="12"/>
        </w:rPr>
      </w:pPr>
      <w:bookmarkStart w:id="16" w:name="_GoBack"/>
      <w:bookmarkEnd w:id="16"/>
    </w:p>
    <w:p w14:paraId="1AB40A5E" w14:textId="0365C785" w:rsidR="007821E7" w:rsidRDefault="009A5650" w:rsidP="00CE72A9">
      <w:pPr>
        <w:pBdr>
          <w:top w:val="single" w:sz="4" w:space="1" w:color="auto"/>
          <w:left w:val="single" w:sz="4" w:space="4" w:color="auto"/>
          <w:bottom w:val="single" w:sz="4" w:space="1" w:color="auto"/>
          <w:right w:val="single" w:sz="4" w:space="4" w:color="auto"/>
        </w:pBdr>
        <w:tabs>
          <w:tab w:val="left" w:pos="426"/>
        </w:tabs>
        <w:spacing w:after="0" w:line="288" w:lineRule="auto"/>
        <w:jc w:val="both"/>
        <w:rPr>
          <w:rFonts w:asciiTheme="majorBidi" w:hAnsiTheme="majorBidi" w:cstheme="majorBidi"/>
          <w:sz w:val="24"/>
          <w:szCs w:val="24"/>
        </w:rPr>
      </w:pPr>
      <w:r>
        <w:rPr>
          <w:rFonts w:asciiTheme="majorBidi" w:hAnsiTheme="majorBidi" w:cstheme="majorBidi"/>
          <w:sz w:val="24"/>
          <w:szCs w:val="24"/>
        </w:rPr>
        <w:tab/>
      </w:r>
      <w:r w:rsidR="007821E7" w:rsidRPr="00E31F8F">
        <w:rPr>
          <w:rFonts w:asciiTheme="majorBidi" w:hAnsiTheme="majorBidi" w:cstheme="majorBidi"/>
          <w:sz w:val="24"/>
          <w:szCs w:val="24"/>
        </w:rPr>
        <w:t>Tutorial attendance is strongly linked to pass rates. While over 90% of students who attend 8 or more tutorials during the semester pass the paper, around 50% of students who attend 7 or fewer tutorials pass. Passing ECON100 is not only important for your degree programme, but as the university is more strictly enforcing the re-entry criteria it is important to pass your papers to avoid being denied re-entry next year.</w:t>
      </w:r>
    </w:p>
    <w:p w14:paraId="07FE731F" w14:textId="77777777" w:rsidR="007821E7" w:rsidRPr="007821E7" w:rsidRDefault="007821E7" w:rsidP="00CE72A9">
      <w:pPr>
        <w:pBdr>
          <w:top w:val="single" w:sz="4" w:space="1" w:color="auto"/>
          <w:left w:val="single" w:sz="4" w:space="4" w:color="auto"/>
          <w:bottom w:val="single" w:sz="4" w:space="1" w:color="auto"/>
          <w:right w:val="single" w:sz="4" w:space="4" w:color="auto"/>
        </w:pBdr>
        <w:tabs>
          <w:tab w:val="left" w:pos="426"/>
        </w:tabs>
        <w:spacing w:after="0" w:line="288" w:lineRule="auto"/>
        <w:jc w:val="both"/>
        <w:rPr>
          <w:rFonts w:asciiTheme="majorBidi" w:hAnsiTheme="majorBidi" w:cstheme="majorBidi"/>
          <w:sz w:val="12"/>
          <w:szCs w:val="12"/>
        </w:rPr>
      </w:pPr>
    </w:p>
    <w:p w14:paraId="40E9AA01" w14:textId="5EC9EBBE" w:rsidR="007821E7" w:rsidRPr="00E31F8F" w:rsidRDefault="009A5650" w:rsidP="00CE72A9">
      <w:pPr>
        <w:pBdr>
          <w:top w:val="single" w:sz="4" w:space="1" w:color="auto"/>
          <w:left w:val="single" w:sz="4" w:space="4" w:color="auto"/>
          <w:bottom w:val="single" w:sz="4" w:space="1" w:color="auto"/>
          <w:right w:val="single" w:sz="4" w:space="4" w:color="auto"/>
        </w:pBdr>
        <w:tabs>
          <w:tab w:val="left" w:pos="426"/>
        </w:tabs>
        <w:spacing w:after="0" w:line="288" w:lineRule="auto"/>
        <w:jc w:val="both"/>
        <w:rPr>
          <w:rFonts w:asciiTheme="majorBidi" w:hAnsiTheme="majorBidi" w:cstheme="majorBidi"/>
          <w:sz w:val="24"/>
          <w:szCs w:val="24"/>
        </w:rPr>
      </w:pPr>
      <w:r>
        <w:rPr>
          <w:rFonts w:asciiTheme="majorBidi" w:hAnsiTheme="majorBidi" w:cstheme="majorBidi"/>
          <w:sz w:val="24"/>
          <w:szCs w:val="24"/>
        </w:rPr>
        <w:tab/>
      </w:r>
      <w:r w:rsidR="007821E7" w:rsidRPr="00E31F8F">
        <w:rPr>
          <w:rFonts w:asciiTheme="majorBidi" w:hAnsiTheme="majorBidi" w:cstheme="majorBidi"/>
          <w:sz w:val="24"/>
          <w:szCs w:val="24"/>
        </w:rPr>
        <w:t>If the tutorial time no longer suits your timetable, please come and see me about it and we can try to find an alternative for you.</w:t>
      </w:r>
      <w:r>
        <w:rPr>
          <w:rFonts w:asciiTheme="majorBidi" w:hAnsiTheme="majorBidi" w:cstheme="majorBidi"/>
          <w:sz w:val="24"/>
          <w:szCs w:val="24"/>
        </w:rPr>
        <w:t xml:space="preserve">  </w:t>
      </w:r>
      <w:r w:rsidR="007821E7" w:rsidRPr="00E31F8F">
        <w:rPr>
          <w:rFonts w:asciiTheme="majorBidi" w:hAnsiTheme="majorBidi" w:cstheme="majorBidi"/>
          <w:sz w:val="24"/>
          <w:szCs w:val="24"/>
        </w:rPr>
        <w:t>Finally, please remember that you have a test next week, and you will need to spend extra time to prepare for it.</w:t>
      </w:r>
    </w:p>
    <w:p w14:paraId="5F2BAD39" w14:textId="77777777" w:rsidR="007821E7" w:rsidRPr="007821E7" w:rsidRDefault="007821E7" w:rsidP="00CE72A9">
      <w:pPr>
        <w:pBdr>
          <w:top w:val="single" w:sz="4" w:space="1" w:color="auto"/>
          <w:left w:val="single" w:sz="4" w:space="4" w:color="auto"/>
          <w:bottom w:val="single" w:sz="4" w:space="1" w:color="auto"/>
          <w:right w:val="single" w:sz="4" w:space="4" w:color="auto"/>
        </w:pBdr>
        <w:tabs>
          <w:tab w:val="left" w:pos="567"/>
        </w:tabs>
        <w:spacing w:after="0" w:line="288" w:lineRule="auto"/>
        <w:jc w:val="both"/>
        <w:rPr>
          <w:rFonts w:asciiTheme="majorBidi" w:hAnsiTheme="majorBidi" w:cstheme="majorBidi"/>
          <w:sz w:val="12"/>
          <w:szCs w:val="12"/>
        </w:rPr>
      </w:pPr>
    </w:p>
    <w:p w14:paraId="29A13AC7" w14:textId="64F2BDC7" w:rsidR="007821E7" w:rsidRPr="00E31F8F" w:rsidRDefault="009A5650" w:rsidP="00CE72A9">
      <w:pPr>
        <w:pBdr>
          <w:top w:val="single" w:sz="4" w:space="1" w:color="auto"/>
          <w:left w:val="single" w:sz="4" w:space="4" w:color="auto"/>
          <w:bottom w:val="single" w:sz="4" w:space="1" w:color="auto"/>
          <w:right w:val="single" w:sz="4" w:space="4" w:color="auto"/>
        </w:pBdr>
        <w:tabs>
          <w:tab w:val="left" w:pos="567"/>
        </w:tabs>
        <w:spacing w:after="0" w:line="288" w:lineRule="auto"/>
        <w:jc w:val="both"/>
        <w:rPr>
          <w:rFonts w:asciiTheme="majorBidi" w:hAnsiTheme="majorBidi" w:cstheme="majorBidi"/>
          <w:sz w:val="24"/>
          <w:szCs w:val="24"/>
        </w:rPr>
      </w:pPr>
      <w:r>
        <w:rPr>
          <w:rFonts w:asciiTheme="majorBidi" w:hAnsiTheme="majorBidi" w:cstheme="majorBidi"/>
          <w:sz w:val="24"/>
          <w:szCs w:val="24"/>
        </w:rPr>
        <w:t>Kind regards</w:t>
      </w:r>
    </w:p>
    <w:p w14:paraId="29589A51" w14:textId="77777777" w:rsidR="007821E7" w:rsidRPr="00E31F8F" w:rsidRDefault="007821E7" w:rsidP="00CE72A9">
      <w:pPr>
        <w:pBdr>
          <w:top w:val="single" w:sz="4" w:space="1" w:color="auto"/>
          <w:left w:val="single" w:sz="4" w:space="4" w:color="auto"/>
          <w:bottom w:val="single" w:sz="4" w:space="1" w:color="auto"/>
          <w:right w:val="single" w:sz="4" w:space="4" w:color="auto"/>
        </w:pBdr>
        <w:tabs>
          <w:tab w:val="left" w:pos="567"/>
        </w:tabs>
        <w:spacing w:after="0" w:line="288" w:lineRule="auto"/>
        <w:jc w:val="both"/>
        <w:rPr>
          <w:rFonts w:asciiTheme="majorBidi" w:hAnsiTheme="majorBidi" w:cstheme="majorBidi"/>
          <w:sz w:val="24"/>
          <w:szCs w:val="24"/>
        </w:rPr>
      </w:pPr>
      <w:r w:rsidRPr="00E31F8F">
        <w:rPr>
          <w:rFonts w:asciiTheme="majorBidi" w:hAnsiTheme="majorBidi" w:cstheme="majorBidi"/>
          <w:sz w:val="24"/>
          <w:szCs w:val="24"/>
        </w:rPr>
        <w:t xml:space="preserve">***** </w:t>
      </w:r>
      <w:proofErr w:type="gramStart"/>
      <w:r w:rsidRPr="00E31F8F">
        <w:rPr>
          <w:rFonts w:asciiTheme="majorBidi" w:hAnsiTheme="majorBidi" w:cstheme="majorBidi"/>
          <w:sz w:val="24"/>
          <w:szCs w:val="24"/>
        </w:rPr>
        <w:t>and</w:t>
      </w:r>
      <w:proofErr w:type="gramEnd"/>
      <w:r w:rsidRPr="00E31F8F">
        <w:rPr>
          <w:rFonts w:asciiTheme="majorBidi" w:hAnsiTheme="majorBidi" w:cstheme="majorBidi"/>
          <w:sz w:val="24"/>
          <w:szCs w:val="24"/>
        </w:rPr>
        <w:t xml:space="preserve"> *****</w:t>
      </w:r>
    </w:p>
    <w:p w14:paraId="4724EDD7" w14:textId="77777777" w:rsidR="007821E7" w:rsidRPr="00B85B21" w:rsidRDefault="007821E7" w:rsidP="00CE72A9">
      <w:pPr>
        <w:pBdr>
          <w:top w:val="single" w:sz="4" w:space="1" w:color="auto"/>
          <w:left w:val="single" w:sz="4" w:space="4" w:color="auto"/>
          <w:bottom w:val="single" w:sz="4" w:space="1" w:color="auto"/>
          <w:right w:val="single" w:sz="4" w:space="4" w:color="auto"/>
        </w:pBdr>
        <w:tabs>
          <w:tab w:val="left" w:pos="567"/>
          <w:tab w:val="left" w:pos="2880"/>
        </w:tabs>
        <w:spacing w:after="0" w:line="288" w:lineRule="auto"/>
        <w:jc w:val="both"/>
        <w:rPr>
          <w:rFonts w:ascii="Times New Roman" w:hAnsi="Times New Roman" w:cs="Times New Roman"/>
          <w:bCs/>
        </w:rPr>
      </w:pPr>
      <w:r w:rsidRPr="00E31F8F">
        <w:rPr>
          <w:rFonts w:asciiTheme="majorBidi" w:hAnsiTheme="majorBidi" w:cstheme="majorBidi"/>
          <w:sz w:val="24"/>
          <w:szCs w:val="24"/>
        </w:rPr>
        <w:t>Your ECON100 lecturers</w:t>
      </w:r>
      <w:r w:rsidRPr="00E31F8F">
        <w:rPr>
          <w:rFonts w:asciiTheme="majorBidi" w:hAnsiTheme="majorBidi" w:cstheme="majorBidi"/>
          <w:sz w:val="24"/>
          <w:szCs w:val="24"/>
        </w:rPr>
        <w:tab/>
      </w:r>
    </w:p>
    <w:p w14:paraId="6EC537D4" w14:textId="77777777" w:rsidR="007821E7" w:rsidRPr="00B85B21" w:rsidRDefault="007821E7" w:rsidP="00CE72A9">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hAnsi="Times New Roman" w:cs="Times New Roman"/>
        </w:rPr>
      </w:pPr>
    </w:p>
    <w:p w14:paraId="43373D68" w14:textId="4C7C3B60" w:rsidR="00A023E3" w:rsidRDefault="00A023E3" w:rsidP="00F50315">
      <w:pPr>
        <w:pStyle w:val="Heading2"/>
        <w:tabs>
          <w:tab w:val="left" w:pos="567"/>
        </w:tabs>
        <w:spacing w:before="0" w:line="288" w:lineRule="auto"/>
        <w:ind w:left="426" w:hanging="426"/>
        <w:jc w:val="both"/>
        <w:rPr>
          <w:sz w:val="24"/>
          <w:szCs w:val="24"/>
        </w:rPr>
      </w:pPr>
      <w:r w:rsidRPr="00161082">
        <w:rPr>
          <w:sz w:val="24"/>
          <w:szCs w:val="24"/>
        </w:rPr>
        <w:lastRenderedPageBreak/>
        <w:t>References</w:t>
      </w:r>
    </w:p>
    <w:p w14:paraId="78B4E22F" w14:textId="77777777" w:rsidR="00E011EE" w:rsidRPr="0008358D" w:rsidRDefault="00E011EE" w:rsidP="003B005D">
      <w:pPr>
        <w:tabs>
          <w:tab w:val="left" w:pos="567"/>
        </w:tabs>
        <w:spacing w:after="100" w:line="240" w:lineRule="auto"/>
        <w:ind w:left="425" w:hanging="425"/>
        <w:jc w:val="both"/>
        <w:rPr>
          <w:rFonts w:asciiTheme="majorBidi" w:hAnsiTheme="majorBidi" w:cstheme="majorBidi"/>
          <w:sz w:val="2"/>
          <w:szCs w:val="2"/>
        </w:rPr>
      </w:pPr>
    </w:p>
    <w:p w14:paraId="7ECF6B0F" w14:textId="6CBDC645" w:rsidR="00EA5187" w:rsidRPr="00BB0E1C" w:rsidRDefault="00EA5187" w:rsidP="003B005D">
      <w:pPr>
        <w:tabs>
          <w:tab w:val="left" w:pos="567"/>
        </w:tabs>
        <w:spacing w:after="100" w:line="240" w:lineRule="auto"/>
        <w:ind w:left="425" w:hanging="425"/>
        <w:jc w:val="both"/>
        <w:rPr>
          <w:rFonts w:asciiTheme="majorBidi" w:hAnsiTheme="majorBidi" w:cstheme="majorBidi"/>
        </w:rPr>
      </w:pPr>
      <w:proofErr w:type="spellStart"/>
      <w:r w:rsidRPr="00BB0E1C">
        <w:rPr>
          <w:rFonts w:asciiTheme="majorBidi" w:hAnsiTheme="majorBidi" w:cstheme="majorBidi"/>
        </w:rPr>
        <w:t>Attree</w:t>
      </w:r>
      <w:proofErr w:type="spellEnd"/>
      <w:r w:rsidRPr="00BB0E1C">
        <w:rPr>
          <w:rFonts w:asciiTheme="majorBidi" w:hAnsiTheme="majorBidi" w:cstheme="majorBidi"/>
        </w:rPr>
        <w:t xml:space="preserve">, K., Johnston, A., </w:t>
      </w:r>
      <w:r w:rsidR="00F50315">
        <w:rPr>
          <w:rFonts w:asciiTheme="majorBidi" w:hAnsiTheme="majorBidi" w:cstheme="majorBidi"/>
        </w:rPr>
        <w:t>and</w:t>
      </w:r>
      <w:r w:rsidR="00021EA4" w:rsidRPr="00BB0E1C">
        <w:rPr>
          <w:rFonts w:asciiTheme="majorBidi" w:hAnsiTheme="majorBidi" w:cstheme="majorBidi"/>
        </w:rPr>
        <w:t xml:space="preserve"> </w:t>
      </w:r>
      <w:r w:rsidRPr="00BB0E1C">
        <w:rPr>
          <w:rFonts w:asciiTheme="majorBidi" w:hAnsiTheme="majorBidi" w:cstheme="majorBidi"/>
        </w:rPr>
        <w:t xml:space="preserve">Livermore, G. </w:t>
      </w:r>
      <w:r w:rsidR="004643DA" w:rsidRPr="00BB0E1C">
        <w:rPr>
          <w:rFonts w:asciiTheme="majorBidi" w:hAnsiTheme="majorBidi" w:cstheme="majorBidi"/>
        </w:rPr>
        <w:t>(</w:t>
      </w:r>
      <w:r w:rsidRPr="00BB0E1C">
        <w:rPr>
          <w:rFonts w:asciiTheme="majorBidi" w:hAnsiTheme="majorBidi" w:cstheme="majorBidi"/>
        </w:rPr>
        <w:t>2014</w:t>
      </w:r>
      <w:r w:rsidR="009455D3" w:rsidRPr="00BB0E1C">
        <w:rPr>
          <w:rFonts w:asciiTheme="majorBidi" w:hAnsiTheme="majorBidi" w:cstheme="majorBidi"/>
        </w:rPr>
        <w:t>, July 8</w:t>
      </w:r>
      <w:r w:rsidR="004643DA" w:rsidRPr="00BB0E1C">
        <w:rPr>
          <w:rFonts w:asciiTheme="majorBidi" w:hAnsiTheme="majorBidi" w:cstheme="majorBidi"/>
        </w:rPr>
        <w:t>)</w:t>
      </w:r>
      <w:r w:rsidR="00021EA4" w:rsidRPr="00BB0E1C">
        <w:rPr>
          <w:rFonts w:asciiTheme="majorBidi" w:hAnsiTheme="majorBidi" w:cstheme="majorBidi"/>
        </w:rPr>
        <w:t>.</w:t>
      </w:r>
      <w:r w:rsidRPr="00BB0E1C">
        <w:rPr>
          <w:rFonts w:asciiTheme="majorBidi" w:hAnsiTheme="majorBidi" w:cstheme="majorBidi"/>
        </w:rPr>
        <w:t xml:space="preserve"> Just a phone call away: the impact of academic intervention on retention and success for repeat fail students in the distance education environment</w:t>
      </w:r>
      <w:r w:rsidR="009455D3" w:rsidRPr="00BB0E1C">
        <w:rPr>
          <w:rFonts w:asciiTheme="majorBidi" w:hAnsiTheme="majorBidi" w:cstheme="majorBidi"/>
        </w:rPr>
        <w:t>.</w:t>
      </w:r>
      <w:r w:rsidRPr="00BB0E1C">
        <w:rPr>
          <w:rFonts w:asciiTheme="majorBidi" w:hAnsiTheme="majorBidi" w:cstheme="majorBidi"/>
        </w:rPr>
        <w:t xml:space="preserve"> </w:t>
      </w:r>
      <w:r w:rsidR="009455D3" w:rsidRPr="00BB0E1C">
        <w:rPr>
          <w:rFonts w:asciiTheme="majorBidi" w:hAnsiTheme="majorBidi" w:cstheme="majorBidi"/>
        </w:rPr>
        <w:t>Paper presented at</w:t>
      </w:r>
      <w:r w:rsidRPr="00BB0E1C">
        <w:rPr>
          <w:rFonts w:asciiTheme="majorBidi" w:hAnsiTheme="majorBidi" w:cstheme="majorBidi"/>
        </w:rPr>
        <w:t xml:space="preserve"> The International First Year in Higher Education Conference 2014, 6-9 July 2014, Darwin, Australia</w:t>
      </w:r>
      <w:r w:rsidR="004643DA" w:rsidRPr="00BB0E1C">
        <w:rPr>
          <w:rFonts w:asciiTheme="majorBidi" w:hAnsiTheme="majorBidi" w:cstheme="majorBidi"/>
        </w:rPr>
        <w:t>.</w:t>
      </w:r>
    </w:p>
    <w:p w14:paraId="51081F33" w14:textId="29670A3C" w:rsidR="00EA5187" w:rsidRPr="00BB0E1C" w:rsidRDefault="00EA5187" w:rsidP="003B005D">
      <w:pPr>
        <w:tabs>
          <w:tab w:val="left" w:pos="567"/>
        </w:tabs>
        <w:spacing w:after="100" w:line="240" w:lineRule="auto"/>
        <w:ind w:left="425" w:hanging="425"/>
        <w:jc w:val="both"/>
        <w:rPr>
          <w:rFonts w:asciiTheme="majorBidi" w:hAnsiTheme="majorBidi" w:cstheme="majorBidi"/>
        </w:rPr>
      </w:pPr>
      <w:proofErr w:type="gramStart"/>
      <w:r w:rsidRPr="00BB0E1C">
        <w:rPr>
          <w:rFonts w:asciiTheme="majorBidi" w:hAnsiTheme="majorBidi" w:cstheme="majorBidi"/>
        </w:rPr>
        <w:t>Barefoot, B. 0.</w:t>
      </w:r>
      <w:proofErr w:type="gramEnd"/>
      <w:r w:rsidRPr="00BB0E1C">
        <w:rPr>
          <w:rFonts w:asciiTheme="majorBidi" w:hAnsiTheme="majorBidi" w:cstheme="majorBidi"/>
        </w:rPr>
        <w:t xml:space="preserve"> </w:t>
      </w:r>
      <w:r w:rsidR="004643DA" w:rsidRPr="00BB0E1C">
        <w:rPr>
          <w:rFonts w:asciiTheme="majorBidi" w:hAnsiTheme="majorBidi" w:cstheme="majorBidi"/>
        </w:rPr>
        <w:t>(</w:t>
      </w:r>
      <w:r w:rsidRPr="00BB0E1C">
        <w:rPr>
          <w:rFonts w:asciiTheme="majorBidi" w:hAnsiTheme="majorBidi" w:cstheme="majorBidi"/>
        </w:rPr>
        <w:t>2004</w:t>
      </w:r>
      <w:r w:rsidR="004643DA" w:rsidRPr="00BB0E1C">
        <w:rPr>
          <w:rFonts w:asciiTheme="majorBidi" w:hAnsiTheme="majorBidi" w:cstheme="majorBidi"/>
        </w:rPr>
        <w:t>)</w:t>
      </w:r>
      <w:r w:rsidR="00021EA4" w:rsidRPr="00BB0E1C">
        <w:rPr>
          <w:rFonts w:asciiTheme="majorBidi" w:hAnsiTheme="majorBidi" w:cstheme="majorBidi"/>
        </w:rPr>
        <w:t>.</w:t>
      </w:r>
      <w:r w:rsidRPr="00BB0E1C">
        <w:rPr>
          <w:rFonts w:asciiTheme="majorBidi" w:hAnsiTheme="majorBidi" w:cstheme="majorBidi"/>
        </w:rPr>
        <w:t xml:space="preserve"> Higher education’s revolving door: confronting the problem of student drop out in US colleges and universities, </w:t>
      </w:r>
      <w:r w:rsidRPr="00BB0E1C">
        <w:rPr>
          <w:rFonts w:asciiTheme="majorBidi" w:hAnsiTheme="majorBidi" w:cstheme="majorBidi"/>
          <w:i/>
          <w:iCs/>
        </w:rPr>
        <w:t>Open Learning:</w:t>
      </w:r>
      <w:r w:rsidR="0008358D">
        <w:rPr>
          <w:rFonts w:asciiTheme="majorBidi" w:hAnsiTheme="majorBidi" w:cstheme="majorBidi"/>
          <w:i/>
          <w:iCs/>
        </w:rPr>
        <w:t xml:space="preserve"> </w:t>
      </w:r>
      <w:r w:rsidRPr="00BB0E1C">
        <w:rPr>
          <w:rFonts w:asciiTheme="majorBidi" w:hAnsiTheme="majorBidi" w:cstheme="majorBidi"/>
          <w:i/>
          <w:iCs/>
        </w:rPr>
        <w:t>The Journal of Open, Distance and e-Learning</w:t>
      </w:r>
      <w:r w:rsidRPr="00BB0E1C">
        <w:rPr>
          <w:rFonts w:asciiTheme="majorBidi" w:hAnsiTheme="majorBidi" w:cstheme="majorBidi"/>
        </w:rPr>
        <w:t xml:space="preserve">, </w:t>
      </w:r>
      <w:r w:rsidRPr="00BB0E1C">
        <w:rPr>
          <w:rFonts w:asciiTheme="majorBidi" w:hAnsiTheme="majorBidi" w:cstheme="majorBidi"/>
          <w:i/>
          <w:iCs/>
        </w:rPr>
        <w:t>19</w:t>
      </w:r>
      <w:r w:rsidR="009559C0" w:rsidRPr="00BB0E1C">
        <w:rPr>
          <w:rFonts w:asciiTheme="majorBidi" w:hAnsiTheme="majorBidi" w:cstheme="majorBidi"/>
        </w:rPr>
        <w:t>(</w:t>
      </w:r>
      <w:r w:rsidRPr="00BB0E1C">
        <w:rPr>
          <w:rFonts w:asciiTheme="majorBidi" w:hAnsiTheme="majorBidi" w:cstheme="majorBidi"/>
        </w:rPr>
        <w:t>1</w:t>
      </w:r>
      <w:r w:rsidR="009559C0" w:rsidRPr="00BB0E1C">
        <w:rPr>
          <w:rFonts w:asciiTheme="majorBidi" w:hAnsiTheme="majorBidi" w:cstheme="majorBidi"/>
        </w:rPr>
        <w:t>)</w:t>
      </w:r>
      <w:r w:rsidR="004643DA" w:rsidRPr="00BB0E1C">
        <w:rPr>
          <w:rFonts w:asciiTheme="majorBidi" w:hAnsiTheme="majorBidi" w:cstheme="majorBidi"/>
        </w:rPr>
        <w:t>,</w:t>
      </w:r>
      <w:r w:rsidRPr="00BB0E1C">
        <w:rPr>
          <w:rFonts w:asciiTheme="majorBidi" w:hAnsiTheme="majorBidi" w:cstheme="majorBidi"/>
        </w:rPr>
        <w:t xml:space="preserve"> 9-18</w:t>
      </w:r>
      <w:r w:rsidR="009559C0" w:rsidRPr="00BB0E1C">
        <w:rPr>
          <w:rFonts w:asciiTheme="majorBidi" w:hAnsiTheme="majorBidi" w:cstheme="majorBidi"/>
        </w:rPr>
        <w:t>.</w:t>
      </w:r>
    </w:p>
    <w:p w14:paraId="77996E20" w14:textId="1AD071AF" w:rsidR="00E57B40" w:rsidRPr="00BB0E1C" w:rsidRDefault="00E57B40" w:rsidP="003B005D">
      <w:pPr>
        <w:tabs>
          <w:tab w:val="left" w:pos="567"/>
        </w:tabs>
        <w:spacing w:after="100" w:line="240" w:lineRule="auto"/>
        <w:ind w:left="425" w:hanging="425"/>
        <w:jc w:val="both"/>
        <w:rPr>
          <w:rFonts w:asciiTheme="majorBidi" w:hAnsiTheme="majorBidi" w:cstheme="majorBidi"/>
        </w:rPr>
      </w:pPr>
      <w:r w:rsidRPr="00BB0E1C">
        <w:rPr>
          <w:rFonts w:asciiTheme="majorBidi" w:hAnsiTheme="majorBidi" w:cstheme="majorBidi"/>
          <w:lang w:val="de-DE"/>
        </w:rPr>
        <w:t xml:space="preserve">Berger, J.B., </w:t>
      </w:r>
      <w:r w:rsidR="00F50315">
        <w:rPr>
          <w:rFonts w:asciiTheme="majorBidi" w:hAnsiTheme="majorBidi" w:cstheme="majorBidi"/>
          <w:lang w:val="de-DE"/>
        </w:rPr>
        <w:t>and</w:t>
      </w:r>
      <w:r w:rsidR="009559C0" w:rsidRPr="00BB0E1C">
        <w:rPr>
          <w:rFonts w:asciiTheme="majorBidi" w:hAnsiTheme="majorBidi" w:cstheme="majorBidi"/>
          <w:lang w:val="de-DE"/>
        </w:rPr>
        <w:t xml:space="preserve"> </w:t>
      </w:r>
      <w:r w:rsidRPr="00BB0E1C">
        <w:rPr>
          <w:rFonts w:asciiTheme="majorBidi" w:hAnsiTheme="majorBidi" w:cstheme="majorBidi"/>
          <w:lang w:val="de-DE"/>
        </w:rPr>
        <w:t xml:space="preserve">Braxton, J.M. </w:t>
      </w:r>
      <w:r w:rsidR="004643DA" w:rsidRPr="00BB0E1C">
        <w:rPr>
          <w:rFonts w:asciiTheme="majorBidi" w:hAnsiTheme="majorBidi" w:cstheme="majorBidi"/>
          <w:lang w:val="de-DE"/>
        </w:rPr>
        <w:t>(</w:t>
      </w:r>
      <w:r w:rsidRPr="00BB0E1C">
        <w:rPr>
          <w:rFonts w:asciiTheme="majorBidi" w:hAnsiTheme="majorBidi" w:cstheme="majorBidi"/>
          <w:lang w:val="de-DE"/>
        </w:rPr>
        <w:t>1998</w:t>
      </w:r>
      <w:r w:rsidR="004643DA" w:rsidRPr="00BB0E1C">
        <w:rPr>
          <w:rFonts w:asciiTheme="majorBidi" w:hAnsiTheme="majorBidi" w:cstheme="majorBidi"/>
          <w:lang w:val="de-DE"/>
        </w:rPr>
        <w:t>)</w:t>
      </w:r>
      <w:r w:rsidRPr="00BB0E1C">
        <w:rPr>
          <w:rFonts w:asciiTheme="majorBidi" w:hAnsiTheme="majorBidi" w:cstheme="majorBidi"/>
          <w:lang w:val="de-DE"/>
        </w:rPr>
        <w:t xml:space="preserve">. </w:t>
      </w:r>
      <w:proofErr w:type="gramStart"/>
      <w:r w:rsidRPr="00BB0E1C">
        <w:rPr>
          <w:rFonts w:asciiTheme="majorBidi" w:hAnsiTheme="majorBidi" w:cstheme="majorBidi"/>
        </w:rPr>
        <w:t xml:space="preserve">Revising Tinto’s interactionalist theory of student departure through theory elaboration, </w:t>
      </w:r>
      <w:r w:rsidRPr="00BB0E1C">
        <w:rPr>
          <w:rFonts w:asciiTheme="majorBidi" w:hAnsiTheme="majorBidi" w:cstheme="majorBidi"/>
          <w:i/>
        </w:rPr>
        <w:t>Research in Higher Education</w:t>
      </w:r>
      <w:r w:rsidRPr="00BB0E1C">
        <w:rPr>
          <w:rFonts w:asciiTheme="majorBidi" w:hAnsiTheme="majorBidi" w:cstheme="majorBidi"/>
        </w:rPr>
        <w:t xml:space="preserve"> </w:t>
      </w:r>
      <w:r w:rsidRPr="00BB0E1C">
        <w:rPr>
          <w:rFonts w:asciiTheme="majorBidi" w:hAnsiTheme="majorBidi" w:cstheme="majorBidi"/>
          <w:i/>
          <w:iCs/>
        </w:rPr>
        <w:t>39</w:t>
      </w:r>
      <w:r w:rsidRPr="00BB0E1C">
        <w:rPr>
          <w:rFonts w:asciiTheme="majorBidi" w:hAnsiTheme="majorBidi" w:cstheme="majorBidi"/>
        </w:rPr>
        <w:t>(2)</w:t>
      </w:r>
      <w:r w:rsidR="004643DA" w:rsidRPr="00BB0E1C">
        <w:rPr>
          <w:rFonts w:asciiTheme="majorBidi" w:hAnsiTheme="majorBidi" w:cstheme="majorBidi"/>
        </w:rPr>
        <w:t>,</w:t>
      </w:r>
      <w:r w:rsidRPr="00BB0E1C">
        <w:rPr>
          <w:rFonts w:asciiTheme="majorBidi" w:hAnsiTheme="majorBidi" w:cstheme="majorBidi"/>
        </w:rPr>
        <w:t xml:space="preserve"> 103-119.</w:t>
      </w:r>
      <w:proofErr w:type="gramEnd"/>
    </w:p>
    <w:p w14:paraId="5D53EB27" w14:textId="200AC6E8" w:rsidR="00E57B40" w:rsidRPr="00BB0E1C" w:rsidRDefault="00E57B40" w:rsidP="003B005D">
      <w:pPr>
        <w:tabs>
          <w:tab w:val="left" w:pos="567"/>
        </w:tabs>
        <w:spacing w:after="100" w:line="240" w:lineRule="auto"/>
        <w:ind w:left="425" w:hanging="425"/>
        <w:jc w:val="both"/>
        <w:rPr>
          <w:rFonts w:asciiTheme="majorBidi" w:hAnsiTheme="majorBidi" w:cstheme="majorBidi"/>
        </w:rPr>
      </w:pPr>
      <w:proofErr w:type="gramStart"/>
      <w:r w:rsidRPr="00BB0E1C">
        <w:rPr>
          <w:rFonts w:asciiTheme="majorBidi" w:hAnsiTheme="majorBidi" w:cstheme="majorBidi"/>
        </w:rPr>
        <w:t xml:space="preserve">Brookfield, S. </w:t>
      </w:r>
      <w:r w:rsidR="004643DA" w:rsidRPr="00BB0E1C">
        <w:rPr>
          <w:rFonts w:asciiTheme="majorBidi" w:hAnsiTheme="majorBidi" w:cstheme="majorBidi"/>
        </w:rPr>
        <w:t>(</w:t>
      </w:r>
      <w:r w:rsidRPr="00BB0E1C">
        <w:rPr>
          <w:rFonts w:asciiTheme="majorBidi" w:hAnsiTheme="majorBidi" w:cstheme="majorBidi"/>
        </w:rPr>
        <w:t>1991</w:t>
      </w:r>
      <w:r w:rsidR="004643DA" w:rsidRPr="00BB0E1C">
        <w:rPr>
          <w:rFonts w:asciiTheme="majorBidi" w:hAnsiTheme="majorBidi" w:cstheme="majorBidi"/>
        </w:rPr>
        <w:t>)</w:t>
      </w:r>
      <w:r w:rsidRPr="00BB0E1C">
        <w:rPr>
          <w:rFonts w:asciiTheme="majorBidi" w:hAnsiTheme="majorBidi" w:cstheme="majorBidi"/>
        </w:rPr>
        <w:t>.</w:t>
      </w:r>
      <w:proofErr w:type="gramEnd"/>
      <w:r w:rsidRPr="00BB0E1C">
        <w:rPr>
          <w:rFonts w:asciiTheme="majorBidi" w:hAnsiTheme="majorBidi" w:cstheme="majorBidi"/>
        </w:rPr>
        <w:t xml:space="preserve"> </w:t>
      </w:r>
      <w:r w:rsidRPr="00BB0E1C">
        <w:rPr>
          <w:rFonts w:asciiTheme="majorBidi" w:hAnsiTheme="majorBidi" w:cstheme="majorBidi"/>
          <w:i/>
        </w:rPr>
        <w:t>The skilful teacher: On technique, trust and responsiveness in the classroom</w:t>
      </w:r>
      <w:r w:rsidRPr="00BB0E1C">
        <w:rPr>
          <w:rFonts w:asciiTheme="majorBidi" w:hAnsiTheme="majorBidi" w:cstheme="majorBidi"/>
        </w:rPr>
        <w:t xml:space="preserve">. San Francisco, CA: </w:t>
      </w:r>
      <w:proofErr w:type="spellStart"/>
      <w:r w:rsidRPr="00BB0E1C">
        <w:rPr>
          <w:rFonts w:asciiTheme="majorBidi" w:hAnsiTheme="majorBidi" w:cstheme="majorBidi"/>
        </w:rPr>
        <w:t>Jossey</w:t>
      </w:r>
      <w:proofErr w:type="spellEnd"/>
      <w:r w:rsidRPr="00BB0E1C">
        <w:rPr>
          <w:rFonts w:asciiTheme="majorBidi" w:hAnsiTheme="majorBidi" w:cstheme="majorBidi"/>
        </w:rPr>
        <w:t>-Bass.</w:t>
      </w:r>
    </w:p>
    <w:p w14:paraId="708FB73A" w14:textId="39BD5C30" w:rsidR="00E57B40" w:rsidRPr="00BB0E1C" w:rsidRDefault="00E57B40" w:rsidP="003B005D">
      <w:pPr>
        <w:tabs>
          <w:tab w:val="left" w:pos="567"/>
        </w:tabs>
        <w:spacing w:after="100" w:line="240" w:lineRule="auto"/>
        <w:ind w:left="425" w:hanging="425"/>
        <w:jc w:val="both"/>
        <w:rPr>
          <w:rFonts w:asciiTheme="majorBidi" w:hAnsiTheme="majorBidi" w:cstheme="majorBidi"/>
        </w:rPr>
      </w:pPr>
      <w:proofErr w:type="spellStart"/>
      <w:r w:rsidRPr="00BB0E1C">
        <w:rPr>
          <w:rFonts w:asciiTheme="majorBidi" w:hAnsiTheme="majorBidi" w:cstheme="majorBidi"/>
        </w:rPr>
        <w:t>Bruning</w:t>
      </w:r>
      <w:proofErr w:type="spellEnd"/>
      <w:r w:rsidRPr="00BB0E1C">
        <w:rPr>
          <w:rFonts w:asciiTheme="majorBidi" w:hAnsiTheme="majorBidi" w:cstheme="majorBidi"/>
        </w:rPr>
        <w:t xml:space="preserve">, S.D. </w:t>
      </w:r>
      <w:r w:rsidR="004643DA" w:rsidRPr="00BB0E1C">
        <w:rPr>
          <w:rFonts w:asciiTheme="majorBidi" w:hAnsiTheme="majorBidi" w:cstheme="majorBidi"/>
        </w:rPr>
        <w:t>(</w:t>
      </w:r>
      <w:r w:rsidRPr="00BB0E1C">
        <w:rPr>
          <w:rFonts w:asciiTheme="majorBidi" w:hAnsiTheme="majorBidi" w:cstheme="majorBidi"/>
        </w:rPr>
        <w:t>2002</w:t>
      </w:r>
      <w:r w:rsidR="004643DA" w:rsidRPr="00BB0E1C">
        <w:rPr>
          <w:rFonts w:asciiTheme="majorBidi" w:hAnsiTheme="majorBidi" w:cstheme="majorBidi"/>
        </w:rPr>
        <w:t>)</w:t>
      </w:r>
      <w:r w:rsidRPr="00BB0E1C">
        <w:rPr>
          <w:rFonts w:asciiTheme="majorBidi" w:hAnsiTheme="majorBidi" w:cstheme="majorBidi"/>
        </w:rPr>
        <w:t xml:space="preserve">. Relationship building as a retention strategy: Linking relationship attitudes and satisfaction evaluations to behaviour, </w:t>
      </w:r>
      <w:r w:rsidRPr="00BB0E1C">
        <w:rPr>
          <w:rFonts w:asciiTheme="majorBidi" w:hAnsiTheme="majorBidi" w:cstheme="majorBidi"/>
          <w:i/>
        </w:rPr>
        <w:t>Public Relations Review</w:t>
      </w:r>
      <w:r w:rsidR="009559C0" w:rsidRPr="00BB0E1C">
        <w:rPr>
          <w:rFonts w:asciiTheme="majorBidi" w:hAnsiTheme="majorBidi" w:cstheme="majorBidi"/>
          <w:iCs/>
        </w:rPr>
        <w:t>,</w:t>
      </w:r>
      <w:r w:rsidRPr="00BB0E1C">
        <w:rPr>
          <w:rFonts w:asciiTheme="majorBidi" w:hAnsiTheme="majorBidi" w:cstheme="majorBidi"/>
        </w:rPr>
        <w:t xml:space="preserve"> </w:t>
      </w:r>
      <w:r w:rsidRPr="00BB0E1C">
        <w:rPr>
          <w:rFonts w:asciiTheme="majorBidi" w:hAnsiTheme="majorBidi" w:cstheme="majorBidi"/>
          <w:i/>
          <w:iCs/>
        </w:rPr>
        <w:t>28</w:t>
      </w:r>
      <w:r w:rsidR="004643DA" w:rsidRPr="00BB0E1C">
        <w:rPr>
          <w:rFonts w:asciiTheme="majorBidi" w:hAnsiTheme="majorBidi" w:cstheme="majorBidi"/>
        </w:rPr>
        <w:t>,</w:t>
      </w:r>
      <w:r w:rsidRPr="00BB0E1C">
        <w:rPr>
          <w:rFonts w:asciiTheme="majorBidi" w:hAnsiTheme="majorBidi" w:cstheme="majorBidi"/>
        </w:rPr>
        <w:t xml:space="preserve"> 39-48.</w:t>
      </w:r>
    </w:p>
    <w:p w14:paraId="1F2278C3" w14:textId="02C6903F" w:rsidR="00E57B40" w:rsidRPr="00BB0E1C" w:rsidRDefault="00E57B40" w:rsidP="003B005D">
      <w:pPr>
        <w:tabs>
          <w:tab w:val="left" w:pos="567"/>
        </w:tabs>
        <w:spacing w:after="100" w:line="240" w:lineRule="auto"/>
        <w:ind w:left="425" w:hanging="425"/>
        <w:jc w:val="both"/>
        <w:rPr>
          <w:rFonts w:asciiTheme="majorBidi" w:hAnsiTheme="majorBidi" w:cstheme="majorBidi"/>
        </w:rPr>
      </w:pPr>
      <w:proofErr w:type="gramStart"/>
      <w:r w:rsidRPr="00BB0E1C">
        <w:rPr>
          <w:rFonts w:asciiTheme="majorBidi" w:hAnsiTheme="majorBidi" w:cstheme="majorBidi"/>
        </w:rPr>
        <w:t xml:space="preserve">Bryson, C., </w:t>
      </w:r>
      <w:r w:rsidR="00F50315">
        <w:rPr>
          <w:rFonts w:asciiTheme="majorBidi" w:hAnsiTheme="majorBidi" w:cstheme="majorBidi"/>
        </w:rPr>
        <w:t>and</w:t>
      </w:r>
      <w:r w:rsidR="009559C0" w:rsidRPr="00BB0E1C">
        <w:rPr>
          <w:rFonts w:asciiTheme="majorBidi" w:hAnsiTheme="majorBidi" w:cstheme="majorBidi"/>
        </w:rPr>
        <w:t xml:space="preserve"> </w:t>
      </w:r>
      <w:r w:rsidRPr="00BB0E1C">
        <w:rPr>
          <w:rFonts w:asciiTheme="majorBidi" w:hAnsiTheme="majorBidi" w:cstheme="majorBidi"/>
        </w:rPr>
        <w:t xml:space="preserve">Hand, L. </w:t>
      </w:r>
      <w:r w:rsidR="004643DA" w:rsidRPr="00BB0E1C">
        <w:rPr>
          <w:rFonts w:asciiTheme="majorBidi" w:hAnsiTheme="majorBidi" w:cstheme="majorBidi"/>
        </w:rPr>
        <w:t>(</w:t>
      </w:r>
      <w:r w:rsidRPr="00BB0E1C">
        <w:rPr>
          <w:rFonts w:asciiTheme="majorBidi" w:hAnsiTheme="majorBidi" w:cstheme="majorBidi"/>
        </w:rPr>
        <w:t>2007</w:t>
      </w:r>
      <w:r w:rsidR="004643DA" w:rsidRPr="00BB0E1C">
        <w:rPr>
          <w:rFonts w:asciiTheme="majorBidi" w:hAnsiTheme="majorBidi" w:cstheme="majorBidi"/>
        </w:rPr>
        <w:t>)</w:t>
      </w:r>
      <w:r w:rsidRPr="00BB0E1C">
        <w:rPr>
          <w:rFonts w:asciiTheme="majorBidi" w:hAnsiTheme="majorBidi" w:cstheme="majorBidi"/>
        </w:rPr>
        <w:t>.</w:t>
      </w:r>
      <w:proofErr w:type="gramEnd"/>
      <w:r w:rsidRPr="00BB0E1C">
        <w:rPr>
          <w:rFonts w:asciiTheme="majorBidi" w:hAnsiTheme="majorBidi" w:cstheme="majorBidi"/>
        </w:rPr>
        <w:t xml:space="preserve"> </w:t>
      </w:r>
      <w:proofErr w:type="gramStart"/>
      <w:r w:rsidRPr="00BB0E1C">
        <w:rPr>
          <w:rFonts w:asciiTheme="majorBidi" w:hAnsiTheme="majorBidi" w:cstheme="majorBidi"/>
        </w:rPr>
        <w:t xml:space="preserve">The role of engagement in inspiring teaching and learning, </w:t>
      </w:r>
      <w:r w:rsidRPr="00BB0E1C">
        <w:rPr>
          <w:rFonts w:asciiTheme="majorBidi" w:hAnsiTheme="majorBidi" w:cstheme="majorBidi"/>
          <w:i/>
        </w:rPr>
        <w:t>Innovations in Education and Teaching International</w:t>
      </w:r>
      <w:r w:rsidR="009559C0" w:rsidRPr="00BB0E1C">
        <w:rPr>
          <w:rFonts w:asciiTheme="majorBidi" w:hAnsiTheme="majorBidi" w:cstheme="majorBidi"/>
          <w:iCs/>
        </w:rPr>
        <w:t>,</w:t>
      </w:r>
      <w:r w:rsidRPr="00BB0E1C">
        <w:rPr>
          <w:rFonts w:asciiTheme="majorBidi" w:hAnsiTheme="majorBidi" w:cstheme="majorBidi"/>
        </w:rPr>
        <w:t xml:space="preserve"> </w:t>
      </w:r>
      <w:r w:rsidRPr="00BB0E1C">
        <w:rPr>
          <w:rFonts w:asciiTheme="majorBidi" w:hAnsiTheme="majorBidi" w:cstheme="majorBidi"/>
          <w:i/>
          <w:iCs/>
        </w:rPr>
        <w:t>44</w:t>
      </w:r>
      <w:r w:rsidR="004643DA" w:rsidRPr="00BB0E1C">
        <w:rPr>
          <w:rFonts w:asciiTheme="majorBidi" w:hAnsiTheme="majorBidi" w:cstheme="majorBidi"/>
        </w:rPr>
        <w:t>,</w:t>
      </w:r>
      <w:r w:rsidRPr="00BB0E1C">
        <w:rPr>
          <w:rFonts w:asciiTheme="majorBidi" w:hAnsiTheme="majorBidi" w:cstheme="majorBidi"/>
        </w:rPr>
        <w:t xml:space="preserve"> 349-362.</w:t>
      </w:r>
      <w:proofErr w:type="gramEnd"/>
    </w:p>
    <w:p w14:paraId="102C573B" w14:textId="736CB1AB" w:rsidR="00EC0487" w:rsidRPr="00BB0E1C" w:rsidRDefault="00EC0487" w:rsidP="003B005D">
      <w:pPr>
        <w:tabs>
          <w:tab w:val="left" w:pos="567"/>
        </w:tabs>
        <w:spacing w:after="100" w:line="240" w:lineRule="auto"/>
        <w:ind w:left="425" w:hanging="425"/>
        <w:jc w:val="both"/>
        <w:rPr>
          <w:rFonts w:asciiTheme="majorBidi" w:hAnsiTheme="majorBidi" w:cstheme="majorBidi"/>
        </w:rPr>
      </w:pPr>
      <w:r w:rsidRPr="00BB0E1C">
        <w:rPr>
          <w:rFonts w:asciiTheme="majorBidi" w:hAnsiTheme="majorBidi" w:cstheme="majorBidi"/>
          <w:lang w:val="es-ES"/>
        </w:rPr>
        <w:t xml:space="preserve">Cameron, M.P., </w:t>
      </w:r>
      <w:r w:rsidR="00F50315">
        <w:rPr>
          <w:rFonts w:asciiTheme="majorBidi" w:hAnsiTheme="majorBidi" w:cstheme="majorBidi"/>
          <w:lang w:val="es-ES"/>
        </w:rPr>
        <w:t>and</w:t>
      </w:r>
      <w:r w:rsidR="009559C0" w:rsidRPr="00BB0E1C">
        <w:rPr>
          <w:rFonts w:asciiTheme="majorBidi" w:hAnsiTheme="majorBidi" w:cstheme="majorBidi"/>
          <w:lang w:val="es-ES"/>
        </w:rPr>
        <w:t xml:space="preserve"> </w:t>
      </w:r>
      <w:proofErr w:type="spellStart"/>
      <w:r w:rsidRPr="00BB0E1C">
        <w:rPr>
          <w:rFonts w:asciiTheme="majorBidi" w:hAnsiTheme="majorBidi" w:cstheme="majorBidi"/>
          <w:lang w:val="es-ES"/>
        </w:rPr>
        <w:t>Lim</w:t>
      </w:r>
      <w:proofErr w:type="spellEnd"/>
      <w:r w:rsidRPr="00BB0E1C">
        <w:rPr>
          <w:rFonts w:asciiTheme="majorBidi" w:hAnsiTheme="majorBidi" w:cstheme="majorBidi"/>
          <w:lang w:val="es-ES"/>
        </w:rPr>
        <w:t xml:space="preserve">, S. </w:t>
      </w:r>
      <w:r w:rsidR="004643DA" w:rsidRPr="00BB0E1C">
        <w:rPr>
          <w:rFonts w:asciiTheme="majorBidi" w:hAnsiTheme="majorBidi" w:cstheme="majorBidi"/>
          <w:lang w:val="es-ES"/>
        </w:rPr>
        <w:t>(</w:t>
      </w:r>
      <w:r w:rsidRPr="00BB0E1C">
        <w:rPr>
          <w:rFonts w:asciiTheme="majorBidi" w:hAnsiTheme="majorBidi" w:cstheme="majorBidi"/>
          <w:lang w:val="es-ES"/>
        </w:rPr>
        <w:t>2015</w:t>
      </w:r>
      <w:r w:rsidR="004643DA" w:rsidRPr="00BB0E1C">
        <w:rPr>
          <w:rFonts w:asciiTheme="majorBidi" w:hAnsiTheme="majorBidi" w:cstheme="majorBidi"/>
          <w:lang w:val="es-ES"/>
        </w:rPr>
        <w:t>)</w:t>
      </w:r>
      <w:r w:rsidRPr="00BB0E1C">
        <w:rPr>
          <w:rFonts w:asciiTheme="majorBidi" w:hAnsiTheme="majorBidi" w:cstheme="majorBidi"/>
          <w:lang w:val="es-ES"/>
        </w:rPr>
        <w:t xml:space="preserve">. </w:t>
      </w:r>
      <w:r w:rsidRPr="00BB0E1C">
        <w:rPr>
          <w:rFonts w:asciiTheme="majorBidi" w:hAnsiTheme="majorBidi" w:cstheme="majorBidi"/>
        </w:rPr>
        <w:t xml:space="preserve">Recognising and building on freshman students’ prior knowledge of economics, </w:t>
      </w:r>
      <w:r w:rsidRPr="00BB0E1C">
        <w:rPr>
          <w:rFonts w:asciiTheme="majorBidi" w:hAnsiTheme="majorBidi" w:cstheme="majorBidi"/>
          <w:i/>
        </w:rPr>
        <w:t>New Zealand Economic Papers</w:t>
      </w:r>
      <w:r w:rsidRPr="00BB0E1C">
        <w:rPr>
          <w:rFonts w:asciiTheme="majorBidi" w:hAnsiTheme="majorBidi" w:cstheme="majorBidi"/>
        </w:rPr>
        <w:t xml:space="preserve">, </w:t>
      </w:r>
      <w:r w:rsidRPr="00BB0E1C">
        <w:rPr>
          <w:rFonts w:asciiTheme="majorBidi" w:hAnsiTheme="majorBidi" w:cstheme="majorBidi"/>
          <w:i/>
          <w:iCs/>
        </w:rPr>
        <w:t>49</w:t>
      </w:r>
      <w:r w:rsidRPr="00BB0E1C">
        <w:rPr>
          <w:rFonts w:asciiTheme="majorBidi" w:hAnsiTheme="majorBidi" w:cstheme="majorBidi"/>
        </w:rPr>
        <w:t>(1)</w:t>
      </w:r>
      <w:r w:rsidR="004643DA" w:rsidRPr="00BB0E1C">
        <w:rPr>
          <w:rFonts w:asciiTheme="majorBidi" w:hAnsiTheme="majorBidi" w:cstheme="majorBidi"/>
        </w:rPr>
        <w:t>,</w:t>
      </w:r>
      <w:r w:rsidRPr="00BB0E1C">
        <w:rPr>
          <w:rFonts w:asciiTheme="majorBidi" w:hAnsiTheme="majorBidi" w:cstheme="majorBidi"/>
        </w:rPr>
        <w:t xml:space="preserve"> 22-32.</w:t>
      </w:r>
    </w:p>
    <w:p w14:paraId="22713684" w14:textId="72DE554B" w:rsidR="00EA5187" w:rsidRPr="00BB0E1C" w:rsidRDefault="00EA5187" w:rsidP="003B005D">
      <w:pPr>
        <w:tabs>
          <w:tab w:val="left" w:pos="567"/>
        </w:tabs>
        <w:spacing w:after="100" w:line="240" w:lineRule="auto"/>
        <w:ind w:left="425" w:hanging="425"/>
        <w:jc w:val="both"/>
        <w:rPr>
          <w:rFonts w:asciiTheme="majorBidi" w:hAnsiTheme="majorBidi" w:cstheme="majorBidi"/>
        </w:rPr>
      </w:pPr>
      <w:proofErr w:type="gramStart"/>
      <w:r w:rsidRPr="00BB0E1C">
        <w:rPr>
          <w:rFonts w:asciiTheme="majorBidi" w:hAnsiTheme="majorBidi" w:cstheme="majorBidi"/>
        </w:rPr>
        <w:t xml:space="preserve">Campbell, D. and Hussey, A. </w:t>
      </w:r>
      <w:r w:rsidR="004643DA" w:rsidRPr="00BB0E1C">
        <w:rPr>
          <w:rFonts w:asciiTheme="majorBidi" w:hAnsiTheme="majorBidi" w:cstheme="majorBidi"/>
        </w:rPr>
        <w:t>(</w:t>
      </w:r>
      <w:r w:rsidRPr="00BB0E1C">
        <w:rPr>
          <w:rFonts w:asciiTheme="majorBidi" w:hAnsiTheme="majorBidi" w:cstheme="majorBidi"/>
        </w:rPr>
        <w:t>2014</w:t>
      </w:r>
      <w:r w:rsidR="004643DA" w:rsidRPr="00BB0E1C">
        <w:rPr>
          <w:rFonts w:asciiTheme="majorBidi" w:hAnsiTheme="majorBidi" w:cstheme="majorBidi"/>
        </w:rPr>
        <w:t>)</w:t>
      </w:r>
      <w:r w:rsidR="009559C0" w:rsidRPr="00BB0E1C">
        <w:rPr>
          <w:rFonts w:asciiTheme="majorBidi" w:hAnsiTheme="majorBidi" w:cstheme="majorBidi"/>
        </w:rPr>
        <w:t>.</w:t>
      </w:r>
      <w:proofErr w:type="gramEnd"/>
      <w:r w:rsidRPr="00BB0E1C">
        <w:rPr>
          <w:rFonts w:asciiTheme="majorBidi" w:hAnsiTheme="majorBidi" w:cstheme="majorBidi"/>
        </w:rPr>
        <w:t xml:space="preserve"> </w:t>
      </w:r>
      <w:proofErr w:type="gramStart"/>
      <w:r w:rsidRPr="00BB0E1C">
        <w:rPr>
          <w:rFonts w:asciiTheme="majorBidi" w:hAnsiTheme="majorBidi" w:cstheme="majorBidi"/>
        </w:rPr>
        <w:t xml:space="preserve">Experimental evidence of the effects of an early intervention programme on economics student achievement, </w:t>
      </w:r>
      <w:r w:rsidRPr="00BB0E1C">
        <w:rPr>
          <w:rFonts w:asciiTheme="majorBidi" w:hAnsiTheme="majorBidi" w:cstheme="majorBidi"/>
          <w:i/>
          <w:iCs/>
        </w:rPr>
        <w:t>Applied Economic Letters</w:t>
      </w:r>
      <w:r w:rsidRPr="00BB0E1C">
        <w:rPr>
          <w:rFonts w:asciiTheme="majorBidi" w:hAnsiTheme="majorBidi" w:cstheme="majorBidi"/>
        </w:rPr>
        <w:t xml:space="preserve">, </w:t>
      </w:r>
      <w:r w:rsidRPr="00BB0E1C">
        <w:rPr>
          <w:rFonts w:asciiTheme="majorBidi" w:hAnsiTheme="majorBidi" w:cstheme="majorBidi"/>
          <w:i/>
          <w:iCs/>
        </w:rPr>
        <w:t>22</w:t>
      </w:r>
      <w:r w:rsidR="009559C0" w:rsidRPr="00BB0E1C">
        <w:rPr>
          <w:rFonts w:asciiTheme="majorBidi" w:hAnsiTheme="majorBidi" w:cstheme="majorBidi"/>
        </w:rPr>
        <w:t>(</w:t>
      </w:r>
      <w:r w:rsidRPr="00BB0E1C">
        <w:rPr>
          <w:rFonts w:asciiTheme="majorBidi" w:hAnsiTheme="majorBidi" w:cstheme="majorBidi"/>
        </w:rPr>
        <w:t>11</w:t>
      </w:r>
      <w:r w:rsidR="009559C0" w:rsidRPr="00BB0E1C">
        <w:rPr>
          <w:rFonts w:asciiTheme="majorBidi" w:hAnsiTheme="majorBidi" w:cstheme="majorBidi"/>
        </w:rPr>
        <w:t>)</w:t>
      </w:r>
      <w:r w:rsidR="004643DA" w:rsidRPr="00BB0E1C">
        <w:rPr>
          <w:rFonts w:asciiTheme="majorBidi" w:hAnsiTheme="majorBidi" w:cstheme="majorBidi"/>
        </w:rPr>
        <w:t>,</w:t>
      </w:r>
      <w:r w:rsidRPr="00BB0E1C">
        <w:rPr>
          <w:rFonts w:asciiTheme="majorBidi" w:hAnsiTheme="majorBidi" w:cstheme="majorBidi"/>
        </w:rPr>
        <w:t xml:space="preserve"> 895-899</w:t>
      </w:r>
      <w:r w:rsidR="009559C0" w:rsidRPr="00BB0E1C">
        <w:rPr>
          <w:rFonts w:asciiTheme="majorBidi" w:hAnsiTheme="majorBidi" w:cstheme="majorBidi"/>
        </w:rPr>
        <w:t>.</w:t>
      </w:r>
      <w:proofErr w:type="gramEnd"/>
    </w:p>
    <w:p w14:paraId="6C5A6FDC" w14:textId="22C590D0" w:rsidR="00EA5187" w:rsidRPr="00BB0E1C" w:rsidRDefault="00EA5187" w:rsidP="003B005D">
      <w:pPr>
        <w:tabs>
          <w:tab w:val="left" w:pos="567"/>
        </w:tabs>
        <w:spacing w:after="100" w:line="240" w:lineRule="auto"/>
        <w:ind w:left="425" w:hanging="425"/>
        <w:jc w:val="both"/>
        <w:rPr>
          <w:rFonts w:asciiTheme="majorBidi" w:hAnsiTheme="majorBidi" w:cstheme="majorBidi"/>
        </w:rPr>
      </w:pPr>
      <w:proofErr w:type="gramStart"/>
      <w:r w:rsidRPr="00BB0E1C">
        <w:rPr>
          <w:rFonts w:asciiTheme="majorBidi" w:hAnsiTheme="majorBidi" w:cstheme="majorBidi"/>
        </w:rPr>
        <w:t xml:space="preserve">Campbell, J. P., </w:t>
      </w:r>
      <w:proofErr w:type="spellStart"/>
      <w:r w:rsidRPr="00BB0E1C">
        <w:rPr>
          <w:rFonts w:asciiTheme="majorBidi" w:hAnsiTheme="majorBidi" w:cstheme="majorBidi"/>
        </w:rPr>
        <w:t>DeBlois</w:t>
      </w:r>
      <w:proofErr w:type="spellEnd"/>
      <w:r w:rsidRPr="00BB0E1C">
        <w:rPr>
          <w:rFonts w:asciiTheme="majorBidi" w:hAnsiTheme="majorBidi" w:cstheme="majorBidi"/>
        </w:rPr>
        <w:t xml:space="preserve">, P. B., </w:t>
      </w:r>
      <w:r w:rsidR="00F50315">
        <w:rPr>
          <w:rFonts w:asciiTheme="majorBidi" w:hAnsiTheme="majorBidi" w:cstheme="majorBidi"/>
        </w:rPr>
        <w:t>and</w:t>
      </w:r>
      <w:r w:rsidR="009559C0" w:rsidRPr="00BB0E1C">
        <w:rPr>
          <w:rFonts w:asciiTheme="majorBidi" w:hAnsiTheme="majorBidi" w:cstheme="majorBidi"/>
        </w:rPr>
        <w:t xml:space="preserve"> </w:t>
      </w:r>
      <w:proofErr w:type="spellStart"/>
      <w:r w:rsidRPr="00BB0E1C">
        <w:rPr>
          <w:rFonts w:asciiTheme="majorBidi" w:hAnsiTheme="majorBidi" w:cstheme="majorBidi"/>
        </w:rPr>
        <w:t>Oblinger</w:t>
      </w:r>
      <w:proofErr w:type="spellEnd"/>
      <w:r w:rsidRPr="00BB0E1C">
        <w:rPr>
          <w:rFonts w:asciiTheme="majorBidi" w:hAnsiTheme="majorBidi" w:cstheme="majorBidi"/>
        </w:rPr>
        <w:t xml:space="preserve">, D. G. </w:t>
      </w:r>
      <w:r w:rsidR="004643DA" w:rsidRPr="00BB0E1C">
        <w:rPr>
          <w:rFonts w:asciiTheme="majorBidi" w:hAnsiTheme="majorBidi" w:cstheme="majorBidi"/>
        </w:rPr>
        <w:t>(</w:t>
      </w:r>
      <w:r w:rsidRPr="00BB0E1C">
        <w:rPr>
          <w:rFonts w:asciiTheme="majorBidi" w:hAnsiTheme="majorBidi" w:cstheme="majorBidi"/>
        </w:rPr>
        <w:t>2007</w:t>
      </w:r>
      <w:r w:rsidR="004643DA" w:rsidRPr="00BB0E1C">
        <w:rPr>
          <w:rFonts w:asciiTheme="majorBidi" w:hAnsiTheme="majorBidi" w:cstheme="majorBidi"/>
        </w:rPr>
        <w:t>)</w:t>
      </w:r>
      <w:r w:rsidR="009559C0" w:rsidRPr="00BB0E1C">
        <w:rPr>
          <w:rFonts w:asciiTheme="majorBidi" w:hAnsiTheme="majorBidi" w:cstheme="majorBidi"/>
        </w:rPr>
        <w:t>.</w:t>
      </w:r>
      <w:proofErr w:type="gramEnd"/>
      <w:r w:rsidRPr="00BB0E1C">
        <w:rPr>
          <w:rFonts w:asciiTheme="majorBidi" w:hAnsiTheme="majorBidi" w:cstheme="majorBidi"/>
        </w:rPr>
        <w:t xml:space="preserve"> Academic Analytics, A new tool for a new era,</w:t>
      </w:r>
      <w:r w:rsidR="00D16526" w:rsidRPr="00BB0E1C">
        <w:rPr>
          <w:rFonts w:asciiTheme="majorBidi" w:hAnsiTheme="majorBidi" w:cstheme="majorBidi"/>
        </w:rPr>
        <w:t xml:space="preserve"> Retrieved 3 July 2015 from: </w:t>
      </w:r>
      <w:r w:rsidRPr="00BB0E1C">
        <w:rPr>
          <w:rFonts w:asciiTheme="majorBidi" w:hAnsiTheme="majorBidi" w:cstheme="majorBidi"/>
        </w:rPr>
        <w:t xml:space="preserve"> </w:t>
      </w:r>
      <w:r w:rsidR="00357D66" w:rsidRPr="00BB0E1C">
        <w:rPr>
          <w:rFonts w:asciiTheme="majorBidi" w:hAnsiTheme="majorBidi" w:cstheme="majorBidi"/>
        </w:rPr>
        <w:t>http://net.educause.edu/ir/library/pdf/ERM0742.pdf</w:t>
      </w:r>
      <w:r w:rsidR="00D16526" w:rsidRPr="00BB0E1C">
        <w:rPr>
          <w:rStyle w:val="Hyperlink"/>
          <w:rFonts w:asciiTheme="majorBidi" w:hAnsiTheme="majorBidi" w:cstheme="majorBidi"/>
        </w:rPr>
        <w:t>.</w:t>
      </w:r>
    </w:p>
    <w:p w14:paraId="24EC56C8" w14:textId="1A128FEE" w:rsidR="00EA5187" w:rsidRPr="00BB0E1C" w:rsidRDefault="00EA5187" w:rsidP="003B005D">
      <w:pPr>
        <w:tabs>
          <w:tab w:val="left" w:pos="567"/>
        </w:tabs>
        <w:spacing w:after="100" w:line="240" w:lineRule="auto"/>
        <w:ind w:left="425" w:hanging="425"/>
        <w:jc w:val="both"/>
        <w:rPr>
          <w:rFonts w:asciiTheme="majorBidi" w:hAnsiTheme="majorBidi" w:cstheme="majorBidi"/>
        </w:rPr>
      </w:pPr>
      <w:proofErr w:type="gramStart"/>
      <w:r w:rsidRPr="00BB0E1C">
        <w:rPr>
          <w:rFonts w:asciiTheme="majorBidi" w:hAnsiTheme="majorBidi" w:cstheme="majorBidi"/>
        </w:rPr>
        <w:t xml:space="preserve">Campbell, J. P., </w:t>
      </w:r>
      <w:r w:rsidR="00F50315">
        <w:rPr>
          <w:rFonts w:asciiTheme="majorBidi" w:hAnsiTheme="majorBidi" w:cstheme="majorBidi"/>
        </w:rPr>
        <w:t>and</w:t>
      </w:r>
      <w:r w:rsidR="009559C0" w:rsidRPr="00BB0E1C">
        <w:rPr>
          <w:rFonts w:asciiTheme="majorBidi" w:hAnsiTheme="majorBidi" w:cstheme="majorBidi"/>
        </w:rPr>
        <w:t xml:space="preserve"> </w:t>
      </w:r>
      <w:proofErr w:type="spellStart"/>
      <w:r w:rsidRPr="00BB0E1C">
        <w:rPr>
          <w:rFonts w:asciiTheme="majorBidi" w:hAnsiTheme="majorBidi" w:cstheme="majorBidi"/>
        </w:rPr>
        <w:t>Oblinger</w:t>
      </w:r>
      <w:proofErr w:type="spellEnd"/>
      <w:r w:rsidRPr="00BB0E1C">
        <w:rPr>
          <w:rFonts w:asciiTheme="majorBidi" w:hAnsiTheme="majorBidi" w:cstheme="majorBidi"/>
        </w:rPr>
        <w:t xml:space="preserve">, D. G. </w:t>
      </w:r>
      <w:r w:rsidR="004643DA" w:rsidRPr="00BB0E1C">
        <w:rPr>
          <w:rFonts w:asciiTheme="majorBidi" w:hAnsiTheme="majorBidi" w:cstheme="majorBidi"/>
        </w:rPr>
        <w:t>(</w:t>
      </w:r>
      <w:r w:rsidRPr="00BB0E1C">
        <w:rPr>
          <w:rFonts w:asciiTheme="majorBidi" w:hAnsiTheme="majorBidi" w:cstheme="majorBidi"/>
        </w:rPr>
        <w:t>2007</w:t>
      </w:r>
      <w:r w:rsidR="004643DA" w:rsidRPr="00BB0E1C">
        <w:rPr>
          <w:rFonts w:asciiTheme="majorBidi" w:hAnsiTheme="majorBidi" w:cstheme="majorBidi"/>
        </w:rPr>
        <w:t>)</w:t>
      </w:r>
      <w:r w:rsidR="009559C0" w:rsidRPr="00BB0E1C">
        <w:rPr>
          <w:rFonts w:asciiTheme="majorBidi" w:hAnsiTheme="majorBidi" w:cstheme="majorBidi"/>
        </w:rPr>
        <w:t>.</w:t>
      </w:r>
      <w:proofErr w:type="gramEnd"/>
      <w:r w:rsidRPr="00BB0E1C">
        <w:rPr>
          <w:rFonts w:asciiTheme="majorBidi" w:hAnsiTheme="majorBidi" w:cstheme="majorBidi"/>
        </w:rPr>
        <w:t xml:space="preserve"> Academic Analytics</w:t>
      </w:r>
      <w:proofErr w:type="gramStart"/>
      <w:r w:rsidRPr="00BB0E1C">
        <w:rPr>
          <w:rFonts w:asciiTheme="majorBidi" w:hAnsiTheme="majorBidi" w:cstheme="majorBidi"/>
        </w:rPr>
        <w:t xml:space="preserve">,  </w:t>
      </w:r>
      <w:r w:rsidR="00D16526" w:rsidRPr="00BB0E1C">
        <w:rPr>
          <w:rFonts w:asciiTheme="majorBidi" w:hAnsiTheme="majorBidi" w:cstheme="majorBidi"/>
        </w:rPr>
        <w:t>Retrieved</w:t>
      </w:r>
      <w:proofErr w:type="gramEnd"/>
      <w:r w:rsidR="00D16526" w:rsidRPr="00BB0E1C">
        <w:rPr>
          <w:rFonts w:asciiTheme="majorBidi" w:hAnsiTheme="majorBidi" w:cstheme="majorBidi"/>
        </w:rPr>
        <w:t xml:space="preserve"> 3 July 2015 from: </w:t>
      </w:r>
      <w:r w:rsidR="00357D66" w:rsidRPr="00BB0E1C">
        <w:rPr>
          <w:rFonts w:asciiTheme="majorBidi" w:hAnsiTheme="majorBidi" w:cstheme="majorBidi"/>
        </w:rPr>
        <w:t>http://net.educause.edu/ir/library/pdf/PUB6101.pdf</w:t>
      </w:r>
      <w:r w:rsidR="00D16526" w:rsidRPr="00BB0E1C">
        <w:rPr>
          <w:rFonts w:asciiTheme="majorBidi" w:hAnsiTheme="majorBidi" w:cstheme="majorBidi"/>
        </w:rPr>
        <w:t>.</w:t>
      </w:r>
    </w:p>
    <w:p w14:paraId="51822C8A" w14:textId="097BD8EB" w:rsidR="00EC0487" w:rsidRPr="00BB0E1C" w:rsidRDefault="00EC0487" w:rsidP="003B005D">
      <w:pPr>
        <w:tabs>
          <w:tab w:val="left" w:pos="567"/>
        </w:tabs>
        <w:spacing w:after="100" w:line="240" w:lineRule="auto"/>
        <w:ind w:left="425" w:hanging="425"/>
        <w:jc w:val="both"/>
        <w:rPr>
          <w:rFonts w:asciiTheme="majorBidi" w:hAnsiTheme="majorBidi" w:cstheme="majorBidi"/>
        </w:rPr>
      </w:pPr>
      <w:proofErr w:type="gramStart"/>
      <w:r w:rsidRPr="00BB0E1C">
        <w:rPr>
          <w:rFonts w:asciiTheme="majorBidi" w:hAnsiTheme="majorBidi" w:cstheme="majorBidi"/>
        </w:rPr>
        <w:t xml:space="preserve">Christie, H., </w:t>
      </w:r>
      <w:proofErr w:type="spellStart"/>
      <w:r w:rsidRPr="00BB0E1C">
        <w:rPr>
          <w:rFonts w:asciiTheme="majorBidi" w:hAnsiTheme="majorBidi" w:cstheme="majorBidi"/>
        </w:rPr>
        <w:t>Tett</w:t>
      </w:r>
      <w:proofErr w:type="spellEnd"/>
      <w:r w:rsidRPr="00BB0E1C">
        <w:rPr>
          <w:rFonts w:asciiTheme="majorBidi" w:hAnsiTheme="majorBidi" w:cstheme="majorBidi"/>
        </w:rPr>
        <w:t xml:space="preserve">, L., Cree, B.E., </w:t>
      </w:r>
      <w:proofErr w:type="spellStart"/>
      <w:r w:rsidRPr="00BB0E1C">
        <w:rPr>
          <w:rFonts w:asciiTheme="majorBidi" w:hAnsiTheme="majorBidi" w:cstheme="majorBidi"/>
        </w:rPr>
        <w:t>Hounsell</w:t>
      </w:r>
      <w:proofErr w:type="spellEnd"/>
      <w:r w:rsidRPr="00BB0E1C">
        <w:rPr>
          <w:rFonts w:asciiTheme="majorBidi" w:hAnsiTheme="majorBidi" w:cstheme="majorBidi"/>
        </w:rPr>
        <w:t xml:space="preserve">, J., </w:t>
      </w:r>
      <w:r w:rsidR="00F50315">
        <w:rPr>
          <w:rFonts w:asciiTheme="majorBidi" w:hAnsiTheme="majorBidi" w:cstheme="majorBidi"/>
        </w:rPr>
        <w:t>and</w:t>
      </w:r>
      <w:r w:rsidR="009559C0" w:rsidRPr="00BB0E1C">
        <w:rPr>
          <w:rFonts w:asciiTheme="majorBidi" w:hAnsiTheme="majorBidi" w:cstheme="majorBidi"/>
        </w:rPr>
        <w:t xml:space="preserve"> </w:t>
      </w:r>
      <w:proofErr w:type="spellStart"/>
      <w:r w:rsidRPr="00BB0E1C">
        <w:rPr>
          <w:rFonts w:asciiTheme="majorBidi" w:hAnsiTheme="majorBidi" w:cstheme="majorBidi"/>
        </w:rPr>
        <w:t>Mccune</w:t>
      </w:r>
      <w:proofErr w:type="spellEnd"/>
      <w:r w:rsidRPr="00BB0E1C">
        <w:rPr>
          <w:rFonts w:asciiTheme="majorBidi" w:hAnsiTheme="majorBidi" w:cstheme="majorBidi"/>
        </w:rPr>
        <w:t xml:space="preserve">, V. </w:t>
      </w:r>
      <w:r w:rsidR="004643DA" w:rsidRPr="00BB0E1C">
        <w:rPr>
          <w:rFonts w:asciiTheme="majorBidi" w:hAnsiTheme="majorBidi" w:cstheme="majorBidi"/>
        </w:rPr>
        <w:t>(</w:t>
      </w:r>
      <w:r w:rsidRPr="00BB0E1C">
        <w:rPr>
          <w:rFonts w:asciiTheme="majorBidi" w:hAnsiTheme="majorBidi" w:cstheme="majorBidi"/>
        </w:rPr>
        <w:t>2008</w:t>
      </w:r>
      <w:r w:rsidR="004643DA" w:rsidRPr="00BB0E1C">
        <w:rPr>
          <w:rFonts w:asciiTheme="majorBidi" w:hAnsiTheme="majorBidi" w:cstheme="majorBidi"/>
        </w:rPr>
        <w:t>)</w:t>
      </w:r>
      <w:r w:rsidRPr="00BB0E1C">
        <w:rPr>
          <w:rFonts w:asciiTheme="majorBidi" w:hAnsiTheme="majorBidi" w:cstheme="majorBidi"/>
        </w:rPr>
        <w:t>.</w:t>
      </w:r>
      <w:proofErr w:type="gramEnd"/>
      <w:r w:rsidRPr="00BB0E1C">
        <w:rPr>
          <w:rFonts w:asciiTheme="majorBidi" w:hAnsiTheme="majorBidi" w:cstheme="majorBidi"/>
        </w:rPr>
        <w:t xml:space="preserve"> ‘A real rollercoaster of confidence and emotions’: Learning to be a university student, </w:t>
      </w:r>
      <w:r w:rsidRPr="00BB0E1C">
        <w:rPr>
          <w:rFonts w:asciiTheme="majorBidi" w:hAnsiTheme="majorBidi" w:cstheme="majorBidi"/>
          <w:i/>
        </w:rPr>
        <w:t>Studies in Higher Education</w:t>
      </w:r>
      <w:r w:rsidR="009559C0" w:rsidRPr="00BB0E1C">
        <w:rPr>
          <w:rFonts w:asciiTheme="majorBidi" w:hAnsiTheme="majorBidi" w:cstheme="majorBidi"/>
          <w:iCs/>
        </w:rPr>
        <w:t>,</w:t>
      </w:r>
      <w:r w:rsidRPr="00BB0E1C">
        <w:rPr>
          <w:rFonts w:asciiTheme="majorBidi" w:hAnsiTheme="majorBidi" w:cstheme="majorBidi"/>
        </w:rPr>
        <w:t xml:space="preserve"> </w:t>
      </w:r>
      <w:r w:rsidRPr="00BB0E1C">
        <w:rPr>
          <w:rFonts w:asciiTheme="majorBidi" w:hAnsiTheme="majorBidi" w:cstheme="majorBidi"/>
          <w:i/>
          <w:iCs/>
        </w:rPr>
        <w:t>33</w:t>
      </w:r>
      <w:r w:rsidR="004643DA" w:rsidRPr="00BB0E1C">
        <w:rPr>
          <w:rFonts w:asciiTheme="majorBidi" w:hAnsiTheme="majorBidi" w:cstheme="majorBidi"/>
        </w:rPr>
        <w:t>,</w:t>
      </w:r>
      <w:r w:rsidRPr="00BB0E1C">
        <w:rPr>
          <w:rFonts w:asciiTheme="majorBidi" w:hAnsiTheme="majorBidi" w:cstheme="majorBidi"/>
        </w:rPr>
        <w:t xml:space="preserve"> 567-581.</w:t>
      </w:r>
    </w:p>
    <w:p w14:paraId="5984EC9A" w14:textId="23A3B25F" w:rsidR="00EA5187" w:rsidRPr="00BB0E1C" w:rsidRDefault="00EA5187" w:rsidP="003B005D">
      <w:pPr>
        <w:tabs>
          <w:tab w:val="left" w:pos="567"/>
        </w:tabs>
        <w:spacing w:after="100" w:line="240" w:lineRule="auto"/>
        <w:ind w:left="425" w:hanging="425"/>
        <w:jc w:val="both"/>
        <w:rPr>
          <w:rFonts w:asciiTheme="majorBidi" w:hAnsiTheme="majorBidi" w:cstheme="majorBidi"/>
        </w:rPr>
      </w:pPr>
      <w:proofErr w:type="gramStart"/>
      <w:r w:rsidRPr="00BB0E1C">
        <w:rPr>
          <w:rFonts w:asciiTheme="majorBidi" w:hAnsiTheme="majorBidi" w:cstheme="majorBidi"/>
        </w:rPr>
        <w:t xml:space="preserve">Dawson, S., </w:t>
      </w:r>
      <w:proofErr w:type="spellStart"/>
      <w:r w:rsidRPr="00BB0E1C">
        <w:rPr>
          <w:rFonts w:asciiTheme="majorBidi" w:hAnsiTheme="majorBidi" w:cstheme="majorBidi"/>
        </w:rPr>
        <w:t>McWilliam</w:t>
      </w:r>
      <w:proofErr w:type="spellEnd"/>
      <w:r w:rsidRPr="00BB0E1C">
        <w:rPr>
          <w:rFonts w:asciiTheme="majorBidi" w:hAnsiTheme="majorBidi" w:cstheme="majorBidi"/>
        </w:rPr>
        <w:t xml:space="preserve">, E., </w:t>
      </w:r>
      <w:r w:rsidR="00F50315">
        <w:rPr>
          <w:rFonts w:asciiTheme="majorBidi" w:hAnsiTheme="majorBidi" w:cstheme="majorBidi"/>
        </w:rPr>
        <w:t>and</w:t>
      </w:r>
      <w:r w:rsidR="009559C0" w:rsidRPr="00BB0E1C">
        <w:rPr>
          <w:rFonts w:asciiTheme="majorBidi" w:hAnsiTheme="majorBidi" w:cstheme="majorBidi"/>
        </w:rPr>
        <w:t xml:space="preserve"> </w:t>
      </w:r>
      <w:r w:rsidRPr="00BB0E1C">
        <w:rPr>
          <w:rFonts w:asciiTheme="majorBidi" w:hAnsiTheme="majorBidi" w:cstheme="majorBidi"/>
        </w:rPr>
        <w:t xml:space="preserve">Tan, J. P.L. </w:t>
      </w:r>
      <w:r w:rsidR="004643DA" w:rsidRPr="00BB0E1C">
        <w:rPr>
          <w:rFonts w:asciiTheme="majorBidi" w:hAnsiTheme="majorBidi" w:cstheme="majorBidi"/>
        </w:rPr>
        <w:t>(</w:t>
      </w:r>
      <w:r w:rsidRPr="00BB0E1C">
        <w:rPr>
          <w:rFonts w:asciiTheme="majorBidi" w:hAnsiTheme="majorBidi" w:cstheme="majorBidi"/>
        </w:rPr>
        <w:t>2008</w:t>
      </w:r>
      <w:r w:rsidR="004643DA" w:rsidRPr="00BB0E1C">
        <w:rPr>
          <w:rFonts w:asciiTheme="majorBidi" w:hAnsiTheme="majorBidi" w:cstheme="majorBidi"/>
        </w:rPr>
        <w:t>)</w:t>
      </w:r>
      <w:r w:rsidR="009559C0" w:rsidRPr="00BB0E1C">
        <w:rPr>
          <w:rFonts w:asciiTheme="majorBidi" w:hAnsiTheme="majorBidi" w:cstheme="majorBidi"/>
        </w:rPr>
        <w:t>.</w:t>
      </w:r>
      <w:proofErr w:type="gramEnd"/>
      <w:r w:rsidRPr="00BB0E1C">
        <w:rPr>
          <w:rFonts w:asciiTheme="majorBidi" w:hAnsiTheme="majorBidi" w:cstheme="majorBidi"/>
        </w:rPr>
        <w:t xml:space="preserve"> Teaching smarter: How mining ICT data can inform and improve learning and teaching practice. In</w:t>
      </w:r>
      <w:r w:rsidRPr="00BB0E1C">
        <w:rPr>
          <w:rFonts w:asciiTheme="majorBidi" w:hAnsiTheme="majorBidi" w:cstheme="majorBidi"/>
          <w:i/>
          <w:iCs/>
        </w:rPr>
        <w:t xml:space="preserve"> Hello! Where are you in the landscape of educational technology? </w:t>
      </w:r>
      <w:proofErr w:type="gramStart"/>
      <w:r w:rsidRPr="00BB0E1C">
        <w:rPr>
          <w:rFonts w:asciiTheme="majorBidi" w:hAnsiTheme="majorBidi" w:cstheme="majorBidi"/>
          <w:i/>
          <w:iCs/>
        </w:rPr>
        <w:t xml:space="preserve">Proceedings </w:t>
      </w:r>
      <w:proofErr w:type="spellStart"/>
      <w:r w:rsidRPr="00BB0E1C">
        <w:rPr>
          <w:rFonts w:asciiTheme="majorBidi" w:hAnsiTheme="majorBidi" w:cstheme="majorBidi"/>
          <w:i/>
          <w:iCs/>
        </w:rPr>
        <w:t>ascilite</w:t>
      </w:r>
      <w:proofErr w:type="spellEnd"/>
      <w:r w:rsidRPr="00BB0E1C">
        <w:rPr>
          <w:rFonts w:asciiTheme="majorBidi" w:hAnsiTheme="majorBidi" w:cstheme="majorBidi"/>
          <w:i/>
          <w:iCs/>
        </w:rPr>
        <w:t xml:space="preserve"> Melbourne 2008</w:t>
      </w:r>
      <w:r w:rsidRPr="00BB0E1C">
        <w:rPr>
          <w:rFonts w:asciiTheme="majorBidi" w:hAnsiTheme="majorBidi" w:cstheme="majorBidi"/>
        </w:rPr>
        <w:t>.</w:t>
      </w:r>
      <w:proofErr w:type="gramEnd"/>
      <w:r w:rsidRPr="00BB0E1C">
        <w:rPr>
          <w:rFonts w:asciiTheme="majorBidi" w:hAnsiTheme="majorBidi" w:cstheme="majorBidi"/>
        </w:rPr>
        <w:t xml:space="preserve"> </w:t>
      </w:r>
      <w:r w:rsidR="00D16526" w:rsidRPr="00BB0E1C">
        <w:rPr>
          <w:rFonts w:asciiTheme="majorBidi" w:hAnsiTheme="majorBidi" w:cstheme="majorBidi"/>
        </w:rPr>
        <w:t>Retrieved 3 July 2015 from:</w:t>
      </w:r>
      <w:r w:rsidR="00357D66" w:rsidRPr="00BB0E1C">
        <w:rPr>
          <w:rFonts w:asciiTheme="majorBidi" w:hAnsiTheme="majorBidi" w:cstheme="majorBidi"/>
        </w:rPr>
        <w:t xml:space="preserve">  </w:t>
      </w:r>
      <w:r w:rsidRPr="00BB0E1C">
        <w:rPr>
          <w:rFonts w:asciiTheme="majorBidi" w:hAnsiTheme="majorBidi" w:cstheme="majorBidi"/>
        </w:rPr>
        <w:t xml:space="preserve"> </w:t>
      </w:r>
      <w:r w:rsidR="00357D66" w:rsidRPr="00BB0E1C">
        <w:rPr>
          <w:rFonts w:asciiTheme="majorBidi" w:hAnsiTheme="majorBidi" w:cstheme="majorBidi"/>
        </w:rPr>
        <w:t>http://www.ascilite.org.au/conferences/melbourne08/procs/dawson.pdf</w:t>
      </w:r>
      <w:r w:rsidRPr="00BB0E1C">
        <w:rPr>
          <w:rFonts w:asciiTheme="majorBidi" w:hAnsiTheme="majorBidi" w:cstheme="majorBidi"/>
        </w:rPr>
        <w:t xml:space="preserve">.  </w:t>
      </w:r>
    </w:p>
    <w:p w14:paraId="305BE2E1" w14:textId="550D2EE6" w:rsidR="00E57B40" w:rsidRPr="00BB0E1C" w:rsidRDefault="00E57B40" w:rsidP="003B005D">
      <w:pPr>
        <w:tabs>
          <w:tab w:val="left" w:pos="567"/>
        </w:tabs>
        <w:spacing w:after="100" w:line="240" w:lineRule="auto"/>
        <w:ind w:left="425" w:hanging="425"/>
        <w:jc w:val="both"/>
        <w:rPr>
          <w:rFonts w:asciiTheme="majorBidi" w:hAnsiTheme="majorBidi" w:cstheme="majorBidi"/>
        </w:rPr>
      </w:pPr>
      <w:r w:rsidRPr="00BB0E1C">
        <w:rPr>
          <w:rFonts w:asciiTheme="majorBidi" w:hAnsiTheme="majorBidi" w:cstheme="majorBidi"/>
        </w:rPr>
        <w:t>Finn, J.</w:t>
      </w:r>
      <w:r w:rsidR="004643DA" w:rsidRPr="00BB0E1C">
        <w:rPr>
          <w:rFonts w:asciiTheme="majorBidi" w:hAnsiTheme="majorBidi" w:cstheme="majorBidi"/>
        </w:rPr>
        <w:t xml:space="preserve"> </w:t>
      </w:r>
      <w:r w:rsidRPr="00BB0E1C">
        <w:rPr>
          <w:rFonts w:asciiTheme="majorBidi" w:hAnsiTheme="majorBidi" w:cstheme="majorBidi"/>
        </w:rPr>
        <w:t xml:space="preserve">D. </w:t>
      </w:r>
      <w:r w:rsidR="004643DA" w:rsidRPr="00BB0E1C">
        <w:rPr>
          <w:rFonts w:asciiTheme="majorBidi" w:hAnsiTheme="majorBidi" w:cstheme="majorBidi"/>
        </w:rPr>
        <w:t>(</w:t>
      </w:r>
      <w:r w:rsidRPr="00BB0E1C">
        <w:rPr>
          <w:rFonts w:asciiTheme="majorBidi" w:hAnsiTheme="majorBidi" w:cstheme="majorBidi"/>
        </w:rPr>
        <w:t>1993</w:t>
      </w:r>
      <w:r w:rsidR="004643DA" w:rsidRPr="00BB0E1C">
        <w:rPr>
          <w:rFonts w:asciiTheme="majorBidi" w:hAnsiTheme="majorBidi" w:cstheme="majorBidi"/>
        </w:rPr>
        <w:t>)</w:t>
      </w:r>
      <w:r w:rsidRPr="00BB0E1C">
        <w:rPr>
          <w:rFonts w:asciiTheme="majorBidi" w:hAnsiTheme="majorBidi" w:cstheme="majorBidi"/>
        </w:rPr>
        <w:t xml:space="preserve">. </w:t>
      </w:r>
      <w:proofErr w:type="gramStart"/>
      <w:r w:rsidRPr="00BB0E1C">
        <w:rPr>
          <w:rFonts w:asciiTheme="majorBidi" w:hAnsiTheme="majorBidi" w:cstheme="majorBidi"/>
          <w:i/>
        </w:rPr>
        <w:t>School engagement and students at risk.</w:t>
      </w:r>
      <w:proofErr w:type="gramEnd"/>
      <w:r w:rsidRPr="00BB0E1C">
        <w:rPr>
          <w:rFonts w:asciiTheme="majorBidi" w:hAnsiTheme="majorBidi" w:cstheme="majorBidi"/>
        </w:rPr>
        <w:t xml:space="preserve"> Washington, D.C.: National </w:t>
      </w:r>
      <w:proofErr w:type="spellStart"/>
      <w:r w:rsidRPr="00BB0E1C">
        <w:rPr>
          <w:rFonts w:asciiTheme="majorBidi" w:hAnsiTheme="majorBidi" w:cstheme="majorBidi"/>
        </w:rPr>
        <w:t>Center</w:t>
      </w:r>
      <w:proofErr w:type="spellEnd"/>
      <w:r w:rsidRPr="00BB0E1C">
        <w:rPr>
          <w:rFonts w:asciiTheme="majorBidi" w:hAnsiTheme="majorBidi" w:cstheme="majorBidi"/>
        </w:rPr>
        <w:t xml:space="preserve"> for Education Statistics.</w:t>
      </w:r>
    </w:p>
    <w:p w14:paraId="39A53F81" w14:textId="1CEC90F5" w:rsidR="008A46AE" w:rsidRPr="00BB0E1C" w:rsidRDefault="008A46AE" w:rsidP="003B005D">
      <w:pPr>
        <w:tabs>
          <w:tab w:val="left" w:pos="567"/>
        </w:tabs>
        <w:spacing w:after="100" w:line="240" w:lineRule="auto"/>
        <w:ind w:left="425" w:hanging="425"/>
        <w:jc w:val="both"/>
        <w:rPr>
          <w:rFonts w:asciiTheme="majorBidi" w:hAnsiTheme="majorBidi" w:cstheme="majorBidi"/>
        </w:rPr>
      </w:pPr>
      <w:proofErr w:type="gramStart"/>
      <w:r w:rsidRPr="00BB0E1C">
        <w:rPr>
          <w:rFonts w:asciiTheme="majorBidi" w:hAnsiTheme="majorBidi" w:cstheme="majorBidi"/>
        </w:rPr>
        <w:t>Folger, W.</w:t>
      </w:r>
      <w:r w:rsidR="001A4B6C" w:rsidRPr="00BB0E1C">
        <w:rPr>
          <w:rFonts w:asciiTheme="majorBidi" w:hAnsiTheme="majorBidi" w:cstheme="majorBidi"/>
        </w:rPr>
        <w:t xml:space="preserve"> A.</w:t>
      </w:r>
      <w:r w:rsidRPr="00BB0E1C">
        <w:rPr>
          <w:rFonts w:asciiTheme="majorBidi" w:hAnsiTheme="majorBidi" w:cstheme="majorBidi"/>
        </w:rPr>
        <w:t xml:space="preserve">, Carter, J. A., </w:t>
      </w:r>
      <w:r w:rsidR="00F50315">
        <w:rPr>
          <w:rFonts w:asciiTheme="majorBidi" w:hAnsiTheme="majorBidi" w:cstheme="majorBidi"/>
        </w:rPr>
        <w:t>and</w:t>
      </w:r>
      <w:r w:rsidRPr="00BB0E1C">
        <w:rPr>
          <w:rFonts w:asciiTheme="majorBidi" w:hAnsiTheme="majorBidi" w:cstheme="majorBidi"/>
        </w:rPr>
        <w:t xml:space="preserve"> Chase, P. B. </w:t>
      </w:r>
      <w:r w:rsidR="004643DA" w:rsidRPr="00BB0E1C">
        <w:rPr>
          <w:rFonts w:asciiTheme="majorBidi" w:hAnsiTheme="majorBidi" w:cstheme="majorBidi"/>
        </w:rPr>
        <w:t>(</w:t>
      </w:r>
      <w:r w:rsidRPr="00BB0E1C">
        <w:rPr>
          <w:rFonts w:asciiTheme="majorBidi" w:hAnsiTheme="majorBidi" w:cstheme="majorBidi"/>
        </w:rPr>
        <w:t>2004</w:t>
      </w:r>
      <w:r w:rsidR="004643DA" w:rsidRPr="00BB0E1C">
        <w:rPr>
          <w:rFonts w:asciiTheme="majorBidi" w:hAnsiTheme="majorBidi" w:cstheme="majorBidi"/>
        </w:rPr>
        <w:t>)</w:t>
      </w:r>
      <w:r w:rsidRPr="00BB0E1C">
        <w:rPr>
          <w:rFonts w:asciiTheme="majorBidi" w:hAnsiTheme="majorBidi" w:cstheme="majorBidi"/>
        </w:rPr>
        <w:t>.</w:t>
      </w:r>
      <w:proofErr w:type="gramEnd"/>
      <w:r w:rsidRPr="00BB0E1C">
        <w:rPr>
          <w:rFonts w:asciiTheme="majorBidi" w:hAnsiTheme="majorBidi" w:cstheme="majorBidi"/>
        </w:rPr>
        <w:t xml:space="preserve"> </w:t>
      </w:r>
      <w:proofErr w:type="gramStart"/>
      <w:r w:rsidRPr="00BB0E1C">
        <w:rPr>
          <w:rFonts w:asciiTheme="majorBidi" w:hAnsiTheme="majorBidi" w:cstheme="majorBidi"/>
        </w:rPr>
        <w:t>Supporting first generation college freshmen with small group intervention</w:t>
      </w:r>
      <w:r w:rsidR="001A4B6C" w:rsidRPr="00BB0E1C">
        <w:rPr>
          <w:rFonts w:asciiTheme="majorBidi" w:hAnsiTheme="majorBidi" w:cstheme="majorBidi"/>
        </w:rPr>
        <w:t xml:space="preserve">, </w:t>
      </w:r>
      <w:r w:rsidR="001A4B6C" w:rsidRPr="00BB0E1C">
        <w:rPr>
          <w:rFonts w:asciiTheme="majorBidi" w:hAnsiTheme="majorBidi" w:cstheme="majorBidi"/>
          <w:i/>
          <w:iCs/>
        </w:rPr>
        <w:t>College Student Journal</w:t>
      </w:r>
      <w:r w:rsidR="001A4B6C" w:rsidRPr="00BB0E1C">
        <w:rPr>
          <w:rFonts w:asciiTheme="majorBidi" w:hAnsiTheme="majorBidi" w:cstheme="majorBidi"/>
        </w:rPr>
        <w:t xml:space="preserve">, </w:t>
      </w:r>
      <w:r w:rsidR="001A4B6C" w:rsidRPr="00BB0E1C">
        <w:rPr>
          <w:rFonts w:asciiTheme="majorBidi" w:hAnsiTheme="majorBidi" w:cstheme="majorBidi"/>
          <w:i/>
          <w:iCs/>
        </w:rPr>
        <w:t>38</w:t>
      </w:r>
      <w:r w:rsidR="001A4B6C" w:rsidRPr="00BB0E1C">
        <w:rPr>
          <w:rFonts w:asciiTheme="majorBidi" w:hAnsiTheme="majorBidi" w:cstheme="majorBidi"/>
        </w:rPr>
        <w:t>(3)</w:t>
      </w:r>
      <w:r w:rsidR="004643DA" w:rsidRPr="00BB0E1C">
        <w:rPr>
          <w:rFonts w:asciiTheme="majorBidi" w:hAnsiTheme="majorBidi" w:cstheme="majorBidi"/>
        </w:rPr>
        <w:t>,</w:t>
      </w:r>
      <w:r w:rsidR="001A4B6C" w:rsidRPr="00BB0E1C">
        <w:rPr>
          <w:rFonts w:asciiTheme="majorBidi" w:hAnsiTheme="majorBidi" w:cstheme="majorBidi"/>
        </w:rPr>
        <w:t xml:space="preserve"> 472-475.</w:t>
      </w:r>
      <w:proofErr w:type="gramEnd"/>
    </w:p>
    <w:p w14:paraId="02076E79" w14:textId="1EA5094E" w:rsidR="0049483D" w:rsidRPr="00BB0E1C" w:rsidRDefault="0049483D" w:rsidP="003B005D">
      <w:pPr>
        <w:tabs>
          <w:tab w:val="left" w:pos="567"/>
        </w:tabs>
        <w:spacing w:after="100" w:line="240" w:lineRule="auto"/>
        <w:ind w:left="425" w:hanging="425"/>
        <w:jc w:val="both"/>
        <w:rPr>
          <w:rFonts w:asciiTheme="majorBidi" w:hAnsiTheme="majorBidi" w:cstheme="majorBidi"/>
        </w:rPr>
      </w:pPr>
      <w:proofErr w:type="gramStart"/>
      <w:r w:rsidRPr="00BB0E1C">
        <w:rPr>
          <w:rFonts w:asciiTheme="majorBidi" w:hAnsiTheme="majorBidi" w:cstheme="majorBidi"/>
          <w:shd w:val="clear" w:color="auto" w:fill="FFFFFF"/>
        </w:rPr>
        <w:t xml:space="preserve">Hand, L. </w:t>
      </w:r>
      <w:r w:rsidR="00F50315">
        <w:rPr>
          <w:rFonts w:asciiTheme="majorBidi" w:hAnsiTheme="majorBidi" w:cstheme="majorBidi"/>
          <w:shd w:val="clear" w:color="auto" w:fill="FFFFFF"/>
        </w:rPr>
        <w:t>and</w:t>
      </w:r>
      <w:r w:rsidRPr="00BB0E1C">
        <w:rPr>
          <w:rFonts w:asciiTheme="majorBidi" w:hAnsiTheme="majorBidi" w:cstheme="majorBidi"/>
          <w:shd w:val="clear" w:color="auto" w:fill="FFFFFF"/>
        </w:rPr>
        <w:t xml:space="preserve"> Bryson, C. (2008).</w:t>
      </w:r>
      <w:proofErr w:type="gramEnd"/>
      <w:r w:rsidRPr="00BB0E1C">
        <w:rPr>
          <w:rFonts w:asciiTheme="majorBidi" w:hAnsiTheme="majorBidi" w:cstheme="majorBidi"/>
          <w:shd w:val="clear" w:color="auto" w:fill="FFFFFF"/>
        </w:rPr>
        <w:t xml:space="preserve"> Student engagement, SEDA Special 22, London</w:t>
      </w:r>
    </w:p>
    <w:p w14:paraId="2B24C459" w14:textId="1578E857" w:rsidR="00E57B40" w:rsidRPr="00BB0E1C" w:rsidRDefault="00E57B40" w:rsidP="003B005D">
      <w:pPr>
        <w:tabs>
          <w:tab w:val="left" w:pos="567"/>
        </w:tabs>
        <w:spacing w:after="100" w:line="240" w:lineRule="auto"/>
        <w:ind w:left="425" w:hanging="425"/>
        <w:jc w:val="both"/>
        <w:rPr>
          <w:rFonts w:asciiTheme="majorBidi" w:hAnsiTheme="majorBidi" w:cstheme="majorBidi"/>
        </w:rPr>
      </w:pPr>
      <w:proofErr w:type="spellStart"/>
      <w:r w:rsidRPr="00BB0E1C">
        <w:rPr>
          <w:rFonts w:asciiTheme="majorBidi" w:hAnsiTheme="majorBidi" w:cstheme="majorBidi"/>
        </w:rPr>
        <w:t>Kahu</w:t>
      </w:r>
      <w:proofErr w:type="spellEnd"/>
      <w:r w:rsidRPr="00BB0E1C">
        <w:rPr>
          <w:rFonts w:asciiTheme="majorBidi" w:hAnsiTheme="majorBidi" w:cstheme="majorBidi"/>
        </w:rPr>
        <w:t xml:space="preserve">, E.R. </w:t>
      </w:r>
      <w:r w:rsidR="004643DA" w:rsidRPr="00BB0E1C">
        <w:rPr>
          <w:rFonts w:asciiTheme="majorBidi" w:hAnsiTheme="majorBidi" w:cstheme="majorBidi"/>
        </w:rPr>
        <w:t>(</w:t>
      </w:r>
      <w:r w:rsidRPr="00BB0E1C">
        <w:rPr>
          <w:rFonts w:asciiTheme="majorBidi" w:hAnsiTheme="majorBidi" w:cstheme="majorBidi"/>
        </w:rPr>
        <w:t>2013</w:t>
      </w:r>
      <w:r w:rsidR="004643DA" w:rsidRPr="00BB0E1C">
        <w:rPr>
          <w:rFonts w:asciiTheme="majorBidi" w:hAnsiTheme="majorBidi" w:cstheme="majorBidi"/>
        </w:rPr>
        <w:t>)</w:t>
      </w:r>
      <w:r w:rsidRPr="00BB0E1C">
        <w:rPr>
          <w:rFonts w:asciiTheme="majorBidi" w:hAnsiTheme="majorBidi" w:cstheme="majorBidi"/>
        </w:rPr>
        <w:t xml:space="preserve">. </w:t>
      </w:r>
      <w:proofErr w:type="gramStart"/>
      <w:r w:rsidRPr="00BB0E1C">
        <w:rPr>
          <w:rFonts w:asciiTheme="majorBidi" w:hAnsiTheme="majorBidi" w:cstheme="majorBidi"/>
        </w:rPr>
        <w:t xml:space="preserve">Framing student engagement in higher education, </w:t>
      </w:r>
      <w:r w:rsidRPr="00BB0E1C">
        <w:rPr>
          <w:rFonts w:asciiTheme="majorBidi" w:hAnsiTheme="majorBidi" w:cstheme="majorBidi"/>
          <w:i/>
        </w:rPr>
        <w:t>Studies in Higher Education</w:t>
      </w:r>
      <w:r w:rsidR="009559C0" w:rsidRPr="00BB0E1C">
        <w:rPr>
          <w:rFonts w:asciiTheme="majorBidi" w:hAnsiTheme="majorBidi" w:cstheme="majorBidi"/>
          <w:iCs/>
        </w:rPr>
        <w:t>,</w:t>
      </w:r>
      <w:r w:rsidRPr="00BB0E1C">
        <w:rPr>
          <w:rFonts w:asciiTheme="majorBidi" w:hAnsiTheme="majorBidi" w:cstheme="majorBidi"/>
        </w:rPr>
        <w:t xml:space="preserve"> </w:t>
      </w:r>
      <w:r w:rsidRPr="00BB0E1C">
        <w:rPr>
          <w:rFonts w:asciiTheme="majorBidi" w:hAnsiTheme="majorBidi" w:cstheme="majorBidi"/>
          <w:i/>
          <w:iCs/>
        </w:rPr>
        <w:t>38</w:t>
      </w:r>
      <w:r w:rsidRPr="00BB0E1C">
        <w:rPr>
          <w:rFonts w:asciiTheme="majorBidi" w:hAnsiTheme="majorBidi" w:cstheme="majorBidi"/>
        </w:rPr>
        <w:t>(5)</w:t>
      </w:r>
      <w:r w:rsidR="004643DA" w:rsidRPr="00BB0E1C">
        <w:rPr>
          <w:rFonts w:asciiTheme="majorBidi" w:hAnsiTheme="majorBidi" w:cstheme="majorBidi"/>
        </w:rPr>
        <w:t>,</w:t>
      </w:r>
      <w:r w:rsidRPr="00BB0E1C">
        <w:rPr>
          <w:rFonts w:asciiTheme="majorBidi" w:hAnsiTheme="majorBidi" w:cstheme="majorBidi"/>
        </w:rPr>
        <w:t xml:space="preserve"> 758-773.</w:t>
      </w:r>
      <w:proofErr w:type="gramEnd"/>
    </w:p>
    <w:p w14:paraId="0AE4EE3E" w14:textId="32A4E633" w:rsidR="00E57B40" w:rsidRPr="00BB0E1C" w:rsidRDefault="00E57B40" w:rsidP="003B005D">
      <w:pPr>
        <w:tabs>
          <w:tab w:val="left" w:pos="567"/>
        </w:tabs>
        <w:spacing w:after="100" w:line="240" w:lineRule="auto"/>
        <w:ind w:left="425" w:hanging="425"/>
        <w:jc w:val="both"/>
        <w:rPr>
          <w:rFonts w:asciiTheme="majorBidi" w:hAnsiTheme="majorBidi" w:cstheme="majorBidi"/>
        </w:rPr>
      </w:pPr>
      <w:proofErr w:type="spellStart"/>
      <w:proofErr w:type="gramStart"/>
      <w:r w:rsidRPr="00BB0E1C">
        <w:rPr>
          <w:rFonts w:asciiTheme="majorBidi" w:hAnsiTheme="majorBidi" w:cstheme="majorBidi"/>
        </w:rPr>
        <w:t>Kember</w:t>
      </w:r>
      <w:proofErr w:type="spellEnd"/>
      <w:r w:rsidRPr="00BB0E1C">
        <w:rPr>
          <w:rFonts w:asciiTheme="majorBidi" w:hAnsiTheme="majorBidi" w:cstheme="majorBidi"/>
        </w:rPr>
        <w:t xml:space="preserve">, D., Lee, K., </w:t>
      </w:r>
      <w:r w:rsidR="00F50315">
        <w:rPr>
          <w:rFonts w:asciiTheme="majorBidi" w:hAnsiTheme="majorBidi" w:cstheme="majorBidi"/>
        </w:rPr>
        <w:t>and</w:t>
      </w:r>
      <w:r w:rsidR="009559C0" w:rsidRPr="00BB0E1C">
        <w:rPr>
          <w:rFonts w:asciiTheme="majorBidi" w:hAnsiTheme="majorBidi" w:cstheme="majorBidi"/>
        </w:rPr>
        <w:t xml:space="preserve"> </w:t>
      </w:r>
      <w:r w:rsidRPr="00BB0E1C">
        <w:rPr>
          <w:rFonts w:asciiTheme="majorBidi" w:hAnsiTheme="majorBidi" w:cstheme="majorBidi"/>
        </w:rPr>
        <w:t xml:space="preserve">Li, N. </w:t>
      </w:r>
      <w:r w:rsidR="004643DA" w:rsidRPr="00BB0E1C">
        <w:rPr>
          <w:rFonts w:asciiTheme="majorBidi" w:hAnsiTheme="majorBidi" w:cstheme="majorBidi"/>
        </w:rPr>
        <w:t>(</w:t>
      </w:r>
      <w:r w:rsidRPr="00BB0E1C">
        <w:rPr>
          <w:rFonts w:asciiTheme="majorBidi" w:hAnsiTheme="majorBidi" w:cstheme="majorBidi"/>
        </w:rPr>
        <w:t>2001</w:t>
      </w:r>
      <w:r w:rsidR="004643DA" w:rsidRPr="00BB0E1C">
        <w:rPr>
          <w:rFonts w:asciiTheme="majorBidi" w:hAnsiTheme="majorBidi" w:cstheme="majorBidi"/>
        </w:rPr>
        <w:t>)</w:t>
      </w:r>
      <w:r w:rsidRPr="00BB0E1C">
        <w:rPr>
          <w:rFonts w:asciiTheme="majorBidi" w:hAnsiTheme="majorBidi" w:cstheme="majorBidi"/>
        </w:rPr>
        <w:t>.</w:t>
      </w:r>
      <w:proofErr w:type="gramEnd"/>
      <w:r w:rsidRPr="00BB0E1C">
        <w:rPr>
          <w:rFonts w:asciiTheme="majorBidi" w:hAnsiTheme="majorBidi" w:cstheme="majorBidi"/>
        </w:rPr>
        <w:t xml:space="preserve"> </w:t>
      </w:r>
      <w:proofErr w:type="gramStart"/>
      <w:r w:rsidRPr="00BB0E1C">
        <w:rPr>
          <w:rFonts w:asciiTheme="majorBidi" w:hAnsiTheme="majorBidi" w:cstheme="majorBidi"/>
        </w:rPr>
        <w:t xml:space="preserve">Cultivating a sense of belonging in part-time students, </w:t>
      </w:r>
      <w:r w:rsidRPr="00BB0E1C">
        <w:rPr>
          <w:rFonts w:asciiTheme="majorBidi" w:hAnsiTheme="majorBidi" w:cstheme="majorBidi"/>
          <w:i/>
        </w:rPr>
        <w:t>International Journal of Lifelong Education</w:t>
      </w:r>
      <w:r w:rsidR="009559C0" w:rsidRPr="00BB0E1C">
        <w:rPr>
          <w:rFonts w:asciiTheme="majorBidi" w:hAnsiTheme="majorBidi" w:cstheme="majorBidi"/>
          <w:iCs/>
        </w:rPr>
        <w:t>,</w:t>
      </w:r>
      <w:r w:rsidRPr="00BB0E1C">
        <w:rPr>
          <w:rFonts w:asciiTheme="majorBidi" w:hAnsiTheme="majorBidi" w:cstheme="majorBidi"/>
        </w:rPr>
        <w:t xml:space="preserve"> </w:t>
      </w:r>
      <w:r w:rsidRPr="00BB0E1C">
        <w:rPr>
          <w:rFonts w:asciiTheme="majorBidi" w:hAnsiTheme="majorBidi" w:cstheme="majorBidi"/>
          <w:i/>
          <w:iCs/>
        </w:rPr>
        <w:t>20</w:t>
      </w:r>
      <w:r w:rsidR="004643DA" w:rsidRPr="00BB0E1C">
        <w:rPr>
          <w:rFonts w:asciiTheme="majorBidi" w:hAnsiTheme="majorBidi" w:cstheme="majorBidi"/>
        </w:rPr>
        <w:t>,</w:t>
      </w:r>
      <w:r w:rsidRPr="00BB0E1C">
        <w:rPr>
          <w:rFonts w:asciiTheme="majorBidi" w:hAnsiTheme="majorBidi" w:cstheme="majorBidi"/>
        </w:rPr>
        <w:t xml:space="preserve"> 326-341.</w:t>
      </w:r>
      <w:proofErr w:type="gramEnd"/>
    </w:p>
    <w:p w14:paraId="1AFF65C5" w14:textId="25E9B71D" w:rsidR="00EA5187" w:rsidRPr="00BB0E1C" w:rsidRDefault="00EA5187" w:rsidP="003B005D">
      <w:pPr>
        <w:tabs>
          <w:tab w:val="left" w:pos="567"/>
        </w:tabs>
        <w:spacing w:after="100" w:line="240" w:lineRule="auto"/>
        <w:ind w:left="425" w:hanging="425"/>
        <w:jc w:val="both"/>
        <w:rPr>
          <w:rFonts w:asciiTheme="majorBidi" w:hAnsiTheme="majorBidi" w:cstheme="majorBidi"/>
        </w:rPr>
      </w:pPr>
      <w:proofErr w:type="gramStart"/>
      <w:r w:rsidRPr="00BB0E1C">
        <w:rPr>
          <w:rFonts w:asciiTheme="majorBidi" w:hAnsiTheme="majorBidi" w:cstheme="majorBidi"/>
        </w:rPr>
        <w:t xml:space="preserve">Krause, K-L, </w:t>
      </w:r>
      <w:r w:rsidR="00F50315">
        <w:rPr>
          <w:rFonts w:asciiTheme="majorBidi" w:hAnsiTheme="majorBidi" w:cstheme="majorBidi"/>
        </w:rPr>
        <w:t>and</w:t>
      </w:r>
      <w:r w:rsidR="009559C0" w:rsidRPr="00BB0E1C">
        <w:rPr>
          <w:rFonts w:asciiTheme="majorBidi" w:hAnsiTheme="majorBidi" w:cstheme="majorBidi"/>
        </w:rPr>
        <w:t xml:space="preserve"> </w:t>
      </w:r>
      <w:r w:rsidRPr="00BB0E1C">
        <w:rPr>
          <w:rFonts w:asciiTheme="majorBidi" w:hAnsiTheme="majorBidi" w:cstheme="majorBidi"/>
        </w:rPr>
        <w:t xml:space="preserve">Coates, H. </w:t>
      </w:r>
      <w:r w:rsidR="004643DA" w:rsidRPr="00BB0E1C">
        <w:rPr>
          <w:rFonts w:asciiTheme="majorBidi" w:hAnsiTheme="majorBidi" w:cstheme="majorBidi"/>
        </w:rPr>
        <w:t>(</w:t>
      </w:r>
      <w:r w:rsidRPr="00BB0E1C">
        <w:rPr>
          <w:rFonts w:asciiTheme="majorBidi" w:hAnsiTheme="majorBidi" w:cstheme="majorBidi"/>
        </w:rPr>
        <w:t>2008</w:t>
      </w:r>
      <w:r w:rsidR="004643DA" w:rsidRPr="00BB0E1C">
        <w:rPr>
          <w:rFonts w:asciiTheme="majorBidi" w:hAnsiTheme="majorBidi" w:cstheme="majorBidi"/>
        </w:rPr>
        <w:t>)</w:t>
      </w:r>
      <w:r w:rsidR="009559C0" w:rsidRPr="00BB0E1C">
        <w:rPr>
          <w:rFonts w:asciiTheme="majorBidi" w:hAnsiTheme="majorBidi" w:cstheme="majorBidi"/>
        </w:rPr>
        <w:t>.</w:t>
      </w:r>
      <w:proofErr w:type="gramEnd"/>
      <w:r w:rsidRPr="00BB0E1C">
        <w:rPr>
          <w:rFonts w:asciiTheme="majorBidi" w:hAnsiTheme="majorBidi" w:cstheme="majorBidi"/>
        </w:rPr>
        <w:t xml:space="preserve"> </w:t>
      </w:r>
      <w:proofErr w:type="gramStart"/>
      <w:r w:rsidRPr="00BB0E1C">
        <w:rPr>
          <w:rFonts w:asciiTheme="majorBidi" w:hAnsiTheme="majorBidi" w:cstheme="majorBidi"/>
        </w:rPr>
        <w:t xml:space="preserve">Students’ engagement in first-year university, </w:t>
      </w:r>
      <w:r w:rsidRPr="00BB0E1C">
        <w:rPr>
          <w:rFonts w:asciiTheme="majorBidi" w:hAnsiTheme="majorBidi" w:cstheme="majorBidi"/>
          <w:i/>
          <w:iCs/>
        </w:rPr>
        <w:t xml:space="preserve">Assessment </w:t>
      </w:r>
      <w:r w:rsidR="00F50315">
        <w:rPr>
          <w:rFonts w:asciiTheme="majorBidi" w:hAnsiTheme="majorBidi" w:cstheme="majorBidi"/>
          <w:i/>
          <w:iCs/>
        </w:rPr>
        <w:t>and</w:t>
      </w:r>
      <w:r w:rsidRPr="00BB0E1C">
        <w:rPr>
          <w:rFonts w:asciiTheme="majorBidi" w:hAnsiTheme="majorBidi" w:cstheme="majorBidi"/>
          <w:i/>
          <w:iCs/>
        </w:rPr>
        <w:t xml:space="preserve"> Evaluation in Higher Education</w:t>
      </w:r>
      <w:r w:rsidRPr="00BB0E1C">
        <w:rPr>
          <w:rFonts w:asciiTheme="majorBidi" w:hAnsiTheme="majorBidi" w:cstheme="majorBidi"/>
        </w:rPr>
        <w:t xml:space="preserve">, </w:t>
      </w:r>
      <w:r w:rsidRPr="00BB0E1C">
        <w:rPr>
          <w:rFonts w:asciiTheme="majorBidi" w:hAnsiTheme="majorBidi" w:cstheme="majorBidi"/>
          <w:i/>
          <w:iCs/>
        </w:rPr>
        <w:t>33</w:t>
      </w:r>
      <w:r w:rsidR="009559C0" w:rsidRPr="00BB0E1C">
        <w:rPr>
          <w:rFonts w:asciiTheme="majorBidi" w:hAnsiTheme="majorBidi" w:cstheme="majorBidi"/>
        </w:rPr>
        <w:t>(</w:t>
      </w:r>
      <w:r w:rsidRPr="00BB0E1C">
        <w:rPr>
          <w:rFonts w:asciiTheme="majorBidi" w:hAnsiTheme="majorBidi" w:cstheme="majorBidi"/>
        </w:rPr>
        <w:t>5</w:t>
      </w:r>
      <w:r w:rsidR="009559C0" w:rsidRPr="00BB0E1C">
        <w:rPr>
          <w:rFonts w:asciiTheme="majorBidi" w:hAnsiTheme="majorBidi" w:cstheme="majorBidi"/>
        </w:rPr>
        <w:t>)</w:t>
      </w:r>
      <w:r w:rsidR="004643DA" w:rsidRPr="00BB0E1C">
        <w:rPr>
          <w:rFonts w:asciiTheme="majorBidi" w:hAnsiTheme="majorBidi" w:cstheme="majorBidi"/>
        </w:rPr>
        <w:t>,</w:t>
      </w:r>
      <w:r w:rsidRPr="00BB0E1C">
        <w:rPr>
          <w:rFonts w:asciiTheme="majorBidi" w:hAnsiTheme="majorBidi" w:cstheme="majorBidi"/>
        </w:rPr>
        <w:t xml:space="preserve"> 493-505</w:t>
      </w:r>
      <w:r w:rsidR="009559C0" w:rsidRPr="00BB0E1C">
        <w:rPr>
          <w:rFonts w:asciiTheme="majorBidi" w:hAnsiTheme="majorBidi" w:cstheme="majorBidi"/>
        </w:rPr>
        <w:t>.</w:t>
      </w:r>
      <w:proofErr w:type="gramEnd"/>
    </w:p>
    <w:p w14:paraId="1D0DEECA" w14:textId="77777777" w:rsidR="003B005D" w:rsidRDefault="00EC0487" w:rsidP="003B005D">
      <w:pPr>
        <w:tabs>
          <w:tab w:val="left" w:pos="567"/>
        </w:tabs>
        <w:spacing w:after="0" w:line="240" w:lineRule="auto"/>
        <w:ind w:left="425" w:hanging="425"/>
        <w:jc w:val="both"/>
        <w:rPr>
          <w:rFonts w:asciiTheme="majorBidi" w:hAnsiTheme="majorBidi" w:cstheme="majorBidi"/>
        </w:rPr>
      </w:pPr>
      <w:r w:rsidRPr="00BB0E1C">
        <w:rPr>
          <w:rFonts w:asciiTheme="majorBidi" w:hAnsiTheme="majorBidi" w:cstheme="majorBidi"/>
        </w:rPr>
        <w:t xml:space="preserve">Lawrence, J. </w:t>
      </w:r>
      <w:r w:rsidR="004643DA" w:rsidRPr="00BB0E1C">
        <w:rPr>
          <w:rFonts w:asciiTheme="majorBidi" w:hAnsiTheme="majorBidi" w:cstheme="majorBidi"/>
        </w:rPr>
        <w:t>(</w:t>
      </w:r>
      <w:r w:rsidRPr="00BB0E1C">
        <w:rPr>
          <w:rFonts w:asciiTheme="majorBidi" w:hAnsiTheme="majorBidi" w:cstheme="majorBidi"/>
        </w:rPr>
        <w:t>2006</w:t>
      </w:r>
      <w:r w:rsidR="004643DA" w:rsidRPr="00BB0E1C">
        <w:rPr>
          <w:rFonts w:asciiTheme="majorBidi" w:hAnsiTheme="majorBidi" w:cstheme="majorBidi"/>
        </w:rPr>
        <w:t>)</w:t>
      </w:r>
      <w:r w:rsidRPr="00BB0E1C">
        <w:rPr>
          <w:rFonts w:asciiTheme="majorBidi" w:hAnsiTheme="majorBidi" w:cstheme="majorBidi"/>
        </w:rPr>
        <w:t xml:space="preserve">. </w:t>
      </w:r>
      <w:proofErr w:type="gramStart"/>
      <w:r w:rsidRPr="00BB0E1C">
        <w:rPr>
          <w:rFonts w:asciiTheme="majorBidi" w:hAnsiTheme="majorBidi" w:cstheme="majorBidi"/>
        </w:rPr>
        <w:t>Engaging first year students: A collaborative approach implemented in a first year nursing course.</w:t>
      </w:r>
      <w:proofErr w:type="gramEnd"/>
      <w:r w:rsidRPr="00BB0E1C">
        <w:rPr>
          <w:rFonts w:asciiTheme="majorBidi" w:hAnsiTheme="majorBidi" w:cstheme="majorBidi"/>
        </w:rPr>
        <w:t xml:space="preserve"> In </w:t>
      </w:r>
      <w:r w:rsidRPr="00BB0E1C">
        <w:rPr>
          <w:rFonts w:asciiTheme="majorBidi" w:hAnsiTheme="majorBidi" w:cstheme="majorBidi"/>
          <w:i/>
        </w:rPr>
        <w:t>Proceedings of the 9</w:t>
      </w:r>
      <w:r w:rsidRPr="00BB0E1C">
        <w:rPr>
          <w:rFonts w:asciiTheme="majorBidi" w:hAnsiTheme="majorBidi" w:cstheme="majorBidi"/>
          <w:i/>
          <w:vertAlign w:val="superscript"/>
        </w:rPr>
        <w:t>th</w:t>
      </w:r>
      <w:r w:rsidRPr="00BB0E1C">
        <w:rPr>
          <w:rFonts w:asciiTheme="majorBidi" w:hAnsiTheme="majorBidi" w:cstheme="majorBidi"/>
          <w:i/>
        </w:rPr>
        <w:t xml:space="preserve"> Pacific Rim Conference – First Year in Higher Education: Engaging Students</w:t>
      </w:r>
      <w:r w:rsidRPr="00BB0E1C">
        <w:rPr>
          <w:rFonts w:asciiTheme="majorBidi" w:hAnsiTheme="majorBidi" w:cstheme="majorBidi"/>
        </w:rPr>
        <w:t>. Retrieved 15 September 2015 from:</w:t>
      </w:r>
    </w:p>
    <w:p w14:paraId="29B1FBD1" w14:textId="07FA402C" w:rsidR="00EC0487" w:rsidRPr="00BB0E1C" w:rsidRDefault="00EC0487" w:rsidP="003B005D">
      <w:pPr>
        <w:tabs>
          <w:tab w:val="left" w:pos="567"/>
        </w:tabs>
        <w:spacing w:after="100" w:line="240" w:lineRule="auto"/>
        <w:ind w:left="425" w:hanging="425"/>
        <w:jc w:val="both"/>
        <w:rPr>
          <w:rFonts w:asciiTheme="majorBidi" w:hAnsiTheme="majorBidi" w:cstheme="majorBidi"/>
        </w:rPr>
      </w:pPr>
      <w:r w:rsidRPr="00BB0E1C">
        <w:rPr>
          <w:rFonts w:asciiTheme="majorBidi" w:hAnsiTheme="majorBidi" w:cstheme="majorBidi"/>
        </w:rPr>
        <w:t xml:space="preserve"> </w:t>
      </w:r>
      <w:r w:rsidR="003B005D">
        <w:rPr>
          <w:rFonts w:asciiTheme="majorBidi" w:hAnsiTheme="majorBidi" w:cstheme="majorBidi"/>
        </w:rPr>
        <w:tab/>
      </w:r>
      <w:r w:rsidR="00357D66" w:rsidRPr="00BB0E1C">
        <w:rPr>
          <w:rFonts w:asciiTheme="majorBidi" w:hAnsiTheme="majorBidi" w:cstheme="majorBidi"/>
        </w:rPr>
        <w:t>http://eprints.usq.edu.au/983/1/Lawerence.pdf</w:t>
      </w:r>
      <w:r w:rsidR="004643DA" w:rsidRPr="00BB0E1C">
        <w:rPr>
          <w:rStyle w:val="Hyperlink"/>
          <w:rFonts w:asciiTheme="majorBidi" w:hAnsiTheme="majorBidi" w:cstheme="majorBidi"/>
        </w:rPr>
        <w:t>.</w:t>
      </w:r>
      <w:r w:rsidRPr="00BB0E1C">
        <w:rPr>
          <w:rFonts w:asciiTheme="majorBidi" w:hAnsiTheme="majorBidi" w:cstheme="majorBidi"/>
        </w:rPr>
        <w:t xml:space="preserve"> </w:t>
      </w:r>
    </w:p>
    <w:p w14:paraId="3A4B6558" w14:textId="56D25403" w:rsidR="00EA5187" w:rsidRPr="00BB0E1C" w:rsidRDefault="00EA5187" w:rsidP="003B005D">
      <w:pPr>
        <w:tabs>
          <w:tab w:val="left" w:pos="567"/>
        </w:tabs>
        <w:spacing w:after="100" w:line="240" w:lineRule="auto"/>
        <w:ind w:left="425" w:hanging="425"/>
        <w:jc w:val="both"/>
        <w:rPr>
          <w:rFonts w:asciiTheme="majorBidi" w:hAnsiTheme="majorBidi" w:cstheme="majorBidi"/>
        </w:rPr>
      </w:pPr>
      <w:proofErr w:type="spellStart"/>
      <w:r w:rsidRPr="00BB0E1C">
        <w:rPr>
          <w:rFonts w:asciiTheme="majorBidi" w:hAnsiTheme="majorBidi" w:cstheme="majorBidi"/>
        </w:rPr>
        <w:lastRenderedPageBreak/>
        <w:t>Lowis</w:t>
      </w:r>
      <w:proofErr w:type="spellEnd"/>
      <w:r w:rsidRPr="00BB0E1C">
        <w:rPr>
          <w:rFonts w:asciiTheme="majorBidi" w:hAnsiTheme="majorBidi" w:cstheme="majorBidi"/>
        </w:rPr>
        <w:t xml:space="preserve">, M., </w:t>
      </w:r>
      <w:r w:rsidR="00F50315">
        <w:rPr>
          <w:rFonts w:asciiTheme="majorBidi" w:hAnsiTheme="majorBidi" w:cstheme="majorBidi"/>
        </w:rPr>
        <w:t>and</w:t>
      </w:r>
      <w:r w:rsidR="009559C0" w:rsidRPr="00BB0E1C">
        <w:rPr>
          <w:rFonts w:asciiTheme="majorBidi" w:hAnsiTheme="majorBidi" w:cstheme="majorBidi"/>
        </w:rPr>
        <w:t xml:space="preserve"> </w:t>
      </w:r>
      <w:proofErr w:type="spellStart"/>
      <w:r w:rsidRPr="00BB0E1C">
        <w:rPr>
          <w:rFonts w:asciiTheme="majorBidi" w:hAnsiTheme="majorBidi" w:cstheme="majorBidi"/>
        </w:rPr>
        <w:t>Castley</w:t>
      </w:r>
      <w:proofErr w:type="spellEnd"/>
      <w:r w:rsidRPr="00BB0E1C">
        <w:rPr>
          <w:rFonts w:asciiTheme="majorBidi" w:hAnsiTheme="majorBidi" w:cstheme="majorBidi"/>
        </w:rPr>
        <w:t xml:space="preserve">, A. </w:t>
      </w:r>
      <w:r w:rsidR="004643DA" w:rsidRPr="00BB0E1C">
        <w:rPr>
          <w:rFonts w:asciiTheme="majorBidi" w:hAnsiTheme="majorBidi" w:cstheme="majorBidi"/>
        </w:rPr>
        <w:t>(</w:t>
      </w:r>
      <w:r w:rsidRPr="00BB0E1C">
        <w:rPr>
          <w:rFonts w:asciiTheme="majorBidi" w:hAnsiTheme="majorBidi" w:cstheme="majorBidi"/>
        </w:rPr>
        <w:t>2008</w:t>
      </w:r>
      <w:r w:rsidR="004643DA" w:rsidRPr="00BB0E1C">
        <w:rPr>
          <w:rFonts w:asciiTheme="majorBidi" w:hAnsiTheme="majorBidi" w:cstheme="majorBidi"/>
        </w:rPr>
        <w:t>)</w:t>
      </w:r>
      <w:r w:rsidR="009559C0" w:rsidRPr="00BB0E1C">
        <w:rPr>
          <w:rFonts w:asciiTheme="majorBidi" w:hAnsiTheme="majorBidi" w:cstheme="majorBidi"/>
        </w:rPr>
        <w:t>.</w:t>
      </w:r>
      <w:r w:rsidRPr="00BB0E1C">
        <w:rPr>
          <w:rFonts w:asciiTheme="majorBidi" w:hAnsiTheme="majorBidi" w:cstheme="majorBidi"/>
        </w:rPr>
        <w:t xml:space="preserve"> </w:t>
      </w:r>
      <w:proofErr w:type="gramStart"/>
      <w:r w:rsidRPr="00BB0E1C">
        <w:rPr>
          <w:rFonts w:asciiTheme="majorBidi" w:hAnsiTheme="majorBidi" w:cstheme="majorBidi"/>
        </w:rPr>
        <w:t>factors</w:t>
      </w:r>
      <w:proofErr w:type="gramEnd"/>
      <w:r w:rsidRPr="00BB0E1C">
        <w:rPr>
          <w:rFonts w:asciiTheme="majorBidi" w:hAnsiTheme="majorBidi" w:cstheme="majorBidi"/>
        </w:rPr>
        <w:t xml:space="preserve"> affecting student progression and achievement: prediction and intervention. </w:t>
      </w:r>
      <w:proofErr w:type="gramStart"/>
      <w:r w:rsidRPr="00BB0E1C">
        <w:rPr>
          <w:rFonts w:asciiTheme="majorBidi" w:hAnsiTheme="majorBidi" w:cstheme="majorBidi"/>
        </w:rPr>
        <w:t>A two-year study</w:t>
      </w:r>
      <w:r w:rsidRPr="00BB0E1C">
        <w:rPr>
          <w:rFonts w:asciiTheme="majorBidi" w:hAnsiTheme="majorBidi" w:cstheme="majorBidi"/>
          <w:i/>
          <w:iCs/>
        </w:rPr>
        <w:t>, Innovations in Education and Teaching International</w:t>
      </w:r>
      <w:r w:rsidRPr="00BB0E1C">
        <w:rPr>
          <w:rFonts w:asciiTheme="majorBidi" w:hAnsiTheme="majorBidi" w:cstheme="majorBidi"/>
        </w:rPr>
        <w:t xml:space="preserve">, </w:t>
      </w:r>
      <w:r w:rsidRPr="00BB0E1C">
        <w:rPr>
          <w:rFonts w:asciiTheme="majorBidi" w:hAnsiTheme="majorBidi" w:cstheme="majorBidi"/>
          <w:i/>
          <w:iCs/>
        </w:rPr>
        <w:t>45</w:t>
      </w:r>
      <w:r w:rsidR="006C012E" w:rsidRPr="00BB0E1C">
        <w:rPr>
          <w:rFonts w:asciiTheme="majorBidi" w:hAnsiTheme="majorBidi" w:cstheme="majorBidi"/>
        </w:rPr>
        <w:t>(</w:t>
      </w:r>
      <w:r w:rsidRPr="00BB0E1C">
        <w:rPr>
          <w:rFonts w:asciiTheme="majorBidi" w:hAnsiTheme="majorBidi" w:cstheme="majorBidi"/>
        </w:rPr>
        <w:t>4</w:t>
      </w:r>
      <w:r w:rsidR="006C012E" w:rsidRPr="00BB0E1C">
        <w:rPr>
          <w:rFonts w:asciiTheme="majorBidi" w:hAnsiTheme="majorBidi" w:cstheme="majorBidi"/>
        </w:rPr>
        <w:t>)</w:t>
      </w:r>
      <w:r w:rsidR="004643DA" w:rsidRPr="00BB0E1C">
        <w:rPr>
          <w:rFonts w:asciiTheme="majorBidi" w:hAnsiTheme="majorBidi" w:cstheme="majorBidi"/>
        </w:rPr>
        <w:t>,</w:t>
      </w:r>
      <w:r w:rsidRPr="00BB0E1C">
        <w:rPr>
          <w:rFonts w:asciiTheme="majorBidi" w:hAnsiTheme="majorBidi" w:cstheme="majorBidi"/>
        </w:rPr>
        <w:t xml:space="preserve"> 333-343</w:t>
      </w:r>
      <w:r w:rsidR="006C012E" w:rsidRPr="00BB0E1C">
        <w:rPr>
          <w:rFonts w:asciiTheme="majorBidi" w:hAnsiTheme="majorBidi" w:cstheme="majorBidi"/>
        </w:rPr>
        <w:t>.</w:t>
      </w:r>
      <w:proofErr w:type="gramEnd"/>
    </w:p>
    <w:p w14:paraId="3EBFDF93" w14:textId="320FE58F" w:rsidR="00EA5187" w:rsidRPr="00BB0E1C" w:rsidRDefault="00EA5187" w:rsidP="003B005D">
      <w:pPr>
        <w:tabs>
          <w:tab w:val="left" w:pos="567"/>
        </w:tabs>
        <w:spacing w:after="100" w:line="240" w:lineRule="auto"/>
        <w:ind w:left="425" w:hanging="425"/>
        <w:jc w:val="both"/>
        <w:rPr>
          <w:rFonts w:asciiTheme="majorBidi" w:hAnsiTheme="majorBidi" w:cstheme="majorBidi"/>
        </w:rPr>
      </w:pPr>
      <w:proofErr w:type="spellStart"/>
      <w:r w:rsidRPr="00BB0E1C">
        <w:rPr>
          <w:rFonts w:asciiTheme="majorBidi" w:hAnsiTheme="majorBidi" w:cstheme="majorBidi"/>
        </w:rPr>
        <w:t>Macfadyen</w:t>
      </w:r>
      <w:proofErr w:type="spellEnd"/>
      <w:r w:rsidRPr="00BB0E1C">
        <w:rPr>
          <w:rFonts w:asciiTheme="majorBidi" w:hAnsiTheme="majorBidi" w:cstheme="majorBidi"/>
        </w:rPr>
        <w:t xml:space="preserve">, L. P., </w:t>
      </w:r>
      <w:r w:rsidR="00F50315">
        <w:rPr>
          <w:rFonts w:asciiTheme="majorBidi" w:hAnsiTheme="majorBidi" w:cstheme="majorBidi"/>
        </w:rPr>
        <w:t>and</w:t>
      </w:r>
      <w:r w:rsidR="006C012E" w:rsidRPr="00BB0E1C">
        <w:rPr>
          <w:rFonts w:asciiTheme="majorBidi" w:hAnsiTheme="majorBidi" w:cstheme="majorBidi"/>
        </w:rPr>
        <w:t xml:space="preserve"> </w:t>
      </w:r>
      <w:r w:rsidRPr="00BB0E1C">
        <w:rPr>
          <w:rFonts w:asciiTheme="majorBidi" w:hAnsiTheme="majorBidi" w:cstheme="majorBidi"/>
        </w:rPr>
        <w:t xml:space="preserve">Dawson, S. </w:t>
      </w:r>
      <w:r w:rsidR="004643DA" w:rsidRPr="00BB0E1C">
        <w:rPr>
          <w:rFonts w:asciiTheme="majorBidi" w:hAnsiTheme="majorBidi" w:cstheme="majorBidi"/>
        </w:rPr>
        <w:t>(</w:t>
      </w:r>
      <w:r w:rsidRPr="00BB0E1C">
        <w:rPr>
          <w:rFonts w:asciiTheme="majorBidi" w:hAnsiTheme="majorBidi" w:cstheme="majorBidi"/>
        </w:rPr>
        <w:t>2010</w:t>
      </w:r>
      <w:r w:rsidR="004643DA" w:rsidRPr="00BB0E1C">
        <w:rPr>
          <w:rFonts w:asciiTheme="majorBidi" w:hAnsiTheme="majorBidi" w:cstheme="majorBidi"/>
        </w:rPr>
        <w:t>)</w:t>
      </w:r>
      <w:r w:rsidR="006C012E" w:rsidRPr="00BB0E1C">
        <w:rPr>
          <w:rFonts w:asciiTheme="majorBidi" w:hAnsiTheme="majorBidi" w:cstheme="majorBidi"/>
        </w:rPr>
        <w:t>.</w:t>
      </w:r>
      <w:r w:rsidRPr="00BB0E1C">
        <w:rPr>
          <w:rFonts w:asciiTheme="majorBidi" w:hAnsiTheme="majorBidi" w:cstheme="majorBidi"/>
        </w:rPr>
        <w:t xml:space="preserve"> Mining LMS data to develop an </w:t>
      </w:r>
      <w:r w:rsidR="00F50315">
        <w:rPr>
          <w:rFonts w:asciiTheme="majorBidi" w:hAnsiTheme="majorBidi" w:cstheme="majorBidi"/>
        </w:rPr>
        <w:t>'</w:t>
      </w:r>
      <w:r w:rsidRPr="00BB0E1C">
        <w:rPr>
          <w:rFonts w:asciiTheme="majorBidi" w:hAnsiTheme="majorBidi" w:cstheme="majorBidi"/>
        </w:rPr>
        <w:t>early warning system</w:t>
      </w:r>
      <w:r w:rsidR="00F50315">
        <w:rPr>
          <w:rFonts w:asciiTheme="majorBidi" w:hAnsiTheme="majorBidi" w:cstheme="majorBidi"/>
        </w:rPr>
        <w:t>'</w:t>
      </w:r>
      <w:r w:rsidRPr="00BB0E1C">
        <w:rPr>
          <w:rFonts w:asciiTheme="majorBidi" w:hAnsiTheme="majorBidi" w:cstheme="majorBidi"/>
        </w:rPr>
        <w:t xml:space="preserve"> for educators: A proof of concept, </w:t>
      </w:r>
      <w:r w:rsidRPr="00BB0E1C">
        <w:rPr>
          <w:rFonts w:asciiTheme="majorBidi" w:hAnsiTheme="majorBidi" w:cstheme="majorBidi"/>
          <w:i/>
          <w:iCs/>
        </w:rPr>
        <w:t xml:space="preserve">Computers </w:t>
      </w:r>
      <w:r w:rsidR="00F50315">
        <w:rPr>
          <w:rFonts w:asciiTheme="majorBidi" w:hAnsiTheme="majorBidi" w:cstheme="majorBidi"/>
          <w:i/>
          <w:iCs/>
        </w:rPr>
        <w:t>and</w:t>
      </w:r>
      <w:r w:rsidRPr="00BB0E1C">
        <w:rPr>
          <w:rFonts w:asciiTheme="majorBidi" w:hAnsiTheme="majorBidi" w:cstheme="majorBidi"/>
          <w:i/>
          <w:iCs/>
        </w:rPr>
        <w:t xml:space="preserve"> Education</w:t>
      </w:r>
      <w:r w:rsidRPr="00BB0E1C">
        <w:rPr>
          <w:rFonts w:asciiTheme="majorBidi" w:hAnsiTheme="majorBidi" w:cstheme="majorBidi"/>
        </w:rPr>
        <w:t xml:space="preserve">, </w:t>
      </w:r>
      <w:r w:rsidRPr="00BB0E1C">
        <w:rPr>
          <w:rFonts w:asciiTheme="majorBidi" w:hAnsiTheme="majorBidi" w:cstheme="majorBidi"/>
          <w:i/>
          <w:iCs/>
        </w:rPr>
        <w:t>54</w:t>
      </w:r>
      <w:r w:rsidRPr="00BB0E1C">
        <w:rPr>
          <w:rFonts w:asciiTheme="majorBidi" w:hAnsiTheme="majorBidi" w:cstheme="majorBidi"/>
        </w:rPr>
        <w:t xml:space="preserve"> (2010)</w:t>
      </w:r>
      <w:r w:rsidR="004643DA" w:rsidRPr="00BB0E1C">
        <w:rPr>
          <w:rFonts w:asciiTheme="majorBidi" w:hAnsiTheme="majorBidi" w:cstheme="majorBidi"/>
        </w:rPr>
        <w:t>,</w:t>
      </w:r>
      <w:r w:rsidRPr="00BB0E1C">
        <w:rPr>
          <w:rFonts w:asciiTheme="majorBidi" w:hAnsiTheme="majorBidi" w:cstheme="majorBidi"/>
        </w:rPr>
        <w:t xml:space="preserve"> 588-599</w:t>
      </w:r>
      <w:r w:rsidR="004643DA" w:rsidRPr="00BB0E1C">
        <w:rPr>
          <w:rFonts w:asciiTheme="majorBidi" w:hAnsiTheme="majorBidi" w:cstheme="majorBidi"/>
        </w:rPr>
        <w:t>.</w:t>
      </w:r>
    </w:p>
    <w:p w14:paraId="674079FE" w14:textId="2081A80B" w:rsidR="00EC0487" w:rsidRPr="00BB0E1C" w:rsidRDefault="00EC0487" w:rsidP="003B005D">
      <w:pPr>
        <w:tabs>
          <w:tab w:val="left" w:pos="567"/>
        </w:tabs>
        <w:spacing w:after="100" w:line="240" w:lineRule="auto"/>
        <w:ind w:left="425" w:hanging="425"/>
        <w:jc w:val="both"/>
        <w:rPr>
          <w:rFonts w:asciiTheme="majorBidi" w:hAnsiTheme="majorBidi" w:cstheme="majorBidi"/>
        </w:rPr>
      </w:pPr>
      <w:r w:rsidRPr="00BB0E1C">
        <w:rPr>
          <w:rFonts w:asciiTheme="majorBidi" w:hAnsiTheme="majorBidi" w:cstheme="majorBidi"/>
        </w:rPr>
        <w:t xml:space="preserve">Mann, S.J. </w:t>
      </w:r>
      <w:r w:rsidR="004643DA" w:rsidRPr="00BB0E1C">
        <w:rPr>
          <w:rFonts w:asciiTheme="majorBidi" w:hAnsiTheme="majorBidi" w:cstheme="majorBidi"/>
        </w:rPr>
        <w:t>(</w:t>
      </w:r>
      <w:r w:rsidRPr="00BB0E1C">
        <w:rPr>
          <w:rFonts w:asciiTheme="majorBidi" w:hAnsiTheme="majorBidi" w:cstheme="majorBidi"/>
        </w:rPr>
        <w:t>2001</w:t>
      </w:r>
      <w:r w:rsidR="004643DA" w:rsidRPr="00BB0E1C">
        <w:rPr>
          <w:rFonts w:asciiTheme="majorBidi" w:hAnsiTheme="majorBidi" w:cstheme="majorBidi"/>
        </w:rPr>
        <w:t>)</w:t>
      </w:r>
      <w:r w:rsidRPr="00BB0E1C">
        <w:rPr>
          <w:rFonts w:asciiTheme="majorBidi" w:hAnsiTheme="majorBidi" w:cstheme="majorBidi"/>
        </w:rPr>
        <w:t xml:space="preserve">. Alternative perspectives on the student experience: Alienation and engagement, </w:t>
      </w:r>
      <w:r w:rsidRPr="00BB0E1C">
        <w:rPr>
          <w:rFonts w:asciiTheme="majorBidi" w:hAnsiTheme="majorBidi" w:cstheme="majorBidi"/>
          <w:i/>
        </w:rPr>
        <w:t>Studies in Higher Education</w:t>
      </w:r>
      <w:r w:rsidR="006C012E" w:rsidRPr="00BB0E1C">
        <w:rPr>
          <w:rFonts w:asciiTheme="majorBidi" w:hAnsiTheme="majorBidi" w:cstheme="majorBidi"/>
          <w:iCs/>
        </w:rPr>
        <w:t>,</w:t>
      </w:r>
      <w:r w:rsidRPr="00BB0E1C">
        <w:rPr>
          <w:rFonts w:asciiTheme="majorBidi" w:hAnsiTheme="majorBidi" w:cstheme="majorBidi"/>
        </w:rPr>
        <w:t xml:space="preserve"> </w:t>
      </w:r>
      <w:r w:rsidRPr="00BB0E1C">
        <w:rPr>
          <w:rFonts w:asciiTheme="majorBidi" w:hAnsiTheme="majorBidi" w:cstheme="majorBidi"/>
          <w:i/>
          <w:iCs/>
        </w:rPr>
        <w:t>26</w:t>
      </w:r>
      <w:r w:rsidRPr="00BB0E1C">
        <w:rPr>
          <w:rFonts w:asciiTheme="majorBidi" w:hAnsiTheme="majorBidi" w:cstheme="majorBidi"/>
        </w:rPr>
        <w:t>(1)</w:t>
      </w:r>
      <w:r w:rsidR="004643DA" w:rsidRPr="00BB0E1C">
        <w:rPr>
          <w:rFonts w:asciiTheme="majorBidi" w:hAnsiTheme="majorBidi" w:cstheme="majorBidi"/>
        </w:rPr>
        <w:t>,</w:t>
      </w:r>
      <w:r w:rsidRPr="00BB0E1C">
        <w:rPr>
          <w:rFonts w:asciiTheme="majorBidi" w:hAnsiTheme="majorBidi" w:cstheme="majorBidi"/>
        </w:rPr>
        <w:t xml:space="preserve"> 7-19.</w:t>
      </w:r>
    </w:p>
    <w:p w14:paraId="72D6FB68" w14:textId="29186A2A" w:rsidR="00EA5187" w:rsidRPr="00BB0E1C" w:rsidRDefault="00EA5187" w:rsidP="003B005D">
      <w:pPr>
        <w:tabs>
          <w:tab w:val="left" w:pos="567"/>
        </w:tabs>
        <w:spacing w:after="100" w:line="240" w:lineRule="auto"/>
        <w:ind w:left="425" w:hanging="425"/>
        <w:jc w:val="both"/>
        <w:rPr>
          <w:rFonts w:asciiTheme="majorBidi" w:hAnsiTheme="majorBidi" w:cstheme="majorBidi"/>
        </w:rPr>
      </w:pPr>
      <w:r w:rsidRPr="00BB0E1C">
        <w:rPr>
          <w:rFonts w:asciiTheme="majorBidi" w:hAnsiTheme="majorBidi" w:cstheme="majorBidi"/>
        </w:rPr>
        <w:t xml:space="preserve">McArthur, R. C. </w:t>
      </w:r>
      <w:r w:rsidR="004643DA" w:rsidRPr="00BB0E1C">
        <w:rPr>
          <w:rFonts w:asciiTheme="majorBidi" w:hAnsiTheme="majorBidi" w:cstheme="majorBidi"/>
        </w:rPr>
        <w:t>(</w:t>
      </w:r>
      <w:r w:rsidRPr="00BB0E1C">
        <w:rPr>
          <w:rFonts w:asciiTheme="majorBidi" w:hAnsiTheme="majorBidi" w:cstheme="majorBidi"/>
        </w:rPr>
        <w:t>2005</w:t>
      </w:r>
      <w:r w:rsidR="004643DA" w:rsidRPr="00BB0E1C">
        <w:rPr>
          <w:rFonts w:asciiTheme="majorBidi" w:hAnsiTheme="majorBidi" w:cstheme="majorBidi"/>
        </w:rPr>
        <w:t>)</w:t>
      </w:r>
      <w:r w:rsidR="006C012E" w:rsidRPr="00BB0E1C">
        <w:rPr>
          <w:rFonts w:asciiTheme="majorBidi" w:hAnsiTheme="majorBidi" w:cstheme="majorBidi"/>
        </w:rPr>
        <w:t>.</w:t>
      </w:r>
      <w:r w:rsidRPr="00BB0E1C">
        <w:rPr>
          <w:rFonts w:asciiTheme="majorBidi" w:hAnsiTheme="majorBidi" w:cstheme="majorBidi"/>
        </w:rPr>
        <w:t xml:space="preserve"> Faculty-based advising: An important factor in community college retention, </w:t>
      </w:r>
      <w:r w:rsidRPr="00BB0E1C">
        <w:rPr>
          <w:rFonts w:asciiTheme="majorBidi" w:hAnsiTheme="majorBidi" w:cstheme="majorBidi"/>
          <w:i/>
          <w:iCs/>
        </w:rPr>
        <w:t>Community College Review</w:t>
      </w:r>
      <w:r w:rsidRPr="00BB0E1C">
        <w:rPr>
          <w:rFonts w:asciiTheme="majorBidi" w:hAnsiTheme="majorBidi" w:cstheme="majorBidi"/>
        </w:rPr>
        <w:t xml:space="preserve">, </w:t>
      </w:r>
      <w:r w:rsidRPr="00BB0E1C">
        <w:rPr>
          <w:rFonts w:asciiTheme="majorBidi" w:hAnsiTheme="majorBidi" w:cstheme="majorBidi"/>
          <w:i/>
          <w:iCs/>
        </w:rPr>
        <w:t>32</w:t>
      </w:r>
      <w:r w:rsidR="006C012E" w:rsidRPr="00BB0E1C">
        <w:rPr>
          <w:rFonts w:asciiTheme="majorBidi" w:hAnsiTheme="majorBidi" w:cstheme="majorBidi"/>
        </w:rPr>
        <w:t>(</w:t>
      </w:r>
      <w:r w:rsidRPr="00BB0E1C">
        <w:rPr>
          <w:rFonts w:asciiTheme="majorBidi" w:hAnsiTheme="majorBidi" w:cstheme="majorBidi"/>
        </w:rPr>
        <w:t>4</w:t>
      </w:r>
      <w:r w:rsidR="006C012E" w:rsidRPr="00BB0E1C">
        <w:rPr>
          <w:rFonts w:asciiTheme="majorBidi" w:hAnsiTheme="majorBidi" w:cstheme="majorBidi"/>
        </w:rPr>
        <w:t>)</w:t>
      </w:r>
      <w:r w:rsidR="004643DA" w:rsidRPr="00BB0E1C">
        <w:rPr>
          <w:rFonts w:asciiTheme="majorBidi" w:hAnsiTheme="majorBidi" w:cstheme="majorBidi"/>
        </w:rPr>
        <w:t>,</w:t>
      </w:r>
      <w:r w:rsidRPr="00BB0E1C">
        <w:rPr>
          <w:rFonts w:asciiTheme="majorBidi" w:hAnsiTheme="majorBidi" w:cstheme="majorBidi"/>
        </w:rPr>
        <w:t xml:space="preserve"> 1-19</w:t>
      </w:r>
      <w:r w:rsidR="006C012E" w:rsidRPr="00BB0E1C">
        <w:rPr>
          <w:rFonts w:asciiTheme="majorBidi" w:hAnsiTheme="majorBidi" w:cstheme="majorBidi"/>
        </w:rPr>
        <w:t>.</w:t>
      </w:r>
    </w:p>
    <w:p w14:paraId="5BF878D5" w14:textId="28ADA1A1" w:rsidR="00EA5187" w:rsidRPr="00BB0E1C" w:rsidRDefault="00EA5187" w:rsidP="003B005D">
      <w:pPr>
        <w:tabs>
          <w:tab w:val="left" w:pos="567"/>
        </w:tabs>
        <w:spacing w:after="100" w:line="240" w:lineRule="auto"/>
        <w:ind w:left="425" w:hanging="425"/>
        <w:jc w:val="both"/>
        <w:rPr>
          <w:rFonts w:asciiTheme="majorBidi" w:hAnsiTheme="majorBidi" w:cstheme="majorBidi"/>
        </w:rPr>
      </w:pPr>
      <w:r w:rsidRPr="00BB0E1C">
        <w:rPr>
          <w:rFonts w:asciiTheme="majorBidi" w:hAnsiTheme="majorBidi" w:cstheme="majorBidi"/>
        </w:rPr>
        <w:t xml:space="preserve">Nash, R. D. </w:t>
      </w:r>
      <w:r w:rsidR="004643DA" w:rsidRPr="00BB0E1C">
        <w:rPr>
          <w:rFonts w:asciiTheme="majorBidi" w:hAnsiTheme="majorBidi" w:cstheme="majorBidi"/>
        </w:rPr>
        <w:t>(</w:t>
      </w:r>
      <w:r w:rsidRPr="00BB0E1C">
        <w:rPr>
          <w:rFonts w:asciiTheme="majorBidi" w:hAnsiTheme="majorBidi" w:cstheme="majorBidi"/>
        </w:rPr>
        <w:t>2005</w:t>
      </w:r>
      <w:r w:rsidR="004643DA" w:rsidRPr="00BB0E1C">
        <w:rPr>
          <w:rFonts w:asciiTheme="majorBidi" w:hAnsiTheme="majorBidi" w:cstheme="majorBidi"/>
        </w:rPr>
        <w:t>)</w:t>
      </w:r>
      <w:r w:rsidR="006C012E" w:rsidRPr="00BB0E1C">
        <w:rPr>
          <w:rFonts w:asciiTheme="majorBidi" w:hAnsiTheme="majorBidi" w:cstheme="majorBidi"/>
        </w:rPr>
        <w:t>.</w:t>
      </w:r>
      <w:r w:rsidRPr="00BB0E1C">
        <w:rPr>
          <w:rFonts w:asciiTheme="majorBidi" w:hAnsiTheme="majorBidi" w:cstheme="majorBidi"/>
        </w:rPr>
        <w:t xml:space="preserve"> Course completion rates among distance Learners: Identifying possible methods to Improve Retention, </w:t>
      </w:r>
      <w:r w:rsidRPr="00BB0E1C">
        <w:rPr>
          <w:rFonts w:asciiTheme="majorBidi" w:hAnsiTheme="majorBidi" w:cstheme="majorBidi"/>
          <w:i/>
          <w:iCs/>
        </w:rPr>
        <w:t>Online Journal of Distance Learning Administration</w:t>
      </w:r>
      <w:r w:rsidRPr="00BB0E1C">
        <w:rPr>
          <w:rFonts w:asciiTheme="majorBidi" w:hAnsiTheme="majorBidi" w:cstheme="majorBidi"/>
        </w:rPr>
        <w:t xml:space="preserve">, </w:t>
      </w:r>
      <w:r w:rsidRPr="00BB0E1C">
        <w:rPr>
          <w:rFonts w:asciiTheme="majorBidi" w:hAnsiTheme="majorBidi" w:cstheme="majorBidi"/>
          <w:i/>
          <w:iCs/>
        </w:rPr>
        <w:t>8</w:t>
      </w:r>
      <w:r w:rsidR="006C012E" w:rsidRPr="00BB0E1C">
        <w:rPr>
          <w:rFonts w:asciiTheme="majorBidi" w:hAnsiTheme="majorBidi" w:cstheme="majorBidi"/>
        </w:rPr>
        <w:t>(4)</w:t>
      </w:r>
      <w:r w:rsidR="004643DA" w:rsidRPr="00BB0E1C">
        <w:rPr>
          <w:rFonts w:asciiTheme="majorBidi" w:hAnsiTheme="majorBidi" w:cstheme="majorBidi"/>
        </w:rPr>
        <w:t>,</w:t>
      </w:r>
      <w:r w:rsidRPr="00BB0E1C">
        <w:rPr>
          <w:rFonts w:asciiTheme="majorBidi" w:hAnsiTheme="majorBidi" w:cstheme="majorBidi"/>
        </w:rPr>
        <w:t xml:space="preserve"> </w:t>
      </w:r>
      <w:proofErr w:type="gramStart"/>
      <w:r w:rsidRPr="00BB0E1C">
        <w:rPr>
          <w:rFonts w:asciiTheme="majorBidi" w:hAnsiTheme="majorBidi" w:cstheme="majorBidi"/>
        </w:rPr>
        <w:t>Winter</w:t>
      </w:r>
      <w:proofErr w:type="gramEnd"/>
      <w:r w:rsidRPr="00BB0E1C">
        <w:rPr>
          <w:rFonts w:asciiTheme="majorBidi" w:hAnsiTheme="majorBidi" w:cstheme="majorBidi"/>
        </w:rPr>
        <w:t xml:space="preserve"> 2005</w:t>
      </w:r>
      <w:r w:rsidR="006C012E" w:rsidRPr="00BB0E1C">
        <w:rPr>
          <w:rFonts w:asciiTheme="majorBidi" w:hAnsiTheme="majorBidi" w:cstheme="majorBidi"/>
        </w:rPr>
        <w:t>.</w:t>
      </w:r>
    </w:p>
    <w:p w14:paraId="28811D5B" w14:textId="7139401F" w:rsidR="00EA5187" w:rsidRPr="00BB0E1C" w:rsidRDefault="00EA5187" w:rsidP="003B005D">
      <w:pPr>
        <w:tabs>
          <w:tab w:val="left" w:pos="567"/>
        </w:tabs>
        <w:spacing w:after="100" w:line="240" w:lineRule="auto"/>
        <w:ind w:left="425" w:hanging="425"/>
        <w:jc w:val="both"/>
        <w:rPr>
          <w:rFonts w:asciiTheme="majorBidi" w:hAnsiTheme="majorBidi" w:cstheme="majorBidi"/>
        </w:rPr>
      </w:pPr>
      <w:proofErr w:type="gramStart"/>
      <w:r w:rsidRPr="00BB0E1C">
        <w:rPr>
          <w:rFonts w:asciiTheme="majorBidi" w:hAnsiTheme="majorBidi" w:cstheme="majorBidi"/>
        </w:rPr>
        <w:t xml:space="preserve">Nelson, K. J., Quinn, C., </w:t>
      </w:r>
      <w:proofErr w:type="spellStart"/>
      <w:r w:rsidRPr="00BB0E1C">
        <w:rPr>
          <w:rFonts w:asciiTheme="majorBidi" w:hAnsiTheme="majorBidi" w:cstheme="majorBidi"/>
        </w:rPr>
        <w:t>Marrington</w:t>
      </w:r>
      <w:proofErr w:type="spellEnd"/>
      <w:r w:rsidRPr="00BB0E1C">
        <w:rPr>
          <w:rFonts w:asciiTheme="majorBidi" w:hAnsiTheme="majorBidi" w:cstheme="majorBidi"/>
        </w:rPr>
        <w:t xml:space="preserve">, A., </w:t>
      </w:r>
      <w:r w:rsidR="00F50315">
        <w:rPr>
          <w:rFonts w:asciiTheme="majorBidi" w:hAnsiTheme="majorBidi" w:cstheme="majorBidi"/>
        </w:rPr>
        <w:t>and</w:t>
      </w:r>
      <w:r w:rsidR="006C012E" w:rsidRPr="00BB0E1C">
        <w:rPr>
          <w:rFonts w:asciiTheme="majorBidi" w:hAnsiTheme="majorBidi" w:cstheme="majorBidi"/>
        </w:rPr>
        <w:t xml:space="preserve"> </w:t>
      </w:r>
      <w:r w:rsidRPr="00BB0E1C">
        <w:rPr>
          <w:rFonts w:asciiTheme="majorBidi" w:hAnsiTheme="majorBidi" w:cstheme="majorBidi"/>
        </w:rPr>
        <w:t xml:space="preserve">Clarke, J. A. </w:t>
      </w:r>
      <w:r w:rsidR="004643DA" w:rsidRPr="00BB0E1C">
        <w:rPr>
          <w:rFonts w:asciiTheme="majorBidi" w:hAnsiTheme="majorBidi" w:cstheme="majorBidi"/>
        </w:rPr>
        <w:t>(</w:t>
      </w:r>
      <w:r w:rsidRPr="00BB0E1C">
        <w:rPr>
          <w:rFonts w:asciiTheme="majorBidi" w:hAnsiTheme="majorBidi" w:cstheme="majorBidi"/>
        </w:rPr>
        <w:t>2012</w:t>
      </w:r>
      <w:r w:rsidR="004643DA" w:rsidRPr="00BB0E1C">
        <w:rPr>
          <w:rFonts w:asciiTheme="majorBidi" w:hAnsiTheme="majorBidi" w:cstheme="majorBidi"/>
        </w:rPr>
        <w:t>)</w:t>
      </w:r>
      <w:r w:rsidR="006C012E" w:rsidRPr="00BB0E1C">
        <w:rPr>
          <w:rFonts w:asciiTheme="majorBidi" w:hAnsiTheme="majorBidi" w:cstheme="majorBidi"/>
        </w:rPr>
        <w:t>.</w:t>
      </w:r>
      <w:proofErr w:type="gramEnd"/>
      <w:r w:rsidRPr="00BB0E1C">
        <w:rPr>
          <w:rFonts w:asciiTheme="majorBidi" w:hAnsiTheme="majorBidi" w:cstheme="majorBidi"/>
        </w:rPr>
        <w:t xml:space="preserve"> Good practice for enhancing the engagement and success of commencing students, </w:t>
      </w:r>
      <w:r w:rsidRPr="00BB0E1C">
        <w:rPr>
          <w:rFonts w:asciiTheme="majorBidi" w:hAnsiTheme="majorBidi" w:cstheme="majorBidi"/>
          <w:i/>
          <w:iCs/>
        </w:rPr>
        <w:t>Higher Education</w:t>
      </w:r>
      <w:r w:rsidRPr="00BB0E1C">
        <w:rPr>
          <w:rFonts w:asciiTheme="majorBidi" w:hAnsiTheme="majorBidi" w:cstheme="majorBidi"/>
        </w:rPr>
        <w:t xml:space="preserve">, </w:t>
      </w:r>
      <w:r w:rsidRPr="00BB0E1C">
        <w:rPr>
          <w:rFonts w:asciiTheme="majorBidi" w:hAnsiTheme="majorBidi" w:cstheme="majorBidi"/>
          <w:i/>
          <w:iCs/>
        </w:rPr>
        <w:t>63</w:t>
      </w:r>
      <w:r w:rsidRPr="00BB0E1C">
        <w:rPr>
          <w:rFonts w:asciiTheme="majorBidi" w:hAnsiTheme="majorBidi" w:cstheme="majorBidi"/>
        </w:rPr>
        <w:t>(1)</w:t>
      </w:r>
      <w:r w:rsidR="004643DA" w:rsidRPr="00BB0E1C">
        <w:rPr>
          <w:rFonts w:asciiTheme="majorBidi" w:hAnsiTheme="majorBidi" w:cstheme="majorBidi"/>
        </w:rPr>
        <w:t>,</w:t>
      </w:r>
      <w:r w:rsidRPr="00BB0E1C">
        <w:rPr>
          <w:rFonts w:asciiTheme="majorBidi" w:hAnsiTheme="majorBidi" w:cstheme="majorBidi"/>
        </w:rPr>
        <w:t xml:space="preserve"> 83-96</w:t>
      </w:r>
      <w:r w:rsidR="006C012E" w:rsidRPr="00BB0E1C">
        <w:rPr>
          <w:rFonts w:asciiTheme="majorBidi" w:hAnsiTheme="majorBidi" w:cstheme="majorBidi"/>
        </w:rPr>
        <w:t>.</w:t>
      </w:r>
    </w:p>
    <w:p w14:paraId="36C44B1A" w14:textId="7A300CDA" w:rsidR="007E2330" w:rsidRPr="00BB0E1C" w:rsidRDefault="007E2330" w:rsidP="003B005D">
      <w:pPr>
        <w:tabs>
          <w:tab w:val="left" w:pos="567"/>
        </w:tabs>
        <w:spacing w:after="100" w:line="240" w:lineRule="auto"/>
        <w:ind w:left="425" w:hanging="425"/>
        <w:jc w:val="both"/>
        <w:rPr>
          <w:rFonts w:asciiTheme="majorBidi" w:hAnsiTheme="majorBidi" w:cstheme="majorBidi"/>
        </w:rPr>
      </w:pPr>
      <w:proofErr w:type="gramStart"/>
      <w:r w:rsidRPr="00BB0E1C">
        <w:rPr>
          <w:rFonts w:asciiTheme="majorBidi" w:hAnsiTheme="majorBidi" w:cstheme="majorBidi"/>
        </w:rPr>
        <w:t xml:space="preserve">Nguyen, N., </w:t>
      </w:r>
      <w:r w:rsidR="00F50315">
        <w:rPr>
          <w:rFonts w:asciiTheme="majorBidi" w:hAnsiTheme="majorBidi" w:cstheme="majorBidi"/>
        </w:rPr>
        <w:t>and</w:t>
      </w:r>
      <w:r w:rsidR="006C012E" w:rsidRPr="00BB0E1C">
        <w:rPr>
          <w:rFonts w:asciiTheme="majorBidi" w:hAnsiTheme="majorBidi" w:cstheme="majorBidi"/>
        </w:rPr>
        <w:t xml:space="preserve"> </w:t>
      </w:r>
      <w:r w:rsidRPr="00BB0E1C">
        <w:rPr>
          <w:rFonts w:asciiTheme="majorBidi" w:hAnsiTheme="majorBidi" w:cstheme="majorBidi"/>
        </w:rPr>
        <w:t xml:space="preserve">LeBlanc, G. </w:t>
      </w:r>
      <w:r w:rsidR="004643DA" w:rsidRPr="00BB0E1C">
        <w:rPr>
          <w:rFonts w:asciiTheme="majorBidi" w:hAnsiTheme="majorBidi" w:cstheme="majorBidi"/>
        </w:rPr>
        <w:t>(</w:t>
      </w:r>
      <w:r w:rsidRPr="00BB0E1C">
        <w:rPr>
          <w:rFonts w:asciiTheme="majorBidi" w:hAnsiTheme="majorBidi" w:cstheme="majorBidi"/>
        </w:rPr>
        <w:t>2001</w:t>
      </w:r>
      <w:r w:rsidR="004643DA" w:rsidRPr="00BB0E1C">
        <w:rPr>
          <w:rFonts w:asciiTheme="majorBidi" w:hAnsiTheme="majorBidi" w:cstheme="majorBidi"/>
        </w:rPr>
        <w:t>)</w:t>
      </w:r>
      <w:r w:rsidRPr="00BB0E1C">
        <w:rPr>
          <w:rFonts w:asciiTheme="majorBidi" w:hAnsiTheme="majorBidi" w:cstheme="majorBidi"/>
        </w:rPr>
        <w:t>.</w:t>
      </w:r>
      <w:proofErr w:type="gramEnd"/>
      <w:r w:rsidRPr="00BB0E1C">
        <w:rPr>
          <w:rFonts w:asciiTheme="majorBidi" w:hAnsiTheme="majorBidi" w:cstheme="majorBidi"/>
        </w:rPr>
        <w:t xml:space="preserve"> </w:t>
      </w:r>
      <w:proofErr w:type="gramStart"/>
      <w:r w:rsidRPr="00BB0E1C">
        <w:rPr>
          <w:rFonts w:asciiTheme="majorBidi" w:hAnsiTheme="majorBidi" w:cstheme="majorBidi"/>
        </w:rPr>
        <w:t xml:space="preserve">Image and reputation of higher education institutions in students’ retention decisions, </w:t>
      </w:r>
      <w:r w:rsidRPr="00BB0E1C">
        <w:rPr>
          <w:rFonts w:asciiTheme="majorBidi" w:hAnsiTheme="majorBidi" w:cstheme="majorBidi"/>
          <w:i/>
        </w:rPr>
        <w:t>International Journal of Educational Management</w:t>
      </w:r>
      <w:r w:rsidRPr="00BB0E1C">
        <w:rPr>
          <w:rFonts w:asciiTheme="majorBidi" w:hAnsiTheme="majorBidi" w:cstheme="majorBidi"/>
        </w:rPr>
        <w:t xml:space="preserve"> </w:t>
      </w:r>
      <w:r w:rsidRPr="00BB0E1C">
        <w:rPr>
          <w:rFonts w:asciiTheme="majorBidi" w:hAnsiTheme="majorBidi" w:cstheme="majorBidi"/>
          <w:i/>
          <w:iCs/>
        </w:rPr>
        <w:t>15</w:t>
      </w:r>
      <w:r w:rsidRPr="00BB0E1C">
        <w:rPr>
          <w:rFonts w:asciiTheme="majorBidi" w:hAnsiTheme="majorBidi" w:cstheme="majorBidi"/>
        </w:rPr>
        <w:t>(6)</w:t>
      </w:r>
      <w:r w:rsidR="004643DA" w:rsidRPr="00BB0E1C">
        <w:rPr>
          <w:rFonts w:asciiTheme="majorBidi" w:hAnsiTheme="majorBidi" w:cstheme="majorBidi"/>
        </w:rPr>
        <w:t>,</w:t>
      </w:r>
      <w:r w:rsidRPr="00BB0E1C">
        <w:rPr>
          <w:rFonts w:asciiTheme="majorBidi" w:hAnsiTheme="majorBidi" w:cstheme="majorBidi"/>
        </w:rPr>
        <w:t xml:space="preserve"> 303-311.</w:t>
      </w:r>
      <w:proofErr w:type="gramEnd"/>
    </w:p>
    <w:p w14:paraId="71BBACD5" w14:textId="77C19ECF" w:rsidR="00EA5187" w:rsidRPr="00BB0E1C" w:rsidRDefault="00EA5187" w:rsidP="003B005D">
      <w:pPr>
        <w:tabs>
          <w:tab w:val="left" w:pos="567"/>
        </w:tabs>
        <w:spacing w:after="100" w:line="240" w:lineRule="auto"/>
        <w:ind w:left="425" w:hanging="425"/>
        <w:jc w:val="both"/>
        <w:rPr>
          <w:rFonts w:asciiTheme="majorBidi" w:hAnsiTheme="majorBidi" w:cstheme="majorBidi"/>
        </w:rPr>
      </w:pPr>
      <w:proofErr w:type="gramStart"/>
      <w:r w:rsidRPr="00BB0E1C">
        <w:rPr>
          <w:rFonts w:asciiTheme="majorBidi" w:hAnsiTheme="majorBidi" w:cstheme="majorBidi"/>
        </w:rPr>
        <w:t xml:space="preserve">Nichols, M. </w:t>
      </w:r>
      <w:r w:rsidR="004643DA" w:rsidRPr="00BB0E1C">
        <w:rPr>
          <w:rFonts w:asciiTheme="majorBidi" w:hAnsiTheme="majorBidi" w:cstheme="majorBidi"/>
        </w:rPr>
        <w:t>(</w:t>
      </w:r>
      <w:r w:rsidRPr="00BB0E1C">
        <w:rPr>
          <w:rFonts w:asciiTheme="majorBidi" w:hAnsiTheme="majorBidi" w:cstheme="majorBidi"/>
        </w:rPr>
        <w:t>2010</w:t>
      </w:r>
      <w:r w:rsidR="004643DA" w:rsidRPr="00BB0E1C">
        <w:rPr>
          <w:rFonts w:asciiTheme="majorBidi" w:hAnsiTheme="majorBidi" w:cstheme="majorBidi"/>
        </w:rPr>
        <w:t>)</w:t>
      </w:r>
      <w:r w:rsidR="006C012E" w:rsidRPr="00BB0E1C">
        <w:rPr>
          <w:rFonts w:asciiTheme="majorBidi" w:hAnsiTheme="majorBidi" w:cstheme="majorBidi"/>
        </w:rPr>
        <w:t>.</w:t>
      </w:r>
      <w:proofErr w:type="gramEnd"/>
      <w:r w:rsidRPr="00BB0E1C">
        <w:rPr>
          <w:rFonts w:asciiTheme="majorBidi" w:hAnsiTheme="majorBidi" w:cstheme="majorBidi"/>
        </w:rPr>
        <w:t xml:space="preserve"> Student perceptions of support services and the influence of targeted interventions on retention in distance education, </w:t>
      </w:r>
      <w:r w:rsidRPr="00BB0E1C">
        <w:rPr>
          <w:rFonts w:asciiTheme="majorBidi" w:hAnsiTheme="majorBidi" w:cstheme="majorBidi"/>
          <w:i/>
          <w:iCs/>
        </w:rPr>
        <w:t>Distance Education</w:t>
      </w:r>
      <w:r w:rsidRPr="00BB0E1C">
        <w:rPr>
          <w:rFonts w:asciiTheme="majorBidi" w:hAnsiTheme="majorBidi" w:cstheme="majorBidi"/>
        </w:rPr>
        <w:t xml:space="preserve">, </w:t>
      </w:r>
      <w:r w:rsidRPr="00BB0E1C">
        <w:rPr>
          <w:rFonts w:asciiTheme="majorBidi" w:hAnsiTheme="majorBidi" w:cstheme="majorBidi"/>
          <w:i/>
          <w:iCs/>
        </w:rPr>
        <w:t>31</w:t>
      </w:r>
      <w:r w:rsidR="006C012E" w:rsidRPr="00BB0E1C">
        <w:rPr>
          <w:rFonts w:asciiTheme="majorBidi" w:hAnsiTheme="majorBidi" w:cstheme="majorBidi"/>
        </w:rPr>
        <w:t>(</w:t>
      </w:r>
      <w:r w:rsidRPr="00BB0E1C">
        <w:rPr>
          <w:rFonts w:asciiTheme="majorBidi" w:hAnsiTheme="majorBidi" w:cstheme="majorBidi"/>
        </w:rPr>
        <w:t>1</w:t>
      </w:r>
      <w:r w:rsidR="006C012E" w:rsidRPr="00BB0E1C">
        <w:rPr>
          <w:rFonts w:asciiTheme="majorBidi" w:hAnsiTheme="majorBidi" w:cstheme="majorBidi"/>
        </w:rPr>
        <w:t>)</w:t>
      </w:r>
      <w:r w:rsidR="004643DA" w:rsidRPr="00BB0E1C">
        <w:rPr>
          <w:rFonts w:asciiTheme="majorBidi" w:hAnsiTheme="majorBidi" w:cstheme="majorBidi"/>
        </w:rPr>
        <w:t>,</w:t>
      </w:r>
      <w:r w:rsidRPr="00BB0E1C">
        <w:rPr>
          <w:rFonts w:asciiTheme="majorBidi" w:hAnsiTheme="majorBidi" w:cstheme="majorBidi"/>
        </w:rPr>
        <w:t xml:space="preserve"> 93-113</w:t>
      </w:r>
      <w:r w:rsidR="006C012E" w:rsidRPr="00BB0E1C">
        <w:rPr>
          <w:rFonts w:asciiTheme="majorBidi" w:hAnsiTheme="majorBidi" w:cstheme="majorBidi"/>
        </w:rPr>
        <w:t>.</w:t>
      </w:r>
    </w:p>
    <w:p w14:paraId="322ED5D5" w14:textId="1E460A41" w:rsidR="00E57B40" w:rsidRPr="00BB0E1C" w:rsidRDefault="00E57B40" w:rsidP="003B005D">
      <w:pPr>
        <w:tabs>
          <w:tab w:val="left" w:pos="567"/>
        </w:tabs>
        <w:spacing w:after="100" w:line="240" w:lineRule="auto"/>
        <w:ind w:left="425" w:hanging="425"/>
        <w:jc w:val="both"/>
        <w:rPr>
          <w:rFonts w:asciiTheme="majorBidi" w:hAnsiTheme="majorBidi" w:cstheme="majorBidi"/>
        </w:rPr>
      </w:pPr>
      <w:proofErr w:type="spellStart"/>
      <w:proofErr w:type="gramStart"/>
      <w:r w:rsidRPr="00BB0E1C">
        <w:rPr>
          <w:rFonts w:asciiTheme="majorBidi" w:hAnsiTheme="majorBidi" w:cstheme="majorBidi"/>
        </w:rPr>
        <w:t>Nystrand</w:t>
      </w:r>
      <w:proofErr w:type="spellEnd"/>
      <w:r w:rsidRPr="00BB0E1C">
        <w:rPr>
          <w:rFonts w:asciiTheme="majorBidi" w:hAnsiTheme="majorBidi" w:cstheme="majorBidi"/>
        </w:rPr>
        <w:t xml:space="preserve">, M., </w:t>
      </w:r>
      <w:r w:rsidR="00F50315">
        <w:rPr>
          <w:rFonts w:asciiTheme="majorBidi" w:hAnsiTheme="majorBidi" w:cstheme="majorBidi"/>
        </w:rPr>
        <w:t>and</w:t>
      </w:r>
      <w:r w:rsidR="006C012E" w:rsidRPr="00BB0E1C">
        <w:rPr>
          <w:rFonts w:asciiTheme="majorBidi" w:hAnsiTheme="majorBidi" w:cstheme="majorBidi"/>
        </w:rPr>
        <w:t xml:space="preserve"> </w:t>
      </w:r>
      <w:proofErr w:type="spellStart"/>
      <w:r w:rsidRPr="00BB0E1C">
        <w:rPr>
          <w:rFonts w:asciiTheme="majorBidi" w:hAnsiTheme="majorBidi" w:cstheme="majorBidi"/>
        </w:rPr>
        <w:t>Gamoran</w:t>
      </w:r>
      <w:proofErr w:type="spellEnd"/>
      <w:r w:rsidRPr="00BB0E1C">
        <w:rPr>
          <w:rFonts w:asciiTheme="majorBidi" w:hAnsiTheme="majorBidi" w:cstheme="majorBidi"/>
        </w:rPr>
        <w:t xml:space="preserve">, A. </w:t>
      </w:r>
      <w:r w:rsidR="004643DA" w:rsidRPr="00BB0E1C">
        <w:rPr>
          <w:rFonts w:asciiTheme="majorBidi" w:hAnsiTheme="majorBidi" w:cstheme="majorBidi"/>
        </w:rPr>
        <w:t>(</w:t>
      </w:r>
      <w:r w:rsidRPr="00BB0E1C">
        <w:rPr>
          <w:rFonts w:asciiTheme="majorBidi" w:hAnsiTheme="majorBidi" w:cstheme="majorBidi"/>
        </w:rPr>
        <w:t>1991</w:t>
      </w:r>
      <w:r w:rsidR="004643DA" w:rsidRPr="00BB0E1C">
        <w:rPr>
          <w:rFonts w:asciiTheme="majorBidi" w:hAnsiTheme="majorBidi" w:cstheme="majorBidi"/>
        </w:rPr>
        <w:t>)</w:t>
      </w:r>
      <w:r w:rsidRPr="00BB0E1C">
        <w:rPr>
          <w:rFonts w:asciiTheme="majorBidi" w:hAnsiTheme="majorBidi" w:cstheme="majorBidi"/>
        </w:rPr>
        <w:t>.</w:t>
      </w:r>
      <w:proofErr w:type="gramEnd"/>
      <w:r w:rsidRPr="00BB0E1C">
        <w:rPr>
          <w:rFonts w:asciiTheme="majorBidi" w:hAnsiTheme="majorBidi" w:cstheme="majorBidi"/>
        </w:rPr>
        <w:t xml:space="preserve"> Instructional discourse, student engagement, and literature achievement, </w:t>
      </w:r>
      <w:r w:rsidRPr="00BB0E1C">
        <w:rPr>
          <w:rFonts w:asciiTheme="majorBidi" w:hAnsiTheme="majorBidi" w:cstheme="majorBidi"/>
          <w:i/>
        </w:rPr>
        <w:t>Research in the Teaching of English</w:t>
      </w:r>
      <w:r w:rsidR="006C012E" w:rsidRPr="00BB0E1C">
        <w:rPr>
          <w:rFonts w:asciiTheme="majorBidi" w:hAnsiTheme="majorBidi" w:cstheme="majorBidi"/>
          <w:iCs/>
        </w:rPr>
        <w:t>,</w:t>
      </w:r>
      <w:r w:rsidRPr="00BB0E1C">
        <w:rPr>
          <w:rFonts w:asciiTheme="majorBidi" w:hAnsiTheme="majorBidi" w:cstheme="majorBidi"/>
        </w:rPr>
        <w:t xml:space="preserve"> </w:t>
      </w:r>
      <w:r w:rsidRPr="00BB0E1C">
        <w:rPr>
          <w:rFonts w:asciiTheme="majorBidi" w:hAnsiTheme="majorBidi" w:cstheme="majorBidi"/>
          <w:i/>
          <w:iCs/>
        </w:rPr>
        <w:t>25</w:t>
      </w:r>
      <w:r w:rsidR="004643DA" w:rsidRPr="00BB0E1C">
        <w:rPr>
          <w:rFonts w:asciiTheme="majorBidi" w:hAnsiTheme="majorBidi" w:cstheme="majorBidi"/>
        </w:rPr>
        <w:t>,</w:t>
      </w:r>
      <w:r w:rsidR="00C538A7" w:rsidRPr="00BB0E1C">
        <w:rPr>
          <w:rFonts w:asciiTheme="majorBidi" w:hAnsiTheme="majorBidi" w:cstheme="majorBidi"/>
        </w:rPr>
        <w:t xml:space="preserve"> </w:t>
      </w:r>
      <w:r w:rsidRPr="00BB0E1C">
        <w:rPr>
          <w:rFonts w:asciiTheme="majorBidi" w:hAnsiTheme="majorBidi" w:cstheme="majorBidi"/>
        </w:rPr>
        <w:t>261-290.</w:t>
      </w:r>
    </w:p>
    <w:p w14:paraId="355FDAEE" w14:textId="599ACD2B" w:rsidR="00EA5187" w:rsidRPr="00BB0E1C" w:rsidRDefault="00EA5187" w:rsidP="003B005D">
      <w:pPr>
        <w:tabs>
          <w:tab w:val="left" w:pos="567"/>
        </w:tabs>
        <w:spacing w:after="100" w:line="240" w:lineRule="auto"/>
        <w:ind w:left="425" w:hanging="425"/>
        <w:jc w:val="both"/>
        <w:rPr>
          <w:rFonts w:asciiTheme="majorBidi" w:hAnsiTheme="majorBidi" w:cstheme="majorBidi"/>
        </w:rPr>
      </w:pPr>
      <w:proofErr w:type="gramStart"/>
      <w:r w:rsidRPr="00BB0E1C">
        <w:rPr>
          <w:rFonts w:asciiTheme="majorBidi" w:hAnsiTheme="majorBidi" w:cstheme="majorBidi"/>
        </w:rPr>
        <w:t xml:space="preserve">Shin, N. </w:t>
      </w:r>
      <w:r w:rsidR="004643DA" w:rsidRPr="00BB0E1C">
        <w:rPr>
          <w:rFonts w:asciiTheme="majorBidi" w:hAnsiTheme="majorBidi" w:cstheme="majorBidi"/>
        </w:rPr>
        <w:t>(</w:t>
      </w:r>
      <w:r w:rsidRPr="00BB0E1C">
        <w:rPr>
          <w:rFonts w:asciiTheme="majorBidi" w:hAnsiTheme="majorBidi" w:cstheme="majorBidi"/>
        </w:rPr>
        <w:t>2003</w:t>
      </w:r>
      <w:r w:rsidR="004643DA" w:rsidRPr="00BB0E1C">
        <w:rPr>
          <w:rFonts w:asciiTheme="majorBidi" w:hAnsiTheme="majorBidi" w:cstheme="majorBidi"/>
        </w:rPr>
        <w:t>)</w:t>
      </w:r>
      <w:r w:rsidR="006C012E" w:rsidRPr="00BB0E1C">
        <w:rPr>
          <w:rFonts w:asciiTheme="majorBidi" w:hAnsiTheme="majorBidi" w:cstheme="majorBidi"/>
        </w:rPr>
        <w:t>.</w:t>
      </w:r>
      <w:proofErr w:type="gramEnd"/>
      <w:r w:rsidRPr="00BB0E1C">
        <w:rPr>
          <w:rFonts w:asciiTheme="majorBidi" w:hAnsiTheme="majorBidi" w:cstheme="majorBidi"/>
        </w:rPr>
        <w:t xml:space="preserve"> </w:t>
      </w:r>
      <w:proofErr w:type="gramStart"/>
      <w:r w:rsidRPr="00BB0E1C">
        <w:rPr>
          <w:rFonts w:asciiTheme="majorBidi" w:hAnsiTheme="majorBidi" w:cstheme="majorBidi"/>
        </w:rPr>
        <w:t xml:space="preserve">Transactional presence as a critical predictor of success in distance learning, </w:t>
      </w:r>
      <w:r w:rsidRPr="00BB0E1C">
        <w:rPr>
          <w:rFonts w:asciiTheme="majorBidi" w:hAnsiTheme="majorBidi" w:cstheme="majorBidi"/>
          <w:i/>
          <w:iCs/>
        </w:rPr>
        <w:t>Distance Education</w:t>
      </w:r>
      <w:r w:rsidRPr="00BB0E1C">
        <w:rPr>
          <w:rFonts w:asciiTheme="majorBidi" w:hAnsiTheme="majorBidi" w:cstheme="majorBidi"/>
        </w:rPr>
        <w:t xml:space="preserve">, </w:t>
      </w:r>
      <w:r w:rsidRPr="00BB0E1C">
        <w:rPr>
          <w:rFonts w:asciiTheme="majorBidi" w:hAnsiTheme="majorBidi" w:cstheme="majorBidi"/>
          <w:i/>
          <w:iCs/>
        </w:rPr>
        <w:t>24</w:t>
      </w:r>
      <w:r w:rsidR="006C012E" w:rsidRPr="00BB0E1C">
        <w:rPr>
          <w:rFonts w:asciiTheme="majorBidi" w:hAnsiTheme="majorBidi" w:cstheme="majorBidi"/>
        </w:rPr>
        <w:t>(</w:t>
      </w:r>
      <w:r w:rsidRPr="00BB0E1C">
        <w:rPr>
          <w:rFonts w:asciiTheme="majorBidi" w:hAnsiTheme="majorBidi" w:cstheme="majorBidi"/>
        </w:rPr>
        <w:t>1</w:t>
      </w:r>
      <w:r w:rsidR="006C012E" w:rsidRPr="00BB0E1C">
        <w:rPr>
          <w:rFonts w:asciiTheme="majorBidi" w:hAnsiTheme="majorBidi" w:cstheme="majorBidi"/>
        </w:rPr>
        <w:t>)</w:t>
      </w:r>
      <w:r w:rsidR="004643DA" w:rsidRPr="00BB0E1C">
        <w:rPr>
          <w:rFonts w:asciiTheme="majorBidi" w:hAnsiTheme="majorBidi" w:cstheme="majorBidi"/>
        </w:rPr>
        <w:t>,</w:t>
      </w:r>
      <w:r w:rsidRPr="00BB0E1C">
        <w:rPr>
          <w:rFonts w:asciiTheme="majorBidi" w:hAnsiTheme="majorBidi" w:cstheme="majorBidi"/>
        </w:rPr>
        <w:t xml:space="preserve"> 69-86</w:t>
      </w:r>
      <w:r w:rsidR="006C012E" w:rsidRPr="00BB0E1C">
        <w:rPr>
          <w:rFonts w:asciiTheme="majorBidi" w:hAnsiTheme="majorBidi" w:cstheme="majorBidi"/>
        </w:rPr>
        <w:t>.</w:t>
      </w:r>
      <w:proofErr w:type="gramEnd"/>
    </w:p>
    <w:p w14:paraId="5B53DE40" w14:textId="45862955" w:rsidR="00EA5187" w:rsidRPr="00BB0E1C" w:rsidRDefault="00EA5187" w:rsidP="003B005D">
      <w:pPr>
        <w:tabs>
          <w:tab w:val="left" w:pos="567"/>
        </w:tabs>
        <w:spacing w:after="100" w:line="240" w:lineRule="auto"/>
        <w:ind w:left="425" w:hanging="425"/>
        <w:jc w:val="both"/>
        <w:rPr>
          <w:rFonts w:asciiTheme="majorBidi" w:hAnsiTheme="majorBidi" w:cstheme="majorBidi"/>
        </w:rPr>
      </w:pPr>
      <w:r w:rsidRPr="00BB0E1C">
        <w:rPr>
          <w:rFonts w:asciiTheme="majorBidi" w:hAnsiTheme="majorBidi" w:cstheme="majorBidi"/>
        </w:rPr>
        <w:t>Simpson, O.</w:t>
      </w:r>
      <w:r w:rsidR="00C538A7" w:rsidRPr="00BB0E1C">
        <w:rPr>
          <w:rFonts w:asciiTheme="majorBidi" w:hAnsiTheme="majorBidi" w:cstheme="majorBidi"/>
        </w:rPr>
        <w:t xml:space="preserve"> </w:t>
      </w:r>
      <w:r w:rsidR="004643DA" w:rsidRPr="00BB0E1C">
        <w:rPr>
          <w:rFonts w:asciiTheme="majorBidi" w:hAnsiTheme="majorBidi" w:cstheme="majorBidi"/>
        </w:rPr>
        <w:t>(</w:t>
      </w:r>
      <w:r w:rsidRPr="00BB0E1C">
        <w:rPr>
          <w:rFonts w:asciiTheme="majorBidi" w:hAnsiTheme="majorBidi" w:cstheme="majorBidi"/>
        </w:rPr>
        <w:t>2004</w:t>
      </w:r>
      <w:r w:rsidR="004643DA" w:rsidRPr="00BB0E1C">
        <w:rPr>
          <w:rFonts w:asciiTheme="majorBidi" w:hAnsiTheme="majorBidi" w:cstheme="majorBidi"/>
        </w:rPr>
        <w:t>)</w:t>
      </w:r>
      <w:r w:rsidR="006C012E" w:rsidRPr="00BB0E1C">
        <w:rPr>
          <w:rFonts w:asciiTheme="majorBidi" w:hAnsiTheme="majorBidi" w:cstheme="majorBidi"/>
        </w:rPr>
        <w:t>.</w:t>
      </w:r>
      <w:r w:rsidRPr="00BB0E1C">
        <w:rPr>
          <w:rFonts w:asciiTheme="majorBidi" w:hAnsiTheme="majorBidi" w:cstheme="majorBidi"/>
        </w:rPr>
        <w:t xml:space="preserve"> The impact on retention of interventions to support distance learning students, </w:t>
      </w:r>
      <w:r w:rsidRPr="00BB0E1C">
        <w:rPr>
          <w:rFonts w:asciiTheme="majorBidi" w:hAnsiTheme="majorBidi" w:cstheme="majorBidi"/>
          <w:i/>
          <w:iCs/>
        </w:rPr>
        <w:t>Open Learning</w:t>
      </w:r>
      <w:r w:rsidRPr="00BB0E1C">
        <w:rPr>
          <w:rFonts w:asciiTheme="majorBidi" w:hAnsiTheme="majorBidi" w:cstheme="majorBidi"/>
        </w:rPr>
        <w:t xml:space="preserve">, </w:t>
      </w:r>
      <w:r w:rsidRPr="00BB0E1C">
        <w:rPr>
          <w:rFonts w:asciiTheme="majorBidi" w:hAnsiTheme="majorBidi" w:cstheme="majorBidi"/>
          <w:i/>
          <w:iCs/>
        </w:rPr>
        <w:t>19</w:t>
      </w:r>
      <w:r w:rsidR="006C012E" w:rsidRPr="00BB0E1C">
        <w:rPr>
          <w:rFonts w:asciiTheme="majorBidi" w:hAnsiTheme="majorBidi" w:cstheme="majorBidi"/>
        </w:rPr>
        <w:t>(</w:t>
      </w:r>
      <w:r w:rsidRPr="00BB0E1C">
        <w:rPr>
          <w:rFonts w:asciiTheme="majorBidi" w:hAnsiTheme="majorBidi" w:cstheme="majorBidi"/>
        </w:rPr>
        <w:t>1</w:t>
      </w:r>
      <w:r w:rsidR="006C012E" w:rsidRPr="00BB0E1C">
        <w:rPr>
          <w:rFonts w:asciiTheme="majorBidi" w:hAnsiTheme="majorBidi" w:cstheme="majorBidi"/>
        </w:rPr>
        <w:t>)</w:t>
      </w:r>
      <w:r w:rsidR="004643DA" w:rsidRPr="00BB0E1C">
        <w:rPr>
          <w:rFonts w:asciiTheme="majorBidi" w:hAnsiTheme="majorBidi" w:cstheme="majorBidi"/>
        </w:rPr>
        <w:t xml:space="preserve">, </w:t>
      </w:r>
      <w:r w:rsidRPr="00BB0E1C">
        <w:rPr>
          <w:rFonts w:asciiTheme="majorBidi" w:hAnsiTheme="majorBidi" w:cstheme="majorBidi"/>
        </w:rPr>
        <w:t>79-95</w:t>
      </w:r>
      <w:r w:rsidR="006C012E" w:rsidRPr="00BB0E1C">
        <w:rPr>
          <w:rFonts w:asciiTheme="majorBidi" w:hAnsiTheme="majorBidi" w:cstheme="majorBidi"/>
        </w:rPr>
        <w:t>.</w:t>
      </w:r>
    </w:p>
    <w:p w14:paraId="09F8D0CE" w14:textId="2F9698E6" w:rsidR="00EA5187" w:rsidRPr="00BB0E1C" w:rsidRDefault="00EA5187" w:rsidP="003B005D">
      <w:pPr>
        <w:tabs>
          <w:tab w:val="left" w:pos="567"/>
        </w:tabs>
        <w:spacing w:after="100" w:line="240" w:lineRule="auto"/>
        <w:ind w:left="425" w:hanging="425"/>
        <w:jc w:val="both"/>
        <w:rPr>
          <w:rFonts w:asciiTheme="majorBidi" w:hAnsiTheme="majorBidi" w:cstheme="majorBidi"/>
        </w:rPr>
      </w:pPr>
      <w:r w:rsidRPr="00BB0E1C">
        <w:rPr>
          <w:rFonts w:asciiTheme="majorBidi" w:hAnsiTheme="majorBidi" w:cstheme="majorBidi"/>
        </w:rPr>
        <w:t>Simpson, O.</w:t>
      </w:r>
      <w:r w:rsidR="00C538A7" w:rsidRPr="00BB0E1C">
        <w:rPr>
          <w:rFonts w:asciiTheme="majorBidi" w:hAnsiTheme="majorBidi" w:cstheme="majorBidi"/>
        </w:rPr>
        <w:t xml:space="preserve"> </w:t>
      </w:r>
      <w:r w:rsidR="00AF34BC" w:rsidRPr="00BB0E1C">
        <w:rPr>
          <w:rFonts w:asciiTheme="majorBidi" w:hAnsiTheme="majorBidi" w:cstheme="majorBidi"/>
        </w:rPr>
        <w:t>(</w:t>
      </w:r>
      <w:r w:rsidRPr="00BB0E1C">
        <w:rPr>
          <w:rFonts w:asciiTheme="majorBidi" w:hAnsiTheme="majorBidi" w:cstheme="majorBidi"/>
        </w:rPr>
        <w:t>2006</w:t>
      </w:r>
      <w:r w:rsidR="00AF34BC" w:rsidRPr="00BB0E1C">
        <w:rPr>
          <w:rFonts w:asciiTheme="majorBidi" w:hAnsiTheme="majorBidi" w:cstheme="majorBidi"/>
        </w:rPr>
        <w:t>)</w:t>
      </w:r>
      <w:r w:rsidR="006C012E" w:rsidRPr="00BB0E1C">
        <w:rPr>
          <w:rFonts w:asciiTheme="majorBidi" w:hAnsiTheme="majorBidi" w:cstheme="majorBidi"/>
        </w:rPr>
        <w:t>.</w:t>
      </w:r>
      <w:r w:rsidRPr="00BB0E1C">
        <w:rPr>
          <w:rFonts w:asciiTheme="majorBidi" w:hAnsiTheme="majorBidi" w:cstheme="majorBidi"/>
        </w:rPr>
        <w:t xml:space="preserve"> Predicting student success in open and distance learning, </w:t>
      </w:r>
      <w:r w:rsidRPr="00BB0E1C">
        <w:rPr>
          <w:rFonts w:asciiTheme="majorBidi" w:hAnsiTheme="majorBidi" w:cstheme="majorBidi"/>
          <w:i/>
          <w:iCs/>
        </w:rPr>
        <w:t>Open Learning</w:t>
      </w:r>
      <w:r w:rsidRPr="00BB0E1C">
        <w:rPr>
          <w:rFonts w:asciiTheme="majorBidi" w:hAnsiTheme="majorBidi" w:cstheme="majorBidi"/>
        </w:rPr>
        <w:t xml:space="preserve">, </w:t>
      </w:r>
      <w:r w:rsidRPr="00BB0E1C">
        <w:rPr>
          <w:rFonts w:asciiTheme="majorBidi" w:hAnsiTheme="majorBidi" w:cstheme="majorBidi"/>
          <w:i/>
          <w:iCs/>
        </w:rPr>
        <w:t>21</w:t>
      </w:r>
      <w:r w:rsidR="006C012E" w:rsidRPr="00BB0E1C">
        <w:rPr>
          <w:rFonts w:asciiTheme="majorBidi" w:hAnsiTheme="majorBidi" w:cstheme="majorBidi"/>
        </w:rPr>
        <w:t>(</w:t>
      </w:r>
      <w:r w:rsidRPr="00BB0E1C">
        <w:rPr>
          <w:rFonts w:asciiTheme="majorBidi" w:hAnsiTheme="majorBidi" w:cstheme="majorBidi"/>
        </w:rPr>
        <w:t>2</w:t>
      </w:r>
      <w:r w:rsidR="006C012E" w:rsidRPr="00BB0E1C">
        <w:rPr>
          <w:rFonts w:asciiTheme="majorBidi" w:hAnsiTheme="majorBidi" w:cstheme="majorBidi"/>
        </w:rPr>
        <w:t>)</w:t>
      </w:r>
      <w:r w:rsidR="00AF34BC" w:rsidRPr="00BB0E1C">
        <w:rPr>
          <w:rFonts w:asciiTheme="majorBidi" w:hAnsiTheme="majorBidi" w:cstheme="majorBidi"/>
        </w:rPr>
        <w:t>,</w:t>
      </w:r>
      <w:r w:rsidRPr="00BB0E1C">
        <w:rPr>
          <w:rFonts w:asciiTheme="majorBidi" w:hAnsiTheme="majorBidi" w:cstheme="majorBidi"/>
        </w:rPr>
        <w:t xml:space="preserve"> 125-138</w:t>
      </w:r>
      <w:r w:rsidR="006C012E" w:rsidRPr="00BB0E1C">
        <w:rPr>
          <w:rFonts w:asciiTheme="majorBidi" w:hAnsiTheme="majorBidi" w:cstheme="majorBidi"/>
        </w:rPr>
        <w:t>.</w:t>
      </w:r>
    </w:p>
    <w:p w14:paraId="2252F902" w14:textId="3F746A73" w:rsidR="00EA5187" w:rsidRPr="00BB0E1C" w:rsidRDefault="00EA5187" w:rsidP="003B005D">
      <w:pPr>
        <w:tabs>
          <w:tab w:val="left" w:pos="567"/>
        </w:tabs>
        <w:spacing w:after="100" w:line="240" w:lineRule="auto"/>
        <w:ind w:left="425" w:hanging="425"/>
        <w:jc w:val="both"/>
        <w:rPr>
          <w:rFonts w:asciiTheme="majorBidi" w:hAnsiTheme="majorBidi" w:cstheme="majorBidi"/>
        </w:rPr>
      </w:pPr>
      <w:proofErr w:type="gramStart"/>
      <w:r w:rsidRPr="00BB0E1C">
        <w:rPr>
          <w:rFonts w:asciiTheme="majorBidi" w:hAnsiTheme="majorBidi" w:cstheme="majorBidi"/>
        </w:rPr>
        <w:t>Tinto, V.</w:t>
      </w:r>
      <w:r w:rsidR="00C538A7" w:rsidRPr="00BB0E1C">
        <w:rPr>
          <w:rFonts w:asciiTheme="majorBidi" w:hAnsiTheme="majorBidi" w:cstheme="majorBidi"/>
        </w:rPr>
        <w:t xml:space="preserve"> </w:t>
      </w:r>
      <w:r w:rsidR="00AF34BC" w:rsidRPr="00BB0E1C">
        <w:rPr>
          <w:rFonts w:asciiTheme="majorBidi" w:hAnsiTheme="majorBidi" w:cstheme="majorBidi"/>
        </w:rPr>
        <w:t>(</w:t>
      </w:r>
      <w:r w:rsidRPr="00BB0E1C">
        <w:rPr>
          <w:rFonts w:asciiTheme="majorBidi" w:hAnsiTheme="majorBidi" w:cstheme="majorBidi"/>
        </w:rPr>
        <w:t>1982</w:t>
      </w:r>
      <w:r w:rsidR="00AF34BC" w:rsidRPr="00BB0E1C">
        <w:rPr>
          <w:rFonts w:asciiTheme="majorBidi" w:hAnsiTheme="majorBidi" w:cstheme="majorBidi"/>
        </w:rPr>
        <w:t>)</w:t>
      </w:r>
      <w:r w:rsidR="006C012E" w:rsidRPr="00BB0E1C">
        <w:rPr>
          <w:rFonts w:asciiTheme="majorBidi" w:hAnsiTheme="majorBidi" w:cstheme="majorBidi"/>
        </w:rPr>
        <w:t>.</w:t>
      </w:r>
      <w:proofErr w:type="gramEnd"/>
      <w:r w:rsidRPr="00BB0E1C">
        <w:rPr>
          <w:rFonts w:asciiTheme="majorBidi" w:hAnsiTheme="majorBidi" w:cstheme="majorBidi"/>
        </w:rPr>
        <w:t xml:space="preserve"> Limits of Theory and Practice in Student Attrition, </w:t>
      </w:r>
      <w:r w:rsidRPr="00BB0E1C">
        <w:rPr>
          <w:rFonts w:asciiTheme="majorBidi" w:hAnsiTheme="majorBidi" w:cstheme="majorBidi"/>
          <w:i/>
          <w:iCs/>
        </w:rPr>
        <w:t>Journal of Higher Education</w:t>
      </w:r>
      <w:r w:rsidRPr="00BB0E1C">
        <w:rPr>
          <w:rFonts w:asciiTheme="majorBidi" w:hAnsiTheme="majorBidi" w:cstheme="majorBidi"/>
        </w:rPr>
        <w:t>,</w:t>
      </w:r>
      <w:r w:rsidR="00AF34BC" w:rsidRPr="00BB0E1C">
        <w:rPr>
          <w:rFonts w:asciiTheme="majorBidi" w:hAnsiTheme="majorBidi" w:cstheme="majorBidi"/>
        </w:rPr>
        <w:t xml:space="preserve"> </w:t>
      </w:r>
      <w:r w:rsidRPr="00BB0E1C">
        <w:rPr>
          <w:rFonts w:asciiTheme="majorBidi" w:hAnsiTheme="majorBidi" w:cstheme="majorBidi"/>
          <w:i/>
          <w:iCs/>
        </w:rPr>
        <w:t>53</w:t>
      </w:r>
      <w:r w:rsidR="006C012E" w:rsidRPr="00BB0E1C">
        <w:rPr>
          <w:rFonts w:asciiTheme="majorBidi" w:hAnsiTheme="majorBidi" w:cstheme="majorBidi"/>
        </w:rPr>
        <w:t>(</w:t>
      </w:r>
      <w:r w:rsidRPr="00BB0E1C">
        <w:rPr>
          <w:rFonts w:asciiTheme="majorBidi" w:hAnsiTheme="majorBidi" w:cstheme="majorBidi"/>
        </w:rPr>
        <w:t>6</w:t>
      </w:r>
      <w:r w:rsidR="006C012E" w:rsidRPr="00BB0E1C">
        <w:rPr>
          <w:rFonts w:asciiTheme="majorBidi" w:hAnsiTheme="majorBidi" w:cstheme="majorBidi"/>
        </w:rPr>
        <w:t>)</w:t>
      </w:r>
      <w:r w:rsidR="00AF34BC" w:rsidRPr="00BB0E1C">
        <w:rPr>
          <w:rFonts w:asciiTheme="majorBidi" w:hAnsiTheme="majorBidi" w:cstheme="majorBidi"/>
        </w:rPr>
        <w:t>,</w:t>
      </w:r>
      <w:r w:rsidRPr="00BB0E1C">
        <w:rPr>
          <w:rFonts w:asciiTheme="majorBidi" w:hAnsiTheme="majorBidi" w:cstheme="majorBidi"/>
        </w:rPr>
        <w:t xml:space="preserve"> 687-700</w:t>
      </w:r>
      <w:r w:rsidR="007E2330" w:rsidRPr="00BB0E1C">
        <w:rPr>
          <w:rFonts w:asciiTheme="majorBidi" w:hAnsiTheme="majorBidi" w:cstheme="majorBidi"/>
        </w:rPr>
        <w:t>.</w:t>
      </w:r>
    </w:p>
    <w:p w14:paraId="1C5F04A1" w14:textId="70248EC6" w:rsidR="00642950" w:rsidRPr="00BB0E1C" w:rsidRDefault="00642950" w:rsidP="003B005D">
      <w:pPr>
        <w:tabs>
          <w:tab w:val="left" w:pos="567"/>
        </w:tabs>
        <w:spacing w:after="100" w:line="240" w:lineRule="auto"/>
        <w:ind w:left="425" w:hanging="425"/>
        <w:jc w:val="both"/>
        <w:rPr>
          <w:rFonts w:asciiTheme="majorBidi" w:hAnsiTheme="majorBidi" w:cstheme="majorBidi"/>
        </w:rPr>
      </w:pPr>
      <w:proofErr w:type="gramStart"/>
      <w:r w:rsidRPr="00BB0E1C">
        <w:rPr>
          <w:rFonts w:asciiTheme="majorBidi" w:hAnsiTheme="majorBidi" w:cstheme="majorBidi"/>
        </w:rPr>
        <w:t>Tinto</w:t>
      </w:r>
      <w:r w:rsidR="00130F86" w:rsidRPr="00BB0E1C">
        <w:rPr>
          <w:rFonts w:asciiTheme="majorBidi" w:hAnsiTheme="majorBidi" w:cstheme="majorBidi"/>
        </w:rPr>
        <w:t>, V.</w:t>
      </w:r>
      <w:r w:rsidR="00C538A7" w:rsidRPr="00BB0E1C">
        <w:rPr>
          <w:rFonts w:asciiTheme="majorBidi" w:hAnsiTheme="majorBidi" w:cstheme="majorBidi"/>
        </w:rPr>
        <w:t xml:space="preserve"> </w:t>
      </w:r>
      <w:r w:rsidR="00AF34BC" w:rsidRPr="00BB0E1C">
        <w:rPr>
          <w:rFonts w:asciiTheme="majorBidi" w:hAnsiTheme="majorBidi" w:cstheme="majorBidi"/>
        </w:rPr>
        <w:t>(</w:t>
      </w:r>
      <w:r w:rsidRPr="00BB0E1C">
        <w:rPr>
          <w:rFonts w:asciiTheme="majorBidi" w:hAnsiTheme="majorBidi" w:cstheme="majorBidi"/>
        </w:rPr>
        <w:t>200</w:t>
      </w:r>
      <w:r w:rsidR="00130F86" w:rsidRPr="00BB0E1C">
        <w:rPr>
          <w:rFonts w:asciiTheme="majorBidi" w:hAnsiTheme="majorBidi" w:cstheme="majorBidi"/>
        </w:rPr>
        <w:t>6</w:t>
      </w:r>
      <w:r w:rsidR="00AF34BC" w:rsidRPr="00BB0E1C">
        <w:rPr>
          <w:rFonts w:asciiTheme="majorBidi" w:hAnsiTheme="majorBidi" w:cstheme="majorBidi"/>
        </w:rPr>
        <w:t>)</w:t>
      </w:r>
      <w:r w:rsidR="006C012E" w:rsidRPr="00BB0E1C">
        <w:rPr>
          <w:rFonts w:asciiTheme="majorBidi" w:hAnsiTheme="majorBidi" w:cstheme="majorBidi"/>
        </w:rPr>
        <w:t>.</w:t>
      </w:r>
      <w:proofErr w:type="gramEnd"/>
      <w:r w:rsidR="00130F86" w:rsidRPr="00BB0E1C">
        <w:rPr>
          <w:rFonts w:asciiTheme="majorBidi" w:hAnsiTheme="majorBidi" w:cstheme="majorBidi"/>
        </w:rPr>
        <w:t xml:space="preserve"> Research and Practice of Student Retention: What Next? </w:t>
      </w:r>
      <w:r w:rsidR="00130F86" w:rsidRPr="00BB0E1C">
        <w:rPr>
          <w:rFonts w:asciiTheme="majorBidi" w:hAnsiTheme="majorBidi" w:cstheme="majorBidi"/>
          <w:i/>
          <w:iCs/>
        </w:rPr>
        <w:t xml:space="preserve">Journal of </w:t>
      </w:r>
      <w:r w:rsidR="00C538A7" w:rsidRPr="00BB0E1C">
        <w:rPr>
          <w:rFonts w:asciiTheme="majorBidi" w:hAnsiTheme="majorBidi" w:cstheme="majorBidi"/>
          <w:i/>
          <w:iCs/>
        </w:rPr>
        <w:t>College Student Retention</w:t>
      </w:r>
      <w:r w:rsidR="00C538A7" w:rsidRPr="00BB0E1C">
        <w:rPr>
          <w:rFonts w:asciiTheme="majorBidi" w:hAnsiTheme="majorBidi" w:cstheme="majorBidi"/>
        </w:rPr>
        <w:t xml:space="preserve">, </w:t>
      </w:r>
      <w:r w:rsidR="00C538A7" w:rsidRPr="00BB0E1C">
        <w:rPr>
          <w:rFonts w:asciiTheme="majorBidi" w:hAnsiTheme="majorBidi" w:cstheme="majorBidi"/>
          <w:i/>
          <w:iCs/>
        </w:rPr>
        <w:t>8</w:t>
      </w:r>
      <w:r w:rsidR="00C538A7" w:rsidRPr="00BB0E1C">
        <w:rPr>
          <w:rFonts w:asciiTheme="majorBidi" w:hAnsiTheme="majorBidi" w:cstheme="majorBidi"/>
        </w:rPr>
        <w:t>(1)</w:t>
      </w:r>
      <w:r w:rsidR="00AF34BC" w:rsidRPr="00BB0E1C">
        <w:rPr>
          <w:rFonts w:asciiTheme="majorBidi" w:hAnsiTheme="majorBidi" w:cstheme="majorBidi"/>
        </w:rPr>
        <w:t>,</w:t>
      </w:r>
      <w:r w:rsidR="00C538A7" w:rsidRPr="00BB0E1C">
        <w:rPr>
          <w:rFonts w:asciiTheme="majorBidi" w:hAnsiTheme="majorBidi" w:cstheme="majorBidi"/>
        </w:rPr>
        <w:t xml:space="preserve"> 1-19.</w:t>
      </w:r>
    </w:p>
    <w:p w14:paraId="3B04C744" w14:textId="3BAA197F" w:rsidR="007E2330" w:rsidRPr="00BB0E1C" w:rsidRDefault="007E2330" w:rsidP="003B005D">
      <w:pPr>
        <w:tabs>
          <w:tab w:val="left" w:pos="567"/>
        </w:tabs>
        <w:spacing w:after="100" w:line="240" w:lineRule="auto"/>
        <w:ind w:left="425" w:hanging="425"/>
        <w:jc w:val="both"/>
        <w:rPr>
          <w:rFonts w:asciiTheme="majorBidi" w:hAnsiTheme="majorBidi" w:cstheme="majorBidi"/>
        </w:rPr>
      </w:pPr>
      <w:proofErr w:type="spellStart"/>
      <w:proofErr w:type="gramStart"/>
      <w:r w:rsidRPr="00BB0E1C">
        <w:rPr>
          <w:rFonts w:asciiTheme="majorBidi" w:hAnsiTheme="majorBidi" w:cstheme="majorBidi"/>
        </w:rPr>
        <w:t>Torgerson</w:t>
      </w:r>
      <w:proofErr w:type="spellEnd"/>
      <w:r w:rsidRPr="00BB0E1C">
        <w:rPr>
          <w:rFonts w:asciiTheme="majorBidi" w:hAnsiTheme="majorBidi" w:cstheme="majorBidi"/>
        </w:rPr>
        <w:t xml:space="preserve">, D.J., </w:t>
      </w:r>
      <w:r w:rsidR="00F50315">
        <w:rPr>
          <w:rFonts w:asciiTheme="majorBidi" w:hAnsiTheme="majorBidi" w:cstheme="majorBidi"/>
        </w:rPr>
        <w:t>and</w:t>
      </w:r>
      <w:r w:rsidR="00C538A7" w:rsidRPr="00BB0E1C">
        <w:rPr>
          <w:rFonts w:asciiTheme="majorBidi" w:hAnsiTheme="majorBidi" w:cstheme="majorBidi"/>
        </w:rPr>
        <w:t xml:space="preserve"> </w:t>
      </w:r>
      <w:proofErr w:type="spellStart"/>
      <w:r w:rsidRPr="00BB0E1C">
        <w:rPr>
          <w:rFonts w:asciiTheme="majorBidi" w:hAnsiTheme="majorBidi" w:cstheme="majorBidi"/>
        </w:rPr>
        <w:t>Torgerson</w:t>
      </w:r>
      <w:proofErr w:type="spellEnd"/>
      <w:r w:rsidRPr="00BB0E1C">
        <w:rPr>
          <w:rFonts w:asciiTheme="majorBidi" w:hAnsiTheme="majorBidi" w:cstheme="majorBidi"/>
        </w:rPr>
        <w:t xml:space="preserve">, C.J. </w:t>
      </w:r>
      <w:r w:rsidR="00AF34BC" w:rsidRPr="00BB0E1C">
        <w:rPr>
          <w:rFonts w:asciiTheme="majorBidi" w:hAnsiTheme="majorBidi" w:cstheme="majorBidi"/>
        </w:rPr>
        <w:t>(</w:t>
      </w:r>
      <w:r w:rsidRPr="00BB0E1C">
        <w:rPr>
          <w:rFonts w:asciiTheme="majorBidi" w:hAnsiTheme="majorBidi" w:cstheme="majorBidi"/>
        </w:rPr>
        <w:t>2008</w:t>
      </w:r>
      <w:r w:rsidR="00AF34BC" w:rsidRPr="00BB0E1C">
        <w:rPr>
          <w:rFonts w:asciiTheme="majorBidi" w:hAnsiTheme="majorBidi" w:cstheme="majorBidi"/>
        </w:rPr>
        <w:t>)</w:t>
      </w:r>
      <w:r w:rsidRPr="00BB0E1C">
        <w:rPr>
          <w:rFonts w:asciiTheme="majorBidi" w:hAnsiTheme="majorBidi" w:cstheme="majorBidi"/>
        </w:rPr>
        <w:t>.</w:t>
      </w:r>
      <w:proofErr w:type="gramEnd"/>
      <w:r w:rsidRPr="00BB0E1C">
        <w:rPr>
          <w:rFonts w:asciiTheme="majorBidi" w:hAnsiTheme="majorBidi" w:cstheme="majorBidi"/>
        </w:rPr>
        <w:t xml:space="preserve"> </w:t>
      </w:r>
      <w:r w:rsidRPr="00BB0E1C">
        <w:rPr>
          <w:rFonts w:asciiTheme="majorBidi" w:hAnsiTheme="majorBidi" w:cstheme="majorBidi"/>
          <w:i/>
        </w:rPr>
        <w:t>Designing randomised trials in health, education and the social sciences: An introduction</w:t>
      </w:r>
      <w:r w:rsidRPr="00BB0E1C">
        <w:rPr>
          <w:rFonts w:asciiTheme="majorBidi" w:hAnsiTheme="majorBidi" w:cstheme="majorBidi"/>
        </w:rPr>
        <w:t>. New York: Palgrave Macmillan.</w:t>
      </w:r>
    </w:p>
    <w:p w14:paraId="0195B8DF" w14:textId="188B213A" w:rsidR="00EA5187" w:rsidRPr="00BB0E1C" w:rsidRDefault="00EA5187" w:rsidP="003B005D">
      <w:pPr>
        <w:tabs>
          <w:tab w:val="left" w:pos="567"/>
        </w:tabs>
        <w:spacing w:after="100" w:line="240" w:lineRule="auto"/>
        <w:ind w:left="425" w:hanging="425"/>
        <w:jc w:val="both"/>
        <w:rPr>
          <w:rFonts w:asciiTheme="majorBidi" w:hAnsiTheme="majorBidi" w:cstheme="majorBidi"/>
        </w:rPr>
      </w:pPr>
      <w:proofErr w:type="spellStart"/>
      <w:r w:rsidRPr="00BB0E1C">
        <w:rPr>
          <w:rFonts w:asciiTheme="majorBidi" w:hAnsiTheme="majorBidi" w:cstheme="majorBidi"/>
        </w:rPr>
        <w:t>Williford</w:t>
      </w:r>
      <w:proofErr w:type="spellEnd"/>
      <w:r w:rsidRPr="00BB0E1C">
        <w:rPr>
          <w:rFonts w:asciiTheme="majorBidi" w:hAnsiTheme="majorBidi" w:cstheme="majorBidi"/>
        </w:rPr>
        <w:t xml:space="preserve">, A. M. </w:t>
      </w:r>
      <w:r w:rsidR="00AF34BC" w:rsidRPr="00BB0E1C">
        <w:rPr>
          <w:rFonts w:asciiTheme="majorBidi" w:hAnsiTheme="majorBidi" w:cstheme="majorBidi"/>
        </w:rPr>
        <w:t>(</w:t>
      </w:r>
      <w:r w:rsidRPr="00BB0E1C">
        <w:rPr>
          <w:rFonts w:asciiTheme="majorBidi" w:hAnsiTheme="majorBidi" w:cstheme="majorBidi"/>
        </w:rPr>
        <w:t>1997</w:t>
      </w:r>
      <w:r w:rsidR="00AF34BC" w:rsidRPr="00BB0E1C">
        <w:rPr>
          <w:rFonts w:asciiTheme="majorBidi" w:hAnsiTheme="majorBidi" w:cstheme="majorBidi"/>
        </w:rPr>
        <w:t>)</w:t>
      </w:r>
      <w:r w:rsidR="00C538A7" w:rsidRPr="00BB0E1C">
        <w:rPr>
          <w:rFonts w:asciiTheme="majorBidi" w:hAnsiTheme="majorBidi" w:cstheme="majorBidi"/>
        </w:rPr>
        <w:t>.</w:t>
      </w:r>
      <w:r w:rsidRPr="00BB0E1C">
        <w:rPr>
          <w:rFonts w:asciiTheme="majorBidi" w:hAnsiTheme="majorBidi" w:cstheme="majorBidi"/>
        </w:rPr>
        <w:t xml:space="preserve"> Freshman Involvement and Retention at Ohio University:  Intervention with Individual Potential Leavers, Paper presented at the 37</w:t>
      </w:r>
      <w:r w:rsidRPr="00BB0E1C">
        <w:rPr>
          <w:rFonts w:asciiTheme="majorBidi" w:hAnsiTheme="majorBidi" w:cstheme="majorBidi"/>
          <w:vertAlign w:val="superscript"/>
        </w:rPr>
        <w:t>th</w:t>
      </w:r>
      <w:r w:rsidRPr="00BB0E1C">
        <w:rPr>
          <w:rFonts w:asciiTheme="majorBidi" w:hAnsiTheme="majorBidi" w:cstheme="majorBidi"/>
        </w:rPr>
        <w:t xml:space="preserve"> Annual forum of the Association for Institutional Research, Lake Buena Vista, </w:t>
      </w:r>
      <w:proofErr w:type="gramStart"/>
      <w:r w:rsidRPr="00BB0E1C">
        <w:rPr>
          <w:rFonts w:asciiTheme="majorBidi" w:hAnsiTheme="majorBidi" w:cstheme="majorBidi"/>
        </w:rPr>
        <w:t>May</w:t>
      </w:r>
      <w:proofErr w:type="gramEnd"/>
      <w:r w:rsidRPr="00BB0E1C">
        <w:rPr>
          <w:rFonts w:asciiTheme="majorBidi" w:hAnsiTheme="majorBidi" w:cstheme="majorBidi"/>
        </w:rPr>
        <w:t xml:space="preserve"> 18-21, 1997</w:t>
      </w:r>
      <w:r w:rsidR="00C538A7" w:rsidRPr="00BB0E1C">
        <w:rPr>
          <w:rFonts w:asciiTheme="majorBidi" w:hAnsiTheme="majorBidi" w:cstheme="majorBidi"/>
        </w:rPr>
        <w:t>.</w:t>
      </w:r>
    </w:p>
    <w:p w14:paraId="2DE3B5BC" w14:textId="37B28765" w:rsidR="00EA5187" w:rsidRPr="00BB0E1C" w:rsidRDefault="00EA5187" w:rsidP="003B005D">
      <w:pPr>
        <w:tabs>
          <w:tab w:val="left" w:pos="567"/>
        </w:tabs>
        <w:spacing w:after="100" w:line="240" w:lineRule="auto"/>
        <w:ind w:left="425" w:hanging="425"/>
        <w:jc w:val="both"/>
        <w:rPr>
          <w:rFonts w:asciiTheme="majorBidi" w:hAnsiTheme="majorBidi" w:cstheme="majorBidi"/>
        </w:rPr>
      </w:pPr>
      <w:proofErr w:type="spellStart"/>
      <w:r w:rsidRPr="00BB0E1C">
        <w:rPr>
          <w:rFonts w:asciiTheme="majorBidi" w:hAnsiTheme="majorBidi" w:cstheme="majorBidi"/>
        </w:rPr>
        <w:t>Williford</w:t>
      </w:r>
      <w:proofErr w:type="spellEnd"/>
      <w:r w:rsidRPr="00BB0E1C">
        <w:rPr>
          <w:rFonts w:asciiTheme="majorBidi" w:hAnsiTheme="majorBidi" w:cstheme="majorBidi"/>
        </w:rPr>
        <w:t xml:space="preserve">, A. M. </w:t>
      </w:r>
      <w:r w:rsidR="00AF34BC" w:rsidRPr="00BB0E1C">
        <w:rPr>
          <w:rFonts w:asciiTheme="majorBidi" w:hAnsiTheme="majorBidi" w:cstheme="majorBidi"/>
        </w:rPr>
        <w:t>(</w:t>
      </w:r>
      <w:r w:rsidRPr="00BB0E1C">
        <w:rPr>
          <w:rFonts w:asciiTheme="majorBidi" w:hAnsiTheme="majorBidi" w:cstheme="majorBidi"/>
        </w:rPr>
        <w:t>2008</w:t>
      </w:r>
      <w:r w:rsidR="00AF34BC" w:rsidRPr="00BB0E1C">
        <w:rPr>
          <w:rFonts w:asciiTheme="majorBidi" w:hAnsiTheme="majorBidi" w:cstheme="majorBidi"/>
        </w:rPr>
        <w:t>)</w:t>
      </w:r>
      <w:r w:rsidR="00C538A7" w:rsidRPr="00BB0E1C">
        <w:rPr>
          <w:rFonts w:asciiTheme="majorBidi" w:hAnsiTheme="majorBidi" w:cstheme="majorBidi"/>
        </w:rPr>
        <w:t>.</w:t>
      </w:r>
      <w:r w:rsidRPr="00BB0E1C">
        <w:rPr>
          <w:rFonts w:asciiTheme="majorBidi" w:hAnsiTheme="majorBidi" w:cstheme="majorBidi"/>
        </w:rPr>
        <w:t xml:space="preserve"> How institutional research can create and synthesize retention and attrition information, Association for Institutional Research, No. 8. </w:t>
      </w:r>
      <w:proofErr w:type="gramStart"/>
      <w:r w:rsidRPr="00BB0E1C">
        <w:rPr>
          <w:rFonts w:asciiTheme="majorBidi" w:hAnsiTheme="majorBidi" w:cstheme="majorBidi"/>
        </w:rPr>
        <w:t>Fall 2008</w:t>
      </w:r>
      <w:r w:rsidR="004643DA" w:rsidRPr="00BB0E1C">
        <w:rPr>
          <w:rFonts w:asciiTheme="majorBidi" w:hAnsiTheme="majorBidi" w:cstheme="majorBidi"/>
        </w:rPr>
        <w:t>.</w:t>
      </w:r>
      <w:proofErr w:type="gramEnd"/>
    </w:p>
    <w:p w14:paraId="093A5A4A" w14:textId="6C1D30B6" w:rsidR="00EC0487" w:rsidRPr="00BB0E1C" w:rsidRDefault="00EC0487" w:rsidP="003B005D">
      <w:pPr>
        <w:tabs>
          <w:tab w:val="left" w:pos="567"/>
        </w:tabs>
        <w:spacing w:after="100" w:line="240" w:lineRule="auto"/>
        <w:ind w:left="425" w:hanging="425"/>
        <w:jc w:val="both"/>
        <w:rPr>
          <w:rFonts w:asciiTheme="majorBidi" w:hAnsiTheme="majorBidi" w:cstheme="majorBidi"/>
        </w:rPr>
      </w:pPr>
      <w:proofErr w:type="gramStart"/>
      <w:r w:rsidRPr="00BB0E1C">
        <w:rPr>
          <w:rFonts w:asciiTheme="majorBidi" w:hAnsiTheme="majorBidi" w:cstheme="majorBidi"/>
        </w:rPr>
        <w:t xml:space="preserve">Winn, S. </w:t>
      </w:r>
      <w:r w:rsidR="00AF34BC" w:rsidRPr="00BB0E1C">
        <w:rPr>
          <w:rFonts w:asciiTheme="majorBidi" w:hAnsiTheme="majorBidi" w:cstheme="majorBidi"/>
        </w:rPr>
        <w:t>(</w:t>
      </w:r>
      <w:r w:rsidRPr="00BB0E1C">
        <w:rPr>
          <w:rFonts w:asciiTheme="majorBidi" w:hAnsiTheme="majorBidi" w:cstheme="majorBidi"/>
        </w:rPr>
        <w:t>2002</w:t>
      </w:r>
      <w:r w:rsidR="00AF34BC" w:rsidRPr="00BB0E1C">
        <w:rPr>
          <w:rFonts w:asciiTheme="majorBidi" w:hAnsiTheme="majorBidi" w:cstheme="majorBidi"/>
        </w:rPr>
        <w:t>)</w:t>
      </w:r>
      <w:r w:rsidRPr="00BB0E1C">
        <w:rPr>
          <w:rFonts w:asciiTheme="majorBidi" w:hAnsiTheme="majorBidi" w:cstheme="majorBidi"/>
        </w:rPr>
        <w:t>.</w:t>
      </w:r>
      <w:proofErr w:type="gramEnd"/>
      <w:r w:rsidRPr="00BB0E1C">
        <w:rPr>
          <w:rFonts w:asciiTheme="majorBidi" w:hAnsiTheme="majorBidi" w:cstheme="majorBidi"/>
        </w:rPr>
        <w:t xml:space="preserve"> Student motivation: A socio-economic perspective, </w:t>
      </w:r>
      <w:r w:rsidRPr="00BB0E1C">
        <w:rPr>
          <w:rFonts w:asciiTheme="majorBidi" w:hAnsiTheme="majorBidi" w:cstheme="majorBidi"/>
          <w:i/>
        </w:rPr>
        <w:t>Studies in Higher Education</w:t>
      </w:r>
      <w:r w:rsidRPr="00BB0E1C">
        <w:rPr>
          <w:rFonts w:asciiTheme="majorBidi" w:hAnsiTheme="majorBidi" w:cstheme="majorBidi"/>
        </w:rPr>
        <w:t xml:space="preserve"> </w:t>
      </w:r>
      <w:r w:rsidRPr="00BB0E1C">
        <w:rPr>
          <w:rFonts w:asciiTheme="majorBidi" w:hAnsiTheme="majorBidi" w:cstheme="majorBidi"/>
          <w:i/>
          <w:iCs/>
        </w:rPr>
        <w:t>27</w:t>
      </w:r>
      <w:r w:rsidRPr="00BB0E1C">
        <w:rPr>
          <w:rFonts w:asciiTheme="majorBidi" w:hAnsiTheme="majorBidi" w:cstheme="majorBidi"/>
        </w:rPr>
        <w:t>(4)</w:t>
      </w:r>
      <w:r w:rsidR="00AF34BC" w:rsidRPr="00BB0E1C">
        <w:rPr>
          <w:rFonts w:asciiTheme="majorBidi" w:hAnsiTheme="majorBidi" w:cstheme="majorBidi"/>
        </w:rPr>
        <w:t>,</w:t>
      </w:r>
      <w:r w:rsidRPr="00BB0E1C">
        <w:rPr>
          <w:rFonts w:asciiTheme="majorBidi" w:hAnsiTheme="majorBidi" w:cstheme="majorBidi"/>
        </w:rPr>
        <w:t xml:space="preserve"> 445-457.</w:t>
      </w:r>
    </w:p>
    <w:p w14:paraId="21A95296" w14:textId="444C9E92" w:rsidR="00EC0487" w:rsidRPr="00BB0E1C" w:rsidRDefault="00EC0487" w:rsidP="003B005D">
      <w:pPr>
        <w:tabs>
          <w:tab w:val="left" w:pos="567"/>
        </w:tabs>
        <w:spacing w:after="100" w:line="240" w:lineRule="auto"/>
        <w:ind w:left="425" w:hanging="425"/>
        <w:jc w:val="both"/>
        <w:rPr>
          <w:rFonts w:asciiTheme="majorBidi" w:hAnsiTheme="majorBidi" w:cstheme="majorBidi"/>
        </w:rPr>
      </w:pPr>
      <w:proofErr w:type="spellStart"/>
      <w:proofErr w:type="gramStart"/>
      <w:r w:rsidRPr="00BB0E1C">
        <w:rPr>
          <w:rFonts w:asciiTheme="majorBidi" w:hAnsiTheme="majorBidi" w:cstheme="majorBidi"/>
        </w:rPr>
        <w:t>Zepke</w:t>
      </w:r>
      <w:proofErr w:type="spellEnd"/>
      <w:r w:rsidRPr="00BB0E1C">
        <w:rPr>
          <w:rFonts w:asciiTheme="majorBidi" w:hAnsiTheme="majorBidi" w:cstheme="majorBidi"/>
        </w:rPr>
        <w:t xml:space="preserve">, N., </w:t>
      </w:r>
      <w:r w:rsidR="00F50315">
        <w:rPr>
          <w:rFonts w:asciiTheme="majorBidi" w:hAnsiTheme="majorBidi" w:cstheme="majorBidi"/>
        </w:rPr>
        <w:t>and</w:t>
      </w:r>
      <w:r w:rsidR="00C538A7" w:rsidRPr="00BB0E1C">
        <w:rPr>
          <w:rFonts w:asciiTheme="majorBidi" w:hAnsiTheme="majorBidi" w:cstheme="majorBidi"/>
        </w:rPr>
        <w:t xml:space="preserve"> </w:t>
      </w:r>
      <w:r w:rsidRPr="00BB0E1C">
        <w:rPr>
          <w:rFonts w:asciiTheme="majorBidi" w:hAnsiTheme="majorBidi" w:cstheme="majorBidi"/>
        </w:rPr>
        <w:t xml:space="preserve">Leach, L. </w:t>
      </w:r>
      <w:r w:rsidR="00AF34BC" w:rsidRPr="00BB0E1C">
        <w:rPr>
          <w:rFonts w:asciiTheme="majorBidi" w:hAnsiTheme="majorBidi" w:cstheme="majorBidi"/>
        </w:rPr>
        <w:t>(</w:t>
      </w:r>
      <w:r w:rsidRPr="00BB0E1C">
        <w:rPr>
          <w:rFonts w:asciiTheme="majorBidi" w:hAnsiTheme="majorBidi" w:cstheme="majorBidi"/>
        </w:rPr>
        <w:t>2010</w:t>
      </w:r>
      <w:r w:rsidR="00AF34BC" w:rsidRPr="00BB0E1C">
        <w:rPr>
          <w:rFonts w:asciiTheme="majorBidi" w:hAnsiTheme="majorBidi" w:cstheme="majorBidi"/>
        </w:rPr>
        <w:t>)</w:t>
      </w:r>
      <w:r w:rsidRPr="00BB0E1C">
        <w:rPr>
          <w:rFonts w:asciiTheme="majorBidi" w:hAnsiTheme="majorBidi" w:cstheme="majorBidi"/>
        </w:rPr>
        <w:t>.</w:t>
      </w:r>
      <w:proofErr w:type="gramEnd"/>
      <w:r w:rsidRPr="00BB0E1C">
        <w:rPr>
          <w:rFonts w:asciiTheme="majorBidi" w:hAnsiTheme="majorBidi" w:cstheme="majorBidi"/>
        </w:rPr>
        <w:t xml:space="preserve"> Beyond hard outcomes: ‘Soft’ outcomes and engagement as student success, </w:t>
      </w:r>
      <w:r w:rsidRPr="00BB0E1C">
        <w:rPr>
          <w:rFonts w:asciiTheme="majorBidi" w:hAnsiTheme="majorBidi" w:cstheme="majorBidi"/>
          <w:i/>
        </w:rPr>
        <w:t>Teaching in Higher Education</w:t>
      </w:r>
      <w:r w:rsidR="00C538A7" w:rsidRPr="00BB0E1C">
        <w:rPr>
          <w:rFonts w:asciiTheme="majorBidi" w:hAnsiTheme="majorBidi" w:cstheme="majorBidi"/>
          <w:iCs/>
        </w:rPr>
        <w:t>,</w:t>
      </w:r>
      <w:r w:rsidRPr="00BB0E1C">
        <w:rPr>
          <w:rFonts w:asciiTheme="majorBidi" w:hAnsiTheme="majorBidi" w:cstheme="majorBidi"/>
        </w:rPr>
        <w:t xml:space="preserve"> </w:t>
      </w:r>
      <w:r w:rsidRPr="00BB0E1C">
        <w:rPr>
          <w:rFonts w:asciiTheme="majorBidi" w:hAnsiTheme="majorBidi" w:cstheme="majorBidi"/>
          <w:i/>
          <w:iCs/>
        </w:rPr>
        <w:t>15</w:t>
      </w:r>
      <w:r w:rsidR="00AF34BC" w:rsidRPr="00BB0E1C">
        <w:rPr>
          <w:rFonts w:asciiTheme="majorBidi" w:hAnsiTheme="majorBidi" w:cstheme="majorBidi"/>
          <w:i/>
          <w:iCs/>
        </w:rPr>
        <w:t xml:space="preserve">, </w:t>
      </w:r>
      <w:r w:rsidRPr="00BB0E1C">
        <w:rPr>
          <w:rFonts w:asciiTheme="majorBidi" w:hAnsiTheme="majorBidi" w:cstheme="majorBidi"/>
        </w:rPr>
        <w:t>661-673.</w:t>
      </w:r>
    </w:p>
    <w:p w14:paraId="231DDAE3" w14:textId="77777777" w:rsidR="00161082" w:rsidRDefault="00161082" w:rsidP="003B005D">
      <w:pPr>
        <w:pStyle w:val="Heading2"/>
        <w:tabs>
          <w:tab w:val="left" w:pos="567"/>
        </w:tabs>
        <w:spacing w:before="0" w:after="100" w:line="288" w:lineRule="auto"/>
        <w:jc w:val="both"/>
      </w:pPr>
      <w:r>
        <w:br/>
      </w:r>
    </w:p>
    <w:p w14:paraId="30394BBF" w14:textId="175A638D" w:rsidR="00161082" w:rsidRDefault="00161082" w:rsidP="00F50315">
      <w:pPr>
        <w:tabs>
          <w:tab w:val="left" w:pos="567"/>
        </w:tabs>
        <w:rPr>
          <w:rFonts w:asciiTheme="majorBidi" w:eastAsiaTheme="majorEastAsia" w:hAnsiTheme="majorBidi" w:cstheme="majorBidi"/>
          <w:b/>
          <w:bCs/>
          <w:sz w:val="26"/>
          <w:szCs w:val="26"/>
        </w:rPr>
      </w:pPr>
    </w:p>
    <w:p w14:paraId="59C0D6E1" w14:textId="4F4B68F1" w:rsidR="00083C48" w:rsidRPr="00B85B21" w:rsidRDefault="00083C48" w:rsidP="00F50315">
      <w:pPr>
        <w:pStyle w:val="Caption"/>
        <w:keepNext/>
        <w:tabs>
          <w:tab w:val="left" w:pos="567"/>
        </w:tabs>
        <w:spacing w:after="0"/>
        <w:jc w:val="both"/>
        <w:rPr>
          <w:rFonts w:ascii="Times New Roman" w:hAnsi="Times New Roman" w:cs="Times New Roman"/>
          <w:sz w:val="22"/>
          <w:szCs w:val="22"/>
          <w:highlight w:val="green"/>
        </w:rPr>
      </w:pPr>
    </w:p>
    <w:p w14:paraId="5F972D6B" w14:textId="77777777" w:rsidR="00542144" w:rsidRPr="00E017DA" w:rsidRDefault="00542144" w:rsidP="00F50315">
      <w:pPr>
        <w:tabs>
          <w:tab w:val="left" w:pos="567"/>
        </w:tabs>
        <w:spacing w:after="0" w:line="288" w:lineRule="auto"/>
        <w:jc w:val="both"/>
        <w:rPr>
          <w:sz w:val="24"/>
          <w:szCs w:val="24"/>
        </w:rPr>
      </w:pPr>
    </w:p>
    <w:sectPr w:rsidR="00542144" w:rsidRPr="00E017DA" w:rsidSect="0061317E">
      <w:footerReference w:type="default" r:id="rId8"/>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B44CB0" w14:textId="77777777" w:rsidR="008C377A" w:rsidRDefault="008C377A" w:rsidP="00A42802">
      <w:pPr>
        <w:spacing w:after="0" w:line="240" w:lineRule="auto"/>
      </w:pPr>
      <w:r>
        <w:separator/>
      </w:r>
    </w:p>
  </w:endnote>
  <w:endnote w:type="continuationSeparator" w:id="0">
    <w:p w14:paraId="65CA9427" w14:textId="77777777" w:rsidR="008C377A" w:rsidRDefault="008C377A" w:rsidP="00A42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7888921"/>
      <w:docPartObj>
        <w:docPartGallery w:val="Page Numbers (Bottom of Page)"/>
        <w:docPartUnique/>
      </w:docPartObj>
    </w:sdtPr>
    <w:sdtEndPr>
      <w:rPr>
        <w:noProof/>
      </w:rPr>
    </w:sdtEndPr>
    <w:sdtContent>
      <w:p w14:paraId="57A96FFC" w14:textId="3DCD405C" w:rsidR="0061317E" w:rsidRDefault="0061317E">
        <w:pPr>
          <w:pStyle w:val="Footer"/>
          <w:jc w:val="center"/>
        </w:pPr>
        <w:r>
          <w:fldChar w:fldCharType="begin"/>
        </w:r>
        <w:r>
          <w:instrText xml:space="preserve"> PAGE   \* MERGEFORMAT </w:instrText>
        </w:r>
        <w:r>
          <w:fldChar w:fldCharType="separate"/>
        </w:r>
        <w:r w:rsidR="00CE72A9">
          <w:rPr>
            <w:noProof/>
          </w:rPr>
          <w:t>20</w:t>
        </w:r>
        <w:r>
          <w:rPr>
            <w:noProof/>
          </w:rPr>
          <w:fldChar w:fldCharType="end"/>
        </w:r>
      </w:p>
    </w:sdtContent>
  </w:sdt>
  <w:p w14:paraId="171049AE" w14:textId="77777777" w:rsidR="0061317E" w:rsidRDefault="006131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ED42BD" w14:textId="77777777" w:rsidR="008C377A" w:rsidRDefault="008C377A" w:rsidP="00A42802">
      <w:pPr>
        <w:spacing w:after="0" w:line="240" w:lineRule="auto"/>
      </w:pPr>
      <w:r>
        <w:separator/>
      </w:r>
    </w:p>
  </w:footnote>
  <w:footnote w:type="continuationSeparator" w:id="0">
    <w:p w14:paraId="63FAF07B" w14:textId="77777777" w:rsidR="008C377A" w:rsidRDefault="008C377A" w:rsidP="00A42802">
      <w:pPr>
        <w:spacing w:after="0" w:line="240" w:lineRule="auto"/>
      </w:pPr>
      <w:r>
        <w:continuationSeparator/>
      </w:r>
    </w:p>
  </w:footnote>
  <w:footnote w:id="1">
    <w:p w14:paraId="06677484" w14:textId="01C50A47" w:rsidR="00E16AE4" w:rsidRPr="003B7DD2" w:rsidRDefault="00E16AE4" w:rsidP="00CE72A9">
      <w:pPr>
        <w:pStyle w:val="FootnoteText"/>
        <w:ind w:left="284" w:hanging="284"/>
        <w:rPr>
          <w:rFonts w:ascii="Times New Roman" w:hAnsi="Times New Roman" w:cs="Times New Roman"/>
          <w:sz w:val="22"/>
          <w:szCs w:val="22"/>
        </w:rPr>
      </w:pPr>
      <w:r w:rsidRPr="003B7DD2">
        <w:rPr>
          <w:rStyle w:val="FootnoteReference"/>
          <w:rFonts w:ascii="Times New Roman" w:hAnsi="Times New Roman" w:cs="Times New Roman"/>
          <w:sz w:val="22"/>
          <w:szCs w:val="22"/>
        </w:rPr>
        <w:footnoteRef/>
      </w:r>
      <w:r w:rsidRPr="003B7DD2">
        <w:rPr>
          <w:rFonts w:ascii="Times New Roman" w:hAnsi="Times New Roman" w:cs="Times New Roman"/>
          <w:sz w:val="22"/>
          <w:szCs w:val="22"/>
        </w:rPr>
        <w:t xml:space="preserve"> </w:t>
      </w:r>
      <w:r w:rsidR="00CE72A9">
        <w:rPr>
          <w:rFonts w:ascii="Times New Roman" w:hAnsi="Times New Roman" w:cs="Times New Roman"/>
          <w:sz w:val="22"/>
          <w:szCs w:val="22"/>
        </w:rPr>
        <w:tab/>
      </w:r>
      <w:r w:rsidRPr="003B7DD2">
        <w:rPr>
          <w:rFonts w:ascii="Times New Roman" w:hAnsi="Times New Roman" w:cs="Times New Roman"/>
          <w:sz w:val="22"/>
          <w:szCs w:val="22"/>
        </w:rPr>
        <w:t>These results, alongside those for alternative cut-offs, are available from the authors on request.</w:t>
      </w:r>
    </w:p>
  </w:footnote>
  <w:footnote w:id="2">
    <w:p w14:paraId="7373CA15" w14:textId="7F27F080" w:rsidR="00E16AE4" w:rsidRPr="003B7DD2" w:rsidRDefault="00E16AE4" w:rsidP="00CE72A9">
      <w:pPr>
        <w:pStyle w:val="FootnoteText"/>
        <w:ind w:left="284" w:hanging="284"/>
        <w:rPr>
          <w:rFonts w:ascii="Times New Roman" w:hAnsi="Times New Roman" w:cs="Times New Roman"/>
          <w:sz w:val="22"/>
          <w:szCs w:val="22"/>
        </w:rPr>
      </w:pPr>
      <w:r w:rsidRPr="003B7DD2">
        <w:rPr>
          <w:rStyle w:val="FootnoteReference"/>
          <w:rFonts w:ascii="Times New Roman" w:hAnsi="Times New Roman" w:cs="Times New Roman"/>
          <w:sz w:val="22"/>
          <w:szCs w:val="22"/>
        </w:rPr>
        <w:footnoteRef/>
      </w:r>
      <w:r w:rsidRPr="003B7DD2">
        <w:rPr>
          <w:rFonts w:ascii="Times New Roman" w:hAnsi="Times New Roman" w:cs="Times New Roman"/>
          <w:sz w:val="22"/>
          <w:szCs w:val="22"/>
        </w:rPr>
        <w:t xml:space="preserve"> </w:t>
      </w:r>
      <w:r w:rsidR="00CE72A9">
        <w:rPr>
          <w:rFonts w:ascii="Times New Roman" w:hAnsi="Times New Roman" w:cs="Times New Roman"/>
          <w:sz w:val="22"/>
          <w:szCs w:val="22"/>
        </w:rPr>
        <w:tab/>
      </w:r>
      <w:proofErr w:type="gramStart"/>
      <w:r w:rsidRPr="003B7DD2">
        <w:rPr>
          <w:rFonts w:ascii="Times New Roman" w:hAnsi="Times New Roman" w:cs="Times New Roman"/>
          <w:sz w:val="22"/>
          <w:szCs w:val="22"/>
        </w:rPr>
        <w:t>Results available from the authors on request.</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C13"/>
    <w:rsid w:val="0002002A"/>
    <w:rsid w:val="00021EA4"/>
    <w:rsid w:val="00031B71"/>
    <w:rsid w:val="00056C7A"/>
    <w:rsid w:val="00080C12"/>
    <w:rsid w:val="0008358D"/>
    <w:rsid w:val="00083C48"/>
    <w:rsid w:val="000863BB"/>
    <w:rsid w:val="000A3463"/>
    <w:rsid w:val="000A36E1"/>
    <w:rsid w:val="000A4C3F"/>
    <w:rsid w:val="000B2D25"/>
    <w:rsid w:val="000B4828"/>
    <w:rsid w:val="000C28A8"/>
    <w:rsid w:val="000D20DB"/>
    <w:rsid w:val="000E491D"/>
    <w:rsid w:val="000E73E5"/>
    <w:rsid w:val="00123997"/>
    <w:rsid w:val="00130F86"/>
    <w:rsid w:val="00136E2B"/>
    <w:rsid w:val="00140A2C"/>
    <w:rsid w:val="00144F25"/>
    <w:rsid w:val="00151572"/>
    <w:rsid w:val="00161082"/>
    <w:rsid w:val="00161FC6"/>
    <w:rsid w:val="0017746B"/>
    <w:rsid w:val="00181068"/>
    <w:rsid w:val="001826F7"/>
    <w:rsid w:val="001A4B6C"/>
    <w:rsid w:val="001C1990"/>
    <w:rsid w:val="001E3C3D"/>
    <w:rsid w:val="00201870"/>
    <w:rsid w:val="002179F8"/>
    <w:rsid w:val="002205EC"/>
    <w:rsid w:val="00222E50"/>
    <w:rsid w:val="002325A1"/>
    <w:rsid w:val="00237704"/>
    <w:rsid w:val="00243D89"/>
    <w:rsid w:val="00247820"/>
    <w:rsid w:val="00265495"/>
    <w:rsid w:val="00297795"/>
    <w:rsid w:val="002B06AA"/>
    <w:rsid w:val="002C10ED"/>
    <w:rsid w:val="002D1ED0"/>
    <w:rsid w:val="00300D21"/>
    <w:rsid w:val="00311589"/>
    <w:rsid w:val="00314904"/>
    <w:rsid w:val="003231D9"/>
    <w:rsid w:val="003351BE"/>
    <w:rsid w:val="00336746"/>
    <w:rsid w:val="00347826"/>
    <w:rsid w:val="00352D20"/>
    <w:rsid w:val="00357D66"/>
    <w:rsid w:val="003638A9"/>
    <w:rsid w:val="003723F2"/>
    <w:rsid w:val="003A68A4"/>
    <w:rsid w:val="003B005D"/>
    <w:rsid w:val="003B7DD2"/>
    <w:rsid w:val="003D7B42"/>
    <w:rsid w:val="004013B6"/>
    <w:rsid w:val="00405F2F"/>
    <w:rsid w:val="00407FF3"/>
    <w:rsid w:val="0042612B"/>
    <w:rsid w:val="00453EFA"/>
    <w:rsid w:val="004643DA"/>
    <w:rsid w:val="0048470A"/>
    <w:rsid w:val="004907FE"/>
    <w:rsid w:val="00492F01"/>
    <w:rsid w:val="00493FDC"/>
    <w:rsid w:val="00494091"/>
    <w:rsid w:val="0049483D"/>
    <w:rsid w:val="004C142D"/>
    <w:rsid w:val="004F7149"/>
    <w:rsid w:val="00513C9B"/>
    <w:rsid w:val="00517A54"/>
    <w:rsid w:val="00536D5C"/>
    <w:rsid w:val="00542144"/>
    <w:rsid w:val="00555A8F"/>
    <w:rsid w:val="005834BF"/>
    <w:rsid w:val="005A40AC"/>
    <w:rsid w:val="005B6191"/>
    <w:rsid w:val="005E6473"/>
    <w:rsid w:val="005E7A82"/>
    <w:rsid w:val="005F70B2"/>
    <w:rsid w:val="00612341"/>
    <w:rsid w:val="0061317E"/>
    <w:rsid w:val="0062512D"/>
    <w:rsid w:val="0062612B"/>
    <w:rsid w:val="00642950"/>
    <w:rsid w:val="00650568"/>
    <w:rsid w:val="00652630"/>
    <w:rsid w:val="0065294D"/>
    <w:rsid w:val="00654371"/>
    <w:rsid w:val="006554FE"/>
    <w:rsid w:val="006670DD"/>
    <w:rsid w:val="00674D92"/>
    <w:rsid w:val="006C012E"/>
    <w:rsid w:val="007122EA"/>
    <w:rsid w:val="007144DE"/>
    <w:rsid w:val="00716049"/>
    <w:rsid w:val="00743498"/>
    <w:rsid w:val="00767C49"/>
    <w:rsid w:val="007821E7"/>
    <w:rsid w:val="007A12C4"/>
    <w:rsid w:val="007D6140"/>
    <w:rsid w:val="007E096D"/>
    <w:rsid w:val="007E2330"/>
    <w:rsid w:val="007E242B"/>
    <w:rsid w:val="008052E1"/>
    <w:rsid w:val="00820604"/>
    <w:rsid w:val="0083174D"/>
    <w:rsid w:val="00857E4D"/>
    <w:rsid w:val="0086050E"/>
    <w:rsid w:val="00870C48"/>
    <w:rsid w:val="00871617"/>
    <w:rsid w:val="00877D30"/>
    <w:rsid w:val="008828C6"/>
    <w:rsid w:val="00890C50"/>
    <w:rsid w:val="0089530F"/>
    <w:rsid w:val="008A46AE"/>
    <w:rsid w:val="008C377A"/>
    <w:rsid w:val="008D17FE"/>
    <w:rsid w:val="008E3A7C"/>
    <w:rsid w:val="00915C13"/>
    <w:rsid w:val="0092764A"/>
    <w:rsid w:val="00933216"/>
    <w:rsid w:val="00940FAD"/>
    <w:rsid w:val="009455D3"/>
    <w:rsid w:val="00947972"/>
    <w:rsid w:val="0095102A"/>
    <w:rsid w:val="009559C0"/>
    <w:rsid w:val="00973842"/>
    <w:rsid w:val="00974F22"/>
    <w:rsid w:val="0097753C"/>
    <w:rsid w:val="00981763"/>
    <w:rsid w:val="00982D1D"/>
    <w:rsid w:val="009A5650"/>
    <w:rsid w:val="009E681F"/>
    <w:rsid w:val="009F59BB"/>
    <w:rsid w:val="00A023E3"/>
    <w:rsid w:val="00A0655E"/>
    <w:rsid w:val="00A123D5"/>
    <w:rsid w:val="00A15C52"/>
    <w:rsid w:val="00A25F96"/>
    <w:rsid w:val="00A42802"/>
    <w:rsid w:val="00A61E73"/>
    <w:rsid w:val="00A72D48"/>
    <w:rsid w:val="00A735E8"/>
    <w:rsid w:val="00AB462F"/>
    <w:rsid w:val="00AD7E56"/>
    <w:rsid w:val="00AE5DEB"/>
    <w:rsid w:val="00AF34BC"/>
    <w:rsid w:val="00B2177C"/>
    <w:rsid w:val="00B238F1"/>
    <w:rsid w:val="00B85B21"/>
    <w:rsid w:val="00B8628A"/>
    <w:rsid w:val="00B92CFB"/>
    <w:rsid w:val="00BB0E1C"/>
    <w:rsid w:val="00BE16BA"/>
    <w:rsid w:val="00BE5463"/>
    <w:rsid w:val="00BE5FA6"/>
    <w:rsid w:val="00BF0777"/>
    <w:rsid w:val="00BF4E3E"/>
    <w:rsid w:val="00C10A2D"/>
    <w:rsid w:val="00C11F93"/>
    <w:rsid w:val="00C246B5"/>
    <w:rsid w:val="00C2702E"/>
    <w:rsid w:val="00C44E85"/>
    <w:rsid w:val="00C538A7"/>
    <w:rsid w:val="00C62433"/>
    <w:rsid w:val="00C64FA8"/>
    <w:rsid w:val="00C87610"/>
    <w:rsid w:val="00CB0E6A"/>
    <w:rsid w:val="00CC5620"/>
    <w:rsid w:val="00CD2594"/>
    <w:rsid w:val="00CE07B8"/>
    <w:rsid w:val="00CE386F"/>
    <w:rsid w:val="00CE40E7"/>
    <w:rsid w:val="00CE72A9"/>
    <w:rsid w:val="00D16526"/>
    <w:rsid w:val="00D2458C"/>
    <w:rsid w:val="00D24FE7"/>
    <w:rsid w:val="00D269EE"/>
    <w:rsid w:val="00D36009"/>
    <w:rsid w:val="00D52FEF"/>
    <w:rsid w:val="00D55831"/>
    <w:rsid w:val="00D64B7A"/>
    <w:rsid w:val="00D824BB"/>
    <w:rsid w:val="00DA07D7"/>
    <w:rsid w:val="00DC6F66"/>
    <w:rsid w:val="00DF174B"/>
    <w:rsid w:val="00DF26D7"/>
    <w:rsid w:val="00E011EE"/>
    <w:rsid w:val="00E017DA"/>
    <w:rsid w:val="00E12BFB"/>
    <w:rsid w:val="00E16AE4"/>
    <w:rsid w:val="00E17A38"/>
    <w:rsid w:val="00E30A48"/>
    <w:rsid w:val="00E31F8F"/>
    <w:rsid w:val="00E36F9E"/>
    <w:rsid w:val="00E42372"/>
    <w:rsid w:val="00E57B40"/>
    <w:rsid w:val="00E717EE"/>
    <w:rsid w:val="00E9395D"/>
    <w:rsid w:val="00EA5187"/>
    <w:rsid w:val="00EA76C0"/>
    <w:rsid w:val="00EC0487"/>
    <w:rsid w:val="00EC2C26"/>
    <w:rsid w:val="00EC4D02"/>
    <w:rsid w:val="00ED73F1"/>
    <w:rsid w:val="00EF1202"/>
    <w:rsid w:val="00EF23FA"/>
    <w:rsid w:val="00EF710D"/>
    <w:rsid w:val="00F13A4A"/>
    <w:rsid w:val="00F13BEE"/>
    <w:rsid w:val="00F140F6"/>
    <w:rsid w:val="00F166A2"/>
    <w:rsid w:val="00F313AD"/>
    <w:rsid w:val="00F50315"/>
    <w:rsid w:val="00F51037"/>
    <w:rsid w:val="00F6240B"/>
    <w:rsid w:val="00F94362"/>
    <w:rsid w:val="00FC7165"/>
    <w:rsid w:val="00FD0691"/>
    <w:rsid w:val="00FD74F1"/>
    <w:rsid w:val="00FE7C27"/>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6F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NZ"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24FE7"/>
    <w:pPr>
      <w:keepNext/>
      <w:keepLines/>
      <w:spacing w:before="480" w:after="0"/>
      <w:outlineLvl w:val="0"/>
    </w:pPr>
    <w:rPr>
      <w:rFonts w:asciiTheme="majorBidi" w:eastAsiaTheme="majorEastAsia" w:hAnsiTheme="majorBidi" w:cstheme="majorBidi"/>
      <w:b/>
      <w:bCs/>
      <w:sz w:val="28"/>
      <w:szCs w:val="28"/>
    </w:rPr>
  </w:style>
  <w:style w:type="paragraph" w:styleId="Heading2">
    <w:name w:val="heading 2"/>
    <w:basedOn w:val="Normal"/>
    <w:next w:val="Normal"/>
    <w:link w:val="Heading2Char"/>
    <w:uiPriority w:val="9"/>
    <w:unhideWhenUsed/>
    <w:qFormat/>
    <w:rsid w:val="00D24FE7"/>
    <w:pPr>
      <w:keepNext/>
      <w:keepLines/>
      <w:spacing w:before="200" w:after="0"/>
      <w:outlineLvl w:val="1"/>
    </w:pPr>
    <w:rPr>
      <w:rFonts w:asciiTheme="majorBidi" w:eastAsiaTheme="majorEastAsia" w:hAnsiTheme="majorBid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1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rsid w:val="00311589"/>
    <w:pPr>
      <w:spacing w:line="240" w:lineRule="auto"/>
    </w:pPr>
    <w:rPr>
      <w:b/>
      <w:bCs/>
      <w:color w:val="000000" w:themeColor="text1"/>
      <w:sz w:val="18"/>
      <w:szCs w:val="18"/>
    </w:rPr>
  </w:style>
  <w:style w:type="paragraph" w:styleId="ListParagraph">
    <w:name w:val="List Paragraph"/>
    <w:basedOn w:val="Normal"/>
    <w:uiPriority w:val="34"/>
    <w:qFormat/>
    <w:rsid w:val="00CE07B8"/>
    <w:pPr>
      <w:ind w:left="720"/>
      <w:contextualSpacing/>
    </w:pPr>
  </w:style>
  <w:style w:type="paragraph" w:styleId="BalloonText">
    <w:name w:val="Balloon Text"/>
    <w:basedOn w:val="Normal"/>
    <w:link w:val="BalloonTextChar"/>
    <w:uiPriority w:val="99"/>
    <w:semiHidden/>
    <w:unhideWhenUsed/>
    <w:rsid w:val="008206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04"/>
    <w:rPr>
      <w:rFonts w:ascii="Segoe UI" w:hAnsi="Segoe UI" w:cs="Segoe UI"/>
      <w:sz w:val="18"/>
      <w:szCs w:val="18"/>
    </w:rPr>
  </w:style>
  <w:style w:type="character" w:styleId="CommentReference">
    <w:name w:val="annotation reference"/>
    <w:basedOn w:val="DefaultParagraphFont"/>
    <w:uiPriority w:val="99"/>
    <w:semiHidden/>
    <w:unhideWhenUsed/>
    <w:rsid w:val="00A25F96"/>
    <w:rPr>
      <w:sz w:val="16"/>
      <w:szCs w:val="16"/>
    </w:rPr>
  </w:style>
  <w:style w:type="paragraph" w:styleId="CommentText">
    <w:name w:val="annotation text"/>
    <w:basedOn w:val="Normal"/>
    <w:link w:val="CommentTextChar"/>
    <w:uiPriority w:val="99"/>
    <w:semiHidden/>
    <w:unhideWhenUsed/>
    <w:rsid w:val="00A25F96"/>
    <w:pPr>
      <w:spacing w:line="240" w:lineRule="auto"/>
    </w:pPr>
    <w:rPr>
      <w:sz w:val="20"/>
      <w:szCs w:val="20"/>
    </w:rPr>
  </w:style>
  <w:style w:type="character" w:customStyle="1" w:styleId="CommentTextChar">
    <w:name w:val="Comment Text Char"/>
    <w:basedOn w:val="DefaultParagraphFont"/>
    <w:link w:val="CommentText"/>
    <w:uiPriority w:val="99"/>
    <w:semiHidden/>
    <w:rsid w:val="00A25F96"/>
    <w:rPr>
      <w:sz w:val="20"/>
      <w:szCs w:val="20"/>
    </w:rPr>
  </w:style>
  <w:style w:type="paragraph" w:styleId="CommentSubject">
    <w:name w:val="annotation subject"/>
    <w:basedOn w:val="CommentText"/>
    <w:next w:val="CommentText"/>
    <w:link w:val="CommentSubjectChar"/>
    <w:uiPriority w:val="99"/>
    <w:semiHidden/>
    <w:unhideWhenUsed/>
    <w:rsid w:val="00A25F96"/>
    <w:rPr>
      <w:b/>
      <w:bCs/>
    </w:rPr>
  </w:style>
  <w:style w:type="character" w:customStyle="1" w:styleId="CommentSubjectChar">
    <w:name w:val="Comment Subject Char"/>
    <w:basedOn w:val="CommentTextChar"/>
    <w:link w:val="CommentSubject"/>
    <w:uiPriority w:val="99"/>
    <w:semiHidden/>
    <w:rsid w:val="00A25F96"/>
    <w:rPr>
      <w:b/>
      <w:bCs/>
      <w:sz w:val="20"/>
      <w:szCs w:val="20"/>
    </w:rPr>
  </w:style>
  <w:style w:type="paragraph" w:styleId="FootnoteText">
    <w:name w:val="footnote text"/>
    <w:basedOn w:val="Normal"/>
    <w:link w:val="FootnoteTextChar"/>
    <w:uiPriority w:val="99"/>
    <w:semiHidden/>
    <w:unhideWhenUsed/>
    <w:rsid w:val="00A428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2802"/>
    <w:rPr>
      <w:sz w:val="20"/>
      <w:szCs w:val="20"/>
    </w:rPr>
  </w:style>
  <w:style w:type="character" w:styleId="FootnoteReference">
    <w:name w:val="footnote reference"/>
    <w:basedOn w:val="DefaultParagraphFont"/>
    <w:uiPriority w:val="99"/>
    <w:semiHidden/>
    <w:unhideWhenUsed/>
    <w:rsid w:val="00A42802"/>
    <w:rPr>
      <w:vertAlign w:val="superscript"/>
    </w:rPr>
  </w:style>
  <w:style w:type="paragraph" w:styleId="Header">
    <w:name w:val="header"/>
    <w:basedOn w:val="Normal"/>
    <w:link w:val="HeaderChar"/>
    <w:uiPriority w:val="99"/>
    <w:unhideWhenUsed/>
    <w:rsid w:val="00083C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3C48"/>
  </w:style>
  <w:style w:type="paragraph" w:styleId="Footer">
    <w:name w:val="footer"/>
    <w:basedOn w:val="Normal"/>
    <w:link w:val="FooterChar"/>
    <w:uiPriority w:val="99"/>
    <w:unhideWhenUsed/>
    <w:rsid w:val="00083C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3C48"/>
  </w:style>
  <w:style w:type="character" w:styleId="Hyperlink">
    <w:name w:val="Hyperlink"/>
    <w:basedOn w:val="DefaultParagraphFont"/>
    <w:uiPriority w:val="99"/>
    <w:unhideWhenUsed/>
    <w:rsid w:val="00EA5187"/>
    <w:rPr>
      <w:color w:val="0000FF" w:themeColor="hyperlink"/>
      <w:u w:val="single"/>
    </w:rPr>
  </w:style>
  <w:style w:type="paragraph" w:customStyle="1" w:styleId="IATED-Affiliation">
    <w:name w:val="IATED-Affiliation"/>
    <w:qFormat/>
    <w:rsid w:val="00D36009"/>
    <w:pPr>
      <w:spacing w:after="0" w:line="240" w:lineRule="auto"/>
      <w:jc w:val="center"/>
    </w:pPr>
    <w:rPr>
      <w:rFonts w:ascii="Arial" w:eastAsia="Times New Roman" w:hAnsi="Arial" w:cs="Arial"/>
      <w:i/>
      <w:szCs w:val="24"/>
      <w:lang w:val="en-US" w:eastAsia="es-ES"/>
    </w:rPr>
  </w:style>
  <w:style w:type="character" w:customStyle="1" w:styleId="Heading1Char">
    <w:name w:val="Heading 1 Char"/>
    <w:basedOn w:val="DefaultParagraphFont"/>
    <w:link w:val="Heading1"/>
    <w:uiPriority w:val="9"/>
    <w:rsid w:val="00D24FE7"/>
    <w:rPr>
      <w:rFonts w:asciiTheme="majorBidi" w:eastAsiaTheme="majorEastAsia" w:hAnsiTheme="majorBidi" w:cstheme="majorBidi"/>
      <w:b/>
      <w:bCs/>
      <w:sz w:val="28"/>
      <w:szCs w:val="28"/>
    </w:rPr>
  </w:style>
  <w:style w:type="character" w:customStyle="1" w:styleId="Heading2Char">
    <w:name w:val="Heading 2 Char"/>
    <w:basedOn w:val="DefaultParagraphFont"/>
    <w:link w:val="Heading2"/>
    <w:uiPriority w:val="9"/>
    <w:rsid w:val="00D24FE7"/>
    <w:rPr>
      <w:rFonts w:asciiTheme="majorBidi" w:eastAsiaTheme="majorEastAsia" w:hAnsiTheme="majorBidi" w:cstheme="majorBidi"/>
      <w:b/>
      <w:bCs/>
      <w:sz w:val="26"/>
      <w:szCs w:val="26"/>
    </w:rPr>
  </w:style>
  <w:style w:type="paragraph" w:styleId="PlainText">
    <w:name w:val="Plain Text"/>
    <w:basedOn w:val="Normal"/>
    <w:link w:val="PlainTextChar"/>
    <w:uiPriority w:val="99"/>
    <w:rsid w:val="00347826"/>
    <w:pPr>
      <w:spacing w:after="0" w:line="240" w:lineRule="auto"/>
    </w:pPr>
    <w:rPr>
      <w:rFonts w:ascii="Courier New" w:eastAsia="SimSun" w:hAnsi="Courier New" w:cs="Courier New"/>
      <w:sz w:val="20"/>
      <w:szCs w:val="20"/>
      <w:lang w:val="en-US"/>
    </w:rPr>
  </w:style>
  <w:style w:type="character" w:customStyle="1" w:styleId="PlainTextChar">
    <w:name w:val="Plain Text Char"/>
    <w:basedOn w:val="DefaultParagraphFont"/>
    <w:link w:val="PlainText"/>
    <w:uiPriority w:val="99"/>
    <w:rsid w:val="00347826"/>
    <w:rPr>
      <w:rFonts w:ascii="Courier New" w:eastAsia="SimSun" w:hAnsi="Courier New" w:cs="Courier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24FE7"/>
    <w:pPr>
      <w:keepNext/>
      <w:keepLines/>
      <w:spacing w:before="480" w:after="0"/>
      <w:outlineLvl w:val="0"/>
    </w:pPr>
    <w:rPr>
      <w:rFonts w:asciiTheme="majorBidi" w:eastAsiaTheme="majorEastAsia" w:hAnsiTheme="majorBidi" w:cstheme="majorBidi"/>
      <w:b/>
      <w:bCs/>
      <w:sz w:val="28"/>
      <w:szCs w:val="28"/>
    </w:rPr>
  </w:style>
  <w:style w:type="paragraph" w:styleId="Heading2">
    <w:name w:val="heading 2"/>
    <w:basedOn w:val="Normal"/>
    <w:next w:val="Normal"/>
    <w:link w:val="Heading2Char"/>
    <w:uiPriority w:val="9"/>
    <w:unhideWhenUsed/>
    <w:qFormat/>
    <w:rsid w:val="00D24FE7"/>
    <w:pPr>
      <w:keepNext/>
      <w:keepLines/>
      <w:spacing w:before="200" w:after="0"/>
      <w:outlineLvl w:val="1"/>
    </w:pPr>
    <w:rPr>
      <w:rFonts w:asciiTheme="majorBidi" w:eastAsiaTheme="majorEastAsia" w:hAnsiTheme="majorBid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1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rsid w:val="00311589"/>
    <w:pPr>
      <w:spacing w:line="240" w:lineRule="auto"/>
    </w:pPr>
    <w:rPr>
      <w:b/>
      <w:bCs/>
      <w:color w:val="000000" w:themeColor="text1"/>
      <w:sz w:val="18"/>
      <w:szCs w:val="18"/>
    </w:rPr>
  </w:style>
  <w:style w:type="paragraph" w:styleId="ListParagraph">
    <w:name w:val="List Paragraph"/>
    <w:basedOn w:val="Normal"/>
    <w:uiPriority w:val="34"/>
    <w:qFormat/>
    <w:rsid w:val="00CE07B8"/>
    <w:pPr>
      <w:ind w:left="720"/>
      <w:contextualSpacing/>
    </w:pPr>
  </w:style>
  <w:style w:type="paragraph" w:styleId="BalloonText">
    <w:name w:val="Balloon Text"/>
    <w:basedOn w:val="Normal"/>
    <w:link w:val="BalloonTextChar"/>
    <w:uiPriority w:val="99"/>
    <w:semiHidden/>
    <w:unhideWhenUsed/>
    <w:rsid w:val="008206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04"/>
    <w:rPr>
      <w:rFonts w:ascii="Segoe UI" w:hAnsi="Segoe UI" w:cs="Segoe UI"/>
      <w:sz w:val="18"/>
      <w:szCs w:val="18"/>
    </w:rPr>
  </w:style>
  <w:style w:type="character" w:styleId="CommentReference">
    <w:name w:val="annotation reference"/>
    <w:basedOn w:val="DefaultParagraphFont"/>
    <w:uiPriority w:val="99"/>
    <w:semiHidden/>
    <w:unhideWhenUsed/>
    <w:rsid w:val="00A25F96"/>
    <w:rPr>
      <w:sz w:val="16"/>
      <w:szCs w:val="16"/>
    </w:rPr>
  </w:style>
  <w:style w:type="paragraph" w:styleId="CommentText">
    <w:name w:val="annotation text"/>
    <w:basedOn w:val="Normal"/>
    <w:link w:val="CommentTextChar"/>
    <w:uiPriority w:val="99"/>
    <w:semiHidden/>
    <w:unhideWhenUsed/>
    <w:rsid w:val="00A25F96"/>
    <w:pPr>
      <w:spacing w:line="240" w:lineRule="auto"/>
    </w:pPr>
    <w:rPr>
      <w:sz w:val="20"/>
      <w:szCs w:val="20"/>
    </w:rPr>
  </w:style>
  <w:style w:type="character" w:customStyle="1" w:styleId="CommentTextChar">
    <w:name w:val="Comment Text Char"/>
    <w:basedOn w:val="DefaultParagraphFont"/>
    <w:link w:val="CommentText"/>
    <w:uiPriority w:val="99"/>
    <w:semiHidden/>
    <w:rsid w:val="00A25F96"/>
    <w:rPr>
      <w:sz w:val="20"/>
      <w:szCs w:val="20"/>
    </w:rPr>
  </w:style>
  <w:style w:type="paragraph" w:styleId="CommentSubject">
    <w:name w:val="annotation subject"/>
    <w:basedOn w:val="CommentText"/>
    <w:next w:val="CommentText"/>
    <w:link w:val="CommentSubjectChar"/>
    <w:uiPriority w:val="99"/>
    <w:semiHidden/>
    <w:unhideWhenUsed/>
    <w:rsid w:val="00A25F96"/>
    <w:rPr>
      <w:b/>
      <w:bCs/>
    </w:rPr>
  </w:style>
  <w:style w:type="character" w:customStyle="1" w:styleId="CommentSubjectChar">
    <w:name w:val="Comment Subject Char"/>
    <w:basedOn w:val="CommentTextChar"/>
    <w:link w:val="CommentSubject"/>
    <w:uiPriority w:val="99"/>
    <w:semiHidden/>
    <w:rsid w:val="00A25F96"/>
    <w:rPr>
      <w:b/>
      <w:bCs/>
      <w:sz w:val="20"/>
      <w:szCs w:val="20"/>
    </w:rPr>
  </w:style>
  <w:style w:type="paragraph" w:styleId="FootnoteText">
    <w:name w:val="footnote text"/>
    <w:basedOn w:val="Normal"/>
    <w:link w:val="FootnoteTextChar"/>
    <w:uiPriority w:val="99"/>
    <w:semiHidden/>
    <w:unhideWhenUsed/>
    <w:rsid w:val="00A428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2802"/>
    <w:rPr>
      <w:sz w:val="20"/>
      <w:szCs w:val="20"/>
    </w:rPr>
  </w:style>
  <w:style w:type="character" w:styleId="FootnoteReference">
    <w:name w:val="footnote reference"/>
    <w:basedOn w:val="DefaultParagraphFont"/>
    <w:uiPriority w:val="99"/>
    <w:semiHidden/>
    <w:unhideWhenUsed/>
    <w:rsid w:val="00A42802"/>
    <w:rPr>
      <w:vertAlign w:val="superscript"/>
    </w:rPr>
  </w:style>
  <w:style w:type="paragraph" w:styleId="Header">
    <w:name w:val="header"/>
    <w:basedOn w:val="Normal"/>
    <w:link w:val="HeaderChar"/>
    <w:uiPriority w:val="99"/>
    <w:unhideWhenUsed/>
    <w:rsid w:val="00083C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3C48"/>
  </w:style>
  <w:style w:type="paragraph" w:styleId="Footer">
    <w:name w:val="footer"/>
    <w:basedOn w:val="Normal"/>
    <w:link w:val="FooterChar"/>
    <w:uiPriority w:val="99"/>
    <w:unhideWhenUsed/>
    <w:rsid w:val="00083C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3C48"/>
  </w:style>
  <w:style w:type="character" w:styleId="Hyperlink">
    <w:name w:val="Hyperlink"/>
    <w:basedOn w:val="DefaultParagraphFont"/>
    <w:uiPriority w:val="99"/>
    <w:unhideWhenUsed/>
    <w:rsid w:val="00EA5187"/>
    <w:rPr>
      <w:color w:val="0000FF" w:themeColor="hyperlink"/>
      <w:u w:val="single"/>
    </w:rPr>
  </w:style>
  <w:style w:type="paragraph" w:customStyle="1" w:styleId="IATED-Affiliation">
    <w:name w:val="IATED-Affiliation"/>
    <w:qFormat/>
    <w:rsid w:val="00D36009"/>
    <w:pPr>
      <w:spacing w:after="0" w:line="240" w:lineRule="auto"/>
      <w:jc w:val="center"/>
    </w:pPr>
    <w:rPr>
      <w:rFonts w:ascii="Arial" w:eastAsia="Times New Roman" w:hAnsi="Arial" w:cs="Arial"/>
      <w:i/>
      <w:szCs w:val="24"/>
      <w:lang w:val="en-US" w:eastAsia="es-ES"/>
    </w:rPr>
  </w:style>
  <w:style w:type="character" w:customStyle="1" w:styleId="Heading1Char">
    <w:name w:val="Heading 1 Char"/>
    <w:basedOn w:val="DefaultParagraphFont"/>
    <w:link w:val="Heading1"/>
    <w:uiPriority w:val="9"/>
    <w:rsid w:val="00D24FE7"/>
    <w:rPr>
      <w:rFonts w:asciiTheme="majorBidi" w:eastAsiaTheme="majorEastAsia" w:hAnsiTheme="majorBidi" w:cstheme="majorBidi"/>
      <w:b/>
      <w:bCs/>
      <w:sz w:val="28"/>
      <w:szCs w:val="28"/>
    </w:rPr>
  </w:style>
  <w:style w:type="character" w:customStyle="1" w:styleId="Heading2Char">
    <w:name w:val="Heading 2 Char"/>
    <w:basedOn w:val="DefaultParagraphFont"/>
    <w:link w:val="Heading2"/>
    <w:uiPriority w:val="9"/>
    <w:rsid w:val="00D24FE7"/>
    <w:rPr>
      <w:rFonts w:asciiTheme="majorBidi" w:eastAsiaTheme="majorEastAsia" w:hAnsiTheme="majorBidi" w:cstheme="majorBidi"/>
      <w:b/>
      <w:bCs/>
      <w:sz w:val="26"/>
      <w:szCs w:val="26"/>
    </w:rPr>
  </w:style>
  <w:style w:type="paragraph" w:styleId="PlainText">
    <w:name w:val="Plain Text"/>
    <w:basedOn w:val="Normal"/>
    <w:link w:val="PlainTextChar"/>
    <w:uiPriority w:val="99"/>
    <w:rsid w:val="00347826"/>
    <w:pPr>
      <w:spacing w:after="0" w:line="240" w:lineRule="auto"/>
    </w:pPr>
    <w:rPr>
      <w:rFonts w:ascii="Courier New" w:eastAsia="SimSun" w:hAnsi="Courier New" w:cs="Courier New"/>
      <w:sz w:val="20"/>
      <w:szCs w:val="20"/>
      <w:lang w:val="en-US"/>
    </w:rPr>
  </w:style>
  <w:style w:type="character" w:customStyle="1" w:styleId="PlainTextChar">
    <w:name w:val="Plain Text Char"/>
    <w:basedOn w:val="DefaultParagraphFont"/>
    <w:link w:val="PlainText"/>
    <w:uiPriority w:val="99"/>
    <w:rsid w:val="00347826"/>
    <w:rPr>
      <w:rFonts w:ascii="Courier New" w:eastAsia="SimSu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A4B7B-5A5B-4380-B3F2-F2FB503D6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20</Pages>
  <Words>8494</Words>
  <Characters>48417</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University of Waikato</Company>
  <LinksUpToDate>false</LinksUpToDate>
  <CharactersWithSpaces>56798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Papu Siameja</dc:creator>
  <cp:lastModifiedBy>Brian Silverstone</cp:lastModifiedBy>
  <cp:revision>24</cp:revision>
  <cp:lastPrinted>2015-09-13T22:27:00Z</cp:lastPrinted>
  <dcterms:created xsi:type="dcterms:W3CDTF">2015-09-27T23:09:00Z</dcterms:created>
  <dcterms:modified xsi:type="dcterms:W3CDTF">2015-10-13T23:34:00Z</dcterms:modified>
</cp:coreProperties>
</file>