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7178A" w14:textId="77777777" w:rsidR="0044181D" w:rsidRDefault="0044181D" w:rsidP="00981453">
      <w:pPr>
        <w:tabs>
          <w:tab w:val="left" w:pos="426"/>
        </w:tabs>
        <w:rPr>
          <w:rFonts w:asciiTheme="majorBidi" w:eastAsiaTheme="majorEastAsia" w:hAnsiTheme="majorBidi" w:cstheme="majorBidi"/>
          <w:b/>
          <w:bCs/>
          <w:sz w:val="28"/>
          <w:szCs w:val="28"/>
        </w:rPr>
      </w:pPr>
    </w:p>
    <w:p w14:paraId="4C6F0E34" w14:textId="77777777" w:rsidR="0044181D" w:rsidRDefault="0044181D" w:rsidP="00981453">
      <w:pPr>
        <w:pStyle w:val="PlainText"/>
        <w:tabs>
          <w:tab w:val="left" w:pos="284"/>
          <w:tab w:val="left" w:pos="426"/>
        </w:tabs>
        <w:spacing w:line="300" w:lineRule="auto"/>
        <w:jc w:val="center"/>
        <w:rPr>
          <w:rFonts w:ascii="Times New Roman" w:hAnsi="Times New Roman" w:cs="Times New Roman"/>
          <w:b/>
          <w:sz w:val="28"/>
        </w:rPr>
      </w:pPr>
    </w:p>
    <w:p w14:paraId="48B5D4BD" w14:textId="77777777" w:rsidR="0025401E" w:rsidRDefault="0025401E" w:rsidP="00981453">
      <w:pPr>
        <w:pStyle w:val="PlainText"/>
        <w:tabs>
          <w:tab w:val="left" w:pos="284"/>
          <w:tab w:val="left" w:pos="426"/>
        </w:tabs>
        <w:spacing w:line="300" w:lineRule="auto"/>
        <w:jc w:val="center"/>
        <w:rPr>
          <w:rFonts w:ascii="Times New Roman" w:hAnsi="Times New Roman" w:cs="Times New Roman"/>
          <w:b/>
          <w:sz w:val="28"/>
        </w:rPr>
      </w:pPr>
    </w:p>
    <w:p w14:paraId="5B80D182" w14:textId="77777777" w:rsidR="0044181D" w:rsidRPr="00D258B1" w:rsidRDefault="0044181D" w:rsidP="00981453">
      <w:pPr>
        <w:pStyle w:val="PlainText"/>
        <w:tabs>
          <w:tab w:val="left" w:pos="284"/>
          <w:tab w:val="left" w:pos="426"/>
        </w:tabs>
        <w:spacing w:line="300" w:lineRule="auto"/>
        <w:jc w:val="center"/>
        <w:rPr>
          <w:rFonts w:ascii="Times New Roman" w:hAnsi="Times New Roman" w:cs="Times New Roman"/>
          <w:b/>
          <w:sz w:val="28"/>
        </w:rPr>
      </w:pPr>
      <w:r w:rsidRPr="00D258B1">
        <w:rPr>
          <w:rFonts w:ascii="Times New Roman" w:hAnsi="Times New Roman" w:cs="Times New Roman"/>
          <w:b/>
          <w:sz w:val="28"/>
        </w:rPr>
        <w:t>UNIVERSITY OF WAIKATO</w:t>
      </w:r>
    </w:p>
    <w:p w14:paraId="77F2424A" w14:textId="77777777" w:rsidR="0044181D" w:rsidRPr="00981515" w:rsidRDefault="0044181D" w:rsidP="00981453">
      <w:pPr>
        <w:pStyle w:val="PlainText"/>
        <w:tabs>
          <w:tab w:val="left" w:pos="284"/>
          <w:tab w:val="left" w:pos="426"/>
        </w:tabs>
        <w:spacing w:line="300" w:lineRule="auto"/>
        <w:jc w:val="center"/>
        <w:rPr>
          <w:rFonts w:ascii="Times New Roman" w:hAnsi="Times New Roman" w:cs="Times New Roman"/>
          <w:b/>
          <w:sz w:val="14"/>
          <w:szCs w:val="14"/>
        </w:rPr>
      </w:pPr>
    </w:p>
    <w:p w14:paraId="23E5F776" w14:textId="77777777" w:rsidR="0044181D" w:rsidRPr="00D258B1" w:rsidRDefault="0044181D" w:rsidP="00981453">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ity">
        <w:smartTag w:uri="urn:schemas-microsoft-com:office:smarttags" w:element="place">
          <w:r w:rsidRPr="00D258B1">
            <w:rPr>
              <w:rFonts w:ascii="Times New Roman" w:hAnsi="Times New Roman" w:cs="Times New Roman"/>
              <w:b/>
              <w:sz w:val="28"/>
            </w:rPr>
            <w:t>Hamilton</w:t>
          </w:r>
        </w:smartTag>
      </w:smartTag>
    </w:p>
    <w:p w14:paraId="485336F8" w14:textId="77777777" w:rsidR="0044181D" w:rsidRPr="00D258B1" w:rsidRDefault="0044181D" w:rsidP="00981453">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ountry-region">
        <w:smartTag w:uri="urn:schemas-microsoft-com:office:smarttags" w:element="place">
          <w:r w:rsidRPr="00D258B1">
            <w:rPr>
              <w:rFonts w:ascii="Times New Roman" w:hAnsi="Times New Roman" w:cs="Times New Roman"/>
              <w:b/>
              <w:sz w:val="28"/>
            </w:rPr>
            <w:t>New Zealand</w:t>
          </w:r>
        </w:smartTag>
      </w:smartTag>
    </w:p>
    <w:p w14:paraId="3B709E69" w14:textId="77777777" w:rsidR="0044181D" w:rsidRPr="00D258B1" w:rsidRDefault="0044181D" w:rsidP="00981453">
      <w:pPr>
        <w:pStyle w:val="PlainText"/>
        <w:tabs>
          <w:tab w:val="left" w:pos="284"/>
          <w:tab w:val="left" w:pos="426"/>
        </w:tabs>
        <w:spacing w:line="300" w:lineRule="auto"/>
        <w:jc w:val="center"/>
        <w:rPr>
          <w:rFonts w:ascii="Times New Roman" w:hAnsi="Times New Roman" w:cs="Times New Roman"/>
          <w:b/>
          <w:sz w:val="28"/>
        </w:rPr>
      </w:pPr>
    </w:p>
    <w:p w14:paraId="6A7A0592" w14:textId="77777777"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4"/>
          <w:szCs w:val="24"/>
        </w:rPr>
      </w:pPr>
    </w:p>
    <w:p w14:paraId="7B975072" w14:textId="77777777" w:rsidR="006B1E6F"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
          <w:sz w:val="28"/>
          <w:szCs w:val="28"/>
        </w:rPr>
      </w:pPr>
      <w:r>
        <w:rPr>
          <w:rFonts w:ascii="Times New Roman" w:hAnsi="Times New Roman" w:cs="Times New Roman"/>
          <w:b/>
          <w:sz w:val="28"/>
          <w:szCs w:val="28"/>
        </w:rPr>
        <w:t xml:space="preserve">Labour Force Participation, Human Capital </w:t>
      </w:r>
    </w:p>
    <w:p w14:paraId="6634B3AA" w14:textId="53661AB3"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
          <w:sz w:val="28"/>
          <w:szCs w:val="28"/>
        </w:rPr>
      </w:pPr>
      <w:r>
        <w:rPr>
          <w:rFonts w:ascii="Times New Roman" w:hAnsi="Times New Roman" w:cs="Times New Roman"/>
          <w:b/>
          <w:sz w:val="28"/>
          <w:szCs w:val="28"/>
        </w:rPr>
        <w:t xml:space="preserve">and Wellbeing </w:t>
      </w:r>
      <w:r w:rsidR="006B1E6F">
        <w:rPr>
          <w:rFonts w:ascii="Times New Roman" w:hAnsi="Times New Roman" w:cs="Times New Roman"/>
          <w:b/>
          <w:sz w:val="28"/>
          <w:szCs w:val="28"/>
        </w:rPr>
        <w:t xml:space="preserve">among Older </w:t>
      </w:r>
      <w:r>
        <w:rPr>
          <w:rFonts w:ascii="Times New Roman" w:hAnsi="Times New Roman" w:cs="Times New Roman"/>
          <w:b/>
          <w:sz w:val="28"/>
          <w:szCs w:val="28"/>
        </w:rPr>
        <w:t>New Zealanders</w:t>
      </w:r>
    </w:p>
    <w:p w14:paraId="0EDD63BE" w14:textId="77777777"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sz w:val="24"/>
          <w:szCs w:val="24"/>
          <w:lang w:val="en-NZ"/>
        </w:rPr>
      </w:pPr>
    </w:p>
    <w:p w14:paraId="5E482179" w14:textId="77777777"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sz w:val="28"/>
          <w:szCs w:val="28"/>
        </w:rPr>
      </w:pPr>
      <w:r w:rsidRPr="00D258B1">
        <w:rPr>
          <w:rFonts w:ascii="Times New Roman" w:hAnsi="Times New Roman" w:cs="Times New Roman"/>
          <w:bCs/>
          <w:sz w:val="28"/>
          <w:szCs w:val="28"/>
        </w:rPr>
        <w:t>Michael P. Cameron</w:t>
      </w:r>
    </w:p>
    <w:p w14:paraId="10391AAB" w14:textId="77777777"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i/>
          <w:iCs/>
          <w:sz w:val="28"/>
          <w:szCs w:val="28"/>
        </w:rPr>
      </w:pPr>
      <w:smartTag w:uri="urn:schemas-microsoft-com:office:smarttags" w:element="PlaceType">
        <w:smartTag w:uri="urn:schemas-microsoft-com:office:smarttags" w:element="place">
          <w:smartTag w:uri="urn:schemas-microsoft-com:office:smarttags" w:element="PlaceType">
            <w:r w:rsidRPr="00D258B1">
              <w:rPr>
                <w:rFonts w:ascii="Times New Roman" w:hAnsi="Times New Roman" w:cs="Times New Roman"/>
                <w:bCs/>
                <w:i/>
                <w:iCs/>
                <w:sz w:val="28"/>
                <w:szCs w:val="28"/>
              </w:rPr>
              <w:t>University</w:t>
            </w:r>
          </w:smartTag>
          <w:r w:rsidRPr="00D258B1">
            <w:rPr>
              <w:rFonts w:ascii="Times New Roman" w:hAnsi="Times New Roman" w:cs="Times New Roman"/>
              <w:bCs/>
              <w:i/>
              <w:iCs/>
              <w:sz w:val="28"/>
              <w:szCs w:val="28"/>
            </w:rPr>
            <w:t xml:space="preserve"> of </w:t>
          </w:r>
          <w:smartTag w:uri="urn:schemas-microsoft-com:office:smarttags" w:element="PlaceName">
            <w:r w:rsidRPr="00D258B1">
              <w:rPr>
                <w:rFonts w:ascii="Times New Roman" w:hAnsi="Times New Roman" w:cs="Times New Roman"/>
                <w:bCs/>
                <w:i/>
                <w:iCs/>
                <w:sz w:val="28"/>
                <w:szCs w:val="28"/>
              </w:rPr>
              <w:t>Waikato</w:t>
            </w:r>
          </w:smartTag>
        </w:smartTag>
      </w:smartTag>
    </w:p>
    <w:p w14:paraId="79C0C153" w14:textId="77777777"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i/>
          <w:iCs/>
          <w:sz w:val="24"/>
          <w:szCs w:val="24"/>
        </w:rPr>
      </w:pPr>
    </w:p>
    <w:p w14:paraId="72C5779F" w14:textId="6624D968"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sz w:val="28"/>
          <w:szCs w:val="28"/>
        </w:rPr>
      </w:pPr>
      <w:r>
        <w:rPr>
          <w:rFonts w:ascii="Times New Roman" w:hAnsi="Times New Roman" w:cs="Times New Roman"/>
          <w:bCs/>
          <w:sz w:val="28"/>
          <w:szCs w:val="28"/>
        </w:rPr>
        <w:t xml:space="preserve">Peggy </w:t>
      </w:r>
      <w:proofErr w:type="spellStart"/>
      <w:r>
        <w:rPr>
          <w:rFonts w:ascii="Times New Roman" w:hAnsi="Times New Roman" w:cs="Times New Roman"/>
          <w:bCs/>
          <w:sz w:val="28"/>
          <w:szCs w:val="28"/>
        </w:rPr>
        <w:t>Koopman</w:t>
      </w:r>
      <w:proofErr w:type="spellEnd"/>
      <w:r>
        <w:rPr>
          <w:rFonts w:ascii="Times New Roman" w:hAnsi="Times New Roman" w:cs="Times New Roman"/>
          <w:bCs/>
          <w:sz w:val="28"/>
          <w:szCs w:val="28"/>
        </w:rPr>
        <w:t>-Boyden</w:t>
      </w:r>
    </w:p>
    <w:p w14:paraId="1C8B1350" w14:textId="77777777"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i/>
          <w:iCs/>
          <w:sz w:val="28"/>
          <w:szCs w:val="28"/>
        </w:rPr>
      </w:pPr>
      <w:smartTag w:uri="urn:schemas-microsoft-com:office:smarttags" w:element="PlaceType">
        <w:smartTag w:uri="urn:schemas-microsoft-com:office:smarttags" w:element="place">
          <w:smartTag w:uri="urn:schemas-microsoft-com:office:smarttags" w:element="PlaceType">
            <w:r w:rsidRPr="00D258B1">
              <w:rPr>
                <w:rFonts w:ascii="Times New Roman" w:hAnsi="Times New Roman" w:cs="Times New Roman"/>
                <w:bCs/>
                <w:i/>
                <w:iCs/>
                <w:sz w:val="28"/>
                <w:szCs w:val="28"/>
              </w:rPr>
              <w:t>University</w:t>
            </w:r>
          </w:smartTag>
          <w:r w:rsidRPr="00D258B1">
            <w:rPr>
              <w:rFonts w:ascii="Times New Roman" w:hAnsi="Times New Roman" w:cs="Times New Roman"/>
              <w:bCs/>
              <w:i/>
              <w:iCs/>
              <w:sz w:val="28"/>
              <w:szCs w:val="28"/>
            </w:rPr>
            <w:t xml:space="preserve"> of </w:t>
          </w:r>
          <w:smartTag w:uri="urn:schemas-microsoft-com:office:smarttags" w:element="PlaceName">
            <w:r w:rsidRPr="00D258B1">
              <w:rPr>
                <w:rFonts w:ascii="Times New Roman" w:hAnsi="Times New Roman" w:cs="Times New Roman"/>
                <w:bCs/>
                <w:i/>
                <w:iCs/>
                <w:sz w:val="28"/>
                <w:szCs w:val="28"/>
              </w:rPr>
              <w:t>Waikato</w:t>
            </w:r>
          </w:smartTag>
        </w:smartTag>
      </w:smartTag>
    </w:p>
    <w:p w14:paraId="1E70A3FB" w14:textId="77777777"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i/>
          <w:iCs/>
          <w:sz w:val="24"/>
          <w:szCs w:val="24"/>
        </w:rPr>
      </w:pPr>
    </w:p>
    <w:p w14:paraId="624F8556" w14:textId="75E09EA3"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sz w:val="28"/>
          <w:szCs w:val="28"/>
        </w:rPr>
      </w:pPr>
      <w:r>
        <w:rPr>
          <w:rFonts w:ascii="Times New Roman" w:hAnsi="Times New Roman" w:cs="Times New Roman"/>
          <w:bCs/>
          <w:sz w:val="28"/>
          <w:szCs w:val="28"/>
        </w:rPr>
        <w:t xml:space="preserve">Matthew </w:t>
      </w:r>
      <w:proofErr w:type="spellStart"/>
      <w:r>
        <w:rPr>
          <w:rFonts w:ascii="Times New Roman" w:hAnsi="Times New Roman" w:cs="Times New Roman"/>
          <w:bCs/>
          <w:sz w:val="28"/>
          <w:szCs w:val="28"/>
        </w:rPr>
        <w:t>Roskruge</w:t>
      </w:r>
      <w:proofErr w:type="spellEnd"/>
    </w:p>
    <w:p w14:paraId="66FE02F4" w14:textId="57D062CB"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cs="Times New Roman"/>
          <w:bCs/>
          <w:i/>
          <w:iCs/>
          <w:sz w:val="24"/>
          <w:szCs w:val="24"/>
        </w:rPr>
      </w:pPr>
      <w:r w:rsidRPr="00D258B1">
        <w:rPr>
          <w:rFonts w:ascii="Times New Roman" w:hAnsi="Times New Roman" w:cs="Times New Roman"/>
          <w:bCs/>
          <w:i/>
          <w:iCs/>
          <w:sz w:val="28"/>
          <w:szCs w:val="28"/>
        </w:rPr>
        <w:t>University of Waikato</w:t>
      </w:r>
    </w:p>
    <w:p w14:paraId="39C4339E" w14:textId="77777777" w:rsidR="0044181D" w:rsidRPr="00D258B1" w:rsidRDefault="0044181D" w:rsidP="0098145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rPr>
          <w:rFonts w:ascii="Times New Roman" w:hAnsi="Times New Roman" w:cs="Times New Roman"/>
          <w:bCs/>
          <w:i/>
          <w:iCs/>
          <w:sz w:val="28"/>
        </w:rPr>
      </w:pPr>
    </w:p>
    <w:p w14:paraId="36FCFA3C" w14:textId="77777777" w:rsidR="0044181D" w:rsidRPr="00D258B1" w:rsidRDefault="0044181D" w:rsidP="00981453">
      <w:pPr>
        <w:pStyle w:val="PlainText"/>
        <w:tabs>
          <w:tab w:val="left" w:pos="284"/>
          <w:tab w:val="left" w:pos="426"/>
        </w:tabs>
        <w:jc w:val="both"/>
        <w:rPr>
          <w:rFonts w:ascii="Times New Roman" w:hAnsi="Times New Roman" w:cs="Times New Roman"/>
          <w:b/>
        </w:rPr>
      </w:pPr>
    </w:p>
    <w:p w14:paraId="22188E5D" w14:textId="77777777" w:rsidR="0044181D" w:rsidRPr="00D258B1" w:rsidRDefault="0044181D" w:rsidP="00981453">
      <w:pPr>
        <w:pStyle w:val="PlainText"/>
        <w:tabs>
          <w:tab w:val="left" w:pos="284"/>
          <w:tab w:val="left" w:pos="426"/>
        </w:tabs>
        <w:jc w:val="center"/>
        <w:rPr>
          <w:rFonts w:ascii="Times New Roman" w:hAnsi="Times New Roman" w:cs="Times New Roman"/>
          <w:b/>
          <w:bCs/>
          <w:sz w:val="28"/>
        </w:rPr>
      </w:pPr>
    </w:p>
    <w:p w14:paraId="231A52F7" w14:textId="77777777" w:rsidR="0044181D" w:rsidRPr="00D258B1" w:rsidRDefault="0044181D" w:rsidP="00981453">
      <w:pPr>
        <w:pStyle w:val="PlainText"/>
        <w:tabs>
          <w:tab w:val="left" w:pos="284"/>
          <w:tab w:val="left" w:pos="426"/>
        </w:tabs>
        <w:jc w:val="center"/>
        <w:rPr>
          <w:rFonts w:ascii="Times New Roman" w:hAnsi="Times New Roman" w:cs="Times New Roman"/>
          <w:b/>
          <w:bCs/>
          <w:sz w:val="28"/>
        </w:rPr>
      </w:pPr>
      <w:r w:rsidRPr="00D258B1">
        <w:rPr>
          <w:rFonts w:ascii="Times New Roman" w:hAnsi="Times New Roman" w:cs="Times New Roman"/>
          <w:b/>
          <w:bCs/>
          <w:sz w:val="28"/>
        </w:rPr>
        <w:t>Department of Economics</w:t>
      </w:r>
    </w:p>
    <w:p w14:paraId="43ED84A7" w14:textId="77777777" w:rsidR="0044181D" w:rsidRPr="00D258B1" w:rsidRDefault="0044181D" w:rsidP="00981453">
      <w:pPr>
        <w:pStyle w:val="PlainText"/>
        <w:tabs>
          <w:tab w:val="left" w:pos="284"/>
          <w:tab w:val="left" w:pos="426"/>
        </w:tabs>
        <w:jc w:val="center"/>
        <w:rPr>
          <w:rFonts w:ascii="Times New Roman" w:hAnsi="Times New Roman" w:cs="Times New Roman"/>
          <w:b/>
          <w:bCs/>
          <w:sz w:val="28"/>
        </w:rPr>
      </w:pPr>
    </w:p>
    <w:p w14:paraId="0A06D9FB" w14:textId="792E8541" w:rsidR="0044181D" w:rsidRPr="00D258B1" w:rsidRDefault="0044181D" w:rsidP="00981453">
      <w:pPr>
        <w:pStyle w:val="PlainText"/>
        <w:tabs>
          <w:tab w:val="left" w:pos="284"/>
          <w:tab w:val="left" w:pos="426"/>
        </w:tabs>
        <w:jc w:val="center"/>
        <w:rPr>
          <w:rFonts w:ascii="Times New Roman" w:hAnsi="Times New Roman" w:cs="Times New Roman"/>
          <w:b/>
          <w:bCs/>
          <w:sz w:val="28"/>
        </w:rPr>
      </w:pPr>
      <w:r>
        <w:rPr>
          <w:rFonts w:ascii="Times New Roman" w:hAnsi="Times New Roman" w:cs="Times New Roman"/>
          <w:b/>
          <w:bCs/>
          <w:sz w:val="28"/>
        </w:rPr>
        <w:t>Working Paper in Economics 15</w:t>
      </w:r>
      <w:r w:rsidR="006B1E6F">
        <w:rPr>
          <w:rFonts w:ascii="Times New Roman" w:hAnsi="Times New Roman" w:cs="Times New Roman"/>
          <w:b/>
          <w:bCs/>
          <w:sz w:val="28"/>
        </w:rPr>
        <w:t>/07</w:t>
      </w:r>
    </w:p>
    <w:p w14:paraId="43E52775" w14:textId="77777777" w:rsidR="0044181D" w:rsidRPr="00D258B1" w:rsidRDefault="0044181D" w:rsidP="00981453">
      <w:pPr>
        <w:pStyle w:val="PlainText"/>
        <w:tabs>
          <w:tab w:val="left" w:pos="284"/>
          <w:tab w:val="left" w:pos="426"/>
        </w:tabs>
        <w:jc w:val="center"/>
        <w:rPr>
          <w:rFonts w:ascii="Times New Roman" w:hAnsi="Times New Roman" w:cs="Times New Roman"/>
          <w:b/>
          <w:bCs/>
          <w:sz w:val="28"/>
        </w:rPr>
      </w:pPr>
    </w:p>
    <w:p w14:paraId="492792F6" w14:textId="68E1A529" w:rsidR="0044181D" w:rsidRPr="00D258B1" w:rsidRDefault="0044181D" w:rsidP="00981453">
      <w:pPr>
        <w:pStyle w:val="PlainText"/>
        <w:tabs>
          <w:tab w:val="left" w:pos="284"/>
          <w:tab w:val="left" w:pos="426"/>
        </w:tabs>
        <w:jc w:val="center"/>
        <w:rPr>
          <w:rFonts w:ascii="Times New Roman" w:hAnsi="Times New Roman" w:cs="Times New Roman"/>
          <w:sz w:val="28"/>
        </w:rPr>
      </w:pPr>
      <w:r>
        <w:rPr>
          <w:rFonts w:ascii="Times New Roman" w:hAnsi="Times New Roman" w:cs="Times New Roman"/>
          <w:sz w:val="28"/>
        </w:rPr>
        <w:t>September</w:t>
      </w:r>
      <w:r w:rsidRPr="00D258B1">
        <w:rPr>
          <w:rFonts w:ascii="Times New Roman" w:hAnsi="Times New Roman" w:cs="Times New Roman"/>
          <w:sz w:val="28"/>
        </w:rPr>
        <w:t xml:space="preserve"> 201</w:t>
      </w:r>
      <w:r>
        <w:rPr>
          <w:rFonts w:ascii="Times New Roman" w:hAnsi="Times New Roman" w:cs="Times New Roman"/>
          <w:sz w:val="28"/>
        </w:rPr>
        <w:t>5</w:t>
      </w:r>
    </w:p>
    <w:p w14:paraId="0E3DD0F2" w14:textId="77777777" w:rsidR="0044181D" w:rsidRPr="00D258B1" w:rsidRDefault="0044181D" w:rsidP="00981453">
      <w:pPr>
        <w:pStyle w:val="PlainText"/>
        <w:tabs>
          <w:tab w:val="left" w:pos="284"/>
          <w:tab w:val="left" w:pos="426"/>
        </w:tabs>
        <w:jc w:val="center"/>
        <w:rPr>
          <w:rFonts w:ascii="Times New Roman" w:hAnsi="Times New Roman" w:cs="Times New Roman"/>
          <w:sz w:val="28"/>
        </w:rPr>
      </w:pPr>
    </w:p>
    <w:p w14:paraId="5F4B6704" w14:textId="77777777" w:rsidR="00960A4A" w:rsidRDefault="00960A4A" w:rsidP="00981453">
      <w:pPr>
        <w:pStyle w:val="PlainText"/>
        <w:tabs>
          <w:tab w:val="left" w:pos="284"/>
          <w:tab w:val="left" w:pos="426"/>
        </w:tabs>
        <w:jc w:val="center"/>
        <w:rPr>
          <w:rFonts w:ascii="Times New Roman" w:hAnsi="Times New Roman" w:cs="Times New Roman"/>
          <w:i/>
          <w:iCs/>
          <w:sz w:val="24"/>
          <w:szCs w:val="24"/>
        </w:rPr>
      </w:pPr>
    </w:p>
    <w:p w14:paraId="748584C4" w14:textId="77777777" w:rsidR="0044181D" w:rsidRPr="00D258B1" w:rsidRDefault="0044181D" w:rsidP="00981453">
      <w:pPr>
        <w:pStyle w:val="PlainText"/>
        <w:tabs>
          <w:tab w:val="left" w:pos="284"/>
          <w:tab w:val="left" w:pos="426"/>
        </w:tabs>
        <w:jc w:val="center"/>
        <w:rPr>
          <w:rFonts w:ascii="Times New Roman" w:hAnsi="Times New Roman" w:cs="Times New Roman"/>
          <w:i/>
          <w:iCs/>
          <w:sz w:val="24"/>
          <w:szCs w:val="24"/>
        </w:rPr>
      </w:pPr>
      <w:r w:rsidRPr="00D258B1">
        <w:rPr>
          <w:rFonts w:ascii="Times New Roman" w:hAnsi="Times New Roman" w:cs="Times New Roman"/>
          <w:i/>
          <w:iCs/>
          <w:sz w:val="24"/>
          <w:szCs w:val="24"/>
        </w:rPr>
        <w:t>Corresponding Author</w:t>
      </w:r>
    </w:p>
    <w:p w14:paraId="41433D87" w14:textId="77777777" w:rsidR="0044181D" w:rsidRPr="00D258B1" w:rsidRDefault="0044181D" w:rsidP="00981453">
      <w:pPr>
        <w:pStyle w:val="PlainText"/>
        <w:tabs>
          <w:tab w:val="left" w:pos="284"/>
          <w:tab w:val="left" w:pos="426"/>
        </w:tabs>
        <w:jc w:val="center"/>
        <w:rPr>
          <w:rFonts w:ascii="Times New Roman" w:hAnsi="Times New Roman" w:cs="Times New Roman"/>
          <w:sz w:val="22"/>
        </w:rPr>
      </w:pPr>
    </w:p>
    <w:p w14:paraId="4B9C344A" w14:textId="77777777" w:rsidR="0044181D" w:rsidRPr="00D258B1" w:rsidRDefault="0044181D" w:rsidP="00981453">
      <w:pPr>
        <w:pStyle w:val="PlainText"/>
        <w:tabs>
          <w:tab w:val="left" w:pos="284"/>
          <w:tab w:val="left" w:pos="426"/>
        </w:tabs>
        <w:jc w:val="center"/>
        <w:rPr>
          <w:rFonts w:ascii="Times New Roman" w:hAnsi="Times New Roman" w:cs="Times New Roman"/>
          <w:b/>
          <w:bCs/>
          <w:sz w:val="24"/>
          <w:szCs w:val="24"/>
        </w:rPr>
      </w:pPr>
      <w:r w:rsidRPr="00D258B1">
        <w:rPr>
          <w:rFonts w:ascii="Times New Roman" w:hAnsi="Times New Roman" w:cs="Times New Roman"/>
          <w:b/>
          <w:bCs/>
          <w:sz w:val="24"/>
          <w:szCs w:val="24"/>
        </w:rPr>
        <w:t>Michael P. Cameron</w:t>
      </w:r>
    </w:p>
    <w:p w14:paraId="428EE954" w14:textId="77777777" w:rsidR="0044181D" w:rsidRPr="00D258B1" w:rsidRDefault="0044181D" w:rsidP="00981453">
      <w:pPr>
        <w:pStyle w:val="PlainText"/>
        <w:tabs>
          <w:tab w:val="left" w:pos="284"/>
          <w:tab w:val="left" w:pos="426"/>
        </w:tabs>
        <w:jc w:val="center"/>
        <w:rPr>
          <w:rFonts w:ascii="Times New Roman" w:hAnsi="Times New Roman" w:cs="Times New Roman"/>
          <w:sz w:val="24"/>
          <w:szCs w:val="24"/>
        </w:rPr>
      </w:pPr>
      <w:r w:rsidRPr="00D258B1">
        <w:rPr>
          <w:rFonts w:ascii="Times New Roman" w:hAnsi="Times New Roman" w:cs="Times New Roman"/>
          <w:sz w:val="24"/>
          <w:szCs w:val="24"/>
        </w:rPr>
        <w:t xml:space="preserve">Economics Department </w:t>
      </w:r>
    </w:p>
    <w:p w14:paraId="7F9A0B50" w14:textId="77777777" w:rsidR="0044181D" w:rsidRPr="00D258B1" w:rsidRDefault="0044181D" w:rsidP="00981453">
      <w:pPr>
        <w:pStyle w:val="PlainText"/>
        <w:tabs>
          <w:tab w:val="left" w:pos="284"/>
          <w:tab w:val="left" w:pos="426"/>
        </w:tabs>
        <w:jc w:val="center"/>
        <w:rPr>
          <w:rFonts w:ascii="Times New Roman" w:hAnsi="Times New Roman" w:cs="Times New Roman"/>
          <w:sz w:val="24"/>
          <w:szCs w:val="24"/>
        </w:rPr>
      </w:pPr>
      <w:smartTag w:uri="urn:schemas-microsoft-com:office:smarttags" w:element="PlaceType">
        <w:smartTag w:uri="urn:schemas-microsoft-com:office:smarttags" w:element="place">
          <w:smartTag w:uri="urn:schemas-microsoft-com:office:smarttags" w:element="PlaceType">
            <w:r w:rsidRPr="00D258B1">
              <w:rPr>
                <w:rFonts w:ascii="Times New Roman" w:hAnsi="Times New Roman" w:cs="Times New Roman"/>
                <w:sz w:val="24"/>
                <w:szCs w:val="24"/>
              </w:rPr>
              <w:t>University</w:t>
            </w:r>
          </w:smartTag>
          <w:r w:rsidRPr="00D258B1">
            <w:rPr>
              <w:rFonts w:ascii="Times New Roman" w:hAnsi="Times New Roman" w:cs="Times New Roman"/>
              <w:sz w:val="24"/>
              <w:szCs w:val="24"/>
            </w:rPr>
            <w:t xml:space="preserve"> of </w:t>
          </w:r>
          <w:smartTag w:uri="urn:schemas-microsoft-com:office:smarttags" w:element="PlaceName">
            <w:r w:rsidRPr="00D258B1">
              <w:rPr>
                <w:rFonts w:ascii="Times New Roman" w:hAnsi="Times New Roman" w:cs="Times New Roman"/>
                <w:sz w:val="24"/>
                <w:szCs w:val="24"/>
              </w:rPr>
              <w:t>Waikato</w:t>
            </w:r>
          </w:smartTag>
        </w:smartTag>
      </w:smartTag>
      <w:r w:rsidRPr="00D258B1">
        <w:rPr>
          <w:rFonts w:ascii="Times New Roman" w:hAnsi="Times New Roman" w:cs="Times New Roman"/>
          <w:sz w:val="24"/>
          <w:szCs w:val="24"/>
        </w:rPr>
        <w:t xml:space="preserve">, </w:t>
      </w:r>
    </w:p>
    <w:p w14:paraId="53B0E70F" w14:textId="77777777" w:rsidR="0044181D" w:rsidRPr="00D258B1" w:rsidRDefault="0044181D" w:rsidP="00981453">
      <w:pPr>
        <w:pStyle w:val="PlainText"/>
        <w:tabs>
          <w:tab w:val="left" w:pos="284"/>
          <w:tab w:val="left" w:pos="426"/>
        </w:tabs>
        <w:jc w:val="center"/>
        <w:rPr>
          <w:rFonts w:ascii="Times New Roman" w:hAnsi="Times New Roman" w:cs="Times New Roman"/>
          <w:sz w:val="24"/>
          <w:szCs w:val="24"/>
        </w:rPr>
      </w:pPr>
      <w:r w:rsidRPr="00D258B1">
        <w:rPr>
          <w:rFonts w:ascii="Times New Roman" w:hAnsi="Times New Roman" w:cs="Times New Roman"/>
          <w:sz w:val="24"/>
          <w:szCs w:val="24"/>
        </w:rPr>
        <w:t>Private Bag 3105,</w:t>
      </w:r>
    </w:p>
    <w:p w14:paraId="449D12F9" w14:textId="717E575C" w:rsidR="0044181D" w:rsidRPr="00D258B1" w:rsidRDefault="0044181D" w:rsidP="00981453">
      <w:pPr>
        <w:pStyle w:val="PlainText"/>
        <w:tabs>
          <w:tab w:val="left" w:pos="284"/>
          <w:tab w:val="left" w:pos="426"/>
        </w:tabs>
        <w:jc w:val="center"/>
        <w:rPr>
          <w:rFonts w:ascii="Times New Roman" w:hAnsi="Times New Roman" w:cs="Times New Roman"/>
          <w:sz w:val="24"/>
          <w:szCs w:val="24"/>
        </w:rPr>
      </w:pPr>
      <w:r w:rsidRPr="00D258B1">
        <w:rPr>
          <w:rFonts w:ascii="Times New Roman" w:hAnsi="Times New Roman" w:cs="Times New Roman"/>
          <w:sz w:val="24"/>
          <w:szCs w:val="24"/>
        </w:rPr>
        <w:t>Hamilton</w:t>
      </w:r>
      <w:r>
        <w:rPr>
          <w:rFonts w:ascii="Times New Roman" w:hAnsi="Times New Roman" w:cs="Times New Roman"/>
          <w:sz w:val="24"/>
          <w:szCs w:val="24"/>
        </w:rPr>
        <w:t xml:space="preserve"> 3240</w:t>
      </w:r>
      <w:r w:rsidRPr="00D258B1">
        <w:rPr>
          <w:rFonts w:ascii="Times New Roman" w:hAnsi="Times New Roman" w:cs="Times New Roman"/>
          <w:sz w:val="24"/>
          <w:szCs w:val="24"/>
        </w:rPr>
        <w:t>, New Zealand</w:t>
      </w:r>
    </w:p>
    <w:p w14:paraId="58EDC335" w14:textId="77777777" w:rsidR="0044181D" w:rsidRPr="00D258B1" w:rsidRDefault="0044181D" w:rsidP="00981453">
      <w:pPr>
        <w:pStyle w:val="PlainText"/>
        <w:tabs>
          <w:tab w:val="left" w:pos="284"/>
          <w:tab w:val="left" w:pos="426"/>
        </w:tabs>
        <w:jc w:val="center"/>
        <w:rPr>
          <w:rFonts w:ascii="Times New Roman" w:hAnsi="Times New Roman" w:cs="Times New Roman"/>
          <w:sz w:val="24"/>
          <w:szCs w:val="24"/>
        </w:rPr>
      </w:pPr>
    </w:p>
    <w:p w14:paraId="34669F8C" w14:textId="77777777" w:rsidR="0044181D" w:rsidRPr="00D258B1" w:rsidRDefault="0044181D" w:rsidP="00981453">
      <w:pPr>
        <w:pStyle w:val="PlainText"/>
        <w:tabs>
          <w:tab w:val="left" w:pos="284"/>
          <w:tab w:val="left" w:pos="426"/>
        </w:tabs>
        <w:jc w:val="center"/>
        <w:rPr>
          <w:rFonts w:ascii="Times New Roman" w:hAnsi="Times New Roman" w:cs="Times New Roman"/>
          <w:sz w:val="24"/>
          <w:szCs w:val="24"/>
        </w:rPr>
      </w:pPr>
      <w:r w:rsidRPr="00D258B1">
        <w:rPr>
          <w:rFonts w:ascii="Times New Roman" w:hAnsi="Times New Roman" w:cs="Times New Roman"/>
          <w:sz w:val="24"/>
          <w:szCs w:val="24"/>
        </w:rPr>
        <w:t>Email: mcam@waikato.ac.nz</w:t>
      </w:r>
    </w:p>
    <w:p w14:paraId="600388C9" w14:textId="77777777" w:rsidR="0044181D" w:rsidRPr="00D258B1" w:rsidRDefault="0044181D" w:rsidP="00981453">
      <w:pPr>
        <w:tabs>
          <w:tab w:val="left" w:pos="284"/>
          <w:tab w:val="left" w:pos="426"/>
        </w:tabs>
        <w:spacing w:line="288" w:lineRule="auto"/>
        <w:jc w:val="center"/>
        <w:rPr>
          <w:rFonts w:ascii="Times New Roman" w:hAnsi="Times New Roman" w:cs="Times New Roman"/>
        </w:rPr>
      </w:pPr>
      <w:r w:rsidRPr="00D258B1">
        <w:rPr>
          <w:rFonts w:ascii="Times New Roman" w:hAnsi="Times New Roman" w:cs="Times New Roman"/>
        </w:rPr>
        <w:t>Tel: +64 (0)7 858 5082</w:t>
      </w:r>
    </w:p>
    <w:p w14:paraId="02A37970" w14:textId="77777777" w:rsidR="0044181D" w:rsidRDefault="0044181D" w:rsidP="00981453">
      <w:pPr>
        <w:tabs>
          <w:tab w:val="left" w:pos="426"/>
        </w:tabs>
        <w:rPr>
          <w:rFonts w:ascii="Times New Roman" w:hAnsi="Times New Roman" w:cs="Times New Roman"/>
          <w:sz w:val="24"/>
          <w:szCs w:val="24"/>
        </w:rPr>
      </w:pPr>
      <w:r>
        <w:rPr>
          <w:rFonts w:ascii="Times New Roman" w:hAnsi="Times New Roman" w:cs="Times New Roman"/>
          <w:sz w:val="24"/>
          <w:szCs w:val="24"/>
        </w:rPr>
        <w:br w:type="page"/>
      </w:r>
    </w:p>
    <w:p w14:paraId="714D43DE" w14:textId="77777777" w:rsidR="00A66643" w:rsidRDefault="00A66643" w:rsidP="00981453">
      <w:pPr>
        <w:tabs>
          <w:tab w:val="left" w:pos="426"/>
        </w:tabs>
        <w:jc w:val="center"/>
        <w:rPr>
          <w:rFonts w:ascii="Times New Roman" w:hAnsi="Times New Roman" w:cs="Times New Roman"/>
          <w:b/>
          <w:sz w:val="24"/>
          <w:szCs w:val="24"/>
        </w:rPr>
      </w:pPr>
    </w:p>
    <w:p w14:paraId="14800036" w14:textId="77777777" w:rsidR="0025401E" w:rsidRDefault="0025401E" w:rsidP="00981453">
      <w:pPr>
        <w:tabs>
          <w:tab w:val="left" w:pos="426"/>
        </w:tabs>
        <w:jc w:val="center"/>
        <w:rPr>
          <w:rFonts w:ascii="Times New Roman" w:hAnsi="Times New Roman" w:cs="Times New Roman"/>
          <w:b/>
          <w:sz w:val="24"/>
          <w:szCs w:val="24"/>
        </w:rPr>
      </w:pPr>
    </w:p>
    <w:p w14:paraId="21ACBFB2" w14:textId="1D278642" w:rsidR="005B0A9A" w:rsidRPr="005B0A9A" w:rsidRDefault="005B0A9A" w:rsidP="00981453">
      <w:pPr>
        <w:tabs>
          <w:tab w:val="left" w:pos="426"/>
        </w:tabs>
        <w:jc w:val="center"/>
        <w:rPr>
          <w:rFonts w:ascii="Times New Roman" w:hAnsi="Times New Roman" w:cs="Times New Roman"/>
          <w:b/>
          <w:sz w:val="24"/>
          <w:szCs w:val="24"/>
        </w:rPr>
      </w:pPr>
      <w:r w:rsidRPr="005B0A9A">
        <w:rPr>
          <w:rFonts w:ascii="Times New Roman" w:hAnsi="Times New Roman" w:cs="Times New Roman"/>
          <w:b/>
          <w:sz w:val="24"/>
          <w:szCs w:val="24"/>
        </w:rPr>
        <w:t>Abstract</w:t>
      </w:r>
    </w:p>
    <w:p w14:paraId="1654176C" w14:textId="1770929E" w:rsidR="00476FFD" w:rsidRDefault="005B0A9A" w:rsidP="00403CB1">
      <w:pPr>
        <w:tabs>
          <w:tab w:val="left" w:pos="426"/>
        </w:tabs>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Along with many other countries, New Zealand is experiencing a rapid rise in the population of older people, both in absolute terms and also as a percentage of the overall population. </w:t>
      </w:r>
      <w:r w:rsidR="00784AFD">
        <w:rPr>
          <w:rFonts w:ascii="Times New Roman" w:hAnsi="Times New Roman" w:cs="Times New Roman"/>
          <w:sz w:val="24"/>
          <w:szCs w:val="24"/>
        </w:rPr>
        <w:t>O</w:t>
      </w:r>
      <w:r>
        <w:rPr>
          <w:rFonts w:ascii="Times New Roman" w:hAnsi="Times New Roman" w:cs="Times New Roman"/>
          <w:sz w:val="24"/>
          <w:szCs w:val="24"/>
        </w:rPr>
        <w:t>lder people are increasingly likely to participate in formal employment beyond</w:t>
      </w:r>
      <w:r w:rsidR="00395012">
        <w:rPr>
          <w:rFonts w:ascii="Times New Roman" w:hAnsi="Times New Roman" w:cs="Times New Roman"/>
          <w:sz w:val="24"/>
          <w:szCs w:val="24"/>
        </w:rPr>
        <w:t xml:space="preserve"> the</w:t>
      </w:r>
      <w:r w:rsidR="006656CE">
        <w:rPr>
          <w:rFonts w:ascii="Times New Roman" w:hAnsi="Times New Roman" w:cs="Times New Roman"/>
          <w:sz w:val="24"/>
          <w:szCs w:val="24"/>
        </w:rPr>
        <w:t xml:space="preserve"> age of pension</w:t>
      </w:r>
      <w:r w:rsidR="00395012">
        <w:rPr>
          <w:rFonts w:ascii="Times New Roman" w:hAnsi="Times New Roman" w:cs="Times New Roman"/>
          <w:sz w:val="24"/>
          <w:szCs w:val="24"/>
        </w:rPr>
        <w:t xml:space="preserve"> eligibility (65</w:t>
      </w:r>
      <w:r w:rsidR="00784AFD">
        <w:rPr>
          <w:rFonts w:ascii="Times New Roman" w:hAnsi="Times New Roman" w:cs="Times New Roman"/>
          <w:sz w:val="24"/>
          <w:szCs w:val="24"/>
        </w:rPr>
        <w:t xml:space="preserve"> years</w:t>
      </w:r>
      <w:r w:rsidR="006656CE">
        <w:rPr>
          <w:rFonts w:ascii="Times New Roman" w:hAnsi="Times New Roman" w:cs="Times New Roman"/>
          <w:sz w:val="24"/>
          <w:szCs w:val="24"/>
        </w:rPr>
        <w:t xml:space="preserve"> in New Zealand</w:t>
      </w:r>
      <w:r w:rsidR="00395012">
        <w:rPr>
          <w:rFonts w:ascii="Times New Roman" w:hAnsi="Times New Roman" w:cs="Times New Roman"/>
          <w:sz w:val="24"/>
          <w:szCs w:val="24"/>
        </w:rPr>
        <w:t>)</w:t>
      </w:r>
      <w:r>
        <w:rPr>
          <w:rFonts w:ascii="Times New Roman" w:hAnsi="Times New Roman" w:cs="Times New Roman"/>
          <w:sz w:val="24"/>
          <w:szCs w:val="24"/>
        </w:rPr>
        <w:t xml:space="preserve">. </w:t>
      </w:r>
      <w:r w:rsidR="008C571B">
        <w:rPr>
          <w:rFonts w:ascii="Times New Roman" w:hAnsi="Times New Roman" w:cs="Times New Roman"/>
          <w:sz w:val="24"/>
          <w:szCs w:val="24"/>
        </w:rPr>
        <w:t>Earlier research has</w:t>
      </w:r>
      <w:r>
        <w:rPr>
          <w:rFonts w:ascii="Times New Roman" w:hAnsi="Times New Roman" w:cs="Times New Roman"/>
          <w:sz w:val="24"/>
          <w:szCs w:val="24"/>
        </w:rPr>
        <w:t xml:space="preserve"> show</w:t>
      </w:r>
      <w:r w:rsidR="006656CE">
        <w:rPr>
          <w:rFonts w:ascii="Times New Roman" w:hAnsi="Times New Roman" w:cs="Times New Roman"/>
          <w:sz w:val="24"/>
          <w:szCs w:val="24"/>
        </w:rPr>
        <w:t>ed</w:t>
      </w:r>
      <w:r>
        <w:rPr>
          <w:rFonts w:ascii="Times New Roman" w:hAnsi="Times New Roman" w:cs="Times New Roman"/>
          <w:sz w:val="24"/>
          <w:szCs w:val="24"/>
        </w:rPr>
        <w:t xml:space="preserve"> that working </w:t>
      </w:r>
      <w:r w:rsidR="00395012">
        <w:rPr>
          <w:rFonts w:ascii="Times New Roman" w:hAnsi="Times New Roman" w:cs="Times New Roman"/>
          <w:sz w:val="24"/>
          <w:szCs w:val="24"/>
        </w:rPr>
        <w:t xml:space="preserve">full-time </w:t>
      </w:r>
      <w:r>
        <w:rPr>
          <w:rFonts w:ascii="Times New Roman" w:hAnsi="Times New Roman" w:cs="Times New Roman"/>
          <w:sz w:val="24"/>
          <w:szCs w:val="24"/>
        </w:rPr>
        <w:t>reduces life satisfaction among New Zealanders</w:t>
      </w:r>
      <w:r w:rsidR="00395012">
        <w:rPr>
          <w:rFonts w:ascii="Times New Roman" w:hAnsi="Times New Roman" w:cs="Times New Roman"/>
          <w:sz w:val="24"/>
          <w:szCs w:val="24"/>
        </w:rPr>
        <w:t xml:space="preserve"> 65 </w:t>
      </w:r>
      <w:r w:rsidR="000D59EB">
        <w:rPr>
          <w:rFonts w:ascii="Times New Roman" w:hAnsi="Times New Roman" w:cs="Times New Roman"/>
          <w:sz w:val="24"/>
          <w:szCs w:val="24"/>
        </w:rPr>
        <w:t xml:space="preserve">years </w:t>
      </w:r>
      <w:r w:rsidR="00395012">
        <w:rPr>
          <w:rFonts w:ascii="Times New Roman" w:hAnsi="Times New Roman" w:cs="Times New Roman"/>
          <w:sz w:val="24"/>
          <w:szCs w:val="24"/>
        </w:rPr>
        <w:t>and older</w:t>
      </w:r>
      <w:r w:rsidR="00784AFD">
        <w:rPr>
          <w:rFonts w:ascii="Times New Roman" w:hAnsi="Times New Roman" w:cs="Times New Roman"/>
          <w:sz w:val="24"/>
          <w:szCs w:val="24"/>
        </w:rPr>
        <w:t>, and that t</w:t>
      </w:r>
      <w:r>
        <w:rPr>
          <w:rFonts w:ascii="Times New Roman" w:hAnsi="Times New Roman" w:cs="Times New Roman"/>
          <w:sz w:val="24"/>
          <w:szCs w:val="24"/>
        </w:rPr>
        <w:t xml:space="preserve">his relationship is robust to the inclusion of measures of job satisfaction </w:t>
      </w:r>
      <w:r w:rsidR="006656CE">
        <w:rPr>
          <w:rFonts w:ascii="Times New Roman" w:hAnsi="Times New Roman" w:cs="Times New Roman"/>
          <w:sz w:val="24"/>
          <w:szCs w:val="24"/>
        </w:rPr>
        <w:t>or</w:t>
      </w:r>
      <w:r>
        <w:rPr>
          <w:rFonts w:ascii="Times New Roman" w:hAnsi="Times New Roman" w:cs="Times New Roman"/>
          <w:sz w:val="24"/>
          <w:szCs w:val="24"/>
        </w:rPr>
        <w:t xml:space="preserve"> </w:t>
      </w:r>
      <w:r w:rsidR="006656CE">
        <w:rPr>
          <w:rFonts w:ascii="Times New Roman" w:hAnsi="Times New Roman" w:cs="Times New Roman"/>
          <w:sz w:val="24"/>
          <w:szCs w:val="24"/>
        </w:rPr>
        <w:t xml:space="preserve">the </w:t>
      </w:r>
      <w:r>
        <w:rPr>
          <w:rFonts w:ascii="Times New Roman" w:hAnsi="Times New Roman" w:cs="Times New Roman"/>
          <w:sz w:val="24"/>
          <w:szCs w:val="24"/>
        </w:rPr>
        <w:t>desire to work more or fewer hours. In this paper we investigate the relationship between labour force participation and life satisfaction among older New Zealanders, with specific focus on the mediating role of human capital in the relationship. We utilise d</w:t>
      </w:r>
      <w:r w:rsidRPr="00B02500">
        <w:rPr>
          <w:rFonts w:ascii="Times New Roman" w:hAnsi="Times New Roman" w:cs="Times New Roman"/>
          <w:sz w:val="24"/>
          <w:szCs w:val="24"/>
        </w:rPr>
        <w:t>ata from several waves of the</w:t>
      </w:r>
      <w:r>
        <w:rPr>
          <w:rFonts w:ascii="Times New Roman" w:hAnsi="Times New Roman" w:cs="Times New Roman"/>
          <w:sz w:val="24"/>
          <w:szCs w:val="24"/>
        </w:rPr>
        <w:t xml:space="preserve"> New Zealand</w:t>
      </w:r>
      <w:r w:rsidRPr="00B02500">
        <w:rPr>
          <w:rFonts w:ascii="Times New Roman" w:hAnsi="Times New Roman" w:cs="Times New Roman"/>
          <w:sz w:val="24"/>
          <w:szCs w:val="24"/>
        </w:rPr>
        <w:t xml:space="preserve"> General Social Survey</w:t>
      </w:r>
      <w:r w:rsidR="00C61853">
        <w:rPr>
          <w:rFonts w:ascii="Times New Roman" w:hAnsi="Times New Roman" w:cs="Times New Roman"/>
          <w:sz w:val="24"/>
          <w:szCs w:val="24"/>
        </w:rPr>
        <w:t xml:space="preserve"> (</w:t>
      </w:r>
      <w:r w:rsidR="00C61853" w:rsidRPr="00C61853">
        <w:rPr>
          <w:rFonts w:ascii="Times New Roman" w:hAnsi="Times New Roman" w:cs="Times New Roman"/>
          <w:i/>
          <w:sz w:val="24"/>
          <w:szCs w:val="24"/>
        </w:rPr>
        <w:t>n</w:t>
      </w:r>
      <w:r w:rsidR="00C61853">
        <w:rPr>
          <w:rFonts w:ascii="Times New Roman" w:hAnsi="Times New Roman" w:cs="Times New Roman"/>
          <w:sz w:val="24"/>
          <w:szCs w:val="24"/>
        </w:rPr>
        <w:t>=5856)</w:t>
      </w:r>
      <w:r>
        <w:rPr>
          <w:rFonts w:ascii="Times New Roman" w:hAnsi="Times New Roman" w:cs="Times New Roman"/>
          <w:sz w:val="24"/>
          <w:szCs w:val="24"/>
        </w:rPr>
        <w:t>, and account for the bias due to selection effects and endogeneity using instrumental variables analysis</w:t>
      </w:r>
      <w:r w:rsidR="006656CE">
        <w:rPr>
          <w:rFonts w:ascii="Times New Roman" w:hAnsi="Times New Roman" w:cs="Times New Roman"/>
          <w:sz w:val="24"/>
          <w:szCs w:val="24"/>
        </w:rPr>
        <w:t xml:space="preserve">, and control for mental and physical </w:t>
      </w:r>
      <w:r w:rsidR="006656CE" w:rsidRPr="0062039C">
        <w:rPr>
          <w:rFonts w:ascii="Times New Roman" w:hAnsi="Times New Roman" w:cs="Times New Roman"/>
          <w:sz w:val="24"/>
          <w:szCs w:val="24"/>
        </w:rPr>
        <w:t>health</w:t>
      </w:r>
      <w:r>
        <w:rPr>
          <w:rFonts w:ascii="Times New Roman" w:hAnsi="Times New Roman" w:cs="Times New Roman"/>
          <w:sz w:val="24"/>
          <w:szCs w:val="24"/>
        </w:rPr>
        <w:t>. Our identification strategy is to use gender</w:t>
      </w:r>
      <w:r w:rsidR="00784AFD">
        <w:rPr>
          <w:rFonts w:ascii="Times New Roman" w:hAnsi="Times New Roman" w:cs="Times New Roman"/>
          <w:sz w:val="24"/>
          <w:szCs w:val="24"/>
        </w:rPr>
        <w:t>, regional-level employment rates, and migration rates</w:t>
      </w:r>
      <w:r>
        <w:rPr>
          <w:rFonts w:ascii="Times New Roman" w:hAnsi="Times New Roman" w:cs="Times New Roman"/>
          <w:sz w:val="24"/>
          <w:szCs w:val="24"/>
        </w:rPr>
        <w:t xml:space="preserve"> as instrument</w:t>
      </w:r>
      <w:r w:rsidR="00784AFD">
        <w:rPr>
          <w:rFonts w:ascii="Times New Roman" w:hAnsi="Times New Roman" w:cs="Times New Roman"/>
          <w:sz w:val="24"/>
          <w:szCs w:val="24"/>
        </w:rPr>
        <w:t>s</w:t>
      </w:r>
      <w:r>
        <w:rPr>
          <w:rFonts w:ascii="Times New Roman" w:hAnsi="Times New Roman" w:cs="Times New Roman"/>
          <w:sz w:val="24"/>
          <w:szCs w:val="24"/>
        </w:rPr>
        <w:t xml:space="preserve"> for labour force status. </w:t>
      </w:r>
      <w:r w:rsidR="00911EF5">
        <w:rPr>
          <w:rFonts w:ascii="Times New Roman" w:hAnsi="Times New Roman" w:cs="Times New Roman"/>
          <w:sz w:val="24"/>
          <w:szCs w:val="24"/>
        </w:rPr>
        <w:t xml:space="preserve">Our results suggest that, </w:t>
      </w:r>
      <w:r>
        <w:rPr>
          <w:rFonts w:ascii="Times New Roman" w:hAnsi="Times New Roman" w:cs="Times New Roman"/>
          <w:sz w:val="24"/>
          <w:szCs w:val="24"/>
        </w:rPr>
        <w:t>should improving wellbeing for older people become a</w:t>
      </w:r>
      <w:r w:rsidR="00911EF5">
        <w:rPr>
          <w:rFonts w:ascii="Times New Roman" w:hAnsi="Times New Roman" w:cs="Times New Roman"/>
          <w:sz w:val="24"/>
          <w:szCs w:val="24"/>
        </w:rPr>
        <w:t>n explicit</w:t>
      </w:r>
      <w:r>
        <w:rPr>
          <w:rFonts w:ascii="Times New Roman" w:hAnsi="Times New Roman" w:cs="Times New Roman"/>
          <w:sz w:val="24"/>
          <w:szCs w:val="24"/>
        </w:rPr>
        <w:t xml:space="preserve"> government priority, investing in reducing the push factors for older people to remain in the</w:t>
      </w:r>
      <w:r w:rsidR="00784AFD">
        <w:rPr>
          <w:rFonts w:ascii="Times New Roman" w:hAnsi="Times New Roman" w:cs="Times New Roman"/>
          <w:sz w:val="24"/>
          <w:szCs w:val="24"/>
        </w:rPr>
        <w:t xml:space="preserve"> full-time employment</w:t>
      </w:r>
      <w:r>
        <w:rPr>
          <w:rFonts w:ascii="Times New Roman" w:hAnsi="Times New Roman" w:cs="Times New Roman"/>
          <w:sz w:val="24"/>
          <w:szCs w:val="24"/>
        </w:rPr>
        <w:t xml:space="preserve"> </w:t>
      </w:r>
      <w:r w:rsidR="006656CE">
        <w:rPr>
          <w:rFonts w:ascii="Times New Roman" w:hAnsi="Times New Roman" w:cs="Times New Roman"/>
          <w:sz w:val="24"/>
          <w:szCs w:val="24"/>
        </w:rPr>
        <w:t>may improve wellbeing</w:t>
      </w:r>
      <w:r>
        <w:rPr>
          <w:rFonts w:ascii="Times New Roman" w:hAnsi="Times New Roman" w:cs="Times New Roman"/>
          <w:sz w:val="24"/>
          <w:szCs w:val="24"/>
        </w:rPr>
        <w:t xml:space="preserve">. </w:t>
      </w:r>
    </w:p>
    <w:p w14:paraId="56152D4A" w14:textId="77777777" w:rsidR="00A66643" w:rsidRPr="0044181D" w:rsidRDefault="00A66643" w:rsidP="00403CB1">
      <w:pPr>
        <w:tabs>
          <w:tab w:val="left" w:pos="426"/>
        </w:tabs>
        <w:spacing w:after="0" w:line="300" w:lineRule="auto"/>
        <w:jc w:val="both"/>
        <w:rPr>
          <w:rFonts w:ascii="Times New Roman" w:hAnsi="Times New Roman" w:cs="Times New Roman"/>
          <w:sz w:val="24"/>
          <w:szCs w:val="24"/>
        </w:rPr>
      </w:pPr>
    </w:p>
    <w:p w14:paraId="4C8F7A81" w14:textId="4F1B7E12" w:rsidR="00D84EDF" w:rsidRDefault="00782352" w:rsidP="00981515">
      <w:pPr>
        <w:tabs>
          <w:tab w:val="left" w:pos="426"/>
        </w:tabs>
        <w:spacing w:after="100" w:line="240" w:lineRule="auto"/>
        <w:jc w:val="center"/>
      </w:pPr>
      <w:r w:rsidRPr="00784AFD">
        <w:rPr>
          <w:rFonts w:ascii="Times New Roman" w:hAnsi="Times New Roman" w:cs="Times New Roman"/>
          <w:b/>
          <w:sz w:val="24"/>
          <w:szCs w:val="24"/>
        </w:rPr>
        <w:t>Keywords</w:t>
      </w:r>
      <w:r w:rsidRPr="00784AFD">
        <w:t xml:space="preserve"> </w:t>
      </w:r>
    </w:p>
    <w:p w14:paraId="67C506F6" w14:textId="77777777" w:rsidR="00403CB1" w:rsidRDefault="00403CB1" w:rsidP="00403CB1">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labour force participation</w:t>
      </w:r>
    </w:p>
    <w:p w14:paraId="128AE6A2" w14:textId="77777777" w:rsidR="00403CB1" w:rsidRDefault="00403CB1" w:rsidP="00403CB1">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retirement</w:t>
      </w:r>
      <w:r w:rsidR="00782352" w:rsidRPr="00784AFD">
        <w:rPr>
          <w:rFonts w:ascii="Times New Roman" w:hAnsi="Times New Roman" w:cs="Times New Roman"/>
          <w:sz w:val="24"/>
          <w:szCs w:val="24"/>
        </w:rPr>
        <w:t xml:space="preserve"> </w:t>
      </w:r>
    </w:p>
    <w:p w14:paraId="28118213" w14:textId="77777777" w:rsidR="00403CB1" w:rsidRDefault="00403CB1" w:rsidP="00403CB1">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subjective wellbeing</w:t>
      </w:r>
      <w:r w:rsidR="00782352" w:rsidRPr="00784AFD">
        <w:rPr>
          <w:rFonts w:ascii="Times New Roman" w:hAnsi="Times New Roman" w:cs="Times New Roman"/>
          <w:sz w:val="24"/>
          <w:szCs w:val="24"/>
        </w:rPr>
        <w:t xml:space="preserve"> </w:t>
      </w:r>
    </w:p>
    <w:p w14:paraId="6301ED3A" w14:textId="77777777" w:rsidR="00403CB1" w:rsidRDefault="00403CB1" w:rsidP="00403CB1">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life satisfaction</w:t>
      </w:r>
      <w:r w:rsidR="00782352" w:rsidRPr="00784AFD">
        <w:rPr>
          <w:rFonts w:ascii="Times New Roman" w:hAnsi="Times New Roman" w:cs="Times New Roman"/>
          <w:sz w:val="24"/>
          <w:szCs w:val="24"/>
        </w:rPr>
        <w:t xml:space="preserve"> </w:t>
      </w:r>
    </w:p>
    <w:p w14:paraId="55ABCEAC" w14:textId="77777777" w:rsidR="00403CB1" w:rsidRDefault="00403CB1" w:rsidP="00403CB1">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human capital</w:t>
      </w:r>
      <w:r w:rsidR="00782352" w:rsidRPr="00784AFD">
        <w:rPr>
          <w:rFonts w:ascii="Times New Roman" w:hAnsi="Times New Roman" w:cs="Times New Roman"/>
          <w:sz w:val="24"/>
          <w:szCs w:val="24"/>
        </w:rPr>
        <w:t xml:space="preserve"> </w:t>
      </w:r>
    </w:p>
    <w:p w14:paraId="22E6A58C" w14:textId="3B2475B9" w:rsidR="00782352" w:rsidRDefault="00782352" w:rsidP="00403CB1">
      <w:pPr>
        <w:tabs>
          <w:tab w:val="left" w:pos="426"/>
        </w:tabs>
        <w:spacing w:after="0" w:line="240" w:lineRule="auto"/>
        <w:jc w:val="center"/>
        <w:rPr>
          <w:rFonts w:ascii="Times New Roman" w:hAnsi="Times New Roman" w:cs="Times New Roman"/>
          <w:sz w:val="24"/>
          <w:szCs w:val="24"/>
        </w:rPr>
      </w:pPr>
      <w:r w:rsidRPr="00784AFD">
        <w:rPr>
          <w:rFonts w:ascii="Times New Roman" w:hAnsi="Times New Roman" w:cs="Times New Roman"/>
          <w:sz w:val="24"/>
          <w:szCs w:val="24"/>
        </w:rPr>
        <w:t>New Zealand</w:t>
      </w:r>
    </w:p>
    <w:p w14:paraId="5A92DC55" w14:textId="77777777" w:rsidR="00403CB1" w:rsidRDefault="00403CB1" w:rsidP="00403CB1">
      <w:pPr>
        <w:tabs>
          <w:tab w:val="left" w:pos="426"/>
        </w:tabs>
        <w:spacing w:after="0" w:line="240" w:lineRule="auto"/>
        <w:jc w:val="center"/>
      </w:pPr>
    </w:p>
    <w:p w14:paraId="3C319B07" w14:textId="77777777" w:rsidR="00A66643" w:rsidRDefault="00A66643" w:rsidP="00403CB1">
      <w:pPr>
        <w:tabs>
          <w:tab w:val="left" w:pos="426"/>
        </w:tabs>
        <w:spacing w:after="0" w:line="240" w:lineRule="auto"/>
        <w:jc w:val="center"/>
      </w:pPr>
    </w:p>
    <w:p w14:paraId="08BA43FD" w14:textId="77777777" w:rsidR="00403CB1" w:rsidRDefault="00403CB1" w:rsidP="00981515">
      <w:pPr>
        <w:tabs>
          <w:tab w:val="left" w:pos="426"/>
        </w:tabs>
        <w:spacing w:after="100" w:line="240" w:lineRule="auto"/>
        <w:jc w:val="center"/>
        <w:rPr>
          <w:rFonts w:ascii="Times New Roman" w:hAnsi="Times New Roman" w:cs="Times New Roman"/>
          <w:b/>
          <w:sz w:val="24"/>
          <w:szCs w:val="24"/>
        </w:rPr>
      </w:pPr>
      <w:r>
        <w:rPr>
          <w:rFonts w:ascii="Times New Roman" w:hAnsi="Times New Roman" w:cs="Times New Roman"/>
          <w:b/>
          <w:sz w:val="24"/>
          <w:szCs w:val="24"/>
        </w:rPr>
        <w:t>JEL Codes</w:t>
      </w:r>
      <w:r w:rsidR="00782352" w:rsidRPr="00940723">
        <w:rPr>
          <w:rFonts w:ascii="Times New Roman" w:hAnsi="Times New Roman" w:cs="Times New Roman"/>
          <w:b/>
          <w:sz w:val="24"/>
          <w:szCs w:val="24"/>
        </w:rPr>
        <w:t xml:space="preserve"> </w:t>
      </w:r>
    </w:p>
    <w:p w14:paraId="2A7C095B" w14:textId="6CCF07DD" w:rsidR="00782352" w:rsidRDefault="00782352" w:rsidP="00403CB1">
      <w:pPr>
        <w:tabs>
          <w:tab w:val="left" w:pos="426"/>
        </w:tabs>
        <w:spacing w:after="0" w:line="240" w:lineRule="auto"/>
        <w:jc w:val="center"/>
        <w:rPr>
          <w:rFonts w:ascii="Times New Roman" w:hAnsi="Times New Roman" w:cs="Times New Roman"/>
          <w:sz w:val="24"/>
          <w:szCs w:val="24"/>
        </w:rPr>
      </w:pPr>
      <w:r w:rsidRPr="00940723">
        <w:rPr>
          <w:rFonts w:ascii="Times New Roman" w:hAnsi="Times New Roman" w:cs="Times New Roman"/>
          <w:sz w:val="24"/>
          <w:szCs w:val="24"/>
        </w:rPr>
        <w:t>I31, J14, J21, J24</w:t>
      </w:r>
    </w:p>
    <w:p w14:paraId="6CC06688" w14:textId="77777777" w:rsidR="00403CB1" w:rsidRDefault="00403CB1" w:rsidP="00403CB1">
      <w:pPr>
        <w:tabs>
          <w:tab w:val="left" w:pos="426"/>
        </w:tabs>
        <w:spacing w:after="0" w:line="240" w:lineRule="auto"/>
        <w:jc w:val="center"/>
        <w:rPr>
          <w:rFonts w:ascii="Times New Roman" w:hAnsi="Times New Roman" w:cs="Times New Roman"/>
          <w:sz w:val="24"/>
          <w:szCs w:val="24"/>
        </w:rPr>
      </w:pPr>
    </w:p>
    <w:p w14:paraId="2C2A621F" w14:textId="77777777" w:rsidR="00403CB1" w:rsidRPr="00940723" w:rsidRDefault="00403CB1" w:rsidP="00403CB1">
      <w:pPr>
        <w:tabs>
          <w:tab w:val="left" w:pos="426"/>
        </w:tabs>
        <w:spacing w:after="0" w:line="240" w:lineRule="auto"/>
        <w:jc w:val="center"/>
        <w:rPr>
          <w:rFonts w:ascii="Times New Roman" w:hAnsi="Times New Roman" w:cs="Times New Roman"/>
          <w:sz w:val="24"/>
          <w:szCs w:val="24"/>
        </w:rPr>
      </w:pPr>
    </w:p>
    <w:p w14:paraId="4C73AE59" w14:textId="77777777" w:rsidR="0044181D" w:rsidRPr="00981453" w:rsidRDefault="0044181D" w:rsidP="00981515">
      <w:pPr>
        <w:pStyle w:val="Heading2"/>
        <w:numPr>
          <w:ilvl w:val="0"/>
          <w:numId w:val="0"/>
        </w:numPr>
        <w:tabs>
          <w:tab w:val="left" w:pos="426"/>
        </w:tabs>
        <w:spacing w:before="0" w:after="100" w:line="240" w:lineRule="auto"/>
        <w:jc w:val="center"/>
        <w:rPr>
          <w:rFonts w:asciiTheme="majorBidi" w:hAnsiTheme="majorBidi"/>
          <w:color w:val="auto"/>
          <w:sz w:val="22"/>
          <w:szCs w:val="22"/>
        </w:rPr>
      </w:pPr>
      <w:r w:rsidRPr="00981453">
        <w:rPr>
          <w:rFonts w:asciiTheme="majorBidi" w:hAnsiTheme="majorBidi"/>
          <w:color w:val="auto"/>
          <w:sz w:val="22"/>
          <w:szCs w:val="22"/>
        </w:rPr>
        <w:t>Acknowledgements</w:t>
      </w:r>
    </w:p>
    <w:p w14:paraId="0CF46919" w14:textId="0699F3D7" w:rsidR="00981453" w:rsidRDefault="0044181D" w:rsidP="00981453">
      <w:pPr>
        <w:tabs>
          <w:tab w:val="left" w:pos="426"/>
        </w:tabs>
        <w:spacing w:after="0" w:line="240" w:lineRule="auto"/>
        <w:jc w:val="both"/>
        <w:rPr>
          <w:rFonts w:ascii="Times New Roman" w:hAnsi="Times New Roman" w:cs="Times New Roman"/>
        </w:rPr>
      </w:pPr>
      <w:r w:rsidRPr="00981453">
        <w:rPr>
          <w:rFonts w:ascii="Times New Roman" w:hAnsi="Times New Roman" w:cs="Times New Roman"/>
        </w:rPr>
        <w:t xml:space="preserve">This research was funded by the Ministry of Business, Innovation and Employment as part of the </w:t>
      </w:r>
      <w:r w:rsidRPr="00981453">
        <w:rPr>
          <w:rFonts w:ascii="Times New Roman" w:hAnsi="Times New Roman" w:cs="Times New Roman"/>
          <w:i/>
        </w:rPr>
        <w:t>Making Active Ageing a Reality</w:t>
      </w:r>
      <w:r w:rsidRPr="00981453">
        <w:rPr>
          <w:rFonts w:ascii="Times New Roman" w:hAnsi="Times New Roman" w:cs="Times New Roman"/>
        </w:rPr>
        <w:t xml:space="preserve"> project (Grant number UOWX0901). The authors are grateful to Statistics New Zealand for providing access to the NZGSS CURF data used in this paper, and to </w:t>
      </w:r>
      <w:proofErr w:type="spellStart"/>
      <w:r w:rsidRPr="00981453">
        <w:rPr>
          <w:rFonts w:ascii="Times New Roman" w:hAnsi="Times New Roman" w:cs="Times New Roman"/>
        </w:rPr>
        <w:t>Sialupapu</w:t>
      </w:r>
      <w:proofErr w:type="spellEnd"/>
      <w:r w:rsidRPr="00981453">
        <w:rPr>
          <w:rFonts w:ascii="Times New Roman" w:hAnsi="Times New Roman" w:cs="Times New Roman"/>
        </w:rPr>
        <w:t xml:space="preserve"> Siameja for research assistance. This paper benefited greatly from comments and suggestions from participants at the Human Capital and Aging workshop held at Harvard University in April 2015, and we are especially grateful to Mark McGovern, David Bloom, and Vincent </w:t>
      </w:r>
      <w:proofErr w:type="spellStart"/>
      <w:r w:rsidRPr="00981453">
        <w:rPr>
          <w:rFonts w:ascii="Times New Roman" w:hAnsi="Times New Roman" w:cs="Times New Roman"/>
        </w:rPr>
        <w:t>Vandenberghe</w:t>
      </w:r>
      <w:proofErr w:type="spellEnd"/>
      <w:r w:rsidRPr="00981453">
        <w:rPr>
          <w:rFonts w:ascii="Times New Roman" w:hAnsi="Times New Roman" w:cs="Times New Roman"/>
        </w:rPr>
        <w:t xml:space="preserve"> for their suggestions.</w:t>
      </w:r>
    </w:p>
    <w:p w14:paraId="5B2C20AC" w14:textId="77777777" w:rsidR="00981453" w:rsidRDefault="00981453" w:rsidP="00981453">
      <w:pPr>
        <w:tabs>
          <w:tab w:val="left" w:pos="426"/>
        </w:tabs>
        <w:rPr>
          <w:rFonts w:ascii="Times New Roman" w:hAnsi="Times New Roman" w:cs="Times New Roman"/>
        </w:rPr>
      </w:pPr>
      <w:r>
        <w:rPr>
          <w:rFonts w:ascii="Times New Roman" w:hAnsi="Times New Roman" w:cs="Times New Roman"/>
        </w:rPr>
        <w:br w:type="page"/>
      </w:r>
    </w:p>
    <w:p w14:paraId="4A0775B7" w14:textId="34616542" w:rsidR="007F42D6" w:rsidRDefault="007F42D6" w:rsidP="00981453">
      <w:pPr>
        <w:pStyle w:val="Heading2"/>
        <w:tabs>
          <w:tab w:val="left" w:pos="426"/>
        </w:tabs>
        <w:spacing w:before="0" w:line="288" w:lineRule="auto"/>
        <w:rPr>
          <w:rFonts w:asciiTheme="majorBidi" w:hAnsiTheme="majorBidi"/>
          <w:color w:val="auto"/>
          <w:sz w:val="24"/>
          <w:szCs w:val="24"/>
          <w:lang w:val="fr-FR"/>
        </w:rPr>
      </w:pPr>
      <w:r w:rsidRPr="00981453">
        <w:rPr>
          <w:rFonts w:asciiTheme="majorBidi" w:hAnsiTheme="majorBidi"/>
          <w:color w:val="auto"/>
          <w:sz w:val="24"/>
          <w:szCs w:val="24"/>
          <w:lang w:val="fr-FR"/>
        </w:rPr>
        <w:lastRenderedPageBreak/>
        <w:t>Introduction</w:t>
      </w:r>
    </w:p>
    <w:p w14:paraId="7196C273" w14:textId="77777777" w:rsidR="00981453" w:rsidRPr="00981453" w:rsidRDefault="00981453" w:rsidP="00981453">
      <w:pPr>
        <w:tabs>
          <w:tab w:val="left" w:pos="426"/>
        </w:tabs>
        <w:spacing w:after="0" w:line="288" w:lineRule="auto"/>
        <w:jc w:val="both"/>
        <w:rPr>
          <w:rFonts w:ascii="Times New Roman" w:hAnsi="Times New Roman" w:cs="Times New Roman"/>
          <w:sz w:val="12"/>
          <w:szCs w:val="12"/>
        </w:rPr>
      </w:pPr>
    </w:p>
    <w:p w14:paraId="1B3BDBC7" w14:textId="23380439" w:rsidR="009932FF" w:rsidRDefault="008C571B" w:rsidP="00350FA4">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Throughout the world, the number of older people as a proportion of the population is growing. </w:t>
      </w:r>
      <w:r w:rsidRPr="00C65CC5">
        <w:rPr>
          <w:rFonts w:ascii="Times New Roman" w:hAnsi="Times New Roman" w:cs="Times New Roman"/>
          <w:sz w:val="24"/>
          <w:szCs w:val="24"/>
        </w:rPr>
        <w:t>Globally, the number of persons aged 60</w:t>
      </w:r>
      <w:r>
        <w:rPr>
          <w:rFonts w:ascii="Times New Roman" w:hAnsi="Times New Roman" w:cs="Times New Roman"/>
          <w:sz w:val="24"/>
          <w:szCs w:val="24"/>
        </w:rPr>
        <w:t xml:space="preserve"> years</w:t>
      </w:r>
      <w:r w:rsidRPr="00C65CC5">
        <w:rPr>
          <w:rFonts w:ascii="Times New Roman" w:hAnsi="Times New Roman" w:cs="Times New Roman"/>
          <w:sz w:val="24"/>
          <w:szCs w:val="24"/>
        </w:rPr>
        <w:t xml:space="preserve"> or over is </w:t>
      </w:r>
      <w:r>
        <w:rPr>
          <w:rFonts w:ascii="Times New Roman" w:hAnsi="Times New Roman" w:cs="Times New Roman"/>
          <w:sz w:val="24"/>
          <w:szCs w:val="24"/>
        </w:rPr>
        <w:t>projected</w:t>
      </w:r>
      <w:r w:rsidRPr="00C65CC5">
        <w:rPr>
          <w:rFonts w:ascii="Times New Roman" w:hAnsi="Times New Roman" w:cs="Times New Roman"/>
          <w:sz w:val="24"/>
          <w:szCs w:val="24"/>
        </w:rPr>
        <w:t xml:space="preserve"> to increas</w:t>
      </w:r>
      <w:r>
        <w:rPr>
          <w:rFonts w:ascii="Times New Roman" w:hAnsi="Times New Roman" w:cs="Times New Roman"/>
          <w:sz w:val="24"/>
          <w:szCs w:val="24"/>
        </w:rPr>
        <w:t>e</w:t>
      </w:r>
      <w:r w:rsidRPr="00C65CC5">
        <w:rPr>
          <w:rFonts w:ascii="Times New Roman" w:hAnsi="Times New Roman" w:cs="Times New Roman"/>
          <w:sz w:val="24"/>
          <w:szCs w:val="24"/>
        </w:rPr>
        <w:t xml:space="preserve"> from 841 million in 2013 to 2 billion in 2050</w:t>
      </w:r>
      <w:r w:rsidR="0025401E">
        <w:rPr>
          <w:rFonts w:ascii="Times New Roman" w:hAnsi="Times New Roman" w:cs="Times New Roman"/>
          <w:sz w:val="24"/>
          <w:szCs w:val="24"/>
        </w:rPr>
        <w:t xml:space="preserve"> (United Nations</w:t>
      </w:r>
      <w:r>
        <w:rPr>
          <w:rFonts w:ascii="Times New Roman" w:hAnsi="Times New Roman" w:cs="Times New Roman"/>
          <w:sz w:val="24"/>
          <w:szCs w:val="24"/>
        </w:rPr>
        <w:t xml:space="preserve"> 2013). This ageing trend is unprecedented, and is most significant in China and in many developed countries such as New Zealand.</w:t>
      </w:r>
      <w:r w:rsidRPr="00C65CC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07890">
        <w:rPr>
          <w:rFonts w:ascii="Times New Roman" w:hAnsi="Times New Roman" w:cs="Times New Roman"/>
          <w:sz w:val="24"/>
          <w:szCs w:val="24"/>
        </w:rPr>
        <w:t xml:space="preserve">number of New Zealanders aged 65 years and over </w:t>
      </w:r>
      <w:r w:rsidR="003928D1">
        <w:rPr>
          <w:rFonts w:ascii="Times New Roman" w:hAnsi="Times New Roman" w:cs="Times New Roman"/>
          <w:sz w:val="24"/>
          <w:szCs w:val="24"/>
        </w:rPr>
        <w:t xml:space="preserve">is </w:t>
      </w:r>
      <w:r w:rsidRPr="00707890">
        <w:rPr>
          <w:rFonts w:ascii="Times New Roman" w:hAnsi="Times New Roman" w:cs="Times New Roman"/>
          <w:sz w:val="24"/>
          <w:szCs w:val="24"/>
        </w:rPr>
        <w:t xml:space="preserve">projected to increase from 650,000 in 2014 to 1.17 million in 2033 and to nearly 1.7 million in 2068 </w:t>
      </w:r>
      <w:r w:rsidRPr="00D72C11">
        <w:rPr>
          <w:rFonts w:ascii="Times New Roman" w:hAnsi="Times New Roman" w:cs="Times New Roman"/>
          <w:sz w:val="24"/>
          <w:szCs w:val="24"/>
        </w:rPr>
        <w:t>(Statistics New Zealand, 2014).</w:t>
      </w:r>
      <w:r>
        <w:rPr>
          <w:rFonts w:ascii="Times New Roman" w:hAnsi="Times New Roman" w:cs="Times New Roman"/>
          <w:sz w:val="24"/>
          <w:szCs w:val="24"/>
        </w:rPr>
        <w:t xml:space="preserve"> </w:t>
      </w:r>
      <w:r w:rsidRPr="00707890">
        <w:rPr>
          <w:rFonts w:ascii="Times New Roman" w:hAnsi="Times New Roman" w:cs="Times New Roman"/>
          <w:sz w:val="24"/>
          <w:szCs w:val="24"/>
        </w:rPr>
        <w:t>Importantly, the ratio of those aged 15-64 years to those aged 65 years and over is projected to decrease from 4.5 (younger people per person aged 65 years and over) in 2014 to 2.7 in 2033 and to 2.1 in 2068</w:t>
      </w:r>
      <w:r w:rsidR="00A41126">
        <w:rPr>
          <w:rFonts w:ascii="Times New Roman" w:hAnsi="Times New Roman" w:cs="Times New Roman"/>
          <w:sz w:val="24"/>
          <w:szCs w:val="24"/>
        </w:rPr>
        <w:t>. S</w:t>
      </w:r>
      <w:r>
        <w:rPr>
          <w:rFonts w:ascii="Times New Roman" w:hAnsi="Times New Roman" w:cs="Times New Roman"/>
          <w:sz w:val="24"/>
          <w:szCs w:val="24"/>
        </w:rPr>
        <w:t xml:space="preserve">tructural ageing represents a dramatic demographic shift that will also result in a </w:t>
      </w:r>
      <w:r w:rsidRPr="00D72C11">
        <w:rPr>
          <w:rFonts w:ascii="Times New Roman" w:hAnsi="Times New Roman" w:cs="Times New Roman"/>
          <w:sz w:val="24"/>
          <w:szCs w:val="24"/>
        </w:rPr>
        <w:t xml:space="preserve">substantial ageing of the labour force (Cochrane </w:t>
      </w:r>
      <w:r w:rsidR="000A010D">
        <w:rPr>
          <w:rFonts w:ascii="Times New Roman" w:hAnsi="Times New Roman" w:cs="Times New Roman"/>
          <w:sz w:val="24"/>
          <w:szCs w:val="24"/>
        </w:rPr>
        <w:t>and</w:t>
      </w:r>
      <w:r w:rsidR="00350FA4" w:rsidRPr="00D72C11">
        <w:rPr>
          <w:rFonts w:ascii="Times New Roman" w:hAnsi="Times New Roman" w:cs="Times New Roman"/>
          <w:sz w:val="24"/>
          <w:szCs w:val="24"/>
        </w:rPr>
        <w:t xml:space="preserve"> </w:t>
      </w:r>
      <w:r w:rsidRPr="00D72C11">
        <w:rPr>
          <w:rFonts w:ascii="Times New Roman" w:hAnsi="Times New Roman" w:cs="Times New Roman"/>
          <w:sz w:val="24"/>
          <w:szCs w:val="24"/>
        </w:rPr>
        <w:t>Came</w:t>
      </w:r>
      <w:r w:rsidR="0025401E">
        <w:rPr>
          <w:rFonts w:ascii="Times New Roman" w:hAnsi="Times New Roman" w:cs="Times New Roman"/>
          <w:sz w:val="24"/>
          <w:szCs w:val="24"/>
        </w:rPr>
        <w:t>ron</w:t>
      </w:r>
      <w:r w:rsidR="000A010D">
        <w:rPr>
          <w:rFonts w:ascii="Times New Roman" w:hAnsi="Times New Roman" w:cs="Times New Roman"/>
          <w:sz w:val="24"/>
          <w:szCs w:val="24"/>
        </w:rPr>
        <w:t xml:space="preserve"> </w:t>
      </w:r>
      <w:r w:rsidRPr="00D72C11">
        <w:rPr>
          <w:rFonts w:ascii="Times New Roman" w:hAnsi="Times New Roman" w:cs="Times New Roman"/>
          <w:sz w:val="24"/>
          <w:szCs w:val="24"/>
        </w:rPr>
        <w:t xml:space="preserve">2014). </w:t>
      </w:r>
      <w:r>
        <w:rPr>
          <w:rFonts w:ascii="Times New Roman" w:hAnsi="Times New Roman" w:cs="Times New Roman"/>
          <w:sz w:val="24"/>
          <w:szCs w:val="24"/>
        </w:rPr>
        <w:t>T</w:t>
      </w:r>
      <w:r w:rsidRPr="00D72C11">
        <w:rPr>
          <w:rFonts w:ascii="Times New Roman" w:hAnsi="Times New Roman" w:cs="Times New Roman"/>
          <w:sz w:val="24"/>
          <w:szCs w:val="24"/>
        </w:rPr>
        <w:t>he</w:t>
      </w:r>
      <w:r>
        <w:rPr>
          <w:rFonts w:ascii="Times New Roman" w:hAnsi="Times New Roman" w:cs="Times New Roman"/>
          <w:sz w:val="24"/>
          <w:szCs w:val="24"/>
        </w:rPr>
        <w:t xml:space="preserve"> ageing of the labour force is further reinforced by the fact that New Zealanders are living longer and doing so in a healthier physical and mental state. Many older people continue working </w:t>
      </w:r>
      <w:r w:rsidR="00A41126">
        <w:rPr>
          <w:rFonts w:ascii="Times New Roman" w:hAnsi="Times New Roman" w:cs="Times New Roman"/>
          <w:sz w:val="24"/>
          <w:szCs w:val="24"/>
        </w:rPr>
        <w:t>at</w:t>
      </w:r>
      <w:r>
        <w:rPr>
          <w:rFonts w:ascii="Times New Roman" w:hAnsi="Times New Roman" w:cs="Times New Roman"/>
          <w:sz w:val="24"/>
          <w:szCs w:val="24"/>
        </w:rPr>
        <w:t xml:space="preserve"> older ages rather than retiring at the age of entitlement for universal New Zealand Superannuation (NZS), currently 65 years</w:t>
      </w:r>
      <w:r w:rsidR="007F42D6">
        <w:rPr>
          <w:rFonts w:ascii="Times New Roman" w:hAnsi="Times New Roman" w:cs="Times New Roman"/>
          <w:sz w:val="24"/>
          <w:szCs w:val="24"/>
        </w:rPr>
        <w:t>.</w:t>
      </w:r>
      <w:r w:rsidR="007F42D6">
        <w:rPr>
          <w:rStyle w:val="FootnoteReference"/>
          <w:rFonts w:ascii="Times New Roman" w:hAnsi="Times New Roman" w:cs="Times New Roman"/>
          <w:sz w:val="24"/>
          <w:szCs w:val="24"/>
        </w:rPr>
        <w:footnoteReference w:id="1"/>
      </w:r>
    </w:p>
    <w:p w14:paraId="5939BE4E"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3FAE99CF" w14:textId="0C0AAF61" w:rsidR="00981453" w:rsidRDefault="0098145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F42D6">
        <w:rPr>
          <w:rFonts w:ascii="Times New Roman" w:hAnsi="Times New Roman" w:cs="Times New Roman"/>
          <w:sz w:val="24"/>
          <w:szCs w:val="24"/>
        </w:rPr>
        <w:t xml:space="preserve">Labour force participation rates among older people </w:t>
      </w:r>
      <w:r w:rsidR="009932FF">
        <w:rPr>
          <w:rFonts w:ascii="Times New Roman" w:hAnsi="Times New Roman" w:cs="Times New Roman"/>
          <w:sz w:val="24"/>
          <w:szCs w:val="24"/>
        </w:rPr>
        <w:t xml:space="preserve">have </w:t>
      </w:r>
      <w:r w:rsidR="007F42D6" w:rsidRPr="005A59D9">
        <w:rPr>
          <w:rFonts w:ascii="Times New Roman" w:hAnsi="Times New Roman" w:cs="Times New Roman"/>
          <w:sz w:val="24"/>
          <w:szCs w:val="24"/>
        </w:rPr>
        <w:t xml:space="preserve">increased substantially over </w:t>
      </w:r>
      <w:r w:rsidR="009932FF">
        <w:rPr>
          <w:rFonts w:ascii="Times New Roman" w:hAnsi="Times New Roman" w:cs="Times New Roman"/>
          <w:sz w:val="24"/>
          <w:szCs w:val="24"/>
        </w:rPr>
        <w:t>the period from 1991 to 2013 (see Figure 1)</w:t>
      </w:r>
      <w:r w:rsidR="007F42D6">
        <w:rPr>
          <w:rFonts w:ascii="Times New Roman" w:hAnsi="Times New Roman" w:cs="Times New Roman"/>
          <w:sz w:val="24"/>
          <w:szCs w:val="24"/>
        </w:rPr>
        <w:t xml:space="preserve">, both in total (from 5.8% to 22.5% among those aged 65 years and over; and from 21.5% to 46.3% among those aged 55 years and over) and </w:t>
      </w:r>
      <w:r w:rsidR="00B47E3E">
        <w:rPr>
          <w:rFonts w:ascii="Times New Roman" w:hAnsi="Times New Roman" w:cs="Times New Roman"/>
          <w:sz w:val="24"/>
          <w:szCs w:val="24"/>
        </w:rPr>
        <w:t>within</w:t>
      </w:r>
      <w:r w:rsidR="007F42D6">
        <w:rPr>
          <w:rFonts w:ascii="Times New Roman" w:hAnsi="Times New Roman" w:cs="Times New Roman"/>
          <w:sz w:val="24"/>
          <w:szCs w:val="24"/>
        </w:rPr>
        <w:t xml:space="preserve"> every </w:t>
      </w:r>
      <w:r w:rsidR="00B47E3E">
        <w:rPr>
          <w:rFonts w:ascii="Times New Roman" w:hAnsi="Times New Roman" w:cs="Times New Roman"/>
          <w:sz w:val="24"/>
          <w:szCs w:val="24"/>
        </w:rPr>
        <w:t xml:space="preserve">five-year </w:t>
      </w:r>
      <w:r w:rsidR="007F42D6">
        <w:rPr>
          <w:rFonts w:ascii="Times New Roman" w:hAnsi="Times New Roman" w:cs="Times New Roman"/>
          <w:sz w:val="24"/>
          <w:szCs w:val="24"/>
        </w:rPr>
        <w:t xml:space="preserve">age </w:t>
      </w:r>
      <w:r w:rsidR="009932FF">
        <w:rPr>
          <w:rFonts w:ascii="Times New Roman" w:hAnsi="Times New Roman" w:cs="Times New Roman"/>
          <w:sz w:val="24"/>
          <w:szCs w:val="24"/>
        </w:rPr>
        <w:t>cohort for those aged 55 years and over</w:t>
      </w:r>
      <w:r w:rsidR="007F42D6" w:rsidRPr="005A59D9">
        <w:rPr>
          <w:rFonts w:ascii="Times New Roman" w:hAnsi="Times New Roman" w:cs="Times New Roman"/>
          <w:sz w:val="24"/>
          <w:szCs w:val="24"/>
        </w:rPr>
        <w:t>.</w:t>
      </w:r>
      <w:r w:rsidR="007F42D6">
        <w:rPr>
          <w:rFonts w:ascii="Times New Roman" w:hAnsi="Times New Roman" w:cs="Times New Roman"/>
          <w:sz w:val="24"/>
          <w:szCs w:val="24"/>
        </w:rPr>
        <w:t xml:space="preserve"> These trends are not unique to New Zealand, with Australia and its states following similar trajectories t</w:t>
      </w:r>
      <w:r w:rsidR="0025401E">
        <w:rPr>
          <w:rFonts w:ascii="Times New Roman" w:hAnsi="Times New Roman" w:cs="Times New Roman"/>
          <w:sz w:val="24"/>
          <w:szCs w:val="24"/>
        </w:rPr>
        <w:t>o New Zealand over time (Temple</w:t>
      </w:r>
      <w:r w:rsidR="000B7307">
        <w:rPr>
          <w:rFonts w:ascii="Times New Roman" w:hAnsi="Times New Roman" w:cs="Times New Roman"/>
          <w:sz w:val="24"/>
          <w:szCs w:val="24"/>
        </w:rPr>
        <w:t>,</w:t>
      </w:r>
      <w:r w:rsidR="007F42D6">
        <w:rPr>
          <w:rFonts w:ascii="Times New Roman" w:hAnsi="Times New Roman" w:cs="Times New Roman"/>
          <w:sz w:val="24"/>
          <w:szCs w:val="24"/>
        </w:rPr>
        <w:t xml:space="preserve"> 2014). </w:t>
      </w:r>
    </w:p>
    <w:p w14:paraId="083816EF"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626B2327" w14:textId="3E8BB9A6" w:rsidR="007F42D6" w:rsidRDefault="00981453" w:rsidP="003A4B1D">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F42D6">
        <w:rPr>
          <w:rFonts w:ascii="Times New Roman" w:hAnsi="Times New Roman" w:cs="Times New Roman"/>
          <w:sz w:val="24"/>
          <w:szCs w:val="24"/>
        </w:rPr>
        <w:t>Cameron (2014) explores the characteristics</w:t>
      </w:r>
      <w:r w:rsidR="009932FF">
        <w:rPr>
          <w:rFonts w:ascii="Times New Roman" w:hAnsi="Times New Roman" w:cs="Times New Roman"/>
          <w:sz w:val="24"/>
          <w:szCs w:val="24"/>
        </w:rPr>
        <w:t xml:space="preserve"> of</w:t>
      </w:r>
      <w:r w:rsidR="007F42D6">
        <w:rPr>
          <w:rFonts w:ascii="Times New Roman" w:hAnsi="Times New Roman" w:cs="Times New Roman"/>
          <w:sz w:val="24"/>
          <w:szCs w:val="24"/>
        </w:rPr>
        <w:t xml:space="preserve"> and trends in labour force participation among olde</w:t>
      </w:r>
      <w:r w:rsidR="009932FF">
        <w:rPr>
          <w:rFonts w:ascii="Times New Roman" w:hAnsi="Times New Roman" w:cs="Times New Roman"/>
          <w:sz w:val="24"/>
          <w:szCs w:val="24"/>
        </w:rPr>
        <w:t xml:space="preserve">r New Zealanders in more detail. </w:t>
      </w:r>
      <w:r w:rsidR="00AE3159">
        <w:rPr>
          <w:rFonts w:ascii="Times New Roman" w:hAnsi="Times New Roman" w:cs="Times New Roman"/>
          <w:sz w:val="24"/>
          <w:szCs w:val="24"/>
        </w:rPr>
        <w:t>His</w:t>
      </w:r>
      <w:r w:rsidR="00E96E0A">
        <w:rPr>
          <w:rFonts w:ascii="Times New Roman" w:hAnsi="Times New Roman" w:cs="Times New Roman"/>
          <w:sz w:val="24"/>
          <w:szCs w:val="24"/>
        </w:rPr>
        <w:t xml:space="preserve"> paper </w:t>
      </w:r>
      <w:r w:rsidR="009932FF">
        <w:rPr>
          <w:rFonts w:ascii="Times New Roman" w:hAnsi="Times New Roman" w:cs="Times New Roman"/>
          <w:sz w:val="24"/>
          <w:szCs w:val="24"/>
        </w:rPr>
        <w:t>shows</w:t>
      </w:r>
      <w:r w:rsidR="007F42D6">
        <w:rPr>
          <w:rFonts w:ascii="Times New Roman" w:hAnsi="Times New Roman" w:cs="Times New Roman"/>
          <w:sz w:val="24"/>
          <w:szCs w:val="24"/>
        </w:rPr>
        <w:t xml:space="preserve"> that there has been a substantial increase in the</w:t>
      </w:r>
      <w:r w:rsidR="009932FF">
        <w:rPr>
          <w:rFonts w:ascii="Times New Roman" w:hAnsi="Times New Roman" w:cs="Times New Roman"/>
          <w:sz w:val="24"/>
          <w:szCs w:val="24"/>
        </w:rPr>
        <w:t xml:space="preserve"> size of the</w:t>
      </w:r>
      <w:r w:rsidR="007F42D6">
        <w:rPr>
          <w:rFonts w:ascii="Times New Roman" w:hAnsi="Times New Roman" w:cs="Times New Roman"/>
          <w:sz w:val="24"/>
          <w:szCs w:val="24"/>
        </w:rPr>
        <w:t xml:space="preserve"> older labour force, and that older people are increasingly choosing part-time rather than full-time employment, presumably </w:t>
      </w:r>
      <w:r w:rsidR="00BF7620">
        <w:rPr>
          <w:rFonts w:ascii="Times New Roman" w:hAnsi="Times New Roman" w:cs="Times New Roman"/>
          <w:sz w:val="24"/>
          <w:szCs w:val="24"/>
        </w:rPr>
        <w:t>because</w:t>
      </w:r>
      <w:r w:rsidR="009932FF">
        <w:rPr>
          <w:rFonts w:ascii="Times New Roman" w:hAnsi="Times New Roman" w:cs="Times New Roman"/>
          <w:sz w:val="24"/>
          <w:szCs w:val="24"/>
        </w:rPr>
        <w:t xml:space="preserve"> </w:t>
      </w:r>
      <w:proofErr w:type="gramStart"/>
      <w:r w:rsidR="00A41126">
        <w:rPr>
          <w:rFonts w:ascii="Times New Roman" w:hAnsi="Times New Roman" w:cs="Times New Roman"/>
          <w:sz w:val="24"/>
          <w:szCs w:val="24"/>
        </w:rPr>
        <w:t xml:space="preserve">more </w:t>
      </w:r>
      <w:r w:rsidR="007F42D6">
        <w:rPr>
          <w:rFonts w:ascii="Times New Roman" w:hAnsi="Times New Roman" w:cs="Times New Roman"/>
          <w:sz w:val="24"/>
          <w:szCs w:val="24"/>
        </w:rPr>
        <w:t>older</w:t>
      </w:r>
      <w:proofErr w:type="gramEnd"/>
      <w:r w:rsidR="007F42D6">
        <w:rPr>
          <w:rFonts w:ascii="Times New Roman" w:hAnsi="Times New Roman" w:cs="Times New Roman"/>
          <w:sz w:val="24"/>
          <w:szCs w:val="24"/>
        </w:rPr>
        <w:t xml:space="preserve"> people choose to delay </w:t>
      </w:r>
      <w:r w:rsidR="009932FF">
        <w:rPr>
          <w:rFonts w:ascii="Times New Roman" w:hAnsi="Times New Roman" w:cs="Times New Roman"/>
          <w:sz w:val="24"/>
          <w:szCs w:val="24"/>
        </w:rPr>
        <w:t xml:space="preserve">full </w:t>
      </w:r>
      <w:r w:rsidR="007F42D6">
        <w:rPr>
          <w:rFonts w:ascii="Times New Roman" w:hAnsi="Times New Roman" w:cs="Times New Roman"/>
          <w:sz w:val="24"/>
          <w:szCs w:val="24"/>
        </w:rPr>
        <w:t>retirement</w:t>
      </w:r>
      <w:r w:rsidR="009932FF">
        <w:rPr>
          <w:rFonts w:ascii="Times New Roman" w:hAnsi="Times New Roman" w:cs="Times New Roman"/>
          <w:sz w:val="24"/>
          <w:szCs w:val="24"/>
        </w:rPr>
        <w:t xml:space="preserve"> or engage in</w:t>
      </w:r>
      <w:r w:rsidR="007F42D6">
        <w:rPr>
          <w:rFonts w:ascii="Times New Roman" w:hAnsi="Times New Roman" w:cs="Times New Roman"/>
          <w:sz w:val="24"/>
          <w:szCs w:val="24"/>
        </w:rPr>
        <w:t xml:space="preserve"> bridge employment</w:t>
      </w:r>
      <w:r w:rsidR="0025401E">
        <w:rPr>
          <w:rFonts w:ascii="Times New Roman" w:hAnsi="Times New Roman" w:cs="Times New Roman"/>
          <w:sz w:val="24"/>
          <w:szCs w:val="24"/>
        </w:rPr>
        <w:t xml:space="preserve"> (Cahill</w:t>
      </w:r>
      <w:r w:rsidR="008F2DC7">
        <w:rPr>
          <w:rFonts w:ascii="Times New Roman" w:hAnsi="Times New Roman" w:cs="Times New Roman"/>
          <w:sz w:val="24"/>
          <w:szCs w:val="24"/>
        </w:rPr>
        <w:t xml:space="preserve">, </w:t>
      </w:r>
      <w:proofErr w:type="spellStart"/>
      <w:r w:rsidR="008F2DC7">
        <w:rPr>
          <w:rFonts w:ascii="Times New Roman" w:hAnsi="Times New Roman" w:cs="Times New Roman"/>
          <w:sz w:val="24"/>
          <w:szCs w:val="24"/>
        </w:rPr>
        <w:t>Giandrea</w:t>
      </w:r>
      <w:proofErr w:type="spellEnd"/>
      <w:r w:rsidR="003A4B1D">
        <w:rPr>
          <w:rFonts w:ascii="Times New Roman" w:hAnsi="Times New Roman" w:cs="Times New Roman"/>
          <w:sz w:val="24"/>
          <w:szCs w:val="24"/>
        </w:rPr>
        <w:t xml:space="preserve">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Quinn</w:t>
      </w:r>
      <w:r w:rsidR="0025401E">
        <w:rPr>
          <w:rFonts w:ascii="Times New Roman" w:hAnsi="Times New Roman" w:cs="Times New Roman"/>
          <w:sz w:val="24"/>
          <w:szCs w:val="24"/>
        </w:rPr>
        <w:t xml:space="preserve"> 2005</w:t>
      </w:r>
      <w:r w:rsidR="008F2DC7">
        <w:rPr>
          <w:rFonts w:ascii="Times New Roman" w:hAnsi="Times New Roman" w:cs="Times New Roman"/>
          <w:sz w:val="24"/>
          <w:szCs w:val="24"/>
        </w:rPr>
        <w:t>,</w:t>
      </w:r>
      <w:r w:rsidR="0025401E">
        <w:rPr>
          <w:rFonts w:ascii="Times New Roman" w:hAnsi="Times New Roman" w:cs="Times New Roman"/>
          <w:sz w:val="24"/>
          <w:szCs w:val="24"/>
        </w:rPr>
        <w:t xml:space="preserve"> Statistics New Zealand</w:t>
      </w:r>
      <w:r w:rsidR="007F42D6">
        <w:rPr>
          <w:rFonts w:ascii="Times New Roman" w:hAnsi="Times New Roman" w:cs="Times New Roman"/>
          <w:sz w:val="24"/>
          <w:szCs w:val="24"/>
        </w:rPr>
        <w:t xml:space="preserve"> 2008). </w:t>
      </w:r>
      <w:r w:rsidR="00B47E3E">
        <w:rPr>
          <w:rFonts w:ascii="Times New Roman" w:hAnsi="Times New Roman" w:cs="Times New Roman"/>
          <w:sz w:val="24"/>
          <w:szCs w:val="24"/>
        </w:rPr>
        <w:t>Cameron (2014)</w:t>
      </w:r>
      <w:r w:rsidR="007F42D6">
        <w:rPr>
          <w:rFonts w:ascii="Times New Roman" w:hAnsi="Times New Roman" w:cs="Times New Roman"/>
          <w:sz w:val="24"/>
          <w:szCs w:val="24"/>
        </w:rPr>
        <w:t xml:space="preserve"> also shows that the trend of increasing labour force participation over time is </w:t>
      </w:r>
      <w:r w:rsidR="009932FF">
        <w:rPr>
          <w:rFonts w:ascii="Times New Roman" w:hAnsi="Times New Roman" w:cs="Times New Roman"/>
          <w:sz w:val="24"/>
          <w:szCs w:val="24"/>
        </w:rPr>
        <w:t xml:space="preserve">predominantly </w:t>
      </w:r>
      <w:r w:rsidR="007F42D6">
        <w:rPr>
          <w:rFonts w:ascii="Times New Roman" w:hAnsi="Times New Roman" w:cs="Times New Roman"/>
          <w:sz w:val="24"/>
          <w:szCs w:val="24"/>
        </w:rPr>
        <w:t>a cohort effect</w:t>
      </w:r>
      <w:r w:rsidR="009932FF">
        <w:rPr>
          <w:rFonts w:ascii="Times New Roman" w:hAnsi="Times New Roman" w:cs="Times New Roman"/>
          <w:sz w:val="24"/>
          <w:szCs w:val="24"/>
        </w:rPr>
        <w:t xml:space="preserve"> – more </w:t>
      </w:r>
      <w:r w:rsidR="007F42D6">
        <w:rPr>
          <w:rFonts w:ascii="Times New Roman" w:hAnsi="Times New Roman" w:cs="Times New Roman"/>
          <w:sz w:val="24"/>
          <w:szCs w:val="24"/>
        </w:rPr>
        <w:t>recent cohorts have reached older ages with higher levels of labour force participation than previous cohorts</w:t>
      </w:r>
      <w:r w:rsidR="009932FF">
        <w:rPr>
          <w:rFonts w:ascii="Times New Roman" w:hAnsi="Times New Roman" w:cs="Times New Roman"/>
          <w:sz w:val="24"/>
          <w:szCs w:val="24"/>
        </w:rPr>
        <w:t>. However</w:t>
      </w:r>
      <w:r w:rsidR="007F42D6">
        <w:rPr>
          <w:rFonts w:ascii="Times New Roman" w:hAnsi="Times New Roman" w:cs="Times New Roman"/>
          <w:sz w:val="24"/>
          <w:szCs w:val="24"/>
        </w:rPr>
        <w:t xml:space="preserve">, changes in part-time/full-time employment status </w:t>
      </w:r>
      <w:r w:rsidR="009932FF">
        <w:rPr>
          <w:rFonts w:ascii="Times New Roman" w:hAnsi="Times New Roman" w:cs="Times New Roman"/>
          <w:sz w:val="24"/>
          <w:szCs w:val="24"/>
        </w:rPr>
        <w:t>are not predominantly cohort effects</w:t>
      </w:r>
      <w:r w:rsidR="007F42D6">
        <w:rPr>
          <w:rFonts w:ascii="Times New Roman" w:hAnsi="Times New Roman" w:cs="Times New Roman"/>
          <w:sz w:val="24"/>
          <w:szCs w:val="24"/>
        </w:rPr>
        <w:t>.</w:t>
      </w:r>
    </w:p>
    <w:p w14:paraId="43308268" w14:textId="77777777" w:rsidR="009932FF" w:rsidRDefault="009932FF" w:rsidP="00981453">
      <w:pPr>
        <w:tabs>
          <w:tab w:val="left" w:pos="426"/>
        </w:tabs>
        <w:spacing w:after="0" w:line="288" w:lineRule="auto"/>
        <w:jc w:val="both"/>
        <w:rPr>
          <w:rFonts w:ascii="Times New Roman" w:hAnsi="Times New Roman" w:cs="Times New Roman"/>
          <w:i/>
          <w:sz w:val="24"/>
          <w:szCs w:val="24"/>
        </w:rPr>
      </w:pPr>
    </w:p>
    <w:p w14:paraId="69FF34EF" w14:textId="115DF0F2" w:rsidR="00981453" w:rsidRDefault="00981453" w:rsidP="00031B0C">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t>The trend of increasing workforce participation among older people is often presented in a positive light, due to the potential for older workers to help offset some of the labour force impact occurring as a result of structural ageing. However, while there may be a benefit at the societal level, there is a small but growing body of evidence as to the impact of working or retirement on the wellbeing of</w:t>
      </w:r>
      <w:r w:rsidR="0025401E">
        <w:rPr>
          <w:rFonts w:ascii="Times New Roman" w:hAnsi="Times New Roman" w:cs="Times New Roman"/>
          <w:sz w:val="24"/>
          <w:szCs w:val="24"/>
        </w:rPr>
        <w:t xml:space="preserve"> older individuals (Van </w:t>
      </w:r>
      <w:proofErr w:type="spellStart"/>
      <w:r w:rsidR="0025401E">
        <w:rPr>
          <w:rFonts w:ascii="Times New Roman" w:hAnsi="Times New Roman" w:cs="Times New Roman"/>
          <w:sz w:val="24"/>
          <w:szCs w:val="24"/>
        </w:rPr>
        <w:t>Solinge</w:t>
      </w:r>
      <w:proofErr w:type="spellEnd"/>
      <w:r>
        <w:rPr>
          <w:rFonts w:ascii="Times New Roman" w:hAnsi="Times New Roman" w:cs="Times New Roman"/>
          <w:sz w:val="24"/>
          <w:szCs w:val="24"/>
        </w:rPr>
        <w:t xml:space="preserve"> 2012). </w:t>
      </w:r>
    </w:p>
    <w:p w14:paraId="3E19B261" w14:textId="0A39FB7D" w:rsidR="007F42D6" w:rsidRPr="00DF7C58" w:rsidRDefault="007F42D6" w:rsidP="00DF7C58">
      <w:pPr>
        <w:tabs>
          <w:tab w:val="left" w:pos="426"/>
        </w:tabs>
        <w:spacing w:after="0" w:line="288" w:lineRule="auto"/>
        <w:jc w:val="center"/>
        <w:rPr>
          <w:rFonts w:ascii="Times New Roman" w:hAnsi="Times New Roman" w:cs="Times New Roman"/>
          <w:b/>
        </w:rPr>
      </w:pPr>
      <w:r w:rsidRPr="00DF7C58">
        <w:rPr>
          <w:rFonts w:ascii="Times New Roman" w:hAnsi="Times New Roman" w:cs="Times New Roman"/>
          <w:b/>
        </w:rPr>
        <w:lastRenderedPageBreak/>
        <w:t>Figure 1</w:t>
      </w:r>
      <w:r w:rsidR="00DF7C58">
        <w:rPr>
          <w:rFonts w:ascii="Times New Roman" w:hAnsi="Times New Roman" w:cs="Times New Roman"/>
          <w:b/>
        </w:rPr>
        <w:t>: Labour Force Participation Rate by A</w:t>
      </w:r>
      <w:r w:rsidRPr="00DF7C58">
        <w:rPr>
          <w:rFonts w:ascii="Times New Roman" w:hAnsi="Times New Roman" w:cs="Times New Roman"/>
          <w:b/>
        </w:rPr>
        <w:t>ge, 1991-2013</w:t>
      </w:r>
    </w:p>
    <w:p w14:paraId="7ADD0D60" w14:textId="21F01523" w:rsidR="007F42D6" w:rsidRDefault="000F5F8A" w:rsidP="00981453">
      <w:pPr>
        <w:tabs>
          <w:tab w:val="left" w:pos="426"/>
        </w:tabs>
        <w:spacing w:after="0" w:line="288" w:lineRule="auto"/>
        <w:jc w:val="both"/>
        <w:rPr>
          <w:rFonts w:ascii="Times New Roman" w:hAnsi="Times New Roman" w:cs="Times New Roman"/>
          <w:sz w:val="24"/>
          <w:szCs w:val="24"/>
        </w:rPr>
      </w:pPr>
      <w:r w:rsidRPr="000F5F8A">
        <w:rPr>
          <w:noProof/>
          <w:lang w:eastAsia="en-NZ"/>
        </w:rPr>
        <w:drawing>
          <wp:inline distT="0" distB="0" distL="0" distR="0" wp14:anchorId="1ECA5701" wp14:editId="4F484343">
            <wp:extent cx="5731510" cy="3733513"/>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33513"/>
                    </a:xfrm>
                    <a:prstGeom prst="rect">
                      <a:avLst/>
                    </a:prstGeom>
                    <a:noFill/>
                    <a:ln>
                      <a:noFill/>
                    </a:ln>
                  </pic:spPr>
                </pic:pic>
              </a:graphicData>
            </a:graphic>
          </wp:inline>
        </w:drawing>
      </w:r>
    </w:p>
    <w:p w14:paraId="751EDB13"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5F113D4A" w14:textId="74787690" w:rsidR="008D6527" w:rsidRDefault="00981453" w:rsidP="00350FA4">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D6527">
        <w:rPr>
          <w:rFonts w:ascii="Times New Roman" w:hAnsi="Times New Roman" w:cs="Times New Roman"/>
          <w:sz w:val="24"/>
          <w:szCs w:val="24"/>
        </w:rPr>
        <w:t xml:space="preserve">A strict neoclassical </w:t>
      </w:r>
      <w:r w:rsidR="003B6887">
        <w:rPr>
          <w:rFonts w:ascii="Times New Roman" w:hAnsi="Times New Roman" w:cs="Times New Roman"/>
          <w:sz w:val="24"/>
          <w:szCs w:val="24"/>
        </w:rPr>
        <w:t xml:space="preserve">economic </w:t>
      </w:r>
      <w:r w:rsidR="008D6527">
        <w:rPr>
          <w:rFonts w:ascii="Times New Roman" w:hAnsi="Times New Roman" w:cs="Times New Roman"/>
          <w:sz w:val="24"/>
          <w:szCs w:val="24"/>
        </w:rPr>
        <w:t>argument would suggest that older people would not choose to work, given that NZS provides an adequate income and retirement is not compulsory in New Zealand, unless the benefits outweigh the costs. The costs include foregone leisure time,</w:t>
      </w:r>
      <w:r w:rsidR="00EE045D">
        <w:rPr>
          <w:rFonts w:ascii="Times New Roman" w:hAnsi="Times New Roman" w:cs="Times New Roman"/>
          <w:sz w:val="24"/>
          <w:szCs w:val="24"/>
        </w:rPr>
        <w:t xml:space="preserve"> </w:t>
      </w:r>
      <w:r w:rsidR="00AE3159">
        <w:rPr>
          <w:rFonts w:ascii="Times New Roman" w:hAnsi="Times New Roman" w:cs="Times New Roman"/>
          <w:sz w:val="24"/>
          <w:szCs w:val="24"/>
        </w:rPr>
        <w:t xml:space="preserve">foregone </w:t>
      </w:r>
      <w:r w:rsidR="00EE045D">
        <w:rPr>
          <w:rFonts w:ascii="Times New Roman" w:hAnsi="Times New Roman" w:cs="Times New Roman"/>
          <w:sz w:val="24"/>
          <w:szCs w:val="24"/>
        </w:rPr>
        <w:t>opportunities to volunteer or participate in activities,</w:t>
      </w:r>
      <w:r w:rsidR="008D6527">
        <w:rPr>
          <w:rFonts w:ascii="Times New Roman" w:hAnsi="Times New Roman" w:cs="Times New Roman"/>
          <w:sz w:val="24"/>
          <w:szCs w:val="24"/>
        </w:rPr>
        <w:t xml:space="preserve"> and physical and/or mental exertion (although, as </w:t>
      </w:r>
      <w:proofErr w:type="spellStart"/>
      <w:r w:rsidR="008D6527">
        <w:rPr>
          <w:rFonts w:ascii="Times New Roman" w:hAnsi="Times New Roman" w:cs="Times New Roman"/>
          <w:sz w:val="24"/>
          <w:szCs w:val="24"/>
        </w:rPr>
        <w:t>Hotopp</w:t>
      </w:r>
      <w:proofErr w:type="spellEnd"/>
      <w:r w:rsidR="008D6527">
        <w:rPr>
          <w:rFonts w:ascii="Times New Roman" w:hAnsi="Times New Roman" w:cs="Times New Roman"/>
          <w:sz w:val="24"/>
          <w:szCs w:val="24"/>
        </w:rPr>
        <w:t xml:space="preserve"> (2007) notes, this latter cost is no more so for older workers than younger workers). Benefits of working longer include a higher level of income available for consumption, as well as enjoyment from work and from the social aspects of work</w:t>
      </w:r>
      <w:r w:rsidR="00B97671">
        <w:rPr>
          <w:rFonts w:ascii="Times New Roman" w:hAnsi="Times New Roman" w:cs="Times New Roman"/>
          <w:sz w:val="24"/>
          <w:szCs w:val="24"/>
        </w:rPr>
        <w:t>,</w:t>
      </w:r>
      <w:r w:rsidR="008D6527">
        <w:rPr>
          <w:rFonts w:ascii="Times New Roman" w:hAnsi="Times New Roman" w:cs="Times New Roman"/>
          <w:sz w:val="24"/>
          <w:szCs w:val="24"/>
        </w:rPr>
        <w:t xml:space="preserve"> active engagement</w:t>
      </w:r>
      <w:r w:rsidR="00B97671">
        <w:rPr>
          <w:rFonts w:ascii="Times New Roman" w:hAnsi="Times New Roman" w:cs="Times New Roman"/>
          <w:sz w:val="24"/>
          <w:szCs w:val="24"/>
        </w:rPr>
        <w:t>, and building and maintaining of social capital</w:t>
      </w:r>
      <w:r w:rsidR="0025401E">
        <w:rPr>
          <w:rFonts w:ascii="Times New Roman" w:hAnsi="Times New Roman" w:cs="Times New Roman"/>
          <w:sz w:val="24"/>
          <w:szCs w:val="24"/>
        </w:rPr>
        <w:t xml:space="preserve"> (</w:t>
      </w:r>
      <w:proofErr w:type="spellStart"/>
      <w:r w:rsidR="0025401E">
        <w:rPr>
          <w:rFonts w:ascii="Times New Roman" w:hAnsi="Times New Roman" w:cs="Times New Roman"/>
          <w:sz w:val="24"/>
          <w:szCs w:val="24"/>
        </w:rPr>
        <w:t>Longino</w:t>
      </w:r>
      <w:proofErr w:type="spellEnd"/>
      <w:r w:rsidR="0025401E">
        <w:rPr>
          <w:rFonts w:ascii="Times New Roman" w:hAnsi="Times New Roman" w:cs="Times New Roman"/>
          <w:sz w:val="24"/>
          <w:szCs w:val="24"/>
        </w:rPr>
        <w:t xml:space="preserve"> </w:t>
      </w:r>
      <w:r w:rsidR="000A010D">
        <w:rPr>
          <w:rFonts w:ascii="Times New Roman" w:hAnsi="Times New Roman" w:cs="Times New Roman"/>
          <w:sz w:val="24"/>
          <w:szCs w:val="24"/>
        </w:rPr>
        <w:t>and</w:t>
      </w:r>
      <w:r w:rsidR="00350FA4">
        <w:rPr>
          <w:rFonts w:ascii="Times New Roman" w:hAnsi="Times New Roman" w:cs="Times New Roman"/>
          <w:sz w:val="24"/>
          <w:szCs w:val="24"/>
        </w:rPr>
        <w:t xml:space="preserve"> </w:t>
      </w:r>
      <w:r w:rsidR="0025401E">
        <w:rPr>
          <w:rFonts w:ascii="Times New Roman" w:hAnsi="Times New Roman" w:cs="Times New Roman"/>
          <w:sz w:val="24"/>
          <w:szCs w:val="24"/>
        </w:rPr>
        <w:t>Kart</w:t>
      </w:r>
      <w:r w:rsidR="008D6527">
        <w:rPr>
          <w:rFonts w:ascii="Times New Roman" w:hAnsi="Times New Roman" w:cs="Times New Roman"/>
          <w:sz w:val="24"/>
          <w:szCs w:val="24"/>
        </w:rPr>
        <w:t xml:space="preserve"> 1982</w:t>
      </w:r>
      <w:r w:rsidR="008F2DC7">
        <w:rPr>
          <w:rFonts w:ascii="Times New Roman" w:hAnsi="Times New Roman" w:cs="Times New Roman"/>
          <w:sz w:val="24"/>
          <w:szCs w:val="24"/>
        </w:rPr>
        <w:t>,</w:t>
      </w:r>
      <w:r w:rsidR="0025401E">
        <w:rPr>
          <w:rFonts w:ascii="Times New Roman" w:hAnsi="Times New Roman" w:cs="Times New Roman"/>
          <w:sz w:val="24"/>
          <w:szCs w:val="24"/>
        </w:rPr>
        <w:t xml:space="preserve"> </w:t>
      </w:r>
      <w:proofErr w:type="spellStart"/>
      <w:r w:rsidR="0025401E">
        <w:rPr>
          <w:rFonts w:ascii="Times New Roman" w:hAnsi="Times New Roman" w:cs="Times New Roman"/>
          <w:sz w:val="24"/>
          <w:szCs w:val="24"/>
        </w:rPr>
        <w:t>Helliwell</w:t>
      </w:r>
      <w:proofErr w:type="spellEnd"/>
      <w:r w:rsidR="008F2DC7">
        <w:rPr>
          <w:rFonts w:ascii="Times New Roman" w:hAnsi="Times New Roman" w:cs="Times New Roman"/>
          <w:sz w:val="24"/>
          <w:szCs w:val="24"/>
        </w:rPr>
        <w:t xml:space="preserve"> </w:t>
      </w:r>
      <w:r w:rsidR="00B97671">
        <w:rPr>
          <w:rFonts w:ascii="Times New Roman" w:hAnsi="Times New Roman" w:cs="Times New Roman"/>
          <w:sz w:val="24"/>
          <w:szCs w:val="24"/>
        </w:rPr>
        <w:t>2006</w:t>
      </w:r>
      <w:r w:rsidR="008D6527">
        <w:rPr>
          <w:rFonts w:ascii="Times New Roman" w:hAnsi="Times New Roman" w:cs="Times New Roman"/>
          <w:sz w:val="24"/>
          <w:szCs w:val="24"/>
        </w:rPr>
        <w:t>).</w:t>
      </w:r>
    </w:p>
    <w:p w14:paraId="63231952"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33691D8B" w14:textId="36A12239" w:rsidR="004F3C5A" w:rsidRDefault="00981453" w:rsidP="00F62C9B">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C571B">
        <w:rPr>
          <w:rFonts w:ascii="Times New Roman" w:hAnsi="Times New Roman" w:cs="Times New Roman"/>
          <w:sz w:val="24"/>
          <w:szCs w:val="24"/>
        </w:rPr>
        <w:t>Despite the neoclassical argument that people who retire will do so only if it makes them better off (if that retirement is largely voluntary), evidence on the effect of retirement on life satisfaction is somewhat mixed. Retirement itself has been shown to be positively associated with life satisfaction amo</w:t>
      </w:r>
      <w:r w:rsidR="0025401E">
        <w:rPr>
          <w:rFonts w:ascii="Times New Roman" w:hAnsi="Times New Roman" w:cs="Times New Roman"/>
          <w:sz w:val="24"/>
          <w:szCs w:val="24"/>
        </w:rPr>
        <w:t>ng older people (</w:t>
      </w:r>
      <w:proofErr w:type="spellStart"/>
      <w:r w:rsidR="0025401E">
        <w:rPr>
          <w:rFonts w:ascii="Times New Roman" w:hAnsi="Times New Roman" w:cs="Times New Roman"/>
          <w:sz w:val="24"/>
          <w:szCs w:val="24"/>
        </w:rPr>
        <w:t>Reitzes</w:t>
      </w:r>
      <w:proofErr w:type="spellEnd"/>
      <w:r w:rsidR="008F2DC7">
        <w:rPr>
          <w:rFonts w:ascii="Times New Roman" w:hAnsi="Times New Roman" w:cs="Times New Roman"/>
          <w:sz w:val="24"/>
          <w:szCs w:val="24"/>
        </w:rPr>
        <w:t xml:space="preserve">, </w:t>
      </w:r>
      <w:proofErr w:type="spellStart"/>
      <w:r w:rsidR="008F2DC7">
        <w:rPr>
          <w:rFonts w:ascii="Times New Roman" w:hAnsi="Times New Roman" w:cs="Times New Roman"/>
          <w:sz w:val="24"/>
          <w:szCs w:val="24"/>
        </w:rPr>
        <w:t>Mutran</w:t>
      </w:r>
      <w:proofErr w:type="spellEnd"/>
      <w:r w:rsidR="003A4B1D">
        <w:rPr>
          <w:rFonts w:ascii="Times New Roman" w:hAnsi="Times New Roman" w:cs="Times New Roman"/>
          <w:sz w:val="24"/>
          <w:szCs w:val="24"/>
        </w:rPr>
        <w:t xml:space="preserve">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Fernandez</w:t>
      </w:r>
      <w:r w:rsidR="0025401E">
        <w:rPr>
          <w:rFonts w:ascii="Times New Roman" w:hAnsi="Times New Roman" w:cs="Times New Roman"/>
          <w:sz w:val="24"/>
          <w:szCs w:val="24"/>
        </w:rPr>
        <w:t xml:space="preserve"> 1996</w:t>
      </w:r>
      <w:r w:rsidR="000A010D">
        <w:rPr>
          <w:rFonts w:ascii="Times New Roman" w:hAnsi="Times New Roman" w:cs="Times New Roman"/>
          <w:sz w:val="24"/>
          <w:szCs w:val="24"/>
        </w:rPr>
        <w:t>,</w:t>
      </w:r>
      <w:r w:rsidR="0025401E">
        <w:rPr>
          <w:rFonts w:ascii="Times New Roman" w:hAnsi="Times New Roman" w:cs="Times New Roman"/>
          <w:sz w:val="24"/>
          <w:szCs w:val="24"/>
        </w:rPr>
        <w:t xml:space="preserve"> Latif 2011</w:t>
      </w:r>
      <w:r w:rsidR="000A010D">
        <w:rPr>
          <w:rFonts w:ascii="Times New Roman" w:hAnsi="Times New Roman" w:cs="Times New Roman"/>
          <w:sz w:val="24"/>
          <w:szCs w:val="24"/>
        </w:rPr>
        <w:t>,</w:t>
      </w:r>
      <w:r w:rsidR="0025401E">
        <w:rPr>
          <w:rFonts w:ascii="Times New Roman" w:hAnsi="Times New Roman" w:cs="Times New Roman"/>
          <w:sz w:val="24"/>
          <w:szCs w:val="24"/>
        </w:rPr>
        <w:t xml:space="preserve"> </w:t>
      </w:r>
      <w:proofErr w:type="spellStart"/>
      <w:r w:rsidR="0025401E">
        <w:rPr>
          <w:rFonts w:ascii="Times New Roman" w:hAnsi="Times New Roman" w:cs="Times New Roman"/>
          <w:sz w:val="24"/>
          <w:szCs w:val="24"/>
        </w:rPr>
        <w:t>Bechetti</w:t>
      </w:r>
      <w:proofErr w:type="spellEnd"/>
      <w:r w:rsidR="000A010D">
        <w:rPr>
          <w:rFonts w:ascii="Times New Roman" w:hAnsi="Times New Roman" w:cs="Times New Roman"/>
          <w:sz w:val="24"/>
          <w:szCs w:val="24"/>
        </w:rPr>
        <w:t xml:space="preserve">, </w:t>
      </w:r>
      <w:proofErr w:type="spellStart"/>
      <w:r w:rsidR="000A010D">
        <w:rPr>
          <w:rFonts w:ascii="Times New Roman" w:hAnsi="Times New Roman" w:cs="Times New Roman"/>
          <w:sz w:val="24"/>
          <w:szCs w:val="24"/>
        </w:rPr>
        <w:t>Ricca</w:t>
      </w:r>
      <w:proofErr w:type="spellEnd"/>
      <w:r w:rsidR="003A4B1D">
        <w:rPr>
          <w:rFonts w:ascii="Times New Roman" w:hAnsi="Times New Roman" w:cs="Times New Roman"/>
          <w:sz w:val="24"/>
          <w:szCs w:val="24"/>
        </w:rPr>
        <w:t xml:space="preserve">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w:t>
      </w:r>
      <w:proofErr w:type="spellStart"/>
      <w:r w:rsidR="003A4B1D">
        <w:rPr>
          <w:rFonts w:ascii="Times New Roman" w:hAnsi="Times New Roman" w:cs="Times New Roman"/>
          <w:sz w:val="24"/>
          <w:szCs w:val="24"/>
        </w:rPr>
        <w:t>Pelloni</w:t>
      </w:r>
      <w:proofErr w:type="spellEnd"/>
      <w:r w:rsidR="008C571B">
        <w:rPr>
          <w:rFonts w:ascii="Times New Roman" w:hAnsi="Times New Roman" w:cs="Times New Roman"/>
          <w:sz w:val="24"/>
          <w:szCs w:val="24"/>
        </w:rPr>
        <w:t xml:space="preserve"> 2012), especially among the w</w:t>
      </w:r>
      <w:r w:rsidR="0025401E">
        <w:rPr>
          <w:rFonts w:ascii="Times New Roman" w:hAnsi="Times New Roman" w:cs="Times New Roman"/>
          <w:sz w:val="24"/>
          <w:szCs w:val="24"/>
        </w:rPr>
        <w:t>ell-off (</w:t>
      </w:r>
      <w:proofErr w:type="spellStart"/>
      <w:r w:rsidR="0025401E">
        <w:rPr>
          <w:rFonts w:ascii="Times New Roman" w:hAnsi="Times New Roman" w:cs="Times New Roman"/>
          <w:sz w:val="24"/>
          <w:szCs w:val="24"/>
        </w:rPr>
        <w:t>Pinquart</w:t>
      </w:r>
      <w:proofErr w:type="spellEnd"/>
      <w:r w:rsidR="0025401E">
        <w:rPr>
          <w:rFonts w:ascii="Times New Roman" w:hAnsi="Times New Roman" w:cs="Times New Roman"/>
          <w:sz w:val="24"/>
          <w:szCs w:val="24"/>
        </w:rPr>
        <w:t xml:space="preserve"> </w:t>
      </w:r>
      <w:r w:rsidR="000A010D">
        <w:rPr>
          <w:rFonts w:ascii="Times New Roman" w:hAnsi="Times New Roman" w:cs="Times New Roman"/>
          <w:sz w:val="24"/>
          <w:szCs w:val="24"/>
        </w:rPr>
        <w:t>and</w:t>
      </w:r>
      <w:r w:rsidR="00350FA4">
        <w:rPr>
          <w:rFonts w:ascii="Times New Roman" w:hAnsi="Times New Roman" w:cs="Times New Roman"/>
          <w:sz w:val="24"/>
          <w:szCs w:val="24"/>
        </w:rPr>
        <w:t xml:space="preserve"> </w:t>
      </w:r>
      <w:r w:rsidR="0025401E">
        <w:rPr>
          <w:rFonts w:ascii="Times New Roman" w:hAnsi="Times New Roman" w:cs="Times New Roman"/>
          <w:sz w:val="24"/>
          <w:szCs w:val="24"/>
        </w:rPr>
        <w:t>Schindler</w:t>
      </w:r>
      <w:r w:rsidR="00350FA4">
        <w:rPr>
          <w:rFonts w:ascii="Times New Roman" w:hAnsi="Times New Roman" w:cs="Times New Roman"/>
          <w:sz w:val="24"/>
          <w:szCs w:val="24"/>
        </w:rPr>
        <w:t>,</w:t>
      </w:r>
      <w:r w:rsidR="008C571B">
        <w:rPr>
          <w:rFonts w:ascii="Times New Roman" w:hAnsi="Times New Roman" w:cs="Times New Roman"/>
          <w:sz w:val="24"/>
          <w:szCs w:val="24"/>
        </w:rPr>
        <w:t xml:space="preserve"> 2007). Retirement may only exert a temporary positive influence on life satisfaction (Horner, 2014), although </w:t>
      </w:r>
      <w:proofErr w:type="spellStart"/>
      <w:r w:rsidR="008C571B">
        <w:rPr>
          <w:rFonts w:ascii="Times New Roman" w:hAnsi="Times New Roman" w:cs="Times New Roman"/>
          <w:sz w:val="24"/>
          <w:szCs w:val="24"/>
        </w:rPr>
        <w:t>Gorry</w:t>
      </w:r>
      <w:proofErr w:type="spellEnd"/>
      <w:r w:rsidR="008F2DC7">
        <w:rPr>
          <w:rFonts w:ascii="Times New Roman" w:hAnsi="Times New Roman" w:cs="Times New Roman"/>
          <w:sz w:val="24"/>
          <w:szCs w:val="24"/>
        </w:rPr>
        <w:t xml:space="preserve">, </w:t>
      </w:r>
      <w:proofErr w:type="spellStart"/>
      <w:r w:rsidR="008F2DC7">
        <w:rPr>
          <w:rFonts w:ascii="Times New Roman" w:hAnsi="Times New Roman" w:cs="Times New Roman"/>
          <w:sz w:val="24"/>
          <w:szCs w:val="24"/>
        </w:rPr>
        <w:t>Gorry</w:t>
      </w:r>
      <w:proofErr w:type="spellEnd"/>
      <w:r w:rsidR="00F62C9B">
        <w:rPr>
          <w:rFonts w:ascii="Times New Roman" w:hAnsi="Times New Roman" w:cs="Times New Roman"/>
          <w:sz w:val="24"/>
          <w:szCs w:val="24"/>
        </w:rPr>
        <w:t xml:space="preserve"> </w:t>
      </w:r>
      <w:r w:rsidR="000A010D">
        <w:rPr>
          <w:rFonts w:ascii="Times New Roman" w:hAnsi="Times New Roman" w:cs="Times New Roman"/>
          <w:sz w:val="24"/>
          <w:szCs w:val="24"/>
        </w:rPr>
        <w:t>and</w:t>
      </w:r>
      <w:r w:rsidR="008F2DC7">
        <w:rPr>
          <w:rFonts w:ascii="Times New Roman" w:hAnsi="Times New Roman" w:cs="Times New Roman"/>
          <w:sz w:val="24"/>
          <w:szCs w:val="24"/>
        </w:rPr>
        <w:t xml:space="preserve"> </w:t>
      </w:r>
      <w:proofErr w:type="spellStart"/>
      <w:r w:rsidR="008F2DC7">
        <w:rPr>
          <w:rFonts w:ascii="Times New Roman" w:hAnsi="Times New Roman" w:cs="Times New Roman"/>
          <w:sz w:val="24"/>
          <w:szCs w:val="24"/>
        </w:rPr>
        <w:t>Slavov</w:t>
      </w:r>
      <w:proofErr w:type="spellEnd"/>
      <w:r w:rsidR="008C571B">
        <w:rPr>
          <w:rFonts w:ascii="Times New Roman" w:hAnsi="Times New Roman" w:cs="Times New Roman"/>
          <w:sz w:val="24"/>
          <w:szCs w:val="24"/>
        </w:rPr>
        <w:t xml:space="preserve"> (2015) demonstrate a lasting effect that increases over time in some measures. Voluntary retirement has been shown not to be significantly related to life satisfaction (</w:t>
      </w:r>
      <w:proofErr w:type="spellStart"/>
      <w:r w:rsidR="008C571B">
        <w:rPr>
          <w:rFonts w:ascii="Times New Roman" w:hAnsi="Times New Roman" w:cs="Times New Roman"/>
          <w:sz w:val="24"/>
          <w:szCs w:val="24"/>
        </w:rPr>
        <w:t>Bonsang</w:t>
      </w:r>
      <w:proofErr w:type="spellEnd"/>
      <w:r w:rsidR="008C571B">
        <w:rPr>
          <w:rFonts w:ascii="Times New Roman" w:hAnsi="Times New Roman" w:cs="Times New Roman"/>
          <w:sz w:val="24"/>
          <w:szCs w:val="24"/>
        </w:rPr>
        <w:t xml:space="preserve">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w:t>
      </w:r>
      <w:r w:rsidR="008F2DC7">
        <w:rPr>
          <w:rFonts w:ascii="Times New Roman" w:hAnsi="Times New Roman" w:cs="Times New Roman"/>
          <w:sz w:val="24"/>
          <w:szCs w:val="24"/>
        </w:rPr>
        <w:t>Klein</w:t>
      </w:r>
      <w:r w:rsidR="008C571B">
        <w:rPr>
          <w:rFonts w:ascii="Times New Roman" w:hAnsi="Times New Roman" w:cs="Times New Roman"/>
          <w:sz w:val="24"/>
          <w:szCs w:val="24"/>
        </w:rPr>
        <w:t xml:space="preserve"> 2012), whereas involuntary retirement has been shown to be associated with lower life satisfaction (Herzog</w:t>
      </w:r>
      <w:r w:rsidR="000A010D">
        <w:rPr>
          <w:rFonts w:ascii="Times New Roman" w:hAnsi="Times New Roman" w:cs="Times New Roman"/>
          <w:sz w:val="24"/>
          <w:szCs w:val="24"/>
        </w:rPr>
        <w:t>, House</w:t>
      </w:r>
      <w:r w:rsidR="003A4B1D">
        <w:rPr>
          <w:rFonts w:ascii="Times New Roman" w:hAnsi="Times New Roman" w:cs="Times New Roman"/>
          <w:sz w:val="24"/>
          <w:szCs w:val="24"/>
        </w:rPr>
        <w:t xml:space="preserve">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Morgan</w:t>
      </w:r>
      <w:r w:rsidR="000A010D">
        <w:rPr>
          <w:rFonts w:ascii="Times New Roman" w:hAnsi="Times New Roman" w:cs="Times New Roman"/>
          <w:sz w:val="24"/>
          <w:szCs w:val="24"/>
        </w:rPr>
        <w:t xml:space="preserve"> 1991,</w:t>
      </w:r>
      <w:r w:rsidR="008C571B">
        <w:rPr>
          <w:rFonts w:ascii="Times New Roman" w:hAnsi="Times New Roman" w:cs="Times New Roman"/>
          <w:sz w:val="24"/>
          <w:szCs w:val="24"/>
        </w:rPr>
        <w:t xml:space="preserve"> Van </w:t>
      </w:r>
      <w:proofErr w:type="spellStart"/>
      <w:r w:rsidR="008C571B">
        <w:rPr>
          <w:rFonts w:ascii="Times New Roman" w:hAnsi="Times New Roman" w:cs="Times New Roman"/>
          <w:sz w:val="24"/>
          <w:szCs w:val="24"/>
        </w:rPr>
        <w:t>Solinge</w:t>
      </w:r>
      <w:proofErr w:type="spellEnd"/>
      <w:r w:rsidR="008C571B">
        <w:rPr>
          <w:rFonts w:ascii="Times New Roman" w:hAnsi="Times New Roman" w:cs="Times New Roman"/>
          <w:sz w:val="24"/>
          <w:szCs w:val="24"/>
        </w:rPr>
        <w:t xml:space="preserve">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w:t>
      </w:r>
      <w:proofErr w:type="spellStart"/>
      <w:r w:rsidR="000A010D">
        <w:rPr>
          <w:rFonts w:ascii="Times New Roman" w:hAnsi="Times New Roman" w:cs="Times New Roman"/>
          <w:sz w:val="24"/>
          <w:szCs w:val="24"/>
        </w:rPr>
        <w:t>Henkens</w:t>
      </w:r>
      <w:proofErr w:type="spellEnd"/>
      <w:r w:rsidR="000A010D">
        <w:rPr>
          <w:rFonts w:ascii="Times New Roman" w:hAnsi="Times New Roman" w:cs="Times New Roman"/>
          <w:sz w:val="24"/>
          <w:szCs w:val="24"/>
        </w:rPr>
        <w:t xml:space="preserve"> 2008,</w:t>
      </w:r>
      <w:r w:rsidR="008C571B">
        <w:rPr>
          <w:rFonts w:ascii="Times New Roman" w:hAnsi="Times New Roman" w:cs="Times New Roman"/>
          <w:sz w:val="24"/>
          <w:szCs w:val="24"/>
        </w:rPr>
        <w:t xml:space="preserve"> </w:t>
      </w:r>
      <w:proofErr w:type="spellStart"/>
      <w:r w:rsidR="008C571B">
        <w:rPr>
          <w:rFonts w:ascii="Times New Roman" w:hAnsi="Times New Roman" w:cs="Times New Roman"/>
          <w:sz w:val="24"/>
          <w:szCs w:val="24"/>
        </w:rPr>
        <w:t>Calvo</w:t>
      </w:r>
      <w:proofErr w:type="spellEnd"/>
      <w:r w:rsidR="000A010D">
        <w:rPr>
          <w:rFonts w:ascii="Times New Roman" w:hAnsi="Times New Roman" w:cs="Times New Roman"/>
          <w:sz w:val="24"/>
          <w:szCs w:val="24"/>
        </w:rPr>
        <w:t xml:space="preserve">, </w:t>
      </w:r>
      <w:proofErr w:type="spellStart"/>
      <w:r w:rsidR="000A010D">
        <w:rPr>
          <w:rFonts w:ascii="Times New Roman" w:hAnsi="Times New Roman" w:cs="Times New Roman"/>
          <w:sz w:val="24"/>
          <w:szCs w:val="24"/>
        </w:rPr>
        <w:t>Haverstick</w:t>
      </w:r>
      <w:proofErr w:type="spellEnd"/>
      <w:r w:rsidR="003A4B1D">
        <w:rPr>
          <w:rFonts w:ascii="Times New Roman" w:hAnsi="Times New Roman" w:cs="Times New Roman"/>
          <w:sz w:val="24"/>
          <w:szCs w:val="24"/>
        </w:rPr>
        <w:t xml:space="preserve">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Sass</w:t>
      </w:r>
      <w:r w:rsidR="000A010D">
        <w:rPr>
          <w:rFonts w:ascii="Times New Roman" w:hAnsi="Times New Roman" w:cs="Times New Roman"/>
          <w:sz w:val="24"/>
          <w:szCs w:val="24"/>
        </w:rPr>
        <w:t xml:space="preserve"> 2009,</w:t>
      </w:r>
      <w:r w:rsidR="008C571B">
        <w:rPr>
          <w:rFonts w:ascii="Times New Roman" w:hAnsi="Times New Roman" w:cs="Times New Roman"/>
          <w:sz w:val="24"/>
          <w:szCs w:val="24"/>
        </w:rPr>
        <w:t xml:space="preserve"> Cameron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w:t>
      </w:r>
      <w:proofErr w:type="spellStart"/>
      <w:r w:rsidR="000A010D">
        <w:rPr>
          <w:rFonts w:ascii="Times New Roman" w:hAnsi="Times New Roman" w:cs="Times New Roman"/>
          <w:sz w:val="24"/>
          <w:szCs w:val="24"/>
        </w:rPr>
        <w:t>Waldegrave</w:t>
      </w:r>
      <w:proofErr w:type="spellEnd"/>
      <w:r w:rsidR="008C571B">
        <w:rPr>
          <w:rFonts w:ascii="Times New Roman" w:hAnsi="Times New Roman" w:cs="Times New Roman"/>
          <w:sz w:val="24"/>
          <w:szCs w:val="24"/>
        </w:rPr>
        <w:t xml:space="preserve"> </w:t>
      </w:r>
      <w:r w:rsidR="000A010D">
        <w:rPr>
          <w:rFonts w:ascii="Times New Roman" w:hAnsi="Times New Roman" w:cs="Times New Roman"/>
          <w:sz w:val="24"/>
          <w:szCs w:val="24"/>
        </w:rPr>
        <w:t>2009,</w:t>
      </w:r>
      <w:r w:rsidR="008C571B">
        <w:rPr>
          <w:rFonts w:ascii="Times New Roman" w:hAnsi="Times New Roman" w:cs="Times New Roman"/>
          <w:sz w:val="24"/>
          <w:szCs w:val="24"/>
        </w:rPr>
        <w:t xml:space="preserve"> </w:t>
      </w:r>
      <w:proofErr w:type="spellStart"/>
      <w:r w:rsidR="008C571B">
        <w:rPr>
          <w:rFonts w:ascii="Times New Roman" w:hAnsi="Times New Roman" w:cs="Times New Roman"/>
          <w:sz w:val="24"/>
          <w:szCs w:val="24"/>
        </w:rPr>
        <w:t>Bonsang</w:t>
      </w:r>
      <w:proofErr w:type="spellEnd"/>
      <w:r w:rsidR="008C571B">
        <w:rPr>
          <w:rFonts w:ascii="Times New Roman" w:hAnsi="Times New Roman" w:cs="Times New Roman"/>
          <w:sz w:val="24"/>
          <w:szCs w:val="24"/>
        </w:rPr>
        <w:t xml:space="preserve">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w:t>
      </w:r>
      <w:r w:rsidR="000A010D">
        <w:rPr>
          <w:rFonts w:ascii="Times New Roman" w:hAnsi="Times New Roman" w:cs="Times New Roman"/>
          <w:sz w:val="24"/>
          <w:szCs w:val="24"/>
        </w:rPr>
        <w:t>Klein 2012,</w:t>
      </w:r>
      <w:r w:rsidR="008C571B">
        <w:rPr>
          <w:rFonts w:ascii="Times New Roman" w:hAnsi="Times New Roman" w:cs="Times New Roman"/>
          <w:sz w:val="24"/>
          <w:szCs w:val="24"/>
        </w:rPr>
        <w:t xml:space="preserve"> Hershey </w:t>
      </w:r>
      <w:r w:rsidR="000A010D">
        <w:rPr>
          <w:rFonts w:ascii="Times New Roman" w:hAnsi="Times New Roman" w:cs="Times New Roman"/>
          <w:sz w:val="24"/>
          <w:szCs w:val="24"/>
        </w:rPr>
        <w:t>and</w:t>
      </w:r>
      <w:r w:rsidR="003A4B1D">
        <w:rPr>
          <w:rFonts w:ascii="Times New Roman" w:hAnsi="Times New Roman" w:cs="Times New Roman"/>
          <w:sz w:val="24"/>
          <w:szCs w:val="24"/>
        </w:rPr>
        <w:t xml:space="preserve"> </w:t>
      </w:r>
      <w:proofErr w:type="spellStart"/>
      <w:r w:rsidR="000A010D">
        <w:rPr>
          <w:rFonts w:ascii="Times New Roman" w:hAnsi="Times New Roman" w:cs="Times New Roman"/>
          <w:sz w:val="24"/>
          <w:szCs w:val="24"/>
        </w:rPr>
        <w:t>Henkens</w:t>
      </w:r>
      <w:proofErr w:type="spellEnd"/>
      <w:r w:rsidR="008C571B">
        <w:rPr>
          <w:rFonts w:ascii="Times New Roman" w:hAnsi="Times New Roman" w:cs="Times New Roman"/>
          <w:sz w:val="24"/>
          <w:szCs w:val="24"/>
        </w:rPr>
        <w:t xml:space="preserve"> 2013). In contrast, participation in paid </w:t>
      </w:r>
      <w:r w:rsidR="008C571B">
        <w:rPr>
          <w:rFonts w:ascii="Times New Roman" w:hAnsi="Times New Roman" w:cs="Times New Roman"/>
          <w:sz w:val="24"/>
          <w:szCs w:val="24"/>
        </w:rPr>
        <w:lastRenderedPageBreak/>
        <w:t>or volunteer work has also been shown to be associated with higher life satisfaction am</w:t>
      </w:r>
      <w:r w:rsidR="00B310CD">
        <w:rPr>
          <w:rFonts w:ascii="Times New Roman" w:hAnsi="Times New Roman" w:cs="Times New Roman"/>
          <w:sz w:val="24"/>
          <w:szCs w:val="24"/>
        </w:rPr>
        <w:t>ong older people (Aquino</w:t>
      </w:r>
      <w:r w:rsidR="008F2DC7">
        <w:rPr>
          <w:rFonts w:ascii="Times New Roman" w:hAnsi="Times New Roman" w:cs="Times New Roman"/>
          <w:sz w:val="24"/>
          <w:szCs w:val="24"/>
        </w:rPr>
        <w:t xml:space="preserve">, Russell, </w:t>
      </w:r>
      <w:proofErr w:type="spellStart"/>
      <w:r w:rsidR="008F2DC7">
        <w:rPr>
          <w:rFonts w:ascii="Times New Roman" w:hAnsi="Times New Roman" w:cs="Times New Roman"/>
          <w:sz w:val="24"/>
          <w:szCs w:val="24"/>
        </w:rPr>
        <w:t>Cutrona</w:t>
      </w:r>
      <w:proofErr w:type="spellEnd"/>
      <w:r w:rsidR="008F2DC7">
        <w:rPr>
          <w:rFonts w:ascii="Times New Roman" w:hAnsi="Times New Roman" w:cs="Times New Roman"/>
          <w:sz w:val="24"/>
          <w:szCs w:val="24"/>
        </w:rPr>
        <w:t xml:space="preserve"> </w:t>
      </w:r>
      <w:r w:rsidR="000A010D">
        <w:rPr>
          <w:rFonts w:ascii="Times New Roman" w:hAnsi="Times New Roman" w:cs="Times New Roman"/>
          <w:sz w:val="24"/>
          <w:szCs w:val="24"/>
        </w:rPr>
        <w:t>and</w:t>
      </w:r>
      <w:r w:rsidR="008F2DC7">
        <w:rPr>
          <w:rFonts w:ascii="Times New Roman" w:hAnsi="Times New Roman" w:cs="Times New Roman"/>
          <w:sz w:val="24"/>
          <w:szCs w:val="24"/>
        </w:rPr>
        <w:t xml:space="preserve"> </w:t>
      </w:r>
      <w:proofErr w:type="spellStart"/>
      <w:r w:rsidR="008F2DC7">
        <w:rPr>
          <w:rFonts w:ascii="Times New Roman" w:hAnsi="Times New Roman" w:cs="Times New Roman"/>
          <w:sz w:val="24"/>
          <w:szCs w:val="24"/>
        </w:rPr>
        <w:t>Altmaier</w:t>
      </w:r>
      <w:proofErr w:type="spellEnd"/>
      <w:r w:rsidR="008C571B">
        <w:rPr>
          <w:rFonts w:ascii="Times New Roman" w:hAnsi="Times New Roman" w:cs="Times New Roman"/>
          <w:sz w:val="24"/>
          <w:szCs w:val="24"/>
        </w:rPr>
        <w:t xml:space="preserve"> 1996). However, these studies have usually concentrated on the extensive margin (</w:t>
      </w:r>
      <w:r w:rsidR="000A010D">
        <w:rPr>
          <w:rFonts w:ascii="Times New Roman" w:hAnsi="Times New Roman" w:cs="Times New Roman"/>
          <w:sz w:val="24"/>
          <w:szCs w:val="24"/>
        </w:rPr>
        <w:t>that is,</w:t>
      </w:r>
      <w:r w:rsidR="008C571B">
        <w:rPr>
          <w:rFonts w:ascii="Times New Roman" w:hAnsi="Times New Roman" w:cs="Times New Roman"/>
          <w:sz w:val="24"/>
          <w:szCs w:val="24"/>
        </w:rPr>
        <w:t xml:space="preserve"> the difference between the ‘retired’ and ‘not retired’), which is a largely arbitrary distinction. Retirement has long been recognised as being characterised by more subtle and long-run transitions from full-time employed to fully</w:t>
      </w:r>
      <w:r w:rsidR="00B310CD">
        <w:rPr>
          <w:rFonts w:ascii="Times New Roman" w:hAnsi="Times New Roman" w:cs="Times New Roman"/>
          <w:sz w:val="24"/>
          <w:szCs w:val="24"/>
        </w:rPr>
        <w:t xml:space="preserve"> retired (</w:t>
      </w:r>
      <w:r w:rsidR="000A010D">
        <w:rPr>
          <w:rFonts w:ascii="Times New Roman" w:hAnsi="Times New Roman" w:cs="Times New Roman"/>
          <w:sz w:val="24"/>
          <w:szCs w:val="24"/>
        </w:rPr>
        <w:t>for example,</w:t>
      </w:r>
      <w:r w:rsidR="00B310CD">
        <w:rPr>
          <w:rFonts w:ascii="Times New Roman" w:hAnsi="Times New Roman" w:cs="Times New Roman"/>
          <w:sz w:val="24"/>
          <w:szCs w:val="24"/>
        </w:rPr>
        <w:t xml:space="preserve"> </w:t>
      </w:r>
      <w:proofErr w:type="spellStart"/>
      <w:r w:rsidR="00B310CD">
        <w:rPr>
          <w:rFonts w:ascii="Times New Roman" w:hAnsi="Times New Roman" w:cs="Times New Roman"/>
          <w:sz w:val="24"/>
          <w:szCs w:val="24"/>
        </w:rPr>
        <w:t>Honig</w:t>
      </w:r>
      <w:proofErr w:type="spellEnd"/>
      <w:r w:rsidR="00B310CD">
        <w:rPr>
          <w:rFonts w:ascii="Times New Roman" w:hAnsi="Times New Roman" w:cs="Times New Roman"/>
          <w:sz w:val="24"/>
          <w:szCs w:val="24"/>
        </w:rPr>
        <w:t xml:space="preserve"> </w:t>
      </w:r>
      <w:r w:rsidR="000A010D">
        <w:rPr>
          <w:rFonts w:ascii="Times New Roman" w:hAnsi="Times New Roman" w:cs="Times New Roman"/>
          <w:sz w:val="24"/>
          <w:szCs w:val="24"/>
        </w:rPr>
        <w:t>and</w:t>
      </w:r>
      <w:r w:rsidR="00F62C9B">
        <w:rPr>
          <w:rFonts w:ascii="Times New Roman" w:hAnsi="Times New Roman" w:cs="Times New Roman"/>
          <w:sz w:val="24"/>
          <w:szCs w:val="24"/>
        </w:rPr>
        <w:t xml:space="preserve"> </w:t>
      </w:r>
      <w:proofErr w:type="spellStart"/>
      <w:r w:rsidR="00B310CD">
        <w:rPr>
          <w:rFonts w:ascii="Times New Roman" w:hAnsi="Times New Roman" w:cs="Times New Roman"/>
          <w:sz w:val="24"/>
          <w:szCs w:val="24"/>
        </w:rPr>
        <w:t>Hanoch</w:t>
      </w:r>
      <w:proofErr w:type="spellEnd"/>
      <w:r w:rsidR="008C571B">
        <w:rPr>
          <w:rFonts w:ascii="Times New Roman" w:hAnsi="Times New Roman" w:cs="Times New Roman"/>
          <w:sz w:val="24"/>
          <w:szCs w:val="24"/>
        </w:rPr>
        <w:t xml:space="preserve"> 1985)</w:t>
      </w:r>
      <w:r w:rsidR="004F3C5A">
        <w:rPr>
          <w:rFonts w:ascii="Times New Roman" w:hAnsi="Times New Roman" w:cs="Times New Roman"/>
          <w:sz w:val="24"/>
          <w:szCs w:val="24"/>
        </w:rPr>
        <w:t>.</w:t>
      </w:r>
    </w:p>
    <w:p w14:paraId="1653E077"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629F3948" w14:textId="2AD6E616" w:rsidR="008D6527" w:rsidRDefault="0098145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C571B">
        <w:rPr>
          <w:rFonts w:ascii="Times New Roman" w:hAnsi="Times New Roman" w:cs="Times New Roman"/>
          <w:sz w:val="24"/>
          <w:szCs w:val="24"/>
        </w:rPr>
        <w:t>To avoid the arbitrary distinction between work and retirement, the relationship between work and life satisfaction must be evaluated also at the intensive margin, such as comparing whether the effects differ between those who work part-time and those who work full-time. Chang and Yen (2011) showed that older people in part-time work have higher life satisfaction, while full-time work is associated with lower life satisfaction. Similarly, Kim and Feldman (2000) found that bridge employment is associated with higher life satisfaction than full-time employment</w:t>
      </w:r>
      <w:r w:rsidR="008D6527">
        <w:rPr>
          <w:rFonts w:ascii="Times New Roman" w:hAnsi="Times New Roman" w:cs="Times New Roman"/>
          <w:sz w:val="24"/>
          <w:szCs w:val="24"/>
        </w:rPr>
        <w:t xml:space="preserve">. </w:t>
      </w:r>
    </w:p>
    <w:p w14:paraId="11459DF5"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11656C8E" w14:textId="0C0CF6BA" w:rsidR="00B97671" w:rsidRDefault="00981453" w:rsidP="00F62C9B">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C571B">
        <w:rPr>
          <w:rFonts w:ascii="Times New Roman" w:hAnsi="Times New Roman" w:cs="Times New Roman"/>
          <w:sz w:val="24"/>
          <w:szCs w:val="24"/>
        </w:rPr>
        <w:t xml:space="preserve">However, few of these previous studies have adequately accounted for selection bias – older workers typically choose whether or not to work, and will be more likely to work if they expect benefits to outweigh costs, </w:t>
      </w:r>
      <w:r w:rsidR="008E7630">
        <w:rPr>
          <w:rFonts w:ascii="Times New Roman" w:hAnsi="Times New Roman" w:cs="Times New Roman"/>
          <w:sz w:val="24"/>
          <w:szCs w:val="24"/>
        </w:rPr>
        <w:t xml:space="preserve">that is, </w:t>
      </w:r>
      <w:r w:rsidR="008C571B">
        <w:rPr>
          <w:rFonts w:ascii="Times New Roman" w:hAnsi="Times New Roman" w:cs="Times New Roman"/>
          <w:sz w:val="24"/>
          <w:szCs w:val="24"/>
        </w:rPr>
        <w:t xml:space="preserve">if they expect higher life satisfaction as a result of working. Those studies that have accounted for selection bias have typically not considered differences between full-time and part-time work – for instance, </w:t>
      </w:r>
      <w:proofErr w:type="spellStart"/>
      <w:r w:rsidR="008C571B">
        <w:rPr>
          <w:rFonts w:ascii="Times New Roman" w:hAnsi="Times New Roman" w:cs="Times New Roman"/>
          <w:sz w:val="24"/>
          <w:szCs w:val="24"/>
        </w:rPr>
        <w:t>Gorry</w:t>
      </w:r>
      <w:proofErr w:type="spellEnd"/>
      <w:r w:rsidR="008C571B">
        <w:rPr>
          <w:rFonts w:ascii="Times New Roman" w:hAnsi="Times New Roman" w:cs="Times New Roman"/>
          <w:sz w:val="24"/>
          <w:szCs w:val="24"/>
        </w:rPr>
        <w:t xml:space="preserve"> et al. (2015) combine full-time and part-time work into a single category, and fully and partially retired into a second category. A recent study using pooled cross-sectional data for New Zealand, and using instrumental variables regression to account for selection bias, strongly suggests that labour force participation is associated with lower life satisfaction among older people (Cameron </w:t>
      </w:r>
      <w:r w:rsidR="000A010D">
        <w:rPr>
          <w:rFonts w:ascii="Times New Roman" w:hAnsi="Times New Roman" w:cs="Times New Roman"/>
          <w:sz w:val="24"/>
          <w:szCs w:val="24"/>
        </w:rPr>
        <w:t>and</w:t>
      </w:r>
      <w:r w:rsidR="00F62C9B">
        <w:rPr>
          <w:rFonts w:ascii="Times New Roman" w:hAnsi="Times New Roman" w:cs="Times New Roman"/>
          <w:sz w:val="24"/>
          <w:szCs w:val="24"/>
        </w:rPr>
        <w:t xml:space="preserve"> </w:t>
      </w:r>
      <w:proofErr w:type="spellStart"/>
      <w:r w:rsidR="008E7630">
        <w:rPr>
          <w:rFonts w:ascii="Times New Roman" w:hAnsi="Times New Roman" w:cs="Times New Roman"/>
          <w:sz w:val="24"/>
          <w:szCs w:val="24"/>
        </w:rPr>
        <w:t>Roskruge</w:t>
      </w:r>
      <w:proofErr w:type="spellEnd"/>
      <w:r w:rsidR="008C571B">
        <w:rPr>
          <w:rFonts w:ascii="Times New Roman" w:hAnsi="Times New Roman" w:cs="Times New Roman"/>
          <w:sz w:val="24"/>
          <w:szCs w:val="24"/>
        </w:rPr>
        <w:t xml:space="preserve"> 2014a). The negative relationship is largest and most significant for full-time work, but part-time work is also associated with lower life satisfaction. Moreover, the relationship is robust to the inclusion of job satisfaction, type of occupation, and desire to work more or fe</w:t>
      </w:r>
      <w:r w:rsidR="0025401E">
        <w:rPr>
          <w:rFonts w:ascii="Times New Roman" w:hAnsi="Times New Roman" w:cs="Times New Roman"/>
          <w:sz w:val="24"/>
          <w:szCs w:val="24"/>
        </w:rPr>
        <w:t xml:space="preserve">wer hours (Cameron </w:t>
      </w:r>
      <w:r w:rsidR="000A010D">
        <w:rPr>
          <w:rFonts w:ascii="Times New Roman" w:hAnsi="Times New Roman" w:cs="Times New Roman"/>
          <w:sz w:val="24"/>
          <w:szCs w:val="24"/>
        </w:rPr>
        <w:t>and</w:t>
      </w:r>
      <w:r w:rsidR="00F62C9B">
        <w:rPr>
          <w:rFonts w:ascii="Times New Roman" w:hAnsi="Times New Roman" w:cs="Times New Roman"/>
          <w:sz w:val="24"/>
          <w:szCs w:val="24"/>
        </w:rPr>
        <w:t xml:space="preserve"> </w:t>
      </w:r>
      <w:proofErr w:type="spellStart"/>
      <w:r w:rsidR="0025401E">
        <w:rPr>
          <w:rFonts w:ascii="Times New Roman" w:hAnsi="Times New Roman" w:cs="Times New Roman"/>
          <w:sz w:val="24"/>
          <w:szCs w:val="24"/>
        </w:rPr>
        <w:t>Roskruge</w:t>
      </w:r>
      <w:proofErr w:type="spellEnd"/>
      <w:r w:rsidR="008C571B">
        <w:rPr>
          <w:rFonts w:ascii="Times New Roman" w:hAnsi="Times New Roman" w:cs="Times New Roman"/>
          <w:sz w:val="24"/>
          <w:szCs w:val="24"/>
        </w:rPr>
        <w:t xml:space="preserve"> 2014b</w:t>
      </w:r>
      <w:r w:rsidR="00B97671">
        <w:rPr>
          <w:rFonts w:ascii="Times New Roman" w:hAnsi="Times New Roman" w:cs="Times New Roman"/>
          <w:sz w:val="24"/>
          <w:szCs w:val="24"/>
        </w:rPr>
        <w:t>).</w:t>
      </w:r>
    </w:p>
    <w:p w14:paraId="67ED3809"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7B023E8D" w14:textId="64065B0B" w:rsidR="00B97671" w:rsidRDefault="00981453" w:rsidP="0044773E">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C571B">
        <w:rPr>
          <w:rFonts w:ascii="Times New Roman" w:hAnsi="Times New Roman" w:cs="Times New Roman"/>
          <w:sz w:val="24"/>
          <w:szCs w:val="24"/>
        </w:rPr>
        <w:t>Human capital has been shown to be closely related to life satisfaction. Health in particular has a critical relationship with both labour force par</w:t>
      </w:r>
      <w:r w:rsidR="0025401E">
        <w:rPr>
          <w:rFonts w:ascii="Times New Roman" w:hAnsi="Times New Roman" w:cs="Times New Roman"/>
          <w:sz w:val="24"/>
          <w:szCs w:val="24"/>
        </w:rPr>
        <w:t xml:space="preserve">ticipation (Currie </w:t>
      </w:r>
      <w:r w:rsidR="000A010D">
        <w:rPr>
          <w:rFonts w:ascii="Times New Roman" w:hAnsi="Times New Roman" w:cs="Times New Roman"/>
          <w:sz w:val="24"/>
          <w:szCs w:val="24"/>
        </w:rPr>
        <w:t>and</w:t>
      </w:r>
      <w:r w:rsidR="00F62C9B">
        <w:rPr>
          <w:rFonts w:ascii="Times New Roman" w:hAnsi="Times New Roman" w:cs="Times New Roman"/>
          <w:sz w:val="24"/>
          <w:szCs w:val="24"/>
        </w:rPr>
        <w:t xml:space="preserve"> </w:t>
      </w:r>
      <w:proofErr w:type="spellStart"/>
      <w:r w:rsidR="0025401E">
        <w:rPr>
          <w:rFonts w:ascii="Times New Roman" w:hAnsi="Times New Roman" w:cs="Times New Roman"/>
          <w:sz w:val="24"/>
          <w:szCs w:val="24"/>
        </w:rPr>
        <w:t>Madrian</w:t>
      </w:r>
      <w:proofErr w:type="spellEnd"/>
      <w:r w:rsidR="00F62C9B">
        <w:rPr>
          <w:rFonts w:ascii="Times New Roman" w:hAnsi="Times New Roman" w:cs="Times New Roman"/>
          <w:sz w:val="24"/>
          <w:szCs w:val="24"/>
        </w:rPr>
        <w:t>,</w:t>
      </w:r>
      <w:r w:rsidR="0025401E">
        <w:rPr>
          <w:rFonts w:ascii="Times New Roman" w:hAnsi="Times New Roman" w:cs="Times New Roman"/>
          <w:sz w:val="24"/>
          <w:szCs w:val="24"/>
        </w:rPr>
        <w:t xml:space="preserve"> </w:t>
      </w:r>
      <w:r w:rsidR="008C571B" w:rsidRPr="00BC4F7A">
        <w:rPr>
          <w:rFonts w:ascii="Times New Roman" w:hAnsi="Times New Roman" w:cs="Times New Roman"/>
          <w:sz w:val="24"/>
          <w:szCs w:val="24"/>
        </w:rPr>
        <w:t>1999) and</w:t>
      </w:r>
      <w:r w:rsidR="00B310CD">
        <w:rPr>
          <w:rFonts w:ascii="Times New Roman" w:hAnsi="Times New Roman" w:cs="Times New Roman"/>
          <w:sz w:val="24"/>
          <w:szCs w:val="24"/>
        </w:rPr>
        <w:t xml:space="preserve"> life satisfaction (Pool</w:t>
      </w:r>
      <w:r w:rsidR="008E7630">
        <w:rPr>
          <w:rFonts w:ascii="Times New Roman" w:hAnsi="Times New Roman" w:cs="Times New Roman"/>
          <w:sz w:val="24"/>
          <w:szCs w:val="24"/>
        </w:rPr>
        <w:t>, Amey, Cameron</w:t>
      </w:r>
      <w:r w:rsidR="00F62C9B">
        <w:rPr>
          <w:rFonts w:ascii="Times New Roman" w:hAnsi="Times New Roman" w:cs="Times New Roman"/>
          <w:sz w:val="24"/>
          <w:szCs w:val="24"/>
        </w:rPr>
        <w:t xml:space="preserve"> </w:t>
      </w:r>
      <w:r w:rsidR="000A010D">
        <w:rPr>
          <w:rFonts w:ascii="Times New Roman" w:hAnsi="Times New Roman" w:cs="Times New Roman"/>
          <w:sz w:val="24"/>
          <w:szCs w:val="24"/>
        </w:rPr>
        <w:t>and</w:t>
      </w:r>
      <w:r w:rsidR="008E7630">
        <w:rPr>
          <w:rFonts w:ascii="Times New Roman" w:hAnsi="Times New Roman" w:cs="Times New Roman"/>
          <w:sz w:val="24"/>
          <w:szCs w:val="24"/>
        </w:rPr>
        <w:t xml:space="preserve"> van der Pas</w:t>
      </w:r>
      <w:r w:rsidR="008C571B" w:rsidRPr="00BC4F7A">
        <w:rPr>
          <w:rFonts w:ascii="Times New Roman" w:hAnsi="Times New Roman" w:cs="Times New Roman"/>
          <w:sz w:val="24"/>
          <w:szCs w:val="24"/>
        </w:rPr>
        <w:t xml:space="preserve"> 2009), and has also seldom been accounted for in</w:t>
      </w:r>
      <w:r w:rsidR="008C571B">
        <w:rPr>
          <w:rFonts w:ascii="Times New Roman" w:hAnsi="Times New Roman" w:cs="Times New Roman"/>
          <w:sz w:val="24"/>
          <w:szCs w:val="24"/>
        </w:rPr>
        <w:t xml:space="preserve"> previous studies. Within a large sample of New Zealanders aged 65 to 84 years, poor health was the second-most cited reason (</w:t>
      </w:r>
      <w:r w:rsidR="00BF7620">
        <w:rPr>
          <w:rFonts w:ascii="Times New Roman" w:hAnsi="Times New Roman" w:cs="Times New Roman"/>
          <w:sz w:val="24"/>
          <w:szCs w:val="24"/>
        </w:rPr>
        <w:t>after</w:t>
      </w:r>
      <w:r w:rsidR="008C571B">
        <w:rPr>
          <w:rFonts w:ascii="Times New Roman" w:hAnsi="Times New Roman" w:cs="Times New Roman"/>
          <w:sz w:val="24"/>
          <w:szCs w:val="24"/>
        </w:rPr>
        <w:t xml:space="preserve"> family responsibilities) for periods of more than one year spent outside the workforce, and the third-most cited reason (</w:t>
      </w:r>
      <w:r w:rsidR="00BF7620">
        <w:rPr>
          <w:rFonts w:ascii="Times New Roman" w:hAnsi="Times New Roman" w:cs="Times New Roman"/>
          <w:sz w:val="24"/>
          <w:szCs w:val="24"/>
        </w:rPr>
        <w:t>after</w:t>
      </w:r>
      <w:r w:rsidR="008C571B">
        <w:rPr>
          <w:rFonts w:ascii="Times New Roman" w:hAnsi="Times New Roman" w:cs="Times New Roman"/>
          <w:sz w:val="24"/>
          <w:szCs w:val="24"/>
        </w:rPr>
        <w:t xml:space="preserve"> wanting to do other things, and reaching the official retirement age) for reti</w:t>
      </w:r>
      <w:r w:rsidR="00B310CD">
        <w:rPr>
          <w:rFonts w:ascii="Times New Roman" w:hAnsi="Times New Roman" w:cs="Times New Roman"/>
          <w:sz w:val="24"/>
          <w:szCs w:val="24"/>
        </w:rPr>
        <w:t xml:space="preserve">rement (Cameron </w:t>
      </w:r>
      <w:r w:rsidR="000A010D">
        <w:rPr>
          <w:rFonts w:ascii="Times New Roman" w:hAnsi="Times New Roman" w:cs="Times New Roman"/>
          <w:sz w:val="24"/>
          <w:szCs w:val="24"/>
        </w:rPr>
        <w:t>and</w:t>
      </w:r>
      <w:r w:rsidR="0044773E">
        <w:rPr>
          <w:rFonts w:ascii="Times New Roman" w:hAnsi="Times New Roman" w:cs="Times New Roman"/>
          <w:sz w:val="24"/>
          <w:szCs w:val="24"/>
        </w:rPr>
        <w:t xml:space="preserve"> </w:t>
      </w:r>
      <w:proofErr w:type="spellStart"/>
      <w:r w:rsidR="00B310CD">
        <w:rPr>
          <w:rFonts w:ascii="Times New Roman" w:hAnsi="Times New Roman" w:cs="Times New Roman"/>
          <w:sz w:val="24"/>
          <w:szCs w:val="24"/>
        </w:rPr>
        <w:t>Waldegrave</w:t>
      </w:r>
      <w:proofErr w:type="spellEnd"/>
      <w:r w:rsidR="00B310CD">
        <w:rPr>
          <w:rFonts w:ascii="Times New Roman" w:hAnsi="Times New Roman" w:cs="Times New Roman"/>
          <w:sz w:val="24"/>
          <w:szCs w:val="24"/>
        </w:rPr>
        <w:t xml:space="preserve"> </w:t>
      </w:r>
      <w:r w:rsidR="008C571B">
        <w:rPr>
          <w:rFonts w:ascii="Times New Roman" w:hAnsi="Times New Roman" w:cs="Times New Roman"/>
          <w:sz w:val="24"/>
          <w:szCs w:val="24"/>
        </w:rPr>
        <w:t xml:space="preserve">2009). Educational achievement has also been shown to be positively related to life </w:t>
      </w:r>
      <w:r w:rsidR="008C571B" w:rsidRPr="005D46BE">
        <w:rPr>
          <w:rFonts w:ascii="Times New Roman" w:hAnsi="Times New Roman" w:cs="Times New Roman"/>
          <w:sz w:val="24"/>
          <w:szCs w:val="24"/>
        </w:rPr>
        <w:t>satisfaction</w:t>
      </w:r>
      <w:r w:rsidR="008E7630">
        <w:rPr>
          <w:rFonts w:ascii="Times New Roman" w:hAnsi="Times New Roman" w:cs="Times New Roman"/>
          <w:sz w:val="24"/>
          <w:szCs w:val="24"/>
        </w:rPr>
        <w:t xml:space="preserve"> (Callister 2006,</w:t>
      </w:r>
      <w:r w:rsidR="00B310CD">
        <w:rPr>
          <w:rFonts w:ascii="Times New Roman" w:hAnsi="Times New Roman" w:cs="Times New Roman"/>
          <w:sz w:val="24"/>
          <w:szCs w:val="24"/>
        </w:rPr>
        <w:t xml:space="preserve"> Meara</w:t>
      </w:r>
      <w:r w:rsidR="008E7630">
        <w:rPr>
          <w:rFonts w:ascii="Times New Roman" w:hAnsi="Times New Roman" w:cs="Times New Roman"/>
          <w:sz w:val="24"/>
          <w:szCs w:val="24"/>
        </w:rPr>
        <w:t>, Richards</w:t>
      </w:r>
      <w:r w:rsidR="0044773E">
        <w:rPr>
          <w:rFonts w:ascii="Times New Roman" w:hAnsi="Times New Roman" w:cs="Times New Roman"/>
          <w:sz w:val="24"/>
          <w:szCs w:val="24"/>
        </w:rPr>
        <w:t xml:space="preserve"> </w:t>
      </w:r>
      <w:r w:rsidR="000A010D">
        <w:rPr>
          <w:rFonts w:ascii="Times New Roman" w:hAnsi="Times New Roman" w:cs="Times New Roman"/>
          <w:sz w:val="24"/>
          <w:szCs w:val="24"/>
        </w:rPr>
        <w:t>and</w:t>
      </w:r>
      <w:r w:rsidR="008E7630">
        <w:rPr>
          <w:rFonts w:ascii="Times New Roman" w:hAnsi="Times New Roman" w:cs="Times New Roman"/>
          <w:sz w:val="24"/>
          <w:szCs w:val="24"/>
        </w:rPr>
        <w:t xml:space="preserve"> Cutler</w:t>
      </w:r>
      <w:r w:rsidR="008C571B" w:rsidRPr="005D46BE">
        <w:rPr>
          <w:rFonts w:ascii="Times New Roman" w:hAnsi="Times New Roman" w:cs="Times New Roman"/>
          <w:sz w:val="24"/>
          <w:szCs w:val="24"/>
        </w:rPr>
        <w:t xml:space="preserve"> 2008). The mechanism through which higher levels of education positively affects life satisfaction is suggested to be through increased engagement in paid work, and increased access to economic r</w:t>
      </w:r>
      <w:r w:rsidR="00B310CD">
        <w:rPr>
          <w:rFonts w:ascii="Times New Roman" w:hAnsi="Times New Roman" w:cs="Times New Roman"/>
          <w:sz w:val="24"/>
          <w:szCs w:val="24"/>
        </w:rPr>
        <w:t xml:space="preserve">esources (Ross </w:t>
      </w:r>
      <w:r w:rsidR="000A010D">
        <w:rPr>
          <w:rFonts w:ascii="Times New Roman" w:hAnsi="Times New Roman" w:cs="Times New Roman"/>
          <w:sz w:val="24"/>
          <w:szCs w:val="24"/>
        </w:rPr>
        <w:t>and</w:t>
      </w:r>
      <w:r w:rsidR="0044773E">
        <w:rPr>
          <w:rFonts w:ascii="Times New Roman" w:hAnsi="Times New Roman" w:cs="Times New Roman"/>
          <w:sz w:val="24"/>
          <w:szCs w:val="24"/>
        </w:rPr>
        <w:t xml:space="preserve"> </w:t>
      </w:r>
      <w:r w:rsidR="00B310CD">
        <w:rPr>
          <w:rFonts w:ascii="Times New Roman" w:hAnsi="Times New Roman" w:cs="Times New Roman"/>
          <w:sz w:val="24"/>
          <w:szCs w:val="24"/>
        </w:rPr>
        <w:t xml:space="preserve">van </w:t>
      </w:r>
      <w:proofErr w:type="spellStart"/>
      <w:r w:rsidR="00B310CD">
        <w:rPr>
          <w:rFonts w:ascii="Times New Roman" w:hAnsi="Times New Roman" w:cs="Times New Roman"/>
          <w:sz w:val="24"/>
          <w:szCs w:val="24"/>
        </w:rPr>
        <w:t>Willigen</w:t>
      </w:r>
      <w:proofErr w:type="spellEnd"/>
      <w:r w:rsidR="008C571B" w:rsidRPr="005D46BE">
        <w:rPr>
          <w:rFonts w:ascii="Times New Roman" w:hAnsi="Times New Roman" w:cs="Times New Roman"/>
          <w:sz w:val="24"/>
          <w:szCs w:val="24"/>
        </w:rPr>
        <w:t xml:space="preserve"> 1997</w:t>
      </w:r>
      <w:r w:rsidR="000F5A8A" w:rsidRPr="005D46BE">
        <w:rPr>
          <w:rFonts w:ascii="Times New Roman" w:hAnsi="Times New Roman" w:cs="Times New Roman"/>
          <w:sz w:val="24"/>
          <w:szCs w:val="24"/>
        </w:rPr>
        <w:t>).</w:t>
      </w:r>
    </w:p>
    <w:p w14:paraId="2026A58E" w14:textId="77D39B1D" w:rsidR="007F42D6" w:rsidRDefault="0098145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C571B">
        <w:rPr>
          <w:rFonts w:ascii="Times New Roman" w:hAnsi="Times New Roman" w:cs="Times New Roman"/>
          <w:sz w:val="24"/>
          <w:szCs w:val="24"/>
        </w:rPr>
        <w:t>This paper aims to further explore the relationship between labour force participation and life satisfaction among older people, accounting for selection bias and the important role of human capital. Follow</w:t>
      </w:r>
      <w:r w:rsidR="00B310CD">
        <w:rPr>
          <w:rFonts w:ascii="Times New Roman" w:hAnsi="Times New Roman" w:cs="Times New Roman"/>
          <w:sz w:val="24"/>
          <w:szCs w:val="24"/>
        </w:rPr>
        <w:t xml:space="preserve">ing Cameron and </w:t>
      </w:r>
      <w:proofErr w:type="spellStart"/>
      <w:r w:rsidR="00B310CD">
        <w:rPr>
          <w:rFonts w:ascii="Times New Roman" w:hAnsi="Times New Roman" w:cs="Times New Roman"/>
          <w:sz w:val="24"/>
          <w:szCs w:val="24"/>
        </w:rPr>
        <w:t>Roskruge</w:t>
      </w:r>
      <w:proofErr w:type="spellEnd"/>
      <w:r w:rsidR="00B310CD">
        <w:rPr>
          <w:rFonts w:ascii="Times New Roman" w:hAnsi="Times New Roman" w:cs="Times New Roman"/>
          <w:sz w:val="24"/>
          <w:szCs w:val="24"/>
        </w:rPr>
        <w:t xml:space="preserve"> (2014a,</w:t>
      </w:r>
      <w:r w:rsidR="008C571B">
        <w:rPr>
          <w:rFonts w:ascii="Times New Roman" w:hAnsi="Times New Roman" w:cs="Times New Roman"/>
          <w:sz w:val="24"/>
          <w:szCs w:val="24"/>
        </w:rPr>
        <w:t xml:space="preserve"> 2014b), we use data from a pooled cross-section of older people in New Zealand, and investigate the mediating role of human capital in the relationship. Specifically, we answer the question: does the negative relationship between labour force participation and life satisfaction depend on human capital? This question has important policy implications. With structural ageing, it is almost inevitable that there will be increasing demand for </w:t>
      </w:r>
      <w:r w:rsidR="00BF7620">
        <w:rPr>
          <w:rFonts w:ascii="Times New Roman" w:hAnsi="Times New Roman" w:cs="Times New Roman"/>
          <w:sz w:val="24"/>
          <w:szCs w:val="24"/>
        </w:rPr>
        <w:t xml:space="preserve">older people’s </w:t>
      </w:r>
      <w:r w:rsidR="008C571B">
        <w:rPr>
          <w:rFonts w:ascii="Times New Roman" w:hAnsi="Times New Roman" w:cs="Times New Roman"/>
          <w:sz w:val="24"/>
          <w:szCs w:val="24"/>
        </w:rPr>
        <w:t xml:space="preserve">labour in developed economies. In the case of New Zealand, as the ratio of the number of older people receiving NZS to full-time income earners and taxpayers increases, the affordability of universal superannuation becomes increasingly questionable. Delaying the eligibility for superannuation to older ages, or reducing the real value of superannuation, both increase the incentives for older people to work to older ages. However, it is not clear </w:t>
      </w:r>
      <w:r w:rsidR="008C571B" w:rsidRPr="005C51E9">
        <w:rPr>
          <w:rFonts w:ascii="Times New Roman" w:hAnsi="Times New Roman" w:cs="Times New Roman"/>
          <w:i/>
          <w:iCs/>
          <w:sz w:val="24"/>
          <w:szCs w:val="24"/>
        </w:rPr>
        <w:t>a priori</w:t>
      </w:r>
      <w:r w:rsidR="008C571B">
        <w:rPr>
          <w:rFonts w:ascii="Times New Roman" w:hAnsi="Times New Roman" w:cs="Times New Roman"/>
          <w:sz w:val="24"/>
          <w:szCs w:val="24"/>
        </w:rPr>
        <w:t xml:space="preserve"> the effect that these changes will have on older people themselves. Will increasing labour force participation among older people make them better or worse off, and will younger (and better educated) cohorts be better placed to negotiate this changing environment</w:t>
      </w:r>
      <w:r w:rsidR="00136996">
        <w:rPr>
          <w:rFonts w:ascii="Times New Roman" w:hAnsi="Times New Roman" w:cs="Times New Roman"/>
          <w:sz w:val="24"/>
          <w:szCs w:val="24"/>
        </w:rPr>
        <w:t>?</w:t>
      </w:r>
    </w:p>
    <w:p w14:paraId="43BC7AF2"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05A9F5A8" w14:textId="30C56B55" w:rsidR="007F42D6" w:rsidRDefault="0098145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F42D6">
        <w:rPr>
          <w:rFonts w:ascii="Times New Roman" w:hAnsi="Times New Roman" w:cs="Times New Roman"/>
          <w:sz w:val="24"/>
          <w:szCs w:val="24"/>
        </w:rPr>
        <w:t xml:space="preserve">The paper proceeds as follows. The </w:t>
      </w:r>
      <w:r w:rsidR="00EA4EDE">
        <w:rPr>
          <w:rFonts w:ascii="Times New Roman" w:hAnsi="Times New Roman" w:cs="Times New Roman"/>
          <w:sz w:val="24"/>
          <w:szCs w:val="24"/>
        </w:rPr>
        <w:t>following</w:t>
      </w:r>
      <w:r w:rsidR="007F42D6">
        <w:rPr>
          <w:rFonts w:ascii="Times New Roman" w:hAnsi="Times New Roman" w:cs="Times New Roman"/>
          <w:sz w:val="24"/>
          <w:szCs w:val="24"/>
        </w:rPr>
        <w:t xml:space="preserve"> section </w:t>
      </w:r>
      <w:r w:rsidR="00EA4EDE">
        <w:rPr>
          <w:rFonts w:ascii="Times New Roman" w:hAnsi="Times New Roman" w:cs="Times New Roman"/>
          <w:sz w:val="24"/>
          <w:szCs w:val="24"/>
        </w:rPr>
        <w:t>outlines</w:t>
      </w:r>
      <w:r w:rsidR="007F42D6">
        <w:rPr>
          <w:rFonts w:ascii="Times New Roman" w:hAnsi="Times New Roman" w:cs="Times New Roman"/>
          <w:sz w:val="24"/>
          <w:szCs w:val="24"/>
        </w:rPr>
        <w:t xml:space="preserve"> our identification strategy for investigating the link</w:t>
      </w:r>
      <w:r w:rsidR="00EA4EDE">
        <w:rPr>
          <w:rFonts w:ascii="Times New Roman" w:hAnsi="Times New Roman" w:cs="Times New Roman"/>
          <w:sz w:val="24"/>
          <w:szCs w:val="24"/>
        </w:rPr>
        <w:t>s</w:t>
      </w:r>
      <w:r w:rsidR="007F42D6">
        <w:rPr>
          <w:rFonts w:ascii="Times New Roman" w:hAnsi="Times New Roman" w:cs="Times New Roman"/>
          <w:sz w:val="24"/>
          <w:szCs w:val="24"/>
        </w:rPr>
        <w:t xml:space="preserve"> between labour force participation</w:t>
      </w:r>
      <w:r w:rsidR="00EA4EDE">
        <w:rPr>
          <w:rFonts w:ascii="Times New Roman" w:hAnsi="Times New Roman" w:cs="Times New Roman"/>
          <w:sz w:val="24"/>
          <w:szCs w:val="24"/>
        </w:rPr>
        <w:t>, human capital</w:t>
      </w:r>
      <w:r w:rsidR="007F42D6">
        <w:rPr>
          <w:rFonts w:ascii="Times New Roman" w:hAnsi="Times New Roman" w:cs="Times New Roman"/>
          <w:sz w:val="24"/>
          <w:szCs w:val="24"/>
        </w:rPr>
        <w:t xml:space="preserve"> and wellbeing. We then discuss the data and methods</w:t>
      </w:r>
      <w:r w:rsidR="00EA4EDE">
        <w:rPr>
          <w:rFonts w:ascii="Times New Roman" w:hAnsi="Times New Roman" w:cs="Times New Roman"/>
          <w:sz w:val="24"/>
          <w:szCs w:val="24"/>
        </w:rPr>
        <w:t xml:space="preserve"> employed</w:t>
      </w:r>
      <w:r w:rsidR="007F42D6">
        <w:rPr>
          <w:rFonts w:ascii="Times New Roman" w:hAnsi="Times New Roman" w:cs="Times New Roman"/>
          <w:sz w:val="24"/>
          <w:szCs w:val="24"/>
        </w:rPr>
        <w:t xml:space="preserve">, and present the results of our </w:t>
      </w:r>
      <w:r w:rsidR="00EA4EDE">
        <w:rPr>
          <w:rFonts w:ascii="Times New Roman" w:hAnsi="Times New Roman" w:cs="Times New Roman"/>
          <w:sz w:val="24"/>
          <w:szCs w:val="24"/>
        </w:rPr>
        <w:t>analysis</w:t>
      </w:r>
      <w:r w:rsidR="007F42D6">
        <w:rPr>
          <w:rFonts w:ascii="Times New Roman" w:hAnsi="Times New Roman" w:cs="Times New Roman"/>
          <w:sz w:val="24"/>
          <w:szCs w:val="24"/>
        </w:rPr>
        <w:t xml:space="preserve"> using data from </w:t>
      </w:r>
      <w:r w:rsidR="00EA4EDE">
        <w:rPr>
          <w:rFonts w:ascii="Times New Roman" w:hAnsi="Times New Roman" w:cs="Times New Roman"/>
          <w:sz w:val="24"/>
          <w:szCs w:val="24"/>
        </w:rPr>
        <w:t>three</w:t>
      </w:r>
      <w:r w:rsidR="007F42D6">
        <w:rPr>
          <w:rFonts w:ascii="Times New Roman" w:hAnsi="Times New Roman" w:cs="Times New Roman"/>
          <w:sz w:val="24"/>
          <w:szCs w:val="24"/>
        </w:rPr>
        <w:t xml:space="preserve"> waves of the </w:t>
      </w:r>
      <w:r w:rsidR="00136996">
        <w:rPr>
          <w:rFonts w:ascii="Times New Roman" w:hAnsi="Times New Roman" w:cs="Times New Roman"/>
          <w:sz w:val="24"/>
          <w:szCs w:val="24"/>
        </w:rPr>
        <w:t xml:space="preserve">New Zealand </w:t>
      </w:r>
      <w:r w:rsidR="007F42D6">
        <w:rPr>
          <w:rFonts w:ascii="Times New Roman" w:hAnsi="Times New Roman" w:cs="Times New Roman"/>
          <w:sz w:val="24"/>
          <w:szCs w:val="24"/>
        </w:rPr>
        <w:t>General Social Survey</w:t>
      </w:r>
      <w:r w:rsidR="00136996">
        <w:rPr>
          <w:rFonts w:ascii="Times New Roman" w:hAnsi="Times New Roman" w:cs="Times New Roman"/>
          <w:sz w:val="24"/>
          <w:szCs w:val="24"/>
        </w:rPr>
        <w:t xml:space="preserve"> (NZGSS)</w:t>
      </w:r>
      <w:r w:rsidR="007F42D6">
        <w:rPr>
          <w:rFonts w:ascii="Times New Roman" w:hAnsi="Times New Roman" w:cs="Times New Roman"/>
          <w:sz w:val="24"/>
          <w:szCs w:val="24"/>
        </w:rPr>
        <w:t xml:space="preserve">. The final section </w:t>
      </w:r>
      <w:r w:rsidR="00521FA2">
        <w:rPr>
          <w:rFonts w:ascii="Times New Roman" w:hAnsi="Times New Roman" w:cs="Times New Roman"/>
          <w:sz w:val="24"/>
          <w:szCs w:val="24"/>
        </w:rPr>
        <w:t>discusses the results and concludes</w:t>
      </w:r>
      <w:r w:rsidR="007F42D6">
        <w:rPr>
          <w:rFonts w:ascii="Times New Roman" w:hAnsi="Times New Roman" w:cs="Times New Roman"/>
          <w:sz w:val="24"/>
          <w:szCs w:val="24"/>
        </w:rPr>
        <w:t>.</w:t>
      </w:r>
    </w:p>
    <w:p w14:paraId="6441E2EE" w14:textId="77777777" w:rsidR="00136996" w:rsidRDefault="00136996" w:rsidP="00981453">
      <w:pPr>
        <w:tabs>
          <w:tab w:val="left" w:pos="426"/>
        </w:tabs>
        <w:spacing w:after="0" w:line="288" w:lineRule="auto"/>
        <w:jc w:val="both"/>
        <w:rPr>
          <w:rFonts w:ascii="Times New Roman" w:hAnsi="Times New Roman" w:cs="Times New Roman"/>
          <w:sz w:val="24"/>
          <w:szCs w:val="24"/>
        </w:rPr>
      </w:pPr>
    </w:p>
    <w:p w14:paraId="7263D2AE" w14:textId="77777777" w:rsidR="00272700" w:rsidRDefault="00272700" w:rsidP="00981453">
      <w:pPr>
        <w:tabs>
          <w:tab w:val="left" w:pos="426"/>
        </w:tabs>
        <w:spacing w:after="0" w:line="288" w:lineRule="auto"/>
        <w:jc w:val="both"/>
        <w:rPr>
          <w:rFonts w:ascii="Times New Roman" w:hAnsi="Times New Roman" w:cs="Times New Roman"/>
          <w:sz w:val="24"/>
          <w:szCs w:val="24"/>
        </w:rPr>
      </w:pPr>
    </w:p>
    <w:p w14:paraId="4EABA771" w14:textId="6ED3B667" w:rsidR="007F42D6" w:rsidRDefault="00981453" w:rsidP="00981453">
      <w:pPr>
        <w:pStyle w:val="Heading2"/>
        <w:tabs>
          <w:tab w:val="left" w:pos="426"/>
        </w:tabs>
        <w:spacing w:before="0" w:line="288" w:lineRule="auto"/>
        <w:rPr>
          <w:rFonts w:asciiTheme="majorBidi" w:hAnsiTheme="majorBidi"/>
          <w:color w:val="auto"/>
          <w:sz w:val="24"/>
          <w:szCs w:val="24"/>
        </w:rPr>
      </w:pPr>
      <w:r w:rsidRPr="00981453">
        <w:rPr>
          <w:rFonts w:asciiTheme="majorBidi" w:hAnsiTheme="majorBidi"/>
          <w:color w:val="auto"/>
          <w:sz w:val="24"/>
          <w:szCs w:val="24"/>
        </w:rPr>
        <w:t>Identification S</w:t>
      </w:r>
      <w:r w:rsidR="007F42D6" w:rsidRPr="00981453">
        <w:rPr>
          <w:rFonts w:asciiTheme="majorBidi" w:hAnsiTheme="majorBidi"/>
          <w:color w:val="auto"/>
          <w:sz w:val="24"/>
          <w:szCs w:val="24"/>
        </w:rPr>
        <w:t>trategy</w:t>
      </w:r>
    </w:p>
    <w:p w14:paraId="0C435DDE" w14:textId="77777777" w:rsidR="00981453" w:rsidRPr="00981453" w:rsidRDefault="00981453" w:rsidP="00981453">
      <w:pPr>
        <w:tabs>
          <w:tab w:val="left" w:pos="426"/>
        </w:tabs>
        <w:spacing w:after="0" w:line="288" w:lineRule="auto"/>
        <w:jc w:val="both"/>
        <w:rPr>
          <w:rFonts w:ascii="Times New Roman" w:hAnsi="Times New Roman" w:cs="Times New Roman"/>
          <w:sz w:val="12"/>
          <w:szCs w:val="12"/>
        </w:rPr>
      </w:pPr>
    </w:p>
    <w:p w14:paraId="2A4371DE" w14:textId="77777777" w:rsidR="007F42D6" w:rsidRDefault="007F42D6" w:rsidP="00981453">
      <w:pPr>
        <w:tabs>
          <w:tab w:val="left" w:pos="426"/>
        </w:tabs>
        <w:spacing w:after="0" w:line="288" w:lineRule="auto"/>
        <w:jc w:val="both"/>
        <w:rPr>
          <w:rFonts w:ascii="Times New Roman" w:hAnsi="Times New Roman" w:cs="Times New Roman"/>
          <w:sz w:val="24"/>
          <w:szCs w:val="24"/>
        </w:rPr>
      </w:pPr>
      <w:r w:rsidRPr="005D46BE">
        <w:rPr>
          <w:rFonts w:ascii="Times New Roman" w:hAnsi="Times New Roman" w:cs="Times New Roman"/>
          <w:sz w:val="24"/>
          <w:szCs w:val="24"/>
        </w:rPr>
        <w:t xml:space="preserve">There are two critical methodological issues that must be overcome in investigating the effects of labour force participation on life satisfaction or wellbeing. First is the role of selection bias. Older people choose whether or not to participate in the labour market, and it is likely that those who believe that their wellbeing is likely to be increased as a result of working will work, while those who believe that their wellbeing will be likely to be reduced will choose not to work. Thus, simply comparing the wellbeing of older people who are working with those who are not working will not reveal the ‘true’ difference in wellbeing between an individual working and </w:t>
      </w:r>
      <w:r w:rsidRPr="005D46BE">
        <w:rPr>
          <w:rFonts w:ascii="Times New Roman" w:hAnsi="Times New Roman" w:cs="Times New Roman"/>
          <w:i/>
          <w:iCs/>
          <w:sz w:val="24"/>
          <w:szCs w:val="24"/>
        </w:rPr>
        <w:t>that same individual</w:t>
      </w:r>
      <w:r w:rsidRPr="005D46BE">
        <w:rPr>
          <w:rFonts w:ascii="Times New Roman" w:hAnsi="Times New Roman" w:cs="Times New Roman"/>
          <w:sz w:val="24"/>
          <w:szCs w:val="24"/>
        </w:rPr>
        <w:t xml:space="preserve"> not working. </w:t>
      </w:r>
    </w:p>
    <w:p w14:paraId="0F74D0A3" w14:textId="77777777" w:rsidR="00981453" w:rsidRPr="005D46BE" w:rsidRDefault="00981453" w:rsidP="00981453">
      <w:pPr>
        <w:tabs>
          <w:tab w:val="left" w:pos="426"/>
        </w:tabs>
        <w:spacing w:after="0" w:line="288" w:lineRule="auto"/>
        <w:jc w:val="both"/>
        <w:rPr>
          <w:rFonts w:ascii="Times New Roman" w:hAnsi="Times New Roman" w:cs="Times New Roman"/>
          <w:sz w:val="24"/>
          <w:szCs w:val="24"/>
        </w:rPr>
      </w:pPr>
    </w:p>
    <w:p w14:paraId="787426FD" w14:textId="6E6F57F4" w:rsidR="007F42D6" w:rsidRPr="005D46BE" w:rsidRDefault="00981453" w:rsidP="00FA524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F42D6" w:rsidRPr="005D46BE">
        <w:rPr>
          <w:rFonts w:ascii="Times New Roman" w:hAnsi="Times New Roman" w:cs="Times New Roman"/>
          <w:sz w:val="24"/>
          <w:szCs w:val="24"/>
        </w:rPr>
        <w:t xml:space="preserve">Second, any analysis of the relationship between labour force participation and wellbeing must take account of the critical role of health. Health affects labour force participation, as healthier workers are more able to work. However, health has been shown to have a separate </w:t>
      </w:r>
      <w:r w:rsidR="007F42D6" w:rsidRPr="0006103F">
        <w:rPr>
          <w:rFonts w:ascii="Times New Roman" w:hAnsi="Times New Roman" w:cs="Times New Roman"/>
          <w:sz w:val="24"/>
          <w:szCs w:val="24"/>
        </w:rPr>
        <w:t>direct effect on life satisfaction</w:t>
      </w:r>
      <w:r w:rsidR="0083210C" w:rsidRPr="0006103F">
        <w:rPr>
          <w:rFonts w:ascii="Times New Roman" w:hAnsi="Times New Roman" w:cs="Times New Roman"/>
          <w:sz w:val="24"/>
          <w:szCs w:val="24"/>
        </w:rPr>
        <w:t>, especially amon</w:t>
      </w:r>
      <w:r w:rsidR="00B310CD">
        <w:rPr>
          <w:rFonts w:ascii="Times New Roman" w:hAnsi="Times New Roman" w:cs="Times New Roman"/>
          <w:sz w:val="24"/>
          <w:szCs w:val="24"/>
        </w:rPr>
        <w:t xml:space="preserve">g older people (Coe </w:t>
      </w:r>
      <w:r w:rsidR="000A010D">
        <w:rPr>
          <w:rFonts w:ascii="Times New Roman" w:hAnsi="Times New Roman" w:cs="Times New Roman"/>
          <w:sz w:val="24"/>
          <w:szCs w:val="24"/>
        </w:rPr>
        <w:t>and</w:t>
      </w:r>
      <w:r w:rsidR="00FA5245">
        <w:rPr>
          <w:rFonts w:ascii="Times New Roman" w:hAnsi="Times New Roman" w:cs="Times New Roman"/>
          <w:sz w:val="24"/>
          <w:szCs w:val="24"/>
        </w:rPr>
        <w:t xml:space="preserve"> </w:t>
      </w:r>
      <w:proofErr w:type="spellStart"/>
      <w:r w:rsidR="00B310CD">
        <w:rPr>
          <w:rFonts w:ascii="Times New Roman" w:hAnsi="Times New Roman" w:cs="Times New Roman"/>
          <w:sz w:val="24"/>
          <w:szCs w:val="24"/>
        </w:rPr>
        <w:t>Zamarro</w:t>
      </w:r>
      <w:proofErr w:type="spellEnd"/>
      <w:r w:rsidR="00B310CD">
        <w:rPr>
          <w:rFonts w:ascii="Times New Roman" w:hAnsi="Times New Roman" w:cs="Times New Roman"/>
          <w:sz w:val="24"/>
          <w:szCs w:val="24"/>
        </w:rPr>
        <w:t xml:space="preserve"> 2011</w:t>
      </w:r>
      <w:r w:rsidR="008E7630">
        <w:rPr>
          <w:rFonts w:ascii="Times New Roman" w:hAnsi="Times New Roman" w:cs="Times New Roman"/>
          <w:sz w:val="24"/>
          <w:szCs w:val="24"/>
        </w:rPr>
        <w:t>,</w:t>
      </w:r>
      <w:r w:rsidR="00B310CD">
        <w:rPr>
          <w:rFonts w:ascii="Times New Roman" w:hAnsi="Times New Roman" w:cs="Times New Roman"/>
          <w:sz w:val="24"/>
          <w:szCs w:val="24"/>
        </w:rPr>
        <w:t xml:space="preserve"> </w:t>
      </w:r>
      <w:proofErr w:type="spellStart"/>
      <w:r w:rsidR="00B310CD">
        <w:rPr>
          <w:rFonts w:ascii="Times New Roman" w:hAnsi="Times New Roman" w:cs="Times New Roman"/>
          <w:sz w:val="24"/>
          <w:szCs w:val="24"/>
        </w:rPr>
        <w:t>Atalay</w:t>
      </w:r>
      <w:proofErr w:type="spellEnd"/>
      <w:r w:rsidR="00B310CD">
        <w:rPr>
          <w:rFonts w:ascii="Times New Roman" w:hAnsi="Times New Roman" w:cs="Times New Roman"/>
          <w:sz w:val="24"/>
          <w:szCs w:val="24"/>
        </w:rPr>
        <w:t xml:space="preserve"> </w:t>
      </w:r>
      <w:r w:rsidR="000A010D">
        <w:rPr>
          <w:rFonts w:ascii="Times New Roman" w:hAnsi="Times New Roman" w:cs="Times New Roman"/>
          <w:sz w:val="24"/>
          <w:szCs w:val="24"/>
        </w:rPr>
        <w:t>and</w:t>
      </w:r>
      <w:r w:rsidR="00FA5245">
        <w:rPr>
          <w:rFonts w:ascii="Times New Roman" w:hAnsi="Times New Roman" w:cs="Times New Roman"/>
          <w:sz w:val="24"/>
          <w:szCs w:val="24"/>
        </w:rPr>
        <w:t xml:space="preserve"> </w:t>
      </w:r>
      <w:r w:rsidR="00B310CD">
        <w:rPr>
          <w:rFonts w:ascii="Times New Roman" w:hAnsi="Times New Roman" w:cs="Times New Roman"/>
          <w:sz w:val="24"/>
          <w:szCs w:val="24"/>
        </w:rPr>
        <w:t>Barrett</w:t>
      </w:r>
      <w:r w:rsidR="008E7630">
        <w:rPr>
          <w:rFonts w:ascii="Times New Roman" w:hAnsi="Times New Roman" w:cs="Times New Roman"/>
          <w:sz w:val="24"/>
          <w:szCs w:val="24"/>
        </w:rPr>
        <w:t xml:space="preserve"> </w:t>
      </w:r>
      <w:r w:rsidR="0083210C" w:rsidRPr="0006103F">
        <w:rPr>
          <w:rFonts w:ascii="Times New Roman" w:hAnsi="Times New Roman" w:cs="Times New Roman"/>
          <w:sz w:val="24"/>
          <w:szCs w:val="24"/>
        </w:rPr>
        <w:t>2014</w:t>
      </w:r>
      <w:r w:rsidR="0083210C">
        <w:rPr>
          <w:rFonts w:ascii="Times New Roman" w:hAnsi="Times New Roman" w:cs="Times New Roman"/>
          <w:sz w:val="24"/>
          <w:szCs w:val="24"/>
        </w:rPr>
        <w:t>)</w:t>
      </w:r>
      <w:r w:rsidR="007F42D6" w:rsidRPr="005D46BE">
        <w:rPr>
          <w:rFonts w:ascii="Times New Roman" w:hAnsi="Times New Roman" w:cs="Times New Roman"/>
          <w:sz w:val="24"/>
          <w:szCs w:val="24"/>
        </w:rPr>
        <w:t>. This creates a problem of endogeneity. If we simply investigate the effect of labour force participation on life satisfaction while controlling for health, we would be ignoring the fact that health also directly affects labour force participation.</w:t>
      </w:r>
    </w:p>
    <w:p w14:paraId="1B08B3D8" w14:textId="2BD5FE3E" w:rsidR="0083210C" w:rsidRDefault="00981453" w:rsidP="00FA524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F42D6" w:rsidRPr="005D46BE">
        <w:rPr>
          <w:rFonts w:ascii="Times New Roman" w:hAnsi="Times New Roman" w:cs="Times New Roman"/>
          <w:sz w:val="24"/>
          <w:szCs w:val="24"/>
        </w:rPr>
        <w:t>To overcome both of these issues, we use instrumen</w:t>
      </w:r>
      <w:r w:rsidR="00B310CD">
        <w:rPr>
          <w:rFonts w:ascii="Times New Roman" w:hAnsi="Times New Roman" w:cs="Times New Roman"/>
          <w:sz w:val="24"/>
          <w:szCs w:val="24"/>
        </w:rPr>
        <w:t>tal variables regression (Pearl 2000</w:t>
      </w:r>
      <w:r w:rsidR="008E7630">
        <w:rPr>
          <w:rFonts w:ascii="Times New Roman" w:hAnsi="Times New Roman" w:cs="Times New Roman"/>
          <w:sz w:val="24"/>
          <w:szCs w:val="24"/>
        </w:rPr>
        <w:t>,</w:t>
      </w:r>
      <w:r w:rsidR="00B310CD">
        <w:rPr>
          <w:rFonts w:ascii="Times New Roman" w:hAnsi="Times New Roman" w:cs="Times New Roman"/>
          <w:sz w:val="24"/>
          <w:szCs w:val="24"/>
        </w:rPr>
        <w:t xml:space="preserve"> Angrist </w:t>
      </w:r>
      <w:r w:rsidR="000A010D">
        <w:rPr>
          <w:rFonts w:ascii="Times New Roman" w:hAnsi="Times New Roman" w:cs="Times New Roman"/>
          <w:sz w:val="24"/>
          <w:szCs w:val="24"/>
        </w:rPr>
        <w:t>and</w:t>
      </w:r>
      <w:r w:rsidR="00FA5245">
        <w:rPr>
          <w:rFonts w:ascii="Times New Roman" w:hAnsi="Times New Roman" w:cs="Times New Roman"/>
          <w:sz w:val="24"/>
          <w:szCs w:val="24"/>
        </w:rPr>
        <w:t xml:space="preserve"> </w:t>
      </w:r>
      <w:r w:rsidR="00B310CD">
        <w:rPr>
          <w:rFonts w:ascii="Times New Roman" w:hAnsi="Times New Roman" w:cs="Times New Roman"/>
          <w:sz w:val="24"/>
          <w:szCs w:val="24"/>
        </w:rPr>
        <w:t>Krueger</w:t>
      </w:r>
      <w:r w:rsidR="007F42D6" w:rsidRPr="005D46BE">
        <w:rPr>
          <w:rFonts w:ascii="Times New Roman" w:hAnsi="Times New Roman" w:cs="Times New Roman"/>
          <w:sz w:val="24"/>
          <w:szCs w:val="24"/>
        </w:rPr>
        <w:t xml:space="preserve"> 2001). This approach requires at least one variable that affects labour force participation that does not separately affect life satisfaction.</w:t>
      </w:r>
      <w:r w:rsidR="0083210C">
        <w:rPr>
          <w:rFonts w:ascii="Times New Roman" w:hAnsi="Times New Roman" w:cs="Times New Roman"/>
          <w:sz w:val="24"/>
          <w:szCs w:val="24"/>
        </w:rPr>
        <w:t xml:space="preserve"> Moreover, as we are considering both full-time and part-time work separately, we require </w:t>
      </w:r>
      <w:r w:rsidR="0083210C">
        <w:rPr>
          <w:rFonts w:ascii="Times New Roman" w:hAnsi="Times New Roman" w:cs="Times New Roman"/>
          <w:i/>
          <w:sz w:val="24"/>
          <w:szCs w:val="24"/>
        </w:rPr>
        <w:t>two</w:t>
      </w:r>
      <w:r w:rsidR="0083210C">
        <w:rPr>
          <w:rFonts w:ascii="Times New Roman" w:hAnsi="Times New Roman" w:cs="Times New Roman"/>
          <w:sz w:val="24"/>
          <w:szCs w:val="24"/>
        </w:rPr>
        <w:t xml:space="preserve"> instrumental variables. For an instrumental variable to be valid, it must plausibly be related to the endogenous variable (</w:t>
      </w:r>
      <w:r w:rsidR="00A41126">
        <w:rPr>
          <w:rFonts w:ascii="Times New Roman" w:hAnsi="Times New Roman" w:cs="Times New Roman"/>
          <w:sz w:val="24"/>
          <w:szCs w:val="24"/>
        </w:rPr>
        <w:t>in this case full-time or part-time work</w:t>
      </w:r>
      <w:r w:rsidR="0083210C">
        <w:rPr>
          <w:rFonts w:ascii="Times New Roman" w:hAnsi="Times New Roman" w:cs="Times New Roman"/>
          <w:sz w:val="24"/>
          <w:szCs w:val="24"/>
        </w:rPr>
        <w:t>), but not have a direct influence on the dependent variable (life satisfaction).</w:t>
      </w:r>
    </w:p>
    <w:p w14:paraId="326ADB33"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37E829BB" w14:textId="3965D8DE" w:rsidR="007F42D6" w:rsidRDefault="00981453" w:rsidP="00FA524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3210C">
        <w:rPr>
          <w:rFonts w:ascii="Times New Roman" w:hAnsi="Times New Roman" w:cs="Times New Roman"/>
          <w:sz w:val="24"/>
          <w:szCs w:val="24"/>
        </w:rPr>
        <w:t>First, w</w:t>
      </w:r>
      <w:r w:rsidR="007F42D6" w:rsidRPr="005D46BE">
        <w:rPr>
          <w:rFonts w:ascii="Times New Roman" w:hAnsi="Times New Roman" w:cs="Times New Roman"/>
          <w:sz w:val="24"/>
          <w:szCs w:val="24"/>
        </w:rPr>
        <w:t>e argue that gender is one such variable.</w:t>
      </w:r>
      <w:r w:rsidR="0083210C">
        <w:rPr>
          <w:rFonts w:ascii="Times New Roman" w:hAnsi="Times New Roman" w:cs="Times New Roman"/>
          <w:sz w:val="24"/>
          <w:szCs w:val="24"/>
        </w:rPr>
        <w:t xml:space="preserve"> In terms of relationship to the endogenous variable,</w:t>
      </w:r>
      <w:r w:rsidR="007F42D6" w:rsidRPr="005D46BE">
        <w:rPr>
          <w:rFonts w:ascii="Times New Roman" w:hAnsi="Times New Roman" w:cs="Times New Roman"/>
          <w:sz w:val="24"/>
          <w:szCs w:val="24"/>
        </w:rPr>
        <w:t xml:space="preserve"> </w:t>
      </w:r>
      <w:r w:rsidR="0083210C">
        <w:rPr>
          <w:rFonts w:ascii="Times New Roman" w:hAnsi="Times New Roman" w:cs="Times New Roman"/>
          <w:sz w:val="24"/>
          <w:szCs w:val="24"/>
        </w:rPr>
        <w:t>m</w:t>
      </w:r>
      <w:r w:rsidR="007F42D6" w:rsidRPr="005D46BE">
        <w:rPr>
          <w:rFonts w:ascii="Times New Roman" w:hAnsi="Times New Roman" w:cs="Times New Roman"/>
          <w:sz w:val="24"/>
          <w:szCs w:val="24"/>
        </w:rPr>
        <w:t>en have higher labour force participation than women, and there is no theoretical reason why life satisfaction should be higher among men than women, or vice versa.</w:t>
      </w:r>
      <w:r w:rsidR="0083210C">
        <w:rPr>
          <w:rFonts w:ascii="Times New Roman" w:hAnsi="Times New Roman" w:cs="Times New Roman"/>
          <w:sz w:val="24"/>
          <w:szCs w:val="24"/>
        </w:rPr>
        <w:t xml:space="preserve"> While past studies have demonstrated that life satisfaction does differ between men and women (</w:t>
      </w:r>
      <w:r w:rsidR="008E7630">
        <w:rPr>
          <w:rFonts w:ascii="Times New Roman" w:hAnsi="Times New Roman" w:cs="Times New Roman"/>
          <w:sz w:val="24"/>
          <w:szCs w:val="24"/>
        </w:rPr>
        <w:t>see, for example,</w:t>
      </w:r>
      <w:r w:rsidR="0083210C">
        <w:rPr>
          <w:rFonts w:ascii="Times New Roman" w:hAnsi="Times New Roman" w:cs="Times New Roman"/>
          <w:sz w:val="24"/>
          <w:szCs w:val="24"/>
        </w:rPr>
        <w:t xml:space="preserve"> </w:t>
      </w:r>
      <w:proofErr w:type="spellStart"/>
      <w:r w:rsidR="0083210C">
        <w:rPr>
          <w:rFonts w:ascii="Times New Roman" w:hAnsi="Times New Roman" w:cs="Times New Roman"/>
          <w:sz w:val="24"/>
          <w:szCs w:val="24"/>
        </w:rPr>
        <w:t>Bonsang</w:t>
      </w:r>
      <w:proofErr w:type="spellEnd"/>
      <w:r w:rsidR="0083210C">
        <w:rPr>
          <w:rFonts w:ascii="Times New Roman" w:hAnsi="Times New Roman" w:cs="Times New Roman"/>
          <w:sz w:val="24"/>
          <w:szCs w:val="24"/>
        </w:rPr>
        <w:t xml:space="preserve"> </w:t>
      </w:r>
      <w:r w:rsidR="000A010D">
        <w:rPr>
          <w:rFonts w:ascii="Times New Roman" w:hAnsi="Times New Roman" w:cs="Times New Roman"/>
          <w:sz w:val="24"/>
          <w:szCs w:val="24"/>
        </w:rPr>
        <w:t>and</w:t>
      </w:r>
      <w:r w:rsidR="00FA5245">
        <w:rPr>
          <w:rFonts w:ascii="Times New Roman" w:hAnsi="Times New Roman" w:cs="Times New Roman"/>
          <w:sz w:val="24"/>
          <w:szCs w:val="24"/>
        </w:rPr>
        <w:t xml:space="preserve"> </w:t>
      </w:r>
      <w:r w:rsidR="008E7630">
        <w:rPr>
          <w:rFonts w:ascii="Times New Roman" w:hAnsi="Times New Roman" w:cs="Times New Roman"/>
          <w:sz w:val="24"/>
          <w:szCs w:val="24"/>
        </w:rPr>
        <w:t>Klein</w:t>
      </w:r>
      <w:r w:rsidR="0083210C">
        <w:rPr>
          <w:rFonts w:ascii="Times New Roman" w:hAnsi="Times New Roman" w:cs="Times New Roman"/>
          <w:sz w:val="24"/>
          <w:szCs w:val="24"/>
        </w:rPr>
        <w:t xml:space="preserve"> 2002), past studies of life satisfaction among older people that demonstrate differences by gender have not controlled for labour force participation. While the reader might be sceptical of this approach, we demonstrate in our results that gender has no independent and statistically significant effect on life satisfaction, which </w:t>
      </w:r>
      <w:r w:rsidR="00895A62">
        <w:rPr>
          <w:rFonts w:ascii="Times New Roman" w:hAnsi="Times New Roman" w:cs="Times New Roman"/>
          <w:sz w:val="24"/>
          <w:szCs w:val="24"/>
        </w:rPr>
        <w:t>enables its use as an instrument (see Results section)</w:t>
      </w:r>
      <w:r w:rsidR="0083210C">
        <w:rPr>
          <w:rFonts w:ascii="Times New Roman" w:hAnsi="Times New Roman" w:cs="Times New Roman"/>
          <w:sz w:val="24"/>
          <w:szCs w:val="24"/>
        </w:rPr>
        <w:t>.</w:t>
      </w:r>
    </w:p>
    <w:p w14:paraId="58B65943"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00D414A1" w14:textId="77777777" w:rsidR="00B310CD" w:rsidRDefault="0098145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95A62">
        <w:rPr>
          <w:rFonts w:ascii="Times New Roman" w:hAnsi="Times New Roman" w:cs="Times New Roman"/>
          <w:sz w:val="24"/>
          <w:szCs w:val="24"/>
        </w:rPr>
        <w:t xml:space="preserve">Second, labour force participation among older people will depend on the availability and desirability of local employment opportunities. We use two variables defined at the regional level to capture this: (1) regional </w:t>
      </w:r>
      <w:r w:rsidR="0006659D">
        <w:rPr>
          <w:rFonts w:ascii="Times New Roman" w:hAnsi="Times New Roman" w:cs="Times New Roman"/>
          <w:sz w:val="24"/>
          <w:szCs w:val="24"/>
        </w:rPr>
        <w:t xml:space="preserve">sex-specific </w:t>
      </w:r>
      <w:r w:rsidR="00895A62">
        <w:rPr>
          <w:rFonts w:ascii="Times New Roman" w:hAnsi="Times New Roman" w:cs="Times New Roman"/>
          <w:sz w:val="24"/>
          <w:szCs w:val="24"/>
        </w:rPr>
        <w:t xml:space="preserve">employment rates (number of employed people </w:t>
      </w:r>
      <w:r w:rsidR="0006659D">
        <w:rPr>
          <w:rFonts w:ascii="Times New Roman" w:hAnsi="Times New Roman" w:cs="Times New Roman"/>
          <w:sz w:val="24"/>
          <w:szCs w:val="24"/>
        </w:rPr>
        <w:t xml:space="preserve">of each sex </w:t>
      </w:r>
      <w:r w:rsidR="00895A62">
        <w:rPr>
          <w:rFonts w:ascii="Times New Roman" w:hAnsi="Times New Roman" w:cs="Times New Roman"/>
          <w:sz w:val="24"/>
          <w:szCs w:val="24"/>
        </w:rPr>
        <w:t>as a proportion of the working age population, defined as those aged 15</w:t>
      </w:r>
      <w:r w:rsidR="00556D13">
        <w:rPr>
          <w:rFonts w:ascii="Times New Roman" w:hAnsi="Times New Roman" w:cs="Times New Roman"/>
          <w:sz w:val="24"/>
          <w:szCs w:val="24"/>
        </w:rPr>
        <w:t xml:space="preserve"> and over</w:t>
      </w:r>
      <w:r w:rsidR="00895A62">
        <w:rPr>
          <w:rFonts w:ascii="Times New Roman" w:hAnsi="Times New Roman" w:cs="Times New Roman"/>
          <w:sz w:val="24"/>
          <w:szCs w:val="24"/>
        </w:rPr>
        <w:t xml:space="preserve">); and (2) regional </w:t>
      </w:r>
      <w:r w:rsidR="00B97B9E">
        <w:rPr>
          <w:rFonts w:ascii="Times New Roman" w:hAnsi="Times New Roman" w:cs="Times New Roman"/>
          <w:sz w:val="24"/>
          <w:szCs w:val="24"/>
        </w:rPr>
        <w:t xml:space="preserve">prime-age </w:t>
      </w:r>
      <w:r w:rsidR="00895A62">
        <w:rPr>
          <w:rFonts w:ascii="Times New Roman" w:hAnsi="Times New Roman" w:cs="Times New Roman"/>
          <w:sz w:val="24"/>
          <w:szCs w:val="24"/>
        </w:rPr>
        <w:t xml:space="preserve">internal in-migration rate (defined as the number of people aged </w:t>
      </w:r>
      <w:r w:rsidR="00B97B9E">
        <w:rPr>
          <w:rFonts w:ascii="Times New Roman" w:hAnsi="Times New Roman" w:cs="Times New Roman"/>
          <w:sz w:val="24"/>
          <w:szCs w:val="24"/>
        </w:rPr>
        <w:t>20-49</w:t>
      </w:r>
      <w:r w:rsidR="00895A62">
        <w:rPr>
          <w:rFonts w:ascii="Times New Roman" w:hAnsi="Times New Roman" w:cs="Times New Roman"/>
          <w:sz w:val="24"/>
          <w:szCs w:val="24"/>
        </w:rPr>
        <w:t xml:space="preserve"> who moved into the region from elsewhere in New Zealand over the period 2008-2013, divided by the regional population in 2008). </w:t>
      </w:r>
    </w:p>
    <w:p w14:paraId="166276EE" w14:textId="77777777" w:rsidR="00B310CD" w:rsidRDefault="00B310CD" w:rsidP="00981453">
      <w:pPr>
        <w:tabs>
          <w:tab w:val="left" w:pos="426"/>
        </w:tabs>
        <w:spacing w:after="0" w:line="288" w:lineRule="auto"/>
        <w:jc w:val="both"/>
        <w:rPr>
          <w:rFonts w:ascii="Times New Roman" w:hAnsi="Times New Roman" w:cs="Times New Roman"/>
          <w:sz w:val="24"/>
          <w:szCs w:val="24"/>
        </w:rPr>
      </w:pPr>
    </w:p>
    <w:p w14:paraId="6095B09E" w14:textId="5A7940BB" w:rsidR="00895A62" w:rsidRDefault="00B310CD"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95A62">
        <w:rPr>
          <w:rFonts w:ascii="Times New Roman" w:hAnsi="Times New Roman" w:cs="Times New Roman"/>
          <w:sz w:val="24"/>
          <w:szCs w:val="24"/>
        </w:rPr>
        <w:t>The regional employment rate of those not at retirement age captures the availability of jobs in the region, which will affect the difficulty for older people to obtain work, and affect their labour force participation. It is unlikely to have a direct effect on life satisfaction of older people</w:t>
      </w:r>
      <w:r w:rsidR="00556D13">
        <w:rPr>
          <w:rFonts w:ascii="Times New Roman" w:hAnsi="Times New Roman" w:cs="Times New Roman"/>
          <w:sz w:val="24"/>
          <w:szCs w:val="24"/>
        </w:rPr>
        <w:t>, even though older people are included within the working age population, as they make up only a small proportion of those with employment in each region</w:t>
      </w:r>
      <w:r w:rsidR="00895A62">
        <w:rPr>
          <w:rFonts w:ascii="Times New Roman" w:hAnsi="Times New Roman" w:cs="Times New Roman"/>
          <w:sz w:val="24"/>
          <w:szCs w:val="24"/>
        </w:rPr>
        <w:t>. The regional in-migration rate captures the desirability of the region, which partially depends on the availability of suitable employment opportunities, especially for those of working age. Again, it is unlikely to have a direct effect on life satisfaction of older people.</w:t>
      </w:r>
    </w:p>
    <w:p w14:paraId="07C9B81E" w14:textId="78B52F94" w:rsidR="00B310CD" w:rsidRDefault="00B310CD">
      <w:pPr>
        <w:rPr>
          <w:rFonts w:ascii="Times New Roman" w:hAnsi="Times New Roman" w:cs="Times New Roman"/>
          <w:sz w:val="24"/>
          <w:szCs w:val="24"/>
        </w:rPr>
      </w:pPr>
      <w:r>
        <w:rPr>
          <w:rFonts w:ascii="Times New Roman" w:hAnsi="Times New Roman" w:cs="Times New Roman"/>
          <w:sz w:val="24"/>
          <w:szCs w:val="24"/>
        </w:rPr>
        <w:br w:type="page"/>
      </w:r>
    </w:p>
    <w:p w14:paraId="0B6EF5C0" w14:textId="04E84A3C" w:rsidR="007F42D6" w:rsidRDefault="00981453" w:rsidP="00981453">
      <w:pPr>
        <w:pStyle w:val="Heading2"/>
        <w:tabs>
          <w:tab w:val="left" w:pos="426"/>
        </w:tabs>
        <w:spacing w:before="0" w:line="288" w:lineRule="auto"/>
        <w:rPr>
          <w:rFonts w:asciiTheme="majorBidi" w:hAnsiTheme="majorBidi"/>
          <w:color w:val="auto"/>
          <w:sz w:val="24"/>
          <w:szCs w:val="24"/>
        </w:rPr>
      </w:pPr>
      <w:r>
        <w:rPr>
          <w:rFonts w:asciiTheme="majorBidi" w:hAnsiTheme="majorBidi"/>
          <w:color w:val="auto"/>
          <w:sz w:val="24"/>
          <w:szCs w:val="24"/>
        </w:rPr>
        <w:lastRenderedPageBreak/>
        <w:t>Data and M</w:t>
      </w:r>
      <w:r w:rsidR="007F42D6" w:rsidRPr="00981453">
        <w:rPr>
          <w:rFonts w:asciiTheme="majorBidi" w:hAnsiTheme="majorBidi"/>
          <w:color w:val="auto"/>
          <w:sz w:val="24"/>
          <w:szCs w:val="24"/>
        </w:rPr>
        <w:t>ethods</w:t>
      </w:r>
    </w:p>
    <w:p w14:paraId="3937369F" w14:textId="77777777" w:rsidR="00981453" w:rsidRPr="00981453" w:rsidRDefault="00981453" w:rsidP="00981453">
      <w:pPr>
        <w:tabs>
          <w:tab w:val="left" w:pos="426"/>
        </w:tabs>
        <w:spacing w:after="0" w:line="288" w:lineRule="auto"/>
        <w:jc w:val="both"/>
        <w:rPr>
          <w:rFonts w:ascii="Times New Roman" w:hAnsi="Times New Roman" w:cs="Times New Roman"/>
          <w:sz w:val="12"/>
          <w:szCs w:val="12"/>
        </w:rPr>
      </w:pPr>
    </w:p>
    <w:p w14:paraId="3AD67CEC" w14:textId="77777777" w:rsidR="007F42D6" w:rsidRDefault="007F42D6"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Our data come</w:t>
      </w:r>
      <w:r w:rsidRPr="00362BA2">
        <w:rPr>
          <w:rFonts w:ascii="Times New Roman" w:hAnsi="Times New Roman" w:cs="Times New Roman"/>
          <w:sz w:val="24"/>
          <w:szCs w:val="24"/>
        </w:rPr>
        <w:t xml:space="preserve"> from </w:t>
      </w:r>
      <w:r>
        <w:rPr>
          <w:rFonts w:ascii="Times New Roman" w:hAnsi="Times New Roman" w:cs="Times New Roman"/>
          <w:sz w:val="24"/>
          <w:szCs w:val="24"/>
        </w:rPr>
        <w:t>a</w:t>
      </w:r>
      <w:r w:rsidRPr="00362BA2">
        <w:rPr>
          <w:rFonts w:ascii="Times New Roman" w:hAnsi="Times New Roman" w:cs="Times New Roman"/>
          <w:sz w:val="24"/>
          <w:szCs w:val="24"/>
        </w:rPr>
        <w:t xml:space="preserve"> </w:t>
      </w:r>
      <w:proofErr w:type="spellStart"/>
      <w:r w:rsidRPr="00362BA2">
        <w:rPr>
          <w:rFonts w:ascii="Times New Roman" w:hAnsi="Times New Roman" w:cs="Times New Roman"/>
          <w:sz w:val="24"/>
          <w:szCs w:val="24"/>
        </w:rPr>
        <w:t>Confidentialised</w:t>
      </w:r>
      <w:proofErr w:type="spellEnd"/>
      <w:r w:rsidRPr="00362BA2">
        <w:rPr>
          <w:rFonts w:ascii="Times New Roman" w:hAnsi="Times New Roman" w:cs="Times New Roman"/>
          <w:sz w:val="24"/>
          <w:szCs w:val="24"/>
        </w:rPr>
        <w:t xml:space="preserve"> Unit Record File (CURF) </w:t>
      </w:r>
      <w:r>
        <w:rPr>
          <w:rFonts w:ascii="Times New Roman" w:hAnsi="Times New Roman" w:cs="Times New Roman"/>
          <w:sz w:val="24"/>
          <w:szCs w:val="24"/>
        </w:rPr>
        <w:t xml:space="preserve">of </w:t>
      </w:r>
      <w:r w:rsidRPr="00362BA2">
        <w:rPr>
          <w:rFonts w:ascii="Times New Roman" w:hAnsi="Times New Roman" w:cs="Times New Roman"/>
          <w:sz w:val="24"/>
          <w:szCs w:val="24"/>
        </w:rPr>
        <w:t>the 2008, 2010 and 2012 waves of the New Zealand General Social Survey (NZGSS). The NZGSS is an official survey of wellbeing in New Zealand conducted bienni</w:t>
      </w:r>
      <w:r>
        <w:rPr>
          <w:rFonts w:ascii="Times New Roman" w:hAnsi="Times New Roman" w:cs="Times New Roman"/>
          <w:sz w:val="24"/>
          <w:szCs w:val="24"/>
        </w:rPr>
        <w:t>ally by Statistics New Zealand</w:t>
      </w:r>
      <w:r w:rsidR="00D208E7">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Pr="00362BA2">
        <w:rPr>
          <w:rFonts w:ascii="Times New Roman" w:hAnsi="Times New Roman" w:cs="Times New Roman"/>
          <w:sz w:val="24"/>
          <w:szCs w:val="24"/>
        </w:rPr>
        <w:t xml:space="preserve"> The NZGSS collects information at the household and at the individual level. Statistics New Zealand selects household participants by means of a sample selection method that selects 1,200 primary sampling units (PSU) from the Household Survey Frame, which is then narrowed down to eligible households from the selected PSUs. Eligible individuals (aged over 15 years) are randomly selected to complete the individual component of the NZGSS from each of the participating households.</w:t>
      </w:r>
      <w:r>
        <w:rPr>
          <w:rFonts w:ascii="Times New Roman" w:hAnsi="Times New Roman" w:cs="Times New Roman"/>
          <w:sz w:val="24"/>
          <w:szCs w:val="24"/>
        </w:rPr>
        <w:t xml:space="preserve"> </w:t>
      </w:r>
      <w:r w:rsidRPr="00362BA2">
        <w:rPr>
          <w:rFonts w:ascii="Times New Roman" w:hAnsi="Times New Roman" w:cs="Times New Roman"/>
          <w:sz w:val="24"/>
          <w:szCs w:val="24"/>
        </w:rPr>
        <w:t>The 2008, 2010, and 2012 basic NZGSS CURFs include 8,721, 8,550 and 8,462 individual responses respectively. There are a total of 25,733 observations in the merged dataset.</w:t>
      </w:r>
      <w:r>
        <w:rPr>
          <w:rFonts w:ascii="Times New Roman" w:hAnsi="Times New Roman" w:cs="Times New Roman"/>
          <w:sz w:val="24"/>
          <w:szCs w:val="24"/>
        </w:rPr>
        <w:t xml:space="preserve"> We restrict our analysis to those aged 65-79 years; a total of 5,856 observations across the three waves of the NZGSS. Of those, 5,851 respondents answered the life satisfaction question, and 4,2</w:t>
      </w:r>
      <w:r w:rsidR="00003016">
        <w:rPr>
          <w:rFonts w:ascii="Times New Roman" w:hAnsi="Times New Roman" w:cs="Times New Roman"/>
          <w:sz w:val="24"/>
          <w:szCs w:val="24"/>
        </w:rPr>
        <w:t>24</w:t>
      </w:r>
      <w:r>
        <w:rPr>
          <w:rFonts w:ascii="Times New Roman" w:hAnsi="Times New Roman" w:cs="Times New Roman"/>
          <w:sz w:val="24"/>
          <w:szCs w:val="24"/>
        </w:rPr>
        <w:t xml:space="preserve"> provided data for all of the variables used in our analysis.</w:t>
      </w:r>
    </w:p>
    <w:p w14:paraId="25FE575F"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1189E4F9" w14:textId="77777777" w:rsidR="00B310CD" w:rsidRDefault="0098145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C571B" w:rsidRPr="00362BA2">
        <w:rPr>
          <w:rFonts w:ascii="Times New Roman" w:hAnsi="Times New Roman" w:cs="Times New Roman"/>
          <w:sz w:val="24"/>
          <w:szCs w:val="24"/>
        </w:rPr>
        <w:t xml:space="preserve">The </w:t>
      </w:r>
      <w:r w:rsidR="008C571B">
        <w:rPr>
          <w:rFonts w:ascii="Times New Roman" w:hAnsi="Times New Roman" w:cs="Times New Roman"/>
          <w:sz w:val="24"/>
          <w:szCs w:val="24"/>
        </w:rPr>
        <w:t>NZGSS</w:t>
      </w:r>
      <w:r w:rsidR="008C571B" w:rsidRPr="00362BA2">
        <w:rPr>
          <w:rFonts w:ascii="Times New Roman" w:hAnsi="Times New Roman" w:cs="Times New Roman"/>
          <w:sz w:val="24"/>
          <w:szCs w:val="24"/>
        </w:rPr>
        <w:t xml:space="preserve"> </w:t>
      </w:r>
      <w:r w:rsidR="008C571B">
        <w:rPr>
          <w:rFonts w:ascii="Times New Roman" w:hAnsi="Times New Roman" w:cs="Times New Roman"/>
          <w:sz w:val="24"/>
          <w:szCs w:val="24"/>
        </w:rPr>
        <w:t>collects data on a variety of social indicators and demographics. Importantly, the dataset includes data on life satisfaction, self-reported health status and labour force status.</w:t>
      </w:r>
      <w:r w:rsidR="008C571B" w:rsidRPr="00362BA2">
        <w:rPr>
          <w:rFonts w:ascii="Times New Roman" w:hAnsi="Times New Roman" w:cs="Times New Roman"/>
          <w:sz w:val="24"/>
          <w:szCs w:val="24"/>
        </w:rPr>
        <w:t xml:space="preserve"> </w:t>
      </w:r>
      <w:r w:rsidR="008C571B">
        <w:rPr>
          <w:rFonts w:ascii="Times New Roman" w:hAnsi="Times New Roman" w:cs="Times New Roman"/>
          <w:sz w:val="24"/>
          <w:szCs w:val="24"/>
        </w:rPr>
        <w:t xml:space="preserve">Life satisfaction is measured as the response to the question: </w:t>
      </w:r>
      <w:r w:rsidR="00B310CD">
        <w:rPr>
          <w:rFonts w:ascii="Times New Roman" w:hAnsi="Times New Roman" w:cs="Times New Roman"/>
          <w:sz w:val="24"/>
          <w:szCs w:val="24"/>
        </w:rPr>
        <w:t>'</w:t>
      </w:r>
      <w:r w:rsidR="008C571B" w:rsidRPr="00362BA2">
        <w:rPr>
          <w:rFonts w:ascii="Times New Roman" w:hAnsi="Times New Roman" w:cs="Times New Roman"/>
          <w:sz w:val="24"/>
          <w:szCs w:val="24"/>
        </w:rPr>
        <w:t>How do you feel about your life as a whole right now?</w:t>
      </w:r>
      <w:r w:rsidR="00B310CD">
        <w:rPr>
          <w:rFonts w:ascii="Times New Roman" w:hAnsi="Times New Roman" w:cs="Times New Roman"/>
          <w:sz w:val="24"/>
          <w:szCs w:val="24"/>
        </w:rPr>
        <w:t>'</w:t>
      </w:r>
      <w:r w:rsidR="00A41126">
        <w:rPr>
          <w:rFonts w:ascii="Times New Roman" w:hAnsi="Times New Roman" w:cs="Times New Roman"/>
          <w:sz w:val="24"/>
          <w:szCs w:val="24"/>
        </w:rPr>
        <w:t>.</w:t>
      </w:r>
      <w:r w:rsidR="008C571B">
        <w:rPr>
          <w:rFonts w:ascii="Times New Roman" w:hAnsi="Times New Roman" w:cs="Times New Roman"/>
          <w:sz w:val="24"/>
          <w:szCs w:val="24"/>
        </w:rPr>
        <w:t xml:space="preserve"> Responses are measured on a five-point Likert scale</w:t>
      </w:r>
      <w:r w:rsidR="00B310CD">
        <w:rPr>
          <w:rFonts w:ascii="Times New Roman" w:hAnsi="Times New Roman" w:cs="Times New Roman"/>
          <w:sz w:val="24"/>
          <w:szCs w:val="24"/>
        </w:rPr>
        <w:t>:</w:t>
      </w:r>
    </w:p>
    <w:p w14:paraId="1315C912" w14:textId="77777777" w:rsidR="00B310CD" w:rsidRDefault="00B310CD"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C571B">
        <w:rPr>
          <w:rFonts w:ascii="Times New Roman" w:hAnsi="Times New Roman" w:cs="Times New Roman"/>
          <w:sz w:val="24"/>
          <w:szCs w:val="24"/>
        </w:rPr>
        <w:t xml:space="preserve">1 = </w:t>
      </w:r>
      <w:r w:rsidR="008C571B" w:rsidRPr="00362BA2">
        <w:rPr>
          <w:rFonts w:ascii="Times New Roman" w:hAnsi="Times New Roman" w:cs="Times New Roman"/>
          <w:sz w:val="24"/>
          <w:szCs w:val="24"/>
        </w:rPr>
        <w:t>Very Satisfied</w:t>
      </w:r>
    </w:p>
    <w:p w14:paraId="735E2EB2" w14:textId="77777777" w:rsidR="00B310CD" w:rsidRDefault="008C571B"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10CD">
        <w:rPr>
          <w:rFonts w:ascii="Times New Roman" w:hAnsi="Times New Roman" w:cs="Times New Roman"/>
          <w:sz w:val="24"/>
          <w:szCs w:val="24"/>
        </w:rPr>
        <w:tab/>
      </w:r>
      <w:r w:rsidRPr="00362BA2">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362BA2">
        <w:rPr>
          <w:rFonts w:ascii="Times New Roman" w:hAnsi="Times New Roman" w:cs="Times New Roman"/>
          <w:sz w:val="24"/>
          <w:szCs w:val="24"/>
        </w:rPr>
        <w:t>Satisfied</w:t>
      </w:r>
    </w:p>
    <w:p w14:paraId="74636BBB" w14:textId="77777777" w:rsidR="00B310CD" w:rsidRDefault="008C571B"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10CD">
        <w:rPr>
          <w:rFonts w:ascii="Times New Roman" w:hAnsi="Times New Roman" w:cs="Times New Roman"/>
          <w:sz w:val="24"/>
          <w:szCs w:val="24"/>
        </w:rPr>
        <w:tab/>
      </w:r>
      <w:r>
        <w:rPr>
          <w:rFonts w:ascii="Times New Roman" w:hAnsi="Times New Roman" w:cs="Times New Roman"/>
          <w:sz w:val="24"/>
          <w:szCs w:val="24"/>
        </w:rPr>
        <w:t>3 =</w:t>
      </w:r>
      <w:r w:rsidRPr="00362BA2">
        <w:rPr>
          <w:rFonts w:ascii="Times New Roman" w:hAnsi="Times New Roman" w:cs="Times New Roman"/>
          <w:sz w:val="24"/>
          <w:szCs w:val="24"/>
        </w:rPr>
        <w:t xml:space="preserve"> No feeling either way</w:t>
      </w:r>
    </w:p>
    <w:p w14:paraId="3AF24B5A" w14:textId="77777777" w:rsidR="00B310CD" w:rsidRDefault="008C571B"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10CD">
        <w:rPr>
          <w:rFonts w:ascii="Times New Roman" w:hAnsi="Times New Roman" w:cs="Times New Roman"/>
          <w:sz w:val="24"/>
          <w:szCs w:val="24"/>
        </w:rPr>
        <w:tab/>
      </w:r>
      <w:r>
        <w:rPr>
          <w:rFonts w:ascii="Times New Roman" w:hAnsi="Times New Roman" w:cs="Times New Roman"/>
          <w:sz w:val="24"/>
          <w:szCs w:val="24"/>
        </w:rPr>
        <w:t>4 =</w:t>
      </w:r>
      <w:r w:rsidRPr="00362BA2">
        <w:rPr>
          <w:rFonts w:ascii="Times New Roman" w:hAnsi="Times New Roman" w:cs="Times New Roman"/>
          <w:sz w:val="24"/>
          <w:szCs w:val="24"/>
        </w:rPr>
        <w:t xml:space="preserve"> Dissatisfied</w:t>
      </w:r>
    </w:p>
    <w:p w14:paraId="0C9D58F1" w14:textId="77777777" w:rsidR="00B310CD" w:rsidRDefault="00B310CD"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C571B">
        <w:rPr>
          <w:rFonts w:ascii="Times New Roman" w:hAnsi="Times New Roman" w:cs="Times New Roman"/>
          <w:sz w:val="24"/>
          <w:szCs w:val="24"/>
        </w:rPr>
        <w:t>5 =</w:t>
      </w:r>
      <w:r w:rsidR="008C571B" w:rsidRPr="00362BA2">
        <w:rPr>
          <w:rFonts w:ascii="Times New Roman" w:hAnsi="Times New Roman" w:cs="Times New Roman"/>
          <w:sz w:val="24"/>
          <w:szCs w:val="24"/>
        </w:rPr>
        <w:t xml:space="preserve"> Very dissatisfied</w:t>
      </w:r>
      <w:r>
        <w:rPr>
          <w:rFonts w:ascii="Times New Roman" w:hAnsi="Times New Roman" w:cs="Times New Roman"/>
          <w:sz w:val="24"/>
          <w:szCs w:val="24"/>
        </w:rPr>
        <w:t>.</w:t>
      </w:r>
    </w:p>
    <w:p w14:paraId="51835016" w14:textId="133D84F5" w:rsidR="007F42D6" w:rsidRDefault="008C571B" w:rsidP="00D87110">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This measure is very similar to those employed in other surveys in New Zealand and elsewhere</w:t>
      </w:r>
      <w:r w:rsidR="00B310CD">
        <w:rPr>
          <w:rFonts w:ascii="Times New Roman" w:hAnsi="Times New Roman" w:cs="Times New Roman"/>
          <w:sz w:val="24"/>
          <w:szCs w:val="24"/>
        </w:rPr>
        <w:t xml:space="preserve"> (</w:t>
      </w:r>
      <w:proofErr w:type="spellStart"/>
      <w:r w:rsidR="00B310CD">
        <w:rPr>
          <w:rFonts w:ascii="Times New Roman" w:hAnsi="Times New Roman" w:cs="Times New Roman"/>
          <w:sz w:val="24"/>
          <w:szCs w:val="24"/>
        </w:rPr>
        <w:t>Koopman</w:t>
      </w:r>
      <w:proofErr w:type="spellEnd"/>
      <w:r w:rsidR="00B310CD">
        <w:rPr>
          <w:rFonts w:ascii="Times New Roman" w:hAnsi="Times New Roman" w:cs="Times New Roman"/>
          <w:sz w:val="24"/>
          <w:szCs w:val="24"/>
        </w:rPr>
        <w:t xml:space="preserve">-Boyden </w:t>
      </w:r>
      <w:r w:rsidR="000A010D">
        <w:rPr>
          <w:rFonts w:ascii="Times New Roman" w:hAnsi="Times New Roman" w:cs="Times New Roman"/>
          <w:sz w:val="24"/>
          <w:szCs w:val="24"/>
        </w:rPr>
        <w:t>and</w:t>
      </w:r>
      <w:r w:rsidR="00D87110">
        <w:rPr>
          <w:rFonts w:ascii="Times New Roman" w:hAnsi="Times New Roman" w:cs="Times New Roman"/>
          <w:sz w:val="24"/>
          <w:szCs w:val="24"/>
        </w:rPr>
        <w:t xml:space="preserve"> </w:t>
      </w:r>
      <w:proofErr w:type="spellStart"/>
      <w:r w:rsidR="00B310CD">
        <w:rPr>
          <w:rFonts w:ascii="Times New Roman" w:hAnsi="Times New Roman" w:cs="Times New Roman"/>
          <w:sz w:val="24"/>
          <w:szCs w:val="24"/>
        </w:rPr>
        <w:t>Waldegrave</w:t>
      </w:r>
      <w:proofErr w:type="spellEnd"/>
      <w:r>
        <w:rPr>
          <w:rFonts w:ascii="Times New Roman" w:hAnsi="Times New Roman" w:cs="Times New Roman"/>
          <w:sz w:val="24"/>
          <w:szCs w:val="24"/>
        </w:rPr>
        <w:t xml:space="preserve"> 2009</w:t>
      </w:r>
      <w:r w:rsidR="007F42D6">
        <w:rPr>
          <w:rFonts w:ascii="Times New Roman" w:hAnsi="Times New Roman" w:cs="Times New Roman"/>
          <w:sz w:val="24"/>
          <w:szCs w:val="24"/>
        </w:rPr>
        <w:t>).</w:t>
      </w:r>
    </w:p>
    <w:p w14:paraId="7BE94976"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35A43A7A" w14:textId="169A08A8" w:rsidR="007F42D6" w:rsidRDefault="00981453" w:rsidP="00D87110">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F42D6">
        <w:rPr>
          <w:rFonts w:ascii="Times New Roman" w:hAnsi="Times New Roman" w:cs="Times New Roman"/>
          <w:sz w:val="24"/>
          <w:szCs w:val="24"/>
        </w:rPr>
        <w:t xml:space="preserve">We reduce the ordinal life satisfaction data to a binary variable, equal to one if the respondent was very satisfied and zero otherwise. </w:t>
      </w:r>
      <w:r w:rsidR="00D208E7">
        <w:rPr>
          <w:rFonts w:ascii="Times New Roman" w:hAnsi="Times New Roman" w:cs="Times New Roman"/>
          <w:sz w:val="24"/>
          <w:szCs w:val="24"/>
        </w:rPr>
        <w:t>The findings of this paper were robust to using</w:t>
      </w:r>
      <w:r w:rsidR="007F42D6">
        <w:rPr>
          <w:rFonts w:ascii="Times New Roman" w:hAnsi="Times New Roman" w:cs="Times New Roman"/>
          <w:sz w:val="24"/>
          <w:szCs w:val="24"/>
        </w:rPr>
        <w:t xml:space="preserve"> an alternative cut-point, where the life satisfaction variable was set equal to one when the respondent was either satisfied or very satisfied and zero otherwise.</w:t>
      </w:r>
      <w:r w:rsidR="000F5A8A">
        <w:rPr>
          <w:rFonts w:ascii="Times New Roman" w:hAnsi="Times New Roman" w:cs="Times New Roman"/>
          <w:sz w:val="24"/>
          <w:szCs w:val="24"/>
        </w:rPr>
        <w:t xml:space="preserve"> </w:t>
      </w:r>
      <w:r w:rsidR="007F42D6">
        <w:rPr>
          <w:rFonts w:ascii="Times New Roman" w:hAnsi="Times New Roman" w:cs="Times New Roman"/>
          <w:sz w:val="24"/>
          <w:szCs w:val="24"/>
        </w:rPr>
        <w:t>Self-reported health status is measured using the SF-12 measures (Ware</w:t>
      </w:r>
      <w:r w:rsidR="008E7630">
        <w:rPr>
          <w:rFonts w:ascii="Times New Roman" w:hAnsi="Times New Roman" w:cs="Times New Roman"/>
          <w:sz w:val="24"/>
          <w:szCs w:val="24"/>
        </w:rPr>
        <w:t xml:space="preserve">, </w:t>
      </w:r>
      <w:proofErr w:type="spellStart"/>
      <w:r w:rsidR="008E7630">
        <w:rPr>
          <w:rFonts w:ascii="Times New Roman" w:hAnsi="Times New Roman" w:cs="Times New Roman"/>
          <w:sz w:val="24"/>
          <w:szCs w:val="24"/>
        </w:rPr>
        <w:t>Konsiki</w:t>
      </w:r>
      <w:proofErr w:type="spellEnd"/>
      <w:r w:rsidR="008E7630">
        <w:rPr>
          <w:rFonts w:ascii="Times New Roman" w:hAnsi="Times New Roman" w:cs="Times New Roman"/>
          <w:sz w:val="24"/>
          <w:szCs w:val="24"/>
        </w:rPr>
        <w:t xml:space="preserve">, Turner-Bowker and </w:t>
      </w:r>
      <w:proofErr w:type="spellStart"/>
      <w:r w:rsidR="008E7630">
        <w:rPr>
          <w:rFonts w:ascii="Times New Roman" w:hAnsi="Times New Roman" w:cs="Times New Roman"/>
          <w:sz w:val="24"/>
          <w:szCs w:val="24"/>
        </w:rPr>
        <w:t>Gandeck</w:t>
      </w:r>
      <w:proofErr w:type="spellEnd"/>
      <w:r w:rsidR="008E7630">
        <w:rPr>
          <w:rFonts w:ascii="Times New Roman" w:hAnsi="Times New Roman" w:cs="Times New Roman"/>
          <w:sz w:val="24"/>
          <w:szCs w:val="24"/>
        </w:rPr>
        <w:t xml:space="preserve"> </w:t>
      </w:r>
      <w:r w:rsidR="007F42D6">
        <w:rPr>
          <w:rFonts w:ascii="Times New Roman" w:hAnsi="Times New Roman" w:cs="Times New Roman"/>
          <w:sz w:val="24"/>
          <w:szCs w:val="24"/>
        </w:rPr>
        <w:t>2007). The SF-12 can be used to produce two scales, a Physical Component Summary (PCS) and a Mental Component Summary (MCS), which are taken to represent physical health and mental health respectively. Both scales are scored to have a mean of 50 and a standard deviation of 10. The SF-12 has been used in previous analyses of the relationship between overall wellbeing and health among ol</w:t>
      </w:r>
      <w:r w:rsidR="00B310CD">
        <w:rPr>
          <w:rFonts w:ascii="Times New Roman" w:hAnsi="Times New Roman" w:cs="Times New Roman"/>
          <w:sz w:val="24"/>
          <w:szCs w:val="24"/>
        </w:rPr>
        <w:t>der New Zealanders (Pool et al.</w:t>
      </w:r>
      <w:r w:rsidR="007F42D6">
        <w:rPr>
          <w:rFonts w:ascii="Times New Roman" w:hAnsi="Times New Roman" w:cs="Times New Roman"/>
          <w:sz w:val="24"/>
          <w:szCs w:val="24"/>
        </w:rPr>
        <w:t xml:space="preserve"> 2009).</w:t>
      </w:r>
    </w:p>
    <w:p w14:paraId="7D80DC41"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78643608" w14:textId="07C12078" w:rsidR="00917412" w:rsidRDefault="0098145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17412">
        <w:rPr>
          <w:rFonts w:ascii="Times New Roman" w:hAnsi="Times New Roman" w:cs="Times New Roman"/>
          <w:sz w:val="24"/>
          <w:szCs w:val="24"/>
        </w:rPr>
        <w:t xml:space="preserve">Education is measured as the highest qualification obtained, in four levels: (1) no secondary school qualification; (2) some secondary school qualification; (3) some post-secondary qualification; (4) degree-level or higher study. This categorisation follows earlier work </w:t>
      </w:r>
      <w:r w:rsidR="00917412" w:rsidRPr="00F47969">
        <w:rPr>
          <w:rFonts w:ascii="Times New Roman" w:hAnsi="Times New Roman" w:cs="Times New Roman"/>
          <w:sz w:val="24"/>
          <w:szCs w:val="24"/>
        </w:rPr>
        <w:t>among older people</w:t>
      </w:r>
      <w:r w:rsidR="008E7630">
        <w:rPr>
          <w:rFonts w:ascii="Times New Roman" w:hAnsi="Times New Roman" w:cs="Times New Roman"/>
          <w:sz w:val="24"/>
          <w:szCs w:val="24"/>
        </w:rPr>
        <w:t xml:space="preserve"> in New Zealand (</w:t>
      </w:r>
      <w:proofErr w:type="spellStart"/>
      <w:r w:rsidR="008E7630">
        <w:rPr>
          <w:rFonts w:ascii="Times New Roman" w:hAnsi="Times New Roman" w:cs="Times New Roman"/>
          <w:sz w:val="24"/>
          <w:szCs w:val="24"/>
        </w:rPr>
        <w:t>Koopman</w:t>
      </w:r>
      <w:proofErr w:type="spellEnd"/>
      <w:r w:rsidR="008E7630">
        <w:rPr>
          <w:rFonts w:ascii="Times New Roman" w:hAnsi="Times New Roman" w:cs="Times New Roman"/>
          <w:sz w:val="24"/>
          <w:szCs w:val="24"/>
        </w:rPr>
        <w:t>-Boyden</w:t>
      </w:r>
      <w:r w:rsidR="00917412" w:rsidRPr="00F47969">
        <w:rPr>
          <w:rFonts w:ascii="Times New Roman" w:hAnsi="Times New Roman" w:cs="Times New Roman"/>
          <w:sz w:val="24"/>
          <w:szCs w:val="24"/>
        </w:rPr>
        <w:t xml:space="preserve"> 2007).</w:t>
      </w:r>
      <w:r w:rsidR="004D32E6" w:rsidRPr="00F47969">
        <w:rPr>
          <w:rFonts w:ascii="Times New Roman" w:hAnsi="Times New Roman" w:cs="Times New Roman"/>
          <w:sz w:val="24"/>
          <w:szCs w:val="24"/>
        </w:rPr>
        <w:t xml:space="preserve"> We then collapse this</w:t>
      </w:r>
      <w:r w:rsidR="004D32E6">
        <w:rPr>
          <w:rFonts w:ascii="Times New Roman" w:hAnsi="Times New Roman" w:cs="Times New Roman"/>
          <w:sz w:val="24"/>
          <w:szCs w:val="24"/>
        </w:rPr>
        <w:t xml:space="preserve"> variable down to two levels: those with and without post-secondary education.</w:t>
      </w:r>
    </w:p>
    <w:p w14:paraId="2101C086"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3779B756" w14:textId="3EB10E7A" w:rsidR="00470994" w:rsidRDefault="00981453" w:rsidP="00D87110">
      <w:pPr>
        <w:tabs>
          <w:tab w:val="left" w:pos="426"/>
        </w:tabs>
        <w:spacing w:after="0" w:line="288" w:lineRule="auto"/>
        <w:jc w:val="both"/>
        <w:rPr>
          <w:rFonts w:ascii="Times New Roman" w:hAnsi="Times New Roman" w:cs="Times New Roman"/>
          <w:sz w:val="24"/>
          <w:szCs w:val="24"/>
        </w:rPr>
      </w:pPr>
      <w:r>
        <w:rPr>
          <w:rFonts w:asciiTheme="majorBidi" w:hAnsiTheme="majorBidi" w:cstheme="majorBidi"/>
          <w:sz w:val="24"/>
          <w:szCs w:val="24"/>
        </w:rPr>
        <w:tab/>
      </w:r>
      <w:r w:rsidR="008C571B">
        <w:rPr>
          <w:rFonts w:asciiTheme="majorBidi" w:hAnsiTheme="majorBidi" w:cstheme="majorBidi"/>
          <w:sz w:val="24"/>
          <w:szCs w:val="24"/>
        </w:rPr>
        <w:t xml:space="preserve">The NZGSS does not contain sufficient economic information to confidently control for individual or household wealth. However, </w:t>
      </w:r>
      <w:r w:rsidR="008C571B" w:rsidRPr="00BA7CA3">
        <w:rPr>
          <w:rFonts w:asciiTheme="majorBidi" w:hAnsiTheme="majorBidi" w:cstheme="majorBidi"/>
          <w:sz w:val="24"/>
          <w:szCs w:val="24"/>
        </w:rPr>
        <w:t>geographic measure</w:t>
      </w:r>
      <w:r w:rsidR="008C571B">
        <w:rPr>
          <w:rFonts w:asciiTheme="majorBidi" w:hAnsiTheme="majorBidi" w:cstheme="majorBidi"/>
          <w:sz w:val="24"/>
          <w:szCs w:val="24"/>
        </w:rPr>
        <w:t>s</w:t>
      </w:r>
      <w:r w:rsidR="008C571B" w:rsidRPr="00BA7CA3">
        <w:rPr>
          <w:rFonts w:asciiTheme="majorBidi" w:hAnsiTheme="majorBidi" w:cstheme="majorBidi"/>
          <w:sz w:val="24"/>
          <w:szCs w:val="24"/>
        </w:rPr>
        <w:t xml:space="preserve"> of local social deprivation are available for small areas, </w:t>
      </w:r>
      <w:r w:rsidR="008C571B">
        <w:rPr>
          <w:rFonts w:asciiTheme="majorBidi" w:hAnsiTheme="majorBidi" w:cstheme="majorBidi"/>
          <w:sz w:val="24"/>
          <w:szCs w:val="24"/>
        </w:rPr>
        <w:t xml:space="preserve">and </w:t>
      </w:r>
      <w:r w:rsidR="008C571B" w:rsidRPr="00BA7CA3">
        <w:rPr>
          <w:rFonts w:asciiTheme="majorBidi" w:hAnsiTheme="majorBidi" w:cstheme="majorBidi"/>
          <w:sz w:val="24"/>
          <w:szCs w:val="24"/>
        </w:rPr>
        <w:t xml:space="preserve">we use this data as </w:t>
      </w:r>
      <w:r w:rsidR="008C571B">
        <w:rPr>
          <w:rFonts w:asciiTheme="majorBidi" w:hAnsiTheme="majorBidi" w:cstheme="majorBidi"/>
          <w:sz w:val="24"/>
          <w:szCs w:val="24"/>
        </w:rPr>
        <w:t>proxy for</w:t>
      </w:r>
      <w:r w:rsidR="008C571B" w:rsidRPr="00BA7CA3">
        <w:rPr>
          <w:rFonts w:asciiTheme="majorBidi" w:hAnsiTheme="majorBidi" w:cstheme="majorBidi"/>
          <w:sz w:val="24"/>
          <w:szCs w:val="24"/>
        </w:rPr>
        <w:t xml:space="preserve"> wealth.</w:t>
      </w:r>
      <w:r w:rsidR="008C571B">
        <w:rPr>
          <w:rFonts w:asciiTheme="majorBidi" w:hAnsiTheme="majorBidi" w:cstheme="majorBidi"/>
          <w:sz w:val="24"/>
          <w:szCs w:val="24"/>
        </w:rPr>
        <w:t xml:space="preserve"> </w:t>
      </w:r>
      <w:r w:rsidR="008C571B" w:rsidRPr="00BA7CA3">
        <w:rPr>
          <w:rFonts w:asciiTheme="majorBidi" w:hAnsiTheme="majorBidi" w:cstheme="majorBidi"/>
          <w:sz w:val="24"/>
          <w:szCs w:val="24"/>
        </w:rPr>
        <w:t xml:space="preserve"> NZDep2006 is the most commonly used measure of local area social deprivation</w:t>
      </w:r>
      <w:r w:rsidR="008C571B">
        <w:rPr>
          <w:rFonts w:asciiTheme="majorBidi" w:hAnsiTheme="majorBidi" w:cstheme="majorBidi"/>
          <w:sz w:val="24"/>
          <w:szCs w:val="24"/>
        </w:rPr>
        <w:t xml:space="preserve"> in New Zealand (</w:t>
      </w:r>
      <w:r w:rsidR="00132AFD">
        <w:rPr>
          <w:rFonts w:asciiTheme="majorBidi" w:hAnsiTheme="majorBidi" w:cstheme="majorBidi"/>
          <w:sz w:val="24"/>
          <w:szCs w:val="24"/>
        </w:rPr>
        <w:t xml:space="preserve">Salmond, Crampton, </w:t>
      </w:r>
      <w:r w:rsidR="000A010D">
        <w:rPr>
          <w:rFonts w:asciiTheme="majorBidi" w:hAnsiTheme="majorBidi" w:cstheme="majorBidi"/>
          <w:sz w:val="24"/>
          <w:szCs w:val="24"/>
        </w:rPr>
        <w:t>and</w:t>
      </w:r>
      <w:r w:rsidR="00D87110">
        <w:rPr>
          <w:rFonts w:asciiTheme="majorBidi" w:hAnsiTheme="majorBidi" w:cstheme="majorBidi"/>
          <w:sz w:val="24"/>
          <w:szCs w:val="24"/>
        </w:rPr>
        <w:t xml:space="preserve"> </w:t>
      </w:r>
      <w:r w:rsidR="00132AFD">
        <w:rPr>
          <w:rFonts w:asciiTheme="majorBidi" w:hAnsiTheme="majorBidi" w:cstheme="majorBidi"/>
          <w:sz w:val="24"/>
          <w:szCs w:val="24"/>
        </w:rPr>
        <w:t>Atkinson</w:t>
      </w:r>
      <w:r w:rsidR="00D87110">
        <w:rPr>
          <w:rFonts w:asciiTheme="majorBidi" w:hAnsiTheme="majorBidi" w:cstheme="majorBidi"/>
          <w:sz w:val="24"/>
          <w:szCs w:val="24"/>
        </w:rPr>
        <w:t>,</w:t>
      </w:r>
      <w:r w:rsidR="008C571B">
        <w:rPr>
          <w:rFonts w:asciiTheme="majorBidi" w:hAnsiTheme="majorBidi" w:cstheme="majorBidi"/>
          <w:sz w:val="24"/>
          <w:szCs w:val="24"/>
        </w:rPr>
        <w:t xml:space="preserve"> </w:t>
      </w:r>
      <w:r w:rsidR="008C571B" w:rsidRPr="00BA7CA3">
        <w:rPr>
          <w:rFonts w:asciiTheme="majorBidi" w:hAnsiTheme="majorBidi" w:cstheme="majorBidi"/>
          <w:sz w:val="24"/>
          <w:szCs w:val="24"/>
        </w:rPr>
        <w:t>2007), and was co</w:t>
      </w:r>
      <w:r w:rsidR="008C571B">
        <w:rPr>
          <w:rFonts w:asciiTheme="majorBidi" w:hAnsiTheme="majorBidi" w:cstheme="majorBidi"/>
          <w:sz w:val="24"/>
          <w:szCs w:val="24"/>
        </w:rPr>
        <w:t xml:space="preserve">nstructed from 2006 Census data. It is a standardised scale with a mean of 1000 </w:t>
      </w:r>
      <w:r w:rsidR="008C571B" w:rsidRPr="00D344C5">
        <w:rPr>
          <w:rFonts w:asciiTheme="majorBidi" w:hAnsiTheme="majorBidi" w:cstheme="majorBidi"/>
          <w:sz w:val="24"/>
          <w:szCs w:val="24"/>
        </w:rPr>
        <w:t xml:space="preserve">and </w:t>
      </w:r>
      <w:r w:rsidR="008C571B">
        <w:rPr>
          <w:rFonts w:asciiTheme="majorBidi" w:hAnsiTheme="majorBidi" w:cstheme="majorBidi"/>
          <w:sz w:val="24"/>
          <w:szCs w:val="24"/>
        </w:rPr>
        <w:t>a standard deviation of 100,</w:t>
      </w:r>
      <w:r w:rsidR="008C571B" w:rsidRPr="00D344C5">
        <w:rPr>
          <w:rFonts w:asciiTheme="majorBidi" w:hAnsiTheme="majorBidi" w:cstheme="majorBidi"/>
          <w:sz w:val="24"/>
          <w:szCs w:val="24"/>
        </w:rPr>
        <w:t xml:space="preserve"> with lower deprivation scores representing areas of higher socio-economic status.</w:t>
      </w:r>
      <w:r w:rsidR="008C571B">
        <w:rPr>
          <w:rFonts w:asciiTheme="majorBidi" w:hAnsiTheme="majorBidi" w:cstheme="majorBidi"/>
          <w:sz w:val="24"/>
          <w:szCs w:val="24"/>
        </w:rPr>
        <w:t xml:space="preserve"> However, deprivation is typically measured in quintiles, and we use </w:t>
      </w:r>
      <w:proofErr w:type="spellStart"/>
      <w:r w:rsidR="008C571B">
        <w:rPr>
          <w:rFonts w:asciiTheme="majorBidi" w:hAnsiTheme="majorBidi" w:cstheme="majorBidi"/>
          <w:sz w:val="24"/>
          <w:szCs w:val="24"/>
        </w:rPr>
        <w:t>NZDep</w:t>
      </w:r>
      <w:proofErr w:type="spellEnd"/>
      <w:r w:rsidR="008C571B">
        <w:rPr>
          <w:rFonts w:asciiTheme="majorBidi" w:hAnsiTheme="majorBidi" w:cstheme="majorBidi"/>
          <w:sz w:val="24"/>
          <w:szCs w:val="24"/>
        </w:rPr>
        <w:t xml:space="preserve"> quintile as our proxy measure of wealth</w:t>
      </w:r>
      <w:r w:rsidR="00470994">
        <w:rPr>
          <w:rFonts w:asciiTheme="majorBidi" w:hAnsiTheme="majorBidi" w:cstheme="majorBidi"/>
          <w:sz w:val="24"/>
          <w:szCs w:val="24"/>
        </w:rPr>
        <w:t>.</w:t>
      </w:r>
    </w:p>
    <w:p w14:paraId="537B1D68" w14:textId="77777777" w:rsidR="00B36A15" w:rsidRDefault="007F42D6"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Labour force status is defined in terms of part-time or full-time work</w:t>
      </w:r>
      <w:r w:rsidR="00734739">
        <w:rPr>
          <w:rFonts w:ascii="Times New Roman" w:hAnsi="Times New Roman" w:cs="Times New Roman"/>
          <w:sz w:val="24"/>
          <w:szCs w:val="24"/>
        </w:rPr>
        <w:t>, with full-time work defined as working thirty hours or more a week</w:t>
      </w:r>
      <w:r>
        <w:rPr>
          <w:rFonts w:ascii="Times New Roman" w:hAnsi="Times New Roman" w:cs="Times New Roman"/>
          <w:sz w:val="24"/>
          <w:szCs w:val="24"/>
        </w:rPr>
        <w:t xml:space="preserve">. For the purposes of this paper, we </w:t>
      </w:r>
      <w:r w:rsidR="00917412">
        <w:rPr>
          <w:rFonts w:ascii="Times New Roman" w:hAnsi="Times New Roman" w:cs="Times New Roman"/>
          <w:sz w:val="24"/>
          <w:szCs w:val="24"/>
        </w:rPr>
        <w:t>treat</w:t>
      </w:r>
      <w:r>
        <w:rPr>
          <w:rFonts w:ascii="Times New Roman" w:hAnsi="Times New Roman" w:cs="Times New Roman"/>
          <w:sz w:val="24"/>
          <w:szCs w:val="24"/>
        </w:rPr>
        <w:t xml:space="preserve"> those who define themselves as unemployed (who comprise only 0.36 percent of the sample of those aged 65-79 years)</w:t>
      </w:r>
      <w:r w:rsidR="00917412">
        <w:rPr>
          <w:rFonts w:ascii="Times New Roman" w:hAnsi="Times New Roman" w:cs="Times New Roman"/>
          <w:sz w:val="24"/>
          <w:szCs w:val="24"/>
        </w:rPr>
        <w:t xml:space="preserve"> as not employed</w:t>
      </w:r>
      <w:r>
        <w:rPr>
          <w:rFonts w:ascii="Times New Roman" w:hAnsi="Times New Roman" w:cs="Times New Roman"/>
          <w:sz w:val="24"/>
          <w:szCs w:val="24"/>
        </w:rPr>
        <w:t>, although technically they are part of the labour force. For most practical purposes in terms of wellbeing, there is likely to be little difference between an unemployed and a retired person, particularly given how few of them there are in the sample.</w:t>
      </w:r>
    </w:p>
    <w:p w14:paraId="4DBEDF2B"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3523FD57" w14:textId="2E846610" w:rsidR="00B36A15" w:rsidRDefault="0098145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B36A15">
        <w:rPr>
          <w:rFonts w:ascii="Times New Roman" w:hAnsi="Times New Roman" w:cs="Times New Roman"/>
          <w:sz w:val="24"/>
          <w:szCs w:val="24"/>
        </w:rPr>
        <w:t>Partnership status is a dummy variable equal to one if the respondent was married or in a long-term relationship. Additional data for our instruments were obtained from the Household Labour Force Survey for regional employment rates, and from the 2013 Census of Population and Dwellings for regional internal in-migration rates.</w:t>
      </w:r>
    </w:p>
    <w:p w14:paraId="284C4DCE" w14:textId="77777777" w:rsidR="00981453" w:rsidRDefault="00981453" w:rsidP="00981453">
      <w:pPr>
        <w:tabs>
          <w:tab w:val="left" w:pos="426"/>
        </w:tabs>
        <w:spacing w:after="0" w:line="288" w:lineRule="auto"/>
        <w:jc w:val="both"/>
        <w:rPr>
          <w:rFonts w:ascii="Times New Roman" w:hAnsi="Times New Roman" w:cs="Times New Roman"/>
          <w:sz w:val="24"/>
          <w:szCs w:val="24"/>
        </w:rPr>
      </w:pPr>
    </w:p>
    <w:p w14:paraId="40BAD549" w14:textId="17074FAC" w:rsidR="007F42D6" w:rsidRDefault="00981453" w:rsidP="0091257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B36A15">
        <w:rPr>
          <w:rFonts w:ascii="Times New Roman" w:hAnsi="Times New Roman" w:cs="Times New Roman"/>
          <w:sz w:val="24"/>
          <w:szCs w:val="24"/>
        </w:rPr>
        <w:t>S</w:t>
      </w:r>
      <w:r w:rsidR="007F42D6" w:rsidRPr="004D32E6">
        <w:rPr>
          <w:rFonts w:ascii="Times New Roman" w:hAnsi="Times New Roman" w:cs="Times New Roman"/>
          <w:sz w:val="24"/>
          <w:szCs w:val="24"/>
        </w:rPr>
        <w:t xml:space="preserve">ummary statistics for </w:t>
      </w:r>
      <w:r w:rsidR="00B36A15">
        <w:rPr>
          <w:rFonts w:ascii="Times New Roman" w:hAnsi="Times New Roman" w:cs="Times New Roman"/>
          <w:sz w:val="24"/>
          <w:szCs w:val="24"/>
        </w:rPr>
        <w:t>all the</w:t>
      </w:r>
      <w:r w:rsidR="007F42D6" w:rsidRPr="004D32E6">
        <w:rPr>
          <w:rFonts w:ascii="Times New Roman" w:hAnsi="Times New Roman" w:cs="Times New Roman"/>
          <w:sz w:val="24"/>
          <w:szCs w:val="24"/>
        </w:rPr>
        <w:t xml:space="preserve"> variables</w:t>
      </w:r>
      <w:r w:rsidR="00B36A15">
        <w:rPr>
          <w:rFonts w:ascii="Times New Roman" w:hAnsi="Times New Roman" w:cs="Times New Roman"/>
          <w:sz w:val="24"/>
          <w:szCs w:val="24"/>
        </w:rPr>
        <w:t xml:space="preserve"> used in the analysis</w:t>
      </w:r>
      <w:r w:rsidR="007F42D6" w:rsidRPr="004D32E6">
        <w:rPr>
          <w:rFonts w:ascii="Times New Roman" w:hAnsi="Times New Roman" w:cs="Times New Roman"/>
          <w:sz w:val="24"/>
          <w:szCs w:val="24"/>
        </w:rPr>
        <w:t xml:space="preserve"> are presented in Table 1. Overall levels of life satisfaction in the sample are very high, with nearly </w:t>
      </w:r>
      <w:r w:rsidR="004D32E6" w:rsidRPr="004D32E6">
        <w:rPr>
          <w:rFonts w:ascii="Times New Roman" w:hAnsi="Times New Roman" w:cs="Times New Roman"/>
          <w:sz w:val="24"/>
          <w:szCs w:val="24"/>
        </w:rPr>
        <w:t>39</w:t>
      </w:r>
      <w:r w:rsidR="007F42D6" w:rsidRPr="004D32E6">
        <w:rPr>
          <w:rFonts w:ascii="Times New Roman" w:hAnsi="Times New Roman" w:cs="Times New Roman"/>
          <w:sz w:val="24"/>
          <w:szCs w:val="24"/>
        </w:rPr>
        <w:t xml:space="preserve"> percent of respondents rating their life satisfaction as </w:t>
      </w:r>
      <w:r w:rsidR="00B310CD">
        <w:rPr>
          <w:rFonts w:ascii="Times New Roman" w:hAnsi="Times New Roman" w:cs="Times New Roman"/>
          <w:sz w:val="24"/>
          <w:szCs w:val="24"/>
        </w:rPr>
        <w:t>'</w:t>
      </w:r>
      <w:r w:rsidR="007F42D6" w:rsidRPr="004D32E6">
        <w:rPr>
          <w:rFonts w:ascii="Times New Roman" w:hAnsi="Times New Roman" w:cs="Times New Roman"/>
          <w:sz w:val="24"/>
          <w:szCs w:val="24"/>
        </w:rPr>
        <w:t>very satisfied</w:t>
      </w:r>
      <w:r w:rsidR="00B310CD">
        <w:rPr>
          <w:rFonts w:ascii="Times New Roman" w:hAnsi="Times New Roman" w:cs="Times New Roman"/>
          <w:sz w:val="24"/>
          <w:szCs w:val="24"/>
        </w:rPr>
        <w:t>'</w:t>
      </w:r>
      <w:r w:rsidR="007F42D6" w:rsidRPr="004D32E6">
        <w:rPr>
          <w:rFonts w:ascii="Times New Roman" w:hAnsi="Times New Roman" w:cs="Times New Roman"/>
          <w:sz w:val="24"/>
          <w:szCs w:val="24"/>
        </w:rPr>
        <w:t xml:space="preserve"> </w:t>
      </w:r>
      <w:r w:rsidR="004D32E6" w:rsidRPr="004D32E6">
        <w:rPr>
          <w:rFonts w:ascii="Times New Roman" w:hAnsi="Times New Roman" w:cs="Times New Roman"/>
          <w:sz w:val="24"/>
          <w:szCs w:val="24"/>
        </w:rPr>
        <w:t>(90</w:t>
      </w:r>
      <w:r w:rsidR="00003016">
        <w:rPr>
          <w:rFonts w:ascii="Times New Roman" w:hAnsi="Times New Roman" w:cs="Times New Roman"/>
          <w:sz w:val="24"/>
          <w:szCs w:val="24"/>
        </w:rPr>
        <w:t>.5</w:t>
      </w:r>
      <w:r w:rsidR="004D32E6" w:rsidRPr="004D32E6">
        <w:rPr>
          <w:rFonts w:ascii="Times New Roman" w:hAnsi="Times New Roman" w:cs="Times New Roman"/>
          <w:sz w:val="24"/>
          <w:szCs w:val="24"/>
        </w:rPr>
        <w:t xml:space="preserve">% of respondents rate their life satisfaction as </w:t>
      </w:r>
      <w:r w:rsidR="00B310CD">
        <w:rPr>
          <w:rFonts w:ascii="Times New Roman" w:hAnsi="Times New Roman" w:cs="Times New Roman"/>
          <w:sz w:val="24"/>
          <w:szCs w:val="24"/>
        </w:rPr>
        <w:t>'</w:t>
      </w:r>
      <w:r w:rsidR="004D32E6" w:rsidRPr="004D32E6">
        <w:rPr>
          <w:rFonts w:ascii="Times New Roman" w:hAnsi="Times New Roman" w:cs="Times New Roman"/>
          <w:sz w:val="24"/>
          <w:szCs w:val="24"/>
        </w:rPr>
        <w:t>satisfied</w:t>
      </w:r>
      <w:r w:rsidR="00B310CD">
        <w:rPr>
          <w:rFonts w:ascii="Times New Roman" w:hAnsi="Times New Roman" w:cs="Times New Roman"/>
          <w:sz w:val="24"/>
          <w:szCs w:val="24"/>
        </w:rPr>
        <w:t>'</w:t>
      </w:r>
      <w:r w:rsidR="004D32E6" w:rsidRPr="004D32E6">
        <w:rPr>
          <w:rFonts w:ascii="Times New Roman" w:hAnsi="Times New Roman" w:cs="Times New Roman"/>
          <w:sz w:val="24"/>
          <w:szCs w:val="24"/>
        </w:rPr>
        <w:t xml:space="preserve"> or </w:t>
      </w:r>
      <w:r w:rsidR="00B310CD">
        <w:rPr>
          <w:rFonts w:ascii="Times New Roman" w:hAnsi="Times New Roman" w:cs="Times New Roman"/>
          <w:sz w:val="24"/>
          <w:szCs w:val="24"/>
        </w:rPr>
        <w:t>'</w:t>
      </w:r>
      <w:r w:rsidR="004D32E6" w:rsidRPr="004D32E6">
        <w:rPr>
          <w:rFonts w:ascii="Times New Roman" w:hAnsi="Times New Roman" w:cs="Times New Roman"/>
          <w:sz w:val="24"/>
          <w:szCs w:val="24"/>
        </w:rPr>
        <w:t>very satisfied</w:t>
      </w:r>
      <w:r w:rsidR="00B310CD">
        <w:rPr>
          <w:rFonts w:ascii="Times New Roman" w:hAnsi="Times New Roman" w:cs="Times New Roman"/>
          <w:sz w:val="24"/>
          <w:szCs w:val="24"/>
        </w:rPr>
        <w:t>'</w:t>
      </w:r>
      <w:r w:rsidR="004D32E6" w:rsidRPr="004D32E6">
        <w:rPr>
          <w:rFonts w:ascii="Times New Roman" w:hAnsi="Times New Roman" w:cs="Times New Roman"/>
          <w:sz w:val="24"/>
          <w:szCs w:val="24"/>
        </w:rPr>
        <w:t xml:space="preserve"> (data not shown))</w:t>
      </w:r>
      <w:r w:rsidR="007F42D6" w:rsidRPr="004D32E6">
        <w:rPr>
          <w:rFonts w:ascii="Times New Roman" w:hAnsi="Times New Roman" w:cs="Times New Roman"/>
          <w:sz w:val="24"/>
          <w:szCs w:val="24"/>
        </w:rPr>
        <w:t>. This is similar in magnitude to other surveys of life satisfaction among older people in New Zealand</w:t>
      </w:r>
      <w:r w:rsidR="0025401E">
        <w:rPr>
          <w:rFonts w:ascii="Times New Roman" w:hAnsi="Times New Roman" w:cs="Times New Roman"/>
          <w:sz w:val="24"/>
          <w:szCs w:val="24"/>
        </w:rPr>
        <w:t xml:space="preserve"> (</w:t>
      </w:r>
      <w:proofErr w:type="spellStart"/>
      <w:r w:rsidR="0025401E">
        <w:rPr>
          <w:rFonts w:ascii="Times New Roman" w:hAnsi="Times New Roman" w:cs="Times New Roman"/>
          <w:sz w:val="24"/>
          <w:szCs w:val="24"/>
        </w:rPr>
        <w:t>Waldegrave</w:t>
      </w:r>
      <w:proofErr w:type="spellEnd"/>
      <w:r w:rsidR="0025401E">
        <w:rPr>
          <w:rFonts w:ascii="Times New Roman" w:hAnsi="Times New Roman" w:cs="Times New Roman"/>
          <w:sz w:val="24"/>
          <w:szCs w:val="24"/>
        </w:rPr>
        <w:t xml:space="preserve"> </w:t>
      </w:r>
      <w:r w:rsidR="000A010D">
        <w:rPr>
          <w:rFonts w:ascii="Times New Roman" w:hAnsi="Times New Roman" w:cs="Times New Roman"/>
          <w:sz w:val="24"/>
          <w:szCs w:val="24"/>
        </w:rPr>
        <w:t>and</w:t>
      </w:r>
      <w:r w:rsidR="00912579">
        <w:rPr>
          <w:rFonts w:ascii="Times New Roman" w:hAnsi="Times New Roman" w:cs="Times New Roman"/>
          <w:sz w:val="24"/>
          <w:szCs w:val="24"/>
        </w:rPr>
        <w:t xml:space="preserve"> </w:t>
      </w:r>
      <w:proofErr w:type="spellStart"/>
      <w:r w:rsidR="0025401E">
        <w:rPr>
          <w:rFonts w:ascii="Times New Roman" w:hAnsi="Times New Roman" w:cs="Times New Roman"/>
          <w:sz w:val="24"/>
          <w:szCs w:val="24"/>
        </w:rPr>
        <w:t>Koopman</w:t>
      </w:r>
      <w:proofErr w:type="spellEnd"/>
      <w:r w:rsidR="0025401E">
        <w:rPr>
          <w:rFonts w:ascii="Times New Roman" w:hAnsi="Times New Roman" w:cs="Times New Roman"/>
          <w:sz w:val="24"/>
          <w:szCs w:val="24"/>
        </w:rPr>
        <w:t>-Boyden</w:t>
      </w:r>
      <w:r w:rsidR="007F42D6" w:rsidRPr="004D32E6">
        <w:rPr>
          <w:rFonts w:ascii="Times New Roman" w:hAnsi="Times New Roman" w:cs="Times New Roman"/>
          <w:sz w:val="24"/>
          <w:szCs w:val="24"/>
        </w:rPr>
        <w:t xml:space="preserve"> 2009). </w:t>
      </w:r>
      <w:r w:rsidR="004D32E6" w:rsidRPr="004D32E6">
        <w:rPr>
          <w:rFonts w:ascii="Times New Roman" w:hAnsi="Times New Roman" w:cs="Times New Roman"/>
          <w:sz w:val="24"/>
          <w:szCs w:val="24"/>
        </w:rPr>
        <w:t xml:space="preserve">Over 22 percent of the sample was in paid employment, with slightly more than half of those in full-time employment. Most (57.7%) of the sample was female, which is similar to the proportion of women in the older population as a whole, and the highest proportion (42.3%) of the sample were in the youngest (65-69 years) cohort. </w:t>
      </w:r>
      <w:r w:rsidR="00003016" w:rsidRPr="004D32E6">
        <w:rPr>
          <w:rFonts w:ascii="Times New Roman" w:hAnsi="Times New Roman" w:cs="Times New Roman"/>
          <w:sz w:val="24"/>
          <w:szCs w:val="24"/>
        </w:rPr>
        <w:t>Slightly more than one-third of the sample had some post-secondary education.</w:t>
      </w:r>
      <w:r w:rsidR="00003016">
        <w:rPr>
          <w:rFonts w:ascii="Times New Roman" w:hAnsi="Times New Roman" w:cs="Times New Roman"/>
          <w:sz w:val="24"/>
          <w:szCs w:val="24"/>
        </w:rPr>
        <w:t xml:space="preserve"> </w:t>
      </w:r>
      <w:r w:rsidR="007F42D6" w:rsidRPr="004D32E6">
        <w:rPr>
          <w:rFonts w:ascii="Times New Roman" w:hAnsi="Times New Roman" w:cs="Times New Roman"/>
          <w:sz w:val="24"/>
          <w:szCs w:val="24"/>
        </w:rPr>
        <w:t>On average, physical health was below the standardised mean score which is not surprising given that this was a sample of older people, while mental health was slightly above the standardised mean score.</w:t>
      </w:r>
    </w:p>
    <w:p w14:paraId="2A5FECDB" w14:textId="77777777" w:rsidR="00E81B7C" w:rsidRDefault="00E81B7C" w:rsidP="00981453">
      <w:pPr>
        <w:tabs>
          <w:tab w:val="left" w:pos="426"/>
        </w:tabs>
        <w:spacing w:after="0" w:line="288" w:lineRule="auto"/>
        <w:jc w:val="both"/>
        <w:rPr>
          <w:rFonts w:ascii="Times New Roman" w:hAnsi="Times New Roman" w:cs="Times New Roman"/>
          <w:sz w:val="24"/>
          <w:szCs w:val="24"/>
        </w:rPr>
      </w:pPr>
    </w:p>
    <w:p w14:paraId="7455026C" w14:textId="20C8623E" w:rsidR="00981453" w:rsidRDefault="00981453" w:rsidP="0091257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03016">
        <w:rPr>
          <w:rFonts w:ascii="Times New Roman" w:hAnsi="Times New Roman" w:cs="Times New Roman"/>
          <w:sz w:val="24"/>
          <w:szCs w:val="24"/>
        </w:rPr>
        <w:t>As noted in the previous section, we employ an instrumental variables estimation technique.</w:t>
      </w:r>
      <w:r>
        <w:rPr>
          <w:rFonts w:ascii="Times New Roman" w:hAnsi="Times New Roman" w:cs="Times New Roman"/>
          <w:sz w:val="24"/>
          <w:szCs w:val="24"/>
        </w:rPr>
        <w:t xml:space="preserve"> Self-reported life satisfaction is the dependent variable, and explanatory variables include age (in five-year age groups), education, self-reported health status (physical and mental), and labour force status (full-time or part-time work, not working is the comparator category). We also include local deprivation as a proxy for wealth, and include survey wave fixed effects. Labour force status (full-time and part-time work) are likely to be endogenous variables, so we include in the first-stage regression all of the exogenous variables from the second stage, plus gender. To avoid the ‘forbidden regression problem’ (Angrist </w:t>
      </w:r>
      <w:r w:rsidR="000A010D">
        <w:rPr>
          <w:rFonts w:ascii="Times New Roman" w:hAnsi="Times New Roman" w:cs="Times New Roman"/>
          <w:sz w:val="24"/>
          <w:szCs w:val="24"/>
        </w:rPr>
        <w:t>and</w:t>
      </w:r>
      <w:r w:rsidR="00912579">
        <w:rPr>
          <w:rFonts w:ascii="Times New Roman" w:hAnsi="Times New Roman" w:cs="Times New Roman"/>
          <w:sz w:val="24"/>
          <w:szCs w:val="24"/>
        </w:rPr>
        <w:t xml:space="preserve"> </w:t>
      </w:r>
      <w:proofErr w:type="spellStart"/>
      <w:r w:rsidR="008E7630">
        <w:rPr>
          <w:rFonts w:ascii="Times New Roman" w:hAnsi="Times New Roman" w:cs="Times New Roman"/>
          <w:sz w:val="24"/>
          <w:szCs w:val="24"/>
        </w:rPr>
        <w:t>Pischke</w:t>
      </w:r>
      <w:proofErr w:type="spellEnd"/>
      <w:r>
        <w:rPr>
          <w:rFonts w:ascii="Times New Roman" w:hAnsi="Times New Roman" w:cs="Times New Roman"/>
          <w:sz w:val="24"/>
          <w:szCs w:val="24"/>
        </w:rPr>
        <w:t xml:space="preserve"> 2009), our models are specified as linear even though the dependent variables are binary. The estimator that we employ is the GMM (Generalised Method of Moments) estimator, which is more robust to the presence of heteroskedasticity than alternatives such as two-stage least squares (Baum</w:t>
      </w:r>
      <w:r w:rsidR="00912579">
        <w:rPr>
          <w:rFonts w:ascii="Times New Roman" w:hAnsi="Times New Roman" w:cs="Times New Roman"/>
          <w:sz w:val="24"/>
          <w:szCs w:val="24"/>
        </w:rPr>
        <w:t xml:space="preserve">, Schaffer, </w:t>
      </w:r>
      <w:r w:rsidR="000A010D">
        <w:rPr>
          <w:rFonts w:ascii="Times New Roman" w:hAnsi="Times New Roman" w:cs="Times New Roman"/>
          <w:sz w:val="24"/>
          <w:szCs w:val="24"/>
        </w:rPr>
        <w:t>and</w:t>
      </w:r>
      <w:r w:rsidR="008E7630">
        <w:rPr>
          <w:rFonts w:ascii="Times New Roman" w:hAnsi="Times New Roman" w:cs="Times New Roman"/>
          <w:sz w:val="24"/>
          <w:szCs w:val="24"/>
        </w:rPr>
        <w:t xml:space="preserve"> </w:t>
      </w:r>
      <w:proofErr w:type="spellStart"/>
      <w:r w:rsidR="008E7630">
        <w:rPr>
          <w:rFonts w:ascii="Times New Roman" w:hAnsi="Times New Roman" w:cs="Times New Roman"/>
          <w:sz w:val="24"/>
          <w:szCs w:val="24"/>
        </w:rPr>
        <w:t>Stillman</w:t>
      </w:r>
      <w:proofErr w:type="spellEnd"/>
      <w:r>
        <w:rPr>
          <w:rFonts w:ascii="Times New Roman" w:hAnsi="Times New Roman" w:cs="Times New Roman"/>
          <w:sz w:val="24"/>
          <w:szCs w:val="24"/>
        </w:rPr>
        <w:t xml:space="preserve"> 2003</w:t>
      </w:r>
      <w:r w:rsidRPr="004E3EBA">
        <w:rPr>
          <w:rFonts w:ascii="Times New Roman" w:hAnsi="Times New Roman" w:cs="Times New Roman"/>
          <w:sz w:val="24"/>
          <w:szCs w:val="24"/>
        </w:rPr>
        <w:t>). The second stage of the estimation is a linear probability model, so the</w:t>
      </w:r>
      <w:r>
        <w:rPr>
          <w:rFonts w:ascii="Times New Roman" w:hAnsi="Times New Roman" w:cs="Times New Roman"/>
          <w:sz w:val="24"/>
          <w:szCs w:val="24"/>
        </w:rPr>
        <w:t xml:space="preserve"> coefficients can be interpreted as being the marginal probability of reporting being </w:t>
      </w:r>
      <w:r w:rsidR="00B310CD">
        <w:rPr>
          <w:rFonts w:ascii="Times New Roman" w:hAnsi="Times New Roman" w:cs="Times New Roman"/>
          <w:sz w:val="24"/>
          <w:szCs w:val="24"/>
        </w:rPr>
        <w:t>'</w:t>
      </w:r>
      <w:r>
        <w:rPr>
          <w:rFonts w:ascii="Times New Roman" w:hAnsi="Times New Roman" w:cs="Times New Roman"/>
          <w:sz w:val="24"/>
          <w:szCs w:val="24"/>
        </w:rPr>
        <w:t>very satisfied</w:t>
      </w:r>
      <w:r w:rsidR="00B310CD">
        <w:rPr>
          <w:rFonts w:ascii="Times New Roman" w:hAnsi="Times New Roman" w:cs="Times New Roman"/>
          <w:sz w:val="24"/>
          <w:szCs w:val="24"/>
        </w:rPr>
        <w:t>'</w:t>
      </w:r>
      <w:r>
        <w:rPr>
          <w:rFonts w:ascii="Times New Roman" w:hAnsi="Times New Roman" w:cs="Times New Roman"/>
          <w:sz w:val="24"/>
          <w:szCs w:val="24"/>
        </w:rPr>
        <w:t>.</w:t>
      </w:r>
    </w:p>
    <w:p w14:paraId="65868289" w14:textId="77777777" w:rsidR="00DF7C58" w:rsidRDefault="00DF7C58" w:rsidP="00981453">
      <w:pPr>
        <w:tabs>
          <w:tab w:val="left" w:pos="426"/>
        </w:tabs>
        <w:spacing w:after="0" w:line="288" w:lineRule="auto"/>
        <w:jc w:val="both"/>
        <w:rPr>
          <w:rFonts w:ascii="Times New Roman" w:hAnsi="Times New Roman" w:cs="Times New Roman"/>
          <w:sz w:val="24"/>
          <w:szCs w:val="24"/>
        </w:rPr>
      </w:pPr>
    </w:p>
    <w:p w14:paraId="5C007315" w14:textId="77777777" w:rsidR="00E81B7C" w:rsidRDefault="00E81B7C" w:rsidP="00C10900">
      <w:pPr>
        <w:tabs>
          <w:tab w:val="left" w:pos="426"/>
        </w:tabs>
        <w:spacing w:after="0" w:line="240" w:lineRule="auto"/>
        <w:jc w:val="center"/>
        <w:rPr>
          <w:rFonts w:ascii="Times New Roman" w:hAnsi="Times New Roman" w:cs="Times New Roman"/>
          <w:b/>
          <w:sz w:val="24"/>
          <w:szCs w:val="24"/>
        </w:rPr>
      </w:pPr>
      <w:r w:rsidRPr="00C10900">
        <w:rPr>
          <w:rFonts w:ascii="Times New Roman" w:hAnsi="Times New Roman" w:cs="Times New Roman"/>
          <w:b/>
          <w:sz w:val="24"/>
          <w:szCs w:val="24"/>
        </w:rPr>
        <w:t>Table 1: Summary statistics (n=4224)</w:t>
      </w:r>
    </w:p>
    <w:p w14:paraId="10F5F780" w14:textId="77777777" w:rsidR="00C10900" w:rsidRPr="00C10900" w:rsidRDefault="00C10900" w:rsidP="00C10900">
      <w:pPr>
        <w:tabs>
          <w:tab w:val="left" w:pos="426"/>
        </w:tabs>
        <w:spacing w:after="0" w:line="240" w:lineRule="auto"/>
        <w:jc w:val="center"/>
        <w:rPr>
          <w:rFonts w:ascii="Times New Roman" w:hAnsi="Times New Roman" w:cs="Times New Roman"/>
          <w:b/>
          <w:sz w:val="8"/>
          <w:szCs w:val="8"/>
        </w:r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1361"/>
        <w:gridCol w:w="964"/>
        <w:gridCol w:w="1020"/>
        <w:gridCol w:w="1020"/>
        <w:gridCol w:w="907"/>
        <w:gridCol w:w="907"/>
      </w:tblGrid>
      <w:tr w:rsidR="00E81B7C" w:rsidRPr="00C10900" w14:paraId="2666E22E" w14:textId="77777777" w:rsidTr="003A4B1D">
        <w:tc>
          <w:tcPr>
            <w:tcW w:w="2891" w:type="dxa"/>
            <w:tcBorders>
              <w:top w:val="single" w:sz="4" w:space="0" w:color="auto"/>
              <w:bottom w:val="single" w:sz="4" w:space="0" w:color="auto"/>
            </w:tcBorders>
            <w:vAlign w:val="center"/>
          </w:tcPr>
          <w:p w14:paraId="184BD528" w14:textId="77777777" w:rsidR="00E81B7C" w:rsidRPr="00C10900" w:rsidRDefault="00E81B7C" w:rsidP="00981453">
            <w:pPr>
              <w:tabs>
                <w:tab w:val="left" w:pos="426"/>
              </w:tabs>
              <w:rPr>
                <w:rFonts w:ascii="Times New Roman" w:hAnsi="Times New Roman" w:cs="Times New Roman"/>
                <w:b/>
              </w:rPr>
            </w:pPr>
            <w:r w:rsidRPr="00C10900">
              <w:rPr>
                <w:rFonts w:ascii="Times New Roman" w:hAnsi="Times New Roman" w:cs="Times New Roman"/>
                <w:b/>
              </w:rPr>
              <w:t>Variable</w:t>
            </w:r>
          </w:p>
        </w:tc>
        <w:tc>
          <w:tcPr>
            <w:tcW w:w="1361" w:type="dxa"/>
            <w:tcBorders>
              <w:top w:val="single" w:sz="4" w:space="0" w:color="auto"/>
              <w:bottom w:val="single" w:sz="4" w:space="0" w:color="auto"/>
            </w:tcBorders>
            <w:vAlign w:val="center"/>
          </w:tcPr>
          <w:p w14:paraId="303D21EB" w14:textId="77777777" w:rsidR="00E81B7C" w:rsidRPr="00C10900" w:rsidRDefault="00E81B7C" w:rsidP="00981453">
            <w:pPr>
              <w:tabs>
                <w:tab w:val="left" w:pos="426"/>
              </w:tabs>
              <w:jc w:val="center"/>
              <w:rPr>
                <w:rFonts w:ascii="Times New Roman" w:hAnsi="Times New Roman" w:cs="Times New Roman"/>
                <w:b/>
              </w:rPr>
            </w:pPr>
            <w:r w:rsidRPr="00C10900">
              <w:rPr>
                <w:rFonts w:ascii="Times New Roman" w:hAnsi="Times New Roman" w:cs="Times New Roman"/>
                <w:b/>
              </w:rPr>
              <w:t>Proportion</w:t>
            </w:r>
          </w:p>
        </w:tc>
        <w:tc>
          <w:tcPr>
            <w:tcW w:w="964" w:type="dxa"/>
            <w:tcBorders>
              <w:top w:val="single" w:sz="4" w:space="0" w:color="auto"/>
              <w:bottom w:val="single" w:sz="4" w:space="0" w:color="auto"/>
            </w:tcBorders>
            <w:vAlign w:val="center"/>
          </w:tcPr>
          <w:p w14:paraId="344B0BAA" w14:textId="77777777" w:rsidR="00E81B7C" w:rsidRPr="00C10900" w:rsidRDefault="00E81B7C" w:rsidP="00981453">
            <w:pPr>
              <w:tabs>
                <w:tab w:val="left" w:pos="426"/>
              </w:tabs>
              <w:jc w:val="center"/>
              <w:rPr>
                <w:rFonts w:ascii="Times New Roman" w:hAnsi="Times New Roman" w:cs="Times New Roman"/>
                <w:b/>
              </w:rPr>
            </w:pPr>
            <w:r w:rsidRPr="00C10900">
              <w:rPr>
                <w:rFonts w:ascii="Times New Roman" w:hAnsi="Times New Roman" w:cs="Times New Roman"/>
                <w:b/>
              </w:rPr>
              <w:t>Mean</w:t>
            </w:r>
          </w:p>
        </w:tc>
        <w:tc>
          <w:tcPr>
            <w:tcW w:w="1020" w:type="dxa"/>
            <w:tcBorders>
              <w:top w:val="single" w:sz="4" w:space="0" w:color="auto"/>
              <w:bottom w:val="single" w:sz="4" w:space="0" w:color="auto"/>
            </w:tcBorders>
            <w:vAlign w:val="center"/>
          </w:tcPr>
          <w:p w14:paraId="3E0B43B0" w14:textId="77777777" w:rsidR="00E81B7C" w:rsidRPr="00C10900" w:rsidRDefault="00E81B7C" w:rsidP="00981453">
            <w:pPr>
              <w:tabs>
                <w:tab w:val="left" w:pos="426"/>
              </w:tabs>
              <w:jc w:val="center"/>
              <w:rPr>
                <w:rFonts w:ascii="Times New Roman" w:hAnsi="Times New Roman" w:cs="Times New Roman"/>
                <w:b/>
              </w:rPr>
            </w:pPr>
            <w:r w:rsidRPr="00C10900">
              <w:rPr>
                <w:rFonts w:ascii="Times New Roman" w:hAnsi="Times New Roman" w:cs="Times New Roman"/>
                <w:b/>
              </w:rPr>
              <w:t>Median</w:t>
            </w:r>
          </w:p>
        </w:tc>
        <w:tc>
          <w:tcPr>
            <w:tcW w:w="1020" w:type="dxa"/>
            <w:tcBorders>
              <w:top w:val="single" w:sz="4" w:space="0" w:color="auto"/>
              <w:bottom w:val="single" w:sz="4" w:space="0" w:color="auto"/>
            </w:tcBorders>
            <w:vAlign w:val="center"/>
          </w:tcPr>
          <w:p w14:paraId="513082FD" w14:textId="77777777" w:rsidR="00E81B7C" w:rsidRPr="00C10900" w:rsidRDefault="00E81B7C" w:rsidP="00981453">
            <w:pPr>
              <w:tabs>
                <w:tab w:val="left" w:pos="426"/>
              </w:tabs>
              <w:jc w:val="center"/>
              <w:rPr>
                <w:rFonts w:ascii="Times New Roman" w:hAnsi="Times New Roman" w:cs="Times New Roman"/>
                <w:b/>
              </w:rPr>
            </w:pPr>
            <w:r w:rsidRPr="00C10900">
              <w:rPr>
                <w:rFonts w:ascii="Times New Roman" w:hAnsi="Times New Roman" w:cs="Times New Roman"/>
                <w:b/>
              </w:rPr>
              <w:t>St. Dev.</w:t>
            </w:r>
          </w:p>
        </w:tc>
        <w:tc>
          <w:tcPr>
            <w:tcW w:w="907" w:type="dxa"/>
            <w:tcBorders>
              <w:top w:val="single" w:sz="4" w:space="0" w:color="auto"/>
              <w:bottom w:val="single" w:sz="4" w:space="0" w:color="auto"/>
            </w:tcBorders>
            <w:vAlign w:val="center"/>
          </w:tcPr>
          <w:p w14:paraId="4D1E0BC3" w14:textId="77777777" w:rsidR="00E81B7C" w:rsidRPr="00C10900" w:rsidRDefault="00E81B7C" w:rsidP="00981453">
            <w:pPr>
              <w:tabs>
                <w:tab w:val="left" w:pos="426"/>
              </w:tabs>
              <w:jc w:val="center"/>
              <w:rPr>
                <w:rFonts w:ascii="Times New Roman" w:hAnsi="Times New Roman" w:cs="Times New Roman"/>
                <w:b/>
              </w:rPr>
            </w:pPr>
            <w:r w:rsidRPr="00C10900">
              <w:rPr>
                <w:rFonts w:ascii="Times New Roman" w:hAnsi="Times New Roman" w:cs="Times New Roman"/>
                <w:b/>
              </w:rPr>
              <w:t>Min.</w:t>
            </w:r>
          </w:p>
        </w:tc>
        <w:tc>
          <w:tcPr>
            <w:tcW w:w="907" w:type="dxa"/>
            <w:tcBorders>
              <w:top w:val="single" w:sz="4" w:space="0" w:color="auto"/>
              <w:bottom w:val="single" w:sz="4" w:space="0" w:color="auto"/>
            </w:tcBorders>
            <w:vAlign w:val="center"/>
          </w:tcPr>
          <w:p w14:paraId="14B6083E" w14:textId="77777777" w:rsidR="00E81B7C" w:rsidRPr="00C10900" w:rsidRDefault="00E81B7C" w:rsidP="00981453">
            <w:pPr>
              <w:tabs>
                <w:tab w:val="left" w:pos="426"/>
              </w:tabs>
              <w:jc w:val="center"/>
              <w:rPr>
                <w:rFonts w:ascii="Times New Roman" w:hAnsi="Times New Roman" w:cs="Times New Roman"/>
                <w:b/>
              </w:rPr>
            </w:pPr>
            <w:r w:rsidRPr="00C10900">
              <w:rPr>
                <w:rFonts w:ascii="Times New Roman" w:hAnsi="Times New Roman" w:cs="Times New Roman"/>
                <w:b/>
              </w:rPr>
              <w:t>Max.</w:t>
            </w:r>
          </w:p>
        </w:tc>
      </w:tr>
      <w:tr w:rsidR="00E81B7C" w:rsidRPr="00C10900" w14:paraId="024FA2D0" w14:textId="77777777" w:rsidTr="003A4B1D">
        <w:tc>
          <w:tcPr>
            <w:tcW w:w="2891" w:type="dxa"/>
            <w:tcBorders>
              <w:top w:val="single" w:sz="4" w:space="0" w:color="auto"/>
            </w:tcBorders>
            <w:vAlign w:val="center"/>
          </w:tcPr>
          <w:p w14:paraId="53FFC644" w14:textId="24E420D9"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Life satisfaction (1=very satisfied)</w:t>
            </w:r>
          </w:p>
        </w:tc>
        <w:tc>
          <w:tcPr>
            <w:tcW w:w="1361" w:type="dxa"/>
            <w:tcBorders>
              <w:top w:val="single" w:sz="4" w:space="0" w:color="auto"/>
            </w:tcBorders>
            <w:vAlign w:val="center"/>
          </w:tcPr>
          <w:p w14:paraId="16660A74"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38.9%</w:t>
            </w:r>
          </w:p>
        </w:tc>
        <w:tc>
          <w:tcPr>
            <w:tcW w:w="964" w:type="dxa"/>
            <w:tcBorders>
              <w:top w:val="single" w:sz="4" w:space="0" w:color="auto"/>
            </w:tcBorders>
            <w:vAlign w:val="center"/>
          </w:tcPr>
          <w:p w14:paraId="63ABBF42" w14:textId="77777777" w:rsidR="00E81B7C" w:rsidRPr="00C10900" w:rsidRDefault="00E81B7C" w:rsidP="00981453">
            <w:pPr>
              <w:tabs>
                <w:tab w:val="left" w:pos="426"/>
                <w:tab w:val="decimal" w:pos="604"/>
              </w:tabs>
              <w:rPr>
                <w:rFonts w:ascii="Times New Roman" w:hAnsi="Times New Roman" w:cs="Times New Roman"/>
              </w:rPr>
            </w:pPr>
          </w:p>
        </w:tc>
        <w:tc>
          <w:tcPr>
            <w:tcW w:w="1020" w:type="dxa"/>
            <w:tcBorders>
              <w:top w:val="single" w:sz="4" w:space="0" w:color="auto"/>
            </w:tcBorders>
            <w:vAlign w:val="center"/>
          </w:tcPr>
          <w:p w14:paraId="4ED52CE1" w14:textId="77777777" w:rsidR="00E81B7C" w:rsidRPr="00C10900" w:rsidRDefault="00E81B7C" w:rsidP="00981453">
            <w:pPr>
              <w:tabs>
                <w:tab w:val="left" w:pos="426"/>
                <w:tab w:val="decimal" w:pos="604"/>
              </w:tabs>
              <w:rPr>
                <w:rFonts w:ascii="Times New Roman" w:hAnsi="Times New Roman" w:cs="Times New Roman"/>
              </w:rPr>
            </w:pPr>
          </w:p>
        </w:tc>
        <w:tc>
          <w:tcPr>
            <w:tcW w:w="1020" w:type="dxa"/>
            <w:tcBorders>
              <w:top w:val="single" w:sz="4" w:space="0" w:color="auto"/>
            </w:tcBorders>
            <w:vAlign w:val="center"/>
          </w:tcPr>
          <w:p w14:paraId="63278EC6" w14:textId="77777777" w:rsidR="00E81B7C" w:rsidRPr="00C10900" w:rsidRDefault="00E81B7C" w:rsidP="00981453">
            <w:pPr>
              <w:tabs>
                <w:tab w:val="left" w:pos="426"/>
                <w:tab w:val="decimal" w:pos="604"/>
              </w:tabs>
              <w:rPr>
                <w:rFonts w:ascii="Times New Roman" w:hAnsi="Times New Roman" w:cs="Times New Roman"/>
              </w:rPr>
            </w:pPr>
          </w:p>
        </w:tc>
        <w:tc>
          <w:tcPr>
            <w:tcW w:w="907" w:type="dxa"/>
            <w:tcBorders>
              <w:top w:val="single" w:sz="4" w:space="0" w:color="auto"/>
            </w:tcBorders>
            <w:vAlign w:val="center"/>
          </w:tcPr>
          <w:p w14:paraId="7F9D365D" w14:textId="77777777" w:rsidR="00E81B7C" w:rsidRPr="00C10900" w:rsidRDefault="00E81B7C" w:rsidP="00981453">
            <w:pPr>
              <w:tabs>
                <w:tab w:val="left" w:pos="426"/>
                <w:tab w:val="decimal" w:pos="604"/>
              </w:tabs>
              <w:rPr>
                <w:rFonts w:ascii="Times New Roman" w:hAnsi="Times New Roman" w:cs="Times New Roman"/>
              </w:rPr>
            </w:pPr>
          </w:p>
        </w:tc>
        <w:tc>
          <w:tcPr>
            <w:tcW w:w="907" w:type="dxa"/>
            <w:tcBorders>
              <w:top w:val="single" w:sz="4" w:space="0" w:color="auto"/>
            </w:tcBorders>
            <w:vAlign w:val="center"/>
          </w:tcPr>
          <w:p w14:paraId="4D3B9854"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733C1442" w14:textId="77777777" w:rsidTr="003A4B1D">
        <w:tc>
          <w:tcPr>
            <w:tcW w:w="2891" w:type="dxa"/>
            <w:vAlign w:val="center"/>
          </w:tcPr>
          <w:p w14:paraId="4425C64D"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Working full-time</w:t>
            </w:r>
          </w:p>
        </w:tc>
        <w:tc>
          <w:tcPr>
            <w:tcW w:w="1361" w:type="dxa"/>
            <w:vAlign w:val="center"/>
          </w:tcPr>
          <w:p w14:paraId="78354F6A"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11.7%</w:t>
            </w:r>
          </w:p>
        </w:tc>
        <w:tc>
          <w:tcPr>
            <w:tcW w:w="964" w:type="dxa"/>
            <w:vAlign w:val="center"/>
          </w:tcPr>
          <w:p w14:paraId="30348561"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69ED950E"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5A7C2A7A"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687675D7"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2393AC0C"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00F3581B" w14:textId="77777777" w:rsidTr="003A4B1D">
        <w:tc>
          <w:tcPr>
            <w:tcW w:w="2891" w:type="dxa"/>
            <w:vAlign w:val="center"/>
          </w:tcPr>
          <w:p w14:paraId="62E22841"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Working part-time</w:t>
            </w:r>
          </w:p>
        </w:tc>
        <w:tc>
          <w:tcPr>
            <w:tcW w:w="1361" w:type="dxa"/>
            <w:vAlign w:val="center"/>
          </w:tcPr>
          <w:p w14:paraId="192F1E42"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11.0%</w:t>
            </w:r>
          </w:p>
        </w:tc>
        <w:tc>
          <w:tcPr>
            <w:tcW w:w="964" w:type="dxa"/>
            <w:vAlign w:val="center"/>
          </w:tcPr>
          <w:p w14:paraId="3FA878E2"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3D3244B4"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4C82759F"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43E7327F"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178914E5"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4F7D846C" w14:textId="77777777" w:rsidTr="003A4B1D">
        <w:tc>
          <w:tcPr>
            <w:tcW w:w="2891" w:type="dxa"/>
            <w:vAlign w:val="center"/>
          </w:tcPr>
          <w:p w14:paraId="1287BF28"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Gender (1=male)</w:t>
            </w:r>
          </w:p>
        </w:tc>
        <w:tc>
          <w:tcPr>
            <w:tcW w:w="1361" w:type="dxa"/>
            <w:vAlign w:val="center"/>
          </w:tcPr>
          <w:p w14:paraId="7CBD0F9C"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42.3%</w:t>
            </w:r>
          </w:p>
        </w:tc>
        <w:tc>
          <w:tcPr>
            <w:tcW w:w="964" w:type="dxa"/>
            <w:vAlign w:val="center"/>
          </w:tcPr>
          <w:p w14:paraId="7C0CD435"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1335F981"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18B19445"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6F91DCB3"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49CCC3BA"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1157B746" w14:textId="77777777" w:rsidTr="003A4B1D">
        <w:tc>
          <w:tcPr>
            <w:tcW w:w="2891" w:type="dxa"/>
            <w:vAlign w:val="center"/>
          </w:tcPr>
          <w:p w14:paraId="1D4DF283"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Age 65-69</w:t>
            </w:r>
          </w:p>
        </w:tc>
        <w:tc>
          <w:tcPr>
            <w:tcW w:w="1361" w:type="dxa"/>
            <w:vAlign w:val="center"/>
          </w:tcPr>
          <w:p w14:paraId="525D45CF"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40.5%</w:t>
            </w:r>
          </w:p>
        </w:tc>
        <w:tc>
          <w:tcPr>
            <w:tcW w:w="964" w:type="dxa"/>
            <w:vAlign w:val="center"/>
          </w:tcPr>
          <w:p w14:paraId="5F4BF535"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000AD863"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3B1BF12F"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3A0059CA"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3A8166F6"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75B00B60" w14:textId="77777777" w:rsidTr="003A4B1D">
        <w:tc>
          <w:tcPr>
            <w:tcW w:w="2891" w:type="dxa"/>
            <w:vAlign w:val="center"/>
          </w:tcPr>
          <w:p w14:paraId="6D1EABFA"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Age 70-74</w:t>
            </w:r>
          </w:p>
        </w:tc>
        <w:tc>
          <w:tcPr>
            <w:tcW w:w="1361" w:type="dxa"/>
            <w:vAlign w:val="center"/>
          </w:tcPr>
          <w:p w14:paraId="4CB894D3"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32.8%</w:t>
            </w:r>
          </w:p>
        </w:tc>
        <w:tc>
          <w:tcPr>
            <w:tcW w:w="964" w:type="dxa"/>
            <w:vAlign w:val="center"/>
          </w:tcPr>
          <w:p w14:paraId="603237FE"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019B0735"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3370405D"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74620DE5"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70BBF4ED"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2A5B90A3" w14:textId="77777777" w:rsidTr="003A4B1D">
        <w:tc>
          <w:tcPr>
            <w:tcW w:w="2891" w:type="dxa"/>
            <w:vAlign w:val="center"/>
          </w:tcPr>
          <w:p w14:paraId="7DB155A3"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Age 75-79</w:t>
            </w:r>
          </w:p>
        </w:tc>
        <w:tc>
          <w:tcPr>
            <w:tcW w:w="1361" w:type="dxa"/>
            <w:vAlign w:val="center"/>
          </w:tcPr>
          <w:p w14:paraId="172F407C"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26.7%</w:t>
            </w:r>
          </w:p>
        </w:tc>
        <w:tc>
          <w:tcPr>
            <w:tcW w:w="964" w:type="dxa"/>
            <w:vAlign w:val="center"/>
          </w:tcPr>
          <w:p w14:paraId="0AC988AD"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708D0E17"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6E627FDD"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53D036B2"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75CF3CC7"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3F6989B3" w14:textId="77777777" w:rsidTr="003A4B1D">
        <w:tc>
          <w:tcPr>
            <w:tcW w:w="2891" w:type="dxa"/>
          </w:tcPr>
          <w:p w14:paraId="15C877BD"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Education (1=post-secondary)</w:t>
            </w:r>
          </w:p>
        </w:tc>
        <w:tc>
          <w:tcPr>
            <w:tcW w:w="1361" w:type="dxa"/>
            <w:vAlign w:val="center"/>
          </w:tcPr>
          <w:p w14:paraId="46A63BD1"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34.3%</w:t>
            </w:r>
          </w:p>
        </w:tc>
        <w:tc>
          <w:tcPr>
            <w:tcW w:w="964" w:type="dxa"/>
            <w:vAlign w:val="center"/>
          </w:tcPr>
          <w:p w14:paraId="72519691"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3F0A2A1E"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03FE9AE4"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5988D612"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7189680C"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1C82F432" w14:textId="77777777" w:rsidTr="003A4B1D">
        <w:tc>
          <w:tcPr>
            <w:tcW w:w="2891" w:type="dxa"/>
            <w:vAlign w:val="center"/>
          </w:tcPr>
          <w:p w14:paraId="4ED45CBC"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Partnered</w:t>
            </w:r>
          </w:p>
        </w:tc>
        <w:tc>
          <w:tcPr>
            <w:tcW w:w="1361" w:type="dxa"/>
            <w:vAlign w:val="center"/>
          </w:tcPr>
          <w:p w14:paraId="43F687CA"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51.9%</w:t>
            </w:r>
          </w:p>
        </w:tc>
        <w:tc>
          <w:tcPr>
            <w:tcW w:w="964" w:type="dxa"/>
            <w:vAlign w:val="center"/>
          </w:tcPr>
          <w:p w14:paraId="63C43502"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79328BC1" w14:textId="77777777" w:rsidR="00E81B7C" w:rsidRPr="00C10900" w:rsidRDefault="00E81B7C" w:rsidP="00981453">
            <w:pPr>
              <w:tabs>
                <w:tab w:val="left" w:pos="426"/>
                <w:tab w:val="decimal" w:pos="604"/>
              </w:tabs>
              <w:rPr>
                <w:rFonts w:ascii="Times New Roman" w:hAnsi="Times New Roman" w:cs="Times New Roman"/>
              </w:rPr>
            </w:pPr>
          </w:p>
        </w:tc>
        <w:tc>
          <w:tcPr>
            <w:tcW w:w="1020" w:type="dxa"/>
            <w:vAlign w:val="center"/>
          </w:tcPr>
          <w:p w14:paraId="232858E3"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5DE6B3FC" w14:textId="77777777" w:rsidR="00E81B7C" w:rsidRPr="00C10900" w:rsidRDefault="00E81B7C" w:rsidP="00981453">
            <w:pPr>
              <w:tabs>
                <w:tab w:val="left" w:pos="426"/>
                <w:tab w:val="decimal" w:pos="604"/>
              </w:tabs>
              <w:rPr>
                <w:rFonts w:ascii="Times New Roman" w:hAnsi="Times New Roman" w:cs="Times New Roman"/>
              </w:rPr>
            </w:pPr>
          </w:p>
        </w:tc>
        <w:tc>
          <w:tcPr>
            <w:tcW w:w="907" w:type="dxa"/>
            <w:vAlign w:val="center"/>
          </w:tcPr>
          <w:p w14:paraId="7693BB3C" w14:textId="77777777" w:rsidR="00E81B7C" w:rsidRPr="00C10900" w:rsidRDefault="00E81B7C" w:rsidP="00981453">
            <w:pPr>
              <w:tabs>
                <w:tab w:val="left" w:pos="426"/>
                <w:tab w:val="decimal" w:pos="604"/>
              </w:tabs>
              <w:rPr>
                <w:rFonts w:ascii="Times New Roman" w:hAnsi="Times New Roman" w:cs="Times New Roman"/>
              </w:rPr>
            </w:pPr>
          </w:p>
        </w:tc>
      </w:tr>
      <w:tr w:rsidR="00E81B7C" w:rsidRPr="00C10900" w14:paraId="273FAAF1" w14:textId="77777777" w:rsidTr="003A4B1D">
        <w:tc>
          <w:tcPr>
            <w:tcW w:w="2891" w:type="dxa"/>
            <w:vAlign w:val="center"/>
          </w:tcPr>
          <w:p w14:paraId="66DEDE54"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SF-12 PCS</w:t>
            </w:r>
          </w:p>
        </w:tc>
        <w:tc>
          <w:tcPr>
            <w:tcW w:w="1361" w:type="dxa"/>
            <w:vAlign w:val="center"/>
          </w:tcPr>
          <w:p w14:paraId="0F043740" w14:textId="77777777" w:rsidR="00E81B7C" w:rsidRPr="00C10900" w:rsidRDefault="00E81B7C" w:rsidP="00981453">
            <w:pPr>
              <w:tabs>
                <w:tab w:val="left" w:pos="426"/>
                <w:tab w:val="decimal" w:pos="604"/>
              </w:tabs>
              <w:rPr>
                <w:rFonts w:ascii="Times New Roman" w:hAnsi="Times New Roman" w:cs="Times New Roman"/>
              </w:rPr>
            </w:pPr>
          </w:p>
        </w:tc>
        <w:tc>
          <w:tcPr>
            <w:tcW w:w="964" w:type="dxa"/>
            <w:vAlign w:val="center"/>
          </w:tcPr>
          <w:p w14:paraId="2FC859F5"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44.26</w:t>
            </w:r>
          </w:p>
        </w:tc>
        <w:tc>
          <w:tcPr>
            <w:tcW w:w="1020" w:type="dxa"/>
            <w:vAlign w:val="center"/>
          </w:tcPr>
          <w:p w14:paraId="342FDF53"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48</w:t>
            </w:r>
          </w:p>
        </w:tc>
        <w:tc>
          <w:tcPr>
            <w:tcW w:w="1020" w:type="dxa"/>
            <w:vAlign w:val="center"/>
          </w:tcPr>
          <w:p w14:paraId="2B974C65"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12.21</w:t>
            </w:r>
          </w:p>
        </w:tc>
        <w:tc>
          <w:tcPr>
            <w:tcW w:w="907" w:type="dxa"/>
            <w:vAlign w:val="center"/>
          </w:tcPr>
          <w:p w14:paraId="665A7EFA"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4</w:t>
            </w:r>
          </w:p>
        </w:tc>
        <w:tc>
          <w:tcPr>
            <w:tcW w:w="907" w:type="dxa"/>
            <w:vAlign w:val="center"/>
          </w:tcPr>
          <w:p w14:paraId="38C6372E"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66</w:t>
            </w:r>
          </w:p>
        </w:tc>
      </w:tr>
      <w:tr w:rsidR="00E81B7C" w:rsidRPr="00C10900" w14:paraId="5635CD6A" w14:textId="77777777" w:rsidTr="003A4B1D">
        <w:tc>
          <w:tcPr>
            <w:tcW w:w="2891" w:type="dxa"/>
            <w:vAlign w:val="center"/>
          </w:tcPr>
          <w:p w14:paraId="508DA11D"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SF-12 MCS</w:t>
            </w:r>
          </w:p>
        </w:tc>
        <w:tc>
          <w:tcPr>
            <w:tcW w:w="1361" w:type="dxa"/>
            <w:vAlign w:val="center"/>
          </w:tcPr>
          <w:p w14:paraId="646AACE6" w14:textId="77777777" w:rsidR="00E81B7C" w:rsidRPr="00C10900" w:rsidRDefault="00E81B7C" w:rsidP="00981453">
            <w:pPr>
              <w:tabs>
                <w:tab w:val="left" w:pos="426"/>
                <w:tab w:val="decimal" w:pos="604"/>
              </w:tabs>
              <w:rPr>
                <w:rFonts w:ascii="Times New Roman" w:hAnsi="Times New Roman" w:cs="Times New Roman"/>
              </w:rPr>
            </w:pPr>
          </w:p>
        </w:tc>
        <w:tc>
          <w:tcPr>
            <w:tcW w:w="964" w:type="dxa"/>
            <w:vAlign w:val="center"/>
          </w:tcPr>
          <w:p w14:paraId="6B77EBD0"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52.49</w:t>
            </w:r>
          </w:p>
        </w:tc>
        <w:tc>
          <w:tcPr>
            <w:tcW w:w="1020" w:type="dxa"/>
            <w:vAlign w:val="center"/>
          </w:tcPr>
          <w:p w14:paraId="729E78DB"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55</w:t>
            </w:r>
          </w:p>
        </w:tc>
        <w:tc>
          <w:tcPr>
            <w:tcW w:w="1020" w:type="dxa"/>
            <w:vAlign w:val="center"/>
          </w:tcPr>
          <w:p w14:paraId="448F51C9"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9.61</w:t>
            </w:r>
          </w:p>
        </w:tc>
        <w:tc>
          <w:tcPr>
            <w:tcW w:w="907" w:type="dxa"/>
            <w:vAlign w:val="center"/>
          </w:tcPr>
          <w:p w14:paraId="494158F8"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6</w:t>
            </w:r>
          </w:p>
        </w:tc>
        <w:tc>
          <w:tcPr>
            <w:tcW w:w="907" w:type="dxa"/>
            <w:vAlign w:val="center"/>
          </w:tcPr>
          <w:p w14:paraId="6AFF10D6"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75</w:t>
            </w:r>
          </w:p>
        </w:tc>
      </w:tr>
      <w:tr w:rsidR="00E81B7C" w:rsidRPr="00C10900" w14:paraId="32C83E3C" w14:textId="77777777" w:rsidTr="003A4B1D">
        <w:tc>
          <w:tcPr>
            <w:tcW w:w="2891" w:type="dxa"/>
            <w:vAlign w:val="center"/>
          </w:tcPr>
          <w:p w14:paraId="69163618"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Regional employment rate</w:t>
            </w:r>
          </w:p>
        </w:tc>
        <w:tc>
          <w:tcPr>
            <w:tcW w:w="1361" w:type="dxa"/>
            <w:vAlign w:val="center"/>
          </w:tcPr>
          <w:p w14:paraId="142627B7" w14:textId="77777777" w:rsidR="00E81B7C" w:rsidRPr="00C10900" w:rsidRDefault="00E81B7C" w:rsidP="00981453">
            <w:pPr>
              <w:tabs>
                <w:tab w:val="left" w:pos="426"/>
                <w:tab w:val="decimal" w:pos="604"/>
              </w:tabs>
              <w:rPr>
                <w:rFonts w:ascii="Times New Roman" w:hAnsi="Times New Roman" w:cs="Times New Roman"/>
              </w:rPr>
            </w:pPr>
          </w:p>
        </w:tc>
        <w:tc>
          <w:tcPr>
            <w:tcW w:w="964" w:type="dxa"/>
            <w:vAlign w:val="center"/>
          </w:tcPr>
          <w:p w14:paraId="16CE47AA"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63.64</w:t>
            </w:r>
          </w:p>
        </w:tc>
        <w:tc>
          <w:tcPr>
            <w:tcW w:w="1020" w:type="dxa"/>
            <w:vAlign w:val="center"/>
          </w:tcPr>
          <w:p w14:paraId="029FF05F"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61.98</w:t>
            </w:r>
          </w:p>
        </w:tc>
        <w:tc>
          <w:tcPr>
            <w:tcW w:w="1020" w:type="dxa"/>
            <w:vAlign w:val="center"/>
          </w:tcPr>
          <w:p w14:paraId="4CD5150C"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6.30</w:t>
            </w:r>
          </w:p>
        </w:tc>
        <w:tc>
          <w:tcPr>
            <w:tcW w:w="907" w:type="dxa"/>
            <w:vAlign w:val="center"/>
          </w:tcPr>
          <w:p w14:paraId="25955178"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53.44</w:t>
            </w:r>
          </w:p>
        </w:tc>
        <w:tc>
          <w:tcPr>
            <w:tcW w:w="907" w:type="dxa"/>
            <w:vAlign w:val="center"/>
          </w:tcPr>
          <w:p w14:paraId="6C63267B"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73.53</w:t>
            </w:r>
          </w:p>
        </w:tc>
      </w:tr>
      <w:tr w:rsidR="00E81B7C" w:rsidRPr="00C10900" w14:paraId="6921D65C" w14:textId="77777777" w:rsidTr="003A4B1D">
        <w:tc>
          <w:tcPr>
            <w:tcW w:w="2891" w:type="dxa"/>
            <w:tcBorders>
              <w:bottom w:val="single" w:sz="4" w:space="0" w:color="auto"/>
            </w:tcBorders>
            <w:vAlign w:val="center"/>
          </w:tcPr>
          <w:p w14:paraId="47085FE2" w14:textId="77777777" w:rsidR="00E81B7C" w:rsidRPr="00C10900" w:rsidRDefault="00E81B7C" w:rsidP="00981453">
            <w:pPr>
              <w:tabs>
                <w:tab w:val="left" w:pos="426"/>
              </w:tabs>
              <w:rPr>
                <w:rFonts w:ascii="Times New Roman" w:hAnsi="Times New Roman" w:cs="Times New Roman"/>
              </w:rPr>
            </w:pPr>
            <w:r w:rsidRPr="00C10900">
              <w:rPr>
                <w:rFonts w:ascii="Times New Roman" w:hAnsi="Times New Roman" w:cs="Times New Roman"/>
              </w:rPr>
              <w:t>Regional in-migration rate</w:t>
            </w:r>
          </w:p>
        </w:tc>
        <w:tc>
          <w:tcPr>
            <w:tcW w:w="1361" w:type="dxa"/>
            <w:tcBorders>
              <w:bottom w:val="single" w:sz="4" w:space="0" w:color="auto"/>
            </w:tcBorders>
            <w:vAlign w:val="center"/>
          </w:tcPr>
          <w:p w14:paraId="27534402" w14:textId="77777777" w:rsidR="00E81B7C" w:rsidRPr="00C10900" w:rsidRDefault="00E81B7C" w:rsidP="00981453">
            <w:pPr>
              <w:tabs>
                <w:tab w:val="left" w:pos="426"/>
                <w:tab w:val="decimal" w:pos="604"/>
              </w:tabs>
              <w:rPr>
                <w:rFonts w:ascii="Times New Roman" w:hAnsi="Times New Roman" w:cs="Times New Roman"/>
              </w:rPr>
            </w:pPr>
          </w:p>
        </w:tc>
        <w:tc>
          <w:tcPr>
            <w:tcW w:w="964" w:type="dxa"/>
            <w:tcBorders>
              <w:bottom w:val="single" w:sz="4" w:space="0" w:color="auto"/>
            </w:tcBorders>
            <w:vAlign w:val="center"/>
          </w:tcPr>
          <w:p w14:paraId="4064D193"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8.18</w:t>
            </w:r>
          </w:p>
        </w:tc>
        <w:tc>
          <w:tcPr>
            <w:tcW w:w="1020" w:type="dxa"/>
            <w:tcBorders>
              <w:bottom w:val="single" w:sz="4" w:space="0" w:color="auto"/>
            </w:tcBorders>
            <w:vAlign w:val="center"/>
          </w:tcPr>
          <w:p w14:paraId="76C8CDDD"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8.82</w:t>
            </w:r>
          </w:p>
        </w:tc>
        <w:tc>
          <w:tcPr>
            <w:tcW w:w="1020" w:type="dxa"/>
            <w:tcBorders>
              <w:bottom w:val="single" w:sz="4" w:space="0" w:color="auto"/>
            </w:tcBorders>
            <w:vAlign w:val="center"/>
          </w:tcPr>
          <w:p w14:paraId="108E92D8"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2.39</w:t>
            </w:r>
          </w:p>
        </w:tc>
        <w:tc>
          <w:tcPr>
            <w:tcW w:w="907" w:type="dxa"/>
            <w:tcBorders>
              <w:bottom w:val="single" w:sz="4" w:space="0" w:color="auto"/>
            </w:tcBorders>
            <w:vAlign w:val="center"/>
          </w:tcPr>
          <w:p w14:paraId="48A4302D"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4.41</w:t>
            </w:r>
          </w:p>
        </w:tc>
        <w:tc>
          <w:tcPr>
            <w:tcW w:w="907" w:type="dxa"/>
            <w:tcBorders>
              <w:bottom w:val="single" w:sz="4" w:space="0" w:color="auto"/>
            </w:tcBorders>
            <w:vAlign w:val="center"/>
          </w:tcPr>
          <w:p w14:paraId="5DD901AB" w14:textId="77777777" w:rsidR="00E81B7C" w:rsidRPr="00C10900" w:rsidRDefault="00E81B7C" w:rsidP="00981453">
            <w:pPr>
              <w:tabs>
                <w:tab w:val="left" w:pos="426"/>
                <w:tab w:val="decimal" w:pos="604"/>
              </w:tabs>
              <w:rPr>
                <w:rFonts w:ascii="Times New Roman" w:hAnsi="Times New Roman" w:cs="Times New Roman"/>
              </w:rPr>
            </w:pPr>
            <w:r w:rsidRPr="00C10900">
              <w:rPr>
                <w:rFonts w:ascii="Times New Roman" w:hAnsi="Times New Roman" w:cs="Times New Roman"/>
              </w:rPr>
              <w:t>12.37</w:t>
            </w:r>
          </w:p>
        </w:tc>
      </w:tr>
    </w:tbl>
    <w:p w14:paraId="3D0E509F" w14:textId="77777777" w:rsidR="00E81B7C" w:rsidRDefault="00E81B7C" w:rsidP="00981453">
      <w:pPr>
        <w:tabs>
          <w:tab w:val="left" w:pos="426"/>
        </w:tabs>
        <w:spacing w:after="0" w:line="288" w:lineRule="auto"/>
        <w:jc w:val="both"/>
        <w:rPr>
          <w:rFonts w:ascii="Times New Roman" w:hAnsi="Times New Roman" w:cs="Times New Roman"/>
        </w:rPr>
      </w:pPr>
    </w:p>
    <w:p w14:paraId="1FBB0A4A" w14:textId="77777777" w:rsidR="00DF7C58" w:rsidRPr="00C10900" w:rsidRDefault="00DF7C58" w:rsidP="00981453">
      <w:pPr>
        <w:tabs>
          <w:tab w:val="left" w:pos="426"/>
        </w:tabs>
        <w:spacing w:after="0" w:line="288" w:lineRule="auto"/>
        <w:jc w:val="both"/>
        <w:rPr>
          <w:rFonts w:ascii="Times New Roman" w:hAnsi="Times New Roman" w:cs="Times New Roman"/>
        </w:rPr>
      </w:pPr>
    </w:p>
    <w:p w14:paraId="68F20D4B" w14:textId="77777777" w:rsidR="000606B5" w:rsidRDefault="000606B5" w:rsidP="00981453">
      <w:pPr>
        <w:pStyle w:val="Heading2"/>
        <w:tabs>
          <w:tab w:val="left" w:pos="426"/>
        </w:tabs>
        <w:spacing w:before="0" w:line="288" w:lineRule="auto"/>
        <w:ind w:left="0" w:firstLine="0"/>
        <w:rPr>
          <w:rFonts w:asciiTheme="majorBidi" w:hAnsiTheme="majorBidi"/>
          <w:color w:val="auto"/>
          <w:sz w:val="24"/>
          <w:szCs w:val="24"/>
        </w:rPr>
      </w:pPr>
      <w:r w:rsidRPr="00C10900">
        <w:rPr>
          <w:rFonts w:asciiTheme="majorBidi" w:hAnsiTheme="majorBidi"/>
          <w:color w:val="auto"/>
          <w:sz w:val="24"/>
          <w:szCs w:val="24"/>
        </w:rPr>
        <w:t>Results</w:t>
      </w:r>
    </w:p>
    <w:p w14:paraId="0283DD22" w14:textId="77777777" w:rsidR="008E7630" w:rsidRPr="008E7630" w:rsidRDefault="008E7630" w:rsidP="00981453">
      <w:pPr>
        <w:tabs>
          <w:tab w:val="left" w:pos="426"/>
        </w:tabs>
        <w:spacing w:after="0" w:line="288" w:lineRule="auto"/>
        <w:jc w:val="both"/>
        <w:rPr>
          <w:rFonts w:ascii="Times New Roman" w:hAnsi="Times New Roman" w:cs="Times New Roman"/>
          <w:sz w:val="12"/>
          <w:szCs w:val="12"/>
        </w:rPr>
      </w:pPr>
    </w:p>
    <w:p w14:paraId="28F4E298" w14:textId="77777777" w:rsidR="000606B5" w:rsidRDefault="000606B5"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Figure 2 shows the relationship between life satisfaction and labour force status in our sample of people aged 65-79 years, demonstrating the overall very high levels of life satisfaction in the sample. Satisfaction is highest among those working part-time (45.8% very satisfied, and 47.3% satisfied), followed by those working full-time (41.0% very satisfied, and 50.5% satisfied), and lowest among those not working (37.6% very satisfied, and 52.3% satisfied). However, the apparent differences in life satisfaction by labour force status in Figure 2 tell us little about whether there is any causal relationship between labour force status and life satisfaction, and importantly do not control for health status (healthier people work more, and have higher life satisfaction)</w:t>
      </w:r>
      <w:r w:rsidR="00726DAB">
        <w:rPr>
          <w:rFonts w:ascii="Times New Roman" w:hAnsi="Times New Roman" w:cs="Times New Roman"/>
          <w:sz w:val="24"/>
          <w:szCs w:val="24"/>
        </w:rPr>
        <w:t xml:space="preserve"> or economic need</w:t>
      </w:r>
      <w:r>
        <w:rPr>
          <w:rFonts w:ascii="Times New Roman" w:hAnsi="Times New Roman" w:cs="Times New Roman"/>
          <w:sz w:val="24"/>
          <w:szCs w:val="24"/>
        </w:rPr>
        <w:t>.</w:t>
      </w:r>
    </w:p>
    <w:p w14:paraId="492A5C42" w14:textId="77777777" w:rsidR="00C10900" w:rsidRDefault="00C10900" w:rsidP="00C10900">
      <w:pPr>
        <w:tabs>
          <w:tab w:val="left" w:pos="426"/>
        </w:tabs>
        <w:spacing w:after="0" w:line="288" w:lineRule="auto"/>
        <w:rPr>
          <w:rFonts w:ascii="Times New Roman" w:hAnsi="Times New Roman" w:cs="Times New Roman"/>
          <w:b/>
        </w:rPr>
      </w:pPr>
    </w:p>
    <w:p w14:paraId="79DBD18A" w14:textId="77777777" w:rsidR="00132AFD" w:rsidRDefault="00132AFD">
      <w:pPr>
        <w:rPr>
          <w:rFonts w:ascii="Times New Roman" w:hAnsi="Times New Roman" w:cs="Times New Roman"/>
          <w:b/>
        </w:rPr>
      </w:pPr>
      <w:r>
        <w:rPr>
          <w:rFonts w:ascii="Times New Roman" w:hAnsi="Times New Roman" w:cs="Times New Roman"/>
          <w:b/>
        </w:rPr>
        <w:br w:type="page"/>
      </w:r>
    </w:p>
    <w:p w14:paraId="50065724" w14:textId="0CD24633" w:rsidR="000606B5" w:rsidRPr="00C10900" w:rsidRDefault="000606B5" w:rsidP="00C10900">
      <w:pPr>
        <w:tabs>
          <w:tab w:val="left" w:pos="426"/>
        </w:tabs>
        <w:spacing w:after="0" w:line="288" w:lineRule="auto"/>
        <w:jc w:val="center"/>
        <w:rPr>
          <w:rFonts w:ascii="Times New Roman" w:hAnsi="Times New Roman" w:cs="Times New Roman"/>
          <w:b/>
        </w:rPr>
      </w:pPr>
      <w:r w:rsidRPr="00C10900">
        <w:rPr>
          <w:rFonts w:ascii="Times New Roman" w:hAnsi="Times New Roman" w:cs="Times New Roman"/>
          <w:b/>
        </w:rPr>
        <w:lastRenderedPageBreak/>
        <w:t>Figure 2: Life satisfaction, by labour force status (n=4224)</w:t>
      </w:r>
    </w:p>
    <w:p w14:paraId="1E49DE1E" w14:textId="77777777" w:rsidR="000606B5" w:rsidRDefault="000606B5" w:rsidP="00C10900">
      <w:pPr>
        <w:tabs>
          <w:tab w:val="left" w:pos="426"/>
        </w:tabs>
        <w:spacing w:after="0" w:line="288" w:lineRule="auto"/>
        <w:jc w:val="center"/>
        <w:rPr>
          <w:rFonts w:ascii="Times New Roman" w:hAnsi="Times New Roman" w:cs="Times New Roman"/>
          <w:sz w:val="24"/>
          <w:szCs w:val="24"/>
        </w:rPr>
      </w:pPr>
      <w:r w:rsidRPr="000606B5">
        <w:rPr>
          <w:noProof/>
          <w:lang w:eastAsia="en-NZ"/>
        </w:rPr>
        <w:drawing>
          <wp:inline distT="0" distB="0" distL="0" distR="0" wp14:anchorId="3DAA2086" wp14:editId="787A00D3">
            <wp:extent cx="4829006"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6863" cy="2753344"/>
                    </a:xfrm>
                    <a:prstGeom prst="rect">
                      <a:avLst/>
                    </a:prstGeom>
                    <a:noFill/>
                    <a:ln>
                      <a:noFill/>
                    </a:ln>
                  </pic:spPr>
                </pic:pic>
              </a:graphicData>
            </a:graphic>
          </wp:inline>
        </w:drawing>
      </w:r>
    </w:p>
    <w:p w14:paraId="7CA9FDCB" w14:textId="77777777" w:rsidR="00E43B88" w:rsidRDefault="00E43B88" w:rsidP="00981453">
      <w:pPr>
        <w:tabs>
          <w:tab w:val="left" w:pos="426"/>
        </w:tabs>
        <w:spacing w:after="0" w:line="288" w:lineRule="auto"/>
        <w:jc w:val="both"/>
        <w:rPr>
          <w:rFonts w:ascii="Times New Roman" w:hAnsi="Times New Roman" w:cs="Times New Roman"/>
          <w:sz w:val="24"/>
          <w:szCs w:val="24"/>
        </w:rPr>
      </w:pPr>
    </w:p>
    <w:p w14:paraId="124A9D29" w14:textId="77777777" w:rsidR="00132AFD" w:rsidRDefault="00132AFD" w:rsidP="00981453">
      <w:pPr>
        <w:tabs>
          <w:tab w:val="left" w:pos="426"/>
        </w:tabs>
        <w:spacing w:after="0" w:line="288" w:lineRule="auto"/>
        <w:jc w:val="both"/>
        <w:rPr>
          <w:rFonts w:ascii="Times New Roman" w:hAnsi="Times New Roman" w:cs="Times New Roman"/>
          <w:sz w:val="24"/>
          <w:szCs w:val="24"/>
        </w:rPr>
      </w:pPr>
    </w:p>
    <w:p w14:paraId="12DAD6CE" w14:textId="58641370" w:rsidR="00BE0027" w:rsidRDefault="00C10900"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0606B5">
        <w:rPr>
          <w:rFonts w:ascii="Times New Roman" w:hAnsi="Times New Roman" w:cs="Times New Roman"/>
          <w:sz w:val="24"/>
          <w:szCs w:val="24"/>
        </w:rPr>
        <w:t xml:space="preserve">Accounting for selection bias, health status and the endogeneity of labour force participation, our econometric results of the final model specifications are presented in </w:t>
      </w:r>
      <w:r>
        <w:rPr>
          <w:rFonts w:ascii="Times New Roman" w:hAnsi="Times New Roman" w:cs="Times New Roman"/>
          <w:sz w:val="24"/>
          <w:szCs w:val="24"/>
        </w:rPr>
        <w:br/>
      </w:r>
      <w:r w:rsidR="00132AFD">
        <w:rPr>
          <w:rFonts w:ascii="Times New Roman" w:hAnsi="Times New Roman" w:cs="Times New Roman"/>
          <w:sz w:val="24"/>
          <w:szCs w:val="24"/>
        </w:rPr>
        <w:t>Table 2</w:t>
      </w:r>
      <w:r w:rsidR="000606B5">
        <w:rPr>
          <w:rFonts w:ascii="Times New Roman" w:hAnsi="Times New Roman" w:cs="Times New Roman"/>
          <w:sz w:val="24"/>
          <w:szCs w:val="24"/>
        </w:rPr>
        <w:t xml:space="preserve">. We report </w:t>
      </w:r>
      <w:r w:rsidR="00C37D0D">
        <w:rPr>
          <w:rFonts w:ascii="Times New Roman" w:hAnsi="Times New Roman" w:cs="Times New Roman"/>
          <w:sz w:val="24"/>
          <w:szCs w:val="24"/>
        </w:rPr>
        <w:t>four</w:t>
      </w:r>
      <w:r w:rsidR="000606B5">
        <w:rPr>
          <w:rFonts w:ascii="Times New Roman" w:hAnsi="Times New Roman" w:cs="Times New Roman"/>
          <w:sz w:val="24"/>
          <w:szCs w:val="24"/>
        </w:rPr>
        <w:t xml:space="preserve"> models. The first</w:t>
      </w:r>
      <w:r w:rsidR="00C37D0D">
        <w:rPr>
          <w:rFonts w:ascii="Times New Roman" w:hAnsi="Times New Roman" w:cs="Times New Roman"/>
          <w:sz w:val="24"/>
          <w:szCs w:val="24"/>
        </w:rPr>
        <w:t xml:space="preserve"> (Model 1)</w:t>
      </w:r>
      <w:r w:rsidR="000606B5">
        <w:rPr>
          <w:rFonts w:ascii="Times New Roman" w:hAnsi="Times New Roman" w:cs="Times New Roman"/>
          <w:sz w:val="24"/>
          <w:szCs w:val="24"/>
        </w:rPr>
        <w:t xml:space="preserve"> includes education as a covariate in both the first and second stages of the regression, </w:t>
      </w:r>
      <w:r w:rsidR="00C37D0D">
        <w:rPr>
          <w:rFonts w:ascii="Times New Roman" w:hAnsi="Times New Roman" w:cs="Times New Roman"/>
          <w:sz w:val="24"/>
          <w:szCs w:val="24"/>
        </w:rPr>
        <w:t xml:space="preserve">and includes gender as a covariate but not as an instrument. This model shows that gender is statistically insignificant as a direct predictor of life satisfaction, after controlling for other variables, and can therefore be excluded from the explanatory variables. Having been excluded from having a direct effect on life satisfaction, gender can then be included as an instrument, the results of which are shown in Model 2. The final two columns, Model 3A and Model 3B, </w:t>
      </w:r>
      <w:r w:rsidR="000606B5">
        <w:rPr>
          <w:rFonts w:ascii="Times New Roman" w:hAnsi="Times New Roman" w:cs="Times New Roman"/>
          <w:sz w:val="24"/>
          <w:szCs w:val="24"/>
        </w:rPr>
        <w:t>disaggregate the sample into those with and without some post-secondary education</w:t>
      </w:r>
      <w:r w:rsidR="00C37D0D">
        <w:rPr>
          <w:rFonts w:ascii="Times New Roman" w:hAnsi="Times New Roman" w:cs="Times New Roman"/>
          <w:sz w:val="24"/>
          <w:szCs w:val="24"/>
        </w:rPr>
        <w:t xml:space="preserve"> respectively</w:t>
      </w:r>
      <w:r w:rsidR="000606B5">
        <w:rPr>
          <w:rFonts w:ascii="Times New Roman" w:hAnsi="Times New Roman" w:cs="Times New Roman"/>
          <w:sz w:val="24"/>
          <w:szCs w:val="24"/>
        </w:rPr>
        <w:t>.</w:t>
      </w:r>
    </w:p>
    <w:p w14:paraId="609CD6D3" w14:textId="77777777" w:rsidR="00132AFD" w:rsidRDefault="00132AFD" w:rsidP="00981453">
      <w:pPr>
        <w:tabs>
          <w:tab w:val="left" w:pos="426"/>
        </w:tabs>
        <w:spacing w:after="0" w:line="288" w:lineRule="auto"/>
        <w:jc w:val="both"/>
        <w:rPr>
          <w:rFonts w:ascii="Times New Roman" w:hAnsi="Times New Roman" w:cs="Times New Roman"/>
          <w:sz w:val="24"/>
          <w:szCs w:val="24"/>
        </w:rPr>
      </w:pPr>
    </w:p>
    <w:p w14:paraId="6389CDD3" w14:textId="15DC4550" w:rsidR="00132AFD" w:rsidRDefault="00132AFD" w:rsidP="001B742A">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331371">
        <w:rPr>
          <w:rFonts w:ascii="Times New Roman" w:hAnsi="Times New Roman" w:cs="Times New Roman"/>
          <w:sz w:val="24"/>
          <w:szCs w:val="24"/>
        </w:rPr>
        <w:t xml:space="preserve">The results reiterate the earlier findings </w:t>
      </w:r>
      <w:r>
        <w:rPr>
          <w:rFonts w:ascii="Times New Roman" w:hAnsi="Times New Roman" w:cs="Times New Roman"/>
          <w:sz w:val="24"/>
          <w:szCs w:val="24"/>
        </w:rPr>
        <w:t xml:space="preserve">of Cameron and </w:t>
      </w:r>
      <w:proofErr w:type="spellStart"/>
      <w:r>
        <w:rPr>
          <w:rFonts w:ascii="Times New Roman" w:hAnsi="Times New Roman" w:cs="Times New Roman"/>
          <w:sz w:val="24"/>
          <w:szCs w:val="24"/>
        </w:rPr>
        <w:t>Roskruge</w:t>
      </w:r>
      <w:proofErr w:type="spellEnd"/>
      <w:r>
        <w:rPr>
          <w:rFonts w:ascii="Times New Roman" w:hAnsi="Times New Roman" w:cs="Times New Roman"/>
          <w:sz w:val="24"/>
          <w:szCs w:val="24"/>
        </w:rPr>
        <w:t xml:space="preserve"> (2014a, </w:t>
      </w:r>
      <w:r w:rsidRPr="00331371">
        <w:rPr>
          <w:rFonts w:ascii="Times New Roman" w:hAnsi="Times New Roman" w:cs="Times New Roman"/>
          <w:sz w:val="24"/>
          <w:szCs w:val="24"/>
        </w:rPr>
        <w:t>2014b), in that</w:t>
      </w:r>
      <w:r w:rsidRPr="00BE0027">
        <w:rPr>
          <w:rFonts w:ascii="Times New Roman" w:hAnsi="Times New Roman" w:cs="Times New Roman"/>
          <w:sz w:val="24"/>
          <w:szCs w:val="24"/>
        </w:rPr>
        <w:t xml:space="preserve"> working</w:t>
      </w:r>
      <w:r>
        <w:rPr>
          <w:rFonts w:ascii="Times New Roman" w:hAnsi="Times New Roman" w:cs="Times New Roman"/>
          <w:sz w:val="24"/>
          <w:szCs w:val="24"/>
        </w:rPr>
        <w:t xml:space="preserve"> full-time</w:t>
      </w:r>
      <w:r w:rsidRPr="00BE0027">
        <w:rPr>
          <w:rFonts w:ascii="Times New Roman" w:hAnsi="Times New Roman" w:cs="Times New Roman"/>
          <w:sz w:val="24"/>
          <w:szCs w:val="24"/>
        </w:rPr>
        <w:t xml:space="preserve"> is associated with lower life satisfaction, controlling for selection bias and endogeneity</w:t>
      </w:r>
      <w:r>
        <w:rPr>
          <w:rFonts w:ascii="Times New Roman" w:hAnsi="Times New Roman" w:cs="Times New Roman"/>
          <w:sz w:val="24"/>
          <w:szCs w:val="24"/>
        </w:rPr>
        <w:t xml:space="preserve"> using gender as an instrument</w:t>
      </w:r>
      <w:r w:rsidRPr="00BE0027">
        <w:rPr>
          <w:rFonts w:ascii="Times New Roman" w:hAnsi="Times New Roman" w:cs="Times New Roman"/>
          <w:sz w:val="24"/>
          <w:szCs w:val="24"/>
        </w:rPr>
        <w:t>.</w:t>
      </w:r>
      <w:r>
        <w:rPr>
          <w:rFonts w:ascii="Times New Roman" w:hAnsi="Times New Roman" w:cs="Times New Roman"/>
          <w:sz w:val="24"/>
          <w:szCs w:val="24"/>
        </w:rPr>
        <w:t xml:space="preserve"> In Model 1, only mental health score and partnered status are statistically significantly associated with life satisfaction. This reflects a relative weakness in the instruments for both full-time and part-time status; in both cases, the </w:t>
      </w:r>
      <w:proofErr w:type="spellStart"/>
      <w:r>
        <w:rPr>
          <w:rFonts w:ascii="Times New Roman" w:hAnsi="Times New Roman" w:cs="Times New Roman"/>
          <w:sz w:val="24"/>
          <w:szCs w:val="24"/>
        </w:rPr>
        <w:t>Cragg</w:t>
      </w:r>
      <w:proofErr w:type="spellEnd"/>
      <w:r>
        <w:rPr>
          <w:rFonts w:ascii="Times New Roman" w:hAnsi="Times New Roman" w:cs="Times New Roman"/>
          <w:sz w:val="24"/>
          <w:szCs w:val="24"/>
        </w:rPr>
        <w:t>-Donald Wald F statistics do not meet the Stock-</w:t>
      </w:r>
      <w:proofErr w:type="spellStart"/>
      <w:r>
        <w:rPr>
          <w:rFonts w:ascii="Times New Roman" w:hAnsi="Times New Roman" w:cs="Times New Roman"/>
          <w:sz w:val="24"/>
          <w:szCs w:val="24"/>
        </w:rPr>
        <w:t>Yogo</w:t>
      </w:r>
      <w:proofErr w:type="spellEnd"/>
      <w:r>
        <w:rPr>
          <w:rFonts w:ascii="Times New Roman" w:hAnsi="Times New Roman" w:cs="Times New Roman"/>
          <w:sz w:val="24"/>
          <w:szCs w:val="24"/>
        </w:rPr>
        <w:t xml:space="preserve"> critical values (Stock </w:t>
      </w:r>
      <w:r w:rsidR="000A010D">
        <w:rPr>
          <w:rFonts w:ascii="Times New Roman" w:hAnsi="Times New Roman" w:cs="Times New Roman"/>
          <w:sz w:val="24"/>
          <w:szCs w:val="24"/>
        </w:rPr>
        <w:t>and</w:t>
      </w:r>
      <w:r w:rsidR="00912579">
        <w:rPr>
          <w:rFonts w:ascii="Times New Roman" w:hAnsi="Times New Roman" w:cs="Times New Roman"/>
          <w:sz w:val="24"/>
          <w:szCs w:val="24"/>
        </w:rPr>
        <w:t xml:space="preserve"> </w:t>
      </w:r>
      <w:proofErr w:type="spellStart"/>
      <w:r>
        <w:rPr>
          <w:rFonts w:ascii="Times New Roman" w:hAnsi="Times New Roman" w:cs="Times New Roman"/>
          <w:sz w:val="24"/>
          <w:szCs w:val="24"/>
        </w:rPr>
        <w:t>Yogo</w:t>
      </w:r>
      <w:proofErr w:type="spellEnd"/>
      <w:r>
        <w:rPr>
          <w:rFonts w:ascii="Times New Roman" w:hAnsi="Times New Roman" w:cs="Times New Roman"/>
          <w:sz w:val="24"/>
          <w:szCs w:val="24"/>
        </w:rPr>
        <w:t>, 2005). Importantly, gender is not statistically significant. In Model 2, which includes gender as an instrument, the model exceeds the Stock-</w:t>
      </w:r>
      <w:proofErr w:type="spellStart"/>
      <w:r>
        <w:rPr>
          <w:rFonts w:ascii="Times New Roman" w:hAnsi="Times New Roman" w:cs="Times New Roman"/>
          <w:sz w:val="24"/>
          <w:szCs w:val="24"/>
        </w:rPr>
        <w:t>Yogo</w:t>
      </w:r>
      <w:proofErr w:type="spellEnd"/>
      <w:r>
        <w:rPr>
          <w:rFonts w:ascii="Times New Roman" w:hAnsi="Times New Roman" w:cs="Times New Roman"/>
          <w:sz w:val="24"/>
          <w:szCs w:val="24"/>
        </w:rPr>
        <w:t xml:space="preserve"> critical value for full-time work, but not for part-time work. In this model, when compared with not working, working full-time is associated with a statistically significant 80.4 percent lower probability of a respondent reporting themselves as 'very satisfied' with their life as a whole, while working part-time has no statistically significant effect on life satisfaction. The results for part-time work are likely to reflect a lack of power in identifying the relationship between life satisfaction and part-time work.</w:t>
      </w:r>
    </w:p>
    <w:p w14:paraId="7BEA3896" w14:textId="77777777" w:rsidR="00132AFD" w:rsidRDefault="00132AFD" w:rsidP="00981453">
      <w:pPr>
        <w:tabs>
          <w:tab w:val="left" w:pos="426"/>
        </w:tabs>
        <w:spacing w:after="0" w:line="288" w:lineRule="auto"/>
        <w:jc w:val="both"/>
        <w:rPr>
          <w:rFonts w:ascii="Times New Roman" w:hAnsi="Times New Roman" w:cs="Times New Roman"/>
          <w:sz w:val="24"/>
          <w:szCs w:val="24"/>
        </w:rPr>
      </w:pPr>
    </w:p>
    <w:p w14:paraId="0C4185CC" w14:textId="5C7736DD" w:rsidR="00446E7B" w:rsidRPr="00C10900" w:rsidRDefault="00C10900" w:rsidP="00C10900">
      <w:pPr>
        <w:tabs>
          <w:tab w:val="left" w:pos="426"/>
        </w:tabs>
        <w:spacing w:after="80" w:line="240" w:lineRule="auto"/>
        <w:jc w:val="center"/>
        <w:rPr>
          <w:rFonts w:ascii="Times New Roman" w:hAnsi="Times New Roman" w:cs="Times New Roman"/>
          <w:b/>
        </w:rPr>
      </w:pPr>
      <w:r>
        <w:rPr>
          <w:rFonts w:ascii="Times New Roman" w:hAnsi="Times New Roman" w:cs="Times New Roman"/>
          <w:b/>
        </w:rPr>
        <w:lastRenderedPageBreak/>
        <w:t>Table 2: IV Regression R</w:t>
      </w:r>
      <w:r w:rsidR="00446E7B" w:rsidRPr="00C10900">
        <w:rPr>
          <w:rFonts w:ascii="Times New Roman" w:hAnsi="Times New Roman" w:cs="Times New Roman"/>
          <w:b/>
        </w:rPr>
        <w:t>esults</w:t>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716"/>
        <w:gridCol w:w="1717"/>
        <w:gridCol w:w="1716"/>
        <w:gridCol w:w="1717"/>
      </w:tblGrid>
      <w:tr w:rsidR="00446E7B" w:rsidRPr="00446E7B" w14:paraId="639A43D5" w14:textId="77777777" w:rsidTr="003A4B1D">
        <w:tc>
          <w:tcPr>
            <w:tcW w:w="2376" w:type="dxa"/>
            <w:tcBorders>
              <w:top w:val="single" w:sz="4" w:space="0" w:color="auto"/>
              <w:bottom w:val="single" w:sz="4" w:space="0" w:color="auto"/>
            </w:tcBorders>
            <w:vAlign w:val="center"/>
          </w:tcPr>
          <w:p w14:paraId="48B697B5" w14:textId="77777777" w:rsidR="00446E7B" w:rsidRPr="00446E7B" w:rsidRDefault="00446E7B" w:rsidP="00981453">
            <w:pPr>
              <w:tabs>
                <w:tab w:val="left" w:pos="426"/>
              </w:tabs>
              <w:rPr>
                <w:rFonts w:ascii="Times New Roman" w:hAnsi="Times New Roman" w:cs="Times New Roman"/>
                <w:b/>
              </w:rPr>
            </w:pPr>
            <w:r w:rsidRPr="00446E7B">
              <w:rPr>
                <w:rFonts w:ascii="Times New Roman" w:hAnsi="Times New Roman" w:cs="Times New Roman"/>
                <w:b/>
              </w:rPr>
              <w:t>Variable</w:t>
            </w:r>
          </w:p>
        </w:tc>
        <w:tc>
          <w:tcPr>
            <w:tcW w:w="1716" w:type="dxa"/>
            <w:tcBorders>
              <w:top w:val="single" w:sz="4" w:space="0" w:color="auto"/>
              <w:bottom w:val="single" w:sz="4" w:space="0" w:color="auto"/>
            </w:tcBorders>
            <w:vAlign w:val="center"/>
          </w:tcPr>
          <w:p w14:paraId="1FE6E83A" w14:textId="77777777" w:rsidR="00446E7B" w:rsidRPr="00446E7B" w:rsidRDefault="00446E7B" w:rsidP="00981453">
            <w:pPr>
              <w:tabs>
                <w:tab w:val="left" w:pos="426"/>
              </w:tabs>
              <w:jc w:val="center"/>
              <w:rPr>
                <w:rFonts w:ascii="Times New Roman" w:hAnsi="Times New Roman" w:cs="Times New Roman"/>
                <w:b/>
              </w:rPr>
            </w:pPr>
            <w:r w:rsidRPr="00446E7B">
              <w:rPr>
                <w:rFonts w:ascii="Times New Roman" w:hAnsi="Times New Roman" w:cs="Times New Roman"/>
                <w:b/>
              </w:rPr>
              <w:t>Model 1</w:t>
            </w:r>
          </w:p>
        </w:tc>
        <w:tc>
          <w:tcPr>
            <w:tcW w:w="1717" w:type="dxa"/>
            <w:tcBorders>
              <w:top w:val="single" w:sz="4" w:space="0" w:color="auto"/>
              <w:bottom w:val="single" w:sz="4" w:space="0" w:color="auto"/>
            </w:tcBorders>
            <w:vAlign w:val="center"/>
          </w:tcPr>
          <w:p w14:paraId="7867BB01" w14:textId="77777777" w:rsidR="00446E7B" w:rsidRPr="00446E7B" w:rsidRDefault="00446E7B" w:rsidP="00981453">
            <w:pPr>
              <w:tabs>
                <w:tab w:val="left" w:pos="426"/>
              </w:tabs>
              <w:jc w:val="center"/>
              <w:rPr>
                <w:rFonts w:ascii="Times New Roman" w:hAnsi="Times New Roman" w:cs="Times New Roman"/>
                <w:b/>
              </w:rPr>
            </w:pPr>
            <w:r w:rsidRPr="00446E7B">
              <w:rPr>
                <w:rFonts w:ascii="Times New Roman" w:hAnsi="Times New Roman" w:cs="Times New Roman"/>
                <w:b/>
              </w:rPr>
              <w:t>Model 2</w:t>
            </w:r>
          </w:p>
        </w:tc>
        <w:tc>
          <w:tcPr>
            <w:tcW w:w="1716" w:type="dxa"/>
            <w:tcBorders>
              <w:top w:val="single" w:sz="4" w:space="0" w:color="auto"/>
              <w:bottom w:val="single" w:sz="4" w:space="0" w:color="auto"/>
            </w:tcBorders>
            <w:vAlign w:val="center"/>
          </w:tcPr>
          <w:p w14:paraId="3E7E0F92" w14:textId="77777777" w:rsidR="00446E7B" w:rsidRPr="00446E7B" w:rsidRDefault="00446E7B" w:rsidP="00981453">
            <w:pPr>
              <w:tabs>
                <w:tab w:val="left" w:pos="426"/>
              </w:tabs>
              <w:jc w:val="center"/>
              <w:rPr>
                <w:rFonts w:ascii="Times New Roman" w:hAnsi="Times New Roman" w:cs="Times New Roman"/>
                <w:b/>
              </w:rPr>
            </w:pPr>
            <w:r w:rsidRPr="00446E7B">
              <w:rPr>
                <w:rFonts w:ascii="Times New Roman" w:hAnsi="Times New Roman" w:cs="Times New Roman"/>
                <w:b/>
              </w:rPr>
              <w:t>Model 3A</w:t>
            </w:r>
          </w:p>
          <w:p w14:paraId="052837C6" w14:textId="77777777" w:rsidR="00446E7B" w:rsidRPr="00446E7B" w:rsidRDefault="00446E7B" w:rsidP="00981453">
            <w:pPr>
              <w:tabs>
                <w:tab w:val="left" w:pos="426"/>
              </w:tabs>
              <w:jc w:val="center"/>
              <w:rPr>
                <w:rFonts w:ascii="Times New Roman" w:hAnsi="Times New Roman" w:cs="Times New Roman"/>
                <w:b/>
              </w:rPr>
            </w:pPr>
            <w:r w:rsidRPr="00446E7B">
              <w:rPr>
                <w:rFonts w:ascii="Times New Roman" w:hAnsi="Times New Roman" w:cs="Times New Roman"/>
                <w:b/>
              </w:rPr>
              <w:t>(Post-secondary)</w:t>
            </w:r>
          </w:p>
        </w:tc>
        <w:tc>
          <w:tcPr>
            <w:tcW w:w="1717" w:type="dxa"/>
            <w:tcBorders>
              <w:top w:val="single" w:sz="4" w:space="0" w:color="auto"/>
              <w:bottom w:val="single" w:sz="4" w:space="0" w:color="auto"/>
            </w:tcBorders>
          </w:tcPr>
          <w:p w14:paraId="72F05156" w14:textId="77777777" w:rsidR="00446E7B" w:rsidRPr="00446E7B" w:rsidRDefault="00446E7B" w:rsidP="00981453">
            <w:pPr>
              <w:tabs>
                <w:tab w:val="left" w:pos="426"/>
              </w:tabs>
              <w:jc w:val="center"/>
              <w:rPr>
                <w:rFonts w:ascii="Times New Roman" w:hAnsi="Times New Roman" w:cs="Times New Roman"/>
                <w:b/>
              </w:rPr>
            </w:pPr>
            <w:r w:rsidRPr="00446E7B">
              <w:rPr>
                <w:rFonts w:ascii="Times New Roman" w:hAnsi="Times New Roman" w:cs="Times New Roman"/>
                <w:b/>
              </w:rPr>
              <w:t>Model 3B</w:t>
            </w:r>
          </w:p>
          <w:p w14:paraId="086D491B" w14:textId="77777777" w:rsidR="00446E7B" w:rsidRPr="00446E7B" w:rsidRDefault="00446E7B" w:rsidP="00981453">
            <w:pPr>
              <w:tabs>
                <w:tab w:val="left" w:pos="426"/>
              </w:tabs>
              <w:jc w:val="center"/>
              <w:rPr>
                <w:rFonts w:ascii="Times New Roman" w:hAnsi="Times New Roman" w:cs="Times New Roman"/>
                <w:b/>
              </w:rPr>
            </w:pPr>
            <w:r w:rsidRPr="00446E7B">
              <w:rPr>
                <w:rFonts w:ascii="Times New Roman" w:hAnsi="Times New Roman" w:cs="Times New Roman"/>
                <w:b/>
              </w:rPr>
              <w:t>(No post-secondary)</w:t>
            </w:r>
          </w:p>
        </w:tc>
      </w:tr>
      <w:tr w:rsidR="00446E7B" w:rsidRPr="00446E7B" w14:paraId="3EFE00D5" w14:textId="77777777" w:rsidTr="003A4B1D">
        <w:tc>
          <w:tcPr>
            <w:tcW w:w="2376" w:type="dxa"/>
            <w:tcBorders>
              <w:top w:val="single" w:sz="4" w:space="0" w:color="auto"/>
            </w:tcBorders>
            <w:vAlign w:val="center"/>
          </w:tcPr>
          <w:p w14:paraId="302936F8"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Working full-time</w:t>
            </w:r>
          </w:p>
        </w:tc>
        <w:tc>
          <w:tcPr>
            <w:tcW w:w="1716" w:type="dxa"/>
            <w:tcBorders>
              <w:top w:val="single" w:sz="4" w:space="0" w:color="auto"/>
            </w:tcBorders>
            <w:vAlign w:val="center"/>
          </w:tcPr>
          <w:p w14:paraId="382E93D9"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0.340</w:t>
            </w:r>
          </w:p>
          <w:p w14:paraId="6DEAB7CF"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(1.737)</w:t>
            </w:r>
          </w:p>
        </w:tc>
        <w:tc>
          <w:tcPr>
            <w:tcW w:w="1717" w:type="dxa"/>
            <w:tcBorders>
              <w:top w:val="single" w:sz="4" w:space="0" w:color="auto"/>
            </w:tcBorders>
            <w:vAlign w:val="center"/>
          </w:tcPr>
          <w:p w14:paraId="609A6114"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-0.804</w:t>
            </w:r>
            <w:r w:rsidRPr="00446E7B">
              <w:rPr>
                <w:rFonts w:ascii="Times New Roman" w:hAnsi="Times New Roman" w:cs="Times New Roman"/>
                <w:vertAlign w:val="superscript"/>
              </w:rPr>
              <w:t>***</w:t>
            </w:r>
          </w:p>
          <w:p w14:paraId="1D8B373A"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(0.221)</w:t>
            </w:r>
          </w:p>
        </w:tc>
        <w:tc>
          <w:tcPr>
            <w:tcW w:w="1716" w:type="dxa"/>
            <w:tcBorders>
              <w:top w:val="single" w:sz="4" w:space="0" w:color="auto"/>
            </w:tcBorders>
            <w:vAlign w:val="center"/>
          </w:tcPr>
          <w:p w14:paraId="00D26253"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-0.850</w:t>
            </w:r>
            <w:r w:rsidRPr="00446E7B">
              <w:rPr>
                <w:rFonts w:ascii="Times New Roman" w:hAnsi="Times New Roman" w:cs="Times New Roman"/>
                <w:vertAlign w:val="superscript"/>
              </w:rPr>
              <w:t>**</w:t>
            </w:r>
          </w:p>
          <w:p w14:paraId="2212AAC0"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(0.425)</w:t>
            </w:r>
          </w:p>
        </w:tc>
        <w:tc>
          <w:tcPr>
            <w:tcW w:w="1717" w:type="dxa"/>
            <w:tcBorders>
              <w:top w:val="single" w:sz="4" w:space="0" w:color="auto"/>
            </w:tcBorders>
            <w:vAlign w:val="center"/>
          </w:tcPr>
          <w:p w14:paraId="412D3BC0"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-0.654</w:t>
            </w:r>
            <w:r w:rsidRPr="00446E7B">
              <w:rPr>
                <w:rFonts w:ascii="Times New Roman" w:hAnsi="Times New Roman" w:cs="Times New Roman"/>
                <w:vertAlign w:val="superscript"/>
              </w:rPr>
              <w:t>***</w:t>
            </w:r>
          </w:p>
          <w:p w14:paraId="7F5A1C56"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(0.190)</w:t>
            </w:r>
          </w:p>
        </w:tc>
      </w:tr>
      <w:tr w:rsidR="00446E7B" w:rsidRPr="00446E7B" w14:paraId="29140A66" w14:textId="77777777" w:rsidTr="003A4B1D">
        <w:tc>
          <w:tcPr>
            <w:tcW w:w="2376" w:type="dxa"/>
            <w:vAlign w:val="center"/>
          </w:tcPr>
          <w:p w14:paraId="3172D34E"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Working part-time</w:t>
            </w:r>
          </w:p>
        </w:tc>
        <w:tc>
          <w:tcPr>
            <w:tcW w:w="1716" w:type="dxa"/>
            <w:vAlign w:val="center"/>
          </w:tcPr>
          <w:p w14:paraId="1D212EB4"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-0.349</w:t>
            </w:r>
          </w:p>
          <w:p w14:paraId="1D09814A"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(0.896)</w:t>
            </w:r>
          </w:p>
        </w:tc>
        <w:tc>
          <w:tcPr>
            <w:tcW w:w="1717" w:type="dxa"/>
            <w:vAlign w:val="center"/>
          </w:tcPr>
          <w:p w14:paraId="10B1BBD1"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-0.001</w:t>
            </w:r>
          </w:p>
          <w:p w14:paraId="0D7F02CB"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(0.764)</w:t>
            </w:r>
          </w:p>
        </w:tc>
        <w:tc>
          <w:tcPr>
            <w:tcW w:w="1716" w:type="dxa"/>
            <w:vAlign w:val="center"/>
          </w:tcPr>
          <w:p w14:paraId="5C9ACC4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0.509</w:t>
            </w:r>
          </w:p>
          <w:p w14:paraId="399AE7C1"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(0.989)</w:t>
            </w:r>
          </w:p>
        </w:tc>
        <w:tc>
          <w:tcPr>
            <w:tcW w:w="1717" w:type="dxa"/>
            <w:vAlign w:val="center"/>
          </w:tcPr>
          <w:p w14:paraId="06B9A08C"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-0.225</w:t>
            </w:r>
          </w:p>
          <w:p w14:paraId="1A50CEA3"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(1.056)</w:t>
            </w:r>
          </w:p>
        </w:tc>
      </w:tr>
      <w:tr w:rsidR="00446E7B" w:rsidRPr="00446E7B" w14:paraId="21B3FBC6" w14:textId="77777777" w:rsidTr="003A4B1D">
        <w:tc>
          <w:tcPr>
            <w:tcW w:w="2376" w:type="dxa"/>
            <w:vAlign w:val="center"/>
          </w:tcPr>
          <w:p w14:paraId="00DFB3F7"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Gender</w:t>
            </w:r>
          </w:p>
        </w:tc>
        <w:tc>
          <w:tcPr>
            <w:tcW w:w="1716" w:type="dxa"/>
            <w:vAlign w:val="center"/>
          </w:tcPr>
          <w:p w14:paraId="2107B418"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-0.125</w:t>
            </w:r>
          </w:p>
          <w:p w14:paraId="3F94BA63"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(0.190)</w:t>
            </w:r>
          </w:p>
        </w:tc>
        <w:tc>
          <w:tcPr>
            <w:tcW w:w="1717" w:type="dxa"/>
            <w:vAlign w:val="center"/>
          </w:tcPr>
          <w:p w14:paraId="47BF39C0" w14:textId="77777777" w:rsidR="00446E7B" w:rsidRPr="00446E7B" w:rsidRDefault="00446E7B" w:rsidP="00981453">
            <w:pPr>
              <w:tabs>
                <w:tab w:val="left" w:pos="426"/>
                <w:tab w:val="decimal" w:pos="779"/>
              </w:tabs>
              <w:rPr>
                <w:rFonts w:ascii="Times New Roman" w:hAnsi="Times New Roman" w:cs="Times New Roman"/>
              </w:rPr>
            </w:pPr>
          </w:p>
        </w:tc>
        <w:tc>
          <w:tcPr>
            <w:tcW w:w="1716" w:type="dxa"/>
            <w:vAlign w:val="center"/>
          </w:tcPr>
          <w:p w14:paraId="0E174B73" w14:textId="77777777" w:rsidR="00446E7B" w:rsidRPr="00446E7B" w:rsidRDefault="00446E7B" w:rsidP="00981453">
            <w:pPr>
              <w:tabs>
                <w:tab w:val="left" w:pos="426"/>
                <w:tab w:val="decimal" w:pos="779"/>
              </w:tabs>
              <w:rPr>
                <w:rFonts w:ascii="Times New Roman" w:hAnsi="Times New Roman" w:cs="Times New Roman"/>
              </w:rPr>
            </w:pPr>
          </w:p>
        </w:tc>
        <w:tc>
          <w:tcPr>
            <w:tcW w:w="1717" w:type="dxa"/>
            <w:vAlign w:val="center"/>
          </w:tcPr>
          <w:p w14:paraId="2EB6464E" w14:textId="77777777" w:rsidR="00446E7B" w:rsidRPr="00446E7B" w:rsidRDefault="00446E7B" w:rsidP="00981453">
            <w:pPr>
              <w:tabs>
                <w:tab w:val="left" w:pos="426"/>
                <w:tab w:val="decimal" w:pos="779"/>
              </w:tabs>
              <w:rPr>
                <w:rFonts w:ascii="Times New Roman" w:hAnsi="Times New Roman" w:cs="Times New Roman"/>
              </w:rPr>
            </w:pPr>
          </w:p>
        </w:tc>
      </w:tr>
      <w:tr w:rsidR="00446E7B" w:rsidRPr="00446E7B" w14:paraId="45AFE705" w14:textId="77777777" w:rsidTr="003A4B1D">
        <w:tc>
          <w:tcPr>
            <w:tcW w:w="2376" w:type="dxa"/>
            <w:vAlign w:val="center"/>
          </w:tcPr>
          <w:p w14:paraId="10CEA1D1"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Post-secondary education</w:t>
            </w:r>
          </w:p>
        </w:tc>
        <w:tc>
          <w:tcPr>
            <w:tcW w:w="1716" w:type="dxa"/>
            <w:vAlign w:val="center"/>
          </w:tcPr>
          <w:p w14:paraId="62227BF5"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0.003</w:t>
            </w:r>
          </w:p>
          <w:p w14:paraId="5FFA4636"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(0.037)</w:t>
            </w:r>
          </w:p>
        </w:tc>
        <w:tc>
          <w:tcPr>
            <w:tcW w:w="1717" w:type="dxa"/>
            <w:vAlign w:val="center"/>
          </w:tcPr>
          <w:p w14:paraId="1F646826"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0.020</w:t>
            </w:r>
          </w:p>
          <w:p w14:paraId="69FC4E2C"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(0.027)</w:t>
            </w:r>
          </w:p>
        </w:tc>
        <w:tc>
          <w:tcPr>
            <w:tcW w:w="1716" w:type="dxa"/>
            <w:vAlign w:val="center"/>
          </w:tcPr>
          <w:p w14:paraId="0F4FDC0F" w14:textId="77777777" w:rsidR="00446E7B" w:rsidRPr="00446E7B" w:rsidRDefault="00446E7B" w:rsidP="00981453">
            <w:pPr>
              <w:tabs>
                <w:tab w:val="left" w:pos="426"/>
                <w:tab w:val="decimal" w:pos="779"/>
              </w:tabs>
              <w:rPr>
                <w:rFonts w:ascii="Times New Roman" w:hAnsi="Times New Roman" w:cs="Times New Roman"/>
              </w:rPr>
            </w:pPr>
          </w:p>
        </w:tc>
        <w:tc>
          <w:tcPr>
            <w:tcW w:w="1717" w:type="dxa"/>
            <w:vAlign w:val="center"/>
          </w:tcPr>
          <w:p w14:paraId="05B9D869" w14:textId="77777777" w:rsidR="00446E7B" w:rsidRPr="00446E7B" w:rsidRDefault="00446E7B" w:rsidP="00981453">
            <w:pPr>
              <w:tabs>
                <w:tab w:val="left" w:pos="426"/>
                <w:tab w:val="decimal" w:pos="779"/>
              </w:tabs>
              <w:rPr>
                <w:rFonts w:ascii="Times New Roman" w:hAnsi="Times New Roman" w:cs="Times New Roman"/>
              </w:rPr>
            </w:pPr>
          </w:p>
        </w:tc>
      </w:tr>
      <w:tr w:rsidR="00446E7B" w:rsidRPr="00446E7B" w14:paraId="60727000" w14:textId="77777777" w:rsidTr="003A4B1D">
        <w:tc>
          <w:tcPr>
            <w:tcW w:w="2376" w:type="dxa"/>
            <w:vAlign w:val="center"/>
          </w:tcPr>
          <w:p w14:paraId="083E9179"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Partnered</w:t>
            </w:r>
          </w:p>
        </w:tc>
        <w:tc>
          <w:tcPr>
            <w:tcW w:w="1716" w:type="dxa"/>
            <w:vAlign w:val="center"/>
          </w:tcPr>
          <w:p w14:paraId="635F7C96"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0.112</w:t>
            </w:r>
            <w:r w:rsidRPr="00446E7B">
              <w:rPr>
                <w:rFonts w:ascii="Times New Roman" w:hAnsi="Times New Roman" w:cs="Times New Roman"/>
                <w:vertAlign w:val="superscript"/>
              </w:rPr>
              <w:t>***</w:t>
            </w:r>
          </w:p>
          <w:p w14:paraId="613B7815"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(0.020)</w:t>
            </w:r>
          </w:p>
        </w:tc>
        <w:tc>
          <w:tcPr>
            <w:tcW w:w="1717" w:type="dxa"/>
            <w:vAlign w:val="center"/>
          </w:tcPr>
          <w:p w14:paraId="417AA58E" w14:textId="77777777" w:rsidR="00446E7B" w:rsidRPr="00446E7B" w:rsidRDefault="00446E7B" w:rsidP="00981453">
            <w:pPr>
              <w:tabs>
                <w:tab w:val="left" w:pos="426"/>
                <w:tab w:val="decimal" w:pos="779"/>
              </w:tabs>
              <w:rPr>
                <w:rFonts w:ascii="Times New Roman" w:hAnsi="Times New Roman" w:cs="Times New Roman"/>
                <w:vertAlign w:val="superscript"/>
              </w:rPr>
            </w:pPr>
            <w:r w:rsidRPr="00446E7B">
              <w:rPr>
                <w:rFonts w:ascii="Times New Roman" w:hAnsi="Times New Roman" w:cs="Times New Roman"/>
              </w:rPr>
              <w:t>0.118</w:t>
            </w:r>
            <w:r w:rsidRPr="00446E7B">
              <w:rPr>
                <w:rFonts w:ascii="Times New Roman" w:hAnsi="Times New Roman" w:cs="Times New Roman"/>
                <w:vertAlign w:val="superscript"/>
              </w:rPr>
              <w:t>***</w:t>
            </w:r>
          </w:p>
          <w:p w14:paraId="192E0FF4"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(0.019)</w:t>
            </w:r>
          </w:p>
        </w:tc>
        <w:tc>
          <w:tcPr>
            <w:tcW w:w="1716" w:type="dxa"/>
            <w:vAlign w:val="center"/>
          </w:tcPr>
          <w:p w14:paraId="1726D58A"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0.090</w:t>
            </w:r>
            <w:r w:rsidRPr="00446E7B">
              <w:rPr>
                <w:rFonts w:ascii="Times New Roman" w:hAnsi="Times New Roman" w:cs="Times New Roman"/>
                <w:vertAlign w:val="superscript"/>
              </w:rPr>
              <w:t>***</w:t>
            </w:r>
          </w:p>
          <w:p w14:paraId="47DAD710"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(0.033)</w:t>
            </w:r>
          </w:p>
        </w:tc>
        <w:tc>
          <w:tcPr>
            <w:tcW w:w="1717" w:type="dxa"/>
            <w:vAlign w:val="center"/>
          </w:tcPr>
          <w:p w14:paraId="3179690A"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0.134</w:t>
            </w:r>
            <w:r w:rsidRPr="00446E7B">
              <w:rPr>
                <w:rFonts w:ascii="Times New Roman" w:hAnsi="Times New Roman" w:cs="Times New Roman"/>
                <w:vertAlign w:val="superscript"/>
              </w:rPr>
              <w:t>***</w:t>
            </w:r>
          </w:p>
          <w:p w14:paraId="19BF7183"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(0.026)</w:t>
            </w:r>
          </w:p>
        </w:tc>
      </w:tr>
      <w:tr w:rsidR="00446E7B" w:rsidRPr="00446E7B" w14:paraId="5B0A51F3" w14:textId="77777777" w:rsidTr="003A4B1D">
        <w:tc>
          <w:tcPr>
            <w:tcW w:w="2376" w:type="dxa"/>
            <w:vAlign w:val="center"/>
          </w:tcPr>
          <w:p w14:paraId="213F9FCC"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SF-12 PCS</w:t>
            </w:r>
          </w:p>
        </w:tc>
        <w:tc>
          <w:tcPr>
            <w:tcW w:w="1716" w:type="dxa"/>
            <w:vAlign w:val="center"/>
          </w:tcPr>
          <w:p w14:paraId="20E208E3"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0.004</w:t>
            </w:r>
          </w:p>
          <w:p w14:paraId="1A7BB3A6"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(0.003)</w:t>
            </w:r>
          </w:p>
        </w:tc>
        <w:tc>
          <w:tcPr>
            <w:tcW w:w="1717" w:type="dxa"/>
            <w:vAlign w:val="center"/>
          </w:tcPr>
          <w:p w14:paraId="16A7B036"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0.006</w:t>
            </w:r>
            <w:r w:rsidRPr="00446E7B">
              <w:rPr>
                <w:rFonts w:ascii="Times New Roman" w:hAnsi="Times New Roman" w:cs="Times New Roman"/>
                <w:vertAlign w:val="superscript"/>
              </w:rPr>
              <w:t>***</w:t>
            </w:r>
          </w:p>
          <w:p w14:paraId="3A1FD75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(0.002)</w:t>
            </w:r>
          </w:p>
        </w:tc>
        <w:tc>
          <w:tcPr>
            <w:tcW w:w="1716" w:type="dxa"/>
            <w:vAlign w:val="center"/>
          </w:tcPr>
          <w:p w14:paraId="729508A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0.006</w:t>
            </w:r>
            <w:r w:rsidRPr="00446E7B">
              <w:rPr>
                <w:rFonts w:ascii="Times New Roman" w:hAnsi="Times New Roman" w:cs="Times New Roman"/>
                <w:vertAlign w:val="superscript"/>
              </w:rPr>
              <w:t>*</w:t>
            </w:r>
          </w:p>
          <w:p w14:paraId="5A791B7F"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(0.003)</w:t>
            </w:r>
          </w:p>
        </w:tc>
        <w:tc>
          <w:tcPr>
            <w:tcW w:w="1717" w:type="dxa"/>
            <w:vAlign w:val="center"/>
          </w:tcPr>
          <w:p w14:paraId="7320BF8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0.005</w:t>
            </w:r>
            <w:r w:rsidRPr="00446E7B">
              <w:rPr>
                <w:rFonts w:ascii="Times New Roman" w:hAnsi="Times New Roman" w:cs="Times New Roman"/>
                <w:vertAlign w:val="superscript"/>
              </w:rPr>
              <w:t>***</w:t>
            </w:r>
          </w:p>
          <w:p w14:paraId="4A5FDF6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(0.002)</w:t>
            </w:r>
          </w:p>
        </w:tc>
      </w:tr>
      <w:tr w:rsidR="00446E7B" w:rsidRPr="00446E7B" w14:paraId="12B0843F" w14:textId="77777777" w:rsidTr="003A4B1D">
        <w:tc>
          <w:tcPr>
            <w:tcW w:w="2376" w:type="dxa"/>
            <w:vAlign w:val="center"/>
          </w:tcPr>
          <w:p w14:paraId="35F6C7D2"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SF-12 MCS</w:t>
            </w:r>
          </w:p>
        </w:tc>
        <w:tc>
          <w:tcPr>
            <w:tcW w:w="1716" w:type="dxa"/>
            <w:vAlign w:val="center"/>
          </w:tcPr>
          <w:p w14:paraId="575C966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0.014</w:t>
            </w:r>
            <w:r w:rsidRPr="00446E7B">
              <w:rPr>
                <w:rFonts w:ascii="Times New Roman" w:hAnsi="Times New Roman" w:cs="Times New Roman"/>
                <w:vertAlign w:val="superscript"/>
              </w:rPr>
              <w:t>***</w:t>
            </w:r>
          </w:p>
          <w:p w14:paraId="1602184D"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(0.003)</w:t>
            </w:r>
          </w:p>
        </w:tc>
        <w:tc>
          <w:tcPr>
            <w:tcW w:w="1717" w:type="dxa"/>
            <w:vAlign w:val="center"/>
          </w:tcPr>
          <w:p w14:paraId="696B0E9F"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0.015</w:t>
            </w:r>
            <w:r w:rsidRPr="00446E7B">
              <w:rPr>
                <w:rFonts w:ascii="Times New Roman" w:hAnsi="Times New Roman" w:cs="Times New Roman"/>
                <w:vertAlign w:val="superscript"/>
              </w:rPr>
              <w:t>***</w:t>
            </w:r>
          </w:p>
          <w:p w14:paraId="4B1CE2FF"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(0.001)</w:t>
            </w:r>
          </w:p>
        </w:tc>
        <w:tc>
          <w:tcPr>
            <w:tcW w:w="1716" w:type="dxa"/>
            <w:vAlign w:val="center"/>
          </w:tcPr>
          <w:p w14:paraId="2E3D266E"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0.019</w:t>
            </w:r>
            <w:r w:rsidRPr="00446E7B">
              <w:rPr>
                <w:rFonts w:ascii="Times New Roman" w:hAnsi="Times New Roman" w:cs="Times New Roman"/>
                <w:vertAlign w:val="superscript"/>
              </w:rPr>
              <w:t>***</w:t>
            </w:r>
          </w:p>
          <w:p w14:paraId="7AF822F9"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(0.003)</w:t>
            </w:r>
          </w:p>
        </w:tc>
        <w:tc>
          <w:tcPr>
            <w:tcW w:w="1717" w:type="dxa"/>
            <w:vAlign w:val="center"/>
          </w:tcPr>
          <w:p w14:paraId="1C62A29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0.014</w:t>
            </w:r>
            <w:r w:rsidRPr="00446E7B">
              <w:rPr>
                <w:rFonts w:ascii="Times New Roman" w:hAnsi="Times New Roman" w:cs="Times New Roman"/>
                <w:vertAlign w:val="superscript"/>
              </w:rPr>
              <w:t>***</w:t>
            </w:r>
          </w:p>
          <w:p w14:paraId="0F03751D"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(0.002)</w:t>
            </w:r>
          </w:p>
        </w:tc>
      </w:tr>
      <w:tr w:rsidR="00446E7B" w:rsidRPr="00446E7B" w14:paraId="11374C5A" w14:textId="77777777" w:rsidTr="003A4B1D">
        <w:tc>
          <w:tcPr>
            <w:tcW w:w="2376" w:type="dxa"/>
            <w:vAlign w:val="center"/>
          </w:tcPr>
          <w:p w14:paraId="18CE2CE5"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Age 70-74</w:t>
            </w:r>
          </w:p>
        </w:tc>
        <w:tc>
          <w:tcPr>
            <w:tcW w:w="1716" w:type="dxa"/>
            <w:vAlign w:val="center"/>
          </w:tcPr>
          <w:p w14:paraId="389D1606"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0.014</w:t>
            </w:r>
          </w:p>
          <w:p w14:paraId="7D62ACEE"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(0.197)</w:t>
            </w:r>
          </w:p>
        </w:tc>
        <w:tc>
          <w:tcPr>
            <w:tcW w:w="1717" w:type="dxa"/>
            <w:vAlign w:val="center"/>
          </w:tcPr>
          <w:p w14:paraId="4D9134F9"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-0.106</w:t>
            </w:r>
          </w:p>
          <w:p w14:paraId="56AA20BA"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(0.080)</w:t>
            </w:r>
          </w:p>
        </w:tc>
        <w:tc>
          <w:tcPr>
            <w:tcW w:w="1716" w:type="dxa"/>
            <w:vAlign w:val="center"/>
          </w:tcPr>
          <w:p w14:paraId="57B66B7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-0.088</w:t>
            </w:r>
          </w:p>
          <w:p w14:paraId="0C45A3A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(0.137)</w:t>
            </w:r>
          </w:p>
        </w:tc>
        <w:tc>
          <w:tcPr>
            <w:tcW w:w="1717" w:type="dxa"/>
            <w:vAlign w:val="center"/>
          </w:tcPr>
          <w:p w14:paraId="66A3F4F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-0.104</w:t>
            </w:r>
          </w:p>
          <w:p w14:paraId="3AF98385"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(0.099)</w:t>
            </w:r>
          </w:p>
        </w:tc>
      </w:tr>
      <w:tr w:rsidR="00446E7B" w:rsidRPr="00446E7B" w14:paraId="4D71BAD5" w14:textId="77777777" w:rsidTr="003A4B1D">
        <w:tc>
          <w:tcPr>
            <w:tcW w:w="2376" w:type="dxa"/>
            <w:vAlign w:val="center"/>
          </w:tcPr>
          <w:p w14:paraId="1178D3AB"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Age 75-79</w:t>
            </w:r>
          </w:p>
        </w:tc>
        <w:tc>
          <w:tcPr>
            <w:tcW w:w="1716" w:type="dxa"/>
            <w:vAlign w:val="center"/>
          </w:tcPr>
          <w:p w14:paraId="635CF8B9"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0.067</w:t>
            </w:r>
          </w:p>
          <w:p w14:paraId="00BEB47E"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(0.261)</w:t>
            </w:r>
          </w:p>
        </w:tc>
        <w:tc>
          <w:tcPr>
            <w:tcW w:w="1717" w:type="dxa"/>
            <w:vAlign w:val="center"/>
          </w:tcPr>
          <w:p w14:paraId="2F1EECBD"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-0.090</w:t>
            </w:r>
          </w:p>
          <w:p w14:paraId="506CD385"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(0.111)</w:t>
            </w:r>
          </w:p>
        </w:tc>
        <w:tc>
          <w:tcPr>
            <w:tcW w:w="1716" w:type="dxa"/>
            <w:vAlign w:val="center"/>
          </w:tcPr>
          <w:p w14:paraId="79FB77E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-0.090</w:t>
            </w:r>
          </w:p>
          <w:p w14:paraId="3F33042D"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(0.190)</w:t>
            </w:r>
          </w:p>
        </w:tc>
        <w:tc>
          <w:tcPr>
            <w:tcW w:w="1717" w:type="dxa"/>
            <w:vAlign w:val="center"/>
          </w:tcPr>
          <w:p w14:paraId="2333FB8E"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-0.066</w:t>
            </w:r>
          </w:p>
          <w:p w14:paraId="1C463BD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(0.135)</w:t>
            </w:r>
          </w:p>
        </w:tc>
      </w:tr>
      <w:tr w:rsidR="00446E7B" w:rsidRPr="00446E7B" w14:paraId="03A8F010" w14:textId="77777777" w:rsidTr="003A4B1D">
        <w:tc>
          <w:tcPr>
            <w:tcW w:w="2376" w:type="dxa"/>
            <w:vAlign w:val="center"/>
          </w:tcPr>
          <w:p w14:paraId="1F196B87"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Deprivation Q1</w:t>
            </w:r>
          </w:p>
        </w:tc>
        <w:tc>
          <w:tcPr>
            <w:tcW w:w="1716" w:type="dxa"/>
            <w:vAlign w:val="center"/>
          </w:tcPr>
          <w:p w14:paraId="2D3ECDF8"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0.066</w:t>
            </w:r>
          </w:p>
          <w:p w14:paraId="5D707836"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(0.102)</w:t>
            </w:r>
          </w:p>
        </w:tc>
        <w:tc>
          <w:tcPr>
            <w:tcW w:w="1717" w:type="dxa"/>
            <w:vAlign w:val="center"/>
          </w:tcPr>
          <w:p w14:paraId="3EC096A5"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0.125</w:t>
            </w:r>
            <w:r w:rsidRPr="00446E7B">
              <w:rPr>
                <w:rFonts w:ascii="Times New Roman" w:hAnsi="Times New Roman" w:cs="Times New Roman"/>
                <w:vertAlign w:val="superscript"/>
              </w:rPr>
              <w:t>**</w:t>
            </w:r>
          </w:p>
          <w:p w14:paraId="7D600869"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(0.052)</w:t>
            </w:r>
          </w:p>
        </w:tc>
        <w:tc>
          <w:tcPr>
            <w:tcW w:w="1716" w:type="dxa"/>
            <w:vAlign w:val="center"/>
          </w:tcPr>
          <w:p w14:paraId="682FA77E"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0.022</w:t>
            </w:r>
          </w:p>
          <w:p w14:paraId="073976A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(0.083)</w:t>
            </w:r>
          </w:p>
        </w:tc>
        <w:tc>
          <w:tcPr>
            <w:tcW w:w="1717" w:type="dxa"/>
            <w:vAlign w:val="center"/>
          </w:tcPr>
          <w:p w14:paraId="42898B08"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0.160</w:t>
            </w:r>
            <w:r w:rsidRPr="00446E7B">
              <w:rPr>
                <w:rFonts w:ascii="Times New Roman" w:hAnsi="Times New Roman" w:cs="Times New Roman"/>
                <w:vertAlign w:val="superscript"/>
              </w:rPr>
              <w:t>**</w:t>
            </w:r>
          </w:p>
          <w:p w14:paraId="31A78BBF"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(0.064)</w:t>
            </w:r>
          </w:p>
        </w:tc>
      </w:tr>
      <w:tr w:rsidR="00446E7B" w:rsidRPr="00446E7B" w14:paraId="05520295" w14:textId="77777777" w:rsidTr="003A4B1D">
        <w:tc>
          <w:tcPr>
            <w:tcW w:w="2376" w:type="dxa"/>
            <w:vAlign w:val="center"/>
          </w:tcPr>
          <w:p w14:paraId="030E48D8"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Deprivation Q2</w:t>
            </w:r>
          </w:p>
        </w:tc>
        <w:tc>
          <w:tcPr>
            <w:tcW w:w="1716" w:type="dxa"/>
            <w:vAlign w:val="center"/>
          </w:tcPr>
          <w:p w14:paraId="560D2E54"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0.047</w:t>
            </w:r>
          </w:p>
          <w:p w14:paraId="52B73EA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(0.051)</w:t>
            </w:r>
          </w:p>
        </w:tc>
        <w:tc>
          <w:tcPr>
            <w:tcW w:w="1717" w:type="dxa"/>
            <w:vAlign w:val="center"/>
          </w:tcPr>
          <w:p w14:paraId="5AEAAFD5"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0.070</w:t>
            </w:r>
            <w:r w:rsidRPr="00446E7B">
              <w:rPr>
                <w:rFonts w:ascii="Times New Roman" w:hAnsi="Times New Roman" w:cs="Times New Roman"/>
                <w:vertAlign w:val="superscript"/>
              </w:rPr>
              <w:t>*</w:t>
            </w:r>
          </w:p>
          <w:p w14:paraId="78685631"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(0.039)</w:t>
            </w:r>
          </w:p>
        </w:tc>
        <w:tc>
          <w:tcPr>
            <w:tcW w:w="1716" w:type="dxa"/>
            <w:vAlign w:val="center"/>
          </w:tcPr>
          <w:p w14:paraId="55BF918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-0.005</w:t>
            </w:r>
          </w:p>
          <w:p w14:paraId="313DFDDF"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(0.088)</w:t>
            </w:r>
          </w:p>
        </w:tc>
        <w:tc>
          <w:tcPr>
            <w:tcW w:w="1717" w:type="dxa"/>
            <w:vAlign w:val="center"/>
          </w:tcPr>
          <w:p w14:paraId="32411F1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0.095</w:t>
            </w:r>
            <w:r w:rsidRPr="00446E7B">
              <w:rPr>
                <w:rFonts w:ascii="Times New Roman" w:hAnsi="Times New Roman" w:cs="Times New Roman"/>
                <w:vertAlign w:val="superscript"/>
              </w:rPr>
              <w:t>*</w:t>
            </w:r>
          </w:p>
          <w:p w14:paraId="07528F59"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(0.055)</w:t>
            </w:r>
          </w:p>
        </w:tc>
      </w:tr>
      <w:tr w:rsidR="00446E7B" w:rsidRPr="00446E7B" w14:paraId="3C963E36" w14:textId="77777777" w:rsidTr="003A4B1D">
        <w:tc>
          <w:tcPr>
            <w:tcW w:w="2376" w:type="dxa"/>
            <w:vAlign w:val="center"/>
          </w:tcPr>
          <w:p w14:paraId="3639B8EA"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Deprivation Q3</w:t>
            </w:r>
          </w:p>
        </w:tc>
        <w:tc>
          <w:tcPr>
            <w:tcW w:w="1716" w:type="dxa"/>
            <w:vAlign w:val="center"/>
          </w:tcPr>
          <w:p w14:paraId="5F77B7FB"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0.013</w:t>
            </w:r>
          </w:p>
          <w:p w14:paraId="0EDA0342"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(0.056)</w:t>
            </w:r>
          </w:p>
        </w:tc>
        <w:tc>
          <w:tcPr>
            <w:tcW w:w="1717" w:type="dxa"/>
            <w:vAlign w:val="center"/>
          </w:tcPr>
          <w:p w14:paraId="5CBBC41B"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0.047</w:t>
            </w:r>
            <w:r w:rsidRPr="00446E7B">
              <w:rPr>
                <w:rFonts w:ascii="Times New Roman" w:hAnsi="Times New Roman" w:cs="Times New Roman"/>
                <w:vertAlign w:val="superscript"/>
              </w:rPr>
              <w:t>*</w:t>
            </w:r>
          </w:p>
          <w:p w14:paraId="2A5F2470"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(0.027)</w:t>
            </w:r>
          </w:p>
        </w:tc>
        <w:tc>
          <w:tcPr>
            <w:tcW w:w="1716" w:type="dxa"/>
            <w:vAlign w:val="center"/>
          </w:tcPr>
          <w:p w14:paraId="1F05B45B"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-0.003</w:t>
            </w:r>
          </w:p>
          <w:p w14:paraId="38E4CE7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(0.055)</w:t>
            </w:r>
          </w:p>
        </w:tc>
        <w:tc>
          <w:tcPr>
            <w:tcW w:w="1717" w:type="dxa"/>
            <w:vAlign w:val="center"/>
          </w:tcPr>
          <w:p w14:paraId="3CD1890B"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0.056</w:t>
            </w:r>
            <w:r w:rsidRPr="00446E7B">
              <w:rPr>
                <w:rFonts w:ascii="Times New Roman" w:hAnsi="Times New Roman" w:cs="Times New Roman"/>
                <w:vertAlign w:val="superscript"/>
              </w:rPr>
              <w:t>*</w:t>
            </w:r>
          </w:p>
          <w:p w14:paraId="4D832E5B"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(0.030)</w:t>
            </w:r>
          </w:p>
        </w:tc>
      </w:tr>
      <w:tr w:rsidR="00446E7B" w:rsidRPr="00446E7B" w14:paraId="78AE66FD" w14:textId="77777777" w:rsidTr="003A4B1D">
        <w:tc>
          <w:tcPr>
            <w:tcW w:w="2376" w:type="dxa"/>
            <w:vAlign w:val="center"/>
          </w:tcPr>
          <w:p w14:paraId="6ADD7FB2" w14:textId="77777777" w:rsidR="00446E7B" w:rsidRPr="00446E7B" w:rsidRDefault="00446E7B" w:rsidP="00981453">
            <w:pPr>
              <w:tabs>
                <w:tab w:val="left" w:pos="426"/>
              </w:tabs>
              <w:rPr>
                <w:rFonts w:ascii="Times New Roman" w:hAnsi="Times New Roman" w:cs="Times New Roman"/>
              </w:rPr>
            </w:pPr>
            <w:r w:rsidRPr="00446E7B">
              <w:rPr>
                <w:rFonts w:ascii="Times New Roman" w:hAnsi="Times New Roman" w:cs="Times New Roman"/>
              </w:rPr>
              <w:t>Deprivation Q4</w:t>
            </w:r>
          </w:p>
        </w:tc>
        <w:tc>
          <w:tcPr>
            <w:tcW w:w="1716" w:type="dxa"/>
            <w:vAlign w:val="center"/>
          </w:tcPr>
          <w:p w14:paraId="4E78C6F3"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0.010</w:t>
            </w:r>
          </w:p>
          <w:p w14:paraId="0A7538B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(0.054)</w:t>
            </w:r>
          </w:p>
        </w:tc>
        <w:tc>
          <w:tcPr>
            <w:tcW w:w="1717" w:type="dxa"/>
            <w:vAlign w:val="center"/>
          </w:tcPr>
          <w:p w14:paraId="4E0D6F30"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0.041</w:t>
            </w:r>
          </w:p>
          <w:p w14:paraId="746F72CE"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(0.028)</w:t>
            </w:r>
          </w:p>
        </w:tc>
        <w:tc>
          <w:tcPr>
            <w:tcW w:w="1716" w:type="dxa"/>
            <w:vAlign w:val="center"/>
          </w:tcPr>
          <w:p w14:paraId="72943807"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-0.035</w:t>
            </w:r>
          </w:p>
          <w:p w14:paraId="3B3653AA"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(0.077)</w:t>
            </w:r>
          </w:p>
        </w:tc>
        <w:tc>
          <w:tcPr>
            <w:tcW w:w="1717" w:type="dxa"/>
            <w:vAlign w:val="center"/>
          </w:tcPr>
          <w:p w14:paraId="2E34629F"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0.060</w:t>
            </w:r>
            <w:r w:rsidRPr="00446E7B">
              <w:rPr>
                <w:rFonts w:ascii="Times New Roman" w:hAnsi="Times New Roman" w:cs="Times New Roman"/>
                <w:vertAlign w:val="superscript"/>
              </w:rPr>
              <w:t>**</w:t>
            </w:r>
          </w:p>
          <w:p w14:paraId="2AB83AA4" w14:textId="77777777" w:rsidR="00446E7B" w:rsidRPr="00446E7B" w:rsidRDefault="00446E7B" w:rsidP="00981453">
            <w:pPr>
              <w:tabs>
                <w:tab w:val="left" w:pos="426"/>
                <w:tab w:val="decimal" w:pos="779"/>
              </w:tabs>
              <w:rPr>
                <w:rFonts w:ascii="Times New Roman" w:hAnsi="Times New Roman" w:cs="Times New Roman"/>
              </w:rPr>
            </w:pPr>
            <w:r w:rsidRPr="00446E7B">
              <w:rPr>
                <w:rFonts w:ascii="Times New Roman" w:hAnsi="Times New Roman" w:cs="Times New Roman"/>
              </w:rPr>
              <w:t>(0.028)</w:t>
            </w:r>
          </w:p>
        </w:tc>
      </w:tr>
      <w:tr w:rsidR="00446E7B" w:rsidRPr="00446E7B" w14:paraId="768EB757" w14:textId="77777777" w:rsidTr="003A4B1D">
        <w:tc>
          <w:tcPr>
            <w:tcW w:w="2376" w:type="dxa"/>
            <w:tcBorders>
              <w:bottom w:val="single" w:sz="4" w:space="0" w:color="auto"/>
            </w:tcBorders>
            <w:vAlign w:val="center"/>
          </w:tcPr>
          <w:p w14:paraId="55B1E7B4" w14:textId="77777777" w:rsidR="00446E7B" w:rsidRPr="00446E7B" w:rsidRDefault="00446E7B" w:rsidP="00981453">
            <w:pPr>
              <w:tabs>
                <w:tab w:val="left" w:pos="426"/>
              </w:tabs>
              <w:rPr>
                <w:rFonts w:ascii="Times New Roman" w:hAnsi="Times New Roman" w:cs="Times New Roman"/>
                <w:i/>
              </w:rPr>
            </w:pPr>
            <w:r w:rsidRPr="00446E7B">
              <w:rPr>
                <w:rFonts w:ascii="Times New Roman" w:hAnsi="Times New Roman" w:cs="Times New Roman"/>
                <w:i/>
              </w:rPr>
              <w:t>n</w:t>
            </w:r>
          </w:p>
        </w:tc>
        <w:tc>
          <w:tcPr>
            <w:tcW w:w="1716" w:type="dxa"/>
            <w:tcBorders>
              <w:bottom w:val="single" w:sz="4" w:space="0" w:color="auto"/>
            </w:tcBorders>
            <w:vAlign w:val="center"/>
          </w:tcPr>
          <w:p w14:paraId="2512BE88" w14:textId="77777777" w:rsidR="00446E7B" w:rsidRPr="00446E7B" w:rsidRDefault="00446E7B" w:rsidP="00981453">
            <w:pPr>
              <w:tabs>
                <w:tab w:val="left" w:pos="426"/>
                <w:tab w:val="decimal" w:pos="1204"/>
              </w:tabs>
              <w:rPr>
                <w:rFonts w:ascii="Times New Roman" w:hAnsi="Times New Roman" w:cs="Times New Roman"/>
              </w:rPr>
            </w:pPr>
            <w:r w:rsidRPr="00446E7B">
              <w:rPr>
                <w:rFonts w:ascii="Times New Roman" w:hAnsi="Times New Roman" w:cs="Times New Roman"/>
              </w:rPr>
              <w:t>4,224</w:t>
            </w:r>
          </w:p>
        </w:tc>
        <w:tc>
          <w:tcPr>
            <w:tcW w:w="1717" w:type="dxa"/>
            <w:tcBorders>
              <w:bottom w:val="single" w:sz="4" w:space="0" w:color="auto"/>
            </w:tcBorders>
            <w:vAlign w:val="center"/>
          </w:tcPr>
          <w:p w14:paraId="5B242E96" w14:textId="77777777" w:rsidR="00446E7B" w:rsidRPr="00446E7B" w:rsidRDefault="00446E7B" w:rsidP="00981453">
            <w:pPr>
              <w:tabs>
                <w:tab w:val="left" w:pos="426"/>
                <w:tab w:val="decimal" w:pos="1204"/>
              </w:tabs>
              <w:rPr>
                <w:rFonts w:ascii="Times New Roman" w:hAnsi="Times New Roman" w:cs="Times New Roman"/>
              </w:rPr>
            </w:pPr>
            <w:r w:rsidRPr="00446E7B">
              <w:rPr>
                <w:rFonts w:ascii="Times New Roman" w:hAnsi="Times New Roman" w:cs="Times New Roman"/>
              </w:rPr>
              <w:t>4,224</w:t>
            </w:r>
          </w:p>
        </w:tc>
        <w:tc>
          <w:tcPr>
            <w:tcW w:w="1716" w:type="dxa"/>
            <w:tcBorders>
              <w:bottom w:val="single" w:sz="4" w:space="0" w:color="auto"/>
            </w:tcBorders>
            <w:vAlign w:val="center"/>
          </w:tcPr>
          <w:p w14:paraId="161C1FC3" w14:textId="77777777" w:rsidR="00446E7B" w:rsidRPr="00446E7B" w:rsidRDefault="00446E7B" w:rsidP="00981453">
            <w:pPr>
              <w:tabs>
                <w:tab w:val="left" w:pos="426"/>
                <w:tab w:val="decimal" w:pos="1204"/>
              </w:tabs>
              <w:rPr>
                <w:rFonts w:ascii="Times New Roman" w:hAnsi="Times New Roman" w:cs="Times New Roman"/>
              </w:rPr>
            </w:pPr>
            <w:r w:rsidRPr="00446E7B">
              <w:rPr>
                <w:rFonts w:ascii="Times New Roman" w:hAnsi="Times New Roman" w:cs="Times New Roman"/>
              </w:rPr>
              <w:t>1,447</w:t>
            </w:r>
          </w:p>
        </w:tc>
        <w:tc>
          <w:tcPr>
            <w:tcW w:w="1717" w:type="dxa"/>
            <w:tcBorders>
              <w:bottom w:val="single" w:sz="4" w:space="0" w:color="auto"/>
            </w:tcBorders>
            <w:vAlign w:val="center"/>
          </w:tcPr>
          <w:p w14:paraId="4FFB4B90" w14:textId="77777777" w:rsidR="00446E7B" w:rsidRPr="00446E7B" w:rsidRDefault="00446E7B" w:rsidP="00981453">
            <w:pPr>
              <w:tabs>
                <w:tab w:val="left" w:pos="426"/>
                <w:tab w:val="decimal" w:pos="1204"/>
              </w:tabs>
              <w:rPr>
                <w:rFonts w:ascii="Times New Roman" w:hAnsi="Times New Roman" w:cs="Times New Roman"/>
              </w:rPr>
            </w:pPr>
            <w:r w:rsidRPr="00446E7B">
              <w:rPr>
                <w:rFonts w:ascii="Times New Roman" w:hAnsi="Times New Roman" w:cs="Times New Roman"/>
              </w:rPr>
              <w:t>2,777</w:t>
            </w:r>
          </w:p>
        </w:tc>
      </w:tr>
    </w:tbl>
    <w:p w14:paraId="5C1C7140" w14:textId="77777777" w:rsidR="00446E7B" w:rsidRPr="00446E7B" w:rsidRDefault="00446E7B" w:rsidP="00981453">
      <w:pPr>
        <w:tabs>
          <w:tab w:val="left" w:pos="426"/>
        </w:tabs>
        <w:spacing w:after="0" w:line="240" w:lineRule="auto"/>
        <w:rPr>
          <w:rFonts w:ascii="Times New Roman" w:hAnsi="Times New Roman" w:cs="Times New Roman"/>
          <w:sz w:val="20"/>
          <w:szCs w:val="20"/>
        </w:rPr>
      </w:pPr>
      <w:r w:rsidRPr="00446E7B">
        <w:rPr>
          <w:rFonts w:ascii="Times New Roman" w:hAnsi="Times New Roman" w:cs="Times New Roman"/>
          <w:sz w:val="20"/>
          <w:szCs w:val="20"/>
          <w:vertAlign w:val="superscript"/>
        </w:rPr>
        <w:t>***</w:t>
      </w:r>
      <w:r w:rsidRPr="00446E7B">
        <w:rPr>
          <w:rFonts w:ascii="Times New Roman" w:hAnsi="Times New Roman" w:cs="Times New Roman"/>
          <w:sz w:val="20"/>
          <w:szCs w:val="20"/>
        </w:rPr>
        <w:t xml:space="preserve"> p&lt;0.01; </w:t>
      </w:r>
      <w:r w:rsidRPr="00446E7B">
        <w:rPr>
          <w:rFonts w:ascii="Times New Roman" w:hAnsi="Times New Roman" w:cs="Times New Roman"/>
          <w:sz w:val="20"/>
          <w:szCs w:val="20"/>
          <w:vertAlign w:val="superscript"/>
        </w:rPr>
        <w:t>**</w:t>
      </w:r>
      <w:r w:rsidRPr="00446E7B">
        <w:rPr>
          <w:rFonts w:ascii="Times New Roman" w:hAnsi="Times New Roman" w:cs="Times New Roman"/>
          <w:sz w:val="20"/>
          <w:szCs w:val="20"/>
        </w:rPr>
        <w:t xml:space="preserve"> p&lt;0.05; </w:t>
      </w:r>
      <w:r w:rsidRPr="00446E7B">
        <w:rPr>
          <w:rFonts w:ascii="Times New Roman" w:hAnsi="Times New Roman" w:cs="Times New Roman"/>
          <w:sz w:val="20"/>
          <w:szCs w:val="20"/>
          <w:vertAlign w:val="superscript"/>
        </w:rPr>
        <w:t>*</w:t>
      </w:r>
      <w:r w:rsidRPr="00446E7B">
        <w:rPr>
          <w:rFonts w:ascii="Times New Roman" w:hAnsi="Times New Roman" w:cs="Times New Roman"/>
          <w:sz w:val="20"/>
          <w:szCs w:val="20"/>
        </w:rPr>
        <w:t xml:space="preserve"> p&lt;0.1</w:t>
      </w:r>
    </w:p>
    <w:p w14:paraId="6E261CC8" w14:textId="77777777" w:rsidR="00E81B7C" w:rsidRDefault="00E81B7C" w:rsidP="00981453">
      <w:pPr>
        <w:tabs>
          <w:tab w:val="left" w:pos="426"/>
        </w:tabs>
        <w:spacing w:after="0" w:line="288" w:lineRule="auto"/>
        <w:jc w:val="both"/>
        <w:rPr>
          <w:rFonts w:ascii="Times New Roman" w:hAnsi="Times New Roman" w:cs="Times New Roman"/>
          <w:sz w:val="24"/>
          <w:szCs w:val="24"/>
        </w:rPr>
      </w:pPr>
    </w:p>
    <w:p w14:paraId="54AC9239" w14:textId="77777777" w:rsidR="00132AFD" w:rsidRDefault="00132AFD" w:rsidP="00981453">
      <w:pPr>
        <w:tabs>
          <w:tab w:val="left" w:pos="426"/>
        </w:tabs>
        <w:spacing w:after="0" w:line="288" w:lineRule="auto"/>
        <w:jc w:val="both"/>
        <w:rPr>
          <w:rFonts w:ascii="Times New Roman" w:hAnsi="Times New Roman" w:cs="Times New Roman"/>
          <w:sz w:val="24"/>
          <w:szCs w:val="24"/>
        </w:rPr>
      </w:pPr>
    </w:p>
    <w:p w14:paraId="7940A08B" w14:textId="38F561E8" w:rsidR="00BE0027" w:rsidRDefault="00C10900"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0606B5" w:rsidRPr="00BE0027">
        <w:rPr>
          <w:rFonts w:ascii="Times New Roman" w:hAnsi="Times New Roman" w:cs="Times New Roman"/>
          <w:sz w:val="24"/>
          <w:szCs w:val="24"/>
        </w:rPr>
        <w:t xml:space="preserve">As expected, </w:t>
      </w:r>
      <w:r w:rsidR="00BE0027" w:rsidRPr="00BE0027">
        <w:rPr>
          <w:rFonts w:ascii="Times New Roman" w:hAnsi="Times New Roman" w:cs="Times New Roman"/>
          <w:sz w:val="24"/>
          <w:szCs w:val="24"/>
        </w:rPr>
        <w:t>human capital is important but only for health and not for education. S</w:t>
      </w:r>
      <w:r w:rsidR="000606B5" w:rsidRPr="00BE0027">
        <w:rPr>
          <w:rFonts w:ascii="Times New Roman" w:hAnsi="Times New Roman" w:cs="Times New Roman"/>
          <w:sz w:val="24"/>
          <w:szCs w:val="24"/>
        </w:rPr>
        <w:t xml:space="preserve">elf-reported health </w:t>
      </w:r>
      <w:r w:rsidR="00BE0027" w:rsidRPr="00BE0027">
        <w:rPr>
          <w:rFonts w:ascii="Times New Roman" w:hAnsi="Times New Roman" w:cs="Times New Roman"/>
          <w:sz w:val="24"/>
          <w:szCs w:val="24"/>
        </w:rPr>
        <w:t xml:space="preserve">(both physical and mental) </w:t>
      </w:r>
      <w:r w:rsidR="000606B5" w:rsidRPr="00BE0027">
        <w:rPr>
          <w:rFonts w:ascii="Times New Roman" w:hAnsi="Times New Roman" w:cs="Times New Roman"/>
          <w:sz w:val="24"/>
          <w:szCs w:val="24"/>
        </w:rPr>
        <w:t>is highly significant in explaining life satisfaction. An additional standard deviation of self-reported physical health score is associated with a 5.</w:t>
      </w:r>
      <w:r w:rsidR="00A86D5F">
        <w:rPr>
          <w:rFonts w:ascii="Times New Roman" w:hAnsi="Times New Roman" w:cs="Times New Roman"/>
          <w:sz w:val="24"/>
          <w:szCs w:val="24"/>
        </w:rPr>
        <w:t>8</w:t>
      </w:r>
      <w:r w:rsidR="000606B5" w:rsidRPr="00BE0027">
        <w:rPr>
          <w:rFonts w:ascii="Times New Roman" w:hAnsi="Times New Roman" w:cs="Times New Roman"/>
          <w:sz w:val="24"/>
          <w:szCs w:val="24"/>
        </w:rPr>
        <w:t xml:space="preserve"> percent higher probability of reporting being </w:t>
      </w:r>
      <w:r w:rsidR="00B310CD">
        <w:rPr>
          <w:rFonts w:ascii="Times New Roman" w:hAnsi="Times New Roman" w:cs="Times New Roman"/>
          <w:sz w:val="24"/>
          <w:szCs w:val="24"/>
        </w:rPr>
        <w:t>'</w:t>
      </w:r>
      <w:r w:rsidR="000606B5" w:rsidRPr="00BE0027">
        <w:rPr>
          <w:rFonts w:ascii="Times New Roman" w:hAnsi="Times New Roman" w:cs="Times New Roman"/>
          <w:sz w:val="24"/>
          <w:szCs w:val="24"/>
        </w:rPr>
        <w:t>very satisfied</w:t>
      </w:r>
      <w:r w:rsidR="00B310CD">
        <w:rPr>
          <w:rFonts w:ascii="Times New Roman" w:hAnsi="Times New Roman" w:cs="Times New Roman"/>
          <w:sz w:val="24"/>
          <w:szCs w:val="24"/>
        </w:rPr>
        <w:t>'</w:t>
      </w:r>
      <w:r w:rsidR="000606B5" w:rsidRPr="00BE0027">
        <w:rPr>
          <w:rFonts w:ascii="Times New Roman" w:hAnsi="Times New Roman" w:cs="Times New Roman"/>
          <w:sz w:val="24"/>
          <w:szCs w:val="24"/>
        </w:rPr>
        <w:t>, and an additional standard deviation of self-reported mental health score is associated with a 15.</w:t>
      </w:r>
      <w:r w:rsidR="00A86D5F">
        <w:rPr>
          <w:rFonts w:ascii="Times New Roman" w:hAnsi="Times New Roman" w:cs="Times New Roman"/>
          <w:sz w:val="24"/>
          <w:szCs w:val="24"/>
        </w:rPr>
        <w:t>4</w:t>
      </w:r>
      <w:r w:rsidR="000606B5" w:rsidRPr="00BE0027">
        <w:rPr>
          <w:rFonts w:ascii="Times New Roman" w:hAnsi="Times New Roman" w:cs="Times New Roman"/>
          <w:sz w:val="24"/>
          <w:szCs w:val="24"/>
        </w:rPr>
        <w:t xml:space="preserve"> percent higher probability of reporting being </w:t>
      </w:r>
      <w:r w:rsidR="00B310CD">
        <w:rPr>
          <w:rFonts w:ascii="Times New Roman" w:hAnsi="Times New Roman" w:cs="Times New Roman"/>
          <w:sz w:val="24"/>
          <w:szCs w:val="24"/>
        </w:rPr>
        <w:t>'</w:t>
      </w:r>
      <w:r w:rsidR="000606B5" w:rsidRPr="00BE0027">
        <w:rPr>
          <w:rFonts w:ascii="Times New Roman" w:hAnsi="Times New Roman" w:cs="Times New Roman"/>
          <w:sz w:val="24"/>
          <w:szCs w:val="24"/>
        </w:rPr>
        <w:t>very satisfied</w:t>
      </w:r>
      <w:r w:rsidR="00B310CD">
        <w:rPr>
          <w:rFonts w:ascii="Times New Roman" w:hAnsi="Times New Roman" w:cs="Times New Roman"/>
          <w:sz w:val="24"/>
          <w:szCs w:val="24"/>
        </w:rPr>
        <w:t>'</w:t>
      </w:r>
      <w:r w:rsidR="000606B5" w:rsidRPr="00BE0027">
        <w:rPr>
          <w:rFonts w:ascii="Times New Roman" w:hAnsi="Times New Roman" w:cs="Times New Roman"/>
          <w:sz w:val="24"/>
          <w:szCs w:val="24"/>
        </w:rPr>
        <w:t xml:space="preserve">. </w:t>
      </w:r>
      <w:r w:rsidR="00BE0027">
        <w:rPr>
          <w:rFonts w:ascii="Times New Roman" w:hAnsi="Times New Roman" w:cs="Times New Roman"/>
          <w:sz w:val="24"/>
          <w:szCs w:val="24"/>
        </w:rPr>
        <w:t>Post-secondary education</w:t>
      </w:r>
      <w:r w:rsidR="00A86D5F">
        <w:rPr>
          <w:rFonts w:ascii="Times New Roman" w:hAnsi="Times New Roman" w:cs="Times New Roman"/>
          <w:sz w:val="24"/>
          <w:szCs w:val="24"/>
        </w:rPr>
        <w:t xml:space="preserve"> </w:t>
      </w:r>
      <w:r w:rsidR="00BE0027">
        <w:rPr>
          <w:rFonts w:ascii="Times New Roman" w:hAnsi="Times New Roman" w:cs="Times New Roman"/>
          <w:sz w:val="24"/>
          <w:szCs w:val="24"/>
        </w:rPr>
        <w:t>ha</w:t>
      </w:r>
      <w:r w:rsidR="00A86D5F">
        <w:rPr>
          <w:rFonts w:ascii="Times New Roman" w:hAnsi="Times New Roman" w:cs="Times New Roman"/>
          <w:sz w:val="24"/>
          <w:szCs w:val="24"/>
        </w:rPr>
        <w:t>s</w:t>
      </w:r>
      <w:r w:rsidR="00BE0027">
        <w:rPr>
          <w:rFonts w:ascii="Times New Roman" w:hAnsi="Times New Roman" w:cs="Times New Roman"/>
          <w:sz w:val="24"/>
          <w:szCs w:val="24"/>
        </w:rPr>
        <w:t xml:space="preserve"> no statistically significant association with life satisfaction. </w:t>
      </w:r>
      <w:r w:rsidR="00A86D5F">
        <w:rPr>
          <w:rFonts w:ascii="Times New Roman" w:hAnsi="Times New Roman" w:cs="Times New Roman"/>
          <w:sz w:val="24"/>
          <w:szCs w:val="24"/>
        </w:rPr>
        <w:t>Partnered people and those living in less deprived areas</w:t>
      </w:r>
      <w:r w:rsidR="00BE0027">
        <w:rPr>
          <w:rFonts w:ascii="Times New Roman" w:hAnsi="Times New Roman" w:cs="Times New Roman"/>
          <w:sz w:val="24"/>
          <w:szCs w:val="24"/>
        </w:rPr>
        <w:t xml:space="preserve"> are significantly </w:t>
      </w:r>
      <w:r w:rsidR="00A86D5F">
        <w:rPr>
          <w:rFonts w:ascii="Times New Roman" w:hAnsi="Times New Roman" w:cs="Times New Roman"/>
          <w:sz w:val="24"/>
          <w:szCs w:val="24"/>
        </w:rPr>
        <w:t>more</w:t>
      </w:r>
      <w:r w:rsidR="00BE0027">
        <w:rPr>
          <w:rFonts w:ascii="Times New Roman" w:hAnsi="Times New Roman" w:cs="Times New Roman"/>
          <w:sz w:val="24"/>
          <w:szCs w:val="24"/>
        </w:rPr>
        <w:t xml:space="preserve"> likely </w:t>
      </w:r>
      <w:r w:rsidR="00A86D5F">
        <w:rPr>
          <w:rFonts w:ascii="Times New Roman" w:hAnsi="Times New Roman" w:cs="Times New Roman"/>
          <w:sz w:val="24"/>
          <w:szCs w:val="24"/>
        </w:rPr>
        <w:t xml:space="preserve">to be very </w:t>
      </w:r>
      <w:r w:rsidR="00BE0027">
        <w:rPr>
          <w:rFonts w:ascii="Times New Roman" w:hAnsi="Times New Roman" w:cs="Times New Roman"/>
          <w:sz w:val="24"/>
          <w:szCs w:val="24"/>
        </w:rPr>
        <w:t xml:space="preserve">satisfied, while </w:t>
      </w:r>
      <w:r w:rsidR="00A86D5F">
        <w:rPr>
          <w:rFonts w:ascii="Times New Roman" w:hAnsi="Times New Roman" w:cs="Times New Roman"/>
          <w:i/>
          <w:sz w:val="24"/>
          <w:szCs w:val="24"/>
        </w:rPr>
        <w:t xml:space="preserve">ceteris paribus </w:t>
      </w:r>
      <w:r w:rsidR="00A86D5F">
        <w:rPr>
          <w:rFonts w:ascii="Times New Roman" w:hAnsi="Times New Roman" w:cs="Times New Roman"/>
          <w:sz w:val="24"/>
          <w:szCs w:val="24"/>
        </w:rPr>
        <w:t>there are no differences in life satisfaction by age</w:t>
      </w:r>
      <w:r w:rsidR="00BE0027">
        <w:rPr>
          <w:rFonts w:ascii="Times New Roman" w:hAnsi="Times New Roman" w:cs="Times New Roman"/>
          <w:sz w:val="24"/>
          <w:szCs w:val="24"/>
        </w:rPr>
        <w:t>.</w:t>
      </w:r>
    </w:p>
    <w:p w14:paraId="30E29560" w14:textId="77777777" w:rsidR="00C10900" w:rsidRPr="00BE0027" w:rsidRDefault="00C10900" w:rsidP="00981453">
      <w:pPr>
        <w:tabs>
          <w:tab w:val="left" w:pos="426"/>
        </w:tabs>
        <w:spacing w:after="0" w:line="288" w:lineRule="auto"/>
        <w:jc w:val="both"/>
        <w:rPr>
          <w:rFonts w:ascii="Times New Roman" w:hAnsi="Times New Roman" w:cs="Times New Roman"/>
          <w:sz w:val="24"/>
          <w:szCs w:val="24"/>
        </w:rPr>
      </w:pPr>
    </w:p>
    <w:p w14:paraId="3F5BE138" w14:textId="57FE6619" w:rsidR="00E46779" w:rsidRDefault="00C10900"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E46779">
        <w:rPr>
          <w:rFonts w:ascii="Times New Roman" w:hAnsi="Times New Roman" w:cs="Times New Roman"/>
          <w:sz w:val="24"/>
          <w:szCs w:val="24"/>
        </w:rPr>
        <w:t>When the analysis is disaggregated by education level</w:t>
      </w:r>
      <w:r w:rsidR="00A86D5F">
        <w:rPr>
          <w:rFonts w:ascii="Times New Roman" w:hAnsi="Times New Roman" w:cs="Times New Roman"/>
          <w:sz w:val="24"/>
          <w:szCs w:val="24"/>
        </w:rPr>
        <w:t xml:space="preserve"> (Models 3A and 3B)</w:t>
      </w:r>
      <w:r w:rsidR="00E46779">
        <w:rPr>
          <w:rFonts w:ascii="Times New Roman" w:hAnsi="Times New Roman" w:cs="Times New Roman"/>
          <w:sz w:val="24"/>
          <w:szCs w:val="24"/>
        </w:rPr>
        <w:t xml:space="preserve">, the mediating effect of education on the relationships between life satisfaction and other variables becomes clear. The negative effect of </w:t>
      </w:r>
      <w:r w:rsidR="00A86D5F">
        <w:rPr>
          <w:rFonts w:ascii="Times New Roman" w:hAnsi="Times New Roman" w:cs="Times New Roman"/>
          <w:sz w:val="24"/>
          <w:szCs w:val="24"/>
        </w:rPr>
        <w:t>full-time work</w:t>
      </w:r>
      <w:r w:rsidR="00E46779">
        <w:rPr>
          <w:rFonts w:ascii="Times New Roman" w:hAnsi="Times New Roman" w:cs="Times New Roman"/>
          <w:sz w:val="24"/>
          <w:szCs w:val="24"/>
        </w:rPr>
        <w:t xml:space="preserve"> on life satisfaction is larger and more statistically significant for the higher educated group than for the lower educated group. While working full-time is associated with an </w:t>
      </w:r>
      <w:r w:rsidR="00A86D5F">
        <w:rPr>
          <w:rFonts w:ascii="Times New Roman" w:hAnsi="Times New Roman" w:cs="Times New Roman"/>
          <w:sz w:val="24"/>
          <w:szCs w:val="24"/>
        </w:rPr>
        <w:t>85.0</w:t>
      </w:r>
      <w:r w:rsidR="00E46779">
        <w:rPr>
          <w:rFonts w:ascii="Times New Roman" w:hAnsi="Times New Roman" w:cs="Times New Roman"/>
          <w:sz w:val="24"/>
          <w:szCs w:val="24"/>
        </w:rPr>
        <w:t xml:space="preserve"> percent lower probability of </w:t>
      </w:r>
      <w:r w:rsidR="00E46779">
        <w:rPr>
          <w:rFonts w:ascii="Times New Roman" w:hAnsi="Times New Roman" w:cs="Times New Roman"/>
          <w:sz w:val="24"/>
          <w:szCs w:val="24"/>
        </w:rPr>
        <w:lastRenderedPageBreak/>
        <w:t xml:space="preserve">reporting as </w:t>
      </w:r>
      <w:r w:rsidR="00B310CD">
        <w:rPr>
          <w:rFonts w:ascii="Times New Roman" w:hAnsi="Times New Roman" w:cs="Times New Roman"/>
          <w:sz w:val="24"/>
          <w:szCs w:val="24"/>
        </w:rPr>
        <w:t>'</w:t>
      </w:r>
      <w:r w:rsidR="00E46779">
        <w:rPr>
          <w:rFonts w:ascii="Times New Roman" w:hAnsi="Times New Roman" w:cs="Times New Roman"/>
          <w:sz w:val="24"/>
          <w:szCs w:val="24"/>
        </w:rPr>
        <w:t>very satisfied</w:t>
      </w:r>
      <w:r w:rsidR="00B310CD">
        <w:rPr>
          <w:rFonts w:ascii="Times New Roman" w:hAnsi="Times New Roman" w:cs="Times New Roman"/>
          <w:sz w:val="24"/>
          <w:szCs w:val="24"/>
        </w:rPr>
        <w:t>'</w:t>
      </w:r>
      <w:r w:rsidR="00E46779">
        <w:rPr>
          <w:rFonts w:ascii="Times New Roman" w:hAnsi="Times New Roman" w:cs="Times New Roman"/>
          <w:sz w:val="24"/>
          <w:szCs w:val="24"/>
        </w:rPr>
        <w:t xml:space="preserve"> among the high education group, it is only associated with a </w:t>
      </w:r>
      <w:r w:rsidR="00A86D5F">
        <w:rPr>
          <w:rFonts w:ascii="Times New Roman" w:hAnsi="Times New Roman" w:cs="Times New Roman"/>
          <w:sz w:val="24"/>
          <w:szCs w:val="24"/>
        </w:rPr>
        <w:t>65.4</w:t>
      </w:r>
      <w:r w:rsidR="00E46779">
        <w:rPr>
          <w:rFonts w:ascii="Times New Roman" w:hAnsi="Times New Roman" w:cs="Times New Roman"/>
          <w:sz w:val="24"/>
          <w:szCs w:val="24"/>
        </w:rPr>
        <w:t xml:space="preserve"> percent lower probability among the low education group. </w:t>
      </w:r>
      <w:r w:rsidR="00A86D5F">
        <w:rPr>
          <w:rFonts w:ascii="Times New Roman" w:hAnsi="Times New Roman" w:cs="Times New Roman"/>
          <w:sz w:val="24"/>
          <w:szCs w:val="24"/>
        </w:rPr>
        <w:t>P</w:t>
      </w:r>
      <w:r w:rsidR="00E46779">
        <w:rPr>
          <w:rFonts w:ascii="Times New Roman" w:hAnsi="Times New Roman" w:cs="Times New Roman"/>
          <w:sz w:val="24"/>
          <w:szCs w:val="24"/>
        </w:rPr>
        <w:t xml:space="preserve">art-time work is not associated with lower life satisfaction </w:t>
      </w:r>
      <w:r w:rsidR="00A86D5F" w:rsidRPr="007D4000">
        <w:rPr>
          <w:rFonts w:ascii="Times New Roman" w:hAnsi="Times New Roman" w:cs="Times New Roman"/>
          <w:sz w:val="24"/>
          <w:szCs w:val="24"/>
        </w:rPr>
        <w:t>in either group</w:t>
      </w:r>
      <w:r w:rsidR="007D4000" w:rsidRPr="007D4000">
        <w:rPr>
          <w:rFonts w:ascii="Times New Roman" w:hAnsi="Times New Roman" w:cs="Times New Roman"/>
          <w:sz w:val="24"/>
          <w:szCs w:val="24"/>
        </w:rPr>
        <w:t xml:space="preserve"> (again reflecting a lack of power in identifying the relationship)</w:t>
      </w:r>
      <w:r w:rsidR="00E46779" w:rsidRPr="007D4000">
        <w:rPr>
          <w:rFonts w:ascii="Times New Roman" w:hAnsi="Times New Roman" w:cs="Times New Roman"/>
          <w:sz w:val="24"/>
          <w:szCs w:val="24"/>
        </w:rPr>
        <w:t>.</w:t>
      </w:r>
      <w:r w:rsidR="00754DEC" w:rsidRPr="007D4000">
        <w:rPr>
          <w:rFonts w:ascii="Times New Roman" w:hAnsi="Times New Roman" w:cs="Times New Roman"/>
          <w:sz w:val="24"/>
          <w:szCs w:val="24"/>
        </w:rPr>
        <w:t xml:space="preserve"> </w:t>
      </w:r>
      <w:r w:rsidR="00E46779" w:rsidRPr="007D4000">
        <w:rPr>
          <w:rFonts w:ascii="Times New Roman" w:hAnsi="Times New Roman" w:cs="Times New Roman"/>
          <w:sz w:val="24"/>
          <w:szCs w:val="24"/>
        </w:rPr>
        <w:t>The effects of health</w:t>
      </w:r>
      <w:r w:rsidR="007D4000">
        <w:rPr>
          <w:rFonts w:ascii="Times New Roman" w:hAnsi="Times New Roman" w:cs="Times New Roman"/>
          <w:sz w:val="24"/>
          <w:szCs w:val="24"/>
        </w:rPr>
        <w:t>, particularly mental health,</w:t>
      </w:r>
      <w:r w:rsidR="00E46779" w:rsidRPr="007D4000">
        <w:rPr>
          <w:rFonts w:ascii="Times New Roman" w:hAnsi="Times New Roman" w:cs="Times New Roman"/>
          <w:sz w:val="24"/>
          <w:szCs w:val="24"/>
        </w:rPr>
        <w:t xml:space="preserve"> on life satisfaction are larger for those with high education than those with low</w:t>
      </w:r>
      <w:r w:rsidR="00E46779">
        <w:rPr>
          <w:rFonts w:ascii="Times New Roman" w:hAnsi="Times New Roman" w:cs="Times New Roman"/>
          <w:sz w:val="24"/>
          <w:szCs w:val="24"/>
        </w:rPr>
        <w:t xml:space="preserve"> education</w:t>
      </w:r>
      <w:r w:rsidR="007D4000">
        <w:rPr>
          <w:rFonts w:ascii="Times New Roman" w:hAnsi="Times New Roman" w:cs="Times New Roman"/>
          <w:sz w:val="24"/>
          <w:szCs w:val="24"/>
        </w:rPr>
        <w:t>. Finally</w:t>
      </w:r>
      <w:r w:rsidR="00E46779">
        <w:rPr>
          <w:rFonts w:ascii="Times New Roman" w:hAnsi="Times New Roman" w:cs="Times New Roman"/>
          <w:sz w:val="24"/>
          <w:szCs w:val="24"/>
        </w:rPr>
        <w:t xml:space="preserve">, </w:t>
      </w:r>
      <w:r w:rsidR="007D4000">
        <w:rPr>
          <w:rFonts w:ascii="Times New Roman" w:hAnsi="Times New Roman" w:cs="Times New Roman"/>
          <w:sz w:val="24"/>
          <w:szCs w:val="24"/>
        </w:rPr>
        <w:t xml:space="preserve">the effect of partnered status is larger for those in the low education group, while </w:t>
      </w:r>
      <w:r w:rsidR="00E46779">
        <w:rPr>
          <w:rFonts w:ascii="Times New Roman" w:hAnsi="Times New Roman" w:cs="Times New Roman"/>
          <w:sz w:val="24"/>
          <w:szCs w:val="24"/>
        </w:rPr>
        <w:t>the protective effect of living in less deprived areas is statistically significant only for those in the low education group.</w:t>
      </w:r>
    </w:p>
    <w:p w14:paraId="42DBEA66" w14:textId="77777777" w:rsidR="00A86D5F" w:rsidRDefault="00A86D5F" w:rsidP="00981453">
      <w:pPr>
        <w:tabs>
          <w:tab w:val="left" w:pos="426"/>
        </w:tabs>
        <w:spacing w:after="0" w:line="288" w:lineRule="auto"/>
        <w:jc w:val="both"/>
        <w:rPr>
          <w:rFonts w:ascii="Times New Roman" w:hAnsi="Times New Roman" w:cs="Times New Roman"/>
          <w:sz w:val="24"/>
          <w:szCs w:val="24"/>
        </w:rPr>
      </w:pPr>
    </w:p>
    <w:p w14:paraId="193D8631" w14:textId="77777777" w:rsidR="00D84EDF" w:rsidRPr="00C10900" w:rsidRDefault="00D84EDF" w:rsidP="00C10900">
      <w:pPr>
        <w:tabs>
          <w:tab w:val="left" w:pos="426"/>
        </w:tabs>
        <w:spacing w:after="0" w:line="240" w:lineRule="auto"/>
        <w:jc w:val="both"/>
        <w:rPr>
          <w:rFonts w:ascii="Times New Roman" w:hAnsi="Times New Roman" w:cs="Times New Roman"/>
          <w:iCs/>
          <w:sz w:val="24"/>
          <w:szCs w:val="24"/>
        </w:rPr>
      </w:pPr>
    </w:p>
    <w:p w14:paraId="2F47A571" w14:textId="744AB0CF" w:rsidR="000606B5" w:rsidRDefault="000606B5" w:rsidP="00C10900">
      <w:pPr>
        <w:pStyle w:val="Heading2"/>
        <w:tabs>
          <w:tab w:val="left" w:pos="284"/>
        </w:tabs>
        <w:spacing w:before="0" w:line="240" w:lineRule="auto"/>
        <w:ind w:left="0" w:firstLine="0"/>
        <w:rPr>
          <w:rFonts w:asciiTheme="majorBidi" w:hAnsiTheme="majorBidi"/>
          <w:color w:val="auto"/>
          <w:sz w:val="24"/>
          <w:szCs w:val="24"/>
        </w:rPr>
      </w:pPr>
      <w:r w:rsidRPr="00C10900">
        <w:rPr>
          <w:rFonts w:asciiTheme="majorBidi" w:hAnsiTheme="majorBidi"/>
          <w:color w:val="auto"/>
          <w:sz w:val="24"/>
          <w:szCs w:val="24"/>
        </w:rPr>
        <w:t>Discussion and Conclusion</w:t>
      </w:r>
      <w:r w:rsidR="00DF7C58">
        <w:rPr>
          <w:rFonts w:asciiTheme="majorBidi" w:hAnsiTheme="majorBidi"/>
          <w:color w:val="auto"/>
          <w:sz w:val="24"/>
          <w:szCs w:val="24"/>
        </w:rPr>
        <w:t>s</w:t>
      </w:r>
    </w:p>
    <w:p w14:paraId="3CF8284E" w14:textId="77777777" w:rsidR="00C10900" w:rsidRPr="00C10900" w:rsidRDefault="00C10900" w:rsidP="00981453">
      <w:pPr>
        <w:tabs>
          <w:tab w:val="left" w:pos="426"/>
        </w:tabs>
        <w:spacing w:after="0" w:line="288" w:lineRule="auto"/>
        <w:jc w:val="both"/>
        <w:rPr>
          <w:rFonts w:ascii="Times New Roman" w:hAnsi="Times New Roman" w:cs="Times New Roman"/>
          <w:sz w:val="12"/>
          <w:szCs w:val="12"/>
        </w:rPr>
      </w:pPr>
    </w:p>
    <w:p w14:paraId="6AA29A91" w14:textId="28AA22A3" w:rsidR="000F7ABD" w:rsidRDefault="000606B5" w:rsidP="00981453">
      <w:pPr>
        <w:tabs>
          <w:tab w:val="left" w:pos="426"/>
        </w:tabs>
        <w:spacing w:after="0" w:line="288" w:lineRule="auto"/>
        <w:jc w:val="both"/>
        <w:rPr>
          <w:rFonts w:ascii="Times New Roman" w:hAnsi="Times New Roman" w:cs="Times New Roman"/>
          <w:sz w:val="24"/>
          <w:szCs w:val="24"/>
        </w:rPr>
      </w:pPr>
      <w:r w:rsidRPr="000F7ABD">
        <w:rPr>
          <w:rFonts w:ascii="Times New Roman" w:hAnsi="Times New Roman" w:cs="Times New Roman"/>
          <w:sz w:val="24"/>
          <w:szCs w:val="24"/>
        </w:rPr>
        <w:t xml:space="preserve">Our results </w:t>
      </w:r>
      <w:r w:rsidR="000F7ABD">
        <w:rPr>
          <w:rFonts w:ascii="Times New Roman" w:hAnsi="Times New Roman" w:cs="Times New Roman"/>
          <w:sz w:val="24"/>
          <w:szCs w:val="24"/>
        </w:rPr>
        <w:t>provide further support for the contention</w:t>
      </w:r>
      <w:r w:rsidRPr="000F7ABD">
        <w:rPr>
          <w:rFonts w:ascii="Times New Roman" w:hAnsi="Times New Roman" w:cs="Times New Roman"/>
          <w:sz w:val="24"/>
          <w:szCs w:val="24"/>
        </w:rPr>
        <w:t xml:space="preserve"> that </w:t>
      </w:r>
      <w:r w:rsidR="000F7ABD">
        <w:rPr>
          <w:rFonts w:ascii="Times New Roman" w:hAnsi="Times New Roman" w:cs="Times New Roman"/>
          <w:sz w:val="24"/>
          <w:szCs w:val="24"/>
        </w:rPr>
        <w:t>working</w:t>
      </w:r>
      <w:r w:rsidRPr="000F7ABD">
        <w:rPr>
          <w:rFonts w:ascii="Times New Roman" w:hAnsi="Times New Roman" w:cs="Times New Roman"/>
          <w:sz w:val="24"/>
          <w:szCs w:val="24"/>
        </w:rPr>
        <w:t xml:space="preserve"> is associated </w:t>
      </w:r>
      <w:r w:rsidR="00183800" w:rsidRPr="000F7ABD">
        <w:rPr>
          <w:rFonts w:ascii="Times New Roman" w:hAnsi="Times New Roman" w:cs="Times New Roman"/>
          <w:sz w:val="24"/>
          <w:szCs w:val="24"/>
        </w:rPr>
        <w:t>with</w:t>
      </w:r>
      <w:r w:rsidR="00183800">
        <w:rPr>
          <w:rFonts w:ascii="Times New Roman" w:hAnsi="Times New Roman" w:cs="Times New Roman"/>
          <w:sz w:val="24"/>
          <w:szCs w:val="24"/>
        </w:rPr>
        <w:t xml:space="preserve"> </w:t>
      </w:r>
      <w:r w:rsidR="000F7ABD">
        <w:rPr>
          <w:rFonts w:ascii="Times New Roman" w:hAnsi="Times New Roman" w:cs="Times New Roman"/>
          <w:sz w:val="24"/>
          <w:szCs w:val="24"/>
        </w:rPr>
        <w:t xml:space="preserve">lower </w:t>
      </w:r>
      <w:r w:rsidRPr="000F7ABD">
        <w:rPr>
          <w:rFonts w:ascii="Times New Roman" w:hAnsi="Times New Roman" w:cs="Times New Roman"/>
          <w:sz w:val="24"/>
          <w:szCs w:val="24"/>
        </w:rPr>
        <w:t>life satisfac</w:t>
      </w:r>
      <w:r w:rsidR="000F7ABD">
        <w:rPr>
          <w:rFonts w:ascii="Times New Roman" w:hAnsi="Times New Roman" w:cs="Times New Roman"/>
          <w:sz w:val="24"/>
          <w:szCs w:val="24"/>
        </w:rPr>
        <w:t>tion among older New Zealanders. Overall, t</w:t>
      </w:r>
      <w:r w:rsidRPr="000F7ABD">
        <w:rPr>
          <w:rFonts w:ascii="Times New Roman" w:hAnsi="Times New Roman" w:cs="Times New Roman"/>
          <w:sz w:val="24"/>
          <w:szCs w:val="24"/>
        </w:rPr>
        <w:t xml:space="preserve">hose working full-time </w:t>
      </w:r>
      <w:r w:rsidR="000F7ABD">
        <w:rPr>
          <w:rFonts w:ascii="Times New Roman" w:hAnsi="Times New Roman" w:cs="Times New Roman"/>
          <w:sz w:val="24"/>
          <w:szCs w:val="24"/>
        </w:rPr>
        <w:t>have</w:t>
      </w:r>
      <w:r w:rsidRPr="000F7ABD">
        <w:rPr>
          <w:rFonts w:ascii="Times New Roman" w:hAnsi="Times New Roman" w:cs="Times New Roman"/>
          <w:sz w:val="24"/>
          <w:szCs w:val="24"/>
        </w:rPr>
        <w:t xml:space="preserve"> significantly </w:t>
      </w:r>
      <w:r w:rsidR="000F7ABD">
        <w:rPr>
          <w:rFonts w:ascii="Times New Roman" w:hAnsi="Times New Roman" w:cs="Times New Roman"/>
          <w:sz w:val="24"/>
          <w:szCs w:val="24"/>
        </w:rPr>
        <w:t>lower life satisfaction</w:t>
      </w:r>
      <w:r w:rsidRPr="000F7ABD">
        <w:rPr>
          <w:rFonts w:ascii="Times New Roman" w:hAnsi="Times New Roman" w:cs="Times New Roman"/>
          <w:sz w:val="24"/>
          <w:szCs w:val="24"/>
        </w:rPr>
        <w:t xml:space="preserve"> than those not working, while</w:t>
      </w:r>
      <w:r w:rsidR="00AB791F">
        <w:rPr>
          <w:rFonts w:ascii="Times New Roman" w:hAnsi="Times New Roman" w:cs="Times New Roman"/>
          <w:sz w:val="24"/>
          <w:szCs w:val="24"/>
        </w:rPr>
        <w:t xml:space="preserve"> we find no evidence that</w:t>
      </w:r>
      <w:r w:rsidRPr="000F7ABD">
        <w:rPr>
          <w:rFonts w:ascii="Times New Roman" w:hAnsi="Times New Roman" w:cs="Times New Roman"/>
          <w:sz w:val="24"/>
          <w:szCs w:val="24"/>
        </w:rPr>
        <w:t xml:space="preserve"> those working part-time </w:t>
      </w:r>
      <w:r w:rsidR="000F7ABD">
        <w:rPr>
          <w:rFonts w:ascii="Times New Roman" w:hAnsi="Times New Roman" w:cs="Times New Roman"/>
          <w:sz w:val="24"/>
          <w:szCs w:val="24"/>
        </w:rPr>
        <w:t>have lower life satisfaction</w:t>
      </w:r>
      <w:r w:rsidRPr="000F7ABD">
        <w:rPr>
          <w:rFonts w:ascii="Times New Roman" w:hAnsi="Times New Roman" w:cs="Times New Roman"/>
          <w:sz w:val="24"/>
          <w:szCs w:val="24"/>
        </w:rPr>
        <w:t xml:space="preserve"> than those not working.</w:t>
      </w:r>
      <w:r w:rsidR="000F7ABD">
        <w:rPr>
          <w:rFonts w:ascii="Times New Roman" w:hAnsi="Times New Roman" w:cs="Times New Roman"/>
          <w:sz w:val="24"/>
          <w:szCs w:val="24"/>
        </w:rPr>
        <w:t xml:space="preserve"> </w:t>
      </w:r>
      <w:r w:rsidR="00AB791F">
        <w:rPr>
          <w:rFonts w:ascii="Times New Roman" w:hAnsi="Times New Roman" w:cs="Times New Roman"/>
          <w:sz w:val="24"/>
          <w:szCs w:val="24"/>
        </w:rPr>
        <w:t>Moreover</w:t>
      </w:r>
      <w:r w:rsidR="000F7ABD">
        <w:rPr>
          <w:rFonts w:ascii="Times New Roman" w:hAnsi="Times New Roman" w:cs="Times New Roman"/>
          <w:sz w:val="24"/>
          <w:szCs w:val="24"/>
        </w:rPr>
        <w:t xml:space="preserve">, the negative relationship between life satisfaction and working </w:t>
      </w:r>
      <w:r w:rsidR="00AB791F">
        <w:rPr>
          <w:rFonts w:ascii="Times New Roman" w:hAnsi="Times New Roman" w:cs="Times New Roman"/>
          <w:sz w:val="24"/>
          <w:szCs w:val="24"/>
        </w:rPr>
        <w:t>full</w:t>
      </w:r>
      <w:r w:rsidR="000F7ABD">
        <w:rPr>
          <w:rFonts w:ascii="Times New Roman" w:hAnsi="Times New Roman" w:cs="Times New Roman"/>
          <w:sz w:val="24"/>
          <w:szCs w:val="24"/>
        </w:rPr>
        <w:t>-time is</w:t>
      </w:r>
      <w:r w:rsidR="00871F78">
        <w:rPr>
          <w:rFonts w:ascii="Times New Roman" w:hAnsi="Times New Roman" w:cs="Times New Roman"/>
          <w:sz w:val="24"/>
          <w:szCs w:val="24"/>
        </w:rPr>
        <w:t xml:space="preserve"> </w:t>
      </w:r>
      <w:r w:rsidR="00AB791F">
        <w:rPr>
          <w:rFonts w:ascii="Times New Roman" w:hAnsi="Times New Roman" w:cs="Times New Roman"/>
          <w:sz w:val="24"/>
          <w:szCs w:val="24"/>
        </w:rPr>
        <w:t>larger for those with more education</w:t>
      </w:r>
      <w:r w:rsidR="000F7ABD">
        <w:rPr>
          <w:rFonts w:ascii="Times New Roman" w:hAnsi="Times New Roman" w:cs="Times New Roman"/>
          <w:sz w:val="24"/>
          <w:szCs w:val="24"/>
        </w:rPr>
        <w:t>.</w:t>
      </w:r>
    </w:p>
    <w:p w14:paraId="7B10A78E" w14:textId="23490670" w:rsidR="000F7ABD"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0F7ABD">
        <w:rPr>
          <w:rFonts w:ascii="Times New Roman" w:hAnsi="Times New Roman" w:cs="Times New Roman"/>
          <w:sz w:val="24"/>
          <w:szCs w:val="24"/>
        </w:rPr>
        <w:t xml:space="preserve">These results are somewhat surprising – our initial expectation was that older people with more education would be more likely to be working out of choice rather than necessity. As higher education is associated with higher income and consequently more economic resources, it is likely that older people with higher education do not </w:t>
      </w:r>
      <w:r w:rsidR="000F7ABD" w:rsidRPr="000F7ABD">
        <w:rPr>
          <w:rFonts w:ascii="Times New Roman" w:hAnsi="Times New Roman" w:cs="Times New Roman"/>
          <w:i/>
          <w:sz w:val="24"/>
          <w:szCs w:val="24"/>
        </w:rPr>
        <w:t>need</w:t>
      </w:r>
      <w:r w:rsidR="000F7ABD">
        <w:rPr>
          <w:rFonts w:ascii="Times New Roman" w:hAnsi="Times New Roman" w:cs="Times New Roman"/>
          <w:sz w:val="24"/>
          <w:szCs w:val="24"/>
        </w:rPr>
        <w:t xml:space="preserve"> to work </w:t>
      </w:r>
      <w:r w:rsidR="00357A19">
        <w:rPr>
          <w:rFonts w:ascii="Times New Roman" w:hAnsi="Times New Roman" w:cs="Times New Roman"/>
          <w:sz w:val="24"/>
          <w:szCs w:val="24"/>
        </w:rPr>
        <w:t xml:space="preserve">due to economic resources providing additional income, </w:t>
      </w:r>
      <w:r w:rsidR="000F7ABD">
        <w:rPr>
          <w:rFonts w:ascii="Times New Roman" w:hAnsi="Times New Roman" w:cs="Times New Roman"/>
          <w:sz w:val="24"/>
          <w:szCs w:val="24"/>
        </w:rPr>
        <w:t>and would only do so if it increases their wellbeing. In contrast, older people with less education are likely to have accumulated less economic resources and may be more likely to work in order to meet costs of living</w:t>
      </w:r>
      <w:r w:rsidR="00357A19">
        <w:rPr>
          <w:rFonts w:ascii="Times New Roman" w:hAnsi="Times New Roman" w:cs="Times New Roman"/>
          <w:sz w:val="24"/>
          <w:szCs w:val="24"/>
        </w:rPr>
        <w:t xml:space="preserve"> or make luxury purchases</w:t>
      </w:r>
      <w:r w:rsidR="000F7ABD">
        <w:rPr>
          <w:rFonts w:ascii="Times New Roman" w:hAnsi="Times New Roman" w:cs="Times New Roman"/>
          <w:sz w:val="24"/>
          <w:szCs w:val="24"/>
        </w:rPr>
        <w:t>, with lower wellbeing as a consequence of foregone leisure time. Our results suggest the opposite is true – better educated older people have larger negative life satisfaction consequences from working.</w:t>
      </w:r>
    </w:p>
    <w:p w14:paraId="4388ABD0" w14:textId="77777777" w:rsidR="00774C23" w:rsidRDefault="00774C23" w:rsidP="00981453">
      <w:pPr>
        <w:tabs>
          <w:tab w:val="left" w:pos="426"/>
        </w:tabs>
        <w:spacing w:after="0" w:line="288" w:lineRule="auto"/>
        <w:jc w:val="both"/>
        <w:rPr>
          <w:rFonts w:ascii="Times New Roman" w:hAnsi="Times New Roman" w:cs="Times New Roman"/>
          <w:sz w:val="24"/>
          <w:szCs w:val="24"/>
        </w:rPr>
      </w:pPr>
    </w:p>
    <w:p w14:paraId="48F8EE98" w14:textId="6D341C15" w:rsidR="000F7ABD"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0F7ABD">
        <w:rPr>
          <w:rFonts w:ascii="Times New Roman" w:hAnsi="Times New Roman" w:cs="Times New Roman"/>
          <w:sz w:val="24"/>
          <w:szCs w:val="24"/>
        </w:rPr>
        <w:t>This unexpected result may arise through a number of mechanisms. First, the life satisfaction ‘cost’ of working will depend on the retirement aspirations of the older person.</w:t>
      </w:r>
      <w:r w:rsidR="00AD17A6">
        <w:rPr>
          <w:rFonts w:ascii="Times New Roman" w:hAnsi="Times New Roman" w:cs="Times New Roman"/>
          <w:sz w:val="24"/>
          <w:szCs w:val="24"/>
        </w:rPr>
        <w:t xml:space="preserve"> A disconnect between aspirations and lived reality may reduce life satisfaction. Older people with low educational attainment might aspire to retire at the age of eligibility for NZS, but they might be realistic</w:t>
      </w:r>
      <w:r w:rsidR="00AD17A6" w:rsidRPr="00AD17A6">
        <w:rPr>
          <w:rFonts w:ascii="Times New Roman" w:hAnsi="Times New Roman" w:cs="Times New Roman"/>
          <w:sz w:val="24"/>
          <w:szCs w:val="24"/>
        </w:rPr>
        <w:t xml:space="preserve"> and realise that working past </w:t>
      </w:r>
      <w:r w:rsidR="00AD17A6">
        <w:rPr>
          <w:rFonts w:ascii="Times New Roman" w:hAnsi="Times New Roman" w:cs="Times New Roman"/>
          <w:sz w:val="24"/>
          <w:szCs w:val="24"/>
        </w:rPr>
        <w:t xml:space="preserve">age </w:t>
      </w:r>
      <w:r w:rsidR="00AD17A6" w:rsidRPr="00AD17A6">
        <w:rPr>
          <w:rFonts w:ascii="Times New Roman" w:hAnsi="Times New Roman" w:cs="Times New Roman"/>
          <w:sz w:val="24"/>
          <w:szCs w:val="24"/>
        </w:rPr>
        <w:t>65 is likely for them</w:t>
      </w:r>
      <w:r w:rsidR="00E43B88">
        <w:rPr>
          <w:rFonts w:ascii="Times New Roman" w:hAnsi="Times New Roman" w:cs="Times New Roman"/>
          <w:sz w:val="24"/>
          <w:szCs w:val="24"/>
        </w:rPr>
        <w:t>.</w:t>
      </w:r>
      <w:r w:rsidR="00AD17A6" w:rsidRPr="00AD17A6">
        <w:rPr>
          <w:rFonts w:ascii="Times New Roman" w:hAnsi="Times New Roman" w:cs="Times New Roman"/>
          <w:sz w:val="24"/>
          <w:szCs w:val="24"/>
        </w:rPr>
        <w:t xml:space="preserve"> </w:t>
      </w:r>
      <w:r w:rsidR="00E43B88">
        <w:rPr>
          <w:rFonts w:ascii="Times New Roman" w:hAnsi="Times New Roman" w:cs="Times New Roman"/>
          <w:sz w:val="24"/>
          <w:szCs w:val="24"/>
        </w:rPr>
        <w:t>S</w:t>
      </w:r>
      <w:r w:rsidR="00AD17A6" w:rsidRPr="00AD17A6">
        <w:rPr>
          <w:rFonts w:ascii="Times New Roman" w:hAnsi="Times New Roman" w:cs="Times New Roman"/>
          <w:sz w:val="24"/>
          <w:szCs w:val="24"/>
        </w:rPr>
        <w:t>o</w:t>
      </w:r>
      <w:r w:rsidR="00E43B88">
        <w:rPr>
          <w:rFonts w:ascii="Times New Roman" w:hAnsi="Times New Roman" w:cs="Times New Roman"/>
          <w:sz w:val="24"/>
          <w:szCs w:val="24"/>
        </w:rPr>
        <w:t>,</w:t>
      </w:r>
      <w:r w:rsidR="00AD17A6" w:rsidRPr="00AD17A6">
        <w:rPr>
          <w:rFonts w:ascii="Times New Roman" w:hAnsi="Times New Roman" w:cs="Times New Roman"/>
          <w:sz w:val="24"/>
          <w:szCs w:val="24"/>
        </w:rPr>
        <w:t xml:space="preserve"> when they find themselves 65</w:t>
      </w:r>
      <w:r w:rsidR="00AD17A6">
        <w:rPr>
          <w:rFonts w:ascii="Times New Roman" w:hAnsi="Times New Roman" w:cs="Times New Roman"/>
          <w:sz w:val="24"/>
          <w:szCs w:val="24"/>
        </w:rPr>
        <w:t xml:space="preserve"> or over</w:t>
      </w:r>
      <w:r w:rsidR="00AD17A6" w:rsidRPr="00AD17A6">
        <w:rPr>
          <w:rFonts w:ascii="Times New Roman" w:hAnsi="Times New Roman" w:cs="Times New Roman"/>
          <w:sz w:val="24"/>
          <w:szCs w:val="24"/>
        </w:rPr>
        <w:t xml:space="preserve"> and</w:t>
      </w:r>
      <w:r w:rsidR="00AD17A6">
        <w:rPr>
          <w:rFonts w:ascii="Times New Roman" w:hAnsi="Times New Roman" w:cs="Times New Roman"/>
          <w:sz w:val="24"/>
          <w:szCs w:val="24"/>
        </w:rPr>
        <w:t xml:space="preserve"> still</w:t>
      </w:r>
      <w:r w:rsidR="00AD17A6" w:rsidRPr="00AD17A6">
        <w:rPr>
          <w:rFonts w:ascii="Times New Roman" w:hAnsi="Times New Roman" w:cs="Times New Roman"/>
          <w:sz w:val="24"/>
          <w:szCs w:val="24"/>
        </w:rPr>
        <w:t xml:space="preserve"> working</w:t>
      </w:r>
      <w:r w:rsidR="00AD17A6">
        <w:rPr>
          <w:rFonts w:ascii="Times New Roman" w:hAnsi="Times New Roman" w:cs="Times New Roman"/>
          <w:sz w:val="24"/>
          <w:szCs w:val="24"/>
        </w:rPr>
        <w:t xml:space="preserve"> part- or full-time</w:t>
      </w:r>
      <w:r w:rsidR="00AD17A6" w:rsidRPr="00AD17A6">
        <w:rPr>
          <w:rFonts w:ascii="Times New Roman" w:hAnsi="Times New Roman" w:cs="Times New Roman"/>
          <w:sz w:val="24"/>
          <w:szCs w:val="24"/>
        </w:rPr>
        <w:t xml:space="preserve">, </w:t>
      </w:r>
      <w:r w:rsidR="00AD17A6">
        <w:rPr>
          <w:rFonts w:ascii="Times New Roman" w:hAnsi="Times New Roman" w:cs="Times New Roman"/>
          <w:sz w:val="24"/>
          <w:szCs w:val="24"/>
        </w:rPr>
        <w:t>working</w:t>
      </w:r>
      <w:r w:rsidR="00AD17A6" w:rsidRPr="00AD17A6">
        <w:rPr>
          <w:rFonts w:ascii="Times New Roman" w:hAnsi="Times New Roman" w:cs="Times New Roman"/>
          <w:sz w:val="24"/>
          <w:szCs w:val="24"/>
        </w:rPr>
        <w:t xml:space="preserve"> doesn't reduce their life satisfaction.</w:t>
      </w:r>
      <w:r w:rsidR="00AD17A6">
        <w:rPr>
          <w:rFonts w:ascii="Times New Roman" w:hAnsi="Times New Roman" w:cs="Times New Roman"/>
          <w:sz w:val="24"/>
          <w:szCs w:val="24"/>
        </w:rPr>
        <w:t xml:space="preserve"> In contrast, older people with high educational attainment may aspire to retire </w:t>
      </w:r>
      <w:r w:rsidR="00AD17A6" w:rsidRPr="00AD17A6">
        <w:rPr>
          <w:rFonts w:ascii="Times New Roman" w:hAnsi="Times New Roman" w:cs="Times New Roman"/>
          <w:sz w:val="24"/>
          <w:szCs w:val="24"/>
        </w:rPr>
        <w:t xml:space="preserve">at or around </w:t>
      </w:r>
      <w:r w:rsidR="00AD17A6">
        <w:rPr>
          <w:rFonts w:ascii="Times New Roman" w:hAnsi="Times New Roman" w:cs="Times New Roman"/>
          <w:sz w:val="24"/>
          <w:szCs w:val="24"/>
        </w:rPr>
        <w:t xml:space="preserve">age </w:t>
      </w:r>
      <w:r w:rsidR="00AD17A6" w:rsidRPr="00AD17A6">
        <w:rPr>
          <w:rFonts w:ascii="Times New Roman" w:hAnsi="Times New Roman" w:cs="Times New Roman"/>
          <w:sz w:val="24"/>
          <w:szCs w:val="24"/>
        </w:rPr>
        <w:t>65 or</w:t>
      </w:r>
      <w:r w:rsidR="00AD17A6">
        <w:rPr>
          <w:rFonts w:ascii="Times New Roman" w:hAnsi="Times New Roman" w:cs="Times New Roman"/>
          <w:sz w:val="24"/>
          <w:szCs w:val="24"/>
        </w:rPr>
        <w:t xml:space="preserve"> aspire to</w:t>
      </w:r>
      <w:r w:rsidR="00AD17A6" w:rsidRPr="00AD17A6">
        <w:rPr>
          <w:rFonts w:ascii="Times New Roman" w:hAnsi="Times New Roman" w:cs="Times New Roman"/>
          <w:sz w:val="24"/>
          <w:szCs w:val="24"/>
        </w:rPr>
        <w:t xml:space="preserve"> be working on their own terms</w:t>
      </w:r>
      <w:r w:rsidR="00AD17A6">
        <w:rPr>
          <w:rFonts w:ascii="Times New Roman" w:hAnsi="Times New Roman" w:cs="Times New Roman"/>
          <w:sz w:val="24"/>
          <w:szCs w:val="24"/>
        </w:rPr>
        <w:t>. When they</w:t>
      </w:r>
      <w:r w:rsidR="00AD17A6" w:rsidRPr="00AD17A6">
        <w:rPr>
          <w:rFonts w:ascii="Times New Roman" w:hAnsi="Times New Roman" w:cs="Times New Roman"/>
          <w:sz w:val="24"/>
          <w:szCs w:val="24"/>
        </w:rPr>
        <w:t xml:space="preserve"> find themselves 65</w:t>
      </w:r>
      <w:r w:rsidR="00AD17A6">
        <w:rPr>
          <w:rFonts w:ascii="Times New Roman" w:hAnsi="Times New Roman" w:cs="Times New Roman"/>
          <w:sz w:val="24"/>
          <w:szCs w:val="24"/>
        </w:rPr>
        <w:t xml:space="preserve"> or over</w:t>
      </w:r>
      <w:r w:rsidR="00AD17A6" w:rsidRPr="00AD17A6">
        <w:rPr>
          <w:rFonts w:ascii="Times New Roman" w:hAnsi="Times New Roman" w:cs="Times New Roman"/>
          <w:sz w:val="24"/>
          <w:szCs w:val="24"/>
        </w:rPr>
        <w:t xml:space="preserve"> and </w:t>
      </w:r>
      <w:r w:rsidR="00AD17A6">
        <w:rPr>
          <w:rFonts w:ascii="Times New Roman" w:hAnsi="Times New Roman" w:cs="Times New Roman"/>
          <w:sz w:val="24"/>
          <w:szCs w:val="24"/>
        </w:rPr>
        <w:t xml:space="preserve">still </w:t>
      </w:r>
      <w:r w:rsidR="00AD17A6" w:rsidRPr="00AD17A6">
        <w:rPr>
          <w:rFonts w:ascii="Times New Roman" w:hAnsi="Times New Roman" w:cs="Times New Roman"/>
          <w:sz w:val="24"/>
          <w:szCs w:val="24"/>
        </w:rPr>
        <w:t>working, it reduces their life satisfaction - and more so if they are working full-time</w:t>
      </w:r>
      <w:r w:rsidR="00AD17A6">
        <w:rPr>
          <w:rFonts w:ascii="Times New Roman" w:hAnsi="Times New Roman" w:cs="Times New Roman"/>
          <w:sz w:val="24"/>
          <w:szCs w:val="24"/>
        </w:rPr>
        <w:t xml:space="preserve"> rather than part-time</w:t>
      </w:r>
      <w:r w:rsidR="00AD17A6" w:rsidRPr="00AD17A6">
        <w:rPr>
          <w:rFonts w:ascii="Times New Roman" w:hAnsi="Times New Roman" w:cs="Times New Roman"/>
          <w:sz w:val="24"/>
          <w:szCs w:val="24"/>
        </w:rPr>
        <w:t>.</w:t>
      </w:r>
    </w:p>
    <w:p w14:paraId="03264373" w14:textId="77777777" w:rsidR="00774C23" w:rsidRDefault="00774C23" w:rsidP="00981453">
      <w:pPr>
        <w:tabs>
          <w:tab w:val="left" w:pos="426"/>
        </w:tabs>
        <w:spacing w:after="0" w:line="288" w:lineRule="auto"/>
        <w:jc w:val="both"/>
        <w:rPr>
          <w:rFonts w:ascii="Times New Roman" w:hAnsi="Times New Roman" w:cs="Times New Roman"/>
          <w:sz w:val="24"/>
          <w:szCs w:val="24"/>
        </w:rPr>
      </w:pPr>
    </w:p>
    <w:p w14:paraId="10E60860" w14:textId="381926BA" w:rsidR="00AD17A6"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9A4D91">
        <w:rPr>
          <w:rFonts w:ascii="Times New Roman" w:hAnsi="Times New Roman" w:cs="Times New Roman"/>
          <w:sz w:val="24"/>
          <w:szCs w:val="24"/>
        </w:rPr>
        <w:t>Second</w:t>
      </w:r>
      <w:r w:rsidR="00132AFD">
        <w:rPr>
          <w:rFonts w:ascii="Times New Roman" w:hAnsi="Times New Roman" w:cs="Times New Roman"/>
          <w:sz w:val="24"/>
          <w:szCs w:val="24"/>
        </w:rPr>
        <w:t>ly</w:t>
      </w:r>
      <w:r w:rsidR="009A4D91">
        <w:rPr>
          <w:rFonts w:ascii="Times New Roman" w:hAnsi="Times New Roman" w:cs="Times New Roman"/>
          <w:sz w:val="24"/>
          <w:szCs w:val="24"/>
        </w:rPr>
        <w:t xml:space="preserve">, the cost of maintaining lifestyle will likely be higher for those with more educational attainment (and higher pre-retirement income). While universal superannuation provides an unearned source of income, this level of income will not be sufficient to maintain pre-retirement lifestyle for most people, and more so for higher income (and higher education) </w:t>
      </w:r>
      <w:r w:rsidR="009A4D91">
        <w:rPr>
          <w:rFonts w:ascii="Times New Roman" w:hAnsi="Times New Roman" w:cs="Times New Roman"/>
          <w:sz w:val="24"/>
          <w:szCs w:val="24"/>
        </w:rPr>
        <w:lastRenderedPageBreak/>
        <w:t>people. So in order to maintain something close to their lifestyle</w:t>
      </w:r>
      <w:r w:rsidR="00470994">
        <w:rPr>
          <w:rFonts w:ascii="Times New Roman" w:hAnsi="Times New Roman" w:cs="Times New Roman"/>
          <w:sz w:val="24"/>
          <w:szCs w:val="24"/>
        </w:rPr>
        <w:t xml:space="preserve"> before age 65</w:t>
      </w:r>
      <w:r w:rsidR="009A4D91">
        <w:rPr>
          <w:rFonts w:ascii="Times New Roman" w:hAnsi="Times New Roman" w:cs="Times New Roman"/>
          <w:sz w:val="24"/>
          <w:szCs w:val="24"/>
        </w:rPr>
        <w:t>, older people with higher education are more likely than those with less education to fe</w:t>
      </w:r>
      <w:r w:rsidR="004013FF">
        <w:rPr>
          <w:rFonts w:ascii="Times New Roman" w:hAnsi="Times New Roman" w:cs="Times New Roman"/>
          <w:sz w:val="24"/>
          <w:szCs w:val="24"/>
        </w:rPr>
        <w:t>e</w:t>
      </w:r>
      <w:r w:rsidR="009A4D91">
        <w:rPr>
          <w:rFonts w:ascii="Times New Roman" w:hAnsi="Times New Roman" w:cs="Times New Roman"/>
          <w:sz w:val="24"/>
          <w:szCs w:val="24"/>
        </w:rPr>
        <w:t>l that they have to work, and similarly more likely to feel that they have to work full-time rather than part-time, with a consequent reduction in their life satisfaction due to foregone leisure opportunities.</w:t>
      </w:r>
    </w:p>
    <w:p w14:paraId="1B7382FB" w14:textId="77777777" w:rsidR="00774C23" w:rsidRDefault="00774C23" w:rsidP="00981453">
      <w:pPr>
        <w:tabs>
          <w:tab w:val="left" w:pos="426"/>
        </w:tabs>
        <w:spacing w:after="0" w:line="288" w:lineRule="auto"/>
        <w:jc w:val="both"/>
        <w:rPr>
          <w:rFonts w:ascii="Times New Roman" w:hAnsi="Times New Roman" w:cs="Times New Roman"/>
          <w:sz w:val="24"/>
          <w:szCs w:val="24"/>
        </w:rPr>
      </w:pPr>
    </w:p>
    <w:p w14:paraId="63DC0578" w14:textId="7D526217" w:rsidR="00723C6D"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9A4D91">
        <w:rPr>
          <w:rFonts w:ascii="Times New Roman" w:hAnsi="Times New Roman" w:cs="Times New Roman"/>
          <w:sz w:val="24"/>
          <w:szCs w:val="24"/>
        </w:rPr>
        <w:t>Third</w:t>
      </w:r>
      <w:r w:rsidR="00132AFD">
        <w:rPr>
          <w:rFonts w:ascii="Times New Roman" w:hAnsi="Times New Roman" w:cs="Times New Roman"/>
          <w:sz w:val="24"/>
          <w:szCs w:val="24"/>
        </w:rPr>
        <w:t>ly</w:t>
      </w:r>
      <w:r w:rsidR="009A4D91">
        <w:rPr>
          <w:rFonts w:ascii="Times New Roman" w:hAnsi="Times New Roman" w:cs="Times New Roman"/>
          <w:sz w:val="24"/>
          <w:szCs w:val="24"/>
        </w:rPr>
        <w:t xml:space="preserve">, older people with greater educational attainment may be more likely to be employed in </w:t>
      </w:r>
      <w:r w:rsidR="002A718F">
        <w:rPr>
          <w:rFonts w:ascii="Times New Roman" w:hAnsi="Times New Roman" w:cs="Times New Roman"/>
          <w:sz w:val="24"/>
          <w:szCs w:val="24"/>
        </w:rPr>
        <w:t>occupations with more responsibility and broader job scope, both of which increase job-related stress and likely reduce job and life satisfaction. However, including job satisfaction into the models in the last section does not eliminate the difference in life satisfaction between part-time and full-time work (the difference between working and not working cannot be tested with job satisfaction in the model, as job satisfaction is not observed for those who are not working).</w:t>
      </w:r>
      <w:r w:rsidR="00723C6D" w:rsidRPr="00723C6D">
        <w:rPr>
          <w:rFonts w:ascii="Times New Roman" w:hAnsi="Times New Roman" w:cs="Times New Roman"/>
          <w:sz w:val="24"/>
          <w:szCs w:val="24"/>
        </w:rPr>
        <w:t xml:space="preserve"> </w:t>
      </w:r>
      <w:r w:rsidR="00A41126">
        <w:rPr>
          <w:rFonts w:ascii="Times New Roman" w:hAnsi="Times New Roman" w:cs="Times New Roman"/>
          <w:sz w:val="24"/>
          <w:szCs w:val="24"/>
        </w:rPr>
        <w:t>Given this finding, it is possible that</w:t>
      </w:r>
      <w:r w:rsidR="00A41126" w:rsidRPr="00723C6D">
        <w:rPr>
          <w:rFonts w:ascii="Times New Roman" w:hAnsi="Times New Roman" w:cs="Times New Roman"/>
          <w:sz w:val="24"/>
          <w:szCs w:val="24"/>
        </w:rPr>
        <w:t xml:space="preserve"> </w:t>
      </w:r>
      <w:r w:rsidR="00723C6D" w:rsidRPr="00723C6D">
        <w:rPr>
          <w:rFonts w:ascii="Times New Roman" w:hAnsi="Times New Roman" w:cs="Times New Roman"/>
          <w:sz w:val="24"/>
          <w:szCs w:val="24"/>
        </w:rPr>
        <w:t>barriers to exiting the workforce are more prominent among those with higher education. As higher educated individuals often occupy more specialized</w:t>
      </w:r>
      <w:r w:rsidR="00723C6D">
        <w:rPr>
          <w:rFonts w:ascii="Times New Roman" w:hAnsi="Times New Roman" w:cs="Times New Roman"/>
          <w:sz w:val="24"/>
          <w:szCs w:val="24"/>
        </w:rPr>
        <w:t xml:space="preserve"> or senior</w:t>
      </w:r>
      <w:r w:rsidR="00723C6D" w:rsidRPr="00723C6D">
        <w:rPr>
          <w:rFonts w:ascii="Times New Roman" w:hAnsi="Times New Roman" w:cs="Times New Roman"/>
          <w:sz w:val="24"/>
          <w:szCs w:val="24"/>
        </w:rPr>
        <w:t xml:space="preserve"> positions, it may be more difficult to attract suitable replacement labour to facilitate an individual retiring. This may be even more pronounced in New Zealand as structural ageing</w:t>
      </w:r>
      <w:r w:rsidR="00723C6D">
        <w:rPr>
          <w:rFonts w:ascii="Times New Roman" w:hAnsi="Times New Roman" w:cs="Times New Roman"/>
          <w:sz w:val="24"/>
          <w:szCs w:val="24"/>
        </w:rPr>
        <w:t>, a shallow labour market,</w:t>
      </w:r>
      <w:r w:rsidR="00723C6D" w:rsidRPr="00723C6D">
        <w:rPr>
          <w:rFonts w:ascii="Times New Roman" w:hAnsi="Times New Roman" w:cs="Times New Roman"/>
          <w:sz w:val="24"/>
          <w:szCs w:val="24"/>
        </w:rPr>
        <w:t xml:space="preserve"> and lack of competitiveness with other countries for specialized labour</w:t>
      </w:r>
      <w:r w:rsidR="00723C6D">
        <w:rPr>
          <w:rFonts w:ascii="Times New Roman" w:hAnsi="Times New Roman" w:cs="Times New Roman"/>
          <w:sz w:val="24"/>
          <w:szCs w:val="24"/>
        </w:rPr>
        <w:t>,</w:t>
      </w:r>
      <w:r w:rsidR="00723C6D" w:rsidRPr="00723C6D">
        <w:rPr>
          <w:rFonts w:ascii="Times New Roman" w:hAnsi="Times New Roman" w:cs="Times New Roman"/>
          <w:sz w:val="24"/>
          <w:szCs w:val="24"/>
        </w:rPr>
        <w:t xml:space="preserve"> all contribut</w:t>
      </w:r>
      <w:r w:rsidR="00723C6D">
        <w:rPr>
          <w:rFonts w:ascii="Times New Roman" w:hAnsi="Times New Roman" w:cs="Times New Roman"/>
          <w:sz w:val="24"/>
          <w:szCs w:val="24"/>
        </w:rPr>
        <w:t>e</w:t>
      </w:r>
      <w:r w:rsidR="00723C6D" w:rsidRPr="00723C6D">
        <w:rPr>
          <w:rFonts w:ascii="Times New Roman" w:hAnsi="Times New Roman" w:cs="Times New Roman"/>
          <w:sz w:val="24"/>
          <w:szCs w:val="24"/>
        </w:rPr>
        <w:t xml:space="preserve"> to difficulties in sourcing appropriate replacement labour, particularly in regional New Zealand where populations may be stable or declining.</w:t>
      </w:r>
    </w:p>
    <w:p w14:paraId="48C43260" w14:textId="77777777" w:rsidR="00774C23" w:rsidRDefault="00774C23" w:rsidP="00981453">
      <w:pPr>
        <w:tabs>
          <w:tab w:val="left" w:pos="426"/>
        </w:tabs>
        <w:spacing w:after="0" w:line="288" w:lineRule="auto"/>
        <w:jc w:val="both"/>
        <w:rPr>
          <w:rFonts w:ascii="Times New Roman" w:hAnsi="Times New Roman" w:cs="Times New Roman"/>
          <w:sz w:val="24"/>
          <w:szCs w:val="24"/>
        </w:rPr>
      </w:pPr>
    </w:p>
    <w:p w14:paraId="0ACAA816" w14:textId="5C8A1374" w:rsidR="00B76D27"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71F78" w:rsidRPr="00871F78">
        <w:rPr>
          <w:rFonts w:ascii="Times New Roman" w:hAnsi="Times New Roman" w:cs="Times New Roman"/>
          <w:sz w:val="24"/>
          <w:szCs w:val="24"/>
        </w:rPr>
        <w:t>Fourth</w:t>
      </w:r>
      <w:r w:rsidR="00132AFD">
        <w:rPr>
          <w:rFonts w:ascii="Times New Roman" w:hAnsi="Times New Roman" w:cs="Times New Roman"/>
          <w:sz w:val="24"/>
          <w:szCs w:val="24"/>
        </w:rPr>
        <w:t>ly</w:t>
      </w:r>
      <w:r w:rsidR="00871F78" w:rsidRPr="00871F78">
        <w:rPr>
          <w:rFonts w:ascii="Times New Roman" w:hAnsi="Times New Roman" w:cs="Times New Roman"/>
          <w:sz w:val="24"/>
          <w:szCs w:val="24"/>
        </w:rPr>
        <w:t xml:space="preserve">, it could be that for some people to pursue higher education, and subsequent careers, they substitute away from investment in the family, social and cultural domains which contribute to </w:t>
      </w:r>
      <w:r w:rsidR="00871F78">
        <w:rPr>
          <w:rFonts w:ascii="Times New Roman" w:hAnsi="Times New Roman" w:cs="Times New Roman"/>
          <w:sz w:val="24"/>
          <w:szCs w:val="24"/>
        </w:rPr>
        <w:t>later life satisfaction</w:t>
      </w:r>
      <w:r w:rsidR="00871F78" w:rsidRPr="00871F78">
        <w:rPr>
          <w:rFonts w:ascii="Times New Roman" w:hAnsi="Times New Roman" w:cs="Times New Roman"/>
          <w:sz w:val="24"/>
          <w:szCs w:val="24"/>
        </w:rPr>
        <w:t>.</w:t>
      </w:r>
      <w:r w:rsidR="00871F78">
        <w:rPr>
          <w:rFonts w:ascii="Times New Roman" w:hAnsi="Times New Roman" w:cs="Times New Roman"/>
          <w:sz w:val="24"/>
          <w:szCs w:val="24"/>
        </w:rPr>
        <w:t xml:space="preserve"> However, in our results educational attainment did not have a direct effect on life satisfaction, so this explanation seems less likely to hold in our sample. Available data from the NZGSS are insufficient to explore these four plausible mechanisms relating labour force participation to lower life satisfaction. Further research using qualitative methodologies may therefore be important in better understanding the underlying reasons for this observed relationship.</w:t>
      </w:r>
    </w:p>
    <w:p w14:paraId="46C51958" w14:textId="77777777" w:rsidR="00774C23" w:rsidRDefault="00774C23" w:rsidP="00981453">
      <w:pPr>
        <w:tabs>
          <w:tab w:val="left" w:pos="426"/>
        </w:tabs>
        <w:spacing w:after="0" w:line="288" w:lineRule="auto"/>
        <w:jc w:val="both"/>
        <w:rPr>
          <w:rFonts w:ascii="Times New Roman" w:hAnsi="Times New Roman" w:cs="Times New Roman"/>
          <w:sz w:val="24"/>
          <w:szCs w:val="24"/>
        </w:rPr>
      </w:pPr>
    </w:p>
    <w:p w14:paraId="1B9EFF27" w14:textId="126A1CB6" w:rsidR="00871F78"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71F78">
        <w:rPr>
          <w:rFonts w:ascii="Times New Roman" w:hAnsi="Times New Roman" w:cs="Times New Roman"/>
          <w:sz w:val="24"/>
          <w:szCs w:val="24"/>
        </w:rPr>
        <w:t>Human capital has a further effect on life satisfaction among older people, directly through the relationship between health and life satisfaction. Both physical and mental health are associated with higher life satisfaction, but as with labour force participation this relationship is mediated by educational attainment – the positive relationship is larger for those with post-secondary education than for those with less education</w:t>
      </w:r>
      <w:r w:rsidR="00E43B88">
        <w:rPr>
          <w:rFonts w:ascii="Times New Roman" w:hAnsi="Times New Roman" w:cs="Times New Roman"/>
          <w:sz w:val="24"/>
          <w:szCs w:val="24"/>
        </w:rPr>
        <w:t>, particularly for mental health</w:t>
      </w:r>
      <w:r w:rsidR="00871F78">
        <w:rPr>
          <w:rFonts w:ascii="Times New Roman" w:hAnsi="Times New Roman" w:cs="Times New Roman"/>
          <w:sz w:val="24"/>
          <w:szCs w:val="24"/>
        </w:rPr>
        <w:t>.</w:t>
      </w:r>
      <w:r w:rsidR="00485C14">
        <w:rPr>
          <w:rFonts w:ascii="Times New Roman" w:hAnsi="Times New Roman" w:cs="Times New Roman"/>
          <w:sz w:val="24"/>
          <w:szCs w:val="24"/>
        </w:rPr>
        <w:t xml:space="preserve"> This may possibly</w:t>
      </w:r>
      <w:r w:rsidR="009A5DEC">
        <w:rPr>
          <w:rFonts w:ascii="Times New Roman" w:hAnsi="Times New Roman" w:cs="Times New Roman"/>
          <w:sz w:val="24"/>
          <w:szCs w:val="24"/>
        </w:rPr>
        <w:t xml:space="preserve"> be</w:t>
      </w:r>
      <w:r w:rsidR="00485C14">
        <w:rPr>
          <w:rFonts w:ascii="Times New Roman" w:hAnsi="Times New Roman" w:cs="Times New Roman"/>
          <w:sz w:val="24"/>
          <w:szCs w:val="24"/>
        </w:rPr>
        <w:t xml:space="preserve"> due to greater</w:t>
      </w:r>
      <w:r w:rsidR="00521FA2">
        <w:rPr>
          <w:rFonts w:ascii="Times New Roman" w:hAnsi="Times New Roman" w:cs="Times New Roman"/>
          <w:sz w:val="24"/>
          <w:szCs w:val="24"/>
        </w:rPr>
        <w:t xml:space="preserve"> </w:t>
      </w:r>
      <w:r w:rsidR="0017735E">
        <w:rPr>
          <w:rFonts w:ascii="Times New Roman" w:hAnsi="Times New Roman" w:cs="Times New Roman"/>
          <w:sz w:val="24"/>
          <w:szCs w:val="24"/>
        </w:rPr>
        <w:t>economic resource</w:t>
      </w:r>
      <w:r w:rsidR="00485C14">
        <w:rPr>
          <w:rFonts w:ascii="Times New Roman" w:hAnsi="Times New Roman" w:cs="Times New Roman"/>
          <w:sz w:val="24"/>
          <w:szCs w:val="24"/>
        </w:rPr>
        <w:t>s</w:t>
      </w:r>
      <w:r w:rsidR="0017735E">
        <w:rPr>
          <w:rFonts w:ascii="Times New Roman" w:hAnsi="Times New Roman" w:cs="Times New Roman"/>
          <w:sz w:val="24"/>
          <w:szCs w:val="24"/>
        </w:rPr>
        <w:t xml:space="preserve"> accrued by those with advanced education</w:t>
      </w:r>
      <w:r w:rsidR="00E43B88">
        <w:rPr>
          <w:rFonts w:ascii="Times New Roman" w:hAnsi="Times New Roman" w:cs="Times New Roman"/>
          <w:sz w:val="24"/>
          <w:szCs w:val="24"/>
        </w:rPr>
        <w:t>, which allow</w:t>
      </w:r>
      <w:r w:rsidR="0017735E">
        <w:rPr>
          <w:rFonts w:ascii="Times New Roman" w:hAnsi="Times New Roman" w:cs="Times New Roman"/>
          <w:sz w:val="24"/>
          <w:szCs w:val="24"/>
        </w:rPr>
        <w:t xml:space="preserve"> them to capitalize on good health through travel or mentoring, </w:t>
      </w:r>
      <w:r w:rsidR="00485C14">
        <w:rPr>
          <w:rFonts w:ascii="Times New Roman" w:hAnsi="Times New Roman" w:cs="Times New Roman"/>
          <w:sz w:val="24"/>
          <w:szCs w:val="24"/>
        </w:rPr>
        <w:t>while</w:t>
      </w:r>
      <w:r w:rsidR="0017735E">
        <w:rPr>
          <w:rFonts w:ascii="Times New Roman" w:hAnsi="Times New Roman" w:cs="Times New Roman"/>
          <w:sz w:val="24"/>
          <w:szCs w:val="24"/>
        </w:rPr>
        <w:t xml:space="preserve"> poor health restricts the opportunities greater wealth offers</w:t>
      </w:r>
      <w:r w:rsidR="00485C14">
        <w:rPr>
          <w:rFonts w:ascii="Times New Roman" w:hAnsi="Times New Roman" w:cs="Times New Roman"/>
          <w:sz w:val="24"/>
          <w:szCs w:val="24"/>
        </w:rPr>
        <w:t>. In contrast, those with less education would not have these opportunities and</w:t>
      </w:r>
      <w:r w:rsidR="00E43B88">
        <w:rPr>
          <w:rFonts w:ascii="Times New Roman" w:hAnsi="Times New Roman" w:cs="Times New Roman"/>
          <w:sz w:val="24"/>
          <w:szCs w:val="24"/>
        </w:rPr>
        <w:t xml:space="preserve"> therefore</w:t>
      </w:r>
      <w:r w:rsidR="00485C14">
        <w:rPr>
          <w:rFonts w:ascii="Times New Roman" w:hAnsi="Times New Roman" w:cs="Times New Roman"/>
          <w:sz w:val="24"/>
          <w:szCs w:val="24"/>
        </w:rPr>
        <w:t xml:space="preserve"> </w:t>
      </w:r>
      <w:r w:rsidR="00E43B88">
        <w:rPr>
          <w:rFonts w:ascii="Times New Roman" w:hAnsi="Times New Roman" w:cs="Times New Roman"/>
          <w:sz w:val="24"/>
          <w:szCs w:val="24"/>
        </w:rPr>
        <w:t>may</w:t>
      </w:r>
      <w:r w:rsidR="00485C14">
        <w:rPr>
          <w:rFonts w:ascii="Times New Roman" w:hAnsi="Times New Roman" w:cs="Times New Roman"/>
          <w:sz w:val="24"/>
          <w:szCs w:val="24"/>
        </w:rPr>
        <w:t xml:space="preserve"> face </w:t>
      </w:r>
      <w:r w:rsidR="00E43B88">
        <w:rPr>
          <w:rFonts w:ascii="Times New Roman" w:hAnsi="Times New Roman" w:cs="Times New Roman"/>
          <w:sz w:val="24"/>
          <w:szCs w:val="24"/>
        </w:rPr>
        <w:t>a lesser</w:t>
      </w:r>
      <w:r w:rsidR="00485C14">
        <w:rPr>
          <w:rFonts w:ascii="Times New Roman" w:hAnsi="Times New Roman" w:cs="Times New Roman"/>
          <w:sz w:val="24"/>
          <w:szCs w:val="24"/>
        </w:rPr>
        <w:t xml:space="preserve"> degree of negative consequences</w:t>
      </w:r>
      <w:r w:rsidR="00E43B88">
        <w:rPr>
          <w:rFonts w:ascii="Times New Roman" w:hAnsi="Times New Roman" w:cs="Times New Roman"/>
          <w:sz w:val="24"/>
          <w:szCs w:val="24"/>
        </w:rPr>
        <w:t xml:space="preserve"> (in terms of life satisfaction)</w:t>
      </w:r>
      <w:r w:rsidR="00485C14">
        <w:rPr>
          <w:rFonts w:ascii="Times New Roman" w:hAnsi="Times New Roman" w:cs="Times New Roman"/>
          <w:sz w:val="24"/>
          <w:szCs w:val="24"/>
        </w:rPr>
        <w:t xml:space="preserve"> of poor health.</w:t>
      </w:r>
    </w:p>
    <w:p w14:paraId="0BDC407F" w14:textId="77777777" w:rsidR="00774C23" w:rsidRDefault="00774C23" w:rsidP="00981453">
      <w:pPr>
        <w:tabs>
          <w:tab w:val="left" w:pos="426"/>
        </w:tabs>
        <w:spacing w:after="0" w:line="288" w:lineRule="auto"/>
        <w:jc w:val="both"/>
        <w:rPr>
          <w:rFonts w:ascii="Times New Roman" w:hAnsi="Times New Roman" w:cs="Times New Roman"/>
          <w:sz w:val="24"/>
          <w:szCs w:val="24"/>
        </w:rPr>
      </w:pPr>
    </w:p>
    <w:p w14:paraId="71805196" w14:textId="77777777" w:rsidR="00132AFD"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32AFD">
        <w:rPr>
          <w:rFonts w:ascii="Times New Roman" w:hAnsi="Times New Roman" w:cs="Times New Roman"/>
          <w:sz w:val="24"/>
          <w:szCs w:val="24"/>
        </w:rPr>
        <w:br/>
      </w:r>
    </w:p>
    <w:p w14:paraId="3DAF469F" w14:textId="033AAED9" w:rsidR="00470994" w:rsidRDefault="00132AFD"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21FA2">
        <w:rPr>
          <w:rFonts w:ascii="Times New Roman" w:hAnsi="Times New Roman" w:cs="Times New Roman"/>
          <w:sz w:val="24"/>
          <w:szCs w:val="24"/>
        </w:rPr>
        <w:t>Educational attainment</w:t>
      </w:r>
      <w:r w:rsidR="009A0608">
        <w:rPr>
          <w:rFonts w:ascii="Times New Roman" w:hAnsi="Times New Roman" w:cs="Times New Roman"/>
          <w:sz w:val="24"/>
          <w:szCs w:val="24"/>
        </w:rPr>
        <w:t xml:space="preserve"> also appears to mediate the relationship between wealth and life satisfaction – the relationship is statistically significant only for those with less educational attainment. This may provide further support for the importance of maintaining lifestyle mentioned earlier</w:t>
      </w:r>
      <w:r w:rsidR="00470994">
        <w:rPr>
          <w:rFonts w:ascii="Times New Roman" w:hAnsi="Times New Roman" w:cs="Times New Roman"/>
          <w:sz w:val="24"/>
          <w:szCs w:val="24"/>
        </w:rPr>
        <w:t>. Although greater wealth is associated with higher life satisfaction, the marginal benefit of wealth on life satisfaction diminishes with greater wealth. Thus, it is plausible that the cost of maintaining a more expensive lifestyle (in terms of foregone leisure and other opportunities) may not fully offset the positive relationship between wealth and life satisfaction for those with low educational attainment, but may do so for those with higher education. Thus, there is a protective effect of wealth on life satisfaction for those with low educational attainment, but for the better educated</w:t>
      </w:r>
      <w:r w:rsidR="00E43B88">
        <w:rPr>
          <w:rFonts w:ascii="Times New Roman" w:hAnsi="Times New Roman" w:cs="Times New Roman"/>
          <w:sz w:val="24"/>
          <w:szCs w:val="24"/>
        </w:rPr>
        <w:t xml:space="preserve"> this effect is not significant</w:t>
      </w:r>
      <w:r w:rsidR="00470994">
        <w:rPr>
          <w:rFonts w:ascii="Times New Roman" w:hAnsi="Times New Roman" w:cs="Times New Roman"/>
          <w:sz w:val="24"/>
          <w:szCs w:val="24"/>
        </w:rPr>
        <w:t>.</w:t>
      </w:r>
    </w:p>
    <w:p w14:paraId="5695C7F7" w14:textId="77777777" w:rsidR="00774C23" w:rsidRDefault="00774C23" w:rsidP="00981453">
      <w:pPr>
        <w:tabs>
          <w:tab w:val="left" w:pos="426"/>
        </w:tabs>
        <w:spacing w:after="0" w:line="288" w:lineRule="auto"/>
        <w:jc w:val="both"/>
        <w:rPr>
          <w:rFonts w:ascii="Times New Roman" w:hAnsi="Times New Roman" w:cs="Times New Roman"/>
          <w:sz w:val="24"/>
          <w:szCs w:val="24"/>
        </w:rPr>
      </w:pPr>
    </w:p>
    <w:p w14:paraId="0835183C" w14:textId="60592599" w:rsidR="00754DEC" w:rsidRDefault="00774C23" w:rsidP="00AD228E">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A41126">
        <w:rPr>
          <w:rFonts w:ascii="Times New Roman" w:hAnsi="Times New Roman" w:cs="Times New Roman"/>
          <w:sz w:val="24"/>
          <w:szCs w:val="24"/>
        </w:rPr>
        <w:t>O</w:t>
      </w:r>
      <w:r w:rsidR="00A41126" w:rsidRPr="00754DEC">
        <w:rPr>
          <w:rFonts w:ascii="Times New Roman" w:hAnsi="Times New Roman" w:cs="Times New Roman"/>
          <w:sz w:val="24"/>
          <w:szCs w:val="24"/>
        </w:rPr>
        <w:t xml:space="preserve">ur results have important </w:t>
      </w:r>
      <w:r w:rsidR="00A41126">
        <w:rPr>
          <w:rFonts w:ascii="Times New Roman" w:hAnsi="Times New Roman" w:cs="Times New Roman"/>
          <w:sz w:val="24"/>
          <w:szCs w:val="24"/>
        </w:rPr>
        <w:t>implications for policy aimed at improving life satisfaction among older people</w:t>
      </w:r>
      <w:r w:rsidR="000606B5" w:rsidRPr="00754DEC">
        <w:rPr>
          <w:rFonts w:ascii="Times New Roman" w:hAnsi="Times New Roman" w:cs="Times New Roman"/>
          <w:sz w:val="24"/>
          <w:szCs w:val="24"/>
        </w:rPr>
        <w:t xml:space="preserve">. The New Zealand population is ageing, and older people are healthier and increasingly remaining in the labour force for longer. </w:t>
      </w:r>
      <w:r w:rsidR="00754DEC" w:rsidRPr="00754DEC">
        <w:rPr>
          <w:rFonts w:ascii="Times New Roman" w:hAnsi="Times New Roman" w:cs="Times New Roman"/>
          <w:sz w:val="24"/>
          <w:szCs w:val="24"/>
        </w:rPr>
        <w:t>While</w:t>
      </w:r>
      <w:r w:rsidR="000606B5" w:rsidRPr="00754DEC">
        <w:rPr>
          <w:rFonts w:ascii="Times New Roman" w:hAnsi="Times New Roman" w:cs="Times New Roman"/>
          <w:sz w:val="24"/>
          <w:szCs w:val="24"/>
        </w:rPr>
        <w:t xml:space="preserve"> improved health has a protective effect on life satisfaction among older people, </w:t>
      </w:r>
      <w:r w:rsidR="00754DEC" w:rsidRPr="00754DEC">
        <w:rPr>
          <w:rFonts w:ascii="Times New Roman" w:hAnsi="Times New Roman" w:cs="Times New Roman"/>
          <w:sz w:val="24"/>
          <w:szCs w:val="24"/>
        </w:rPr>
        <w:t xml:space="preserve">our results demonstrate that </w:t>
      </w:r>
      <w:r w:rsidR="000606B5" w:rsidRPr="00754DEC">
        <w:rPr>
          <w:rFonts w:ascii="Times New Roman" w:hAnsi="Times New Roman" w:cs="Times New Roman"/>
          <w:sz w:val="24"/>
          <w:szCs w:val="24"/>
        </w:rPr>
        <w:t>working full-time reduces life satisfaction. Helping older people to avoid the necessity of full-time work would substantially improve their wellbeing.</w:t>
      </w:r>
      <w:r w:rsidR="00485C14">
        <w:rPr>
          <w:rFonts w:ascii="Times New Roman" w:hAnsi="Times New Roman" w:cs="Times New Roman"/>
          <w:sz w:val="24"/>
          <w:szCs w:val="24"/>
        </w:rPr>
        <w:t xml:space="preserve"> Full-time work among older people could be replaced by more part-</w:t>
      </w:r>
      <w:r w:rsidR="00485C14" w:rsidRPr="00723C6D">
        <w:rPr>
          <w:rFonts w:ascii="Times New Roman" w:hAnsi="Times New Roman" w:cs="Times New Roman"/>
          <w:sz w:val="24"/>
          <w:szCs w:val="24"/>
        </w:rPr>
        <w:t>time or bridge employmen</w:t>
      </w:r>
      <w:r>
        <w:rPr>
          <w:rFonts w:ascii="Times New Roman" w:hAnsi="Times New Roman" w:cs="Times New Roman"/>
          <w:sz w:val="24"/>
          <w:szCs w:val="24"/>
        </w:rPr>
        <w:t>t (Cahill et al.</w:t>
      </w:r>
      <w:r w:rsidR="00AD228E">
        <w:rPr>
          <w:rFonts w:ascii="Times New Roman" w:hAnsi="Times New Roman" w:cs="Times New Roman"/>
          <w:sz w:val="24"/>
          <w:szCs w:val="24"/>
        </w:rPr>
        <w:t>,</w:t>
      </w:r>
      <w:r w:rsidR="00723C6D" w:rsidRPr="00723C6D">
        <w:rPr>
          <w:rFonts w:ascii="Times New Roman" w:hAnsi="Times New Roman" w:cs="Times New Roman"/>
          <w:sz w:val="24"/>
          <w:szCs w:val="24"/>
        </w:rPr>
        <w:t xml:space="preserve"> 2005), provided appropriate policies are put in place</w:t>
      </w:r>
      <w:r w:rsidR="00723C6D">
        <w:rPr>
          <w:rFonts w:ascii="Times New Roman" w:hAnsi="Times New Roman" w:cs="Times New Roman"/>
          <w:sz w:val="24"/>
          <w:szCs w:val="24"/>
        </w:rPr>
        <w:t xml:space="preserve"> to sup</w:t>
      </w:r>
      <w:r>
        <w:rPr>
          <w:rFonts w:ascii="Times New Roman" w:hAnsi="Times New Roman" w:cs="Times New Roman"/>
          <w:sz w:val="24"/>
          <w:szCs w:val="24"/>
        </w:rPr>
        <w:t xml:space="preserve">port this (Cameron </w:t>
      </w:r>
      <w:r w:rsidR="000A010D">
        <w:rPr>
          <w:rFonts w:ascii="Times New Roman" w:hAnsi="Times New Roman" w:cs="Times New Roman"/>
          <w:sz w:val="24"/>
          <w:szCs w:val="24"/>
        </w:rPr>
        <w:t>and</w:t>
      </w:r>
      <w:r w:rsidR="00AD228E">
        <w:rPr>
          <w:rFonts w:ascii="Times New Roman" w:hAnsi="Times New Roman" w:cs="Times New Roman"/>
          <w:sz w:val="24"/>
          <w:szCs w:val="24"/>
        </w:rPr>
        <w:t xml:space="preserve"> </w:t>
      </w:r>
      <w:proofErr w:type="spellStart"/>
      <w:r>
        <w:rPr>
          <w:rFonts w:ascii="Times New Roman" w:hAnsi="Times New Roman" w:cs="Times New Roman"/>
          <w:sz w:val="24"/>
          <w:szCs w:val="24"/>
        </w:rPr>
        <w:t>Roskruge</w:t>
      </w:r>
      <w:proofErr w:type="spellEnd"/>
      <w:r w:rsidR="00AD228E">
        <w:rPr>
          <w:rFonts w:ascii="Times New Roman" w:hAnsi="Times New Roman" w:cs="Times New Roman"/>
          <w:sz w:val="24"/>
          <w:szCs w:val="24"/>
        </w:rPr>
        <w:t>,</w:t>
      </w:r>
      <w:r w:rsidR="00723C6D">
        <w:rPr>
          <w:rFonts w:ascii="Times New Roman" w:hAnsi="Times New Roman" w:cs="Times New Roman"/>
          <w:sz w:val="24"/>
          <w:szCs w:val="24"/>
        </w:rPr>
        <w:t xml:space="preserve"> 2014a). Managing the transition from full-time employed to full retirement will be especially important for more educated older people, so opportunities for mentoring, job sharing or phased retirement will be especially important for this group.</w:t>
      </w:r>
    </w:p>
    <w:p w14:paraId="74EFAB9D" w14:textId="77777777" w:rsidR="00774C23" w:rsidRDefault="00774C23" w:rsidP="00981453">
      <w:pPr>
        <w:tabs>
          <w:tab w:val="left" w:pos="426"/>
        </w:tabs>
        <w:spacing w:after="0" w:line="288" w:lineRule="auto"/>
        <w:jc w:val="both"/>
        <w:rPr>
          <w:rFonts w:ascii="Times New Roman" w:hAnsi="Times New Roman" w:cs="Times New Roman"/>
          <w:sz w:val="24"/>
          <w:szCs w:val="24"/>
        </w:rPr>
      </w:pPr>
    </w:p>
    <w:p w14:paraId="3F5809B1" w14:textId="77777777" w:rsidR="00C7118A"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23C6D">
        <w:rPr>
          <w:rFonts w:ascii="Times New Roman" w:hAnsi="Times New Roman" w:cs="Times New Roman"/>
          <w:sz w:val="24"/>
          <w:szCs w:val="24"/>
        </w:rPr>
        <w:t xml:space="preserve">Finally, the results reported in this paper have a number of limitations and suggests a number of future avenues for further research. Our results are based on pooled cross-sectional data which doesn’t fully take account of changes in retirement attitudes, aspirations, or experience between different cohorts. Longitudinal data that follows individuals over time as they make the transition from full-time employment to retirement at or around the age of eligibility for NZS would greatly improve our ability to understand whether labour force participation </w:t>
      </w:r>
      <w:r w:rsidR="00723C6D" w:rsidRPr="00AB791F">
        <w:rPr>
          <w:rFonts w:ascii="Times New Roman" w:hAnsi="Times New Roman" w:cs="Times New Roman"/>
          <w:sz w:val="24"/>
          <w:szCs w:val="24"/>
        </w:rPr>
        <w:t>causes</w:t>
      </w:r>
      <w:r w:rsidR="00723C6D">
        <w:rPr>
          <w:rFonts w:ascii="Times New Roman" w:hAnsi="Times New Roman" w:cs="Times New Roman"/>
          <w:i/>
          <w:sz w:val="24"/>
          <w:szCs w:val="24"/>
        </w:rPr>
        <w:t xml:space="preserve"> </w:t>
      </w:r>
      <w:r w:rsidR="00723C6D">
        <w:rPr>
          <w:rFonts w:ascii="Times New Roman" w:hAnsi="Times New Roman" w:cs="Times New Roman"/>
          <w:sz w:val="24"/>
          <w:szCs w:val="24"/>
        </w:rPr>
        <w:t xml:space="preserve">lower life satisfaction. </w:t>
      </w:r>
    </w:p>
    <w:p w14:paraId="4477EFD3" w14:textId="77777777" w:rsidR="00C7118A" w:rsidRDefault="00C7118A" w:rsidP="00981453">
      <w:pPr>
        <w:tabs>
          <w:tab w:val="left" w:pos="426"/>
        </w:tabs>
        <w:spacing w:after="0" w:line="288" w:lineRule="auto"/>
        <w:jc w:val="both"/>
        <w:rPr>
          <w:rFonts w:ascii="Times New Roman" w:hAnsi="Times New Roman" w:cs="Times New Roman"/>
          <w:sz w:val="24"/>
          <w:szCs w:val="24"/>
        </w:rPr>
      </w:pPr>
    </w:p>
    <w:p w14:paraId="77EF5A6F" w14:textId="48384FE9" w:rsidR="00723C6D" w:rsidRDefault="00C7118A"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723C6D">
        <w:rPr>
          <w:rFonts w:ascii="Times New Roman" w:hAnsi="Times New Roman" w:cs="Times New Roman"/>
          <w:sz w:val="24"/>
          <w:szCs w:val="24"/>
        </w:rPr>
        <w:t xml:space="preserve">We have used gender as an instrument for labour force participation, </w:t>
      </w:r>
      <w:r w:rsidR="00AB791F">
        <w:rPr>
          <w:rFonts w:ascii="Times New Roman" w:hAnsi="Times New Roman" w:cs="Times New Roman"/>
          <w:sz w:val="24"/>
          <w:szCs w:val="24"/>
        </w:rPr>
        <w:t xml:space="preserve">which may be arguable. However as we have shown, gender has no </w:t>
      </w:r>
      <w:r w:rsidR="00AB791F">
        <w:rPr>
          <w:rFonts w:ascii="Times New Roman" w:hAnsi="Times New Roman" w:cs="Times New Roman"/>
          <w:i/>
          <w:sz w:val="24"/>
          <w:szCs w:val="24"/>
        </w:rPr>
        <w:t>ceteris paribus</w:t>
      </w:r>
      <w:r w:rsidR="00AB791F">
        <w:rPr>
          <w:rFonts w:ascii="Times New Roman" w:hAnsi="Times New Roman" w:cs="Times New Roman"/>
          <w:sz w:val="24"/>
          <w:szCs w:val="24"/>
        </w:rPr>
        <w:t xml:space="preserve"> direct relationship with life satisfaction in our sample</w:t>
      </w:r>
      <w:r w:rsidR="00723C6D">
        <w:rPr>
          <w:rFonts w:ascii="Times New Roman" w:hAnsi="Times New Roman" w:cs="Times New Roman"/>
          <w:sz w:val="24"/>
          <w:szCs w:val="24"/>
        </w:rPr>
        <w:t>. Finally, our results were based on data from New Zealand and may not be generalizable to other contexts. Future research should take advantage of longitudinal or panel data such as the Australian HILDA survey,</w:t>
      </w:r>
      <w:r w:rsidR="00AB791F">
        <w:rPr>
          <w:rFonts w:ascii="Times New Roman" w:hAnsi="Times New Roman" w:cs="Times New Roman"/>
          <w:sz w:val="24"/>
          <w:szCs w:val="24"/>
        </w:rPr>
        <w:t xml:space="preserve"> of data from the Health and Retirement Study family of surveys,</w:t>
      </w:r>
      <w:r w:rsidR="00723C6D">
        <w:rPr>
          <w:rFonts w:ascii="Times New Roman" w:hAnsi="Times New Roman" w:cs="Times New Roman"/>
          <w:sz w:val="24"/>
          <w:szCs w:val="24"/>
        </w:rPr>
        <w:t xml:space="preserve"> and qualitative research on the transition from full-time work to retirement would help </w:t>
      </w:r>
      <w:r w:rsidR="00723C6D" w:rsidRPr="005D46BE">
        <w:rPr>
          <w:rFonts w:ascii="Times New Roman" w:hAnsi="Times New Roman" w:cs="Times New Roman"/>
          <w:sz w:val="24"/>
          <w:szCs w:val="24"/>
        </w:rPr>
        <w:t>understand how this transition affects life satisfaction.</w:t>
      </w:r>
    </w:p>
    <w:p w14:paraId="2B80A6C1" w14:textId="77777777" w:rsidR="00774C23" w:rsidRPr="005D46BE" w:rsidRDefault="00774C23" w:rsidP="00981453">
      <w:pPr>
        <w:tabs>
          <w:tab w:val="left" w:pos="426"/>
        </w:tabs>
        <w:spacing w:after="0" w:line="288" w:lineRule="auto"/>
        <w:jc w:val="both"/>
        <w:rPr>
          <w:rFonts w:ascii="Times New Roman" w:hAnsi="Times New Roman" w:cs="Times New Roman"/>
          <w:sz w:val="24"/>
          <w:szCs w:val="24"/>
        </w:rPr>
      </w:pPr>
    </w:p>
    <w:p w14:paraId="346D4DB6" w14:textId="018A1621" w:rsidR="005D46BE" w:rsidRDefault="00774C23" w:rsidP="00981453">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0606B5" w:rsidRPr="005D46BE">
        <w:rPr>
          <w:rFonts w:ascii="Times New Roman" w:hAnsi="Times New Roman" w:cs="Times New Roman"/>
          <w:sz w:val="24"/>
          <w:szCs w:val="24"/>
        </w:rPr>
        <w:t>The population</w:t>
      </w:r>
      <w:r w:rsidR="00723C6D" w:rsidRPr="005D46BE">
        <w:rPr>
          <w:rFonts w:ascii="Times New Roman" w:hAnsi="Times New Roman" w:cs="Times New Roman"/>
          <w:sz w:val="24"/>
          <w:szCs w:val="24"/>
        </w:rPr>
        <w:t>s of developed countries</w:t>
      </w:r>
      <w:r w:rsidR="000606B5" w:rsidRPr="005D46BE">
        <w:rPr>
          <w:rFonts w:ascii="Times New Roman" w:hAnsi="Times New Roman" w:cs="Times New Roman"/>
          <w:sz w:val="24"/>
          <w:szCs w:val="24"/>
        </w:rPr>
        <w:t xml:space="preserve"> </w:t>
      </w:r>
      <w:r w:rsidR="00723C6D" w:rsidRPr="005D46BE">
        <w:rPr>
          <w:rFonts w:ascii="Times New Roman" w:hAnsi="Times New Roman" w:cs="Times New Roman"/>
          <w:sz w:val="24"/>
          <w:szCs w:val="24"/>
        </w:rPr>
        <w:t>are</w:t>
      </w:r>
      <w:r w:rsidR="000606B5" w:rsidRPr="005D46BE">
        <w:rPr>
          <w:rFonts w:ascii="Times New Roman" w:hAnsi="Times New Roman" w:cs="Times New Roman"/>
          <w:sz w:val="24"/>
          <w:szCs w:val="24"/>
        </w:rPr>
        <w:t xml:space="preserve"> ageing rapidly, and larger numbers of people are reaching </w:t>
      </w:r>
      <w:r w:rsidR="005D46BE" w:rsidRPr="005D46BE">
        <w:rPr>
          <w:rFonts w:ascii="Times New Roman" w:hAnsi="Times New Roman" w:cs="Times New Roman"/>
          <w:sz w:val="24"/>
          <w:szCs w:val="24"/>
        </w:rPr>
        <w:t>older age</w:t>
      </w:r>
      <w:r w:rsidR="000606B5" w:rsidRPr="005D46BE">
        <w:rPr>
          <w:rFonts w:ascii="Times New Roman" w:hAnsi="Times New Roman" w:cs="Times New Roman"/>
          <w:sz w:val="24"/>
          <w:szCs w:val="24"/>
        </w:rPr>
        <w:t xml:space="preserve">. </w:t>
      </w:r>
      <w:r w:rsidR="005D46BE" w:rsidRPr="005D46BE">
        <w:rPr>
          <w:rFonts w:ascii="Times New Roman" w:hAnsi="Times New Roman" w:cs="Times New Roman"/>
          <w:sz w:val="24"/>
          <w:szCs w:val="24"/>
        </w:rPr>
        <w:t xml:space="preserve">New Zealand has high labour force participation among older people, but many other developed countries are narrowing this gap. Understanding how life </w:t>
      </w:r>
      <w:r w:rsidR="005D46BE" w:rsidRPr="005D46BE">
        <w:rPr>
          <w:rFonts w:ascii="Times New Roman" w:hAnsi="Times New Roman" w:cs="Times New Roman"/>
          <w:sz w:val="24"/>
          <w:szCs w:val="24"/>
        </w:rPr>
        <w:lastRenderedPageBreak/>
        <w:t>satisfaction among older people is affected by labour force status is important, particularly if the trade-off between work and life satisfaction in this age group is apparent in other populations. Mitigating the impact of work on life satisfaction will be important in the future, and finding a suitable mechanism to assist in the transition from work to retirement is essential.</w:t>
      </w:r>
    </w:p>
    <w:p w14:paraId="297FA590" w14:textId="77777777" w:rsidR="00774C23" w:rsidRPr="005D46BE" w:rsidRDefault="00774C23" w:rsidP="00981453">
      <w:pPr>
        <w:tabs>
          <w:tab w:val="left" w:pos="426"/>
        </w:tabs>
        <w:spacing w:after="0" w:line="288" w:lineRule="auto"/>
        <w:jc w:val="both"/>
        <w:rPr>
          <w:rFonts w:ascii="Times New Roman" w:hAnsi="Times New Roman" w:cs="Times New Roman"/>
          <w:sz w:val="24"/>
          <w:szCs w:val="24"/>
        </w:rPr>
      </w:pPr>
    </w:p>
    <w:p w14:paraId="4824267B" w14:textId="5C9814DF" w:rsidR="004D6A3F" w:rsidRDefault="00F15A8D" w:rsidP="00981453">
      <w:pPr>
        <w:pStyle w:val="Heading2"/>
        <w:tabs>
          <w:tab w:val="left" w:pos="426"/>
        </w:tabs>
        <w:spacing w:before="0" w:line="240" w:lineRule="auto"/>
        <w:jc w:val="both"/>
        <w:rPr>
          <w:rFonts w:asciiTheme="majorBidi" w:hAnsiTheme="majorBidi"/>
          <w:color w:val="auto"/>
          <w:sz w:val="24"/>
          <w:szCs w:val="24"/>
        </w:rPr>
      </w:pPr>
      <w:r w:rsidRPr="006B1E6F">
        <w:rPr>
          <w:rFonts w:asciiTheme="majorBidi" w:hAnsiTheme="majorBidi"/>
          <w:color w:val="auto"/>
          <w:sz w:val="24"/>
          <w:szCs w:val="24"/>
        </w:rPr>
        <w:t>References</w:t>
      </w:r>
    </w:p>
    <w:p w14:paraId="22B447FF" w14:textId="77777777" w:rsidR="00774C23" w:rsidRPr="00774C23" w:rsidRDefault="00774C23" w:rsidP="00774C23">
      <w:pPr>
        <w:pStyle w:val="Bibliography"/>
        <w:tabs>
          <w:tab w:val="left" w:pos="426"/>
        </w:tabs>
        <w:spacing w:line="240" w:lineRule="auto"/>
        <w:ind w:left="425" w:hanging="425"/>
        <w:jc w:val="both"/>
        <w:rPr>
          <w:rFonts w:asciiTheme="majorBidi" w:hAnsiTheme="majorBidi" w:cstheme="majorBidi"/>
          <w:noProof/>
          <w:sz w:val="2"/>
          <w:szCs w:val="2"/>
        </w:rPr>
      </w:pPr>
    </w:p>
    <w:p w14:paraId="2DCE2365"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rPr>
        <w:t xml:space="preserve">Angrist, J.D., and Krueger, A.B. (2001). </w:t>
      </w:r>
      <w:r w:rsidRPr="00774C23">
        <w:rPr>
          <w:rFonts w:asciiTheme="majorBidi" w:hAnsiTheme="majorBidi" w:cstheme="majorBidi"/>
          <w:noProof/>
          <w:lang w:val="en-US"/>
        </w:rPr>
        <w:t xml:space="preserve">Instrumental variables and the search for identification: From supply and demand to natural experiments. </w:t>
      </w:r>
      <w:r w:rsidRPr="00774C23">
        <w:rPr>
          <w:rFonts w:asciiTheme="majorBidi" w:hAnsiTheme="majorBidi" w:cstheme="majorBidi"/>
          <w:i/>
          <w:iCs/>
          <w:noProof/>
          <w:lang w:val="en-US"/>
        </w:rPr>
        <w:t>Journal of Economic Perspectives</w:t>
      </w:r>
      <w:r w:rsidRPr="00774C23">
        <w:rPr>
          <w:rFonts w:asciiTheme="majorBidi" w:hAnsiTheme="majorBidi" w:cstheme="majorBidi"/>
          <w:noProof/>
          <w:lang w:val="en-US"/>
        </w:rPr>
        <w:t>, 15(4), 69-85.</w:t>
      </w:r>
    </w:p>
    <w:p w14:paraId="233B79D6" w14:textId="157E4058" w:rsidR="00F47969" w:rsidRPr="00774C23" w:rsidRDefault="00F47969" w:rsidP="00774C23">
      <w:pPr>
        <w:pStyle w:val="Bibliography"/>
        <w:tabs>
          <w:tab w:val="left" w:pos="426"/>
        </w:tabs>
        <w:spacing w:line="240" w:lineRule="auto"/>
        <w:ind w:left="425" w:hanging="425"/>
        <w:jc w:val="both"/>
        <w:rPr>
          <w:rFonts w:asciiTheme="majorBidi" w:hAnsiTheme="majorBidi" w:cstheme="majorBidi"/>
          <w:noProof/>
        </w:rPr>
      </w:pPr>
      <w:r w:rsidRPr="00774C23">
        <w:rPr>
          <w:rFonts w:asciiTheme="majorBidi" w:hAnsiTheme="majorBidi" w:cstheme="majorBidi"/>
          <w:noProof/>
        </w:rPr>
        <w:t xml:space="preserve">Angrist, J., and Pischke, S. (2008). </w:t>
      </w:r>
      <w:r w:rsidRPr="00774C23">
        <w:rPr>
          <w:rFonts w:asciiTheme="majorBidi" w:hAnsiTheme="majorBidi" w:cstheme="majorBidi"/>
          <w:i/>
          <w:noProof/>
        </w:rPr>
        <w:t>Mostly Harmless Econometrics: An Empiricists’ Companion</w:t>
      </w:r>
      <w:r w:rsidRPr="00774C23">
        <w:rPr>
          <w:rFonts w:asciiTheme="majorBidi" w:hAnsiTheme="majorBidi" w:cstheme="majorBidi"/>
          <w:noProof/>
        </w:rPr>
        <w:t xml:space="preserve">. Princeton, NJ: Princeton University Press. </w:t>
      </w:r>
    </w:p>
    <w:p w14:paraId="58309D80" w14:textId="6149E382"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rPr>
        <w:t xml:space="preserve">Aquino, J.A., Russell, D.W., Cutrona, C.E., and Altmaier, E.M. (1996). </w:t>
      </w:r>
      <w:r w:rsidRPr="00774C23">
        <w:rPr>
          <w:rFonts w:asciiTheme="majorBidi" w:hAnsiTheme="majorBidi" w:cstheme="majorBidi"/>
          <w:noProof/>
          <w:lang w:val="en-US"/>
        </w:rPr>
        <w:t xml:space="preserve">Employment status, social support, and life satisfaction among the elderly. </w:t>
      </w:r>
      <w:r w:rsidRPr="00774C23">
        <w:rPr>
          <w:rFonts w:asciiTheme="majorBidi" w:hAnsiTheme="majorBidi" w:cstheme="majorBidi"/>
          <w:i/>
          <w:iCs/>
          <w:noProof/>
          <w:lang w:val="en-US"/>
        </w:rPr>
        <w:t>Journal of Counseling Psychology</w:t>
      </w:r>
      <w:r w:rsidR="00A41126" w:rsidRPr="00774C23">
        <w:rPr>
          <w:rFonts w:asciiTheme="majorBidi" w:hAnsiTheme="majorBidi" w:cstheme="majorBidi"/>
          <w:i/>
          <w:iCs/>
          <w:noProof/>
          <w:lang w:val="en-US"/>
        </w:rPr>
        <w:t>,</w:t>
      </w:r>
      <w:r w:rsidRPr="00774C23">
        <w:rPr>
          <w:rFonts w:asciiTheme="majorBidi" w:hAnsiTheme="majorBidi" w:cstheme="majorBidi"/>
          <w:noProof/>
          <w:lang w:val="en-US"/>
        </w:rPr>
        <w:t xml:space="preserve"> 43(4), 480.</w:t>
      </w:r>
    </w:p>
    <w:p w14:paraId="5C172019"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rPr>
      </w:pPr>
      <w:r w:rsidRPr="00774C23">
        <w:rPr>
          <w:rFonts w:asciiTheme="majorBidi" w:hAnsiTheme="majorBidi" w:cstheme="majorBidi"/>
          <w:noProof/>
        </w:rPr>
        <w:t xml:space="preserve">Atalay, K., and Barrett, G. (2014). </w:t>
      </w:r>
      <w:r w:rsidRPr="00774C23">
        <w:rPr>
          <w:rFonts w:asciiTheme="majorBidi" w:hAnsiTheme="majorBidi" w:cstheme="majorBidi"/>
          <w:noProof/>
          <w:lang w:val="en-US"/>
        </w:rPr>
        <w:t xml:space="preserve">The causal effect of retirement on health: New evidence from Australian pension reform. </w:t>
      </w:r>
      <w:r w:rsidRPr="00774C23">
        <w:rPr>
          <w:rFonts w:asciiTheme="majorBidi" w:hAnsiTheme="majorBidi" w:cstheme="majorBidi"/>
          <w:i/>
          <w:iCs/>
          <w:noProof/>
        </w:rPr>
        <w:t>Economics Letters</w:t>
      </w:r>
      <w:r w:rsidRPr="00774C23">
        <w:rPr>
          <w:rFonts w:asciiTheme="majorBidi" w:hAnsiTheme="majorBidi" w:cstheme="majorBidi"/>
          <w:noProof/>
        </w:rPr>
        <w:t>, 125(3), 392-395.</w:t>
      </w:r>
    </w:p>
    <w:p w14:paraId="695F2EFC" w14:textId="56F9BA65" w:rsidR="004E3EBA" w:rsidRPr="00774C23" w:rsidRDefault="004E3EBA" w:rsidP="00774C23">
      <w:pPr>
        <w:pStyle w:val="Bibliography"/>
        <w:tabs>
          <w:tab w:val="left" w:pos="426"/>
        </w:tabs>
        <w:spacing w:line="240" w:lineRule="auto"/>
        <w:ind w:left="425" w:hanging="425"/>
        <w:jc w:val="both"/>
        <w:rPr>
          <w:rFonts w:asciiTheme="majorBidi" w:hAnsiTheme="majorBidi" w:cstheme="majorBidi"/>
          <w:noProof/>
          <w:lang w:val="it-IT"/>
        </w:rPr>
      </w:pPr>
      <w:r w:rsidRPr="00774C23">
        <w:rPr>
          <w:rFonts w:asciiTheme="majorBidi" w:hAnsiTheme="majorBidi" w:cstheme="majorBidi"/>
          <w:noProof/>
        </w:rPr>
        <w:t xml:space="preserve">Baum, C.F., Schaffer, M.E., and Stillman, S. (2003). Instrumental variables and GMM:  Estimation and </w:t>
      </w:r>
      <w:r w:rsidR="00E3059F" w:rsidRPr="00774C23">
        <w:rPr>
          <w:rFonts w:asciiTheme="majorBidi" w:hAnsiTheme="majorBidi" w:cstheme="majorBidi"/>
          <w:noProof/>
        </w:rPr>
        <w:t>t</w:t>
      </w:r>
      <w:r w:rsidRPr="00774C23">
        <w:rPr>
          <w:rFonts w:asciiTheme="majorBidi" w:hAnsiTheme="majorBidi" w:cstheme="majorBidi"/>
          <w:noProof/>
        </w:rPr>
        <w:t xml:space="preserve">esting. </w:t>
      </w:r>
      <w:r w:rsidRPr="00774C23">
        <w:rPr>
          <w:rFonts w:asciiTheme="majorBidi" w:hAnsiTheme="majorBidi" w:cstheme="majorBidi"/>
          <w:i/>
          <w:noProof/>
          <w:lang w:val="it-IT"/>
        </w:rPr>
        <w:t>The Stata Journal</w:t>
      </w:r>
      <w:r w:rsidRPr="00774C23">
        <w:rPr>
          <w:rFonts w:asciiTheme="majorBidi" w:hAnsiTheme="majorBidi" w:cstheme="majorBidi"/>
          <w:noProof/>
          <w:lang w:val="it-IT"/>
        </w:rPr>
        <w:t xml:space="preserve"> 3</w:t>
      </w:r>
      <w:r w:rsidR="00E3059F" w:rsidRPr="00774C23">
        <w:rPr>
          <w:rFonts w:asciiTheme="majorBidi" w:hAnsiTheme="majorBidi" w:cstheme="majorBidi"/>
          <w:noProof/>
          <w:lang w:val="it-IT"/>
        </w:rPr>
        <w:t>(</w:t>
      </w:r>
      <w:r w:rsidRPr="00774C23">
        <w:rPr>
          <w:rFonts w:asciiTheme="majorBidi" w:hAnsiTheme="majorBidi" w:cstheme="majorBidi"/>
          <w:noProof/>
          <w:lang w:val="it-IT"/>
        </w:rPr>
        <w:t>1</w:t>
      </w:r>
      <w:r w:rsidR="00E3059F" w:rsidRPr="00774C23">
        <w:rPr>
          <w:rFonts w:asciiTheme="majorBidi" w:hAnsiTheme="majorBidi" w:cstheme="majorBidi"/>
          <w:noProof/>
          <w:lang w:val="it-IT"/>
        </w:rPr>
        <w:t>)</w:t>
      </w:r>
      <w:r w:rsidRPr="00774C23">
        <w:rPr>
          <w:rFonts w:asciiTheme="majorBidi" w:hAnsiTheme="majorBidi" w:cstheme="majorBidi"/>
          <w:noProof/>
          <w:lang w:val="it-IT"/>
        </w:rPr>
        <w:t>, 1-31</w:t>
      </w:r>
      <w:r w:rsidR="00E3059F" w:rsidRPr="00774C23">
        <w:rPr>
          <w:rFonts w:asciiTheme="majorBidi" w:hAnsiTheme="majorBidi" w:cstheme="majorBidi"/>
          <w:noProof/>
          <w:lang w:val="it-IT"/>
        </w:rPr>
        <w:t>.</w:t>
      </w:r>
    </w:p>
    <w:p w14:paraId="7E374ECC" w14:textId="039A7B54"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it-IT"/>
        </w:rPr>
        <w:t xml:space="preserve">Bechetti, L., Ricca, E.G., and Pelloni, A. (2012). </w:t>
      </w:r>
      <w:r w:rsidRPr="00774C23">
        <w:rPr>
          <w:rFonts w:asciiTheme="majorBidi" w:hAnsiTheme="majorBidi" w:cstheme="majorBidi"/>
          <w:noProof/>
          <w:lang w:val="en-US"/>
        </w:rPr>
        <w:t xml:space="preserve">The relationship between social leisure and life satisfaction: Causality and policy implications. </w:t>
      </w:r>
      <w:r w:rsidRPr="00774C23">
        <w:rPr>
          <w:rFonts w:asciiTheme="majorBidi" w:hAnsiTheme="majorBidi" w:cstheme="majorBidi"/>
          <w:i/>
          <w:iCs/>
          <w:noProof/>
          <w:lang w:val="en-US"/>
        </w:rPr>
        <w:t xml:space="preserve">Social Indicators Research </w:t>
      </w:r>
      <w:r w:rsidRPr="00774C23">
        <w:rPr>
          <w:rFonts w:asciiTheme="majorBidi" w:hAnsiTheme="majorBidi" w:cstheme="majorBidi"/>
          <w:noProof/>
          <w:lang w:val="en-US"/>
        </w:rPr>
        <w:t>108(3), 453-490.</w:t>
      </w:r>
    </w:p>
    <w:p w14:paraId="2AD6E1A5" w14:textId="59A48582"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rPr>
        <w:t xml:space="preserve">Bonsang, E., and Klein, T. (2012). </w:t>
      </w:r>
      <w:r w:rsidRPr="00774C23">
        <w:rPr>
          <w:rFonts w:asciiTheme="majorBidi" w:hAnsiTheme="majorBidi" w:cstheme="majorBidi"/>
          <w:noProof/>
          <w:lang w:val="en-US"/>
        </w:rPr>
        <w:t xml:space="preserve">Retirement and subjective well-being. </w:t>
      </w:r>
      <w:r w:rsidRPr="00774C23">
        <w:rPr>
          <w:rFonts w:asciiTheme="majorBidi" w:hAnsiTheme="majorBidi" w:cstheme="majorBidi"/>
          <w:i/>
          <w:iCs/>
          <w:noProof/>
          <w:lang w:val="en-US"/>
        </w:rPr>
        <w:t xml:space="preserve">Journal of Economic Behavior </w:t>
      </w:r>
      <w:r w:rsidR="000A010D">
        <w:rPr>
          <w:rFonts w:asciiTheme="majorBidi" w:hAnsiTheme="majorBidi" w:cstheme="majorBidi"/>
          <w:i/>
          <w:iCs/>
          <w:noProof/>
          <w:lang w:val="en-US"/>
        </w:rPr>
        <w:t>and</w:t>
      </w:r>
      <w:r w:rsidRPr="00774C23">
        <w:rPr>
          <w:rFonts w:asciiTheme="majorBidi" w:hAnsiTheme="majorBidi" w:cstheme="majorBidi"/>
          <w:i/>
          <w:iCs/>
          <w:noProof/>
          <w:lang w:val="en-US"/>
        </w:rPr>
        <w:t xml:space="preserve"> Organization</w:t>
      </w:r>
      <w:r w:rsidR="00A41126" w:rsidRPr="00774C23">
        <w:rPr>
          <w:rFonts w:asciiTheme="majorBidi" w:hAnsiTheme="majorBidi" w:cstheme="majorBidi"/>
          <w:i/>
          <w:iCs/>
          <w:noProof/>
          <w:lang w:val="en-US"/>
        </w:rPr>
        <w:t>,</w:t>
      </w:r>
      <w:r w:rsidRPr="00774C23">
        <w:rPr>
          <w:rFonts w:asciiTheme="majorBidi" w:hAnsiTheme="majorBidi" w:cstheme="majorBidi"/>
          <w:noProof/>
          <w:lang w:val="en-US"/>
        </w:rPr>
        <w:t xml:space="preserve"> 83(3), 311-329.</w:t>
      </w:r>
    </w:p>
    <w:p w14:paraId="109B423F"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Cahill, K.E., Giandrea, M.D., and Quinn, J.F. (2005). Are Traditional Retirements a Thing of the Past? New Evidence on Retirement Patterns and Bridge Jobs. </w:t>
      </w:r>
      <w:r w:rsidRPr="00774C23">
        <w:rPr>
          <w:rFonts w:asciiTheme="majorBidi" w:hAnsiTheme="majorBidi" w:cstheme="majorBidi"/>
          <w:i/>
          <w:iCs/>
          <w:noProof/>
          <w:lang w:val="en-US"/>
        </w:rPr>
        <w:t>BLS Working Paper No. 384</w:t>
      </w:r>
      <w:r w:rsidRPr="00774C23">
        <w:rPr>
          <w:rFonts w:asciiTheme="majorBidi" w:hAnsiTheme="majorBidi" w:cstheme="majorBidi"/>
          <w:noProof/>
          <w:lang w:val="en-US"/>
        </w:rPr>
        <w:t>. Washington, D.C.: U.S. Department of Labor, Bureau of Labor Statistics.</w:t>
      </w:r>
    </w:p>
    <w:p w14:paraId="2F49336B"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Callister, P. (2006). Are New Zealanders heading for older age richer, better educated and more likely to be employed? In J. Boston and J.A. Davey (Eds.), </w:t>
      </w:r>
      <w:r w:rsidRPr="00774C23">
        <w:rPr>
          <w:rFonts w:asciiTheme="majorBidi" w:hAnsiTheme="majorBidi" w:cstheme="majorBidi"/>
          <w:i/>
          <w:noProof/>
          <w:lang w:val="en-US"/>
        </w:rPr>
        <w:t xml:space="preserve">Implications of Population Ageing – Opportunities and Risks </w:t>
      </w:r>
      <w:r w:rsidRPr="00774C23">
        <w:rPr>
          <w:rFonts w:asciiTheme="majorBidi" w:hAnsiTheme="majorBidi" w:cstheme="majorBidi"/>
          <w:noProof/>
          <w:lang w:val="en-US"/>
        </w:rPr>
        <w:t>(pp. 51-98). Wellington: Institute of Policy Studies.</w:t>
      </w:r>
    </w:p>
    <w:p w14:paraId="575BB85A" w14:textId="721B71E5" w:rsidR="008C571B" w:rsidRPr="00774C23" w:rsidRDefault="008C571B"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Calvo, E., Haverstick, K., and Sass, S.A. (2009). Gradual retirement, sense of control, and retirees’ happiness. </w:t>
      </w:r>
      <w:r w:rsidRPr="00774C23">
        <w:rPr>
          <w:rFonts w:asciiTheme="majorBidi" w:hAnsiTheme="majorBidi" w:cstheme="majorBidi"/>
          <w:i/>
          <w:noProof/>
          <w:lang w:val="en-US"/>
        </w:rPr>
        <w:t>Research on Aging</w:t>
      </w:r>
      <w:r w:rsidRPr="00774C23">
        <w:rPr>
          <w:rFonts w:asciiTheme="majorBidi" w:hAnsiTheme="majorBidi" w:cstheme="majorBidi"/>
          <w:noProof/>
          <w:lang w:val="en-US"/>
        </w:rPr>
        <w:t>, 31, 112-135.</w:t>
      </w:r>
    </w:p>
    <w:p w14:paraId="2646631E"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Cameron, M.P. (2014). </w:t>
      </w:r>
      <w:r w:rsidRPr="00774C23">
        <w:rPr>
          <w:rFonts w:asciiTheme="majorBidi" w:hAnsiTheme="majorBidi" w:cstheme="majorBidi"/>
          <w:i/>
          <w:noProof/>
          <w:lang w:val="en-US"/>
        </w:rPr>
        <w:t xml:space="preserve">Labour force participation among older New Zealanders, 1991-2013. </w:t>
      </w:r>
      <w:r w:rsidRPr="00774C23">
        <w:rPr>
          <w:rFonts w:asciiTheme="majorBidi" w:hAnsiTheme="majorBidi" w:cstheme="majorBidi"/>
          <w:noProof/>
          <w:lang w:val="en-US"/>
        </w:rPr>
        <w:t>Hamilton: Department of Economics, University of Waikato.</w:t>
      </w:r>
    </w:p>
    <w:p w14:paraId="7555482B"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i/>
          <w:noProof/>
          <w:lang w:val="en-US"/>
        </w:rPr>
      </w:pPr>
      <w:r w:rsidRPr="00774C23">
        <w:rPr>
          <w:rFonts w:asciiTheme="majorBidi" w:hAnsiTheme="majorBidi" w:cstheme="majorBidi"/>
          <w:noProof/>
        </w:rPr>
        <w:t xml:space="preserve">Cameron, M.P. and Roskruge, M. (2014b). </w:t>
      </w:r>
      <w:r w:rsidRPr="00774C23">
        <w:rPr>
          <w:rFonts w:asciiTheme="majorBidi" w:hAnsiTheme="majorBidi" w:cstheme="majorBidi"/>
          <w:i/>
          <w:noProof/>
        </w:rPr>
        <w:t>Labour force participation and well-being among older New Zealanders</w:t>
      </w:r>
      <w:r w:rsidRPr="00774C23">
        <w:rPr>
          <w:rFonts w:asciiTheme="majorBidi" w:hAnsiTheme="majorBidi" w:cstheme="majorBidi"/>
          <w:noProof/>
        </w:rPr>
        <w:t>, presented at the 16th Conference on Labour, Employment and Work, Wellington, 27-28 November.</w:t>
      </w:r>
    </w:p>
    <w:p w14:paraId="63BE8464"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rPr>
      </w:pPr>
      <w:r w:rsidRPr="00774C23">
        <w:rPr>
          <w:rFonts w:asciiTheme="majorBidi" w:hAnsiTheme="majorBidi" w:cstheme="majorBidi"/>
          <w:noProof/>
        </w:rPr>
        <w:t xml:space="preserve">Cameron, M.P., and Roskruge, M. (2014a). Labour force participation and wellbeing among older New Zealanders, </w:t>
      </w:r>
      <w:r w:rsidRPr="00774C23">
        <w:rPr>
          <w:rFonts w:asciiTheme="majorBidi" w:hAnsiTheme="majorBidi" w:cstheme="majorBidi"/>
          <w:i/>
          <w:noProof/>
        </w:rPr>
        <w:t>Policy Quarterly</w:t>
      </w:r>
      <w:r w:rsidRPr="00774C23">
        <w:rPr>
          <w:rFonts w:asciiTheme="majorBidi" w:hAnsiTheme="majorBidi" w:cstheme="majorBidi"/>
          <w:noProof/>
        </w:rPr>
        <w:t>, 10(23), 35-41.</w:t>
      </w:r>
    </w:p>
    <w:p w14:paraId="1EE9EA63"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rPr>
      </w:pPr>
      <w:r w:rsidRPr="00774C23">
        <w:rPr>
          <w:rFonts w:asciiTheme="majorBidi" w:hAnsiTheme="majorBidi" w:cstheme="majorBidi"/>
          <w:noProof/>
        </w:rPr>
        <w:t xml:space="preserve">Cameron, M.P., and Waldegrave, C. (2009). Work, retirement and wellbeing among older New Zealanders. In Koopman-Boyden, P., and Waldegrave, C., (eds.), </w:t>
      </w:r>
      <w:r w:rsidRPr="00774C23">
        <w:rPr>
          <w:rFonts w:asciiTheme="majorBidi" w:hAnsiTheme="majorBidi" w:cstheme="majorBidi"/>
          <w:i/>
          <w:iCs/>
          <w:noProof/>
        </w:rPr>
        <w:t>Enhancing Wellbeing in an Ageing Society – 65-84 Year Old New Zealanders in 2007</w:t>
      </w:r>
      <w:r w:rsidRPr="00774C23">
        <w:rPr>
          <w:rFonts w:asciiTheme="majorBidi" w:hAnsiTheme="majorBidi" w:cstheme="majorBidi"/>
          <w:noProof/>
        </w:rPr>
        <w:t>, pp. 83-108. Hamilton: The Family Centre Social Policy Research Unit and Population Studies Centre, University of Waikato.</w:t>
      </w:r>
    </w:p>
    <w:p w14:paraId="0ED1ADB0"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rPr>
        <w:lastRenderedPageBreak/>
        <w:t xml:space="preserve">Chang, H. H., and Yen, S. T. (2011). </w:t>
      </w:r>
      <w:r w:rsidRPr="00774C23">
        <w:rPr>
          <w:rFonts w:asciiTheme="majorBidi" w:hAnsiTheme="majorBidi" w:cstheme="majorBidi"/>
          <w:noProof/>
          <w:lang w:val="en-US"/>
        </w:rPr>
        <w:t xml:space="preserve">Full-time, part-time employment and life satisfaction of the elderly. </w:t>
      </w:r>
      <w:r w:rsidRPr="00774C23">
        <w:rPr>
          <w:rFonts w:asciiTheme="majorBidi" w:hAnsiTheme="majorBidi" w:cstheme="majorBidi"/>
          <w:i/>
          <w:iCs/>
          <w:noProof/>
          <w:lang w:val="en-US"/>
        </w:rPr>
        <w:t>Journal of Socio-Economics</w:t>
      </w:r>
      <w:r w:rsidRPr="00774C23">
        <w:rPr>
          <w:rFonts w:asciiTheme="majorBidi" w:hAnsiTheme="majorBidi" w:cstheme="majorBidi"/>
          <w:noProof/>
          <w:lang w:val="en-US"/>
        </w:rPr>
        <w:t>, 40(6), 815-823.</w:t>
      </w:r>
    </w:p>
    <w:p w14:paraId="1D00E4A0"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Cochrane, W., and Cameron, M.P. (2014). </w:t>
      </w:r>
      <w:r w:rsidRPr="00774C23">
        <w:rPr>
          <w:rFonts w:asciiTheme="majorBidi" w:hAnsiTheme="majorBidi" w:cstheme="majorBidi"/>
          <w:i/>
          <w:noProof/>
          <w:lang w:val="en-US"/>
        </w:rPr>
        <w:t>The impact of alternative labour force participation rate assumptions on labour force projections</w:t>
      </w:r>
      <w:r w:rsidRPr="00774C23">
        <w:rPr>
          <w:rFonts w:asciiTheme="majorBidi" w:hAnsiTheme="majorBidi" w:cstheme="majorBidi"/>
          <w:noProof/>
          <w:lang w:val="en-US"/>
        </w:rPr>
        <w:t>, presented at the 16th Conference on Labour, Employment and Work, Wellington, 27-28 November.</w:t>
      </w:r>
    </w:p>
    <w:p w14:paraId="464F7DA1"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s-ES"/>
        </w:rPr>
        <w:t xml:space="preserve">Coe, N.B., and Zamarro, G. (2011). </w:t>
      </w:r>
      <w:r w:rsidRPr="00774C23">
        <w:rPr>
          <w:rFonts w:asciiTheme="majorBidi" w:hAnsiTheme="majorBidi" w:cstheme="majorBidi"/>
          <w:noProof/>
          <w:lang w:val="en-US"/>
        </w:rPr>
        <w:t xml:space="preserve">Retirement effects on health in Europe. </w:t>
      </w:r>
      <w:r w:rsidRPr="00774C23">
        <w:rPr>
          <w:rFonts w:asciiTheme="majorBidi" w:hAnsiTheme="majorBidi" w:cstheme="majorBidi"/>
          <w:i/>
          <w:iCs/>
          <w:noProof/>
          <w:lang w:val="en-US"/>
        </w:rPr>
        <w:t>Journal of Health Economics</w:t>
      </w:r>
      <w:r w:rsidRPr="00774C23">
        <w:rPr>
          <w:rFonts w:asciiTheme="majorBidi" w:hAnsiTheme="majorBidi" w:cstheme="majorBidi"/>
          <w:noProof/>
          <w:lang w:val="en-US"/>
        </w:rPr>
        <w:t>, 30(1), 77-86.</w:t>
      </w:r>
    </w:p>
    <w:p w14:paraId="72936978"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Currie, J., and Madrian, B. (1999</w:t>
      </w:r>
      <w:r w:rsidRPr="00774C23">
        <w:rPr>
          <w:rFonts w:asciiTheme="majorBidi" w:hAnsiTheme="majorBidi" w:cstheme="majorBidi"/>
          <w:i/>
          <w:iCs/>
          <w:noProof/>
          <w:lang w:val="en-US"/>
        </w:rPr>
        <w:t xml:space="preserve">). </w:t>
      </w:r>
      <w:r w:rsidRPr="00774C23">
        <w:rPr>
          <w:rFonts w:asciiTheme="majorBidi" w:hAnsiTheme="majorBidi" w:cstheme="majorBidi"/>
          <w:noProof/>
          <w:lang w:val="en-US"/>
        </w:rPr>
        <w:t>Health, health insurance and the labor market. In Ashenfelter, O., and Card, D., (eds.),</w:t>
      </w:r>
      <w:r w:rsidRPr="00774C23">
        <w:rPr>
          <w:rFonts w:asciiTheme="majorBidi" w:hAnsiTheme="majorBidi" w:cstheme="majorBidi"/>
          <w:i/>
          <w:iCs/>
          <w:noProof/>
          <w:lang w:val="en-US"/>
        </w:rPr>
        <w:t xml:space="preserve"> Handbook of Labor Economics</w:t>
      </w:r>
      <w:r w:rsidRPr="00774C23">
        <w:rPr>
          <w:rFonts w:asciiTheme="majorBidi" w:hAnsiTheme="majorBidi" w:cstheme="majorBidi"/>
          <w:noProof/>
          <w:lang w:val="en-US"/>
        </w:rPr>
        <w:t>, pp. 3310-3415. Amsterdam: Elsevier.</w:t>
      </w:r>
    </w:p>
    <w:p w14:paraId="2E1C78DD" w14:textId="77777777" w:rsidR="00A2042A" w:rsidRPr="00774C23" w:rsidRDefault="00A2042A" w:rsidP="00774C23">
      <w:pPr>
        <w:pStyle w:val="Bibliography"/>
        <w:tabs>
          <w:tab w:val="left" w:pos="426"/>
        </w:tabs>
        <w:spacing w:line="240" w:lineRule="auto"/>
        <w:ind w:left="425" w:hanging="425"/>
        <w:jc w:val="both"/>
        <w:rPr>
          <w:rStyle w:val="SubtleReference"/>
          <w:sz w:val="22"/>
          <w:szCs w:val="22"/>
        </w:rPr>
      </w:pPr>
      <w:r w:rsidRPr="00774C23">
        <w:rPr>
          <w:rStyle w:val="SubtleReference"/>
          <w:sz w:val="22"/>
          <w:szCs w:val="22"/>
        </w:rPr>
        <w:t xml:space="preserve">Gorry, A., Gorry, D., and Slavov, S. (2015). </w:t>
      </w:r>
      <w:r w:rsidRPr="00774C23">
        <w:rPr>
          <w:rStyle w:val="SubtleReference"/>
          <w:iCs/>
          <w:sz w:val="22"/>
          <w:szCs w:val="22"/>
        </w:rPr>
        <w:t xml:space="preserve">Does retirement improve health and life satisfaction? </w:t>
      </w:r>
      <w:r w:rsidRPr="00774C23">
        <w:rPr>
          <w:rStyle w:val="SubtleReference"/>
          <w:i/>
          <w:iCs/>
          <w:sz w:val="22"/>
          <w:szCs w:val="22"/>
        </w:rPr>
        <w:t>NBER Working Paper 21326.</w:t>
      </w:r>
      <w:r w:rsidRPr="00774C23">
        <w:rPr>
          <w:rStyle w:val="SubtleReference"/>
          <w:sz w:val="22"/>
          <w:szCs w:val="22"/>
        </w:rPr>
        <w:t xml:space="preserve"> Cambridge, Ma.: National Bureau of Economic Research.</w:t>
      </w:r>
    </w:p>
    <w:p w14:paraId="15557CDF" w14:textId="77777777" w:rsidR="00A2042A" w:rsidRPr="00774C23" w:rsidRDefault="00A2042A" w:rsidP="00774C23">
      <w:pPr>
        <w:tabs>
          <w:tab w:val="left" w:pos="426"/>
        </w:tabs>
        <w:spacing w:line="240" w:lineRule="auto"/>
        <w:ind w:left="425" w:hanging="425"/>
        <w:jc w:val="both"/>
        <w:rPr>
          <w:rStyle w:val="SubtleReference"/>
          <w:sz w:val="22"/>
          <w:szCs w:val="22"/>
        </w:rPr>
      </w:pPr>
      <w:r w:rsidRPr="00774C23">
        <w:rPr>
          <w:rStyle w:val="SubtleReference"/>
          <w:sz w:val="22"/>
          <w:szCs w:val="22"/>
        </w:rPr>
        <w:t>Helliwell, J.F. (2006). Well-being, social capital and public policy: What's new? </w:t>
      </w:r>
      <w:r w:rsidRPr="00774C23">
        <w:rPr>
          <w:rStyle w:val="SubtleReference"/>
          <w:i/>
          <w:iCs/>
          <w:sz w:val="22"/>
          <w:szCs w:val="22"/>
        </w:rPr>
        <w:t>The Economic Journal</w:t>
      </w:r>
      <w:r w:rsidRPr="00774C23">
        <w:rPr>
          <w:rStyle w:val="SubtleReference"/>
          <w:sz w:val="22"/>
          <w:szCs w:val="22"/>
        </w:rPr>
        <w:t>, 116(510), C34-C45.</w:t>
      </w:r>
    </w:p>
    <w:p w14:paraId="2A79185F" w14:textId="77777777" w:rsidR="008C571B" w:rsidRPr="00774C23" w:rsidRDefault="008C571B"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Hershey, D.A, and Henkens, K. (2013). Impact of different types of retirement transitions on perceived satisfaction with life. </w:t>
      </w:r>
      <w:r w:rsidRPr="00774C23">
        <w:rPr>
          <w:rFonts w:asciiTheme="majorBidi" w:hAnsiTheme="majorBidi" w:cstheme="majorBidi"/>
          <w:i/>
          <w:iCs/>
          <w:noProof/>
          <w:lang w:val="en-US"/>
        </w:rPr>
        <w:t>The Gerontologist</w:t>
      </w:r>
      <w:r w:rsidRPr="00774C23">
        <w:rPr>
          <w:rFonts w:asciiTheme="majorBidi" w:hAnsiTheme="majorBidi" w:cstheme="majorBidi"/>
          <w:noProof/>
          <w:lang w:val="en-US"/>
        </w:rPr>
        <w:t>, 54(2), 232-244.</w:t>
      </w:r>
    </w:p>
    <w:p w14:paraId="0BA42E89"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Herzog, A., House, J.S., and Morgan, J.N. (1991). Relation of work and retirement to health and well-being in older age. </w:t>
      </w:r>
      <w:r w:rsidRPr="00774C23">
        <w:rPr>
          <w:rFonts w:asciiTheme="majorBidi" w:hAnsiTheme="majorBidi" w:cstheme="majorBidi"/>
          <w:i/>
          <w:iCs/>
          <w:noProof/>
          <w:lang w:val="en-US"/>
        </w:rPr>
        <w:t>Psychology and Aging</w:t>
      </w:r>
      <w:r w:rsidRPr="00774C23">
        <w:rPr>
          <w:rFonts w:asciiTheme="majorBidi" w:hAnsiTheme="majorBidi" w:cstheme="majorBidi"/>
          <w:noProof/>
          <w:lang w:val="en-US"/>
        </w:rPr>
        <w:t>, 6(2), 202-211.</w:t>
      </w:r>
    </w:p>
    <w:p w14:paraId="349A0819" w14:textId="10BB6631"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Honig, M., and Hanoch, G. (1985). Partial retirement as a separate mode of retirement behavior. </w:t>
      </w:r>
      <w:r w:rsidRPr="00774C23">
        <w:rPr>
          <w:rFonts w:asciiTheme="majorBidi" w:hAnsiTheme="majorBidi" w:cstheme="majorBidi"/>
          <w:i/>
          <w:iCs/>
          <w:noProof/>
          <w:lang w:val="en-US"/>
        </w:rPr>
        <w:t>Journal of Human Resources</w:t>
      </w:r>
      <w:r w:rsidR="00A41126" w:rsidRPr="00774C23">
        <w:rPr>
          <w:rFonts w:asciiTheme="majorBidi" w:hAnsiTheme="majorBidi" w:cstheme="majorBidi"/>
          <w:i/>
          <w:iCs/>
          <w:noProof/>
          <w:lang w:val="en-US"/>
        </w:rPr>
        <w:t>,</w:t>
      </w:r>
      <w:r w:rsidRPr="00774C23">
        <w:rPr>
          <w:rFonts w:asciiTheme="majorBidi" w:hAnsiTheme="majorBidi" w:cstheme="majorBidi"/>
          <w:i/>
          <w:iCs/>
          <w:noProof/>
          <w:lang w:val="en-US"/>
        </w:rPr>
        <w:t xml:space="preserve"> </w:t>
      </w:r>
      <w:r w:rsidRPr="00774C23">
        <w:rPr>
          <w:rFonts w:asciiTheme="majorBidi" w:hAnsiTheme="majorBidi" w:cstheme="majorBidi"/>
          <w:noProof/>
          <w:lang w:val="en-US"/>
        </w:rPr>
        <w:t>20(1), 21-46.</w:t>
      </w:r>
    </w:p>
    <w:p w14:paraId="1435881E"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Horner, E.M. (2014). Subjective well-being and retirement: Analysis and policy recommendations. </w:t>
      </w:r>
      <w:r w:rsidRPr="00774C23">
        <w:rPr>
          <w:rFonts w:asciiTheme="majorBidi" w:hAnsiTheme="majorBidi" w:cstheme="majorBidi"/>
          <w:i/>
          <w:iCs/>
          <w:noProof/>
          <w:lang w:val="en-US"/>
        </w:rPr>
        <w:t>Journal of Happiness Studies</w:t>
      </w:r>
      <w:r w:rsidRPr="00774C23">
        <w:rPr>
          <w:rFonts w:asciiTheme="majorBidi" w:hAnsiTheme="majorBidi" w:cstheme="majorBidi"/>
          <w:noProof/>
          <w:lang w:val="en-US"/>
        </w:rPr>
        <w:t xml:space="preserve"> 15(1), 125-144.</w:t>
      </w:r>
    </w:p>
    <w:p w14:paraId="64B3A2FD" w14:textId="004C329B"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Hotopp, U. (2007). The Ageing Workforce: A Health Issue? </w:t>
      </w:r>
      <w:r w:rsidRPr="00774C23">
        <w:rPr>
          <w:rFonts w:asciiTheme="majorBidi" w:hAnsiTheme="majorBidi" w:cstheme="majorBidi"/>
          <w:i/>
          <w:iCs/>
          <w:noProof/>
          <w:lang w:val="en-US"/>
        </w:rPr>
        <w:t>Economic and Labour Market Review</w:t>
      </w:r>
      <w:r w:rsidR="00A41126" w:rsidRPr="00774C23">
        <w:rPr>
          <w:rFonts w:asciiTheme="majorBidi" w:hAnsiTheme="majorBidi" w:cstheme="majorBidi"/>
          <w:i/>
          <w:iCs/>
          <w:noProof/>
          <w:lang w:val="en-US"/>
        </w:rPr>
        <w:t>,</w:t>
      </w:r>
      <w:r w:rsidRPr="00774C23">
        <w:rPr>
          <w:rFonts w:asciiTheme="majorBidi" w:hAnsiTheme="majorBidi" w:cstheme="majorBidi"/>
          <w:i/>
          <w:iCs/>
          <w:noProof/>
          <w:lang w:val="en-US"/>
        </w:rPr>
        <w:t xml:space="preserve"> </w:t>
      </w:r>
      <w:r w:rsidRPr="00774C23">
        <w:rPr>
          <w:rFonts w:asciiTheme="majorBidi" w:hAnsiTheme="majorBidi" w:cstheme="majorBidi"/>
          <w:noProof/>
          <w:lang w:val="en-US"/>
        </w:rPr>
        <w:t>1(2), 30-35.</w:t>
      </w:r>
    </w:p>
    <w:p w14:paraId="5A80B7AC"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rPr>
        <w:t xml:space="preserve">Kim, S., and Feldman, D. C. (2000). </w:t>
      </w:r>
      <w:r w:rsidRPr="00774C23">
        <w:rPr>
          <w:rFonts w:asciiTheme="majorBidi" w:hAnsiTheme="majorBidi" w:cstheme="majorBidi"/>
          <w:noProof/>
          <w:lang w:val="en-US"/>
        </w:rPr>
        <w:t xml:space="preserve">Working in retirement: The antecedents of bridge employment and its consequences for quality of life in retirement. </w:t>
      </w:r>
      <w:r w:rsidRPr="00774C23">
        <w:rPr>
          <w:rFonts w:asciiTheme="majorBidi" w:hAnsiTheme="majorBidi" w:cstheme="majorBidi"/>
          <w:i/>
          <w:iCs/>
          <w:noProof/>
          <w:lang w:val="en-US"/>
        </w:rPr>
        <w:t>Academy of Management Journal</w:t>
      </w:r>
      <w:r w:rsidRPr="00774C23">
        <w:rPr>
          <w:rFonts w:asciiTheme="majorBidi" w:hAnsiTheme="majorBidi" w:cstheme="majorBidi"/>
          <w:noProof/>
          <w:lang w:val="en-US"/>
        </w:rPr>
        <w:t>, 43(6), 1195-1210.</w:t>
      </w:r>
    </w:p>
    <w:p w14:paraId="171333AE"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rPr>
        <w:t xml:space="preserve">Kohli, M., and Rein, M. (1991). </w:t>
      </w:r>
      <w:r w:rsidRPr="00774C23">
        <w:rPr>
          <w:rFonts w:asciiTheme="majorBidi" w:hAnsiTheme="majorBidi" w:cstheme="majorBidi"/>
          <w:noProof/>
          <w:lang w:val="en-US"/>
        </w:rPr>
        <w:t xml:space="preserve">The changing balance of work and retirement. In Kohli, M., Rein, M., Guillemard, A-M., and van Gunsteren, H. (eds.) </w:t>
      </w:r>
      <w:r w:rsidRPr="00774C23">
        <w:rPr>
          <w:rFonts w:asciiTheme="majorBidi" w:hAnsiTheme="majorBidi" w:cstheme="majorBidi"/>
          <w:i/>
          <w:noProof/>
          <w:lang w:val="en-US"/>
        </w:rPr>
        <w:t>Time for Retirement: Comparative studies of early exit from the labour force</w:t>
      </w:r>
      <w:r w:rsidRPr="00774C23">
        <w:rPr>
          <w:rFonts w:asciiTheme="majorBidi" w:hAnsiTheme="majorBidi" w:cstheme="majorBidi"/>
          <w:noProof/>
          <w:lang w:val="en-US"/>
        </w:rPr>
        <w:t>, pp.1-35. New York: Cambridge University Press.</w:t>
      </w:r>
    </w:p>
    <w:p w14:paraId="684F470A" w14:textId="5F836356" w:rsidR="00F046AA" w:rsidRPr="00774C23" w:rsidRDefault="00F046AA" w:rsidP="00774C23">
      <w:pPr>
        <w:pStyle w:val="Bibliography"/>
        <w:tabs>
          <w:tab w:val="left" w:pos="426"/>
        </w:tabs>
        <w:spacing w:line="240" w:lineRule="auto"/>
        <w:ind w:left="425" w:hanging="425"/>
        <w:jc w:val="both"/>
        <w:rPr>
          <w:rFonts w:asciiTheme="majorBidi" w:hAnsiTheme="majorBidi" w:cstheme="majorBidi"/>
          <w:noProof/>
        </w:rPr>
      </w:pPr>
      <w:r w:rsidRPr="00774C23">
        <w:rPr>
          <w:rFonts w:asciiTheme="majorBidi" w:hAnsiTheme="majorBidi" w:cstheme="majorBidi"/>
          <w:noProof/>
        </w:rPr>
        <w:t xml:space="preserve">Koopman-Boyden, P. (2009). Education - The educational background of today’s 65-84 year-olds and wellbeing. In Koopman-Boyden, P., and Waldegrave, C., (eds.), </w:t>
      </w:r>
      <w:r w:rsidRPr="00774C23">
        <w:rPr>
          <w:rFonts w:asciiTheme="majorBidi" w:hAnsiTheme="majorBidi" w:cstheme="majorBidi"/>
          <w:i/>
          <w:iCs/>
          <w:noProof/>
        </w:rPr>
        <w:t>Enhancing Wellbeing in an Ageing Society – 65-84 Year Old New Zealanders in 2007</w:t>
      </w:r>
      <w:r w:rsidRPr="00774C23">
        <w:rPr>
          <w:rFonts w:asciiTheme="majorBidi" w:hAnsiTheme="majorBidi" w:cstheme="majorBidi"/>
          <w:noProof/>
        </w:rPr>
        <w:t>, pp. 51-65. Hamilton: The Family Centre Social Policy Research Unit and Population Studies Centre, University of Waikato.</w:t>
      </w:r>
    </w:p>
    <w:p w14:paraId="56B246CB"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Latif, E. (2011). The impact of retirement on psychological well-being in Canada.</w:t>
      </w:r>
      <w:r w:rsidRPr="00774C23">
        <w:rPr>
          <w:rFonts w:asciiTheme="majorBidi" w:hAnsiTheme="majorBidi" w:cstheme="majorBidi"/>
          <w:i/>
          <w:iCs/>
          <w:noProof/>
          <w:lang w:val="en-US"/>
        </w:rPr>
        <w:t xml:space="preserve"> Journal of Socio-Economics</w:t>
      </w:r>
      <w:r w:rsidRPr="00774C23">
        <w:rPr>
          <w:rFonts w:asciiTheme="majorBidi" w:hAnsiTheme="majorBidi" w:cstheme="majorBidi"/>
          <w:noProof/>
          <w:lang w:val="en-US"/>
        </w:rPr>
        <w:t>, 40(4), 373-380.</w:t>
      </w:r>
    </w:p>
    <w:p w14:paraId="1052B683" w14:textId="063E1EC2"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Longino, C.F., Jr., and Kart, C.S. (1982). Explicating activity theory: A formal replication. </w:t>
      </w:r>
      <w:r w:rsidRPr="00774C23">
        <w:rPr>
          <w:rFonts w:asciiTheme="majorBidi" w:hAnsiTheme="majorBidi" w:cstheme="majorBidi"/>
          <w:i/>
          <w:iCs/>
          <w:noProof/>
          <w:lang w:val="en-US"/>
        </w:rPr>
        <w:t>Journal of Gerontology</w:t>
      </w:r>
      <w:r w:rsidR="00A41126" w:rsidRPr="00774C23">
        <w:rPr>
          <w:rFonts w:asciiTheme="majorBidi" w:hAnsiTheme="majorBidi" w:cstheme="majorBidi"/>
          <w:i/>
          <w:iCs/>
          <w:noProof/>
          <w:lang w:val="en-US"/>
        </w:rPr>
        <w:t>,</w:t>
      </w:r>
      <w:r w:rsidRPr="00774C23">
        <w:rPr>
          <w:rFonts w:asciiTheme="majorBidi" w:hAnsiTheme="majorBidi" w:cstheme="majorBidi"/>
          <w:noProof/>
          <w:lang w:val="en-US"/>
        </w:rPr>
        <w:t xml:space="preserve"> 37, 713–722.</w:t>
      </w:r>
    </w:p>
    <w:p w14:paraId="50306E1F"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Meara, E.R., Richards, S., and Cutler, D.M. (2008). The gap gets bigger: Changes in mortality and life expectancy, by education, 1981-2000. </w:t>
      </w:r>
      <w:r w:rsidRPr="00774C23">
        <w:rPr>
          <w:rFonts w:asciiTheme="majorBidi" w:hAnsiTheme="majorBidi" w:cstheme="majorBidi"/>
          <w:i/>
          <w:noProof/>
          <w:lang w:val="en-US"/>
        </w:rPr>
        <w:t>Social Determinants</w:t>
      </w:r>
      <w:r w:rsidRPr="00774C23">
        <w:rPr>
          <w:rFonts w:asciiTheme="majorBidi" w:hAnsiTheme="majorBidi" w:cstheme="majorBidi"/>
          <w:noProof/>
          <w:lang w:val="en-US"/>
        </w:rPr>
        <w:t>, 27(2), 350-360.</w:t>
      </w:r>
    </w:p>
    <w:p w14:paraId="6CFD6D61"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Pearl, J. (2000). </w:t>
      </w:r>
      <w:r w:rsidRPr="00774C23">
        <w:rPr>
          <w:rFonts w:asciiTheme="majorBidi" w:hAnsiTheme="majorBidi" w:cstheme="majorBidi"/>
          <w:i/>
          <w:iCs/>
          <w:noProof/>
          <w:lang w:val="en-US"/>
        </w:rPr>
        <w:t>Causality: Models, Reasoning, and Inference</w:t>
      </w:r>
      <w:r w:rsidRPr="00774C23">
        <w:rPr>
          <w:rFonts w:asciiTheme="majorBidi" w:hAnsiTheme="majorBidi" w:cstheme="majorBidi"/>
          <w:noProof/>
          <w:lang w:val="en-US"/>
        </w:rPr>
        <w:t>. New York: Cambridge University Press.</w:t>
      </w:r>
    </w:p>
    <w:p w14:paraId="515A2570"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lastRenderedPageBreak/>
        <w:t xml:space="preserve">Pinquart, M., and Schindler, I. (2007). Changes of life satisfaction in the transition to retirement: A latent-class approach. </w:t>
      </w:r>
      <w:r w:rsidRPr="00774C23">
        <w:rPr>
          <w:rFonts w:asciiTheme="majorBidi" w:hAnsiTheme="majorBidi" w:cstheme="majorBidi"/>
          <w:i/>
          <w:noProof/>
          <w:lang w:val="en-US"/>
        </w:rPr>
        <w:t>Psychology and Aging</w:t>
      </w:r>
      <w:r w:rsidRPr="00774C23">
        <w:rPr>
          <w:rFonts w:asciiTheme="majorBidi" w:hAnsiTheme="majorBidi" w:cstheme="majorBidi"/>
          <w:noProof/>
          <w:lang w:val="en-US"/>
        </w:rPr>
        <w:t>, 22(3), 442-455.</w:t>
      </w:r>
    </w:p>
    <w:p w14:paraId="0A5B15A1" w14:textId="3A191B06"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Pool, I., Amey, B., Cameron, M.P., and van der Pas, S. (2009). Health, wellbeing, and </w:t>
      </w:r>
      <w:r w:rsidR="00B310CD">
        <w:rPr>
          <w:rFonts w:asciiTheme="majorBidi" w:hAnsiTheme="majorBidi" w:cstheme="majorBidi"/>
          <w:noProof/>
          <w:lang w:val="en-US"/>
        </w:rPr>
        <w:t>'</w:t>
      </w:r>
      <w:r w:rsidRPr="00774C23">
        <w:rPr>
          <w:rFonts w:asciiTheme="majorBidi" w:hAnsiTheme="majorBidi" w:cstheme="majorBidi"/>
          <w:noProof/>
          <w:lang w:val="en-US"/>
        </w:rPr>
        <w:t>contentment</w:t>
      </w:r>
      <w:r w:rsidR="00B310CD">
        <w:rPr>
          <w:rFonts w:asciiTheme="majorBidi" w:hAnsiTheme="majorBidi" w:cstheme="majorBidi"/>
          <w:noProof/>
          <w:lang w:val="en-US"/>
        </w:rPr>
        <w:t>'</w:t>
      </w:r>
      <w:r w:rsidRPr="00774C23">
        <w:rPr>
          <w:rFonts w:asciiTheme="majorBidi" w:hAnsiTheme="majorBidi" w:cstheme="majorBidi"/>
          <w:noProof/>
          <w:lang w:val="en-US"/>
        </w:rPr>
        <w:t xml:space="preserve"> among older New Zealanders, in Koopman-Boyden, P., and Waldegrave, C., (eds.), </w:t>
      </w:r>
      <w:r w:rsidRPr="00774C23">
        <w:rPr>
          <w:rFonts w:asciiTheme="majorBidi" w:hAnsiTheme="majorBidi" w:cstheme="majorBidi"/>
          <w:i/>
          <w:iCs/>
          <w:noProof/>
          <w:lang w:val="en-US"/>
        </w:rPr>
        <w:t>Enhancing Wellbeing in an Ageing Society – 65-84 Year Old New Zealanders in 2007</w:t>
      </w:r>
      <w:r w:rsidRPr="00774C23">
        <w:rPr>
          <w:rFonts w:asciiTheme="majorBidi" w:hAnsiTheme="majorBidi" w:cstheme="majorBidi"/>
          <w:noProof/>
          <w:lang w:val="en-US"/>
        </w:rPr>
        <w:t>, pp. 37-49. Hamilton: The Family Centre Social Policy Research Unit and Population Studies Centre, University of Waikato.</w:t>
      </w:r>
    </w:p>
    <w:p w14:paraId="63597018"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de-DE"/>
        </w:rPr>
        <w:t xml:space="preserve">Reitzes, D. C., Mutran, E. J., and Fernandez, M. E. (1996). </w:t>
      </w:r>
      <w:r w:rsidRPr="00774C23">
        <w:rPr>
          <w:rFonts w:asciiTheme="majorBidi" w:hAnsiTheme="majorBidi" w:cstheme="majorBidi"/>
          <w:noProof/>
          <w:lang w:val="en-US"/>
        </w:rPr>
        <w:t xml:space="preserve">Does retirement hurt well-being? Factors influencing self-esteem and depression among retirees and workers. </w:t>
      </w:r>
      <w:r w:rsidRPr="00774C23">
        <w:rPr>
          <w:rFonts w:asciiTheme="majorBidi" w:hAnsiTheme="majorBidi" w:cstheme="majorBidi"/>
          <w:i/>
          <w:iCs/>
          <w:noProof/>
          <w:lang w:val="en-US"/>
        </w:rPr>
        <w:t>The Gerontologist</w:t>
      </w:r>
      <w:r w:rsidRPr="00774C23">
        <w:rPr>
          <w:rFonts w:asciiTheme="majorBidi" w:hAnsiTheme="majorBidi" w:cstheme="majorBidi"/>
          <w:noProof/>
          <w:lang w:val="en-US"/>
        </w:rPr>
        <w:t>, 36(5), 649-656.</w:t>
      </w:r>
    </w:p>
    <w:p w14:paraId="792E21CE" w14:textId="77777777" w:rsidR="00A2042A" w:rsidRPr="00774C23" w:rsidRDefault="00A2042A" w:rsidP="00774C23">
      <w:pPr>
        <w:tabs>
          <w:tab w:val="left" w:pos="426"/>
        </w:tabs>
        <w:spacing w:line="240" w:lineRule="auto"/>
        <w:ind w:left="425" w:hanging="425"/>
        <w:jc w:val="both"/>
        <w:rPr>
          <w:rFonts w:asciiTheme="majorBidi" w:hAnsiTheme="majorBidi" w:cstheme="majorBidi"/>
        </w:rPr>
      </w:pPr>
      <w:r w:rsidRPr="00774C23">
        <w:rPr>
          <w:rFonts w:asciiTheme="majorBidi" w:hAnsiTheme="majorBidi" w:cstheme="majorBidi"/>
        </w:rPr>
        <w:t xml:space="preserve">Ross, C.E., and van </w:t>
      </w:r>
      <w:proofErr w:type="spellStart"/>
      <w:r w:rsidRPr="00774C23">
        <w:rPr>
          <w:rFonts w:asciiTheme="majorBidi" w:hAnsiTheme="majorBidi" w:cstheme="majorBidi"/>
        </w:rPr>
        <w:t>Willigen</w:t>
      </w:r>
      <w:proofErr w:type="spellEnd"/>
      <w:r w:rsidRPr="00774C23">
        <w:rPr>
          <w:rFonts w:asciiTheme="majorBidi" w:hAnsiTheme="majorBidi" w:cstheme="majorBidi"/>
        </w:rPr>
        <w:t xml:space="preserve">, M. (1997). Education and the subjective quality of life. </w:t>
      </w:r>
      <w:r w:rsidRPr="00774C23">
        <w:rPr>
          <w:rFonts w:asciiTheme="majorBidi" w:hAnsiTheme="majorBidi" w:cstheme="majorBidi"/>
          <w:i/>
        </w:rPr>
        <w:t xml:space="preserve">Journal of Health and Social </w:t>
      </w:r>
      <w:proofErr w:type="spellStart"/>
      <w:r w:rsidRPr="00774C23">
        <w:rPr>
          <w:rFonts w:asciiTheme="majorBidi" w:hAnsiTheme="majorBidi" w:cstheme="majorBidi"/>
          <w:i/>
        </w:rPr>
        <w:t>Behavior</w:t>
      </w:r>
      <w:proofErr w:type="spellEnd"/>
      <w:r w:rsidRPr="00774C23">
        <w:rPr>
          <w:rFonts w:asciiTheme="majorBidi" w:hAnsiTheme="majorBidi" w:cstheme="majorBidi"/>
        </w:rPr>
        <w:t xml:space="preserve">, 38(3), 275-297. </w:t>
      </w:r>
    </w:p>
    <w:p w14:paraId="79D3DAE9" w14:textId="77777777" w:rsidR="00A2042A" w:rsidRPr="00774C23" w:rsidRDefault="00A2042A" w:rsidP="00774C23">
      <w:pPr>
        <w:tabs>
          <w:tab w:val="left" w:pos="426"/>
        </w:tabs>
        <w:spacing w:line="240" w:lineRule="auto"/>
        <w:ind w:left="425" w:hanging="425"/>
        <w:jc w:val="both"/>
        <w:rPr>
          <w:rFonts w:asciiTheme="majorBidi" w:hAnsiTheme="majorBidi" w:cstheme="majorBidi"/>
        </w:rPr>
      </w:pPr>
      <w:r w:rsidRPr="00774C23">
        <w:rPr>
          <w:rFonts w:asciiTheme="majorBidi" w:hAnsiTheme="majorBidi" w:cstheme="majorBidi"/>
        </w:rPr>
        <w:t xml:space="preserve">Salmond, C., Crampton, P., and Atkinson, J. (2007). </w:t>
      </w:r>
      <w:r w:rsidRPr="00774C23">
        <w:rPr>
          <w:rFonts w:asciiTheme="majorBidi" w:hAnsiTheme="majorBidi" w:cstheme="majorBidi"/>
          <w:i/>
          <w:iCs/>
        </w:rPr>
        <w:t>NZDep2006 Index of Deprivation – User’s Manual</w:t>
      </w:r>
      <w:r w:rsidRPr="00774C23">
        <w:rPr>
          <w:rFonts w:asciiTheme="majorBidi" w:hAnsiTheme="majorBidi" w:cstheme="majorBidi"/>
        </w:rPr>
        <w:t xml:space="preserve">. Wellington: Department of Public Health, University of Otago. </w:t>
      </w:r>
    </w:p>
    <w:p w14:paraId="4F821F3E" w14:textId="292E1D86"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Statistics New Zealand (2008). </w:t>
      </w:r>
      <w:r w:rsidRPr="00774C23">
        <w:rPr>
          <w:rFonts w:asciiTheme="majorBidi" w:hAnsiTheme="majorBidi" w:cstheme="majorBidi"/>
          <w:i/>
          <w:iCs/>
          <w:noProof/>
          <w:lang w:val="en-US"/>
        </w:rPr>
        <w:t>Transitions from Work to Retirement</w:t>
      </w:r>
      <w:r w:rsidRPr="00774C23">
        <w:rPr>
          <w:rFonts w:asciiTheme="majorBidi" w:hAnsiTheme="majorBidi" w:cstheme="majorBidi"/>
          <w:noProof/>
          <w:lang w:val="en-US"/>
        </w:rPr>
        <w:t>. Wellington: Statistics New Zealand.</w:t>
      </w:r>
    </w:p>
    <w:p w14:paraId="20FF5A49" w14:textId="38B6E10C" w:rsidR="00774C23"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Statistics New Zealand (2014). </w:t>
      </w:r>
      <w:r w:rsidRPr="00774C23">
        <w:rPr>
          <w:rFonts w:asciiTheme="majorBidi" w:hAnsiTheme="majorBidi" w:cstheme="majorBidi"/>
          <w:i/>
          <w:noProof/>
          <w:lang w:val="en-US"/>
        </w:rPr>
        <w:t xml:space="preserve">Projected Population of New Zealand by Age and Sex, 2014 (base) - 2061. </w:t>
      </w:r>
      <w:r w:rsidRPr="00774C23">
        <w:rPr>
          <w:rFonts w:asciiTheme="majorBidi" w:hAnsiTheme="majorBidi" w:cstheme="majorBidi"/>
          <w:noProof/>
          <w:lang w:val="en-US"/>
        </w:rPr>
        <w:t>Retrieve</w:t>
      </w:r>
      <w:r w:rsidR="00774C23" w:rsidRPr="00774C23">
        <w:rPr>
          <w:rFonts w:asciiTheme="majorBidi" w:hAnsiTheme="majorBidi" w:cstheme="majorBidi"/>
          <w:noProof/>
          <w:lang w:val="en-US"/>
        </w:rPr>
        <w:t>d 27 February 2014 from Statistics</w:t>
      </w:r>
      <w:r w:rsidRPr="00774C23">
        <w:rPr>
          <w:rFonts w:asciiTheme="majorBidi" w:hAnsiTheme="majorBidi" w:cstheme="majorBidi"/>
          <w:noProof/>
          <w:lang w:val="en-US"/>
        </w:rPr>
        <w:t xml:space="preserve"> </w:t>
      </w:r>
      <w:r w:rsidR="00774C23" w:rsidRPr="00774C23">
        <w:rPr>
          <w:rFonts w:asciiTheme="majorBidi" w:hAnsiTheme="majorBidi" w:cstheme="majorBidi"/>
          <w:noProof/>
          <w:lang w:val="en-US"/>
        </w:rPr>
        <w:t>New Zealand.</w:t>
      </w:r>
    </w:p>
    <w:p w14:paraId="4DF57E71" w14:textId="0A8766C1" w:rsidR="00A2042A" w:rsidRPr="00774C23" w:rsidRDefault="00774C23"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ab/>
      </w:r>
      <w:r w:rsidR="00A2042A" w:rsidRPr="00774C23">
        <w:rPr>
          <w:rFonts w:asciiTheme="majorBidi" w:hAnsiTheme="majorBidi" w:cstheme="majorBidi"/>
          <w:noProof/>
          <w:lang w:val="en-US"/>
        </w:rPr>
        <w:t>http://nzdotstat.stats.govt.nz/wbos/Index.aspx.</w:t>
      </w:r>
    </w:p>
    <w:p w14:paraId="5E0084A0"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Stock, J.H., and Yogo, M. (2005). Testing for weak instruments in linear IV regression. In: Andrews, D.W.K. (Ed.), </w:t>
      </w:r>
      <w:r w:rsidRPr="00774C23">
        <w:rPr>
          <w:rFonts w:asciiTheme="majorBidi" w:hAnsiTheme="majorBidi" w:cstheme="majorBidi"/>
          <w:i/>
          <w:noProof/>
          <w:lang w:val="en-US"/>
        </w:rPr>
        <w:t>Identification and Inference for Econometric Models</w:t>
      </w:r>
      <w:r w:rsidRPr="00774C23">
        <w:rPr>
          <w:rFonts w:asciiTheme="majorBidi" w:hAnsiTheme="majorBidi" w:cstheme="majorBidi"/>
          <w:noProof/>
          <w:lang w:val="en-US"/>
        </w:rPr>
        <w:t>, pp. 80-108. New York: Cambridge University Press.</w:t>
      </w:r>
    </w:p>
    <w:p w14:paraId="54ECC437"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Temple, J. (2014). </w:t>
      </w:r>
      <w:r w:rsidRPr="00774C23">
        <w:rPr>
          <w:rFonts w:asciiTheme="majorBidi" w:hAnsiTheme="majorBidi" w:cstheme="majorBidi"/>
          <w:i/>
          <w:noProof/>
          <w:lang w:val="en-US"/>
        </w:rPr>
        <w:t>Past, present and future of mature age labour force participation in Australia: How do regions differ?</w:t>
      </w:r>
      <w:r w:rsidRPr="00774C23">
        <w:rPr>
          <w:rFonts w:asciiTheme="majorBidi" w:hAnsiTheme="majorBidi" w:cstheme="majorBidi"/>
          <w:noProof/>
          <w:lang w:val="en-US"/>
        </w:rPr>
        <w:t xml:space="preserve"> Melbourne: National Seniors Productive Ageing Centre. </w:t>
      </w:r>
    </w:p>
    <w:p w14:paraId="1A3066DF"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United Nations. (2013). </w:t>
      </w:r>
      <w:r w:rsidRPr="00774C23">
        <w:rPr>
          <w:rFonts w:asciiTheme="majorBidi" w:hAnsiTheme="majorBidi" w:cstheme="majorBidi"/>
          <w:i/>
          <w:noProof/>
          <w:lang w:val="en-US"/>
        </w:rPr>
        <w:t>World Population Prospects: The 2012 Revision</w:t>
      </w:r>
      <w:r w:rsidRPr="00774C23">
        <w:rPr>
          <w:rFonts w:asciiTheme="majorBidi" w:hAnsiTheme="majorBidi" w:cstheme="majorBidi"/>
          <w:noProof/>
          <w:lang w:val="en-US"/>
        </w:rPr>
        <w:t xml:space="preserve">. New York: United Nations Department of Economic and Social Affairs Population Division. </w:t>
      </w:r>
    </w:p>
    <w:p w14:paraId="3892C844" w14:textId="77777777" w:rsidR="008C571B" w:rsidRPr="00774C23" w:rsidRDefault="008C571B"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Van Solinge, H. (2012). Retirement adjustment. In Wang, M. (Ed.), </w:t>
      </w:r>
      <w:r w:rsidRPr="00774C23">
        <w:rPr>
          <w:rFonts w:asciiTheme="majorBidi" w:hAnsiTheme="majorBidi" w:cstheme="majorBidi"/>
          <w:i/>
          <w:noProof/>
          <w:lang w:val="en-US"/>
        </w:rPr>
        <w:t>Oxford Handbook of Retirement</w:t>
      </w:r>
      <w:r w:rsidRPr="00774C23">
        <w:rPr>
          <w:rFonts w:asciiTheme="majorBidi" w:hAnsiTheme="majorBidi" w:cstheme="majorBidi"/>
          <w:noProof/>
          <w:lang w:val="en-US"/>
        </w:rPr>
        <w:t>, pp. 311–322. New York: Oxford University Press.</w:t>
      </w:r>
    </w:p>
    <w:p w14:paraId="7219A161" w14:textId="77777777" w:rsidR="008C571B" w:rsidRPr="00774C23" w:rsidRDefault="008C571B"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Van Solinge, H., and Henkens, K. (2008). Adjustment to and satisfaction with retirement: Two of a kind? </w:t>
      </w:r>
      <w:r w:rsidRPr="00774C23">
        <w:rPr>
          <w:rFonts w:asciiTheme="majorBidi" w:hAnsiTheme="majorBidi" w:cstheme="majorBidi"/>
          <w:i/>
          <w:noProof/>
          <w:lang w:val="en-US"/>
        </w:rPr>
        <w:t>Psychology and Aging</w:t>
      </w:r>
      <w:r w:rsidRPr="00774C23">
        <w:rPr>
          <w:rFonts w:asciiTheme="majorBidi" w:hAnsiTheme="majorBidi" w:cstheme="majorBidi"/>
          <w:noProof/>
          <w:lang w:val="en-US"/>
        </w:rPr>
        <w:t>, 23, 422-434.</w:t>
      </w:r>
    </w:p>
    <w:p w14:paraId="4DE73A46" w14:textId="77777777" w:rsidR="00A2042A" w:rsidRPr="00774C23" w:rsidRDefault="00A2042A" w:rsidP="00774C23">
      <w:pPr>
        <w:pStyle w:val="Bibliography"/>
        <w:tabs>
          <w:tab w:val="left" w:pos="426"/>
        </w:tabs>
        <w:spacing w:line="240" w:lineRule="auto"/>
        <w:ind w:left="425" w:hanging="425"/>
        <w:jc w:val="both"/>
        <w:rPr>
          <w:rFonts w:asciiTheme="majorBidi" w:hAnsiTheme="majorBidi" w:cstheme="majorBidi"/>
          <w:noProof/>
          <w:lang w:val="en-US"/>
        </w:rPr>
      </w:pPr>
      <w:r w:rsidRPr="00774C23">
        <w:rPr>
          <w:rFonts w:asciiTheme="majorBidi" w:hAnsiTheme="majorBidi" w:cstheme="majorBidi"/>
          <w:noProof/>
          <w:lang w:val="en-US"/>
        </w:rPr>
        <w:t xml:space="preserve">Waldegrave, C., and Koopman-Boyden, P. (2009). Ageing and wellbeing in New Zealand – An overview, in Koopman-Boyden, P., and Waldegrave, C., (eds.), </w:t>
      </w:r>
      <w:r w:rsidRPr="00774C23">
        <w:rPr>
          <w:rFonts w:asciiTheme="majorBidi" w:hAnsiTheme="majorBidi" w:cstheme="majorBidi"/>
          <w:i/>
          <w:iCs/>
          <w:noProof/>
          <w:lang w:val="en-US"/>
        </w:rPr>
        <w:t>Enhancing Wellbeing in an Ageing Society – 65-84 Year Old New Zealanders in 2007</w:t>
      </w:r>
      <w:r w:rsidRPr="00774C23">
        <w:rPr>
          <w:rFonts w:asciiTheme="majorBidi" w:hAnsiTheme="majorBidi" w:cstheme="majorBidi"/>
          <w:noProof/>
          <w:lang w:val="en-US"/>
        </w:rPr>
        <w:t>, pp. 207-220. Hamilton: The Family Centre Social Policy Research Unit and Population Studies Centre, University of Waikato.</w:t>
      </w:r>
    </w:p>
    <w:p w14:paraId="3C6378AA" w14:textId="0B53AFAF" w:rsidR="00FC6518" w:rsidRPr="00774C23" w:rsidRDefault="00A2042A" w:rsidP="00774C23">
      <w:pPr>
        <w:pStyle w:val="Bibliography"/>
        <w:tabs>
          <w:tab w:val="left" w:pos="426"/>
        </w:tabs>
        <w:spacing w:line="240" w:lineRule="auto"/>
        <w:ind w:left="425" w:hanging="425"/>
        <w:jc w:val="both"/>
        <w:rPr>
          <w:rFonts w:ascii="Times New Roman" w:hAnsi="Times New Roman" w:cs="Times New Roman"/>
          <w:i/>
        </w:rPr>
      </w:pPr>
      <w:r w:rsidRPr="00774C23">
        <w:rPr>
          <w:rFonts w:asciiTheme="majorBidi" w:hAnsiTheme="majorBidi" w:cstheme="majorBidi"/>
          <w:noProof/>
          <w:lang w:val="en-US"/>
        </w:rPr>
        <w:t xml:space="preserve">Ware, J.J., Kosinski, M., Turner-Bowker, D., and Gandeck, B. (2007). </w:t>
      </w:r>
      <w:r w:rsidRPr="00774C23">
        <w:rPr>
          <w:rFonts w:asciiTheme="majorBidi" w:hAnsiTheme="majorBidi" w:cstheme="majorBidi"/>
          <w:i/>
          <w:iCs/>
          <w:noProof/>
          <w:lang w:val="en-US"/>
        </w:rPr>
        <w:t>Users’ Manual for the SF-12 v2 Health Survey</w:t>
      </w:r>
      <w:r w:rsidRPr="00774C23">
        <w:rPr>
          <w:rFonts w:asciiTheme="majorBidi" w:hAnsiTheme="majorBidi" w:cstheme="majorBidi"/>
          <w:noProof/>
          <w:lang w:val="en-US"/>
        </w:rPr>
        <w:t xml:space="preserve">. Lincoln, RI: Quality Metric Inc. </w:t>
      </w:r>
    </w:p>
    <w:sectPr w:rsidR="00FC6518" w:rsidRPr="00774C23" w:rsidSect="00272700">
      <w:footerReference w:type="defaul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9047C" w14:textId="77777777" w:rsidR="001F74E6" w:rsidRDefault="001F74E6" w:rsidP="007F42D6">
      <w:pPr>
        <w:spacing w:after="0" w:line="240" w:lineRule="auto"/>
      </w:pPr>
      <w:r>
        <w:separator/>
      </w:r>
    </w:p>
  </w:endnote>
  <w:endnote w:type="continuationSeparator" w:id="0">
    <w:p w14:paraId="253103CC" w14:textId="77777777" w:rsidR="001F74E6" w:rsidRDefault="001F74E6" w:rsidP="007F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671493"/>
      <w:docPartObj>
        <w:docPartGallery w:val="Page Numbers (Bottom of Page)"/>
        <w:docPartUnique/>
      </w:docPartObj>
    </w:sdtPr>
    <w:sdtEndPr>
      <w:rPr>
        <w:noProof/>
      </w:rPr>
    </w:sdtEndPr>
    <w:sdtContent>
      <w:p w14:paraId="1B8C285D" w14:textId="77777777" w:rsidR="003A4B1D" w:rsidRDefault="003A4B1D">
        <w:pPr>
          <w:pStyle w:val="Footer"/>
          <w:jc w:val="center"/>
        </w:pPr>
        <w:r>
          <w:fldChar w:fldCharType="begin"/>
        </w:r>
        <w:r>
          <w:instrText xml:space="preserve"> PAGE   \* MERGEFORMAT </w:instrText>
        </w:r>
        <w:r>
          <w:fldChar w:fldCharType="separate"/>
        </w:r>
        <w:r w:rsidR="00C7118A">
          <w:rPr>
            <w:noProof/>
          </w:rPr>
          <w:t>18</w:t>
        </w:r>
        <w:r>
          <w:rPr>
            <w:noProof/>
          </w:rPr>
          <w:fldChar w:fldCharType="end"/>
        </w:r>
      </w:p>
    </w:sdtContent>
  </w:sdt>
  <w:p w14:paraId="6AF53766" w14:textId="77777777" w:rsidR="003A4B1D" w:rsidRDefault="003A4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71B34" w14:textId="77777777" w:rsidR="001F74E6" w:rsidRDefault="001F74E6" w:rsidP="007F42D6">
      <w:pPr>
        <w:spacing w:after="0" w:line="240" w:lineRule="auto"/>
      </w:pPr>
      <w:r>
        <w:separator/>
      </w:r>
    </w:p>
  </w:footnote>
  <w:footnote w:type="continuationSeparator" w:id="0">
    <w:p w14:paraId="0D03011F" w14:textId="77777777" w:rsidR="001F74E6" w:rsidRDefault="001F74E6" w:rsidP="007F42D6">
      <w:pPr>
        <w:spacing w:after="0" w:line="240" w:lineRule="auto"/>
      </w:pPr>
      <w:r>
        <w:continuationSeparator/>
      </w:r>
    </w:p>
  </w:footnote>
  <w:footnote w:id="1">
    <w:p w14:paraId="59472CC1" w14:textId="0612F12D" w:rsidR="003A4B1D" w:rsidRPr="00DF7C58" w:rsidRDefault="003A4B1D" w:rsidP="00DF7C58">
      <w:pPr>
        <w:pStyle w:val="FootnoteText"/>
        <w:ind w:left="284" w:hanging="284"/>
        <w:jc w:val="both"/>
        <w:rPr>
          <w:rFonts w:ascii="Times New Roman" w:hAnsi="Times New Roman" w:cs="Times New Roman"/>
          <w:sz w:val="22"/>
          <w:szCs w:val="22"/>
        </w:rPr>
      </w:pPr>
      <w:r w:rsidRPr="00DF7C58">
        <w:rPr>
          <w:rStyle w:val="FootnoteReference"/>
          <w:rFonts w:ascii="Times New Roman" w:hAnsi="Times New Roman" w:cs="Times New Roman"/>
          <w:sz w:val="22"/>
          <w:szCs w:val="22"/>
        </w:rPr>
        <w:footnoteRef/>
      </w:r>
      <w:r w:rsidRPr="00DF7C58">
        <w:rPr>
          <w:rFonts w:ascii="Times New Roman" w:hAnsi="Times New Roman" w:cs="Times New Roman"/>
          <w:sz w:val="22"/>
          <w:szCs w:val="22"/>
        </w:rPr>
        <w:t xml:space="preserve"> </w:t>
      </w:r>
      <w:r>
        <w:rPr>
          <w:rFonts w:ascii="Times New Roman" w:hAnsi="Times New Roman" w:cs="Times New Roman"/>
          <w:sz w:val="22"/>
          <w:szCs w:val="22"/>
        </w:rPr>
        <w:tab/>
      </w:r>
      <w:r w:rsidRPr="00DF7C58">
        <w:rPr>
          <w:rFonts w:ascii="Times New Roman" w:hAnsi="Times New Roman" w:cs="Times New Roman"/>
          <w:sz w:val="22"/>
          <w:szCs w:val="22"/>
        </w:rPr>
        <w:t>There is no official ‘retirement age’ in New Zealand, although many older workers are likely to take the opportunity to retire presented by their entitlement to NZS at age 65.</w:t>
      </w:r>
    </w:p>
  </w:footnote>
  <w:footnote w:id="2">
    <w:p w14:paraId="1A8CDF2D" w14:textId="77777777" w:rsidR="003A4B1D" w:rsidRPr="00EC47B0" w:rsidRDefault="003A4B1D">
      <w:pPr>
        <w:pStyle w:val="FootnoteText"/>
        <w:rPr>
          <w:rFonts w:ascii="Times New Roman" w:hAnsi="Times New Roman" w:cs="Times New Roman"/>
        </w:rPr>
      </w:pPr>
      <w:r w:rsidRPr="00EC47B0">
        <w:rPr>
          <w:rStyle w:val="FootnoteReference"/>
          <w:rFonts w:ascii="Times New Roman" w:hAnsi="Times New Roman" w:cs="Times New Roman"/>
        </w:rPr>
        <w:footnoteRef/>
      </w:r>
      <w:r w:rsidRPr="00EC47B0">
        <w:rPr>
          <w:rFonts w:ascii="Times New Roman" w:hAnsi="Times New Roman" w:cs="Times New Roman"/>
        </w:rPr>
        <w:t xml:space="preserve"> </w:t>
      </w:r>
      <w:r w:rsidRPr="00981453">
        <w:rPr>
          <w:rFonts w:ascii="Times New Roman" w:hAnsi="Times New Roman" w:cs="Times New Roman"/>
          <w:sz w:val="22"/>
          <w:szCs w:val="22"/>
        </w:rPr>
        <w:t>For more information see http://www.stats.govt.nz/nzgss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D92"/>
    <w:multiLevelType w:val="hybridMultilevel"/>
    <w:tmpl w:val="F2A2B6AE"/>
    <w:lvl w:ilvl="0" w:tplc="23F00200">
      <w:start w:val="1"/>
      <w:numFmt w:val="decimal"/>
      <w:pStyle w:val="Heading2"/>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9A"/>
    <w:rsid w:val="000012D3"/>
    <w:rsid w:val="00003016"/>
    <w:rsid w:val="00031B0C"/>
    <w:rsid w:val="000422F2"/>
    <w:rsid w:val="00052C95"/>
    <w:rsid w:val="00055742"/>
    <w:rsid w:val="000606B5"/>
    <w:rsid w:val="0006103F"/>
    <w:rsid w:val="0006659D"/>
    <w:rsid w:val="00081320"/>
    <w:rsid w:val="00093E4B"/>
    <w:rsid w:val="000964FA"/>
    <w:rsid w:val="000A010D"/>
    <w:rsid w:val="000A3762"/>
    <w:rsid w:val="000B7307"/>
    <w:rsid w:val="000D25C0"/>
    <w:rsid w:val="000D59EB"/>
    <w:rsid w:val="000F5A8A"/>
    <w:rsid w:val="000F5F8A"/>
    <w:rsid w:val="000F7ABD"/>
    <w:rsid w:val="001255E7"/>
    <w:rsid w:val="00132AFD"/>
    <w:rsid w:val="00133DF1"/>
    <w:rsid w:val="00136996"/>
    <w:rsid w:val="00146E39"/>
    <w:rsid w:val="001471C3"/>
    <w:rsid w:val="001751AA"/>
    <w:rsid w:val="0017735E"/>
    <w:rsid w:val="00183800"/>
    <w:rsid w:val="001B742A"/>
    <w:rsid w:val="001F74E6"/>
    <w:rsid w:val="0025401E"/>
    <w:rsid w:val="00272700"/>
    <w:rsid w:val="002A718F"/>
    <w:rsid w:val="002A7421"/>
    <w:rsid w:val="003112D5"/>
    <w:rsid w:val="00331371"/>
    <w:rsid w:val="00350FA4"/>
    <w:rsid w:val="00357A19"/>
    <w:rsid w:val="00373B86"/>
    <w:rsid w:val="00382ED3"/>
    <w:rsid w:val="00391D5B"/>
    <w:rsid w:val="003928D1"/>
    <w:rsid w:val="00395012"/>
    <w:rsid w:val="003A4B1D"/>
    <w:rsid w:val="003B6887"/>
    <w:rsid w:val="003E664E"/>
    <w:rsid w:val="004013FF"/>
    <w:rsid w:val="00403ACC"/>
    <w:rsid w:val="00403CB1"/>
    <w:rsid w:val="0044181D"/>
    <w:rsid w:val="00446887"/>
    <w:rsid w:val="00446E7B"/>
    <w:rsid w:val="0044773E"/>
    <w:rsid w:val="00455D8E"/>
    <w:rsid w:val="00470994"/>
    <w:rsid w:val="00476FFD"/>
    <w:rsid w:val="00485C14"/>
    <w:rsid w:val="004A109A"/>
    <w:rsid w:val="004A5E37"/>
    <w:rsid w:val="004D0299"/>
    <w:rsid w:val="004D32E6"/>
    <w:rsid w:val="004D6A3F"/>
    <w:rsid w:val="004E3EBA"/>
    <w:rsid w:val="004F15F2"/>
    <w:rsid w:val="004F2205"/>
    <w:rsid w:val="004F3C5A"/>
    <w:rsid w:val="00506724"/>
    <w:rsid w:val="00521F1E"/>
    <w:rsid w:val="00521FA2"/>
    <w:rsid w:val="00556D13"/>
    <w:rsid w:val="00583C50"/>
    <w:rsid w:val="00585B5D"/>
    <w:rsid w:val="005A32E8"/>
    <w:rsid w:val="005B0A9A"/>
    <w:rsid w:val="005C2FD2"/>
    <w:rsid w:val="005D46BE"/>
    <w:rsid w:val="00610550"/>
    <w:rsid w:val="00613EAF"/>
    <w:rsid w:val="0064226D"/>
    <w:rsid w:val="006656CE"/>
    <w:rsid w:val="00692198"/>
    <w:rsid w:val="006A611C"/>
    <w:rsid w:val="006B1E6F"/>
    <w:rsid w:val="00707890"/>
    <w:rsid w:val="00723ABC"/>
    <w:rsid w:val="00723C6D"/>
    <w:rsid w:val="00726DAB"/>
    <w:rsid w:val="00734739"/>
    <w:rsid w:val="00754DEC"/>
    <w:rsid w:val="00774C23"/>
    <w:rsid w:val="00782352"/>
    <w:rsid w:val="00784AFD"/>
    <w:rsid w:val="00796B14"/>
    <w:rsid w:val="007D4000"/>
    <w:rsid w:val="007D7D35"/>
    <w:rsid w:val="007F42D6"/>
    <w:rsid w:val="00806778"/>
    <w:rsid w:val="0082779B"/>
    <w:rsid w:val="00827952"/>
    <w:rsid w:val="0083210C"/>
    <w:rsid w:val="0083347F"/>
    <w:rsid w:val="008423F6"/>
    <w:rsid w:val="008459D3"/>
    <w:rsid w:val="00855DEF"/>
    <w:rsid w:val="00871F78"/>
    <w:rsid w:val="00891E7A"/>
    <w:rsid w:val="00895A62"/>
    <w:rsid w:val="008C571B"/>
    <w:rsid w:val="008D6527"/>
    <w:rsid w:val="008E6936"/>
    <w:rsid w:val="008E7630"/>
    <w:rsid w:val="008F2DC7"/>
    <w:rsid w:val="008F7956"/>
    <w:rsid w:val="00911EF5"/>
    <w:rsid w:val="00912579"/>
    <w:rsid w:val="009133BA"/>
    <w:rsid w:val="00917412"/>
    <w:rsid w:val="009207D1"/>
    <w:rsid w:val="0092390B"/>
    <w:rsid w:val="00927327"/>
    <w:rsid w:val="00940723"/>
    <w:rsid w:val="00960A4A"/>
    <w:rsid w:val="00972CB0"/>
    <w:rsid w:val="00981453"/>
    <w:rsid w:val="00981515"/>
    <w:rsid w:val="00987D7B"/>
    <w:rsid w:val="0099329B"/>
    <w:rsid w:val="009932FF"/>
    <w:rsid w:val="00995868"/>
    <w:rsid w:val="009A0608"/>
    <w:rsid w:val="009A4D91"/>
    <w:rsid w:val="009A5DEC"/>
    <w:rsid w:val="009F4273"/>
    <w:rsid w:val="00A026CD"/>
    <w:rsid w:val="00A2042A"/>
    <w:rsid w:val="00A379E4"/>
    <w:rsid w:val="00A41126"/>
    <w:rsid w:val="00A46656"/>
    <w:rsid w:val="00A66643"/>
    <w:rsid w:val="00A84649"/>
    <w:rsid w:val="00A86D5F"/>
    <w:rsid w:val="00AB791F"/>
    <w:rsid w:val="00AD17A6"/>
    <w:rsid w:val="00AD228E"/>
    <w:rsid w:val="00AE3159"/>
    <w:rsid w:val="00AF1857"/>
    <w:rsid w:val="00AF5FEB"/>
    <w:rsid w:val="00B310CD"/>
    <w:rsid w:val="00B36A15"/>
    <w:rsid w:val="00B47E3E"/>
    <w:rsid w:val="00B57409"/>
    <w:rsid w:val="00B71324"/>
    <w:rsid w:val="00B724D0"/>
    <w:rsid w:val="00B76D27"/>
    <w:rsid w:val="00B97671"/>
    <w:rsid w:val="00B97B9E"/>
    <w:rsid w:val="00BC3905"/>
    <w:rsid w:val="00BC4F7A"/>
    <w:rsid w:val="00BE0027"/>
    <w:rsid w:val="00BF313B"/>
    <w:rsid w:val="00BF7620"/>
    <w:rsid w:val="00C10900"/>
    <w:rsid w:val="00C21684"/>
    <w:rsid w:val="00C24DA4"/>
    <w:rsid w:val="00C37D0D"/>
    <w:rsid w:val="00C4614E"/>
    <w:rsid w:val="00C52DB2"/>
    <w:rsid w:val="00C61853"/>
    <w:rsid w:val="00C65CC5"/>
    <w:rsid w:val="00C67481"/>
    <w:rsid w:val="00C70BCE"/>
    <w:rsid w:val="00C7118A"/>
    <w:rsid w:val="00C715F3"/>
    <w:rsid w:val="00C76CCD"/>
    <w:rsid w:val="00CD1515"/>
    <w:rsid w:val="00D208E7"/>
    <w:rsid w:val="00D45EB5"/>
    <w:rsid w:val="00D72C11"/>
    <w:rsid w:val="00D84EDF"/>
    <w:rsid w:val="00D87110"/>
    <w:rsid w:val="00D907D8"/>
    <w:rsid w:val="00D96BB6"/>
    <w:rsid w:val="00DF7C58"/>
    <w:rsid w:val="00E06C4E"/>
    <w:rsid w:val="00E26E7F"/>
    <w:rsid w:val="00E2783A"/>
    <w:rsid w:val="00E3059F"/>
    <w:rsid w:val="00E34D27"/>
    <w:rsid w:val="00E43B88"/>
    <w:rsid w:val="00E46779"/>
    <w:rsid w:val="00E81B7C"/>
    <w:rsid w:val="00E95561"/>
    <w:rsid w:val="00E96E0A"/>
    <w:rsid w:val="00EA4EDE"/>
    <w:rsid w:val="00EC47B0"/>
    <w:rsid w:val="00EE045D"/>
    <w:rsid w:val="00F046AA"/>
    <w:rsid w:val="00F15A8D"/>
    <w:rsid w:val="00F47969"/>
    <w:rsid w:val="00F62C9B"/>
    <w:rsid w:val="00F72908"/>
    <w:rsid w:val="00F80FC4"/>
    <w:rsid w:val="00F903C3"/>
    <w:rsid w:val="00FA4101"/>
    <w:rsid w:val="00FA5245"/>
    <w:rsid w:val="00FC6518"/>
    <w:rsid w:val="00FD0F1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4D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5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4EDF"/>
    <w:pPr>
      <w:keepNext/>
      <w:keepLines/>
      <w:numPr>
        <w:numId w:val="1"/>
      </w:numPr>
      <w:spacing w:before="200" w:after="0"/>
      <w:ind w:left="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A9A"/>
    <w:rPr>
      <w:color w:val="0000FF" w:themeColor="hyperlink"/>
      <w:u w:val="single"/>
    </w:rPr>
  </w:style>
  <w:style w:type="paragraph" w:styleId="BalloonText">
    <w:name w:val="Balloon Text"/>
    <w:basedOn w:val="Normal"/>
    <w:link w:val="BalloonTextChar"/>
    <w:uiPriority w:val="99"/>
    <w:semiHidden/>
    <w:unhideWhenUsed/>
    <w:rsid w:val="00833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47F"/>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395012"/>
    <w:rPr>
      <w:sz w:val="16"/>
      <w:szCs w:val="16"/>
    </w:rPr>
  </w:style>
  <w:style w:type="paragraph" w:styleId="CommentText">
    <w:name w:val="annotation text"/>
    <w:basedOn w:val="Normal"/>
    <w:link w:val="CommentTextChar"/>
    <w:uiPriority w:val="99"/>
    <w:semiHidden/>
    <w:unhideWhenUsed/>
    <w:rsid w:val="00395012"/>
    <w:pPr>
      <w:spacing w:line="240" w:lineRule="auto"/>
    </w:pPr>
    <w:rPr>
      <w:sz w:val="20"/>
      <w:szCs w:val="20"/>
    </w:rPr>
  </w:style>
  <w:style w:type="character" w:customStyle="1" w:styleId="CommentTextChar">
    <w:name w:val="Comment Text Char"/>
    <w:basedOn w:val="DefaultParagraphFont"/>
    <w:link w:val="CommentText"/>
    <w:uiPriority w:val="99"/>
    <w:semiHidden/>
    <w:rsid w:val="00395012"/>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95012"/>
    <w:rPr>
      <w:b/>
      <w:bCs/>
    </w:rPr>
  </w:style>
  <w:style w:type="character" w:customStyle="1" w:styleId="CommentSubjectChar">
    <w:name w:val="Comment Subject Char"/>
    <w:basedOn w:val="CommentTextChar"/>
    <w:link w:val="CommentSubject"/>
    <w:uiPriority w:val="99"/>
    <w:semiHidden/>
    <w:rsid w:val="00395012"/>
    <w:rPr>
      <w:rFonts w:eastAsiaTheme="minorEastAsia"/>
      <w:b/>
      <w:bCs/>
      <w:sz w:val="20"/>
      <w:szCs w:val="20"/>
      <w:lang w:eastAsia="zh-CN"/>
    </w:rPr>
  </w:style>
  <w:style w:type="character" w:customStyle="1" w:styleId="Heading2Char">
    <w:name w:val="Heading 2 Char"/>
    <w:basedOn w:val="DefaultParagraphFont"/>
    <w:link w:val="Heading2"/>
    <w:uiPriority w:val="9"/>
    <w:rsid w:val="00D84ED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7F42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2D6"/>
    <w:rPr>
      <w:rFonts w:eastAsiaTheme="minorEastAsia"/>
      <w:sz w:val="20"/>
      <w:szCs w:val="20"/>
      <w:lang w:eastAsia="zh-CN"/>
    </w:rPr>
  </w:style>
  <w:style w:type="character" w:styleId="FootnoteReference">
    <w:name w:val="footnote reference"/>
    <w:basedOn w:val="DefaultParagraphFont"/>
    <w:uiPriority w:val="99"/>
    <w:semiHidden/>
    <w:unhideWhenUsed/>
    <w:rsid w:val="007F42D6"/>
    <w:rPr>
      <w:vertAlign w:val="superscript"/>
    </w:rPr>
  </w:style>
  <w:style w:type="table" w:styleId="TableGrid">
    <w:name w:val="Table Grid"/>
    <w:basedOn w:val="TableNormal"/>
    <w:uiPriority w:val="59"/>
    <w:rsid w:val="007F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6B14"/>
    <w:pPr>
      <w:spacing w:after="0" w:line="240" w:lineRule="auto"/>
    </w:pPr>
  </w:style>
  <w:style w:type="character" w:customStyle="1" w:styleId="Heading1Char">
    <w:name w:val="Heading 1 Char"/>
    <w:basedOn w:val="DefaultParagraphFont"/>
    <w:link w:val="Heading1"/>
    <w:uiPriority w:val="9"/>
    <w:rsid w:val="00F15A8D"/>
    <w:rPr>
      <w:rFonts w:asciiTheme="majorHAnsi" w:eastAsiaTheme="majorEastAsia" w:hAnsiTheme="majorHAnsi" w:cstheme="majorBidi"/>
      <w:b/>
      <w:bCs/>
      <w:color w:val="365F91" w:themeColor="accent1" w:themeShade="BF"/>
      <w:sz w:val="28"/>
      <w:szCs w:val="28"/>
      <w:lang w:eastAsia="zh-CN"/>
    </w:rPr>
  </w:style>
  <w:style w:type="paragraph" w:styleId="Bibliography">
    <w:name w:val="Bibliography"/>
    <w:basedOn w:val="Normal"/>
    <w:next w:val="Normal"/>
    <w:uiPriority w:val="37"/>
    <w:unhideWhenUsed/>
    <w:rsid w:val="00F15A8D"/>
  </w:style>
  <w:style w:type="character" w:styleId="SubtleReference">
    <w:name w:val="Subtle Reference"/>
    <w:uiPriority w:val="31"/>
    <w:qFormat/>
    <w:rsid w:val="00F15A8D"/>
    <w:rPr>
      <w:rFonts w:asciiTheme="majorBidi" w:hAnsiTheme="majorBidi" w:cstheme="majorBidi"/>
      <w:noProof/>
      <w:sz w:val="24"/>
      <w:szCs w:val="24"/>
      <w:lang w:val="en-US"/>
    </w:rPr>
  </w:style>
  <w:style w:type="paragraph" w:styleId="Header">
    <w:name w:val="header"/>
    <w:basedOn w:val="Normal"/>
    <w:link w:val="HeaderChar"/>
    <w:uiPriority w:val="99"/>
    <w:semiHidden/>
    <w:unhideWhenUsed/>
    <w:rsid w:val="00373B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3B86"/>
    <w:rPr>
      <w:rFonts w:eastAsiaTheme="minorEastAsia"/>
      <w:lang w:eastAsia="zh-CN"/>
    </w:rPr>
  </w:style>
  <w:style w:type="paragraph" w:styleId="Footer">
    <w:name w:val="footer"/>
    <w:basedOn w:val="Normal"/>
    <w:link w:val="FooterChar"/>
    <w:uiPriority w:val="99"/>
    <w:unhideWhenUsed/>
    <w:rsid w:val="00373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B86"/>
    <w:rPr>
      <w:rFonts w:eastAsiaTheme="minorEastAsia"/>
      <w:lang w:eastAsia="zh-CN"/>
    </w:rPr>
  </w:style>
  <w:style w:type="paragraph" w:styleId="PlainText">
    <w:name w:val="Plain Text"/>
    <w:basedOn w:val="Normal"/>
    <w:link w:val="PlainTextChar"/>
    <w:uiPriority w:val="99"/>
    <w:rsid w:val="0044181D"/>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44181D"/>
    <w:rPr>
      <w:rFonts w:ascii="Courier New" w:eastAsia="SimSu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5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4EDF"/>
    <w:pPr>
      <w:keepNext/>
      <w:keepLines/>
      <w:numPr>
        <w:numId w:val="1"/>
      </w:numPr>
      <w:spacing w:before="200" w:after="0"/>
      <w:ind w:left="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A9A"/>
    <w:rPr>
      <w:color w:val="0000FF" w:themeColor="hyperlink"/>
      <w:u w:val="single"/>
    </w:rPr>
  </w:style>
  <w:style w:type="paragraph" w:styleId="BalloonText">
    <w:name w:val="Balloon Text"/>
    <w:basedOn w:val="Normal"/>
    <w:link w:val="BalloonTextChar"/>
    <w:uiPriority w:val="99"/>
    <w:semiHidden/>
    <w:unhideWhenUsed/>
    <w:rsid w:val="00833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47F"/>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395012"/>
    <w:rPr>
      <w:sz w:val="16"/>
      <w:szCs w:val="16"/>
    </w:rPr>
  </w:style>
  <w:style w:type="paragraph" w:styleId="CommentText">
    <w:name w:val="annotation text"/>
    <w:basedOn w:val="Normal"/>
    <w:link w:val="CommentTextChar"/>
    <w:uiPriority w:val="99"/>
    <w:semiHidden/>
    <w:unhideWhenUsed/>
    <w:rsid w:val="00395012"/>
    <w:pPr>
      <w:spacing w:line="240" w:lineRule="auto"/>
    </w:pPr>
    <w:rPr>
      <w:sz w:val="20"/>
      <w:szCs w:val="20"/>
    </w:rPr>
  </w:style>
  <w:style w:type="character" w:customStyle="1" w:styleId="CommentTextChar">
    <w:name w:val="Comment Text Char"/>
    <w:basedOn w:val="DefaultParagraphFont"/>
    <w:link w:val="CommentText"/>
    <w:uiPriority w:val="99"/>
    <w:semiHidden/>
    <w:rsid w:val="00395012"/>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95012"/>
    <w:rPr>
      <w:b/>
      <w:bCs/>
    </w:rPr>
  </w:style>
  <w:style w:type="character" w:customStyle="1" w:styleId="CommentSubjectChar">
    <w:name w:val="Comment Subject Char"/>
    <w:basedOn w:val="CommentTextChar"/>
    <w:link w:val="CommentSubject"/>
    <w:uiPriority w:val="99"/>
    <w:semiHidden/>
    <w:rsid w:val="00395012"/>
    <w:rPr>
      <w:rFonts w:eastAsiaTheme="minorEastAsia"/>
      <w:b/>
      <w:bCs/>
      <w:sz w:val="20"/>
      <w:szCs w:val="20"/>
      <w:lang w:eastAsia="zh-CN"/>
    </w:rPr>
  </w:style>
  <w:style w:type="character" w:customStyle="1" w:styleId="Heading2Char">
    <w:name w:val="Heading 2 Char"/>
    <w:basedOn w:val="DefaultParagraphFont"/>
    <w:link w:val="Heading2"/>
    <w:uiPriority w:val="9"/>
    <w:rsid w:val="00D84ED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7F42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2D6"/>
    <w:rPr>
      <w:rFonts w:eastAsiaTheme="minorEastAsia"/>
      <w:sz w:val="20"/>
      <w:szCs w:val="20"/>
      <w:lang w:eastAsia="zh-CN"/>
    </w:rPr>
  </w:style>
  <w:style w:type="character" w:styleId="FootnoteReference">
    <w:name w:val="footnote reference"/>
    <w:basedOn w:val="DefaultParagraphFont"/>
    <w:uiPriority w:val="99"/>
    <w:semiHidden/>
    <w:unhideWhenUsed/>
    <w:rsid w:val="007F42D6"/>
    <w:rPr>
      <w:vertAlign w:val="superscript"/>
    </w:rPr>
  </w:style>
  <w:style w:type="table" w:styleId="TableGrid">
    <w:name w:val="Table Grid"/>
    <w:basedOn w:val="TableNormal"/>
    <w:uiPriority w:val="59"/>
    <w:rsid w:val="007F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6B14"/>
    <w:pPr>
      <w:spacing w:after="0" w:line="240" w:lineRule="auto"/>
    </w:pPr>
  </w:style>
  <w:style w:type="character" w:customStyle="1" w:styleId="Heading1Char">
    <w:name w:val="Heading 1 Char"/>
    <w:basedOn w:val="DefaultParagraphFont"/>
    <w:link w:val="Heading1"/>
    <w:uiPriority w:val="9"/>
    <w:rsid w:val="00F15A8D"/>
    <w:rPr>
      <w:rFonts w:asciiTheme="majorHAnsi" w:eastAsiaTheme="majorEastAsia" w:hAnsiTheme="majorHAnsi" w:cstheme="majorBidi"/>
      <w:b/>
      <w:bCs/>
      <w:color w:val="365F91" w:themeColor="accent1" w:themeShade="BF"/>
      <w:sz w:val="28"/>
      <w:szCs w:val="28"/>
      <w:lang w:eastAsia="zh-CN"/>
    </w:rPr>
  </w:style>
  <w:style w:type="paragraph" w:styleId="Bibliography">
    <w:name w:val="Bibliography"/>
    <w:basedOn w:val="Normal"/>
    <w:next w:val="Normal"/>
    <w:uiPriority w:val="37"/>
    <w:unhideWhenUsed/>
    <w:rsid w:val="00F15A8D"/>
  </w:style>
  <w:style w:type="character" w:styleId="SubtleReference">
    <w:name w:val="Subtle Reference"/>
    <w:uiPriority w:val="31"/>
    <w:qFormat/>
    <w:rsid w:val="00F15A8D"/>
    <w:rPr>
      <w:rFonts w:asciiTheme="majorBidi" w:hAnsiTheme="majorBidi" w:cstheme="majorBidi"/>
      <w:noProof/>
      <w:sz w:val="24"/>
      <w:szCs w:val="24"/>
      <w:lang w:val="en-US"/>
    </w:rPr>
  </w:style>
  <w:style w:type="paragraph" w:styleId="Header">
    <w:name w:val="header"/>
    <w:basedOn w:val="Normal"/>
    <w:link w:val="HeaderChar"/>
    <w:uiPriority w:val="99"/>
    <w:semiHidden/>
    <w:unhideWhenUsed/>
    <w:rsid w:val="00373B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3B86"/>
    <w:rPr>
      <w:rFonts w:eastAsiaTheme="minorEastAsia"/>
      <w:lang w:eastAsia="zh-CN"/>
    </w:rPr>
  </w:style>
  <w:style w:type="paragraph" w:styleId="Footer">
    <w:name w:val="footer"/>
    <w:basedOn w:val="Normal"/>
    <w:link w:val="FooterChar"/>
    <w:uiPriority w:val="99"/>
    <w:unhideWhenUsed/>
    <w:rsid w:val="00373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B86"/>
    <w:rPr>
      <w:rFonts w:eastAsiaTheme="minorEastAsia"/>
      <w:lang w:eastAsia="zh-CN"/>
    </w:rPr>
  </w:style>
  <w:style w:type="paragraph" w:styleId="PlainText">
    <w:name w:val="Plain Text"/>
    <w:basedOn w:val="Normal"/>
    <w:link w:val="PlainTextChar"/>
    <w:uiPriority w:val="99"/>
    <w:rsid w:val="0044181D"/>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44181D"/>
    <w:rPr>
      <w:rFonts w:ascii="Courier New" w:eastAsia="SimSu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AF4FC-B1A8-446F-8CE8-DBE8C24C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7210</Words>
  <Characters>41103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Cameron</dc:creator>
  <cp:lastModifiedBy>Brian Silverstone</cp:lastModifiedBy>
  <cp:revision>5</cp:revision>
  <cp:lastPrinted>2015-07-31T01:27:00Z</cp:lastPrinted>
  <dcterms:created xsi:type="dcterms:W3CDTF">2015-10-04T23:56:00Z</dcterms:created>
  <dcterms:modified xsi:type="dcterms:W3CDTF">2015-10-05T00:04:00Z</dcterms:modified>
</cp:coreProperties>
</file>