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A8" w:rsidRDefault="00FC17A8" w:rsidP="00BC1B69">
      <w:pPr>
        <w:pStyle w:val="PlainText"/>
        <w:tabs>
          <w:tab w:val="left" w:pos="284"/>
          <w:tab w:val="left" w:pos="426"/>
        </w:tabs>
        <w:spacing w:line="288" w:lineRule="auto"/>
        <w:jc w:val="center"/>
        <w:rPr>
          <w:rFonts w:ascii="Times New Roman" w:hAnsi="Times New Roman"/>
          <w:b/>
          <w:sz w:val="28"/>
        </w:rPr>
      </w:pPr>
    </w:p>
    <w:p w:rsidR="00FC17A8" w:rsidRDefault="00FC17A8" w:rsidP="00BC1B69">
      <w:pPr>
        <w:pStyle w:val="PlainText"/>
        <w:tabs>
          <w:tab w:val="left" w:pos="284"/>
          <w:tab w:val="left" w:pos="426"/>
        </w:tabs>
        <w:spacing w:line="288" w:lineRule="auto"/>
        <w:jc w:val="center"/>
        <w:rPr>
          <w:rFonts w:ascii="Times New Roman" w:hAnsi="Times New Roman"/>
          <w:b/>
          <w:sz w:val="28"/>
        </w:rPr>
      </w:pPr>
    </w:p>
    <w:p w:rsidR="00FC17A8" w:rsidRDefault="00FC17A8" w:rsidP="00BC1B69">
      <w:pPr>
        <w:pStyle w:val="PlainText"/>
        <w:tabs>
          <w:tab w:val="left" w:pos="284"/>
          <w:tab w:val="left" w:pos="426"/>
        </w:tabs>
        <w:spacing w:line="288" w:lineRule="auto"/>
        <w:jc w:val="center"/>
        <w:rPr>
          <w:rFonts w:ascii="Times New Roman" w:hAnsi="Times New Roman"/>
          <w:b/>
          <w:sz w:val="28"/>
        </w:rPr>
      </w:pPr>
    </w:p>
    <w:p w:rsidR="00145DF5" w:rsidRDefault="00145DF5" w:rsidP="00BC1B69">
      <w:pPr>
        <w:pStyle w:val="PlainText"/>
        <w:tabs>
          <w:tab w:val="left" w:pos="284"/>
          <w:tab w:val="left" w:pos="426"/>
        </w:tabs>
        <w:spacing w:line="288" w:lineRule="auto"/>
        <w:jc w:val="center"/>
        <w:rPr>
          <w:rFonts w:ascii="Times New Roman" w:hAnsi="Times New Roman"/>
          <w:b/>
          <w:sz w:val="28"/>
        </w:rPr>
      </w:pPr>
      <w:r>
        <w:rPr>
          <w:rFonts w:ascii="Times New Roman" w:hAnsi="Times New Roman"/>
          <w:b/>
          <w:sz w:val="28"/>
        </w:rPr>
        <w:t>UNIVERSITY OF WAIKATO</w:t>
      </w:r>
    </w:p>
    <w:p w:rsidR="00145DF5" w:rsidRDefault="00145DF5" w:rsidP="00BC1B69">
      <w:pPr>
        <w:pStyle w:val="PlainText"/>
        <w:tabs>
          <w:tab w:val="left" w:pos="284"/>
          <w:tab w:val="left" w:pos="426"/>
        </w:tabs>
        <w:spacing w:line="288" w:lineRule="auto"/>
        <w:jc w:val="center"/>
        <w:rPr>
          <w:rFonts w:ascii="Times New Roman" w:hAnsi="Times New Roman"/>
          <w:b/>
          <w:sz w:val="28"/>
        </w:rPr>
      </w:pPr>
    </w:p>
    <w:p w:rsidR="00145DF5" w:rsidRDefault="00145DF5" w:rsidP="00BC1B69">
      <w:pPr>
        <w:pStyle w:val="PlainText"/>
        <w:tabs>
          <w:tab w:val="left" w:pos="284"/>
          <w:tab w:val="left" w:pos="426"/>
        </w:tabs>
        <w:spacing w:line="288" w:lineRule="auto"/>
        <w:jc w:val="center"/>
        <w:rPr>
          <w:rFonts w:ascii="Times New Roman" w:hAnsi="Times New Roman"/>
          <w:b/>
          <w:sz w:val="28"/>
        </w:rPr>
      </w:pPr>
      <w:r>
        <w:rPr>
          <w:rFonts w:ascii="Times New Roman" w:hAnsi="Times New Roman"/>
          <w:b/>
          <w:sz w:val="28"/>
        </w:rPr>
        <w:t>Hamilton</w:t>
      </w:r>
    </w:p>
    <w:p w:rsidR="00145DF5" w:rsidRDefault="00145DF5" w:rsidP="00BC1B69">
      <w:pPr>
        <w:pStyle w:val="PlainText"/>
        <w:tabs>
          <w:tab w:val="left" w:pos="284"/>
          <w:tab w:val="left" w:pos="426"/>
        </w:tabs>
        <w:spacing w:line="288" w:lineRule="auto"/>
        <w:jc w:val="center"/>
        <w:rPr>
          <w:rFonts w:ascii="Times New Roman" w:hAnsi="Times New Roman"/>
          <w:b/>
          <w:sz w:val="28"/>
        </w:rPr>
      </w:pPr>
      <w:r>
        <w:rPr>
          <w:rFonts w:ascii="Times New Roman" w:hAnsi="Times New Roman"/>
          <w:b/>
          <w:sz w:val="28"/>
        </w:rPr>
        <w:t>New Zealand</w:t>
      </w:r>
    </w:p>
    <w:p w:rsidR="00145DF5" w:rsidRDefault="00145DF5" w:rsidP="00BC1B69">
      <w:pPr>
        <w:pStyle w:val="PlainText"/>
        <w:tabs>
          <w:tab w:val="left" w:pos="284"/>
          <w:tab w:val="left" w:pos="426"/>
        </w:tabs>
        <w:spacing w:line="288" w:lineRule="auto"/>
        <w:jc w:val="center"/>
        <w:rPr>
          <w:rFonts w:ascii="Times New Roman" w:hAnsi="Times New Roman"/>
          <w:b/>
          <w:sz w:val="28"/>
        </w:rPr>
      </w:pPr>
    </w:p>
    <w:p w:rsidR="0039304C" w:rsidRDefault="0039304C" w:rsidP="00BC1B69">
      <w:pPr>
        <w:pStyle w:val="PlainText"/>
        <w:tabs>
          <w:tab w:val="left" w:pos="284"/>
          <w:tab w:val="left" w:pos="426"/>
        </w:tabs>
        <w:spacing w:line="288" w:lineRule="auto"/>
        <w:jc w:val="center"/>
        <w:rPr>
          <w:rFonts w:ascii="Times New Roman" w:hAnsi="Times New Roman"/>
          <w:b/>
          <w:sz w:val="28"/>
        </w:rPr>
      </w:pPr>
    </w:p>
    <w:p w:rsidR="00145DF5" w:rsidRDefault="00145DF5" w:rsidP="00BC1B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imes New Roman" w:hAnsi="Times New Roman"/>
          <w:b/>
          <w:sz w:val="24"/>
          <w:szCs w:val="24"/>
        </w:rPr>
      </w:pPr>
    </w:p>
    <w:p w:rsidR="00BC1B69" w:rsidRDefault="00FC17A8" w:rsidP="00BC1B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imes New Roman" w:hAnsi="Times New Roman" w:cs="Times New Roman"/>
          <w:b/>
          <w:sz w:val="28"/>
          <w:szCs w:val="28"/>
        </w:rPr>
      </w:pPr>
      <w:r>
        <w:rPr>
          <w:rFonts w:ascii="Times New Roman" w:hAnsi="Times New Roman" w:cs="Times New Roman"/>
          <w:b/>
          <w:sz w:val="28"/>
          <w:szCs w:val="28"/>
        </w:rPr>
        <w:t>Labour Force Participation among O</w:t>
      </w:r>
      <w:r w:rsidR="00145DF5" w:rsidRPr="00145DF5">
        <w:rPr>
          <w:rFonts w:ascii="Times New Roman" w:hAnsi="Times New Roman" w:cs="Times New Roman"/>
          <w:b/>
          <w:sz w:val="28"/>
          <w:szCs w:val="28"/>
        </w:rPr>
        <w:t xml:space="preserve">lder New Zealanders, </w:t>
      </w:r>
    </w:p>
    <w:p w:rsidR="00145DF5" w:rsidRPr="00145DF5" w:rsidRDefault="00145DF5" w:rsidP="00BC1B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imes New Roman" w:hAnsi="Times New Roman" w:cs="Times New Roman"/>
          <w:b/>
          <w:sz w:val="28"/>
          <w:szCs w:val="28"/>
        </w:rPr>
      </w:pPr>
      <w:r w:rsidRPr="00145DF5">
        <w:rPr>
          <w:rFonts w:ascii="Times New Roman" w:hAnsi="Times New Roman" w:cs="Times New Roman"/>
          <w:b/>
          <w:sz w:val="28"/>
          <w:szCs w:val="28"/>
        </w:rPr>
        <w:t>1991-2013</w:t>
      </w:r>
    </w:p>
    <w:p w:rsidR="00145DF5" w:rsidRDefault="00145DF5" w:rsidP="00BC1B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imes New Roman" w:hAnsi="Times New Roman"/>
          <w:bCs/>
          <w:sz w:val="28"/>
          <w:szCs w:val="28"/>
          <w:lang w:val="en-NZ"/>
        </w:rPr>
      </w:pPr>
    </w:p>
    <w:p w:rsidR="00145DF5" w:rsidRPr="00145DF5" w:rsidRDefault="00145DF5" w:rsidP="00BC1B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imes New Roman" w:hAnsi="Times New Roman" w:cs="Times New Roman"/>
          <w:bCs/>
          <w:sz w:val="28"/>
          <w:szCs w:val="28"/>
        </w:rPr>
      </w:pPr>
      <w:r w:rsidRPr="00145DF5">
        <w:rPr>
          <w:rFonts w:ascii="Times New Roman" w:hAnsi="Times New Roman" w:cs="Times New Roman"/>
          <w:bCs/>
          <w:sz w:val="28"/>
          <w:szCs w:val="28"/>
        </w:rPr>
        <w:t>Michael P. Cameron</w:t>
      </w:r>
    </w:p>
    <w:p w:rsidR="00145DF5" w:rsidRDefault="00145DF5" w:rsidP="00BC1B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imes New Roman" w:hAnsi="Times New Roman" w:cs="Times New Roman"/>
          <w:bCs/>
          <w:i/>
          <w:iCs/>
          <w:sz w:val="24"/>
          <w:szCs w:val="24"/>
        </w:rPr>
      </w:pPr>
    </w:p>
    <w:p w:rsidR="00145DF5" w:rsidRDefault="00145DF5" w:rsidP="00BC1B69">
      <w:pPr>
        <w:pStyle w:val="PlainText"/>
        <w:tabs>
          <w:tab w:val="left" w:pos="284"/>
          <w:tab w:val="left" w:pos="426"/>
        </w:tabs>
        <w:spacing w:line="288" w:lineRule="auto"/>
        <w:jc w:val="both"/>
        <w:rPr>
          <w:rFonts w:ascii="Times New Roman" w:hAnsi="Times New Roman"/>
          <w:b/>
        </w:rPr>
      </w:pPr>
    </w:p>
    <w:p w:rsidR="007C7F57" w:rsidRDefault="007C7F57" w:rsidP="00BC1B69">
      <w:pPr>
        <w:pStyle w:val="PlainText"/>
        <w:tabs>
          <w:tab w:val="left" w:pos="284"/>
          <w:tab w:val="left" w:pos="426"/>
        </w:tabs>
        <w:spacing w:line="288" w:lineRule="auto"/>
        <w:jc w:val="both"/>
        <w:rPr>
          <w:rFonts w:ascii="Times New Roman" w:hAnsi="Times New Roman"/>
          <w:b/>
        </w:rPr>
      </w:pPr>
    </w:p>
    <w:p w:rsidR="00145DF5" w:rsidRDefault="00145DF5" w:rsidP="00BC1B69">
      <w:pPr>
        <w:pStyle w:val="PlainText"/>
        <w:tabs>
          <w:tab w:val="left" w:pos="284"/>
          <w:tab w:val="left" w:pos="426"/>
        </w:tabs>
        <w:spacing w:line="288" w:lineRule="auto"/>
        <w:jc w:val="center"/>
        <w:rPr>
          <w:rFonts w:ascii="Times New Roman" w:hAnsi="Times New Roman"/>
          <w:b/>
          <w:bCs/>
          <w:sz w:val="28"/>
        </w:rPr>
      </w:pPr>
    </w:p>
    <w:p w:rsidR="00145DF5" w:rsidRDefault="00145DF5" w:rsidP="00BC1B69">
      <w:pPr>
        <w:pStyle w:val="PlainText"/>
        <w:tabs>
          <w:tab w:val="left" w:pos="284"/>
          <w:tab w:val="left" w:pos="426"/>
        </w:tabs>
        <w:spacing w:line="288" w:lineRule="auto"/>
        <w:jc w:val="center"/>
        <w:rPr>
          <w:rFonts w:ascii="Times New Roman" w:hAnsi="Times New Roman"/>
          <w:b/>
          <w:bCs/>
          <w:sz w:val="28"/>
        </w:rPr>
      </w:pPr>
      <w:r>
        <w:rPr>
          <w:rFonts w:ascii="Times New Roman" w:hAnsi="Times New Roman"/>
          <w:b/>
          <w:bCs/>
          <w:sz w:val="28"/>
        </w:rPr>
        <w:t>Department of Economics</w:t>
      </w:r>
    </w:p>
    <w:p w:rsidR="00145DF5" w:rsidRDefault="00145DF5" w:rsidP="00BC1B69">
      <w:pPr>
        <w:pStyle w:val="PlainText"/>
        <w:tabs>
          <w:tab w:val="left" w:pos="284"/>
          <w:tab w:val="left" w:pos="426"/>
        </w:tabs>
        <w:spacing w:line="288" w:lineRule="auto"/>
        <w:jc w:val="center"/>
        <w:rPr>
          <w:rFonts w:ascii="Times New Roman" w:hAnsi="Times New Roman"/>
          <w:b/>
          <w:bCs/>
          <w:sz w:val="28"/>
        </w:rPr>
      </w:pPr>
    </w:p>
    <w:p w:rsidR="00145DF5" w:rsidRDefault="00145DF5" w:rsidP="00BC1B69">
      <w:pPr>
        <w:pStyle w:val="PlainText"/>
        <w:tabs>
          <w:tab w:val="left" w:pos="284"/>
          <w:tab w:val="left" w:pos="426"/>
        </w:tabs>
        <w:spacing w:line="288" w:lineRule="auto"/>
        <w:jc w:val="center"/>
        <w:rPr>
          <w:rFonts w:ascii="Times New Roman" w:hAnsi="Times New Roman"/>
          <w:b/>
          <w:bCs/>
          <w:sz w:val="28"/>
        </w:rPr>
      </w:pPr>
      <w:r>
        <w:rPr>
          <w:rFonts w:ascii="Times New Roman" w:hAnsi="Times New Roman"/>
          <w:b/>
          <w:bCs/>
          <w:sz w:val="28"/>
        </w:rPr>
        <w:t xml:space="preserve">Working Paper in </w:t>
      </w:r>
      <w:r w:rsidR="00317631">
        <w:rPr>
          <w:rFonts w:ascii="Times New Roman" w:hAnsi="Times New Roman"/>
          <w:b/>
          <w:bCs/>
          <w:sz w:val="28"/>
        </w:rPr>
        <w:t>Economics 14/06</w:t>
      </w:r>
    </w:p>
    <w:p w:rsidR="00145DF5" w:rsidRDefault="00145DF5" w:rsidP="00BC1B69">
      <w:pPr>
        <w:pStyle w:val="PlainText"/>
        <w:tabs>
          <w:tab w:val="left" w:pos="284"/>
          <w:tab w:val="left" w:pos="426"/>
        </w:tabs>
        <w:spacing w:line="288" w:lineRule="auto"/>
        <w:jc w:val="center"/>
        <w:rPr>
          <w:rFonts w:ascii="Times New Roman" w:hAnsi="Times New Roman"/>
          <w:b/>
          <w:bCs/>
          <w:sz w:val="28"/>
        </w:rPr>
      </w:pPr>
    </w:p>
    <w:p w:rsidR="00672DDD" w:rsidRDefault="00145DF5" w:rsidP="00BC1B69">
      <w:pPr>
        <w:pStyle w:val="PlainText"/>
        <w:tabs>
          <w:tab w:val="left" w:pos="284"/>
          <w:tab w:val="left" w:pos="426"/>
        </w:tabs>
        <w:spacing w:line="288" w:lineRule="auto"/>
        <w:jc w:val="center"/>
        <w:rPr>
          <w:rFonts w:ascii="Times New Roman" w:hAnsi="Times New Roman"/>
          <w:sz w:val="28"/>
        </w:rPr>
      </w:pPr>
      <w:r>
        <w:rPr>
          <w:rFonts w:ascii="Times New Roman" w:hAnsi="Times New Roman"/>
          <w:sz w:val="28"/>
        </w:rPr>
        <w:t>June 2014</w:t>
      </w:r>
    </w:p>
    <w:p w:rsidR="00145DF5" w:rsidRDefault="00672DDD" w:rsidP="00BC1B69">
      <w:pPr>
        <w:pStyle w:val="PlainText"/>
        <w:tabs>
          <w:tab w:val="left" w:pos="284"/>
          <w:tab w:val="left" w:pos="426"/>
        </w:tabs>
        <w:spacing w:line="288" w:lineRule="auto"/>
        <w:jc w:val="center"/>
        <w:rPr>
          <w:rFonts w:ascii="Times New Roman" w:hAnsi="Times New Roman"/>
          <w:sz w:val="28"/>
        </w:rPr>
      </w:pPr>
      <w:r>
        <w:rPr>
          <w:rFonts w:ascii="Times New Roman" w:hAnsi="Times New Roman"/>
          <w:sz w:val="28"/>
        </w:rPr>
        <w:t>R</w:t>
      </w:r>
      <w:r w:rsidR="00EF382E">
        <w:rPr>
          <w:rFonts w:ascii="Times New Roman" w:hAnsi="Times New Roman"/>
          <w:sz w:val="28"/>
        </w:rPr>
        <w:t>evised July 2014</w:t>
      </w:r>
    </w:p>
    <w:p w:rsidR="00145DF5" w:rsidRDefault="00145DF5" w:rsidP="00BC1B69">
      <w:pPr>
        <w:pStyle w:val="PlainText"/>
        <w:tabs>
          <w:tab w:val="left" w:pos="284"/>
          <w:tab w:val="left" w:pos="426"/>
        </w:tabs>
        <w:spacing w:line="288" w:lineRule="auto"/>
        <w:jc w:val="center"/>
        <w:rPr>
          <w:rFonts w:ascii="Times New Roman" w:hAnsi="Times New Roman"/>
          <w:sz w:val="28"/>
        </w:rPr>
      </w:pPr>
    </w:p>
    <w:p w:rsidR="007C7F57" w:rsidRDefault="007C7F57" w:rsidP="00BC1B69">
      <w:pPr>
        <w:pStyle w:val="PlainText"/>
        <w:tabs>
          <w:tab w:val="left" w:pos="284"/>
          <w:tab w:val="left" w:pos="426"/>
        </w:tabs>
        <w:spacing w:line="288" w:lineRule="auto"/>
        <w:jc w:val="center"/>
        <w:rPr>
          <w:rFonts w:ascii="Times New Roman" w:hAnsi="Times New Roman"/>
          <w:sz w:val="28"/>
        </w:rPr>
      </w:pPr>
    </w:p>
    <w:p w:rsidR="007C7F57" w:rsidRDefault="007C7F57" w:rsidP="00BC1B69">
      <w:pPr>
        <w:pStyle w:val="PlainText"/>
        <w:tabs>
          <w:tab w:val="left" w:pos="284"/>
          <w:tab w:val="left" w:pos="426"/>
        </w:tabs>
        <w:spacing w:line="288" w:lineRule="auto"/>
        <w:jc w:val="center"/>
        <w:rPr>
          <w:rFonts w:ascii="Times New Roman" w:hAnsi="Times New Roman"/>
          <w:sz w:val="28"/>
        </w:rPr>
      </w:pPr>
    </w:p>
    <w:p w:rsidR="00145DF5" w:rsidRDefault="00145DF5" w:rsidP="00BC1B69">
      <w:pPr>
        <w:pStyle w:val="PlainText"/>
        <w:tabs>
          <w:tab w:val="left" w:pos="284"/>
          <w:tab w:val="left" w:pos="426"/>
        </w:tabs>
        <w:spacing w:line="288" w:lineRule="auto"/>
        <w:jc w:val="center"/>
        <w:rPr>
          <w:rFonts w:ascii="Times New Roman" w:hAnsi="Times New Roman"/>
          <w:sz w:val="22"/>
        </w:rPr>
      </w:pPr>
    </w:p>
    <w:p w:rsidR="00145DF5" w:rsidRDefault="00145DF5" w:rsidP="00BC1B69">
      <w:pPr>
        <w:pStyle w:val="PlainText"/>
        <w:tabs>
          <w:tab w:val="left" w:pos="284"/>
          <w:tab w:val="left" w:pos="426"/>
        </w:tabs>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Michael P. Cameron</w:t>
      </w:r>
    </w:p>
    <w:p w:rsidR="000F15E0" w:rsidRDefault="00145DF5" w:rsidP="00FC17A8">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Department</w:t>
      </w:r>
      <w:r w:rsidR="000F15E0">
        <w:rPr>
          <w:rFonts w:ascii="Times New Roman" w:hAnsi="Times New Roman" w:cs="Times New Roman"/>
          <w:sz w:val="24"/>
          <w:szCs w:val="24"/>
        </w:rPr>
        <w:t xml:space="preserve"> of Economics</w:t>
      </w:r>
    </w:p>
    <w:p w:rsidR="00145DF5" w:rsidRDefault="000F15E0" w:rsidP="00FC17A8">
      <w:pPr>
        <w:pStyle w:val="PlainText"/>
        <w:tabs>
          <w:tab w:val="left" w:pos="284"/>
          <w:tab w:val="left" w:pos="426"/>
        </w:tabs>
        <w:jc w:val="cente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145DF5">
        <w:rPr>
          <w:rFonts w:ascii="Times New Roman" w:hAnsi="Times New Roman" w:cs="Times New Roman"/>
          <w:sz w:val="24"/>
          <w:szCs w:val="24"/>
        </w:rPr>
        <w:t xml:space="preserve"> </w:t>
      </w:r>
    </w:p>
    <w:p w:rsidR="00FC17A8" w:rsidRDefault="000F15E0" w:rsidP="00FC17A8">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N</w:t>
      </w:r>
      <w:r w:rsidR="00FC17A8">
        <w:rPr>
          <w:rFonts w:ascii="Times New Roman" w:hAnsi="Times New Roman" w:cs="Times New Roman"/>
          <w:sz w:val="24"/>
          <w:szCs w:val="24"/>
        </w:rPr>
        <w:t xml:space="preserve">ational Institute of Demographic </w:t>
      </w:r>
      <w:r w:rsidR="003B3104">
        <w:rPr>
          <w:rFonts w:ascii="Times New Roman" w:hAnsi="Times New Roman" w:cs="Times New Roman"/>
          <w:sz w:val="24"/>
          <w:szCs w:val="24"/>
        </w:rPr>
        <w:t>&amp;</w:t>
      </w:r>
      <w:r w:rsidR="00FC17A8">
        <w:rPr>
          <w:rFonts w:ascii="Times New Roman" w:hAnsi="Times New Roman" w:cs="Times New Roman"/>
          <w:sz w:val="24"/>
          <w:szCs w:val="24"/>
        </w:rPr>
        <w:t xml:space="preserve"> Economic Analysis</w:t>
      </w:r>
    </w:p>
    <w:p w:rsidR="003B3104" w:rsidRDefault="003B3104" w:rsidP="00FC17A8">
      <w:pPr>
        <w:pStyle w:val="PlainText"/>
        <w:tabs>
          <w:tab w:val="left" w:pos="284"/>
          <w:tab w:val="left" w:pos="426"/>
        </w:tabs>
        <w:jc w:val="center"/>
        <w:rPr>
          <w:rFonts w:ascii="Times New Roman" w:hAnsi="Times New Roman" w:cs="Times New Roman"/>
          <w:sz w:val="24"/>
          <w:szCs w:val="24"/>
        </w:rPr>
      </w:pPr>
    </w:p>
    <w:p w:rsidR="00145DF5" w:rsidRDefault="00145DF5" w:rsidP="00FC17A8">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 xml:space="preserve">University of Waikato, </w:t>
      </w:r>
    </w:p>
    <w:p w:rsidR="00145DF5" w:rsidRDefault="00145DF5" w:rsidP="00FC17A8">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Private Bag 3105,</w:t>
      </w:r>
    </w:p>
    <w:p w:rsidR="00145DF5" w:rsidRDefault="00145DF5" w:rsidP="00FC17A8">
      <w:pPr>
        <w:pStyle w:val="PlainText"/>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Hamilton</w:t>
      </w:r>
      <w:r w:rsidR="00C8552F">
        <w:rPr>
          <w:rFonts w:ascii="Times New Roman" w:hAnsi="Times New Roman" w:cs="Times New Roman"/>
          <w:sz w:val="24"/>
          <w:szCs w:val="24"/>
        </w:rPr>
        <w:t xml:space="preserve"> 3240</w:t>
      </w:r>
      <w:r>
        <w:rPr>
          <w:rFonts w:ascii="Times New Roman" w:hAnsi="Times New Roman" w:cs="Times New Roman"/>
          <w:sz w:val="24"/>
          <w:szCs w:val="24"/>
        </w:rPr>
        <w:t>, New Zealand</w:t>
      </w:r>
    </w:p>
    <w:p w:rsidR="00145DF5" w:rsidRDefault="00145DF5" w:rsidP="00BC1B69">
      <w:pPr>
        <w:pStyle w:val="PlainText"/>
        <w:tabs>
          <w:tab w:val="left" w:pos="284"/>
          <w:tab w:val="left" w:pos="426"/>
        </w:tabs>
        <w:spacing w:line="288" w:lineRule="auto"/>
        <w:jc w:val="center"/>
        <w:rPr>
          <w:rFonts w:ascii="Times New Roman" w:hAnsi="Times New Roman" w:cs="Times New Roman"/>
          <w:sz w:val="24"/>
          <w:szCs w:val="24"/>
        </w:rPr>
      </w:pPr>
    </w:p>
    <w:p w:rsidR="00145DF5" w:rsidRDefault="00145DF5" w:rsidP="00BC1B69">
      <w:pPr>
        <w:pStyle w:val="PlainText"/>
        <w:tabs>
          <w:tab w:val="left" w:pos="284"/>
          <w:tab w:val="left" w:pos="426"/>
        </w:tabs>
        <w:spacing w:line="288" w:lineRule="auto"/>
        <w:jc w:val="center"/>
        <w:rPr>
          <w:rFonts w:ascii="Times New Roman" w:hAnsi="Times New Roman" w:cs="Times New Roman"/>
          <w:sz w:val="24"/>
          <w:szCs w:val="24"/>
        </w:rPr>
      </w:pPr>
      <w:r>
        <w:rPr>
          <w:rFonts w:ascii="Times New Roman" w:hAnsi="Times New Roman" w:cs="Times New Roman"/>
          <w:sz w:val="24"/>
          <w:szCs w:val="24"/>
        </w:rPr>
        <w:t>Email: mcam@waikato.ac.nz</w:t>
      </w:r>
    </w:p>
    <w:p w:rsidR="00145DF5" w:rsidRPr="00C8552F" w:rsidRDefault="00145DF5" w:rsidP="00BC1B69">
      <w:pPr>
        <w:tabs>
          <w:tab w:val="left" w:pos="284"/>
          <w:tab w:val="left" w:pos="426"/>
        </w:tabs>
        <w:spacing w:after="0" w:line="288" w:lineRule="auto"/>
        <w:jc w:val="center"/>
        <w:rPr>
          <w:rFonts w:ascii="Times New Roman" w:hAnsi="Times New Roman" w:cs="Times New Roman"/>
          <w:sz w:val="24"/>
          <w:szCs w:val="24"/>
        </w:rPr>
      </w:pPr>
      <w:r w:rsidRPr="00C8552F">
        <w:rPr>
          <w:rFonts w:ascii="Times New Roman" w:hAnsi="Times New Roman" w:cs="Times New Roman"/>
        </w:rPr>
        <w:t>Tel: +64 (0)7 858 5082</w:t>
      </w:r>
    </w:p>
    <w:p w:rsidR="00A111B9" w:rsidRPr="00A111B9" w:rsidRDefault="00A111B9" w:rsidP="00BC1B69">
      <w:pPr>
        <w:tabs>
          <w:tab w:val="left" w:pos="426"/>
        </w:tabs>
        <w:spacing w:after="0" w:line="288" w:lineRule="auto"/>
        <w:jc w:val="center"/>
        <w:rPr>
          <w:rFonts w:ascii="Times New Roman" w:hAnsi="Times New Roman" w:cs="Times New Roman"/>
          <w:sz w:val="24"/>
          <w:szCs w:val="24"/>
        </w:rPr>
      </w:pPr>
      <w:bookmarkStart w:id="0" w:name="_GoBack"/>
      <w:bookmarkEnd w:id="0"/>
    </w:p>
    <w:p w:rsidR="00FC17A8" w:rsidRDefault="00FC17A8" w:rsidP="00FC17A8">
      <w:pPr>
        <w:tabs>
          <w:tab w:val="left" w:pos="426"/>
        </w:tabs>
        <w:spacing w:after="0" w:line="288" w:lineRule="auto"/>
        <w:jc w:val="center"/>
        <w:rPr>
          <w:rFonts w:asciiTheme="majorBidi" w:hAnsiTheme="majorBidi"/>
          <w:b/>
          <w:bCs/>
          <w:sz w:val="26"/>
          <w:szCs w:val="26"/>
        </w:rPr>
      </w:pPr>
    </w:p>
    <w:p w:rsidR="00FC17A8" w:rsidRDefault="00FC17A8" w:rsidP="00FC17A8">
      <w:pPr>
        <w:tabs>
          <w:tab w:val="left" w:pos="426"/>
        </w:tabs>
        <w:spacing w:after="0" w:line="288" w:lineRule="auto"/>
        <w:jc w:val="center"/>
        <w:rPr>
          <w:rFonts w:asciiTheme="majorBidi" w:hAnsiTheme="majorBidi"/>
          <w:b/>
          <w:bCs/>
          <w:sz w:val="26"/>
          <w:szCs w:val="26"/>
        </w:rPr>
      </w:pPr>
    </w:p>
    <w:p w:rsidR="00FC17A8" w:rsidRDefault="00FC17A8" w:rsidP="00FC17A8">
      <w:pPr>
        <w:tabs>
          <w:tab w:val="left" w:pos="426"/>
        </w:tabs>
        <w:spacing w:after="0" w:line="288" w:lineRule="auto"/>
        <w:jc w:val="center"/>
        <w:rPr>
          <w:rFonts w:asciiTheme="majorBidi" w:hAnsiTheme="majorBidi"/>
          <w:b/>
          <w:bCs/>
          <w:sz w:val="26"/>
          <w:szCs w:val="26"/>
        </w:rPr>
      </w:pPr>
    </w:p>
    <w:p w:rsidR="00FC17A8" w:rsidRDefault="00FC17A8" w:rsidP="00FC17A8">
      <w:pPr>
        <w:tabs>
          <w:tab w:val="left" w:pos="426"/>
        </w:tabs>
        <w:spacing w:after="0" w:line="288" w:lineRule="auto"/>
        <w:jc w:val="center"/>
        <w:rPr>
          <w:rFonts w:asciiTheme="majorBidi" w:hAnsiTheme="majorBidi"/>
          <w:b/>
          <w:bCs/>
          <w:sz w:val="26"/>
          <w:szCs w:val="26"/>
        </w:rPr>
      </w:pPr>
    </w:p>
    <w:p w:rsidR="00FC17A8" w:rsidRDefault="00FC17A8" w:rsidP="00FC17A8">
      <w:pPr>
        <w:tabs>
          <w:tab w:val="left" w:pos="426"/>
        </w:tabs>
        <w:spacing w:after="0" w:line="288" w:lineRule="auto"/>
        <w:jc w:val="center"/>
        <w:rPr>
          <w:rFonts w:asciiTheme="majorBidi" w:hAnsiTheme="majorBidi"/>
          <w:b/>
          <w:bCs/>
          <w:sz w:val="24"/>
          <w:szCs w:val="24"/>
        </w:rPr>
      </w:pPr>
    </w:p>
    <w:p w:rsidR="00FC17A8" w:rsidRDefault="00FC17A8" w:rsidP="00FC17A8">
      <w:pPr>
        <w:tabs>
          <w:tab w:val="left" w:pos="426"/>
        </w:tabs>
        <w:spacing w:after="0" w:line="288" w:lineRule="auto"/>
        <w:jc w:val="center"/>
        <w:rPr>
          <w:rFonts w:asciiTheme="majorBidi" w:hAnsiTheme="majorBidi"/>
          <w:b/>
          <w:bCs/>
          <w:sz w:val="24"/>
          <w:szCs w:val="24"/>
        </w:rPr>
      </w:pPr>
    </w:p>
    <w:p w:rsidR="009C36F5" w:rsidRPr="00FC17A8" w:rsidRDefault="005010E6" w:rsidP="00FC17A8">
      <w:pPr>
        <w:tabs>
          <w:tab w:val="left" w:pos="426"/>
        </w:tabs>
        <w:spacing w:after="0" w:line="288" w:lineRule="auto"/>
        <w:jc w:val="center"/>
        <w:rPr>
          <w:rFonts w:asciiTheme="majorBidi" w:hAnsiTheme="majorBidi"/>
          <w:b/>
          <w:bCs/>
          <w:sz w:val="24"/>
          <w:szCs w:val="24"/>
        </w:rPr>
      </w:pPr>
      <w:r w:rsidRPr="00FC17A8">
        <w:rPr>
          <w:rFonts w:asciiTheme="majorBidi" w:hAnsiTheme="majorBidi"/>
          <w:b/>
          <w:bCs/>
          <w:sz w:val="24"/>
          <w:szCs w:val="24"/>
        </w:rPr>
        <w:t>Abstract</w:t>
      </w:r>
    </w:p>
    <w:p w:rsidR="00FC17A8" w:rsidRPr="00FC17A8" w:rsidRDefault="00FC17A8" w:rsidP="00FC17A8">
      <w:pPr>
        <w:tabs>
          <w:tab w:val="left" w:pos="426"/>
        </w:tabs>
        <w:spacing w:after="0" w:line="360" w:lineRule="auto"/>
        <w:jc w:val="center"/>
        <w:rPr>
          <w:rFonts w:asciiTheme="majorBidi" w:hAnsiTheme="majorBidi"/>
          <w:b/>
          <w:bCs/>
          <w:sz w:val="12"/>
          <w:szCs w:val="12"/>
        </w:rPr>
      </w:pPr>
    </w:p>
    <w:p w:rsidR="003B6A7B" w:rsidRPr="00FC17A8" w:rsidRDefault="003B6A7B" w:rsidP="00FC17A8">
      <w:pPr>
        <w:tabs>
          <w:tab w:val="left" w:pos="426"/>
        </w:tabs>
        <w:spacing w:after="0" w:line="360" w:lineRule="auto"/>
        <w:jc w:val="both"/>
        <w:rPr>
          <w:rFonts w:ascii="Times New Roman" w:hAnsi="Times New Roman" w:cs="Times New Roman"/>
          <w:sz w:val="24"/>
          <w:szCs w:val="24"/>
        </w:rPr>
      </w:pPr>
      <w:r w:rsidRPr="00FC17A8">
        <w:rPr>
          <w:rFonts w:ascii="Times New Roman" w:eastAsia="Times New Roman" w:hAnsi="Times New Roman" w:cs="Times New Roman"/>
          <w:sz w:val="24"/>
          <w:szCs w:val="24"/>
        </w:rPr>
        <w:t xml:space="preserve">New Zealand’s population is ageing rapidly and alongside this the labour force is also ageing. </w:t>
      </w:r>
      <w:r w:rsidRPr="00FC17A8">
        <w:rPr>
          <w:rFonts w:ascii="Times New Roman" w:hAnsi="Times New Roman" w:cs="Times New Roman"/>
          <w:sz w:val="24"/>
          <w:szCs w:val="24"/>
        </w:rPr>
        <w:t>This paper presents a descriptive analysis of the labour force and employment trends a</w:t>
      </w:r>
      <w:r w:rsidR="0039304C">
        <w:rPr>
          <w:rFonts w:ascii="Times New Roman" w:hAnsi="Times New Roman" w:cs="Times New Roman"/>
          <w:sz w:val="24"/>
          <w:szCs w:val="24"/>
        </w:rPr>
        <w:t xml:space="preserve">mong older New Zealanders (that is, </w:t>
      </w:r>
      <w:r w:rsidRPr="00FC17A8">
        <w:rPr>
          <w:rFonts w:ascii="Times New Roman" w:hAnsi="Times New Roman" w:cs="Times New Roman"/>
          <w:sz w:val="24"/>
          <w:szCs w:val="24"/>
        </w:rPr>
        <w:t>those aged 55 and over). Specifically, the paper focuses on labour force participation by age-group, by cohort and by region, and employment by industry and by occupation. I find that the older labour force is large and growing over time, and the patterns are similar by gender and by region.</w:t>
      </w:r>
      <w:r w:rsidR="00CF7B3E" w:rsidRPr="00FC17A8">
        <w:rPr>
          <w:rFonts w:ascii="Times New Roman" w:hAnsi="Times New Roman" w:cs="Times New Roman"/>
          <w:sz w:val="24"/>
          <w:szCs w:val="24"/>
        </w:rPr>
        <w:t xml:space="preserve"> Employment of older workers is more concentrated in agriculture than other industries or occupations. Cohort analysis reveals that generational differences in labour force participation rates are a significant driver of increases in the older labour force, but that cohort</w:t>
      </w:r>
      <w:r w:rsidRPr="00FC17A8">
        <w:rPr>
          <w:rFonts w:ascii="Times New Roman" w:hAnsi="Times New Roman" w:cs="Times New Roman"/>
          <w:sz w:val="24"/>
          <w:szCs w:val="24"/>
        </w:rPr>
        <w:t xml:space="preserve"> differences do not </w:t>
      </w:r>
      <w:r w:rsidR="00CF7B3E" w:rsidRPr="00FC17A8">
        <w:rPr>
          <w:rFonts w:ascii="Times New Roman" w:hAnsi="Times New Roman" w:cs="Times New Roman"/>
          <w:sz w:val="24"/>
          <w:szCs w:val="24"/>
        </w:rPr>
        <w:t>explain increases in the proportion of</w:t>
      </w:r>
      <w:r w:rsidRPr="00FC17A8">
        <w:rPr>
          <w:rFonts w:ascii="Times New Roman" w:hAnsi="Times New Roman" w:cs="Times New Roman"/>
          <w:sz w:val="24"/>
          <w:szCs w:val="24"/>
        </w:rPr>
        <w:t xml:space="preserve"> full-time employment</w:t>
      </w:r>
      <w:r w:rsidR="00CF7B3E" w:rsidRPr="00FC17A8">
        <w:rPr>
          <w:rFonts w:ascii="Times New Roman" w:hAnsi="Times New Roman" w:cs="Times New Roman"/>
          <w:sz w:val="24"/>
          <w:szCs w:val="24"/>
        </w:rPr>
        <w:t xml:space="preserve"> among older workers</w:t>
      </w:r>
      <w:r w:rsidRPr="00FC17A8">
        <w:rPr>
          <w:rFonts w:ascii="Times New Roman" w:hAnsi="Times New Roman" w:cs="Times New Roman"/>
          <w:sz w:val="24"/>
          <w:szCs w:val="24"/>
        </w:rPr>
        <w:t xml:space="preserve"> to the same extent.</w:t>
      </w:r>
    </w:p>
    <w:p w:rsidR="004D688E" w:rsidRPr="00FC17A8" w:rsidRDefault="004D688E" w:rsidP="00BC1B69">
      <w:pPr>
        <w:tabs>
          <w:tab w:val="left" w:pos="426"/>
        </w:tabs>
        <w:spacing w:after="0" w:line="288" w:lineRule="auto"/>
        <w:jc w:val="both"/>
        <w:rPr>
          <w:rFonts w:ascii="Times New Roman" w:hAnsi="Times New Roman" w:cs="Times New Roman"/>
          <w:sz w:val="24"/>
          <w:szCs w:val="24"/>
        </w:rPr>
      </w:pPr>
    </w:p>
    <w:p w:rsidR="00FC17A8" w:rsidRPr="00FC17A8" w:rsidRDefault="00FC17A8" w:rsidP="00BC1B69">
      <w:pPr>
        <w:tabs>
          <w:tab w:val="left" w:pos="426"/>
        </w:tabs>
        <w:spacing w:after="0" w:line="288" w:lineRule="auto"/>
        <w:jc w:val="both"/>
        <w:rPr>
          <w:rFonts w:ascii="Times New Roman" w:hAnsi="Times New Roman" w:cs="Times New Roman"/>
          <w:sz w:val="24"/>
          <w:szCs w:val="24"/>
        </w:rPr>
      </w:pPr>
    </w:p>
    <w:p w:rsidR="004D688E" w:rsidRPr="00FC17A8" w:rsidRDefault="004D688E" w:rsidP="00BC1B69">
      <w:pPr>
        <w:tabs>
          <w:tab w:val="left" w:pos="426"/>
        </w:tabs>
        <w:spacing w:after="0" w:line="288" w:lineRule="auto"/>
        <w:jc w:val="center"/>
        <w:rPr>
          <w:rFonts w:ascii="Times New Roman" w:hAnsi="Times New Roman" w:cs="Times New Roman"/>
          <w:b/>
          <w:sz w:val="24"/>
          <w:szCs w:val="24"/>
        </w:rPr>
      </w:pPr>
      <w:r w:rsidRPr="00FC17A8">
        <w:rPr>
          <w:rFonts w:ascii="Times New Roman" w:hAnsi="Times New Roman" w:cs="Times New Roman"/>
          <w:b/>
          <w:sz w:val="24"/>
          <w:szCs w:val="24"/>
        </w:rPr>
        <w:t>Keywords</w:t>
      </w:r>
    </w:p>
    <w:p w:rsidR="00FC17A8" w:rsidRPr="00FC17A8" w:rsidRDefault="00FC17A8" w:rsidP="00BC1B69">
      <w:pPr>
        <w:tabs>
          <w:tab w:val="left" w:pos="426"/>
        </w:tabs>
        <w:spacing w:after="0" w:line="288" w:lineRule="auto"/>
        <w:jc w:val="center"/>
        <w:rPr>
          <w:rFonts w:ascii="Times New Roman" w:hAnsi="Times New Roman" w:cs="Times New Roman"/>
          <w:sz w:val="24"/>
          <w:szCs w:val="24"/>
        </w:rPr>
      </w:pPr>
      <w:proofErr w:type="gramStart"/>
      <w:r w:rsidRPr="00FC17A8">
        <w:rPr>
          <w:rFonts w:ascii="Times New Roman" w:hAnsi="Times New Roman" w:cs="Times New Roman"/>
          <w:sz w:val="24"/>
          <w:szCs w:val="24"/>
        </w:rPr>
        <w:t>labour</w:t>
      </w:r>
      <w:proofErr w:type="gramEnd"/>
      <w:r w:rsidRPr="00FC17A8">
        <w:rPr>
          <w:rFonts w:ascii="Times New Roman" w:hAnsi="Times New Roman" w:cs="Times New Roman"/>
          <w:sz w:val="24"/>
          <w:szCs w:val="24"/>
        </w:rPr>
        <w:t xml:space="preserve"> force participation</w:t>
      </w:r>
    </w:p>
    <w:p w:rsidR="00FC17A8" w:rsidRPr="00FC17A8" w:rsidRDefault="004D1AD8" w:rsidP="00BC1B69">
      <w:pPr>
        <w:tabs>
          <w:tab w:val="left" w:pos="426"/>
        </w:tabs>
        <w:spacing w:after="0" w:line="288" w:lineRule="auto"/>
        <w:jc w:val="center"/>
        <w:rPr>
          <w:rFonts w:ascii="Times New Roman" w:hAnsi="Times New Roman" w:cs="Times New Roman"/>
          <w:sz w:val="24"/>
          <w:szCs w:val="24"/>
        </w:rPr>
      </w:pPr>
      <w:r w:rsidRPr="00FC17A8">
        <w:rPr>
          <w:rFonts w:ascii="Times New Roman" w:hAnsi="Times New Roman" w:cs="Times New Roman"/>
          <w:sz w:val="24"/>
          <w:szCs w:val="24"/>
        </w:rPr>
        <w:t xml:space="preserve"> </w:t>
      </w:r>
      <w:proofErr w:type="gramStart"/>
      <w:r w:rsidRPr="00FC17A8">
        <w:rPr>
          <w:rFonts w:ascii="Times New Roman" w:hAnsi="Times New Roman" w:cs="Times New Roman"/>
          <w:sz w:val="24"/>
          <w:szCs w:val="24"/>
        </w:rPr>
        <w:t>older</w:t>
      </w:r>
      <w:proofErr w:type="gramEnd"/>
      <w:r w:rsidRPr="00FC17A8">
        <w:rPr>
          <w:rFonts w:ascii="Times New Roman" w:hAnsi="Times New Roman" w:cs="Times New Roman"/>
          <w:sz w:val="24"/>
          <w:szCs w:val="24"/>
        </w:rPr>
        <w:t xml:space="preserve"> people,</w:t>
      </w:r>
    </w:p>
    <w:p w:rsidR="004D688E" w:rsidRPr="00FC17A8" w:rsidRDefault="004D1AD8" w:rsidP="00BC1B69">
      <w:pPr>
        <w:tabs>
          <w:tab w:val="left" w:pos="426"/>
        </w:tabs>
        <w:spacing w:after="0" w:line="288" w:lineRule="auto"/>
        <w:jc w:val="center"/>
        <w:rPr>
          <w:rFonts w:ascii="Times New Roman" w:hAnsi="Times New Roman" w:cs="Times New Roman"/>
          <w:sz w:val="24"/>
          <w:szCs w:val="24"/>
        </w:rPr>
      </w:pPr>
      <w:r w:rsidRPr="00FC17A8">
        <w:rPr>
          <w:rFonts w:ascii="Times New Roman" w:hAnsi="Times New Roman" w:cs="Times New Roman"/>
          <w:sz w:val="24"/>
          <w:szCs w:val="24"/>
        </w:rPr>
        <w:t>New Zealand</w:t>
      </w:r>
    </w:p>
    <w:p w:rsidR="004D688E" w:rsidRPr="00FC17A8" w:rsidRDefault="004D688E" w:rsidP="00BC1B69">
      <w:pPr>
        <w:tabs>
          <w:tab w:val="left" w:pos="426"/>
        </w:tabs>
        <w:spacing w:after="0" w:line="288" w:lineRule="auto"/>
        <w:jc w:val="center"/>
        <w:rPr>
          <w:rFonts w:ascii="Times New Roman" w:hAnsi="Times New Roman" w:cs="Times New Roman"/>
          <w:sz w:val="24"/>
          <w:szCs w:val="24"/>
        </w:rPr>
      </w:pPr>
    </w:p>
    <w:p w:rsidR="00FC17A8" w:rsidRPr="00FC17A8" w:rsidRDefault="00FC17A8" w:rsidP="00BC1B69">
      <w:pPr>
        <w:tabs>
          <w:tab w:val="left" w:pos="426"/>
        </w:tabs>
        <w:spacing w:after="0" w:line="288" w:lineRule="auto"/>
        <w:jc w:val="center"/>
        <w:rPr>
          <w:rFonts w:ascii="Times New Roman" w:hAnsi="Times New Roman" w:cs="Times New Roman"/>
          <w:sz w:val="24"/>
          <w:szCs w:val="24"/>
        </w:rPr>
      </w:pPr>
    </w:p>
    <w:p w:rsidR="004D688E" w:rsidRPr="00FC17A8" w:rsidRDefault="004D688E" w:rsidP="00BC1B69">
      <w:pPr>
        <w:tabs>
          <w:tab w:val="left" w:pos="426"/>
        </w:tabs>
        <w:spacing w:after="0" w:line="288" w:lineRule="auto"/>
        <w:jc w:val="center"/>
        <w:rPr>
          <w:rFonts w:ascii="Times New Roman" w:hAnsi="Times New Roman" w:cs="Times New Roman"/>
          <w:b/>
          <w:sz w:val="24"/>
          <w:szCs w:val="24"/>
        </w:rPr>
      </w:pPr>
      <w:r w:rsidRPr="00FC17A8">
        <w:rPr>
          <w:rFonts w:ascii="Times New Roman" w:hAnsi="Times New Roman" w:cs="Times New Roman"/>
          <w:b/>
          <w:sz w:val="24"/>
          <w:szCs w:val="24"/>
        </w:rPr>
        <w:t>JEL Classification</w:t>
      </w:r>
    </w:p>
    <w:p w:rsidR="004D688E" w:rsidRPr="00FC17A8" w:rsidRDefault="004D1AD8" w:rsidP="00BC1B69">
      <w:pPr>
        <w:tabs>
          <w:tab w:val="left" w:pos="426"/>
        </w:tabs>
        <w:spacing w:after="0" w:line="288" w:lineRule="auto"/>
        <w:jc w:val="center"/>
        <w:rPr>
          <w:rFonts w:ascii="Times New Roman" w:hAnsi="Times New Roman" w:cs="Times New Roman"/>
          <w:bCs/>
          <w:sz w:val="24"/>
          <w:szCs w:val="24"/>
        </w:rPr>
      </w:pPr>
      <w:r w:rsidRPr="00FC17A8">
        <w:rPr>
          <w:rFonts w:ascii="Times New Roman" w:hAnsi="Times New Roman" w:cs="Times New Roman"/>
          <w:bCs/>
          <w:sz w:val="24"/>
          <w:szCs w:val="24"/>
        </w:rPr>
        <w:t>J21, J26</w:t>
      </w:r>
    </w:p>
    <w:p w:rsidR="004D688E" w:rsidRDefault="004D688E" w:rsidP="00BC1B69">
      <w:pPr>
        <w:tabs>
          <w:tab w:val="left" w:pos="426"/>
        </w:tabs>
        <w:spacing w:after="0" w:line="288" w:lineRule="auto"/>
        <w:rPr>
          <w:rFonts w:ascii="Times New Roman" w:hAnsi="Times New Roman" w:cs="Times New Roman"/>
          <w:bCs/>
        </w:rPr>
      </w:pPr>
    </w:p>
    <w:p w:rsidR="00FC17A8" w:rsidRPr="00C8552F" w:rsidRDefault="00FC17A8" w:rsidP="00BC1B69">
      <w:pPr>
        <w:tabs>
          <w:tab w:val="left" w:pos="426"/>
        </w:tabs>
        <w:spacing w:after="0" w:line="288" w:lineRule="auto"/>
        <w:rPr>
          <w:rFonts w:ascii="Times New Roman" w:hAnsi="Times New Roman" w:cs="Times New Roman"/>
          <w:bCs/>
        </w:rPr>
      </w:pPr>
    </w:p>
    <w:p w:rsidR="004D688E" w:rsidRDefault="004D688E" w:rsidP="00BC1B69">
      <w:pPr>
        <w:tabs>
          <w:tab w:val="left" w:pos="426"/>
        </w:tabs>
        <w:spacing w:after="0" w:line="288" w:lineRule="auto"/>
        <w:jc w:val="center"/>
        <w:rPr>
          <w:rFonts w:ascii="Times New Roman" w:hAnsi="Times New Roman" w:cs="Times New Roman"/>
          <w:b/>
        </w:rPr>
      </w:pPr>
      <w:r w:rsidRPr="00C8552F">
        <w:rPr>
          <w:rFonts w:ascii="Times New Roman" w:hAnsi="Times New Roman" w:cs="Times New Roman"/>
          <w:b/>
        </w:rPr>
        <w:t>Acknowledgements</w:t>
      </w:r>
    </w:p>
    <w:p w:rsidR="00FC17A8" w:rsidRPr="00FC17A8" w:rsidRDefault="00FC17A8" w:rsidP="00BC1B69">
      <w:pPr>
        <w:tabs>
          <w:tab w:val="left" w:pos="426"/>
        </w:tabs>
        <w:spacing w:after="0" w:line="288" w:lineRule="auto"/>
        <w:jc w:val="center"/>
        <w:rPr>
          <w:rFonts w:ascii="Times New Roman" w:hAnsi="Times New Roman" w:cs="Times New Roman"/>
          <w:b/>
          <w:sz w:val="10"/>
          <w:szCs w:val="10"/>
        </w:rPr>
      </w:pPr>
    </w:p>
    <w:p w:rsidR="004D688E" w:rsidRPr="00FC17A8" w:rsidRDefault="004D688E" w:rsidP="00BC1B69">
      <w:pPr>
        <w:tabs>
          <w:tab w:val="left" w:pos="426"/>
        </w:tabs>
        <w:spacing w:after="0" w:line="288" w:lineRule="auto"/>
        <w:jc w:val="both"/>
        <w:rPr>
          <w:rFonts w:ascii="Times New Roman" w:hAnsi="Times New Roman" w:cs="Times New Roman"/>
        </w:rPr>
      </w:pPr>
      <w:r>
        <w:rPr>
          <w:rFonts w:ascii="Times New Roman" w:hAnsi="Times New Roman" w:cs="Times New Roman"/>
          <w:sz w:val="24"/>
          <w:szCs w:val="24"/>
        </w:rPr>
        <w:t xml:space="preserve">This research was funded by the Ministry of Business, Innovation and Employment as part of </w:t>
      </w:r>
      <w:r w:rsidRPr="00FC17A8">
        <w:rPr>
          <w:rFonts w:ascii="Times New Roman" w:hAnsi="Times New Roman" w:cs="Times New Roman"/>
        </w:rPr>
        <w:t xml:space="preserve">the </w:t>
      </w:r>
      <w:r w:rsidRPr="00FC17A8">
        <w:rPr>
          <w:rFonts w:ascii="Times New Roman" w:hAnsi="Times New Roman" w:cs="Times New Roman"/>
          <w:i/>
        </w:rPr>
        <w:t>Making Active Ageing a Reality</w:t>
      </w:r>
      <w:r w:rsidRPr="00FC17A8">
        <w:rPr>
          <w:rFonts w:ascii="Times New Roman" w:hAnsi="Times New Roman" w:cs="Times New Roman"/>
        </w:rPr>
        <w:t xml:space="preserve"> project (Contract UOWX0901), led by Peggy </w:t>
      </w:r>
      <w:proofErr w:type="spellStart"/>
      <w:r w:rsidRPr="00FC17A8">
        <w:rPr>
          <w:rFonts w:ascii="Times New Roman" w:hAnsi="Times New Roman" w:cs="Times New Roman"/>
        </w:rPr>
        <w:t>Koopman</w:t>
      </w:r>
      <w:proofErr w:type="spellEnd"/>
      <w:r w:rsidRPr="00FC17A8">
        <w:rPr>
          <w:rFonts w:ascii="Times New Roman" w:hAnsi="Times New Roman" w:cs="Times New Roman"/>
        </w:rPr>
        <w:t xml:space="preserve">-Boyden (University of Waikato). </w:t>
      </w:r>
      <w:r w:rsidR="00A840F0" w:rsidRPr="00A840F0">
        <w:rPr>
          <w:rFonts w:ascii="Times New Roman" w:hAnsi="Times New Roman" w:cs="Times New Roman"/>
        </w:rPr>
        <w:t xml:space="preserve">The author is grateful to Statistics New Zealand for providing the data used in this paper, and to Peggy </w:t>
      </w:r>
      <w:proofErr w:type="spellStart"/>
      <w:r w:rsidR="00A840F0" w:rsidRPr="00A840F0">
        <w:rPr>
          <w:rFonts w:ascii="Times New Roman" w:hAnsi="Times New Roman" w:cs="Times New Roman"/>
        </w:rPr>
        <w:t>Koopman</w:t>
      </w:r>
      <w:proofErr w:type="spellEnd"/>
      <w:r w:rsidR="00A840F0" w:rsidRPr="00A840F0">
        <w:rPr>
          <w:rFonts w:ascii="Times New Roman" w:hAnsi="Times New Roman" w:cs="Times New Roman"/>
        </w:rPr>
        <w:t xml:space="preserve">-Boyden, and Judith Davey, Margaret Richardson, Tim Adair, Ian Pool, Jacques </w:t>
      </w:r>
      <w:proofErr w:type="spellStart"/>
      <w:r w:rsidR="00A840F0" w:rsidRPr="00A840F0">
        <w:rPr>
          <w:rFonts w:ascii="Times New Roman" w:hAnsi="Times New Roman" w:cs="Times New Roman"/>
        </w:rPr>
        <w:t>Poot</w:t>
      </w:r>
      <w:proofErr w:type="spellEnd"/>
      <w:r w:rsidR="00A840F0" w:rsidRPr="00A840F0">
        <w:rPr>
          <w:rFonts w:ascii="Times New Roman" w:hAnsi="Times New Roman" w:cs="Times New Roman"/>
        </w:rPr>
        <w:t>, Len Cook, and participants at workshops in Hamilton and Wellington for comments on an earlier draft</w:t>
      </w:r>
      <w:r w:rsidRPr="00FC17A8">
        <w:rPr>
          <w:rFonts w:ascii="Times New Roman" w:hAnsi="Times New Roman" w:cs="Times New Roman"/>
        </w:rPr>
        <w:t>.</w:t>
      </w:r>
    </w:p>
    <w:p w:rsidR="004D688E" w:rsidRDefault="004D688E" w:rsidP="00BC1B69">
      <w:pPr>
        <w:tabs>
          <w:tab w:val="left" w:pos="426"/>
        </w:tabs>
        <w:spacing w:after="0" w:line="288" w:lineRule="auto"/>
        <w:jc w:val="center"/>
        <w:rPr>
          <w:b/>
          <w:sz w:val="12"/>
          <w:szCs w:val="12"/>
        </w:rPr>
      </w:pPr>
    </w:p>
    <w:p w:rsidR="009C36F5" w:rsidRDefault="009C36F5" w:rsidP="00BC1B69">
      <w:pPr>
        <w:tabs>
          <w:tab w:val="left" w:pos="426"/>
        </w:tabs>
        <w:spacing w:after="0" w:line="288" w:lineRule="auto"/>
        <w:rPr>
          <w:rFonts w:asciiTheme="majorBidi" w:hAnsiTheme="majorBidi"/>
          <w:b/>
          <w:bCs/>
          <w:sz w:val="30"/>
          <w:szCs w:val="30"/>
        </w:rPr>
      </w:pPr>
      <w:r>
        <w:rPr>
          <w:rFonts w:asciiTheme="majorBidi" w:hAnsiTheme="majorBidi"/>
          <w:b/>
          <w:bCs/>
          <w:sz w:val="30"/>
          <w:szCs w:val="30"/>
        </w:rPr>
        <w:br w:type="page"/>
      </w:r>
    </w:p>
    <w:p w:rsidR="0090131D" w:rsidRDefault="0090131D" w:rsidP="00BC1B69">
      <w:pPr>
        <w:pStyle w:val="Heading2"/>
      </w:pPr>
      <w:bookmarkStart w:id="1" w:name="_Toc320189401"/>
      <w:r w:rsidRPr="00AE2EB2">
        <w:lastRenderedPageBreak/>
        <w:t>Introduction</w:t>
      </w:r>
    </w:p>
    <w:p w:rsidR="00671718" w:rsidRPr="00671718" w:rsidRDefault="00671718" w:rsidP="00BC1B69">
      <w:pPr>
        <w:tabs>
          <w:tab w:val="left" w:pos="426"/>
        </w:tabs>
        <w:spacing w:after="0" w:line="288" w:lineRule="auto"/>
        <w:jc w:val="both"/>
        <w:rPr>
          <w:rFonts w:ascii="Times New Roman" w:hAnsi="Times New Roman" w:cs="Times New Roman"/>
          <w:sz w:val="12"/>
          <w:szCs w:val="12"/>
        </w:rPr>
      </w:pPr>
    </w:p>
    <w:p w:rsidR="00D9184F" w:rsidRDefault="00301F67"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Like other Western countries, New Zealand’s population is ageing rapidly</w:t>
      </w:r>
      <w:r w:rsidR="00C46564">
        <w:rPr>
          <w:rFonts w:ascii="Times New Roman" w:hAnsi="Times New Roman" w:cs="Times New Roman"/>
          <w:sz w:val="24"/>
          <w:szCs w:val="24"/>
        </w:rPr>
        <w:t>.</w:t>
      </w:r>
      <w:r>
        <w:rPr>
          <w:rFonts w:ascii="Times New Roman" w:hAnsi="Times New Roman" w:cs="Times New Roman"/>
          <w:sz w:val="24"/>
          <w:szCs w:val="24"/>
        </w:rPr>
        <w:t xml:space="preserve"> Statistics New Zealand (2006) projected that the 65+ age group would make up over one-quarter of New Z</w:t>
      </w:r>
      <w:r w:rsidR="00676358">
        <w:rPr>
          <w:rFonts w:ascii="Times New Roman" w:hAnsi="Times New Roman" w:cs="Times New Roman"/>
          <w:sz w:val="24"/>
          <w:szCs w:val="24"/>
        </w:rPr>
        <w:t>ealand’s population by the 2030</w:t>
      </w:r>
      <w:r>
        <w:rPr>
          <w:rFonts w:ascii="Times New Roman" w:hAnsi="Times New Roman" w:cs="Times New Roman"/>
          <w:sz w:val="24"/>
          <w:szCs w:val="24"/>
        </w:rPr>
        <w:t>s, up from 12 per</w:t>
      </w:r>
      <w:r w:rsidR="00676358">
        <w:rPr>
          <w:rFonts w:ascii="Times New Roman" w:hAnsi="Times New Roman" w:cs="Times New Roman"/>
          <w:sz w:val="24"/>
          <w:szCs w:val="24"/>
        </w:rPr>
        <w:t xml:space="preserve"> </w:t>
      </w:r>
      <w:r>
        <w:rPr>
          <w:rFonts w:ascii="Times New Roman" w:hAnsi="Times New Roman" w:cs="Times New Roman"/>
          <w:sz w:val="24"/>
          <w:szCs w:val="24"/>
        </w:rPr>
        <w:t xml:space="preserve">cent in 2005. They also projected that the number of people aged over 65 would increase from half a million in 2005 to 1.33 million in 2051. This rapid and unprecedented ageing of the population has a number of implications </w:t>
      </w:r>
      <w:r w:rsidRPr="001F1121">
        <w:rPr>
          <w:rFonts w:ascii="Times New Roman" w:hAnsi="Times New Roman" w:cs="Times New Roman"/>
          <w:sz w:val="24"/>
          <w:szCs w:val="24"/>
        </w:rPr>
        <w:t>for New Zealand, including</w:t>
      </w:r>
      <w:r w:rsidR="001F1121" w:rsidRPr="001F1121">
        <w:rPr>
          <w:rFonts w:ascii="Times New Roman" w:hAnsi="Times New Roman" w:cs="Times New Roman"/>
          <w:sz w:val="24"/>
          <w:szCs w:val="24"/>
        </w:rPr>
        <w:t xml:space="preserve"> the ability to continue national superannuation at current levels (</w:t>
      </w:r>
      <w:r w:rsidR="00A07C8B">
        <w:rPr>
          <w:rFonts w:ascii="Times New Roman" w:hAnsi="Times New Roman" w:cs="Times New Roman"/>
          <w:sz w:val="24"/>
          <w:szCs w:val="24"/>
        </w:rPr>
        <w:t xml:space="preserve">Wilson </w:t>
      </w:r>
      <w:r w:rsidR="0039304C">
        <w:rPr>
          <w:rFonts w:ascii="Times New Roman" w:hAnsi="Times New Roman" w:cs="Times New Roman"/>
          <w:sz w:val="24"/>
          <w:szCs w:val="24"/>
        </w:rPr>
        <w:t xml:space="preserve">and </w:t>
      </w:r>
      <w:proofErr w:type="spellStart"/>
      <w:r w:rsidR="0039304C">
        <w:rPr>
          <w:rFonts w:ascii="Times New Roman" w:hAnsi="Times New Roman" w:cs="Times New Roman"/>
          <w:sz w:val="24"/>
          <w:szCs w:val="24"/>
        </w:rPr>
        <w:t>Rodway</w:t>
      </w:r>
      <w:proofErr w:type="spellEnd"/>
      <w:r w:rsidR="0039304C">
        <w:rPr>
          <w:rFonts w:ascii="Times New Roman" w:hAnsi="Times New Roman" w:cs="Times New Roman"/>
          <w:sz w:val="24"/>
          <w:szCs w:val="24"/>
        </w:rPr>
        <w:t xml:space="preserve"> 2006, </w:t>
      </w:r>
      <w:proofErr w:type="spellStart"/>
      <w:r w:rsidR="0039304C">
        <w:rPr>
          <w:rFonts w:ascii="Times New Roman" w:hAnsi="Times New Roman" w:cs="Times New Roman"/>
          <w:sz w:val="24"/>
          <w:szCs w:val="24"/>
        </w:rPr>
        <w:t>Bascand</w:t>
      </w:r>
      <w:proofErr w:type="spellEnd"/>
      <w:r w:rsidR="0039304C">
        <w:rPr>
          <w:rFonts w:ascii="Times New Roman" w:hAnsi="Times New Roman" w:cs="Times New Roman"/>
          <w:sz w:val="24"/>
          <w:szCs w:val="24"/>
        </w:rPr>
        <w:t xml:space="preserve"> 2012, New Zealand Treasury</w:t>
      </w:r>
      <w:r w:rsidR="00A07C8B">
        <w:rPr>
          <w:rFonts w:ascii="Times New Roman" w:hAnsi="Times New Roman" w:cs="Times New Roman"/>
          <w:sz w:val="24"/>
          <w:szCs w:val="24"/>
        </w:rPr>
        <w:t xml:space="preserve"> 2013</w:t>
      </w:r>
      <w:r w:rsidR="001F1121" w:rsidRPr="001F1121">
        <w:rPr>
          <w:rFonts w:ascii="Times New Roman" w:hAnsi="Times New Roman" w:cs="Times New Roman"/>
          <w:sz w:val="24"/>
          <w:szCs w:val="24"/>
        </w:rPr>
        <w:t>), retirement planning more generally (</w:t>
      </w:r>
      <w:r w:rsidR="00A07C8B">
        <w:rPr>
          <w:rFonts w:ascii="Times New Roman" w:hAnsi="Times New Roman" w:cs="Times New Roman"/>
          <w:sz w:val="24"/>
          <w:szCs w:val="24"/>
        </w:rPr>
        <w:t>Jackson</w:t>
      </w:r>
      <w:r w:rsidR="00676358">
        <w:rPr>
          <w:rFonts w:ascii="Times New Roman" w:hAnsi="Times New Roman" w:cs="Times New Roman"/>
          <w:sz w:val="24"/>
          <w:szCs w:val="24"/>
        </w:rPr>
        <w:t xml:space="preserve">, Cochrane </w:t>
      </w:r>
      <w:r w:rsidR="0039304C">
        <w:rPr>
          <w:rFonts w:ascii="Times New Roman" w:hAnsi="Times New Roman" w:cs="Times New Roman"/>
          <w:sz w:val="24"/>
          <w:szCs w:val="24"/>
        </w:rPr>
        <w:t>and</w:t>
      </w:r>
      <w:r w:rsidR="00676358">
        <w:rPr>
          <w:rFonts w:ascii="Times New Roman" w:hAnsi="Times New Roman" w:cs="Times New Roman"/>
          <w:sz w:val="24"/>
          <w:szCs w:val="24"/>
        </w:rPr>
        <w:t xml:space="preserve"> McMillan</w:t>
      </w:r>
      <w:r w:rsidR="00A07C8B">
        <w:rPr>
          <w:rFonts w:ascii="Times New Roman" w:hAnsi="Times New Roman" w:cs="Times New Roman"/>
          <w:sz w:val="24"/>
          <w:szCs w:val="24"/>
        </w:rPr>
        <w:t xml:space="preserve"> 2013</w:t>
      </w:r>
      <w:r w:rsidR="001F1121" w:rsidRPr="001F1121">
        <w:rPr>
          <w:rFonts w:ascii="Times New Roman" w:hAnsi="Times New Roman" w:cs="Times New Roman"/>
          <w:sz w:val="24"/>
          <w:szCs w:val="24"/>
        </w:rPr>
        <w:t xml:space="preserve">), </w:t>
      </w:r>
      <w:r w:rsidR="00A07C8B">
        <w:rPr>
          <w:rFonts w:ascii="Times New Roman" w:hAnsi="Times New Roman" w:cs="Times New Roman"/>
          <w:sz w:val="24"/>
          <w:szCs w:val="24"/>
        </w:rPr>
        <w:t>incr</w:t>
      </w:r>
      <w:r w:rsidR="0039304C">
        <w:rPr>
          <w:rFonts w:ascii="Times New Roman" w:hAnsi="Times New Roman" w:cs="Times New Roman"/>
          <w:sz w:val="24"/>
          <w:szCs w:val="24"/>
        </w:rPr>
        <w:t>eased healthcare costs (</w:t>
      </w:r>
      <w:proofErr w:type="spellStart"/>
      <w:r w:rsidR="0039304C">
        <w:rPr>
          <w:rFonts w:ascii="Times New Roman" w:hAnsi="Times New Roman" w:cs="Times New Roman"/>
          <w:sz w:val="24"/>
          <w:szCs w:val="24"/>
        </w:rPr>
        <w:t>Bascand</w:t>
      </w:r>
      <w:proofErr w:type="spellEnd"/>
      <w:r w:rsidR="00A07C8B">
        <w:rPr>
          <w:rFonts w:ascii="Times New Roman" w:hAnsi="Times New Roman" w:cs="Times New Roman"/>
          <w:sz w:val="24"/>
          <w:szCs w:val="24"/>
        </w:rPr>
        <w:t xml:space="preserve"> 2012), </w:t>
      </w:r>
      <w:r w:rsidR="001F1121" w:rsidRPr="001F1121">
        <w:rPr>
          <w:rFonts w:ascii="Times New Roman" w:hAnsi="Times New Roman" w:cs="Times New Roman"/>
          <w:sz w:val="24"/>
          <w:szCs w:val="24"/>
        </w:rPr>
        <w:t>pot</w:t>
      </w:r>
      <w:r w:rsidR="0039304C">
        <w:rPr>
          <w:rFonts w:ascii="Times New Roman" w:hAnsi="Times New Roman" w:cs="Times New Roman"/>
          <w:sz w:val="24"/>
          <w:szCs w:val="24"/>
        </w:rPr>
        <w:t>ential skills shortages (Robson</w:t>
      </w:r>
      <w:r w:rsidR="001F1121" w:rsidRPr="001F1121">
        <w:rPr>
          <w:rFonts w:ascii="Times New Roman" w:hAnsi="Times New Roman" w:cs="Times New Roman"/>
          <w:sz w:val="24"/>
          <w:szCs w:val="24"/>
        </w:rPr>
        <w:t xml:space="preserve"> 2001), and other challenges</w:t>
      </w:r>
      <w:r w:rsidR="00A07C8B">
        <w:rPr>
          <w:rFonts w:ascii="Times New Roman" w:hAnsi="Times New Roman" w:cs="Times New Roman"/>
          <w:sz w:val="24"/>
          <w:szCs w:val="24"/>
        </w:rPr>
        <w:t xml:space="preserve"> and opportunities</w:t>
      </w:r>
      <w:r w:rsidR="001F1121" w:rsidRPr="001F1121">
        <w:rPr>
          <w:rFonts w:ascii="Times New Roman" w:hAnsi="Times New Roman" w:cs="Times New Roman"/>
          <w:sz w:val="24"/>
          <w:szCs w:val="24"/>
        </w:rPr>
        <w:t xml:space="preserve"> for employers of coping with a</w:t>
      </w:r>
      <w:r w:rsidR="0039304C">
        <w:rPr>
          <w:rFonts w:ascii="Times New Roman" w:hAnsi="Times New Roman" w:cs="Times New Roman"/>
          <w:sz w:val="24"/>
          <w:szCs w:val="24"/>
        </w:rPr>
        <w:t>n ageing workforce (Davey</w:t>
      </w:r>
      <w:r w:rsidR="00A07C8B">
        <w:rPr>
          <w:rFonts w:ascii="Times New Roman" w:hAnsi="Times New Roman" w:cs="Times New Roman"/>
          <w:sz w:val="24"/>
          <w:szCs w:val="24"/>
        </w:rPr>
        <w:t xml:space="preserve"> 2008</w:t>
      </w:r>
      <w:r w:rsidR="001F1121" w:rsidRPr="001F1121">
        <w:rPr>
          <w:rFonts w:ascii="Times New Roman" w:hAnsi="Times New Roman" w:cs="Times New Roman"/>
          <w:sz w:val="24"/>
          <w:szCs w:val="24"/>
        </w:rPr>
        <w:t>).</w:t>
      </w:r>
    </w:p>
    <w:p w:rsidR="00BC1B69" w:rsidRDefault="00BC1B69" w:rsidP="00BC1B69">
      <w:pPr>
        <w:tabs>
          <w:tab w:val="left" w:pos="426"/>
        </w:tabs>
        <w:spacing w:after="0" w:line="288" w:lineRule="auto"/>
        <w:ind w:firstLine="720"/>
        <w:jc w:val="both"/>
        <w:rPr>
          <w:rFonts w:ascii="Times New Roman" w:hAnsi="Times New Roman" w:cs="Times New Roman"/>
          <w:sz w:val="24"/>
          <w:szCs w:val="24"/>
        </w:rPr>
      </w:pPr>
    </w:p>
    <w:p w:rsidR="00301F67" w:rsidRDefault="00301F67"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This paper presents a descriptive analysis of the labour force and employment trends among older New Zealanders (</w:t>
      </w:r>
      <w:r w:rsidR="0039304C">
        <w:rPr>
          <w:rFonts w:ascii="Times New Roman" w:hAnsi="Times New Roman" w:cs="Times New Roman"/>
          <w:sz w:val="24"/>
          <w:szCs w:val="24"/>
        </w:rPr>
        <w:t>that is,</w:t>
      </w:r>
      <w:r>
        <w:rPr>
          <w:rFonts w:ascii="Times New Roman" w:hAnsi="Times New Roman" w:cs="Times New Roman"/>
          <w:sz w:val="24"/>
          <w:szCs w:val="24"/>
        </w:rPr>
        <w:t xml:space="preserve"> those aged 55 and over). Specifically, I focus on labour force participation by age-group, by cohort and by region, and employment by industry and by occupation. This analysis suggests that </w:t>
      </w:r>
      <w:r w:rsidR="005139C7">
        <w:rPr>
          <w:rFonts w:ascii="Times New Roman" w:hAnsi="Times New Roman" w:cs="Times New Roman"/>
          <w:sz w:val="24"/>
          <w:szCs w:val="24"/>
        </w:rPr>
        <w:t>labour force participation is highest among the young old, but is also substantial among the oldest age groups. Full-time employment is substantial among the youngest old, with part-time employment more prevalent among the oldest age groups. T</w:t>
      </w:r>
      <w:r>
        <w:rPr>
          <w:rFonts w:ascii="Times New Roman" w:hAnsi="Times New Roman" w:cs="Times New Roman"/>
          <w:sz w:val="24"/>
          <w:szCs w:val="24"/>
        </w:rPr>
        <w:t>he labour force</w:t>
      </w:r>
      <w:r w:rsidR="005139C7">
        <w:rPr>
          <w:rFonts w:ascii="Times New Roman" w:hAnsi="Times New Roman" w:cs="Times New Roman"/>
          <w:sz w:val="24"/>
          <w:szCs w:val="24"/>
        </w:rPr>
        <w:t xml:space="preserve"> of older people</w:t>
      </w:r>
      <w:r>
        <w:rPr>
          <w:rFonts w:ascii="Times New Roman" w:hAnsi="Times New Roman" w:cs="Times New Roman"/>
          <w:sz w:val="24"/>
          <w:szCs w:val="24"/>
        </w:rPr>
        <w:t xml:space="preserve"> has grown substantially over the 22-y</w:t>
      </w:r>
      <w:r w:rsidR="004D090B">
        <w:rPr>
          <w:rFonts w:ascii="Times New Roman" w:hAnsi="Times New Roman" w:cs="Times New Roman"/>
          <w:sz w:val="24"/>
          <w:szCs w:val="24"/>
        </w:rPr>
        <w:t xml:space="preserve">ear period between 1991 and 2013, and crucially </w:t>
      </w:r>
      <w:r w:rsidR="005139C7">
        <w:rPr>
          <w:rFonts w:ascii="Times New Roman" w:hAnsi="Times New Roman" w:cs="Times New Roman"/>
          <w:sz w:val="24"/>
          <w:szCs w:val="24"/>
        </w:rPr>
        <w:t xml:space="preserve">the </w:t>
      </w:r>
      <w:r w:rsidR="004D090B">
        <w:rPr>
          <w:rFonts w:ascii="Times New Roman" w:hAnsi="Times New Roman" w:cs="Times New Roman"/>
          <w:sz w:val="24"/>
          <w:szCs w:val="24"/>
        </w:rPr>
        <w:t>labour force participation</w:t>
      </w:r>
      <w:r w:rsidR="005139C7">
        <w:rPr>
          <w:rFonts w:ascii="Times New Roman" w:hAnsi="Times New Roman" w:cs="Times New Roman"/>
          <w:sz w:val="24"/>
          <w:szCs w:val="24"/>
        </w:rPr>
        <w:t xml:space="preserve"> rate among older people</w:t>
      </w:r>
      <w:r w:rsidR="004D090B">
        <w:rPr>
          <w:rFonts w:ascii="Times New Roman" w:hAnsi="Times New Roman" w:cs="Times New Roman"/>
          <w:sz w:val="24"/>
          <w:szCs w:val="24"/>
        </w:rPr>
        <w:t xml:space="preserve"> has also grown.</w:t>
      </w:r>
      <w:r w:rsidR="00A731BE">
        <w:rPr>
          <w:rFonts w:ascii="Times New Roman" w:hAnsi="Times New Roman" w:cs="Times New Roman"/>
          <w:sz w:val="24"/>
          <w:szCs w:val="24"/>
        </w:rPr>
        <w:t xml:space="preserve"> The time period considered includes a period where the age of eligibility for national superannuation increased from 60 years in 1991 to 65 years in 2001, and this clearly affected the incentives for labour force participation among older people.</w:t>
      </w:r>
      <w:r w:rsidR="004D090B">
        <w:rPr>
          <w:rFonts w:ascii="Times New Roman" w:hAnsi="Times New Roman" w:cs="Times New Roman"/>
          <w:sz w:val="24"/>
          <w:szCs w:val="24"/>
        </w:rPr>
        <w:t xml:space="preserve"> </w:t>
      </w:r>
      <w:r w:rsidR="005139C7">
        <w:rPr>
          <w:rFonts w:ascii="Times New Roman" w:hAnsi="Times New Roman" w:cs="Times New Roman"/>
          <w:sz w:val="24"/>
          <w:szCs w:val="24"/>
        </w:rPr>
        <w:t>Part of the increase in the older labour force is due to an increase in the size of successive age cohorts, but generational differences in labour force participation rates are also significant. However, generational differences do not appear to affect the choice between part-time and full-time employment to the same extent.</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301F67" w:rsidRDefault="005139C7"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The paper proceeds as follows. The next section details the data and definitions and methods used in the paper. Then, the labour force characteristics of older New Zealanders in 2013 are explored, followed by an analysis of changes over the period 1991 to 2013, and a cohort analysis of generational changes in labour force participation and part-time/full-time employment status. The final section concludes.</w:t>
      </w:r>
    </w:p>
    <w:p w:rsidR="005139C7" w:rsidRDefault="005139C7" w:rsidP="00BC1B69">
      <w:pPr>
        <w:tabs>
          <w:tab w:val="left" w:pos="426"/>
        </w:tabs>
        <w:spacing w:after="0" w:line="288" w:lineRule="auto"/>
        <w:ind w:firstLine="720"/>
        <w:jc w:val="both"/>
        <w:rPr>
          <w:rFonts w:ascii="Times New Roman" w:hAnsi="Times New Roman" w:cs="Times New Roman"/>
          <w:sz w:val="24"/>
          <w:szCs w:val="24"/>
        </w:rPr>
      </w:pPr>
    </w:p>
    <w:p w:rsidR="004557AD" w:rsidRDefault="004D090B" w:rsidP="00BC1B69">
      <w:pPr>
        <w:pStyle w:val="Heading2"/>
      </w:pPr>
      <w:r>
        <w:t>Data and Methods</w:t>
      </w:r>
    </w:p>
    <w:p w:rsidR="00671718" w:rsidRPr="00671718" w:rsidRDefault="00671718" w:rsidP="00BC1B69">
      <w:pPr>
        <w:tabs>
          <w:tab w:val="left" w:pos="426"/>
        </w:tabs>
        <w:spacing w:after="0" w:line="288" w:lineRule="auto"/>
        <w:jc w:val="both"/>
        <w:rPr>
          <w:rFonts w:ascii="Times New Roman" w:hAnsi="Times New Roman" w:cs="Times New Roman"/>
          <w:sz w:val="12"/>
          <w:szCs w:val="12"/>
        </w:rPr>
      </w:pPr>
    </w:p>
    <w:p w:rsidR="007433F7" w:rsidRDefault="004D090B"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All data in this paper are drawn from the Census of Population and Dw</w:t>
      </w:r>
      <w:r w:rsidR="00ED5824">
        <w:rPr>
          <w:rFonts w:ascii="Times New Roman" w:hAnsi="Times New Roman" w:cs="Times New Roman"/>
          <w:sz w:val="24"/>
          <w:szCs w:val="24"/>
        </w:rPr>
        <w:t>ellings (1991, 1996, 2001, 2006</w:t>
      </w:r>
      <w:r>
        <w:rPr>
          <w:rFonts w:ascii="Times New Roman" w:hAnsi="Times New Roman" w:cs="Times New Roman"/>
          <w:sz w:val="24"/>
          <w:szCs w:val="24"/>
        </w:rPr>
        <w:t xml:space="preserve"> and 2013), using custom tables obtained from Statistics New Zealand.</w:t>
      </w:r>
      <w:r w:rsidR="007433F7">
        <w:rPr>
          <w:rFonts w:ascii="Times New Roman" w:hAnsi="Times New Roman" w:cs="Times New Roman"/>
          <w:sz w:val="24"/>
          <w:szCs w:val="24"/>
        </w:rPr>
        <w:t xml:space="preserve"> For confidentiality reasons, all data were randomly rounded to base 3 by Statistics New Zealand.</w:t>
      </w:r>
      <w:r w:rsidR="00751413">
        <w:rPr>
          <w:rFonts w:ascii="Times New Roman" w:hAnsi="Times New Roman" w:cs="Times New Roman"/>
          <w:sz w:val="24"/>
          <w:szCs w:val="24"/>
        </w:rPr>
        <w:t xml:space="preserve"> </w:t>
      </w:r>
      <w:r w:rsidR="007433F7">
        <w:rPr>
          <w:rFonts w:ascii="Times New Roman" w:hAnsi="Times New Roman" w:cs="Times New Roman"/>
          <w:sz w:val="24"/>
          <w:szCs w:val="24"/>
        </w:rPr>
        <w:t>The discontinuity in data between 2006 and 2013 (being a seven-year period, as opposed to the five-year periodicity prior to 2006) may present some challenges for interpretation. These are discussed at relevant points in the paper below.</w:t>
      </w:r>
    </w:p>
    <w:p w:rsidR="005250BA" w:rsidRDefault="007433F7"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All data are provided in five-year age groups, with the oldest age group being those aged 85 years and over. While this limits the analysis that can be conducted for the oldest New Zealanders, in reality few of those aged 85 and over remain in the labour force (see following sections), so extending the analysis by five-year age groups to 90 or 95 would likely add very little additional insights. </w:t>
      </w:r>
      <w:r w:rsidR="00751413">
        <w:rPr>
          <w:rFonts w:ascii="Times New Roman" w:hAnsi="Times New Roman" w:cs="Times New Roman"/>
          <w:sz w:val="24"/>
          <w:szCs w:val="24"/>
        </w:rPr>
        <w:t>In considering the labour force of older New Zealanders, I limit consideration to those aged 55 years and over</w:t>
      </w:r>
      <w:r w:rsidR="00C23C9F">
        <w:rPr>
          <w:rFonts w:ascii="Times New Roman" w:hAnsi="Times New Roman" w:cs="Times New Roman"/>
          <w:sz w:val="24"/>
          <w:szCs w:val="24"/>
        </w:rPr>
        <w:t xml:space="preserve"> (and in some cases 65 years and over). This age range was chosen in order to encompass older people who have attained the age of national superannuation (which is universal in New Zealand at age 65 for both men and women), </w:t>
      </w:r>
      <w:r w:rsidR="005A3046">
        <w:rPr>
          <w:rFonts w:ascii="Times New Roman" w:hAnsi="Times New Roman" w:cs="Times New Roman"/>
          <w:sz w:val="24"/>
          <w:szCs w:val="24"/>
        </w:rPr>
        <w:t>as well as</w:t>
      </w:r>
      <w:r w:rsidR="00C23C9F">
        <w:rPr>
          <w:rFonts w:ascii="Times New Roman" w:hAnsi="Times New Roman" w:cs="Times New Roman"/>
          <w:sz w:val="24"/>
          <w:szCs w:val="24"/>
        </w:rPr>
        <w:t xml:space="preserve"> those who are nearing this de facto retirement age.</w:t>
      </w:r>
      <w:r w:rsidR="00C23C9F">
        <w:rPr>
          <w:rStyle w:val="FootnoteReference"/>
          <w:rFonts w:ascii="Times New Roman" w:hAnsi="Times New Roman" w:cs="Times New Roman"/>
          <w:sz w:val="24"/>
          <w:szCs w:val="24"/>
        </w:rPr>
        <w:footnoteReference w:id="1"/>
      </w:r>
      <w:r w:rsidR="005A3046">
        <w:rPr>
          <w:rFonts w:ascii="Times New Roman" w:hAnsi="Times New Roman" w:cs="Times New Roman"/>
          <w:sz w:val="24"/>
          <w:szCs w:val="24"/>
        </w:rPr>
        <w:t xml:space="preserve"> </w:t>
      </w:r>
      <w:r w:rsidR="005250BA">
        <w:rPr>
          <w:rFonts w:ascii="Times New Roman" w:hAnsi="Times New Roman" w:cs="Times New Roman"/>
          <w:sz w:val="24"/>
          <w:szCs w:val="24"/>
        </w:rPr>
        <w:t>When considering labour force totals, I use the labour force aged 25 years and over. This ensures that young people who are in training or further education are mostly excluded from the analysis.</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4D090B" w:rsidRDefault="007433F7"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The analysis covers all 14 regional council areas in New Zealand. Industries are defined using the ANZSIC96 V4.1 classification rather than the current standard ANZSIC06, as all data from 1996 to 2013 could be classified using that classification. Similarly, occupations are defined using NZSCO99 V1.0 rather than the recently adopted ANZSCO13 because all data from 1991 to 2013 could be classified using the earlier classification.</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193F04" w:rsidRDefault="00A43439"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Census data that are used record a person’s work and labour force status for the seven days ending on Census day. </w:t>
      </w:r>
      <w:r w:rsidR="00193F04">
        <w:rPr>
          <w:rFonts w:ascii="Times New Roman" w:hAnsi="Times New Roman" w:cs="Times New Roman"/>
          <w:sz w:val="24"/>
          <w:szCs w:val="24"/>
        </w:rPr>
        <w:t xml:space="preserve">Throughout the paper I use standard definitions for labour force status. The labour force is defined as </w:t>
      </w:r>
      <w:r>
        <w:rPr>
          <w:rFonts w:ascii="Times New Roman" w:hAnsi="Times New Roman" w:cs="Times New Roman"/>
          <w:sz w:val="24"/>
          <w:szCs w:val="24"/>
        </w:rPr>
        <w:t>the total number of workers employed (whether part-time or full-time) and those unemployed (without a job but actively seeking employment)</w:t>
      </w:r>
      <w:r w:rsidR="00193F04">
        <w:rPr>
          <w:rFonts w:ascii="Times New Roman" w:hAnsi="Times New Roman" w:cs="Times New Roman"/>
          <w:sz w:val="24"/>
          <w:szCs w:val="24"/>
        </w:rPr>
        <w:t xml:space="preserve">, and the labour force participation rate is </w:t>
      </w:r>
      <w:r>
        <w:rPr>
          <w:rFonts w:ascii="Times New Roman" w:hAnsi="Times New Roman" w:cs="Times New Roman"/>
          <w:sz w:val="24"/>
          <w:szCs w:val="24"/>
        </w:rPr>
        <w:t>the proportion of the workforce that are in the labour force</w:t>
      </w:r>
      <w:r w:rsidR="00193F04">
        <w:rPr>
          <w:rFonts w:ascii="Times New Roman" w:hAnsi="Times New Roman" w:cs="Times New Roman"/>
          <w:sz w:val="24"/>
          <w:szCs w:val="24"/>
        </w:rPr>
        <w:t xml:space="preserve">. Where used below, the unemployment rate is </w:t>
      </w:r>
      <w:r>
        <w:rPr>
          <w:rFonts w:ascii="Times New Roman" w:hAnsi="Times New Roman" w:cs="Times New Roman"/>
          <w:sz w:val="24"/>
          <w:szCs w:val="24"/>
        </w:rPr>
        <w:t>the proportion of the labour force that is unemployed.</w:t>
      </w:r>
    </w:p>
    <w:p w:rsidR="0027042D" w:rsidRDefault="0027042D" w:rsidP="00BC1B69">
      <w:pPr>
        <w:tabs>
          <w:tab w:val="left" w:pos="426"/>
        </w:tabs>
        <w:spacing w:after="0" w:line="288" w:lineRule="auto"/>
        <w:ind w:firstLine="720"/>
        <w:jc w:val="both"/>
        <w:rPr>
          <w:rFonts w:ascii="Times New Roman" w:hAnsi="Times New Roman" w:cs="Times New Roman"/>
          <w:sz w:val="24"/>
          <w:szCs w:val="24"/>
        </w:rPr>
      </w:pPr>
    </w:p>
    <w:p w:rsidR="007433F7" w:rsidRDefault="00ED5824" w:rsidP="00BC1B69">
      <w:pPr>
        <w:pStyle w:val="Heading2"/>
      </w:pPr>
      <w:r>
        <w:t>Labour Force Characteristics of O</w:t>
      </w:r>
      <w:r w:rsidR="007433F7">
        <w:t>lder New Zealanders in 2013</w:t>
      </w:r>
    </w:p>
    <w:p w:rsidR="00671718" w:rsidRPr="00671718" w:rsidRDefault="00671718" w:rsidP="00BC1B69">
      <w:pPr>
        <w:tabs>
          <w:tab w:val="left" w:pos="426"/>
        </w:tabs>
        <w:spacing w:after="0" w:line="288" w:lineRule="auto"/>
        <w:jc w:val="both"/>
        <w:rPr>
          <w:rFonts w:ascii="Times New Roman" w:hAnsi="Times New Roman" w:cs="Times New Roman"/>
          <w:sz w:val="12"/>
          <w:szCs w:val="12"/>
        </w:rPr>
      </w:pPr>
    </w:p>
    <w:p w:rsidR="00A43439" w:rsidRDefault="007433F7"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Figure 1 presents the labour force participation ra</w:t>
      </w:r>
      <w:r w:rsidR="005250BA">
        <w:rPr>
          <w:rFonts w:ascii="Times New Roman" w:hAnsi="Times New Roman" w:cs="Times New Roman"/>
          <w:sz w:val="24"/>
          <w:szCs w:val="24"/>
        </w:rPr>
        <w:t>te by sex and five-year age group</w:t>
      </w:r>
      <w:r>
        <w:rPr>
          <w:rFonts w:ascii="Times New Roman" w:hAnsi="Times New Roman" w:cs="Times New Roman"/>
          <w:sz w:val="24"/>
          <w:szCs w:val="24"/>
        </w:rPr>
        <w:t xml:space="preserve"> from the 2013 Census.</w:t>
      </w:r>
      <w:r w:rsidR="00EB5C3A">
        <w:rPr>
          <w:rFonts w:ascii="Times New Roman" w:hAnsi="Times New Roman" w:cs="Times New Roman"/>
          <w:sz w:val="24"/>
          <w:szCs w:val="24"/>
        </w:rPr>
        <w:t xml:space="preserve"> Overall </w:t>
      </w:r>
      <w:r w:rsidR="00A43439">
        <w:rPr>
          <w:rFonts w:ascii="Times New Roman" w:hAnsi="Times New Roman" w:cs="Times New Roman"/>
          <w:sz w:val="24"/>
          <w:szCs w:val="24"/>
        </w:rPr>
        <w:t xml:space="preserve">the </w:t>
      </w:r>
      <w:r w:rsidR="00EB5C3A">
        <w:rPr>
          <w:rFonts w:ascii="Times New Roman" w:hAnsi="Times New Roman" w:cs="Times New Roman"/>
          <w:sz w:val="24"/>
          <w:szCs w:val="24"/>
        </w:rPr>
        <w:t>labour force participation</w:t>
      </w:r>
      <w:r w:rsidR="00A43439">
        <w:rPr>
          <w:rFonts w:ascii="Times New Roman" w:hAnsi="Times New Roman" w:cs="Times New Roman"/>
          <w:sz w:val="24"/>
          <w:szCs w:val="24"/>
        </w:rPr>
        <w:t xml:space="preserve"> rate</w:t>
      </w:r>
      <w:r w:rsidR="00EB5C3A">
        <w:rPr>
          <w:rFonts w:ascii="Times New Roman" w:hAnsi="Times New Roman" w:cs="Times New Roman"/>
          <w:sz w:val="24"/>
          <w:szCs w:val="24"/>
        </w:rPr>
        <w:t xml:space="preserve"> was </w:t>
      </w:r>
      <w:r w:rsidR="00A43439">
        <w:rPr>
          <w:rFonts w:ascii="Times New Roman" w:hAnsi="Times New Roman" w:cs="Times New Roman"/>
          <w:sz w:val="24"/>
          <w:szCs w:val="24"/>
        </w:rPr>
        <w:t>68.5</w:t>
      </w:r>
      <w:r w:rsidR="00EB5C3A">
        <w:rPr>
          <w:rFonts w:ascii="Times New Roman" w:hAnsi="Times New Roman" w:cs="Times New Roman"/>
          <w:sz w:val="24"/>
          <w:szCs w:val="24"/>
        </w:rPr>
        <w:t>%</w:t>
      </w:r>
      <w:r w:rsidR="00A43439">
        <w:rPr>
          <w:rFonts w:ascii="Times New Roman" w:hAnsi="Times New Roman" w:cs="Times New Roman"/>
          <w:sz w:val="24"/>
          <w:szCs w:val="24"/>
        </w:rPr>
        <w:t xml:space="preserve"> for those aged 25 years and over</w:t>
      </w:r>
      <w:r w:rsidR="00A21DCE">
        <w:rPr>
          <w:rFonts w:ascii="Times New Roman" w:hAnsi="Times New Roman" w:cs="Times New Roman"/>
          <w:sz w:val="24"/>
          <w:szCs w:val="24"/>
        </w:rPr>
        <w:t xml:space="preserve">, </w:t>
      </w:r>
      <w:r w:rsidR="00A43439">
        <w:rPr>
          <w:rFonts w:ascii="Times New Roman" w:hAnsi="Times New Roman" w:cs="Times New Roman"/>
          <w:sz w:val="24"/>
          <w:szCs w:val="24"/>
        </w:rPr>
        <w:t>67.1% f</w:t>
      </w:r>
      <w:r w:rsidR="00A21DCE">
        <w:rPr>
          <w:rFonts w:ascii="Times New Roman" w:hAnsi="Times New Roman" w:cs="Times New Roman"/>
          <w:sz w:val="24"/>
          <w:szCs w:val="24"/>
        </w:rPr>
        <w:t>or those aged 15 years and over</w:t>
      </w:r>
      <w:r w:rsidR="00193F04">
        <w:rPr>
          <w:rFonts w:ascii="Times New Roman" w:hAnsi="Times New Roman" w:cs="Times New Roman"/>
          <w:sz w:val="24"/>
          <w:szCs w:val="24"/>
        </w:rPr>
        <w:t>, and lower for women (</w:t>
      </w:r>
      <w:r w:rsidR="00A43439">
        <w:rPr>
          <w:rFonts w:ascii="Times New Roman" w:hAnsi="Times New Roman" w:cs="Times New Roman"/>
          <w:sz w:val="24"/>
          <w:szCs w:val="24"/>
        </w:rPr>
        <w:t>62.6</w:t>
      </w:r>
      <w:r w:rsidR="00193F04">
        <w:rPr>
          <w:rFonts w:ascii="Times New Roman" w:hAnsi="Times New Roman" w:cs="Times New Roman"/>
          <w:sz w:val="24"/>
          <w:szCs w:val="24"/>
        </w:rPr>
        <w:t xml:space="preserve">%) than </w:t>
      </w:r>
      <w:r w:rsidR="00C22540">
        <w:rPr>
          <w:rFonts w:ascii="Times New Roman" w:hAnsi="Times New Roman" w:cs="Times New Roman"/>
          <w:sz w:val="24"/>
          <w:szCs w:val="24"/>
        </w:rPr>
        <w:t xml:space="preserve">for </w:t>
      </w:r>
      <w:r w:rsidR="00193F04">
        <w:rPr>
          <w:rFonts w:ascii="Times New Roman" w:hAnsi="Times New Roman" w:cs="Times New Roman"/>
          <w:sz w:val="24"/>
          <w:szCs w:val="24"/>
        </w:rPr>
        <w:t>men (</w:t>
      </w:r>
      <w:r w:rsidR="00A43439">
        <w:rPr>
          <w:rFonts w:ascii="Times New Roman" w:hAnsi="Times New Roman" w:cs="Times New Roman"/>
          <w:sz w:val="24"/>
          <w:szCs w:val="24"/>
        </w:rPr>
        <w:t>75.0</w:t>
      </w:r>
      <w:r w:rsidR="00193F04">
        <w:rPr>
          <w:rFonts w:ascii="Times New Roman" w:hAnsi="Times New Roman" w:cs="Times New Roman"/>
          <w:sz w:val="24"/>
          <w:szCs w:val="24"/>
        </w:rPr>
        <w:t>%).</w:t>
      </w:r>
    </w:p>
    <w:p w:rsidR="00BC1B69" w:rsidRDefault="00BC1B69" w:rsidP="00BC1B69">
      <w:pPr>
        <w:tabs>
          <w:tab w:val="left" w:pos="426"/>
        </w:tabs>
        <w:spacing w:after="0" w:line="288" w:lineRule="auto"/>
        <w:jc w:val="both"/>
        <w:rPr>
          <w:rFonts w:ascii="Times New Roman" w:hAnsi="Times New Roman" w:cs="Times New Roman"/>
          <w:sz w:val="24"/>
          <w:szCs w:val="24"/>
        </w:rPr>
      </w:pPr>
    </w:p>
    <w:p w:rsidR="007433F7" w:rsidRDefault="00A43439"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For women, the labour force participation rate was low for those aged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w:t>
      </w:r>
      <w:r w:rsidR="00A21DCE">
        <w:rPr>
          <w:rFonts w:ascii="Times New Roman" w:hAnsi="Times New Roman" w:cs="Times New Roman"/>
          <w:sz w:val="24"/>
          <w:szCs w:val="24"/>
        </w:rPr>
        <w:t>25 years (58.9%), then increased</w:t>
      </w:r>
      <w:r>
        <w:rPr>
          <w:rFonts w:ascii="Times New Roman" w:hAnsi="Times New Roman" w:cs="Times New Roman"/>
          <w:sz w:val="24"/>
          <w:szCs w:val="24"/>
        </w:rPr>
        <w:t xml:space="preserve"> to peak participation among those aged 45-49 years (82.6%) with a small decrease in the main childbearing years (30-34 years). Above age 49, labo</w:t>
      </w:r>
      <w:r w:rsidR="00A21DCE">
        <w:rPr>
          <w:rFonts w:ascii="Times New Roman" w:hAnsi="Times New Roman" w:cs="Times New Roman"/>
          <w:sz w:val="24"/>
          <w:szCs w:val="24"/>
        </w:rPr>
        <w:t>ur force participation decreased</w:t>
      </w:r>
      <w:r>
        <w:rPr>
          <w:rFonts w:ascii="Times New Roman" w:hAnsi="Times New Roman" w:cs="Times New Roman"/>
          <w:sz w:val="24"/>
          <w:szCs w:val="24"/>
        </w:rPr>
        <w:t xml:space="preserve">, with the largest absolute decrease occurring between ages 60-64 </w:t>
      </w:r>
      <w:r>
        <w:rPr>
          <w:rFonts w:ascii="Times New Roman" w:hAnsi="Times New Roman" w:cs="Times New Roman"/>
          <w:sz w:val="24"/>
          <w:szCs w:val="24"/>
        </w:rPr>
        <w:lastRenderedPageBreak/>
        <w:t>years (63.7%) and 65-69 years (35.2%). Overall, the labour force participation rate for women aged 65 years and over was 16.7%.</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1F1121" w:rsidRPr="00671718" w:rsidRDefault="001549F4" w:rsidP="00BC1B69">
      <w:pPr>
        <w:tabs>
          <w:tab w:val="left" w:pos="426"/>
        </w:tabs>
        <w:spacing w:after="0" w:line="288" w:lineRule="auto"/>
        <w:jc w:val="center"/>
        <w:rPr>
          <w:rFonts w:ascii="Times New Roman" w:hAnsi="Times New Roman" w:cs="Times New Roman"/>
          <w:b/>
          <w:bCs/>
          <w:iCs/>
        </w:rPr>
      </w:pPr>
      <w:r w:rsidRPr="00671718">
        <w:rPr>
          <w:rFonts w:ascii="Times New Roman" w:hAnsi="Times New Roman" w:cs="Times New Roman"/>
          <w:b/>
          <w:bCs/>
          <w:iCs/>
        </w:rPr>
        <w:t>Figure 1: Labour F</w:t>
      </w:r>
      <w:r w:rsidR="001F1121" w:rsidRPr="00671718">
        <w:rPr>
          <w:rFonts w:ascii="Times New Roman" w:hAnsi="Times New Roman" w:cs="Times New Roman"/>
          <w:b/>
          <w:bCs/>
          <w:iCs/>
        </w:rPr>
        <w:t xml:space="preserve">orce </w:t>
      </w:r>
      <w:r w:rsidRPr="00671718">
        <w:rPr>
          <w:rFonts w:ascii="Times New Roman" w:hAnsi="Times New Roman" w:cs="Times New Roman"/>
          <w:b/>
          <w:bCs/>
          <w:iCs/>
        </w:rPr>
        <w:t>Participation Rate by Sex and A</w:t>
      </w:r>
      <w:r w:rsidR="001F1121" w:rsidRPr="00671718">
        <w:rPr>
          <w:rFonts w:ascii="Times New Roman" w:hAnsi="Times New Roman" w:cs="Times New Roman"/>
          <w:b/>
          <w:bCs/>
          <w:iCs/>
        </w:rPr>
        <w:t>ge, 2013</w:t>
      </w:r>
    </w:p>
    <w:p w:rsidR="001F1121" w:rsidRDefault="001F1121" w:rsidP="00BC1B69">
      <w:pPr>
        <w:tabs>
          <w:tab w:val="left" w:pos="426"/>
        </w:tabs>
        <w:spacing w:after="0" w:line="288" w:lineRule="auto"/>
        <w:jc w:val="both"/>
        <w:rPr>
          <w:rFonts w:ascii="Times New Roman" w:hAnsi="Times New Roman" w:cs="Times New Roman"/>
          <w:sz w:val="24"/>
          <w:szCs w:val="24"/>
        </w:rPr>
      </w:pPr>
      <w:r w:rsidRPr="005250BA">
        <w:rPr>
          <w:noProof/>
          <w:szCs w:val="24"/>
          <w:lang w:eastAsia="en-NZ"/>
        </w:rPr>
        <w:drawing>
          <wp:inline distT="0" distB="0" distL="0" distR="0">
            <wp:extent cx="5731510" cy="3752705"/>
            <wp:effectExtent l="19050" t="0" r="254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A43439" w:rsidRDefault="00A43439"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For men, the labour force participation rate was also low for those aged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w:t>
      </w:r>
      <w:r w:rsidR="00A21DCE">
        <w:rPr>
          <w:rFonts w:ascii="Times New Roman" w:hAnsi="Times New Roman" w:cs="Times New Roman"/>
          <w:sz w:val="24"/>
          <w:szCs w:val="24"/>
        </w:rPr>
        <w:t>25 years (61.5%), then increased</w:t>
      </w:r>
      <w:r>
        <w:rPr>
          <w:rFonts w:ascii="Times New Roman" w:hAnsi="Times New Roman" w:cs="Times New Roman"/>
          <w:sz w:val="24"/>
          <w:szCs w:val="24"/>
        </w:rPr>
        <w:t xml:space="preserve"> to peak participation among those aged 35-39 years (90.1%) </w:t>
      </w:r>
      <w:r w:rsidR="0012635D">
        <w:rPr>
          <w:rFonts w:ascii="Times New Roman" w:hAnsi="Times New Roman" w:cs="Times New Roman"/>
          <w:sz w:val="24"/>
          <w:szCs w:val="24"/>
        </w:rPr>
        <w:t>before declining</w:t>
      </w:r>
      <w:r>
        <w:rPr>
          <w:rFonts w:ascii="Times New Roman" w:hAnsi="Times New Roman" w:cs="Times New Roman"/>
          <w:sz w:val="24"/>
          <w:szCs w:val="24"/>
        </w:rPr>
        <w:t xml:space="preserve">, with the largest absolute decrease </w:t>
      </w:r>
      <w:r w:rsidR="0012635D">
        <w:rPr>
          <w:rFonts w:ascii="Times New Roman" w:hAnsi="Times New Roman" w:cs="Times New Roman"/>
          <w:sz w:val="24"/>
          <w:szCs w:val="24"/>
        </w:rPr>
        <w:t xml:space="preserve">also </w:t>
      </w:r>
      <w:r>
        <w:rPr>
          <w:rFonts w:ascii="Times New Roman" w:hAnsi="Times New Roman" w:cs="Times New Roman"/>
          <w:sz w:val="24"/>
          <w:szCs w:val="24"/>
        </w:rPr>
        <w:t>occurring between ages 60-64 years (</w:t>
      </w:r>
      <w:r w:rsidR="0012635D">
        <w:rPr>
          <w:rFonts w:ascii="Times New Roman" w:hAnsi="Times New Roman" w:cs="Times New Roman"/>
          <w:sz w:val="24"/>
          <w:szCs w:val="24"/>
        </w:rPr>
        <w:t>77.8</w:t>
      </w:r>
      <w:r>
        <w:rPr>
          <w:rFonts w:ascii="Times New Roman" w:hAnsi="Times New Roman" w:cs="Times New Roman"/>
          <w:sz w:val="24"/>
          <w:szCs w:val="24"/>
        </w:rPr>
        <w:t>%) and 65-69 years (</w:t>
      </w:r>
      <w:r w:rsidR="0012635D">
        <w:rPr>
          <w:rFonts w:ascii="Times New Roman" w:hAnsi="Times New Roman" w:cs="Times New Roman"/>
          <w:sz w:val="24"/>
          <w:szCs w:val="24"/>
        </w:rPr>
        <w:t>51</w:t>
      </w:r>
      <w:r>
        <w:rPr>
          <w:rFonts w:ascii="Times New Roman" w:hAnsi="Times New Roman" w:cs="Times New Roman"/>
          <w:sz w:val="24"/>
          <w:szCs w:val="24"/>
        </w:rPr>
        <w:t>.2%). Overall, the labour force participation rate f</w:t>
      </w:r>
      <w:r w:rsidR="0012635D">
        <w:rPr>
          <w:rFonts w:ascii="Times New Roman" w:hAnsi="Times New Roman" w:cs="Times New Roman"/>
          <w:sz w:val="24"/>
          <w:szCs w:val="24"/>
        </w:rPr>
        <w:t xml:space="preserve">or </w:t>
      </w:r>
      <w:r>
        <w:rPr>
          <w:rFonts w:ascii="Times New Roman" w:hAnsi="Times New Roman" w:cs="Times New Roman"/>
          <w:sz w:val="24"/>
          <w:szCs w:val="24"/>
        </w:rPr>
        <w:t xml:space="preserve">men aged 65 years and over was </w:t>
      </w:r>
      <w:r w:rsidR="0012635D">
        <w:rPr>
          <w:rFonts w:ascii="Times New Roman" w:hAnsi="Times New Roman" w:cs="Times New Roman"/>
          <w:sz w:val="24"/>
          <w:szCs w:val="24"/>
        </w:rPr>
        <w:t>29.3</w:t>
      </w:r>
      <w:r>
        <w:rPr>
          <w:rFonts w:ascii="Times New Roman" w:hAnsi="Times New Roman" w:cs="Times New Roman"/>
          <w:sz w:val="24"/>
          <w:szCs w:val="24"/>
        </w:rPr>
        <w:t>%.</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C22540" w:rsidRDefault="00C22540"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These results are unsurprising. Given that national superannuation becomes universally available at 65 years of age, it is to be expected that many more New Zealanders choose leisure over work after age 65 than before. However, labour force participation remains substantial even above 65 years, and in 2013 there were a considerable number of people (about </w:t>
      </w:r>
      <w:r w:rsidR="00EE2F87">
        <w:rPr>
          <w:rFonts w:ascii="Times New Roman" w:hAnsi="Times New Roman" w:cs="Times New Roman"/>
          <w:sz w:val="24"/>
          <w:szCs w:val="24"/>
        </w:rPr>
        <w:t>2,800</w:t>
      </w:r>
      <w:r>
        <w:rPr>
          <w:rFonts w:ascii="Times New Roman" w:hAnsi="Times New Roman" w:cs="Times New Roman"/>
          <w:sz w:val="24"/>
          <w:szCs w:val="24"/>
        </w:rPr>
        <w:t xml:space="preserve">) who </w:t>
      </w:r>
      <w:r w:rsidR="00996A57">
        <w:rPr>
          <w:rFonts w:ascii="Times New Roman" w:hAnsi="Times New Roman" w:cs="Times New Roman"/>
          <w:sz w:val="24"/>
          <w:szCs w:val="24"/>
        </w:rPr>
        <w:t>were</w:t>
      </w:r>
      <w:r>
        <w:rPr>
          <w:rFonts w:ascii="Times New Roman" w:hAnsi="Times New Roman" w:cs="Times New Roman"/>
          <w:sz w:val="24"/>
          <w:szCs w:val="24"/>
        </w:rPr>
        <w:t xml:space="preserve"> still in the labour force aged 85 years or over.</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C22540" w:rsidRDefault="00C22540"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Figure 2 presents the unemployment rate by sex and five-year age group from the 2013 Census. Overall the unemployment rate was 5.0% for tho</w:t>
      </w:r>
      <w:r w:rsidR="00671718">
        <w:rPr>
          <w:rFonts w:ascii="Times New Roman" w:hAnsi="Times New Roman" w:cs="Times New Roman"/>
          <w:sz w:val="24"/>
          <w:szCs w:val="24"/>
        </w:rPr>
        <w:t>se aged 25 years (and over 7.1%</w:t>
      </w:r>
      <w:r>
        <w:rPr>
          <w:rFonts w:ascii="Times New Roman" w:hAnsi="Times New Roman" w:cs="Times New Roman"/>
          <w:sz w:val="24"/>
          <w:szCs w:val="24"/>
        </w:rPr>
        <w:t>for those aged 15 years and over), and higher for women (5.8%) than for men (4.4%). Unemployment rates were highest among the young (18.4% for those aged under 25 years; 19.9% among young women, and 17.1% among young men) and decrease</w:t>
      </w:r>
      <w:r w:rsidR="00AB60D5">
        <w:rPr>
          <w:rFonts w:ascii="Times New Roman" w:hAnsi="Times New Roman" w:cs="Times New Roman"/>
          <w:sz w:val="24"/>
          <w:szCs w:val="24"/>
        </w:rPr>
        <w:t>d</w:t>
      </w:r>
      <w:r>
        <w:rPr>
          <w:rFonts w:ascii="Times New Roman" w:hAnsi="Times New Roman" w:cs="Times New Roman"/>
          <w:sz w:val="24"/>
          <w:szCs w:val="24"/>
        </w:rPr>
        <w:t xml:space="preserve"> monotonically </w:t>
      </w:r>
      <w:r>
        <w:rPr>
          <w:rFonts w:ascii="Times New Roman" w:hAnsi="Times New Roman" w:cs="Times New Roman"/>
          <w:sz w:val="24"/>
          <w:szCs w:val="24"/>
        </w:rPr>
        <w:lastRenderedPageBreak/>
        <w:t xml:space="preserve">among both men and women until ages 75 and over. </w:t>
      </w:r>
      <w:r w:rsidR="004414B6">
        <w:rPr>
          <w:rFonts w:ascii="Times New Roman" w:hAnsi="Times New Roman" w:cs="Times New Roman"/>
          <w:sz w:val="24"/>
          <w:szCs w:val="24"/>
        </w:rPr>
        <w:t>Unemployment rates were higher among women than men up until age 59 years, and above that age the unemployment rates were mostly higher among men than women.</w:t>
      </w:r>
      <w:r w:rsidR="004414B6" w:rsidRPr="004414B6">
        <w:rPr>
          <w:rFonts w:ascii="Times New Roman" w:hAnsi="Times New Roman" w:cs="Times New Roman"/>
          <w:sz w:val="24"/>
          <w:szCs w:val="24"/>
        </w:rPr>
        <w:t xml:space="preserve"> </w:t>
      </w:r>
      <w:r w:rsidR="004414B6">
        <w:rPr>
          <w:rFonts w:ascii="Times New Roman" w:hAnsi="Times New Roman" w:cs="Times New Roman"/>
          <w:sz w:val="24"/>
          <w:szCs w:val="24"/>
        </w:rPr>
        <w:t>Overall, the unemployment rate for those aged 65 years and over was 1.7%, and almost identical between women (1.6%) and men (1.8%).</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1F1121" w:rsidRDefault="001F1121"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Again, the results are unsurprising. There is a noticeable drop-off in unemployment rates between those aged 60-64 years and those aged 65-69 years. This probably reflects a trend towards leaving the labour force, for those who are unemployed at retirement age. Men may be more likely to continue to try and find work after retirement age, which explains their higher unemployment rates than women at ages 65 and over.</w:t>
      </w:r>
    </w:p>
    <w:p w:rsidR="001F1121" w:rsidRDefault="001F1121" w:rsidP="00BC1B69">
      <w:pPr>
        <w:tabs>
          <w:tab w:val="left" w:pos="426"/>
        </w:tabs>
        <w:spacing w:after="0" w:line="288" w:lineRule="auto"/>
        <w:rPr>
          <w:rFonts w:ascii="Times New Roman" w:hAnsi="Times New Roman" w:cs="Times New Roman"/>
          <w:i/>
          <w:sz w:val="24"/>
          <w:szCs w:val="24"/>
        </w:rPr>
      </w:pPr>
    </w:p>
    <w:p w:rsidR="00652A60" w:rsidRDefault="00652A60" w:rsidP="00BC1B69">
      <w:pPr>
        <w:tabs>
          <w:tab w:val="left" w:pos="426"/>
        </w:tabs>
        <w:spacing w:after="0" w:line="288" w:lineRule="auto"/>
        <w:rPr>
          <w:rFonts w:ascii="Times New Roman" w:hAnsi="Times New Roman" w:cs="Times New Roman"/>
          <w:i/>
          <w:sz w:val="24"/>
          <w:szCs w:val="24"/>
        </w:rPr>
      </w:pPr>
    </w:p>
    <w:p w:rsidR="001F1121" w:rsidRPr="00671718" w:rsidRDefault="001F1121" w:rsidP="00BC1B69">
      <w:pPr>
        <w:tabs>
          <w:tab w:val="left" w:pos="426"/>
        </w:tabs>
        <w:spacing w:after="0" w:line="288" w:lineRule="auto"/>
        <w:jc w:val="center"/>
        <w:rPr>
          <w:rFonts w:ascii="Times New Roman" w:hAnsi="Times New Roman" w:cs="Times New Roman"/>
          <w:b/>
          <w:bCs/>
          <w:iCs/>
        </w:rPr>
      </w:pPr>
      <w:r w:rsidRPr="00671718">
        <w:rPr>
          <w:rFonts w:ascii="Times New Roman" w:hAnsi="Times New Roman" w:cs="Times New Roman"/>
          <w:b/>
          <w:bCs/>
          <w:iCs/>
        </w:rPr>
        <w:t>Figure 2: Unemployment</w:t>
      </w:r>
      <w:r w:rsidR="001549F4" w:rsidRPr="00671718">
        <w:rPr>
          <w:rFonts w:ascii="Times New Roman" w:hAnsi="Times New Roman" w:cs="Times New Roman"/>
          <w:b/>
          <w:bCs/>
          <w:iCs/>
        </w:rPr>
        <w:t xml:space="preserve"> Rate by Sex and A</w:t>
      </w:r>
      <w:r w:rsidRPr="00671718">
        <w:rPr>
          <w:rFonts w:ascii="Times New Roman" w:hAnsi="Times New Roman" w:cs="Times New Roman"/>
          <w:b/>
          <w:bCs/>
          <w:iCs/>
        </w:rPr>
        <w:t>ge, 2013</w:t>
      </w:r>
    </w:p>
    <w:p w:rsidR="001F1121" w:rsidRDefault="001F1121" w:rsidP="00BC1B69">
      <w:pPr>
        <w:tabs>
          <w:tab w:val="left" w:pos="426"/>
        </w:tabs>
        <w:spacing w:after="0" w:line="288" w:lineRule="auto"/>
        <w:jc w:val="both"/>
        <w:rPr>
          <w:rFonts w:ascii="Times New Roman" w:hAnsi="Times New Roman" w:cs="Times New Roman"/>
          <w:sz w:val="24"/>
          <w:szCs w:val="24"/>
        </w:rPr>
      </w:pPr>
      <w:r w:rsidRPr="004414B6">
        <w:rPr>
          <w:noProof/>
          <w:szCs w:val="24"/>
          <w:lang w:eastAsia="en-NZ"/>
        </w:rPr>
        <w:drawing>
          <wp:inline distT="0" distB="0" distL="0" distR="0">
            <wp:extent cx="5731510" cy="3752705"/>
            <wp:effectExtent l="19050" t="0" r="254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4414B6" w:rsidRDefault="00077896"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Figure 3 disaggregates the employed in 2013 into part-time and full-time employment for those aged 55 years and over by five-year age group. First, it is clear that the size of the labour force declines with age, with a labour force of over 192,000 aged 55 to 59 years, down to fewer than 3,000 aged 85 years and over. </w:t>
      </w:r>
      <w:r w:rsidR="00F57589">
        <w:rPr>
          <w:rFonts w:ascii="Times New Roman" w:hAnsi="Times New Roman" w:cs="Times New Roman"/>
          <w:sz w:val="24"/>
          <w:szCs w:val="24"/>
        </w:rPr>
        <w:t>Second, the ratio of part-time to full-time employment differs significantly by age. At younger ages up to 64 years, substantially more than half of those employed are full-time. In the 65-69 years age group, the proportion employed full-time drops to just 61.7%, and at ages 70 and over there are more part-time than full-time employed people.</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F57589" w:rsidRDefault="00F57589" w:rsidP="00BC1B69">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This provides further detail on the characteristics of the older labour force. After retirement age, fewer people are working and those that are working are more frequently doing so part-time. Again this reflects a retirement trend, and the choice of part-time employment probably relates to many people choosing to transition from employment to retirement through an intermediate phase of part-time employment, rather than making an abrupt adjustment from full-time employment directly to retirement. There are differences in this transition by sex (see Appendix Figures 1 and 2). More women are employed part-time than full-time in the 65-69 years age group as well as older age groups, whereas for men the transition to more part-time work is in the 70-74 years age group.</w:t>
      </w:r>
    </w:p>
    <w:p w:rsidR="00652A60" w:rsidRDefault="00652A60" w:rsidP="00BC1B69">
      <w:pPr>
        <w:tabs>
          <w:tab w:val="left" w:pos="426"/>
        </w:tabs>
        <w:spacing w:after="0" w:line="288" w:lineRule="auto"/>
        <w:ind w:firstLine="426"/>
        <w:jc w:val="both"/>
        <w:rPr>
          <w:rFonts w:ascii="Times New Roman" w:hAnsi="Times New Roman" w:cs="Times New Roman"/>
          <w:sz w:val="24"/>
          <w:szCs w:val="24"/>
        </w:rPr>
      </w:pP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1F1121" w:rsidRPr="00671718" w:rsidRDefault="001F1121" w:rsidP="00BC1B69">
      <w:pPr>
        <w:tabs>
          <w:tab w:val="left" w:pos="426"/>
        </w:tabs>
        <w:spacing w:after="0" w:line="288" w:lineRule="auto"/>
        <w:jc w:val="center"/>
        <w:rPr>
          <w:rFonts w:ascii="Times New Roman" w:hAnsi="Times New Roman" w:cs="Times New Roman"/>
          <w:b/>
          <w:bCs/>
          <w:iCs/>
        </w:rPr>
      </w:pPr>
      <w:r w:rsidRPr="00671718">
        <w:rPr>
          <w:rFonts w:ascii="Times New Roman" w:hAnsi="Times New Roman" w:cs="Times New Roman"/>
          <w:b/>
          <w:bCs/>
          <w:iCs/>
        </w:rPr>
        <w:t xml:space="preserve">Figure 3: </w:t>
      </w:r>
      <w:r w:rsidR="001549F4" w:rsidRPr="00671718">
        <w:rPr>
          <w:rFonts w:ascii="Times New Roman" w:hAnsi="Times New Roman" w:cs="Times New Roman"/>
          <w:b/>
          <w:bCs/>
          <w:iCs/>
        </w:rPr>
        <w:t>Employment by Part-time/Full-time Status and A</w:t>
      </w:r>
      <w:r w:rsidRPr="00671718">
        <w:rPr>
          <w:rFonts w:ascii="Times New Roman" w:hAnsi="Times New Roman" w:cs="Times New Roman"/>
          <w:b/>
          <w:bCs/>
          <w:iCs/>
        </w:rPr>
        <w:t>ge, 2013</w:t>
      </w:r>
    </w:p>
    <w:p w:rsidR="001F1121" w:rsidRDefault="001F1121" w:rsidP="00BC1B69">
      <w:pPr>
        <w:tabs>
          <w:tab w:val="left" w:pos="426"/>
        </w:tabs>
        <w:spacing w:after="0" w:line="288" w:lineRule="auto"/>
        <w:jc w:val="both"/>
        <w:rPr>
          <w:rFonts w:ascii="Times New Roman" w:hAnsi="Times New Roman" w:cs="Times New Roman"/>
          <w:sz w:val="24"/>
          <w:szCs w:val="24"/>
        </w:rPr>
      </w:pPr>
      <w:r w:rsidRPr="00EE2F87">
        <w:rPr>
          <w:noProof/>
          <w:szCs w:val="24"/>
          <w:lang w:eastAsia="en-NZ"/>
        </w:rPr>
        <w:drawing>
          <wp:inline distT="0" distB="0" distL="0" distR="0">
            <wp:extent cx="5731510" cy="3752705"/>
            <wp:effectExtent l="19050" t="0" r="2540" b="0"/>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077896" w:rsidRDefault="00822588" w:rsidP="00FC17A8">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Figure 4 shows the labour force participation rate </w:t>
      </w:r>
      <w:r w:rsidR="009A765C">
        <w:rPr>
          <w:rFonts w:ascii="Times New Roman" w:hAnsi="Times New Roman" w:cs="Times New Roman"/>
          <w:sz w:val="24"/>
          <w:szCs w:val="24"/>
        </w:rPr>
        <w:t xml:space="preserve">for people aged 65 years and over </w:t>
      </w:r>
      <w:r w:rsidR="00270CD7">
        <w:rPr>
          <w:rFonts w:ascii="Times New Roman" w:hAnsi="Times New Roman" w:cs="Times New Roman"/>
          <w:sz w:val="24"/>
          <w:szCs w:val="24"/>
        </w:rPr>
        <w:t xml:space="preserve">for each region in New Zealand in 2013. </w:t>
      </w:r>
      <w:r w:rsidR="009A765C">
        <w:rPr>
          <w:rFonts w:ascii="Times New Roman" w:hAnsi="Times New Roman" w:cs="Times New Roman"/>
          <w:sz w:val="24"/>
          <w:szCs w:val="24"/>
        </w:rPr>
        <w:t xml:space="preserve">Overall, the labour force participation rate was highest in Gisborne (25.4%), Waikato (24.6%), and Southland (24.3%), and lowest in Nelson (18.3%), Bay of Plenty (21.2%), and Otago (21.5%). For women, the labour force participation rate was highest in Gisborne (20.1%), Northland (18.7%), and Waikato (18.3%), and lowest in Nelson (13.5%), Otago (15.5%), and Canterbury (15.4%). For men, the labour force participation rate was highest in Southland (32.2%), Gisborne (31.9%), and Waikato (31.8%), and lowest in Nelson (24.0%), Bay of Plenty (27.7%), and Taranaki (28.4%). These rankings are substantially different from those for the labour force as a whole, where for those aged 25 years and over the highest labour force participation rates are observed in </w:t>
      </w:r>
      <w:r w:rsidR="009A765C">
        <w:rPr>
          <w:rFonts w:ascii="Times New Roman" w:hAnsi="Times New Roman" w:cs="Times New Roman"/>
          <w:sz w:val="24"/>
          <w:szCs w:val="24"/>
        </w:rPr>
        <w:lastRenderedPageBreak/>
        <w:t xml:space="preserve">Wellington (71.4%), Southland (70.9%), and Canterbury (69.4%), and the lowest rates are observed in Northland (62.1%), Bay of Plenty (65.1%), and Manawatu-Wanganui (65.5%). The difference in ranking between the overall labour force and the older labour force reflects the differences in the motivation </w:t>
      </w:r>
      <w:r w:rsidR="004D4B05">
        <w:rPr>
          <w:rFonts w:ascii="Times New Roman" w:hAnsi="Times New Roman" w:cs="Times New Roman"/>
          <w:sz w:val="24"/>
          <w:szCs w:val="24"/>
        </w:rPr>
        <w:t>of older people to work. In particular, the areas with low labour force participation rates among older people include traditional ‘sunbelt’ retirement areas such as Nelson and the Western Bay of Plenty.</w:t>
      </w:r>
    </w:p>
    <w:p w:rsidR="00652A60" w:rsidRDefault="00652A60" w:rsidP="00FC17A8">
      <w:pPr>
        <w:tabs>
          <w:tab w:val="left" w:pos="426"/>
        </w:tabs>
        <w:spacing w:after="0" w:line="288" w:lineRule="auto"/>
        <w:ind w:firstLine="426"/>
        <w:jc w:val="both"/>
        <w:rPr>
          <w:rFonts w:ascii="Times New Roman" w:hAnsi="Times New Roman" w:cs="Times New Roman"/>
          <w:sz w:val="24"/>
          <w:szCs w:val="24"/>
        </w:rPr>
      </w:pPr>
    </w:p>
    <w:p w:rsidR="00652A60" w:rsidRDefault="00652A60" w:rsidP="00FC17A8">
      <w:pPr>
        <w:tabs>
          <w:tab w:val="left" w:pos="426"/>
        </w:tabs>
        <w:spacing w:after="0" w:line="288" w:lineRule="auto"/>
        <w:ind w:firstLine="426"/>
        <w:jc w:val="both"/>
        <w:rPr>
          <w:rFonts w:ascii="Times New Roman" w:hAnsi="Times New Roman" w:cs="Times New Roman"/>
          <w:sz w:val="24"/>
          <w:szCs w:val="24"/>
        </w:rPr>
      </w:pPr>
    </w:p>
    <w:p w:rsidR="00671718" w:rsidRPr="00671718" w:rsidRDefault="00822588" w:rsidP="00BC1B69">
      <w:pPr>
        <w:tabs>
          <w:tab w:val="left" w:pos="426"/>
        </w:tabs>
        <w:spacing w:after="0" w:line="240" w:lineRule="auto"/>
        <w:jc w:val="center"/>
        <w:rPr>
          <w:rFonts w:ascii="Times New Roman" w:hAnsi="Times New Roman" w:cs="Times New Roman"/>
          <w:b/>
          <w:bCs/>
          <w:iCs/>
        </w:rPr>
      </w:pPr>
      <w:r w:rsidRPr="00671718">
        <w:rPr>
          <w:rFonts w:ascii="Times New Roman" w:hAnsi="Times New Roman" w:cs="Times New Roman"/>
          <w:b/>
          <w:bCs/>
          <w:iCs/>
        </w:rPr>
        <w:t xml:space="preserve">Figure 4: </w:t>
      </w:r>
      <w:r w:rsidR="001549F4" w:rsidRPr="00671718">
        <w:rPr>
          <w:rFonts w:ascii="Times New Roman" w:hAnsi="Times New Roman" w:cs="Times New Roman"/>
          <w:b/>
          <w:bCs/>
          <w:iCs/>
        </w:rPr>
        <w:t xml:space="preserve">Labour Force Participation Rate for People Aged 65 Years and Over, </w:t>
      </w:r>
    </w:p>
    <w:p w:rsidR="00822588" w:rsidRDefault="001549F4" w:rsidP="00BC1B69">
      <w:pPr>
        <w:tabs>
          <w:tab w:val="left" w:pos="426"/>
        </w:tabs>
        <w:spacing w:after="0" w:line="240" w:lineRule="auto"/>
        <w:jc w:val="center"/>
        <w:rPr>
          <w:rFonts w:ascii="Times New Roman" w:hAnsi="Times New Roman" w:cs="Times New Roman"/>
          <w:b/>
          <w:bCs/>
          <w:iCs/>
        </w:rPr>
      </w:pPr>
      <w:proofErr w:type="gramStart"/>
      <w:r w:rsidRPr="00671718">
        <w:rPr>
          <w:rFonts w:ascii="Times New Roman" w:hAnsi="Times New Roman" w:cs="Times New Roman"/>
          <w:b/>
          <w:bCs/>
          <w:iCs/>
        </w:rPr>
        <w:t>by</w:t>
      </w:r>
      <w:proofErr w:type="gramEnd"/>
      <w:r w:rsidRPr="00671718">
        <w:rPr>
          <w:rFonts w:ascii="Times New Roman" w:hAnsi="Times New Roman" w:cs="Times New Roman"/>
          <w:b/>
          <w:bCs/>
          <w:iCs/>
        </w:rPr>
        <w:t xml:space="preserve"> Sex and R</w:t>
      </w:r>
      <w:r w:rsidR="00822588" w:rsidRPr="00671718">
        <w:rPr>
          <w:rFonts w:ascii="Times New Roman" w:hAnsi="Times New Roman" w:cs="Times New Roman"/>
          <w:b/>
          <w:bCs/>
          <w:iCs/>
        </w:rPr>
        <w:t>egion</w:t>
      </w:r>
    </w:p>
    <w:p w:rsidR="00FC17A8" w:rsidRPr="00FC17A8" w:rsidRDefault="00FC17A8" w:rsidP="00BC1B69">
      <w:pPr>
        <w:tabs>
          <w:tab w:val="left" w:pos="426"/>
        </w:tabs>
        <w:spacing w:after="0" w:line="240" w:lineRule="auto"/>
        <w:jc w:val="center"/>
        <w:rPr>
          <w:rFonts w:ascii="Times New Roman" w:hAnsi="Times New Roman" w:cs="Times New Roman"/>
          <w:b/>
          <w:bCs/>
          <w:iCs/>
          <w:sz w:val="10"/>
          <w:szCs w:val="10"/>
        </w:rPr>
      </w:pPr>
    </w:p>
    <w:p w:rsidR="00822588" w:rsidRDefault="00822588" w:rsidP="00BC1B69">
      <w:pPr>
        <w:tabs>
          <w:tab w:val="left" w:pos="426"/>
        </w:tabs>
        <w:spacing w:after="0" w:line="288" w:lineRule="auto"/>
        <w:jc w:val="both"/>
        <w:rPr>
          <w:rFonts w:ascii="Times New Roman" w:hAnsi="Times New Roman" w:cs="Times New Roman"/>
          <w:sz w:val="24"/>
          <w:szCs w:val="24"/>
        </w:rPr>
      </w:pPr>
      <w:r w:rsidRPr="00822588">
        <w:rPr>
          <w:noProof/>
          <w:szCs w:val="24"/>
          <w:lang w:eastAsia="en-NZ"/>
        </w:rPr>
        <w:drawing>
          <wp:inline distT="0" distB="0" distL="0" distR="0">
            <wp:extent cx="5731510" cy="3752705"/>
            <wp:effectExtent l="19050" t="0" r="2540" b="0"/>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1E75F4" w:rsidRDefault="003C2D7E" w:rsidP="00FC17A8">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Figure 5 shows the industry mix of employment in 2013 by five-year age group</w:t>
      </w:r>
      <w:r w:rsidR="00247684">
        <w:rPr>
          <w:rFonts w:ascii="Times New Roman" w:hAnsi="Times New Roman" w:cs="Times New Roman"/>
          <w:sz w:val="24"/>
          <w:szCs w:val="24"/>
        </w:rPr>
        <w:t>s</w:t>
      </w:r>
      <w:r>
        <w:rPr>
          <w:rFonts w:ascii="Times New Roman" w:hAnsi="Times New Roman" w:cs="Times New Roman"/>
          <w:sz w:val="24"/>
          <w:szCs w:val="24"/>
        </w:rPr>
        <w:t xml:space="preserve"> for those aged 55 years and over, along with the mix for the labour force age</w:t>
      </w:r>
      <w:r w:rsidR="001E75F4">
        <w:rPr>
          <w:rFonts w:ascii="Times New Roman" w:hAnsi="Times New Roman" w:cs="Times New Roman"/>
          <w:sz w:val="24"/>
          <w:szCs w:val="24"/>
        </w:rPr>
        <w:t xml:space="preserve">d 25 years and over as a whole. Comparing the older age groups with the labour force aged 25 years and over as a whole, there are four industries where the proportion of employment at every age group 55 years and over is lower than for the labour force aged 25 years and over as a whole: (1) </w:t>
      </w:r>
      <w:r w:rsidR="001E75F4" w:rsidRPr="001E75F4">
        <w:rPr>
          <w:rFonts w:ascii="Times New Roman" w:hAnsi="Times New Roman" w:cs="Times New Roman"/>
          <w:i/>
          <w:sz w:val="24"/>
          <w:szCs w:val="24"/>
        </w:rPr>
        <w:t>Construction</w:t>
      </w:r>
      <w:r w:rsidR="001E75F4">
        <w:rPr>
          <w:rFonts w:ascii="Times New Roman" w:hAnsi="Times New Roman" w:cs="Times New Roman"/>
          <w:sz w:val="24"/>
          <w:szCs w:val="24"/>
        </w:rPr>
        <w:t xml:space="preserve">; (2) </w:t>
      </w:r>
      <w:r w:rsidR="001E75F4" w:rsidRPr="001E75F4">
        <w:rPr>
          <w:rFonts w:ascii="Times New Roman" w:hAnsi="Times New Roman" w:cs="Times New Roman"/>
          <w:i/>
          <w:sz w:val="24"/>
          <w:szCs w:val="24"/>
        </w:rPr>
        <w:t>Wholesale Trade</w:t>
      </w:r>
      <w:r w:rsidR="001E75F4">
        <w:rPr>
          <w:rFonts w:ascii="Times New Roman" w:hAnsi="Times New Roman" w:cs="Times New Roman"/>
          <w:sz w:val="24"/>
          <w:szCs w:val="24"/>
        </w:rPr>
        <w:t xml:space="preserve">; (3) </w:t>
      </w:r>
      <w:r w:rsidR="001E75F4" w:rsidRPr="001E75F4">
        <w:rPr>
          <w:rFonts w:ascii="Times New Roman" w:hAnsi="Times New Roman" w:cs="Times New Roman"/>
          <w:i/>
          <w:sz w:val="24"/>
          <w:szCs w:val="24"/>
        </w:rPr>
        <w:t>Retail Trade</w:t>
      </w:r>
      <w:r w:rsidR="001E75F4">
        <w:rPr>
          <w:rFonts w:ascii="Times New Roman" w:hAnsi="Times New Roman" w:cs="Times New Roman"/>
          <w:sz w:val="24"/>
          <w:szCs w:val="24"/>
        </w:rPr>
        <w:t xml:space="preserve">; and (4) </w:t>
      </w:r>
      <w:r w:rsidR="001E75F4" w:rsidRPr="001E75F4">
        <w:rPr>
          <w:rFonts w:ascii="Times New Roman" w:hAnsi="Times New Roman" w:cs="Times New Roman"/>
          <w:i/>
          <w:sz w:val="24"/>
          <w:szCs w:val="24"/>
        </w:rPr>
        <w:t>Accommodation, Cafés and Restaurants</w:t>
      </w:r>
      <w:r w:rsidR="001E75F4">
        <w:rPr>
          <w:rFonts w:ascii="Times New Roman" w:hAnsi="Times New Roman" w:cs="Times New Roman"/>
          <w:sz w:val="24"/>
          <w:szCs w:val="24"/>
        </w:rPr>
        <w:t>. This is unsurprising, given that these industries are typically characterised by a youthful workforce.</w:t>
      </w:r>
      <w:r w:rsidR="001E75F4" w:rsidRPr="001E75F4">
        <w:rPr>
          <w:rFonts w:ascii="Times New Roman" w:hAnsi="Times New Roman" w:cs="Times New Roman"/>
          <w:sz w:val="24"/>
          <w:szCs w:val="24"/>
        </w:rPr>
        <w:t xml:space="preserve"> </w:t>
      </w:r>
      <w:r w:rsidR="001E75F4">
        <w:rPr>
          <w:rFonts w:ascii="Times New Roman" w:hAnsi="Times New Roman" w:cs="Times New Roman"/>
          <w:sz w:val="24"/>
          <w:szCs w:val="24"/>
        </w:rPr>
        <w:t xml:space="preserve">The </w:t>
      </w:r>
      <w:r w:rsidR="001E75F4" w:rsidRPr="003C2D7E">
        <w:rPr>
          <w:rFonts w:ascii="Times New Roman" w:hAnsi="Times New Roman" w:cs="Times New Roman"/>
          <w:i/>
          <w:sz w:val="24"/>
          <w:szCs w:val="24"/>
        </w:rPr>
        <w:t>Agriculture, Forestry and Fishing</w:t>
      </w:r>
      <w:r w:rsidR="001E75F4">
        <w:rPr>
          <w:rFonts w:ascii="Times New Roman" w:hAnsi="Times New Roman" w:cs="Times New Roman"/>
          <w:sz w:val="24"/>
          <w:szCs w:val="24"/>
        </w:rPr>
        <w:t xml:space="preserve"> industry is the only industry where </w:t>
      </w:r>
      <w:r w:rsidR="00A26DE5">
        <w:rPr>
          <w:rFonts w:ascii="Times New Roman" w:hAnsi="Times New Roman" w:cs="Times New Roman"/>
          <w:sz w:val="24"/>
          <w:szCs w:val="24"/>
        </w:rPr>
        <w:t>the proportion of employment at every age group 55 years and over is higher than for the labour force aged 25 years and over as a whole, reflecting a substantially older than average workforce in that industry.</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72226" w:rsidRDefault="003C2D7E" w:rsidP="00FC17A8">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The change in industry mix across age groups is most interesting. </w:t>
      </w:r>
      <w:r w:rsidRPr="003C2D7E">
        <w:rPr>
          <w:rFonts w:ascii="Times New Roman" w:hAnsi="Times New Roman" w:cs="Times New Roman"/>
          <w:i/>
          <w:sz w:val="24"/>
          <w:szCs w:val="24"/>
        </w:rPr>
        <w:t>Agriculture, Forestry and Fishing</w:t>
      </w:r>
      <w:r>
        <w:rPr>
          <w:rFonts w:ascii="Times New Roman" w:hAnsi="Times New Roman" w:cs="Times New Roman"/>
          <w:sz w:val="24"/>
          <w:szCs w:val="24"/>
        </w:rPr>
        <w:t xml:space="preserve"> makes up a strictly increasing proportion of employment among older age groups, increasing from 7.2 percent of employment among those aged 55-59 years to 35.4 percent of employment among those aged 85 years and over. </w:t>
      </w:r>
      <w:r w:rsidR="00414CEB" w:rsidRPr="00414CEB">
        <w:rPr>
          <w:rFonts w:ascii="Times New Roman" w:hAnsi="Times New Roman" w:cs="Times New Roman"/>
          <w:sz w:val="24"/>
          <w:szCs w:val="24"/>
        </w:rPr>
        <w:t xml:space="preserve">Many workers in this industry are self-employed farmers, or have made the transition from self-employed to employer, both of which offer flexible work hours to some extent and allow them to continue in work to older ages. </w:t>
      </w:r>
      <w:r>
        <w:rPr>
          <w:rFonts w:ascii="Times New Roman" w:hAnsi="Times New Roman" w:cs="Times New Roman"/>
          <w:sz w:val="24"/>
          <w:szCs w:val="24"/>
        </w:rPr>
        <w:t>The substantial increase in agricultural employment by age reinforces the</w:t>
      </w:r>
      <w:r w:rsidR="00A26DE5">
        <w:rPr>
          <w:rFonts w:ascii="Times New Roman" w:hAnsi="Times New Roman" w:cs="Times New Roman"/>
          <w:sz w:val="24"/>
          <w:szCs w:val="24"/>
        </w:rPr>
        <w:t xml:space="preserve"> aged nature of the labour force noted in the previous paragraph, as well as the</w:t>
      </w:r>
      <w:r>
        <w:rPr>
          <w:rFonts w:ascii="Times New Roman" w:hAnsi="Times New Roman" w:cs="Times New Roman"/>
          <w:sz w:val="24"/>
          <w:szCs w:val="24"/>
        </w:rPr>
        <w:t xml:space="preserve"> earlier findings of Jackson</w:t>
      </w:r>
      <w:r w:rsidR="00A07C8B">
        <w:rPr>
          <w:rFonts w:ascii="Times New Roman" w:hAnsi="Times New Roman" w:cs="Times New Roman"/>
          <w:sz w:val="24"/>
          <w:szCs w:val="24"/>
        </w:rPr>
        <w:t xml:space="preserve"> (2013) </w:t>
      </w:r>
      <w:r>
        <w:rPr>
          <w:rFonts w:ascii="Times New Roman" w:hAnsi="Times New Roman" w:cs="Times New Roman"/>
          <w:sz w:val="24"/>
          <w:szCs w:val="24"/>
        </w:rPr>
        <w:t xml:space="preserve">and </w:t>
      </w:r>
      <w:r w:rsidR="00A07C8B">
        <w:rPr>
          <w:rFonts w:ascii="Times New Roman" w:hAnsi="Times New Roman" w:cs="Times New Roman"/>
          <w:sz w:val="24"/>
          <w:szCs w:val="24"/>
        </w:rPr>
        <w:t>Cameron</w:t>
      </w:r>
      <w:r w:rsidR="00AD6478">
        <w:rPr>
          <w:rFonts w:ascii="Times New Roman" w:hAnsi="Times New Roman" w:cs="Times New Roman"/>
          <w:sz w:val="24"/>
          <w:szCs w:val="24"/>
        </w:rPr>
        <w:t xml:space="preserve">, Barrett, Cochrane </w:t>
      </w:r>
      <w:r w:rsidR="00671718">
        <w:rPr>
          <w:rFonts w:ascii="Times New Roman" w:hAnsi="Times New Roman" w:cs="Times New Roman"/>
          <w:sz w:val="24"/>
          <w:szCs w:val="24"/>
        </w:rPr>
        <w:t>and</w:t>
      </w:r>
      <w:r w:rsidR="00AD6478">
        <w:rPr>
          <w:rFonts w:ascii="Times New Roman" w:hAnsi="Times New Roman" w:cs="Times New Roman"/>
          <w:sz w:val="24"/>
          <w:szCs w:val="24"/>
        </w:rPr>
        <w:t xml:space="preserve"> </w:t>
      </w:r>
      <w:proofErr w:type="spellStart"/>
      <w:r w:rsidR="00AD6478">
        <w:rPr>
          <w:rFonts w:ascii="Times New Roman" w:hAnsi="Times New Roman" w:cs="Times New Roman"/>
          <w:sz w:val="24"/>
          <w:szCs w:val="24"/>
        </w:rPr>
        <w:t>McNiell</w:t>
      </w:r>
      <w:proofErr w:type="spellEnd"/>
      <w:r w:rsidR="00AD6478">
        <w:rPr>
          <w:rFonts w:ascii="Times New Roman" w:hAnsi="Times New Roman" w:cs="Times New Roman"/>
          <w:sz w:val="24"/>
          <w:szCs w:val="24"/>
        </w:rPr>
        <w:t xml:space="preserve"> </w:t>
      </w:r>
      <w:r w:rsidR="00A07C8B">
        <w:rPr>
          <w:rFonts w:ascii="Times New Roman" w:hAnsi="Times New Roman" w:cs="Times New Roman"/>
          <w:sz w:val="24"/>
          <w:szCs w:val="24"/>
        </w:rPr>
        <w:t xml:space="preserve">(2010) </w:t>
      </w:r>
      <w:r>
        <w:rPr>
          <w:rFonts w:ascii="Times New Roman" w:hAnsi="Times New Roman" w:cs="Times New Roman"/>
          <w:sz w:val="24"/>
          <w:szCs w:val="24"/>
        </w:rPr>
        <w:t>on the difficulty that farmers are facing in ensuring successio</w:t>
      </w:r>
      <w:r w:rsidR="00A26DE5">
        <w:rPr>
          <w:rFonts w:ascii="Times New Roman" w:hAnsi="Times New Roman" w:cs="Times New Roman"/>
          <w:sz w:val="24"/>
          <w:szCs w:val="24"/>
        </w:rPr>
        <w:t>n of farm ownership as they age. This difficulty in succession is</w:t>
      </w:r>
      <w:r>
        <w:rPr>
          <w:rFonts w:ascii="Times New Roman" w:hAnsi="Times New Roman" w:cs="Times New Roman"/>
          <w:sz w:val="24"/>
          <w:szCs w:val="24"/>
        </w:rPr>
        <w:t xml:space="preserve"> partially due to an unwillingness of younger people to enter the industry. No other industries show a monotonic increase in proportion of employment over these age groups.</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7F1909" w:rsidRDefault="003C2D7E"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 contrast, both </w:t>
      </w:r>
      <w:r w:rsidRPr="003C2D7E">
        <w:rPr>
          <w:rFonts w:ascii="Times New Roman" w:hAnsi="Times New Roman" w:cs="Times New Roman"/>
          <w:i/>
          <w:sz w:val="24"/>
          <w:szCs w:val="24"/>
        </w:rPr>
        <w:t>Education</w:t>
      </w:r>
      <w:r>
        <w:rPr>
          <w:rFonts w:ascii="Times New Roman" w:hAnsi="Times New Roman" w:cs="Times New Roman"/>
          <w:sz w:val="24"/>
          <w:szCs w:val="24"/>
        </w:rPr>
        <w:t xml:space="preserve"> and </w:t>
      </w:r>
      <w:r w:rsidRPr="003C2D7E">
        <w:rPr>
          <w:rFonts w:ascii="Times New Roman" w:hAnsi="Times New Roman" w:cs="Times New Roman"/>
          <w:i/>
          <w:sz w:val="24"/>
          <w:szCs w:val="24"/>
        </w:rPr>
        <w:t>Health and Community Services</w:t>
      </w:r>
      <w:r>
        <w:rPr>
          <w:rFonts w:ascii="Times New Roman" w:hAnsi="Times New Roman" w:cs="Times New Roman"/>
          <w:sz w:val="24"/>
          <w:szCs w:val="24"/>
        </w:rPr>
        <w:t xml:space="preserve"> show a monotonic decrease in employment proportion by age group. </w:t>
      </w:r>
      <w:r>
        <w:rPr>
          <w:rFonts w:ascii="Times New Roman" w:hAnsi="Times New Roman" w:cs="Times New Roman"/>
          <w:i/>
          <w:sz w:val="24"/>
          <w:szCs w:val="24"/>
        </w:rPr>
        <w:t>Education</w:t>
      </w:r>
      <w:r>
        <w:rPr>
          <w:rFonts w:ascii="Times New Roman" w:hAnsi="Times New Roman" w:cs="Times New Roman"/>
          <w:sz w:val="24"/>
          <w:szCs w:val="24"/>
        </w:rPr>
        <w:t xml:space="preserve"> decreases from 9.9 percent of employment in the 55-59 year age group to 3.8 percent in the 85 years and over age group, while </w:t>
      </w:r>
      <w:r>
        <w:rPr>
          <w:rFonts w:ascii="Times New Roman" w:hAnsi="Times New Roman" w:cs="Times New Roman"/>
          <w:i/>
          <w:sz w:val="24"/>
          <w:szCs w:val="24"/>
        </w:rPr>
        <w:t>Health and Community Services</w:t>
      </w:r>
      <w:r>
        <w:rPr>
          <w:rFonts w:ascii="Times New Roman" w:hAnsi="Times New Roman" w:cs="Times New Roman"/>
          <w:sz w:val="24"/>
          <w:szCs w:val="24"/>
        </w:rPr>
        <w:t xml:space="preserve"> decreases from 13.5 percent of </w:t>
      </w:r>
      <w:r w:rsidR="00E928E7">
        <w:rPr>
          <w:rFonts w:ascii="Times New Roman" w:hAnsi="Times New Roman" w:cs="Times New Roman"/>
          <w:sz w:val="24"/>
          <w:szCs w:val="24"/>
        </w:rPr>
        <w:t>employment in the 55-59 year age group to 4.3 percent of employment in the 85 years and over age group.</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0F15E0" w:rsidRDefault="00206EB2"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The latter decreases are most apparent amongst women (see Appendix Figures 3 and 4</w:t>
      </w:r>
      <w:r w:rsidR="007F1909">
        <w:rPr>
          <w:rFonts w:ascii="Times New Roman" w:hAnsi="Times New Roman" w:cs="Times New Roman"/>
          <w:sz w:val="24"/>
          <w:szCs w:val="24"/>
        </w:rPr>
        <w:t xml:space="preserve">), with </w:t>
      </w:r>
      <w:r w:rsidR="007F1909">
        <w:rPr>
          <w:rFonts w:ascii="Times New Roman" w:hAnsi="Times New Roman" w:cs="Times New Roman"/>
          <w:i/>
          <w:sz w:val="24"/>
          <w:szCs w:val="24"/>
        </w:rPr>
        <w:t>Education</w:t>
      </w:r>
      <w:r w:rsidR="007F1909">
        <w:rPr>
          <w:rFonts w:ascii="Times New Roman" w:hAnsi="Times New Roman" w:cs="Times New Roman"/>
          <w:sz w:val="24"/>
          <w:szCs w:val="24"/>
        </w:rPr>
        <w:t xml:space="preserve"> decreasing from 14.9 percent of women’s employment in the 55-59 year age group to 7.5 percent of women’s employment in the 85 years and over age group, and </w:t>
      </w:r>
      <w:r w:rsidR="007F1909">
        <w:rPr>
          <w:rFonts w:ascii="Times New Roman" w:hAnsi="Times New Roman" w:cs="Times New Roman"/>
          <w:i/>
          <w:sz w:val="24"/>
          <w:szCs w:val="24"/>
        </w:rPr>
        <w:t>Health and Community Services</w:t>
      </w:r>
      <w:r w:rsidR="007F1909">
        <w:rPr>
          <w:rFonts w:ascii="Times New Roman" w:hAnsi="Times New Roman" w:cs="Times New Roman"/>
          <w:sz w:val="24"/>
          <w:szCs w:val="24"/>
        </w:rPr>
        <w:t xml:space="preserve"> decreasing from 22.9 percent of women’s employment in the 55-59 year age group to 10.4 percent of women’s employment in the 85 years and over age group. </w:t>
      </w:r>
    </w:p>
    <w:p w:rsidR="000F15E0" w:rsidRDefault="000F15E0"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ab/>
      </w:r>
    </w:p>
    <w:p w:rsidR="003C2D7E" w:rsidRDefault="007F1909"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Women also demonstrate a monotonic decrease in employment proportion by age group in the </w:t>
      </w:r>
      <w:r>
        <w:rPr>
          <w:rFonts w:ascii="Times New Roman" w:hAnsi="Times New Roman" w:cs="Times New Roman"/>
          <w:i/>
          <w:sz w:val="24"/>
          <w:szCs w:val="24"/>
        </w:rPr>
        <w:t>Construction</w:t>
      </w:r>
      <w:r>
        <w:rPr>
          <w:rFonts w:ascii="Times New Roman" w:hAnsi="Times New Roman" w:cs="Times New Roman"/>
          <w:sz w:val="24"/>
          <w:szCs w:val="24"/>
        </w:rPr>
        <w:t xml:space="preserve"> industry, though the numbers are small, while men show monotonic decreases in employment proportion by age group in the </w:t>
      </w:r>
      <w:r w:rsidRPr="007F1909">
        <w:rPr>
          <w:rFonts w:ascii="Times New Roman" w:hAnsi="Times New Roman" w:cs="Times New Roman"/>
          <w:i/>
          <w:sz w:val="24"/>
          <w:szCs w:val="24"/>
        </w:rPr>
        <w:t>Electricity, Gas and Water Supply</w:t>
      </w:r>
      <w:r>
        <w:rPr>
          <w:rFonts w:ascii="Times New Roman" w:hAnsi="Times New Roman" w:cs="Times New Roman"/>
          <w:sz w:val="24"/>
          <w:szCs w:val="24"/>
        </w:rPr>
        <w:t xml:space="preserve">, </w:t>
      </w:r>
      <w:r w:rsidRPr="007F1909">
        <w:rPr>
          <w:rFonts w:ascii="Times New Roman" w:hAnsi="Times New Roman" w:cs="Times New Roman"/>
          <w:i/>
          <w:sz w:val="24"/>
          <w:szCs w:val="24"/>
        </w:rPr>
        <w:t>Government Administration and Defence</w:t>
      </w:r>
      <w:r>
        <w:rPr>
          <w:rFonts w:ascii="Times New Roman" w:hAnsi="Times New Roman" w:cs="Times New Roman"/>
          <w:sz w:val="24"/>
          <w:szCs w:val="24"/>
        </w:rPr>
        <w:t xml:space="preserve">, and </w:t>
      </w:r>
      <w:r w:rsidRPr="007F1909">
        <w:rPr>
          <w:rFonts w:ascii="Times New Roman" w:hAnsi="Times New Roman" w:cs="Times New Roman"/>
          <w:i/>
          <w:sz w:val="24"/>
          <w:szCs w:val="24"/>
        </w:rPr>
        <w:t>Health and Community Services</w:t>
      </w:r>
      <w:r>
        <w:rPr>
          <w:rFonts w:ascii="Times New Roman" w:hAnsi="Times New Roman" w:cs="Times New Roman"/>
          <w:sz w:val="24"/>
          <w:szCs w:val="24"/>
        </w:rPr>
        <w:t xml:space="preserve"> industries, again all with relatively small numbers. Both sexes show monotonic increases in employment proportion by age group only in the </w:t>
      </w:r>
      <w:r w:rsidRPr="003C2D7E">
        <w:rPr>
          <w:rFonts w:ascii="Times New Roman" w:hAnsi="Times New Roman" w:cs="Times New Roman"/>
          <w:i/>
          <w:sz w:val="24"/>
          <w:szCs w:val="24"/>
        </w:rPr>
        <w:t>Agriculture, Forestry and Fishing</w:t>
      </w:r>
      <w:r>
        <w:rPr>
          <w:rFonts w:ascii="Times New Roman" w:hAnsi="Times New Roman" w:cs="Times New Roman"/>
          <w:sz w:val="24"/>
          <w:szCs w:val="24"/>
        </w:rPr>
        <w:t xml:space="preserve"> industry.</w:t>
      </w:r>
    </w:p>
    <w:p w:rsidR="001F1121" w:rsidRDefault="001F1121" w:rsidP="00BC1B69">
      <w:pPr>
        <w:tabs>
          <w:tab w:val="left" w:pos="426"/>
        </w:tabs>
        <w:spacing w:after="0" w:line="288" w:lineRule="auto"/>
        <w:rPr>
          <w:rFonts w:ascii="Times New Roman" w:hAnsi="Times New Roman" w:cs="Times New Roman"/>
          <w:i/>
          <w:sz w:val="24"/>
          <w:szCs w:val="24"/>
        </w:rPr>
      </w:pPr>
      <w:r>
        <w:rPr>
          <w:rFonts w:ascii="Times New Roman" w:hAnsi="Times New Roman" w:cs="Times New Roman"/>
          <w:i/>
          <w:sz w:val="24"/>
          <w:szCs w:val="24"/>
        </w:rPr>
        <w:br w:type="page"/>
      </w:r>
    </w:p>
    <w:p w:rsidR="003C2D7E" w:rsidRPr="00EE7BFD" w:rsidRDefault="003C2D7E" w:rsidP="00BC1B69">
      <w:pPr>
        <w:tabs>
          <w:tab w:val="left" w:pos="426"/>
        </w:tabs>
        <w:spacing w:after="0" w:line="288" w:lineRule="auto"/>
        <w:jc w:val="center"/>
        <w:rPr>
          <w:rFonts w:ascii="Times New Roman" w:hAnsi="Times New Roman" w:cs="Times New Roman"/>
          <w:b/>
          <w:bCs/>
          <w:iCs/>
          <w:sz w:val="24"/>
          <w:szCs w:val="24"/>
        </w:rPr>
      </w:pPr>
      <w:r w:rsidRPr="00EE7BFD">
        <w:rPr>
          <w:rFonts w:ascii="Times New Roman" w:hAnsi="Times New Roman" w:cs="Times New Roman"/>
          <w:b/>
          <w:bCs/>
          <w:iCs/>
          <w:sz w:val="24"/>
          <w:szCs w:val="24"/>
        </w:rPr>
        <w:lastRenderedPageBreak/>
        <w:t xml:space="preserve">Figure 5: </w:t>
      </w:r>
      <w:r w:rsidR="001549F4">
        <w:rPr>
          <w:rFonts w:ascii="Times New Roman" w:hAnsi="Times New Roman" w:cs="Times New Roman"/>
          <w:b/>
          <w:bCs/>
          <w:iCs/>
          <w:sz w:val="24"/>
          <w:szCs w:val="24"/>
        </w:rPr>
        <w:t>Industry Mix of Employment by Age G</w:t>
      </w:r>
      <w:r w:rsidRPr="00EE7BFD">
        <w:rPr>
          <w:rFonts w:ascii="Times New Roman" w:hAnsi="Times New Roman" w:cs="Times New Roman"/>
          <w:b/>
          <w:bCs/>
          <w:iCs/>
          <w:sz w:val="24"/>
          <w:szCs w:val="24"/>
        </w:rPr>
        <w:t>roup, 2013</w:t>
      </w:r>
    </w:p>
    <w:p w:rsidR="003C2D7E" w:rsidRDefault="003C2D7E" w:rsidP="00BC1B69">
      <w:pPr>
        <w:tabs>
          <w:tab w:val="left" w:pos="426"/>
        </w:tabs>
        <w:spacing w:after="0" w:line="288" w:lineRule="auto"/>
        <w:jc w:val="both"/>
        <w:rPr>
          <w:rFonts w:ascii="Times New Roman" w:hAnsi="Times New Roman" w:cs="Times New Roman"/>
          <w:sz w:val="24"/>
          <w:szCs w:val="24"/>
        </w:rPr>
      </w:pPr>
      <w:r w:rsidRPr="003C2D7E">
        <w:rPr>
          <w:noProof/>
          <w:szCs w:val="24"/>
          <w:lang w:eastAsia="en-NZ"/>
        </w:rPr>
        <w:drawing>
          <wp:inline distT="0" distB="0" distL="0" distR="0">
            <wp:extent cx="5731510" cy="375270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1E75F4" w:rsidRDefault="00B321B7"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Figure 6 shows the age mix of employment in each industry in 2013, and demonstrates that some industries have developed a clearly older age profile of workers than others. For instance, 12.5 percent of workers in the </w:t>
      </w:r>
      <w:r w:rsidRPr="003C2D7E">
        <w:rPr>
          <w:rFonts w:ascii="Times New Roman" w:hAnsi="Times New Roman" w:cs="Times New Roman"/>
          <w:i/>
          <w:sz w:val="24"/>
          <w:szCs w:val="24"/>
        </w:rPr>
        <w:t>Agriculture, Forestry and Fishing</w:t>
      </w:r>
      <w:r>
        <w:rPr>
          <w:rFonts w:ascii="Times New Roman" w:hAnsi="Times New Roman" w:cs="Times New Roman"/>
          <w:sz w:val="24"/>
          <w:szCs w:val="24"/>
        </w:rPr>
        <w:t xml:space="preserve"> industry are aged 65 years and over, with a further 18.9 percent aged 55-64 years. Other industries with the oldest age profile of employment include </w:t>
      </w:r>
      <w:r w:rsidRPr="00B24C6F">
        <w:rPr>
          <w:rFonts w:ascii="Times New Roman" w:hAnsi="Times New Roman" w:cs="Times New Roman"/>
          <w:i/>
          <w:sz w:val="24"/>
          <w:szCs w:val="24"/>
        </w:rPr>
        <w:t>Transport and Storage</w:t>
      </w:r>
      <w:r>
        <w:rPr>
          <w:rFonts w:ascii="Times New Roman" w:hAnsi="Times New Roman" w:cs="Times New Roman"/>
          <w:sz w:val="24"/>
          <w:szCs w:val="24"/>
        </w:rPr>
        <w:t xml:space="preserve"> (7.9 percent aged 65 years and over, and 19.9 percent aged 55-64 years), </w:t>
      </w:r>
      <w:r>
        <w:rPr>
          <w:rFonts w:ascii="Times New Roman" w:hAnsi="Times New Roman" w:cs="Times New Roman"/>
          <w:i/>
          <w:sz w:val="24"/>
          <w:szCs w:val="24"/>
        </w:rPr>
        <w:t>Health and Community Services</w:t>
      </w:r>
      <w:r>
        <w:rPr>
          <w:rFonts w:ascii="Times New Roman" w:hAnsi="Times New Roman" w:cs="Times New Roman"/>
          <w:sz w:val="24"/>
          <w:szCs w:val="24"/>
        </w:rPr>
        <w:t xml:space="preserve"> (6.4 percent aged 65 years and over, and 22.4 percent aged 55-64 years), and </w:t>
      </w:r>
      <w:r>
        <w:rPr>
          <w:rFonts w:ascii="Times New Roman" w:hAnsi="Times New Roman" w:cs="Times New Roman"/>
          <w:i/>
          <w:sz w:val="24"/>
          <w:szCs w:val="24"/>
        </w:rPr>
        <w:t>Property and Business Services</w:t>
      </w:r>
      <w:r>
        <w:rPr>
          <w:rFonts w:ascii="Times New Roman" w:hAnsi="Times New Roman" w:cs="Times New Roman"/>
          <w:sz w:val="24"/>
          <w:szCs w:val="24"/>
        </w:rPr>
        <w:t xml:space="preserve"> (6.4 percent aged 65 years and over, and 16.5 percent aged 55-64 years). These industries may face critical shortages of workers as their ageing workforce moves increasingly into retirement.</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1E75F4" w:rsidRDefault="00B321B7"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 contrast, the industries with the youngest age profile of employment include </w:t>
      </w:r>
      <w:r>
        <w:rPr>
          <w:rFonts w:ascii="Times New Roman" w:hAnsi="Times New Roman" w:cs="Times New Roman"/>
          <w:i/>
          <w:sz w:val="24"/>
          <w:szCs w:val="24"/>
        </w:rPr>
        <w:t>Finance and Insurance</w:t>
      </w:r>
      <w:r>
        <w:rPr>
          <w:rFonts w:ascii="Times New Roman" w:hAnsi="Times New Roman" w:cs="Times New Roman"/>
          <w:sz w:val="24"/>
          <w:szCs w:val="24"/>
        </w:rPr>
        <w:t xml:space="preserve"> (3.7 percent aged 65 years and over, and 13.3 percent aged 55-64 years), </w:t>
      </w:r>
      <w:r>
        <w:rPr>
          <w:rFonts w:ascii="Times New Roman" w:hAnsi="Times New Roman" w:cs="Times New Roman"/>
          <w:i/>
          <w:sz w:val="24"/>
          <w:szCs w:val="24"/>
        </w:rPr>
        <w:t>Accommodation, Cafés and Restaurants</w:t>
      </w:r>
      <w:r>
        <w:rPr>
          <w:rFonts w:ascii="Times New Roman" w:hAnsi="Times New Roman" w:cs="Times New Roman"/>
          <w:sz w:val="24"/>
          <w:szCs w:val="24"/>
        </w:rPr>
        <w:t xml:space="preserve"> (3.9 percent aged 65 years and over, and 11.1 percent aged 55-64 years), and </w:t>
      </w:r>
      <w:r>
        <w:rPr>
          <w:rFonts w:ascii="Times New Roman" w:hAnsi="Times New Roman" w:cs="Times New Roman"/>
          <w:i/>
          <w:sz w:val="24"/>
          <w:szCs w:val="24"/>
        </w:rPr>
        <w:t>Communication Services</w:t>
      </w:r>
      <w:r>
        <w:rPr>
          <w:rFonts w:ascii="Times New Roman" w:hAnsi="Times New Roman" w:cs="Times New Roman"/>
          <w:sz w:val="24"/>
          <w:szCs w:val="24"/>
        </w:rPr>
        <w:t xml:space="preserve"> (4.0 percent aged 65 years and over, and 13.7 percent aged 55-64 years).</w:t>
      </w:r>
      <w:r w:rsidR="001E75F4">
        <w:rPr>
          <w:rFonts w:ascii="Times New Roman" w:hAnsi="Times New Roman" w:cs="Times New Roman"/>
          <w:sz w:val="24"/>
          <w:szCs w:val="24"/>
        </w:rPr>
        <w:t xml:space="preserve"> These industries may have lower exposure to the older workforce now, but will inevitably face an ageing workforce in the future and may need to adapt their employment practices to suit a changing age structure</w:t>
      </w:r>
      <w:r w:rsidR="0027042D">
        <w:rPr>
          <w:rFonts w:ascii="Times New Roman" w:hAnsi="Times New Roman" w:cs="Times New Roman"/>
          <w:sz w:val="24"/>
          <w:szCs w:val="24"/>
        </w:rPr>
        <w:t xml:space="preserve"> of the labour force</w:t>
      </w:r>
      <w:r w:rsidR="001E75F4">
        <w:rPr>
          <w:rFonts w:ascii="Times New Roman" w:hAnsi="Times New Roman" w:cs="Times New Roman"/>
          <w:sz w:val="24"/>
          <w:szCs w:val="24"/>
        </w:rPr>
        <w:t>.</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7F1909" w:rsidRPr="00671718" w:rsidRDefault="007F1909" w:rsidP="00BC1B69">
      <w:pPr>
        <w:tabs>
          <w:tab w:val="left" w:pos="426"/>
        </w:tabs>
        <w:spacing w:after="0" w:line="288" w:lineRule="auto"/>
        <w:jc w:val="center"/>
        <w:rPr>
          <w:rFonts w:ascii="Times New Roman" w:hAnsi="Times New Roman" w:cs="Times New Roman"/>
          <w:b/>
          <w:bCs/>
          <w:iCs/>
        </w:rPr>
      </w:pPr>
      <w:r w:rsidRPr="00671718">
        <w:rPr>
          <w:rFonts w:ascii="Times New Roman" w:hAnsi="Times New Roman" w:cs="Times New Roman"/>
          <w:b/>
          <w:bCs/>
          <w:iCs/>
        </w:rPr>
        <w:lastRenderedPageBreak/>
        <w:t xml:space="preserve">Figure 6: </w:t>
      </w:r>
      <w:r w:rsidR="001549F4" w:rsidRPr="00671718">
        <w:rPr>
          <w:rFonts w:ascii="Times New Roman" w:hAnsi="Times New Roman" w:cs="Times New Roman"/>
          <w:b/>
          <w:bCs/>
          <w:iCs/>
        </w:rPr>
        <w:t>Age Mix of Employment in each I</w:t>
      </w:r>
      <w:r w:rsidRPr="00671718">
        <w:rPr>
          <w:rFonts w:ascii="Times New Roman" w:hAnsi="Times New Roman" w:cs="Times New Roman"/>
          <w:b/>
          <w:bCs/>
          <w:iCs/>
        </w:rPr>
        <w:t>ndustry, 2013</w:t>
      </w:r>
    </w:p>
    <w:p w:rsidR="00672226" w:rsidRDefault="007F1909" w:rsidP="00BC1B69">
      <w:pPr>
        <w:tabs>
          <w:tab w:val="left" w:pos="426"/>
        </w:tabs>
        <w:spacing w:after="0" w:line="288" w:lineRule="auto"/>
        <w:jc w:val="both"/>
        <w:rPr>
          <w:rFonts w:ascii="Times New Roman" w:hAnsi="Times New Roman" w:cs="Times New Roman"/>
          <w:sz w:val="24"/>
          <w:szCs w:val="24"/>
        </w:rPr>
      </w:pPr>
      <w:r w:rsidRPr="007F1909">
        <w:rPr>
          <w:noProof/>
          <w:szCs w:val="24"/>
          <w:lang w:eastAsia="en-NZ"/>
        </w:rPr>
        <w:drawing>
          <wp:inline distT="0" distB="0" distL="0" distR="0">
            <wp:extent cx="5731510" cy="3752705"/>
            <wp:effectExtent l="19050" t="0" r="254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4C53BE" w:rsidRDefault="001E75F4" w:rsidP="00BC1B69">
      <w:pPr>
        <w:tabs>
          <w:tab w:val="left" w:pos="426"/>
        </w:tabs>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Figure 7 shows the occupation mix of employment in 2013 by five-year age group</w:t>
      </w:r>
      <w:r w:rsidR="00247684">
        <w:rPr>
          <w:rFonts w:ascii="Times New Roman" w:hAnsi="Times New Roman" w:cs="Times New Roman"/>
          <w:sz w:val="24"/>
          <w:szCs w:val="24"/>
        </w:rPr>
        <w:t>s</w:t>
      </w:r>
      <w:r>
        <w:rPr>
          <w:rFonts w:ascii="Times New Roman" w:hAnsi="Times New Roman" w:cs="Times New Roman"/>
          <w:sz w:val="24"/>
          <w:szCs w:val="24"/>
        </w:rPr>
        <w:t xml:space="preserve"> for those aged 55 years and over, along with the mix for the labour force aged 25 years and over as a whole.</w:t>
      </w:r>
      <w:r w:rsidRPr="001E75F4">
        <w:rPr>
          <w:rFonts w:ascii="Times New Roman" w:hAnsi="Times New Roman" w:cs="Times New Roman"/>
          <w:sz w:val="24"/>
          <w:szCs w:val="24"/>
        </w:rPr>
        <w:t xml:space="preserve"> </w:t>
      </w:r>
      <w:r>
        <w:rPr>
          <w:rFonts w:ascii="Times New Roman" w:hAnsi="Times New Roman" w:cs="Times New Roman"/>
          <w:sz w:val="24"/>
          <w:szCs w:val="24"/>
        </w:rPr>
        <w:t xml:space="preserve">Comparing the older age groups with the labour force aged 25 years and over as a </w:t>
      </w:r>
      <w:r w:rsidRPr="00A26DE5">
        <w:rPr>
          <w:rFonts w:ascii="Times New Roman" w:hAnsi="Times New Roman" w:cs="Times New Roman"/>
          <w:sz w:val="24"/>
          <w:szCs w:val="24"/>
        </w:rPr>
        <w:t xml:space="preserve">whole, there are </w:t>
      </w:r>
      <w:r w:rsidR="00A26DE5" w:rsidRPr="00A26DE5">
        <w:rPr>
          <w:rFonts w:ascii="Times New Roman" w:hAnsi="Times New Roman" w:cs="Times New Roman"/>
          <w:sz w:val="24"/>
          <w:szCs w:val="24"/>
        </w:rPr>
        <w:t>two</w:t>
      </w:r>
      <w:r w:rsidRPr="00A26DE5">
        <w:rPr>
          <w:rFonts w:ascii="Times New Roman" w:hAnsi="Times New Roman" w:cs="Times New Roman"/>
          <w:sz w:val="24"/>
          <w:szCs w:val="24"/>
        </w:rPr>
        <w:t xml:space="preserve"> </w:t>
      </w:r>
      <w:r w:rsidR="00A26DE5" w:rsidRPr="00A26DE5">
        <w:rPr>
          <w:rFonts w:ascii="Times New Roman" w:hAnsi="Times New Roman" w:cs="Times New Roman"/>
          <w:sz w:val="24"/>
          <w:szCs w:val="24"/>
        </w:rPr>
        <w:t>occupations</w:t>
      </w:r>
      <w:r w:rsidRPr="00A26DE5">
        <w:rPr>
          <w:rFonts w:ascii="Times New Roman" w:hAnsi="Times New Roman" w:cs="Times New Roman"/>
          <w:sz w:val="24"/>
          <w:szCs w:val="24"/>
        </w:rPr>
        <w:t xml:space="preserve"> where the proportion of employment at every age group 55 years and over is lower than for the labour force aged 25 years and over as a whole</w:t>
      </w:r>
      <w:r w:rsidR="00A26DE5" w:rsidRPr="00A26DE5">
        <w:rPr>
          <w:rFonts w:ascii="Times New Roman" w:hAnsi="Times New Roman" w:cs="Times New Roman"/>
          <w:sz w:val="24"/>
          <w:szCs w:val="24"/>
        </w:rPr>
        <w:t xml:space="preserve"> (</w:t>
      </w:r>
      <w:r w:rsidR="00A26DE5" w:rsidRPr="00A26DE5">
        <w:rPr>
          <w:rFonts w:ascii="Times New Roman" w:hAnsi="Times New Roman" w:cs="Times New Roman"/>
          <w:i/>
          <w:sz w:val="24"/>
          <w:szCs w:val="24"/>
        </w:rPr>
        <w:t>Technicians and Associate Professionals</w:t>
      </w:r>
      <w:r w:rsidR="00A26DE5" w:rsidRPr="00A26DE5">
        <w:rPr>
          <w:rFonts w:ascii="Times New Roman" w:hAnsi="Times New Roman" w:cs="Times New Roman"/>
          <w:sz w:val="24"/>
          <w:szCs w:val="24"/>
        </w:rPr>
        <w:t>, and</w:t>
      </w:r>
      <w:r w:rsidRPr="00A26DE5">
        <w:rPr>
          <w:rFonts w:ascii="Times New Roman" w:hAnsi="Times New Roman" w:cs="Times New Roman"/>
          <w:sz w:val="24"/>
          <w:szCs w:val="24"/>
        </w:rPr>
        <w:t xml:space="preserve"> </w:t>
      </w:r>
      <w:r w:rsidR="00A26DE5" w:rsidRPr="00A26DE5">
        <w:rPr>
          <w:rFonts w:ascii="Times New Roman" w:hAnsi="Times New Roman" w:cs="Times New Roman"/>
          <w:i/>
          <w:sz w:val="24"/>
          <w:szCs w:val="24"/>
        </w:rPr>
        <w:t>Trades Workers</w:t>
      </w:r>
      <w:r w:rsidR="00A26DE5" w:rsidRPr="00A26DE5">
        <w:rPr>
          <w:rFonts w:ascii="Times New Roman" w:hAnsi="Times New Roman" w:cs="Times New Roman"/>
          <w:sz w:val="24"/>
          <w:szCs w:val="24"/>
        </w:rPr>
        <w:t>), and one occupation where the proportion of employment at every age group 55 years and over is higher than for the labour force aged 25 years and over as a whole (</w:t>
      </w:r>
      <w:r w:rsidR="00A26DE5" w:rsidRPr="00A26DE5">
        <w:rPr>
          <w:rFonts w:ascii="Times New Roman" w:hAnsi="Times New Roman" w:cs="Times New Roman"/>
          <w:i/>
          <w:sz w:val="24"/>
          <w:szCs w:val="24"/>
        </w:rPr>
        <w:t>Agriculture and Fishery Workers</w:t>
      </w:r>
      <w:r w:rsidR="00A26DE5" w:rsidRPr="00A26DE5">
        <w:rPr>
          <w:rFonts w:ascii="Times New Roman" w:hAnsi="Times New Roman" w:cs="Times New Roman"/>
          <w:sz w:val="24"/>
          <w:szCs w:val="24"/>
        </w:rPr>
        <w:t>)</w:t>
      </w:r>
      <w:r w:rsidRPr="00A26DE5">
        <w:rPr>
          <w:rFonts w:ascii="Times New Roman" w:hAnsi="Times New Roman" w:cs="Times New Roman"/>
          <w:sz w:val="24"/>
          <w:szCs w:val="24"/>
        </w:rPr>
        <w:t>.</w:t>
      </w:r>
      <w:r w:rsidR="009D6075">
        <w:rPr>
          <w:rFonts w:ascii="Times New Roman" w:hAnsi="Times New Roman" w:cs="Times New Roman"/>
          <w:sz w:val="24"/>
          <w:szCs w:val="24"/>
        </w:rPr>
        <w:t xml:space="preserve"> </w:t>
      </w:r>
      <w:r w:rsidR="006A7C81">
        <w:rPr>
          <w:rFonts w:ascii="Times New Roman" w:hAnsi="Times New Roman" w:cs="Times New Roman"/>
          <w:sz w:val="24"/>
          <w:szCs w:val="24"/>
        </w:rPr>
        <w:t xml:space="preserve">The result for </w:t>
      </w:r>
      <w:r w:rsidR="006A7C81" w:rsidRPr="006A7C81">
        <w:rPr>
          <w:rFonts w:ascii="Times New Roman" w:hAnsi="Times New Roman" w:cs="Times New Roman"/>
          <w:i/>
          <w:sz w:val="24"/>
          <w:szCs w:val="24"/>
        </w:rPr>
        <w:t>Agriculture and Fishery Workers</w:t>
      </w:r>
      <w:r w:rsidR="006A7C81">
        <w:rPr>
          <w:rFonts w:ascii="Times New Roman" w:hAnsi="Times New Roman" w:cs="Times New Roman"/>
          <w:sz w:val="24"/>
          <w:szCs w:val="24"/>
        </w:rPr>
        <w:t xml:space="preserve"> is similar to that observed at the industry level, reflecting the single-industry nature of </w:t>
      </w:r>
      <w:r w:rsidR="006A7C81" w:rsidRPr="006A7C81">
        <w:rPr>
          <w:rFonts w:ascii="Times New Roman" w:hAnsi="Times New Roman" w:cs="Times New Roman"/>
          <w:i/>
          <w:sz w:val="24"/>
          <w:szCs w:val="24"/>
        </w:rPr>
        <w:t>Agriculture and Fishery Workers</w:t>
      </w:r>
      <w:r w:rsidR="006A7C81">
        <w:rPr>
          <w:rFonts w:ascii="Times New Roman" w:hAnsi="Times New Roman" w:cs="Times New Roman"/>
          <w:sz w:val="24"/>
          <w:szCs w:val="24"/>
        </w:rPr>
        <w:t xml:space="preserve">. </w:t>
      </w:r>
      <w:r w:rsidR="009D6075">
        <w:rPr>
          <w:rFonts w:ascii="Times New Roman" w:hAnsi="Times New Roman" w:cs="Times New Roman"/>
          <w:sz w:val="24"/>
          <w:szCs w:val="24"/>
        </w:rPr>
        <w:t>Unlike the industry mix, there are no occupations that demonstrate a monotonic increase or decrease in proportion of employment by age group.</w:t>
      </w:r>
    </w:p>
    <w:p w:rsidR="004C53BE" w:rsidRDefault="004C53BE" w:rsidP="00BC1B69">
      <w:pPr>
        <w:tabs>
          <w:tab w:val="left" w:pos="426"/>
        </w:tabs>
        <w:spacing w:after="0" w:line="288" w:lineRule="auto"/>
        <w:rPr>
          <w:rFonts w:ascii="Times New Roman" w:hAnsi="Times New Roman" w:cs="Times New Roman"/>
          <w:sz w:val="24"/>
          <w:szCs w:val="24"/>
        </w:rPr>
      </w:pPr>
      <w:r>
        <w:rPr>
          <w:rFonts w:ascii="Times New Roman" w:hAnsi="Times New Roman" w:cs="Times New Roman"/>
          <w:sz w:val="24"/>
          <w:szCs w:val="24"/>
        </w:rPr>
        <w:br w:type="page"/>
      </w:r>
    </w:p>
    <w:p w:rsidR="001E75F4" w:rsidRPr="00671718" w:rsidRDefault="001E75F4" w:rsidP="00BC1B69">
      <w:pPr>
        <w:tabs>
          <w:tab w:val="left" w:pos="426"/>
        </w:tabs>
        <w:spacing w:after="0" w:line="288" w:lineRule="auto"/>
        <w:jc w:val="center"/>
        <w:rPr>
          <w:rFonts w:ascii="Times New Roman" w:hAnsi="Times New Roman" w:cs="Times New Roman"/>
          <w:b/>
          <w:bCs/>
          <w:iCs/>
        </w:rPr>
      </w:pPr>
      <w:r w:rsidRPr="00671718">
        <w:rPr>
          <w:rFonts w:ascii="Times New Roman" w:hAnsi="Times New Roman" w:cs="Times New Roman"/>
          <w:b/>
          <w:bCs/>
          <w:iCs/>
        </w:rPr>
        <w:lastRenderedPageBreak/>
        <w:t xml:space="preserve">Figure </w:t>
      </w:r>
      <w:r w:rsidR="009D6075" w:rsidRPr="00671718">
        <w:rPr>
          <w:rFonts w:ascii="Times New Roman" w:hAnsi="Times New Roman" w:cs="Times New Roman"/>
          <w:b/>
          <w:bCs/>
          <w:iCs/>
        </w:rPr>
        <w:t>7</w:t>
      </w:r>
      <w:r w:rsidRPr="00671718">
        <w:rPr>
          <w:rFonts w:ascii="Times New Roman" w:hAnsi="Times New Roman" w:cs="Times New Roman"/>
          <w:b/>
          <w:bCs/>
          <w:iCs/>
        </w:rPr>
        <w:t xml:space="preserve">: </w:t>
      </w:r>
      <w:r w:rsidR="001549F4" w:rsidRPr="00671718">
        <w:rPr>
          <w:rFonts w:ascii="Times New Roman" w:hAnsi="Times New Roman" w:cs="Times New Roman"/>
          <w:b/>
          <w:bCs/>
          <w:iCs/>
        </w:rPr>
        <w:t>Occupation Mix of Employment by Age G</w:t>
      </w:r>
      <w:r w:rsidRPr="00671718">
        <w:rPr>
          <w:rFonts w:ascii="Times New Roman" w:hAnsi="Times New Roman" w:cs="Times New Roman"/>
          <w:b/>
          <w:bCs/>
          <w:iCs/>
        </w:rPr>
        <w:t>roup, 2013</w:t>
      </w:r>
    </w:p>
    <w:p w:rsidR="001E75F4" w:rsidRDefault="001E75F4" w:rsidP="00BC1B69">
      <w:pPr>
        <w:tabs>
          <w:tab w:val="left" w:pos="426"/>
        </w:tabs>
        <w:spacing w:after="0" w:line="288" w:lineRule="auto"/>
        <w:jc w:val="both"/>
        <w:rPr>
          <w:rFonts w:ascii="Times New Roman" w:hAnsi="Times New Roman" w:cs="Times New Roman"/>
          <w:i/>
          <w:sz w:val="24"/>
          <w:szCs w:val="24"/>
        </w:rPr>
      </w:pPr>
      <w:r w:rsidRPr="001E75F4">
        <w:rPr>
          <w:noProof/>
          <w:szCs w:val="24"/>
          <w:lang w:eastAsia="en-NZ"/>
        </w:rPr>
        <w:drawing>
          <wp:inline distT="0" distB="0" distL="0" distR="0">
            <wp:extent cx="5731510" cy="3752705"/>
            <wp:effectExtent l="19050" t="0" r="254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27042D" w:rsidRDefault="0027042D" w:rsidP="00BC1B69">
      <w:pPr>
        <w:tabs>
          <w:tab w:val="left" w:pos="426"/>
        </w:tabs>
        <w:spacing w:after="0" w:line="288" w:lineRule="auto"/>
        <w:jc w:val="both"/>
        <w:rPr>
          <w:rFonts w:ascii="Times New Roman" w:hAnsi="Times New Roman" w:cs="Times New Roman"/>
          <w:i/>
          <w:sz w:val="24"/>
          <w:szCs w:val="24"/>
        </w:rPr>
      </w:pPr>
    </w:p>
    <w:p w:rsidR="00652A60" w:rsidRDefault="00652A60" w:rsidP="00BC1B69">
      <w:pPr>
        <w:tabs>
          <w:tab w:val="left" w:pos="426"/>
        </w:tabs>
        <w:spacing w:after="0" w:line="288" w:lineRule="auto"/>
        <w:jc w:val="both"/>
        <w:rPr>
          <w:rFonts w:ascii="Times New Roman" w:hAnsi="Times New Roman" w:cs="Times New Roman"/>
          <w:i/>
          <w:sz w:val="24"/>
          <w:szCs w:val="24"/>
        </w:rPr>
      </w:pPr>
    </w:p>
    <w:p w:rsidR="00F57589" w:rsidRDefault="00ED5824" w:rsidP="00BC1B69">
      <w:pPr>
        <w:pStyle w:val="Heading2"/>
      </w:pPr>
      <w:r>
        <w:t>Labour Force Characteristics of O</w:t>
      </w:r>
      <w:r w:rsidR="00F57589">
        <w:t>lder New Zealanders, 1991-2013</w:t>
      </w:r>
    </w:p>
    <w:p w:rsidR="00671718" w:rsidRPr="00671718" w:rsidRDefault="00671718" w:rsidP="00BC1B69">
      <w:pPr>
        <w:tabs>
          <w:tab w:val="left" w:pos="426"/>
        </w:tabs>
        <w:spacing w:after="0" w:line="288" w:lineRule="auto"/>
        <w:jc w:val="both"/>
        <w:rPr>
          <w:rFonts w:ascii="Times New Roman" w:hAnsi="Times New Roman" w:cs="Times New Roman"/>
          <w:sz w:val="12"/>
          <w:szCs w:val="12"/>
        </w:rPr>
      </w:pPr>
    </w:p>
    <w:p w:rsidR="00F57589" w:rsidRDefault="002817B9"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9D6075">
        <w:rPr>
          <w:rFonts w:ascii="Times New Roman" w:hAnsi="Times New Roman" w:cs="Times New Roman"/>
          <w:sz w:val="24"/>
          <w:szCs w:val="24"/>
        </w:rPr>
        <w:t>8</w:t>
      </w:r>
      <w:r>
        <w:rPr>
          <w:rFonts w:ascii="Times New Roman" w:hAnsi="Times New Roman" w:cs="Times New Roman"/>
          <w:sz w:val="24"/>
          <w:szCs w:val="24"/>
        </w:rPr>
        <w:t xml:space="preserve"> shows how the labour force participation rate has changed over the period 1991-2013, by 5-year age group</w:t>
      </w:r>
      <w:r w:rsidR="00347192">
        <w:rPr>
          <w:rFonts w:ascii="Times New Roman" w:hAnsi="Times New Roman" w:cs="Times New Roman"/>
          <w:sz w:val="24"/>
          <w:szCs w:val="24"/>
        </w:rPr>
        <w:t>s</w:t>
      </w:r>
      <w:r>
        <w:rPr>
          <w:rFonts w:ascii="Times New Roman" w:hAnsi="Times New Roman" w:cs="Times New Roman"/>
          <w:sz w:val="24"/>
          <w:szCs w:val="24"/>
        </w:rPr>
        <w:t>.</w:t>
      </w:r>
      <w:r w:rsidR="006A665C">
        <w:rPr>
          <w:rFonts w:ascii="Times New Roman" w:hAnsi="Times New Roman" w:cs="Times New Roman"/>
          <w:sz w:val="24"/>
          <w:szCs w:val="24"/>
        </w:rPr>
        <w:t xml:space="preserve"> At all age groups, labour force participation has increased substantially over this 22-year period</w:t>
      </w:r>
      <w:r w:rsidR="00124381">
        <w:rPr>
          <w:rFonts w:ascii="Times New Roman" w:hAnsi="Times New Roman" w:cs="Times New Roman"/>
          <w:sz w:val="24"/>
          <w:szCs w:val="24"/>
        </w:rPr>
        <w:t xml:space="preserve">, including during the </w:t>
      </w:r>
      <w:r w:rsidR="00347192">
        <w:rPr>
          <w:rFonts w:ascii="Times New Roman" w:hAnsi="Times New Roman" w:cs="Times New Roman"/>
          <w:sz w:val="24"/>
          <w:szCs w:val="24"/>
        </w:rPr>
        <w:t xml:space="preserve">most recent </w:t>
      </w:r>
      <w:proofErr w:type="spellStart"/>
      <w:r w:rsidR="00347192">
        <w:rPr>
          <w:rFonts w:ascii="Times New Roman" w:hAnsi="Times New Roman" w:cs="Times New Roman"/>
          <w:sz w:val="24"/>
          <w:szCs w:val="24"/>
        </w:rPr>
        <w:t>interc</w:t>
      </w:r>
      <w:r w:rsidR="00D139A0">
        <w:rPr>
          <w:rFonts w:ascii="Times New Roman" w:hAnsi="Times New Roman" w:cs="Times New Roman"/>
          <w:sz w:val="24"/>
          <w:szCs w:val="24"/>
        </w:rPr>
        <w:t>ensal</w:t>
      </w:r>
      <w:proofErr w:type="spellEnd"/>
      <w:r w:rsidR="00D139A0">
        <w:rPr>
          <w:rFonts w:ascii="Times New Roman" w:hAnsi="Times New Roman" w:cs="Times New Roman"/>
          <w:sz w:val="24"/>
          <w:szCs w:val="24"/>
        </w:rPr>
        <w:t xml:space="preserve"> period which included the Global Financial Crisis (with the exception of the 85 years and over age group, where the labour force participation rate fell slightly, from 4.2% to 3.9%).</w:t>
      </w:r>
      <w:r w:rsidR="00F7355E">
        <w:rPr>
          <w:rFonts w:ascii="Times New Roman" w:hAnsi="Times New Roman" w:cs="Times New Roman"/>
          <w:sz w:val="24"/>
          <w:szCs w:val="24"/>
        </w:rPr>
        <w:t xml:space="preserve"> For the most part, this follows a national trend at all ages towards higher labour force participation, with the labour force participation rate for all those aged 25 </w:t>
      </w:r>
      <w:r w:rsidR="002647D1">
        <w:rPr>
          <w:rFonts w:ascii="Times New Roman" w:hAnsi="Times New Roman" w:cs="Times New Roman"/>
          <w:sz w:val="24"/>
          <w:szCs w:val="24"/>
        </w:rPr>
        <w:t xml:space="preserve">years </w:t>
      </w:r>
      <w:r w:rsidR="00F7355E">
        <w:rPr>
          <w:rFonts w:ascii="Times New Roman" w:hAnsi="Times New Roman" w:cs="Times New Roman"/>
          <w:sz w:val="24"/>
          <w:szCs w:val="24"/>
        </w:rPr>
        <w:t>and over increasing from 60.0% in 1991 to 69.0% in 2006, before falling slightly to 68.5% in 2013.</w:t>
      </w:r>
      <w:r w:rsidR="002647D1">
        <w:rPr>
          <w:rFonts w:ascii="Times New Roman" w:hAnsi="Times New Roman" w:cs="Times New Roman"/>
          <w:sz w:val="24"/>
          <w:szCs w:val="24"/>
        </w:rPr>
        <w:t xml:space="preserve"> However, a large proportion of this labour force growth has occurred among the oldest age groups.</w:t>
      </w:r>
    </w:p>
    <w:p w:rsidR="00414CEB" w:rsidRDefault="00414CEB" w:rsidP="00BC1B69">
      <w:pPr>
        <w:tabs>
          <w:tab w:val="left" w:pos="426"/>
        </w:tabs>
        <w:spacing w:after="0" w:line="288" w:lineRule="auto"/>
        <w:jc w:val="both"/>
        <w:rPr>
          <w:rFonts w:ascii="Times New Roman" w:hAnsi="Times New Roman" w:cs="Times New Roman"/>
          <w:sz w:val="24"/>
          <w:szCs w:val="24"/>
        </w:rPr>
      </w:pPr>
    </w:p>
    <w:p w:rsidR="00414CEB" w:rsidRDefault="00414CEB"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414CEB">
        <w:rPr>
          <w:rFonts w:ascii="Times New Roman" w:hAnsi="Times New Roman" w:cs="Times New Roman"/>
          <w:sz w:val="24"/>
          <w:szCs w:val="24"/>
        </w:rPr>
        <w:t>The largest absolute increase in labour force participation over the period 1991-2013 occurred for those aged 60-64 years. Much of this increase was between 1991 and 2001, and is explained by the rapid increase in the age of eligibility for New Zealand Superannuation, which rose from 60 years in 1991 to 65 years in 2001 (Preston, 2008).</w:t>
      </w:r>
    </w:p>
    <w:p w:rsidR="00652A60" w:rsidRDefault="00652A60" w:rsidP="00BC1B69">
      <w:pPr>
        <w:tabs>
          <w:tab w:val="left" w:pos="426"/>
        </w:tabs>
        <w:spacing w:after="0" w:line="288" w:lineRule="auto"/>
        <w:jc w:val="both"/>
        <w:rPr>
          <w:rFonts w:ascii="Times New Roman" w:hAnsi="Times New Roman" w:cs="Times New Roman"/>
          <w:sz w:val="24"/>
          <w:szCs w:val="24"/>
        </w:rPr>
      </w:pPr>
    </w:p>
    <w:p w:rsidR="002647D1" w:rsidRDefault="002647D1"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There are slight differences in the trajectory of labour force participation between men and women (see Appendix Figures </w:t>
      </w:r>
      <w:r w:rsidR="009D6075">
        <w:rPr>
          <w:rFonts w:ascii="Times New Roman" w:hAnsi="Times New Roman" w:cs="Times New Roman"/>
          <w:sz w:val="24"/>
          <w:szCs w:val="24"/>
        </w:rPr>
        <w:t>5</w:t>
      </w:r>
      <w:r>
        <w:rPr>
          <w:rFonts w:ascii="Times New Roman" w:hAnsi="Times New Roman" w:cs="Times New Roman"/>
          <w:sz w:val="24"/>
          <w:szCs w:val="24"/>
        </w:rPr>
        <w:t xml:space="preserve"> and </w:t>
      </w:r>
      <w:r w:rsidR="009D6075">
        <w:rPr>
          <w:rFonts w:ascii="Times New Roman" w:hAnsi="Times New Roman" w:cs="Times New Roman"/>
          <w:sz w:val="24"/>
          <w:szCs w:val="24"/>
        </w:rPr>
        <w:t>6</w:t>
      </w:r>
      <w:r>
        <w:rPr>
          <w:rFonts w:ascii="Times New Roman" w:hAnsi="Times New Roman" w:cs="Times New Roman"/>
          <w:sz w:val="24"/>
          <w:szCs w:val="24"/>
        </w:rPr>
        <w:t xml:space="preserve">). For men, labour force participation rates increased across all age groups between 1991 and 2006, but fell slightly amongst those aged 55-59 years and those aged 85 years and over between 2006 and 2013. For women, there </w:t>
      </w:r>
      <w:r>
        <w:rPr>
          <w:rFonts w:ascii="Times New Roman" w:hAnsi="Times New Roman" w:cs="Times New Roman"/>
          <w:sz w:val="24"/>
          <w:szCs w:val="24"/>
        </w:rPr>
        <w:lastRenderedPageBreak/>
        <w:t>were similar increases in labour force participation between 1991 and 2006 as for men, with only the 85 years and over age group experiencing a decrease in participation between 2006 and 2013.</w:t>
      </w:r>
    </w:p>
    <w:p w:rsidR="00671718" w:rsidRDefault="00671718" w:rsidP="00BC1B69">
      <w:pPr>
        <w:tabs>
          <w:tab w:val="left" w:pos="426"/>
        </w:tabs>
        <w:spacing w:after="0" w:line="288" w:lineRule="auto"/>
        <w:jc w:val="center"/>
        <w:rPr>
          <w:rFonts w:ascii="Times New Roman" w:hAnsi="Times New Roman" w:cs="Times New Roman"/>
          <w:b/>
          <w:bCs/>
          <w:iCs/>
          <w:sz w:val="24"/>
          <w:szCs w:val="24"/>
        </w:rPr>
      </w:pPr>
    </w:p>
    <w:p w:rsidR="00671718" w:rsidRDefault="00671718" w:rsidP="00BC1B69">
      <w:pPr>
        <w:tabs>
          <w:tab w:val="left" w:pos="426"/>
        </w:tabs>
        <w:spacing w:after="0" w:line="288" w:lineRule="auto"/>
        <w:jc w:val="center"/>
        <w:rPr>
          <w:rFonts w:ascii="Times New Roman" w:hAnsi="Times New Roman" w:cs="Times New Roman"/>
          <w:b/>
          <w:bCs/>
          <w:iCs/>
          <w:sz w:val="24"/>
          <w:szCs w:val="24"/>
        </w:rPr>
      </w:pPr>
    </w:p>
    <w:p w:rsidR="002817B9" w:rsidRPr="00EE7BFD" w:rsidRDefault="002817B9" w:rsidP="00BC1B69">
      <w:pPr>
        <w:tabs>
          <w:tab w:val="left" w:pos="426"/>
        </w:tabs>
        <w:spacing w:after="0" w:line="288" w:lineRule="auto"/>
        <w:jc w:val="center"/>
        <w:rPr>
          <w:rFonts w:ascii="Times New Roman" w:hAnsi="Times New Roman" w:cs="Times New Roman"/>
          <w:b/>
          <w:bCs/>
          <w:iCs/>
          <w:sz w:val="24"/>
          <w:szCs w:val="24"/>
        </w:rPr>
      </w:pPr>
      <w:r w:rsidRPr="00EE7BFD">
        <w:rPr>
          <w:rFonts w:ascii="Times New Roman" w:hAnsi="Times New Roman" w:cs="Times New Roman"/>
          <w:b/>
          <w:bCs/>
          <w:iCs/>
          <w:sz w:val="24"/>
          <w:szCs w:val="24"/>
        </w:rPr>
        <w:t xml:space="preserve">Figure </w:t>
      </w:r>
      <w:r w:rsidR="009D6075" w:rsidRPr="00EE7BFD">
        <w:rPr>
          <w:rFonts w:ascii="Times New Roman" w:hAnsi="Times New Roman" w:cs="Times New Roman"/>
          <w:b/>
          <w:bCs/>
          <w:iCs/>
          <w:sz w:val="24"/>
          <w:szCs w:val="24"/>
        </w:rPr>
        <w:t>8</w:t>
      </w:r>
      <w:r w:rsidR="00253F68">
        <w:rPr>
          <w:rFonts w:ascii="Times New Roman" w:hAnsi="Times New Roman" w:cs="Times New Roman"/>
          <w:b/>
          <w:bCs/>
          <w:iCs/>
          <w:sz w:val="24"/>
          <w:szCs w:val="24"/>
        </w:rPr>
        <w:t>: Labour Force Participation Rate by A</w:t>
      </w:r>
      <w:r w:rsidRPr="00EE7BFD">
        <w:rPr>
          <w:rFonts w:ascii="Times New Roman" w:hAnsi="Times New Roman" w:cs="Times New Roman"/>
          <w:b/>
          <w:bCs/>
          <w:iCs/>
          <w:sz w:val="24"/>
          <w:szCs w:val="24"/>
        </w:rPr>
        <w:t>ge, 1991-2013</w:t>
      </w:r>
    </w:p>
    <w:p w:rsidR="002817B9" w:rsidRDefault="002817B9" w:rsidP="00BC1B69">
      <w:pPr>
        <w:tabs>
          <w:tab w:val="left" w:pos="426"/>
        </w:tabs>
        <w:spacing w:after="0" w:line="288" w:lineRule="auto"/>
        <w:jc w:val="both"/>
        <w:rPr>
          <w:rFonts w:ascii="Times New Roman" w:hAnsi="Times New Roman" w:cs="Times New Roman"/>
          <w:sz w:val="24"/>
          <w:szCs w:val="24"/>
        </w:rPr>
      </w:pPr>
      <w:r w:rsidRPr="002817B9">
        <w:rPr>
          <w:noProof/>
          <w:szCs w:val="24"/>
          <w:lang w:eastAsia="en-NZ"/>
        </w:rPr>
        <w:drawing>
          <wp:inline distT="0" distB="0" distL="0" distR="0">
            <wp:extent cx="5731510" cy="3752705"/>
            <wp:effectExtent l="19050" t="0" r="254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2647D1" w:rsidRDefault="002647D1" w:rsidP="00652A60">
      <w:pPr>
        <w:tabs>
          <w:tab w:val="left" w:pos="426"/>
        </w:tabs>
        <w:spacing w:after="0" w:line="288" w:lineRule="auto"/>
        <w:ind w:firstLine="426"/>
        <w:jc w:val="both"/>
      </w:pPr>
      <w:r w:rsidRPr="009D6075">
        <w:rPr>
          <w:rFonts w:ascii="Times New Roman" w:hAnsi="Times New Roman" w:cs="Times New Roman"/>
          <w:sz w:val="24"/>
          <w:szCs w:val="24"/>
        </w:rPr>
        <w:t xml:space="preserve">Figure </w:t>
      </w:r>
      <w:r w:rsidR="009D6075">
        <w:rPr>
          <w:rFonts w:ascii="Times New Roman" w:hAnsi="Times New Roman" w:cs="Times New Roman"/>
          <w:sz w:val="24"/>
          <w:szCs w:val="24"/>
        </w:rPr>
        <w:t>9</w:t>
      </w:r>
      <w:r w:rsidRPr="009D6075">
        <w:rPr>
          <w:rFonts w:ascii="Times New Roman" w:hAnsi="Times New Roman" w:cs="Times New Roman"/>
          <w:sz w:val="24"/>
          <w:szCs w:val="24"/>
        </w:rPr>
        <w:t xml:space="preserve"> shows labour force growth among those aged 65 years and over for the period 1991</w:t>
      </w:r>
      <w:r>
        <w:rPr>
          <w:rFonts w:ascii="Times New Roman" w:hAnsi="Times New Roman" w:cs="Times New Roman"/>
          <w:sz w:val="24"/>
          <w:szCs w:val="24"/>
        </w:rPr>
        <w:t xml:space="preserve"> to 2013. The total number of people aged 65 years and over in the labour force has grown substantially over the period, from 21,972 in 1991 to 131,784 in 2013. This represents an annualised growth rate of </w:t>
      </w:r>
      <w:r w:rsidR="00ED7BFF">
        <w:rPr>
          <w:rFonts w:ascii="Times New Roman" w:hAnsi="Times New Roman" w:cs="Times New Roman"/>
          <w:sz w:val="24"/>
          <w:szCs w:val="24"/>
        </w:rPr>
        <w:t>8.5%, compared with 1.9% annualised growth rate in the labour force aged 25 years and over during the same period</w:t>
      </w:r>
      <w:r>
        <w:rPr>
          <w:rFonts w:ascii="Times New Roman" w:hAnsi="Times New Roman" w:cs="Times New Roman"/>
          <w:sz w:val="24"/>
          <w:szCs w:val="24"/>
        </w:rPr>
        <w:t xml:space="preserve">. </w:t>
      </w:r>
      <w:r w:rsidR="001224AC" w:rsidRPr="0027042D">
        <w:rPr>
          <w:rFonts w:ascii="Times New Roman" w:hAnsi="Times New Roman" w:cs="Times New Roman"/>
          <w:sz w:val="24"/>
          <w:szCs w:val="24"/>
        </w:rPr>
        <w:t>Additionally</w:t>
      </w:r>
      <w:r>
        <w:rPr>
          <w:rFonts w:ascii="Times New Roman" w:hAnsi="Times New Roman" w:cs="Times New Roman"/>
          <w:sz w:val="24"/>
          <w:szCs w:val="24"/>
        </w:rPr>
        <w:t>, there has been growth in the labour force within every age group</w:t>
      </w:r>
      <w:r w:rsidR="00ED7BFF">
        <w:rPr>
          <w:rFonts w:ascii="Times New Roman" w:hAnsi="Times New Roman" w:cs="Times New Roman"/>
          <w:sz w:val="24"/>
          <w:szCs w:val="24"/>
        </w:rPr>
        <w:t xml:space="preserve"> 65 years and over</w:t>
      </w:r>
      <w:r>
        <w:rPr>
          <w:rFonts w:ascii="Times New Roman" w:hAnsi="Times New Roman" w:cs="Times New Roman"/>
          <w:sz w:val="24"/>
          <w:szCs w:val="24"/>
        </w:rPr>
        <w:t>.</w:t>
      </w:r>
      <w:r w:rsidR="00ED7BFF">
        <w:rPr>
          <w:rFonts w:ascii="Times New Roman" w:hAnsi="Times New Roman" w:cs="Times New Roman"/>
          <w:sz w:val="24"/>
          <w:szCs w:val="24"/>
        </w:rPr>
        <w:t xml:space="preserve"> In relative terms the growth has been greatest in the 85 years and over age group (12.6% per year annualised growth). Growth in the older labour force has been greater among women (10.5% per year annualised growth) than men (7.5% per year annualised growth); see also Appendix Figures </w:t>
      </w:r>
      <w:r w:rsidR="009D6075">
        <w:rPr>
          <w:rFonts w:ascii="Times New Roman" w:hAnsi="Times New Roman" w:cs="Times New Roman"/>
          <w:sz w:val="24"/>
          <w:szCs w:val="24"/>
        </w:rPr>
        <w:t>7</w:t>
      </w:r>
      <w:r w:rsidR="00ED7BFF">
        <w:rPr>
          <w:rFonts w:ascii="Times New Roman" w:hAnsi="Times New Roman" w:cs="Times New Roman"/>
          <w:sz w:val="24"/>
          <w:szCs w:val="24"/>
        </w:rPr>
        <w:t xml:space="preserve"> and </w:t>
      </w:r>
      <w:r w:rsidR="009D6075">
        <w:rPr>
          <w:rFonts w:ascii="Times New Roman" w:hAnsi="Times New Roman" w:cs="Times New Roman"/>
          <w:sz w:val="24"/>
          <w:szCs w:val="24"/>
        </w:rPr>
        <w:t>8</w:t>
      </w:r>
      <w:r w:rsidR="00ED7BFF">
        <w:rPr>
          <w:rFonts w:ascii="Times New Roman" w:hAnsi="Times New Roman" w:cs="Times New Roman"/>
          <w:sz w:val="24"/>
          <w:szCs w:val="24"/>
        </w:rPr>
        <w:t xml:space="preserve">. </w:t>
      </w:r>
    </w:p>
    <w:p w:rsidR="009D6075" w:rsidRDefault="009D6075" w:rsidP="00BC1B69">
      <w:pPr>
        <w:tabs>
          <w:tab w:val="left" w:pos="426"/>
        </w:tabs>
        <w:spacing w:after="0" w:line="288" w:lineRule="auto"/>
        <w:rPr>
          <w:rFonts w:ascii="Times New Roman" w:hAnsi="Times New Roman" w:cs="Times New Roman"/>
          <w:i/>
          <w:sz w:val="24"/>
          <w:szCs w:val="24"/>
        </w:rPr>
      </w:pPr>
      <w:r>
        <w:rPr>
          <w:rFonts w:ascii="Times New Roman" w:hAnsi="Times New Roman" w:cs="Times New Roman"/>
          <w:i/>
          <w:sz w:val="24"/>
          <w:szCs w:val="24"/>
        </w:rPr>
        <w:br w:type="page"/>
      </w:r>
    </w:p>
    <w:p w:rsidR="002647D1" w:rsidRPr="00671718" w:rsidRDefault="002647D1" w:rsidP="00BC1B69">
      <w:pPr>
        <w:tabs>
          <w:tab w:val="left" w:pos="426"/>
        </w:tabs>
        <w:spacing w:after="0" w:line="288" w:lineRule="auto"/>
        <w:jc w:val="center"/>
        <w:rPr>
          <w:rFonts w:ascii="Times New Roman" w:hAnsi="Times New Roman" w:cs="Times New Roman"/>
          <w:b/>
          <w:bCs/>
          <w:iCs/>
        </w:rPr>
      </w:pPr>
      <w:r w:rsidRPr="00671718">
        <w:rPr>
          <w:rFonts w:ascii="Times New Roman" w:hAnsi="Times New Roman" w:cs="Times New Roman"/>
          <w:b/>
          <w:bCs/>
          <w:iCs/>
        </w:rPr>
        <w:lastRenderedPageBreak/>
        <w:t xml:space="preserve">Figure </w:t>
      </w:r>
      <w:r w:rsidR="009D6075" w:rsidRPr="00671718">
        <w:rPr>
          <w:rFonts w:ascii="Times New Roman" w:hAnsi="Times New Roman" w:cs="Times New Roman"/>
          <w:b/>
          <w:bCs/>
          <w:iCs/>
        </w:rPr>
        <w:t>9</w:t>
      </w:r>
      <w:r w:rsidR="00253F68" w:rsidRPr="00671718">
        <w:rPr>
          <w:rFonts w:ascii="Times New Roman" w:hAnsi="Times New Roman" w:cs="Times New Roman"/>
          <w:b/>
          <w:bCs/>
          <w:iCs/>
        </w:rPr>
        <w:t>: Labour Force A</w:t>
      </w:r>
      <w:r w:rsidRPr="00671718">
        <w:rPr>
          <w:rFonts w:ascii="Times New Roman" w:hAnsi="Times New Roman" w:cs="Times New Roman"/>
          <w:b/>
          <w:bCs/>
          <w:iCs/>
        </w:rPr>
        <w:t>ge</w:t>
      </w:r>
      <w:r w:rsidR="00253F68" w:rsidRPr="00671718">
        <w:rPr>
          <w:rFonts w:ascii="Times New Roman" w:hAnsi="Times New Roman" w:cs="Times New Roman"/>
          <w:b/>
          <w:bCs/>
          <w:iCs/>
        </w:rPr>
        <w:t>d 65 Years and O</w:t>
      </w:r>
      <w:r w:rsidRPr="00671718">
        <w:rPr>
          <w:rFonts w:ascii="Times New Roman" w:hAnsi="Times New Roman" w:cs="Times New Roman"/>
          <w:b/>
          <w:bCs/>
          <w:iCs/>
        </w:rPr>
        <w:t>ver, 1991-2013</w:t>
      </w:r>
    </w:p>
    <w:p w:rsidR="002647D1" w:rsidRDefault="002647D1" w:rsidP="00BC1B69">
      <w:pPr>
        <w:tabs>
          <w:tab w:val="left" w:pos="426"/>
        </w:tabs>
        <w:spacing w:after="0" w:line="288" w:lineRule="auto"/>
        <w:jc w:val="both"/>
        <w:rPr>
          <w:rFonts w:ascii="Times New Roman" w:hAnsi="Times New Roman" w:cs="Times New Roman"/>
          <w:sz w:val="24"/>
          <w:szCs w:val="24"/>
        </w:rPr>
      </w:pPr>
      <w:r w:rsidRPr="002647D1">
        <w:rPr>
          <w:noProof/>
          <w:szCs w:val="24"/>
          <w:lang w:eastAsia="en-NZ"/>
        </w:rPr>
        <w:drawing>
          <wp:inline distT="0" distB="0" distL="0" distR="0">
            <wp:extent cx="5731510" cy="3752705"/>
            <wp:effectExtent l="19050" t="0" r="254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0F15E0" w:rsidRDefault="006B018D"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In the previous section, Figure 3 showed that part-time employment exceeded full-time employment only for those aged 70 years and over. Figure 10 shows how both part-time employment and full-time employment have changed over the period from 1991 to 2013,</w:t>
      </w:r>
      <w:r w:rsidRPr="006B018D">
        <w:rPr>
          <w:rFonts w:ascii="Times New Roman" w:hAnsi="Times New Roman" w:cs="Times New Roman"/>
          <w:sz w:val="24"/>
          <w:szCs w:val="24"/>
        </w:rPr>
        <w:t xml:space="preserve"> </w:t>
      </w:r>
      <w:r>
        <w:rPr>
          <w:rFonts w:ascii="Times New Roman" w:hAnsi="Times New Roman" w:cs="Times New Roman"/>
          <w:sz w:val="24"/>
          <w:szCs w:val="24"/>
        </w:rPr>
        <w:t xml:space="preserve">among those aged 65 years and over. In absolute terms, both part-time employment and full-time employment have increased in every time period. In 1991, full-time employment exceeded part-time employment with full-time employment making up 55.0% of the total. This decreased substantially to 43.6% of the total in 1996, due to a more-than-doubling of the number of older people in part-time employment. </w:t>
      </w:r>
    </w:p>
    <w:p w:rsidR="000F15E0" w:rsidRDefault="000F15E0" w:rsidP="00652A60">
      <w:pPr>
        <w:tabs>
          <w:tab w:val="left" w:pos="426"/>
        </w:tabs>
        <w:spacing w:after="0" w:line="288" w:lineRule="auto"/>
        <w:ind w:firstLine="426"/>
        <w:jc w:val="both"/>
        <w:rPr>
          <w:rFonts w:ascii="Times New Roman" w:hAnsi="Times New Roman" w:cs="Times New Roman"/>
          <w:sz w:val="24"/>
          <w:szCs w:val="24"/>
        </w:rPr>
      </w:pPr>
    </w:p>
    <w:p w:rsidR="006A7C81" w:rsidRDefault="006B018D"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Since 1996, the proportion of full-time employment among older people has gradually increased, to 53.0% by 2013.</w:t>
      </w:r>
      <w:r w:rsidR="00CB3BED">
        <w:rPr>
          <w:rFonts w:ascii="Times New Roman" w:hAnsi="Times New Roman" w:cs="Times New Roman"/>
          <w:sz w:val="24"/>
          <w:szCs w:val="24"/>
        </w:rPr>
        <w:t xml:space="preserve"> When separating the data by five-year age group (see Appendix Table 1), it is clear that the move towards more part-time employment between 1991 and 1996 occurred at all age groups, but that since 1996 the return to more full-time employment has oc</w:t>
      </w:r>
      <w:r w:rsidR="00C81FDC">
        <w:rPr>
          <w:rFonts w:ascii="Times New Roman" w:hAnsi="Times New Roman" w:cs="Times New Roman"/>
          <w:sz w:val="24"/>
          <w:szCs w:val="24"/>
        </w:rPr>
        <w:t>curred mainly in the 65-69 year</w:t>
      </w:r>
      <w:r w:rsidR="00CB3BED">
        <w:rPr>
          <w:rFonts w:ascii="Times New Roman" w:hAnsi="Times New Roman" w:cs="Times New Roman"/>
          <w:sz w:val="24"/>
          <w:szCs w:val="24"/>
        </w:rPr>
        <w:t xml:space="preserve"> age group and to</w:t>
      </w:r>
      <w:r w:rsidR="00C81FDC">
        <w:rPr>
          <w:rFonts w:ascii="Times New Roman" w:hAnsi="Times New Roman" w:cs="Times New Roman"/>
          <w:sz w:val="24"/>
          <w:szCs w:val="24"/>
        </w:rPr>
        <w:t xml:space="preserve"> a lesser extent the 70-74 year</w:t>
      </w:r>
      <w:r w:rsidR="00CB3BED">
        <w:rPr>
          <w:rFonts w:ascii="Times New Roman" w:hAnsi="Times New Roman" w:cs="Times New Roman"/>
          <w:sz w:val="24"/>
          <w:szCs w:val="24"/>
        </w:rPr>
        <w:t xml:space="preserve"> age group. This suggests that it may be a cohort effect – a point we will return to in the following section.</w:t>
      </w:r>
    </w:p>
    <w:p w:rsidR="00414CEB" w:rsidRDefault="00414CEB" w:rsidP="00652A60">
      <w:pPr>
        <w:tabs>
          <w:tab w:val="left" w:pos="426"/>
        </w:tabs>
        <w:spacing w:after="0" w:line="288" w:lineRule="auto"/>
        <w:ind w:firstLine="426"/>
        <w:jc w:val="both"/>
        <w:rPr>
          <w:rFonts w:ascii="Times New Roman" w:hAnsi="Times New Roman" w:cs="Times New Roman"/>
          <w:sz w:val="24"/>
          <w:szCs w:val="24"/>
        </w:rPr>
      </w:pPr>
    </w:p>
    <w:p w:rsidR="00414CEB" w:rsidRDefault="00414CEB" w:rsidP="00652A60">
      <w:pPr>
        <w:tabs>
          <w:tab w:val="left" w:pos="426"/>
        </w:tabs>
        <w:spacing w:after="0" w:line="288" w:lineRule="auto"/>
        <w:ind w:firstLine="426"/>
        <w:jc w:val="both"/>
        <w:rPr>
          <w:rFonts w:ascii="Times New Roman" w:hAnsi="Times New Roman" w:cs="Times New Roman"/>
          <w:sz w:val="24"/>
          <w:szCs w:val="24"/>
        </w:rPr>
      </w:pPr>
      <w:r w:rsidRPr="00414CEB">
        <w:rPr>
          <w:rFonts w:ascii="Times New Roman" w:hAnsi="Times New Roman" w:cs="Times New Roman"/>
          <w:sz w:val="24"/>
          <w:szCs w:val="24"/>
        </w:rPr>
        <w:t xml:space="preserve">The change in the ratio of full-time to part-time workers may be partially explained by policy changes. In 1991, the Superannuation surcharge (the amount by which New Zealand Superannuation was reduced for each dollar of additional earnings) was increased from 20 percent to 25 percent, and the amount of additional income that could be earned before the </w:t>
      </w:r>
      <w:r w:rsidRPr="00414CEB">
        <w:rPr>
          <w:rFonts w:ascii="Times New Roman" w:hAnsi="Times New Roman" w:cs="Times New Roman"/>
          <w:sz w:val="24"/>
          <w:szCs w:val="24"/>
        </w:rPr>
        <w:lastRenderedPageBreak/>
        <w:t>surcharge applied was lowered (Preston, 2008). This reduced the incentive for full-time work among older workers. In 1998 the surcharge was abolished, which removed the negative incentive towards earning additional income including through full-time, rather than part-time, work.</w:t>
      </w:r>
    </w:p>
    <w:p w:rsidR="006B018D" w:rsidRDefault="006B018D" w:rsidP="00BC1B69">
      <w:pPr>
        <w:tabs>
          <w:tab w:val="left" w:pos="426"/>
        </w:tabs>
        <w:spacing w:after="0" w:line="288" w:lineRule="auto"/>
        <w:rPr>
          <w:rFonts w:ascii="Times New Roman" w:hAnsi="Times New Roman" w:cs="Times New Roman"/>
          <w:i/>
          <w:sz w:val="24"/>
          <w:szCs w:val="24"/>
        </w:rPr>
      </w:pPr>
    </w:p>
    <w:p w:rsidR="00A840F0" w:rsidRDefault="00A840F0" w:rsidP="00BC1B69">
      <w:pPr>
        <w:tabs>
          <w:tab w:val="left" w:pos="426"/>
        </w:tabs>
        <w:spacing w:after="0" w:line="288" w:lineRule="auto"/>
        <w:rPr>
          <w:rFonts w:ascii="Times New Roman" w:hAnsi="Times New Roman" w:cs="Times New Roman"/>
          <w:i/>
          <w:sz w:val="24"/>
          <w:szCs w:val="24"/>
        </w:rPr>
      </w:pPr>
    </w:p>
    <w:p w:rsidR="00671718" w:rsidRDefault="006B018D" w:rsidP="00BC1B69">
      <w:pPr>
        <w:tabs>
          <w:tab w:val="left" w:pos="426"/>
        </w:tabs>
        <w:spacing w:after="0" w:line="240" w:lineRule="auto"/>
        <w:jc w:val="center"/>
        <w:rPr>
          <w:rFonts w:ascii="Times New Roman" w:hAnsi="Times New Roman" w:cs="Times New Roman"/>
          <w:b/>
          <w:bCs/>
          <w:iCs/>
        </w:rPr>
      </w:pPr>
      <w:r w:rsidRPr="00671718">
        <w:rPr>
          <w:rFonts w:ascii="Times New Roman" w:hAnsi="Times New Roman" w:cs="Times New Roman"/>
          <w:b/>
          <w:bCs/>
          <w:iCs/>
        </w:rPr>
        <w:t xml:space="preserve">Figure 10: </w:t>
      </w:r>
      <w:r w:rsidR="00253F68" w:rsidRPr="00671718">
        <w:rPr>
          <w:rFonts w:ascii="Times New Roman" w:hAnsi="Times New Roman" w:cs="Times New Roman"/>
          <w:b/>
          <w:bCs/>
          <w:iCs/>
        </w:rPr>
        <w:t xml:space="preserve">Employment by Part-time/Full-time Status </w:t>
      </w:r>
    </w:p>
    <w:p w:rsidR="006B018D" w:rsidRDefault="00253F68" w:rsidP="00BC1B69">
      <w:pPr>
        <w:tabs>
          <w:tab w:val="left" w:pos="426"/>
        </w:tabs>
        <w:spacing w:after="0" w:line="240" w:lineRule="auto"/>
        <w:jc w:val="center"/>
        <w:rPr>
          <w:rFonts w:ascii="Times New Roman" w:hAnsi="Times New Roman" w:cs="Times New Roman"/>
          <w:b/>
          <w:bCs/>
          <w:iCs/>
        </w:rPr>
      </w:pPr>
      <w:proofErr w:type="gramStart"/>
      <w:r w:rsidRPr="00671718">
        <w:rPr>
          <w:rFonts w:ascii="Times New Roman" w:hAnsi="Times New Roman" w:cs="Times New Roman"/>
          <w:b/>
          <w:bCs/>
          <w:iCs/>
        </w:rPr>
        <w:t>for</w:t>
      </w:r>
      <w:proofErr w:type="gramEnd"/>
      <w:r w:rsidRPr="00671718">
        <w:rPr>
          <w:rFonts w:ascii="Times New Roman" w:hAnsi="Times New Roman" w:cs="Times New Roman"/>
          <w:b/>
          <w:bCs/>
          <w:iCs/>
        </w:rPr>
        <w:t xml:space="preserve"> those Aged 65 Years and O</w:t>
      </w:r>
      <w:r w:rsidR="006B018D" w:rsidRPr="00671718">
        <w:rPr>
          <w:rFonts w:ascii="Times New Roman" w:hAnsi="Times New Roman" w:cs="Times New Roman"/>
          <w:b/>
          <w:bCs/>
          <w:iCs/>
        </w:rPr>
        <w:t>ver, 1991-2013</w:t>
      </w:r>
    </w:p>
    <w:p w:rsidR="00652A60" w:rsidRPr="00671718" w:rsidRDefault="00652A60" w:rsidP="00BC1B69">
      <w:pPr>
        <w:tabs>
          <w:tab w:val="left" w:pos="426"/>
        </w:tabs>
        <w:spacing w:after="0" w:line="240" w:lineRule="auto"/>
        <w:jc w:val="center"/>
        <w:rPr>
          <w:rFonts w:ascii="Times New Roman" w:hAnsi="Times New Roman" w:cs="Times New Roman"/>
          <w:b/>
          <w:bCs/>
          <w:iCs/>
        </w:rPr>
      </w:pPr>
    </w:p>
    <w:p w:rsidR="006B018D" w:rsidRDefault="006B018D" w:rsidP="00BC1B69">
      <w:pPr>
        <w:tabs>
          <w:tab w:val="left" w:pos="426"/>
        </w:tabs>
        <w:spacing w:after="0" w:line="288" w:lineRule="auto"/>
        <w:jc w:val="both"/>
        <w:rPr>
          <w:rFonts w:ascii="Times New Roman" w:hAnsi="Times New Roman" w:cs="Times New Roman"/>
          <w:sz w:val="24"/>
          <w:szCs w:val="24"/>
        </w:rPr>
      </w:pPr>
      <w:r w:rsidRPr="006B018D">
        <w:rPr>
          <w:noProof/>
          <w:szCs w:val="24"/>
          <w:lang w:eastAsia="en-NZ"/>
        </w:rPr>
        <w:drawing>
          <wp:inline distT="0" distB="0" distL="0" distR="0">
            <wp:extent cx="5731510" cy="3752705"/>
            <wp:effectExtent l="19050" t="0" r="254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27042D" w:rsidRDefault="0027042D" w:rsidP="00BC1B69">
      <w:pPr>
        <w:tabs>
          <w:tab w:val="left" w:pos="426"/>
        </w:tabs>
        <w:spacing w:after="0" w:line="288" w:lineRule="auto"/>
        <w:jc w:val="both"/>
        <w:rPr>
          <w:rFonts w:ascii="Times New Roman" w:hAnsi="Times New Roman" w:cs="Times New Roman"/>
          <w:sz w:val="24"/>
          <w:szCs w:val="24"/>
        </w:rPr>
      </w:pPr>
    </w:p>
    <w:p w:rsidR="00652A60" w:rsidRDefault="00652A60" w:rsidP="00BC1B69">
      <w:pPr>
        <w:tabs>
          <w:tab w:val="left" w:pos="426"/>
        </w:tabs>
        <w:spacing w:after="0" w:line="288" w:lineRule="auto"/>
        <w:jc w:val="both"/>
        <w:rPr>
          <w:rFonts w:ascii="Times New Roman" w:hAnsi="Times New Roman" w:cs="Times New Roman"/>
          <w:sz w:val="24"/>
          <w:szCs w:val="24"/>
        </w:rPr>
      </w:pPr>
    </w:p>
    <w:p w:rsidR="00ED7BFF" w:rsidRDefault="00ED5824" w:rsidP="00BC1B69">
      <w:pPr>
        <w:pStyle w:val="Heading2"/>
      </w:pPr>
      <w:r>
        <w:t>Cohort Changes in Labour Force Participation of O</w:t>
      </w:r>
      <w:r w:rsidR="00ED7BFF" w:rsidRPr="009D6075">
        <w:t>lder New Zealanders</w:t>
      </w:r>
    </w:p>
    <w:p w:rsidR="00671718" w:rsidRPr="00671718" w:rsidRDefault="00671718" w:rsidP="00BC1B69">
      <w:pPr>
        <w:tabs>
          <w:tab w:val="left" w:pos="426"/>
        </w:tabs>
        <w:spacing w:after="0" w:line="288" w:lineRule="auto"/>
        <w:jc w:val="both"/>
        <w:rPr>
          <w:rFonts w:ascii="Times New Roman" w:hAnsi="Times New Roman" w:cs="Times New Roman"/>
          <w:sz w:val="12"/>
          <w:szCs w:val="12"/>
        </w:rPr>
      </w:pPr>
    </w:p>
    <w:p w:rsidR="00ED7BFF" w:rsidRDefault="00DE3C7B"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The increase in the size of the labour force within older age groups is comprised of two underlying changes: (1) increases in the size of the age cohorts reaching retirement age; and (2) changes in labour force participation rates by successive cohorts. The former change is well recognised, as the baby boomer generation (born after 1946) is currently reaching age 65 and in greater numbers. This section attempts to uncover the latter of those two changes. This analysis is somewhat limited however,</w:t>
      </w:r>
      <w:r w:rsidR="00734D74">
        <w:rPr>
          <w:rFonts w:ascii="Times New Roman" w:hAnsi="Times New Roman" w:cs="Times New Roman"/>
          <w:sz w:val="24"/>
          <w:szCs w:val="24"/>
        </w:rPr>
        <w:t xml:space="preserve"> for two reasons. First,</w:t>
      </w:r>
      <w:r>
        <w:rPr>
          <w:rFonts w:ascii="Times New Roman" w:hAnsi="Times New Roman" w:cs="Times New Roman"/>
          <w:sz w:val="24"/>
          <w:szCs w:val="24"/>
        </w:rPr>
        <w:t xml:space="preserve"> because of the change in Census periodicity from five-yearly between 1991 and 2006, to seven year</w:t>
      </w:r>
      <w:r w:rsidR="00734D74">
        <w:rPr>
          <w:rFonts w:ascii="Times New Roman" w:hAnsi="Times New Roman" w:cs="Times New Roman"/>
          <w:sz w:val="24"/>
          <w:szCs w:val="24"/>
        </w:rPr>
        <w:t>s between the last two Censuses</w:t>
      </w:r>
      <w:r>
        <w:rPr>
          <w:rFonts w:ascii="Times New Roman" w:hAnsi="Times New Roman" w:cs="Times New Roman"/>
          <w:sz w:val="24"/>
          <w:szCs w:val="24"/>
        </w:rPr>
        <w:t>, the cohorts in 2013 are not a perfect match to those in earlier Census years.</w:t>
      </w:r>
      <w:r w:rsidR="00734D74">
        <w:rPr>
          <w:rFonts w:ascii="Times New Roman" w:hAnsi="Times New Roman" w:cs="Times New Roman"/>
          <w:sz w:val="24"/>
          <w:szCs w:val="24"/>
        </w:rPr>
        <w:t xml:space="preserve"> Second, the oldest age group is not a true five-year age cohort, although it is unlikely that there are many people still in the labour force at age 90 years or over.</w:t>
      </w:r>
      <w:r>
        <w:rPr>
          <w:rFonts w:ascii="Times New Roman" w:hAnsi="Times New Roman" w:cs="Times New Roman"/>
          <w:sz w:val="24"/>
          <w:szCs w:val="24"/>
        </w:rPr>
        <w:t xml:space="preserve"> In spite of th</w:t>
      </w:r>
      <w:r w:rsidR="00734D74">
        <w:rPr>
          <w:rFonts w:ascii="Times New Roman" w:hAnsi="Times New Roman" w:cs="Times New Roman"/>
          <w:sz w:val="24"/>
          <w:szCs w:val="24"/>
        </w:rPr>
        <w:t>e</w:t>
      </w:r>
      <w:r>
        <w:rPr>
          <w:rFonts w:ascii="Times New Roman" w:hAnsi="Times New Roman" w:cs="Times New Roman"/>
          <w:sz w:val="24"/>
          <w:szCs w:val="24"/>
        </w:rPr>
        <w:t>s</w:t>
      </w:r>
      <w:r w:rsidR="00734D74">
        <w:rPr>
          <w:rFonts w:ascii="Times New Roman" w:hAnsi="Times New Roman" w:cs="Times New Roman"/>
          <w:sz w:val="24"/>
          <w:szCs w:val="24"/>
        </w:rPr>
        <w:t>e</w:t>
      </w:r>
      <w:r>
        <w:rPr>
          <w:rFonts w:ascii="Times New Roman" w:hAnsi="Times New Roman" w:cs="Times New Roman"/>
          <w:sz w:val="24"/>
          <w:szCs w:val="24"/>
        </w:rPr>
        <w:t xml:space="preserve"> limitation</w:t>
      </w:r>
      <w:r w:rsidR="00734D74">
        <w:rPr>
          <w:rFonts w:ascii="Times New Roman" w:hAnsi="Times New Roman" w:cs="Times New Roman"/>
          <w:sz w:val="24"/>
          <w:szCs w:val="24"/>
        </w:rPr>
        <w:t>s</w:t>
      </w:r>
      <w:r>
        <w:rPr>
          <w:rFonts w:ascii="Times New Roman" w:hAnsi="Times New Roman" w:cs="Times New Roman"/>
          <w:sz w:val="24"/>
          <w:szCs w:val="24"/>
        </w:rPr>
        <w:t>, the analysis appears to show some robust trends.</w:t>
      </w:r>
    </w:p>
    <w:p w:rsidR="00671718" w:rsidRDefault="00671718" w:rsidP="00BC1B69">
      <w:pPr>
        <w:tabs>
          <w:tab w:val="left" w:pos="426"/>
        </w:tabs>
        <w:spacing w:after="0" w:line="288" w:lineRule="auto"/>
        <w:jc w:val="both"/>
        <w:rPr>
          <w:rFonts w:ascii="Times New Roman" w:hAnsi="Times New Roman" w:cs="Times New Roman"/>
          <w:sz w:val="24"/>
          <w:szCs w:val="24"/>
        </w:rPr>
      </w:pPr>
    </w:p>
    <w:p w:rsidR="00DE3C7B" w:rsidRDefault="00DE3C7B" w:rsidP="00652A6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CF77BC">
        <w:rPr>
          <w:rFonts w:ascii="Times New Roman" w:hAnsi="Times New Roman" w:cs="Times New Roman"/>
          <w:sz w:val="24"/>
          <w:szCs w:val="24"/>
        </w:rPr>
        <w:t>11</w:t>
      </w:r>
      <w:r>
        <w:rPr>
          <w:rFonts w:ascii="Times New Roman" w:hAnsi="Times New Roman" w:cs="Times New Roman"/>
          <w:sz w:val="24"/>
          <w:szCs w:val="24"/>
        </w:rPr>
        <w:t xml:space="preserve"> shows the labour force participation rate for successive cohorts, with each cohort identified by the age group it filled in 2013.</w:t>
      </w:r>
      <w:r w:rsidR="00710569">
        <w:rPr>
          <w:rFonts w:ascii="Times New Roman" w:hAnsi="Times New Roman" w:cs="Times New Roman"/>
          <w:sz w:val="24"/>
          <w:szCs w:val="24"/>
        </w:rPr>
        <w:t xml:space="preserve"> For instance, the cohort labelled 80-84 years, was aged 80-84 years in 2013, and is matched with the group aged 75-79 years in 2006, the group aged 70-74 years in 2001, the group aged 65-69 years in 1996, and the group aged 60-64 years in 1991. Thus, the figure follows each cohort across time, in terms of their labour force participation rate.</w:t>
      </w:r>
    </w:p>
    <w:p w:rsidR="00652A60" w:rsidRDefault="00652A60" w:rsidP="00BC1B69">
      <w:pPr>
        <w:tabs>
          <w:tab w:val="left" w:pos="426"/>
        </w:tabs>
        <w:spacing w:after="0" w:line="288" w:lineRule="auto"/>
        <w:ind w:firstLine="720"/>
        <w:jc w:val="both"/>
        <w:rPr>
          <w:rFonts w:ascii="Times New Roman" w:hAnsi="Times New Roman" w:cs="Times New Roman"/>
          <w:sz w:val="24"/>
          <w:szCs w:val="24"/>
        </w:rPr>
      </w:pPr>
    </w:p>
    <w:p w:rsidR="00A840F0" w:rsidRDefault="00A840F0" w:rsidP="00BC1B69">
      <w:pPr>
        <w:tabs>
          <w:tab w:val="left" w:pos="426"/>
        </w:tabs>
        <w:spacing w:after="0" w:line="288" w:lineRule="auto"/>
        <w:ind w:firstLine="720"/>
        <w:jc w:val="both"/>
        <w:rPr>
          <w:rFonts w:ascii="Times New Roman" w:hAnsi="Times New Roman" w:cs="Times New Roman"/>
          <w:sz w:val="24"/>
          <w:szCs w:val="24"/>
        </w:rPr>
      </w:pPr>
    </w:p>
    <w:p w:rsidR="00DE3C7B" w:rsidRPr="00671718" w:rsidRDefault="00DE3C7B" w:rsidP="00BC1B69">
      <w:pPr>
        <w:tabs>
          <w:tab w:val="left" w:pos="426"/>
        </w:tabs>
        <w:spacing w:after="0" w:line="288" w:lineRule="auto"/>
        <w:ind w:firstLine="720"/>
        <w:jc w:val="center"/>
        <w:rPr>
          <w:rFonts w:ascii="Times New Roman" w:hAnsi="Times New Roman" w:cs="Times New Roman"/>
          <w:b/>
          <w:bCs/>
          <w:iCs/>
        </w:rPr>
      </w:pPr>
      <w:r w:rsidRPr="00671718">
        <w:rPr>
          <w:rFonts w:ascii="Times New Roman" w:hAnsi="Times New Roman" w:cs="Times New Roman"/>
          <w:b/>
          <w:bCs/>
          <w:iCs/>
        </w:rPr>
        <w:t xml:space="preserve">Figure </w:t>
      </w:r>
      <w:r w:rsidR="00CF77BC" w:rsidRPr="00671718">
        <w:rPr>
          <w:rFonts w:ascii="Times New Roman" w:hAnsi="Times New Roman" w:cs="Times New Roman"/>
          <w:b/>
          <w:bCs/>
          <w:iCs/>
        </w:rPr>
        <w:t>11</w:t>
      </w:r>
      <w:r w:rsidR="00253F68" w:rsidRPr="00671718">
        <w:rPr>
          <w:rFonts w:ascii="Times New Roman" w:hAnsi="Times New Roman" w:cs="Times New Roman"/>
          <w:b/>
          <w:bCs/>
          <w:iCs/>
        </w:rPr>
        <w:t>: Labour Force Participation R</w:t>
      </w:r>
      <w:r w:rsidRPr="00671718">
        <w:rPr>
          <w:rFonts w:ascii="Times New Roman" w:hAnsi="Times New Roman" w:cs="Times New Roman"/>
          <w:b/>
          <w:bCs/>
          <w:iCs/>
        </w:rPr>
        <w:t xml:space="preserve">ate by </w:t>
      </w:r>
      <w:r w:rsidR="00253F68" w:rsidRPr="00671718">
        <w:rPr>
          <w:rFonts w:ascii="Times New Roman" w:hAnsi="Times New Roman" w:cs="Times New Roman"/>
          <w:b/>
          <w:bCs/>
          <w:iCs/>
        </w:rPr>
        <w:t>C</w:t>
      </w:r>
      <w:r w:rsidRPr="00671718">
        <w:rPr>
          <w:rFonts w:ascii="Times New Roman" w:hAnsi="Times New Roman" w:cs="Times New Roman"/>
          <w:b/>
          <w:bCs/>
          <w:iCs/>
        </w:rPr>
        <w:t>ohort</w:t>
      </w:r>
    </w:p>
    <w:p w:rsidR="00DE3C7B" w:rsidRDefault="00EB46F5" w:rsidP="00BC1B69">
      <w:pPr>
        <w:tabs>
          <w:tab w:val="left" w:pos="426"/>
        </w:tabs>
        <w:spacing w:after="0" w:line="288" w:lineRule="auto"/>
        <w:jc w:val="both"/>
        <w:rPr>
          <w:rFonts w:ascii="Times New Roman" w:hAnsi="Times New Roman" w:cs="Times New Roman"/>
          <w:sz w:val="24"/>
          <w:szCs w:val="24"/>
        </w:rPr>
      </w:pPr>
      <w:r w:rsidRPr="00EB46F5">
        <w:rPr>
          <w:noProof/>
          <w:lang w:eastAsia="en-NZ"/>
        </w:rPr>
        <w:drawing>
          <wp:inline distT="0" distB="0" distL="0" distR="0">
            <wp:extent cx="5731510" cy="37407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414CEB" w:rsidRDefault="00414CEB" w:rsidP="00414CEB">
      <w:pPr>
        <w:tabs>
          <w:tab w:val="left" w:pos="426"/>
        </w:tabs>
        <w:spacing w:after="0" w:line="288" w:lineRule="auto"/>
        <w:ind w:firstLine="426"/>
        <w:jc w:val="both"/>
        <w:rPr>
          <w:rFonts w:ascii="Times New Roman" w:hAnsi="Times New Roman" w:cs="Times New Roman"/>
          <w:sz w:val="24"/>
          <w:szCs w:val="24"/>
        </w:rPr>
      </w:pPr>
    </w:p>
    <w:p w:rsidR="00414CEB" w:rsidRDefault="00414CEB" w:rsidP="00414CEB">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Two things are obvious from Figure 11. First, labour force participation declines with age for every cohort, and for the most part the largest declines in participation occur between ages 60-64 years and 65-69 years. This is consistent with the earlier analysis in the paper. Second, labour force participation is increasing for successive cohorts, which reflects a generational difference in work preferences at older ages. That is, as each cohort reaches age 65, their labour force participation rate is higher than all earlier cohorts at the time they reached that age. The trend between successive cohorts is statistically significant (</w:t>
      </w:r>
      <w:r>
        <w:rPr>
          <w:rFonts w:ascii="Times New Roman" w:hAnsi="Times New Roman" w:cs="Times New Roman"/>
          <w:i/>
          <w:iCs/>
          <w:sz w:val="24"/>
          <w:szCs w:val="24"/>
        </w:rPr>
        <w:t>p</w:t>
      </w:r>
      <w:r>
        <w:rPr>
          <w:rFonts w:ascii="Times New Roman" w:hAnsi="Times New Roman" w:cs="Times New Roman"/>
          <w:sz w:val="24"/>
          <w:szCs w:val="24"/>
        </w:rPr>
        <w:t xml:space="preserve"> = 0.03). However, the increase in labour force participation rate appears to have slowed down for those born after 1951, with that cohort having only </w:t>
      </w:r>
      <w:proofErr w:type="gramStart"/>
      <w:r>
        <w:rPr>
          <w:rFonts w:ascii="Times New Roman" w:hAnsi="Times New Roman" w:cs="Times New Roman"/>
          <w:sz w:val="24"/>
          <w:szCs w:val="24"/>
        </w:rPr>
        <w:t>a slightly</w:t>
      </w:r>
      <w:proofErr w:type="gramEnd"/>
      <w:r>
        <w:rPr>
          <w:rFonts w:ascii="Times New Roman" w:hAnsi="Times New Roman" w:cs="Times New Roman"/>
          <w:sz w:val="24"/>
          <w:szCs w:val="24"/>
        </w:rPr>
        <w:t xml:space="preserve"> higher labour force participation than the cohort born between 1946 and 1951. However, whether this is a trend or an aberration of the data related to the slow recovery from the Global Financial Crisis will not be known until further data become available.</w:t>
      </w:r>
    </w:p>
    <w:p w:rsidR="00414CEB" w:rsidRDefault="00414CEB" w:rsidP="00414CEB">
      <w:pPr>
        <w:tabs>
          <w:tab w:val="left" w:pos="426"/>
        </w:tabs>
        <w:spacing w:after="0" w:line="288" w:lineRule="auto"/>
        <w:ind w:firstLine="720"/>
        <w:jc w:val="both"/>
        <w:rPr>
          <w:rFonts w:ascii="Times New Roman" w:hAnsi="Times New Roman" w:cs="Times New Roman"/>
          <w:sz w:val="24"/>
          <w:szCs w:val="24"/>
        </w:rPr>
      </w:pPr>
    </w:p>
    <w:p w:rsidR="00414CEB" w:rsidRDefault="00414CEB" w:rsidP="00414CEB">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The analysis looks similar when disaggregated by sex (see Appendix Figures 9 and 10), although the labour force participation rate for men at age 55-59 years declined between 2006 and 2013. Again, it won’t be known whether this is a break in the long-run trend of increasing labour force participation until further data become available.</w:t>
      </w:r>
    </w:p>
    <w:p w:rsidR="000F15E0" w:rsidRDefault="000F15E0">
      <w:pPr>
        <w:rPr>
          <w:rFonts w:ascii="Times New Roman" w:hAnsi="Times New Roman" w:cs="Times New Roman"/>
          <w:sz w:val="24"/>
          <w:szCs w:val="24"/>
        </w:rPr>
      </w:pPr>
    </w:p>
    <w:p w:rsidR="00CF77BC" w:rsidRDefault="00CF77BC" w:rsidP="00652A60">
      <w:pPr>
        <w:tabs>
          <w:tab w:val="left" w:pos="426"/>
        </w:tabs>
        <w:spacing w:after="0" w:line="288" w:lineRule="auto"/>
        <w:ind w:firstLine="426"/>
        <w:jc w:val="both"/>
        <w:rPr>
          <w:rFonts w:ascii="Times New Roman" w:hAnsi="Times New Roman" w:cs="Times New Roman"/>
          <w:sz w:val="24"/>
          <w:szCs w:val="24"/>
        </w:rPr>
      </w:pPr>
      <w:r w:rsidRPr="00CF77BC">
        <w:rPr>
          <w:rFonts w:ascii="Times New Roman" w:hAnsi="Times New Roman" w:cs="Times New Roman"/>
          <w:sz w:val="24"/>
          <w:szCs w:val="24"/>
        </w:rPr>
        <w:t>Figure 12 shows the breakdown between part-time and full-time employment for successive cohorts, with each cohort</w:t>
      </w:r>
      <w:r>
        <w:rPr>
          <w:rFonts w:ascii="Times New Roman" w:hAnsi="Times New Roman" w:cs="Times New Roman"/>
          <w:sz w:val="24"/>
          <w:szCs w:val="24"/>
        </w:rPr>
        <w:t xml:space="preserve"> again identified by the age group it filled in 2013.</w:t>
      </w:r>
      <w:r w:rsidR="003A2ABA">
        <w:rPr>
          <w:rFonts w:ascii="Times New Roman" w:hAnsi="Times New Roman" w:cs="Times New Roman"/>
          <w:sz w:val="24"/>
          <w:szCs w:val="24"/>
        </w:rPr>
        <w:t xml:space="preserve"> The proportion of older workers in full-time employment (compared with part-time employment) declines fairly consistently with age for every cohort. Unlike the earlier analysis, there does not appear to be a significant break between ages 60-64 years and 65-69 years.</w:t>
      </w:r>
      <w:r>
        <w:rPr>
          <w:rFonts w:ascii="Times New Roman" w:hAnsi="Times New Roman" w:cs="Times New Roman"/>
          <w:sz w:val="24"/>
          <w:szCs w:val="24"/>
        </w:rPr>
        <w:t xml:space="preserve"> </w:t>
      </w:r>
      <w:r w:rsidR="00A5562D">
        <w:rPr>
          <w:rFonts w:ascii="Times New Roman" w:hAnsi="Times New Roman" w:cs="Times New Roman"/>
          <w:sz w:val="24"/>
          <w:szCs w:val="24"/>
        </w:rPr>
        <w:t xml:space="preserve">The figure </w:t>
      </w:r>
      <w:r w:rsidR="003A2ABA">
        <w:rPr>
          <w:rFonts w:ascii="Times New Roman" w:hAnsi="Times New Roman" w:cs="Times New Roman"/>
          <w:sz w:val="24"/>
          <w:szCs w:val="24"/>
        </w:rPr>
        <w:t xml:space="preserve">also </w:t>
      </w:r>
      <w:r w:rsidR="00A5562D">
        <w:rPr>
          <w:rFonts w:ascii="Times New Roman" w:hAnsi="Times New Roman" w:cs="Times New Roman"/>
          <w:sz w:val="24"/>
          <w:szCs w:val="24"/>
        </w:rPr>
        <w:t>shows a definite trend across cohorts</w:t>
      </w:r>
      <w:r w:rsidR="00EB46F5">
        <w:rPr>
          <w:rFonts w:ascii="Times New Roman" w:hAnsi="Times New Roman" w:cs="Times New Roman"/>
          <w:sz w:val="24"/>
          <w:szCs w:val="24"/>
        </w:rPr>
        <w:t xml:space="preserve"> and especially</w:t>
      </w:r>
      <w:r w:rsidR="00A5562D">
        <w:rPr>
          <w:rFonts w:ascii="Times New Roman" w:hAnsi="Times New Roman" w:cs="Times New Roman"/>
          <w:sz w:val="24"/>
          <w:szCs w:val="24"/>
        </w:rPr>
        <w:t xml:space="preserve"> within the oldest age groups, with each successive cohort showing a reduced proportion of full-time employment. </w:t>
      </w:r>
      <w:r w:rsidR="00EB46F5">
        <w:rPr>
          <w:rFonts w:ascii="Times New Roman" w:hAnsi="Times New Roman" w:cs="Times New Roman"/>
          <w:sz w:val="24"/>
          <w:szCs w:val="24"/>
        </w:rPr>
        <w:t>This trend over successive cohorts is highly statistically significant (</w:t>
      </w:r>
      <w:r w:rsidR="00EB46F5">
        <w:rPr>
          <w:rFonts w:ascii="Times New Roman" w:hAnsi="Times New Roman" w:cs="Times New Roman"/>
          <w:i/>
          <w:iCs/>
          <w:sz w:val="24"/>
          <w:szCs w:val="24"/>
        </w:rPr>
        <w:t xml:space="preserve">p </w:t>
      </w:r>
      <w:r w:rsidR="00EB46F5">
        <w:rPr>
          <w:rFonts w:ascii="Times New Roman" w:hAnsi="Times New Roman" w:cs="Times New Roman"/>
          <w:sz w:val="24"/>
          <w:szCs w:val="24"/>
        </w:rPr>
        <w:t>= 0.008), but the size of the effect is clearly largest at older ages. This</w:t>
      </w:r>
      <w:r w:rsidR="00A5562D">
        <w:rPr>
          <w:rFonts w:ascii="Times New Roman" w:hAnsi="Times New Roman" w:cs="Times New Roman"/>
          <w:sz w:val="24"/>
          <w:szCs w:val="24"/>
        </w:rPr>
        <w:t xml:space="preserve"> suggests that the increases in full-time employment among those aged 65 years and over demonstrated in the previous section are</w:t>
      </w:r>
      <w:r w:rsidR="00EB46F5">
        <w:rPr>
          <w:rFonts w:ascii="Times New Roman" w:hAnsi="Times New Roman" w:cs="Times New Roman"/>
          <w:sz w:val="24"/>
          <w:szCs w:val="24"/>
        </w:rPr>
        <w:t xml:space="preserve"> predominantly</w:t>
      </w:r>
      <w:r w:rsidR="00A5562D">
        <w:rPr>
          <w:rFonts w:ascii="Times New Roman" w:hAnsi="Times New Roman" w:cs="Times New Roman"/>
          <w:sz w:val="24"/>
          <w:szCs w:val="24"/>
        </w:rPr>
        <w:t xml:space="preserve"> a result of larger cohorts entering the youngest post-retirement-age groups, where full-time employment is more prevalent. In the future, full-time employment among those aged 65 years and over is likely to initially increase due to the baby boomer cohorts, before </w:t>
      </w:r>
      <w:r w:rsidR="0027042D">
        <w:rPr>
          <w:rFonts w:ascii="Times New Roman" w:hAnsi="Times New Roman" w:cs="Times New Roman"/>
          <w:sz w:val="24"/>
          <w:szCs w:val="24"/>
        </w:rPr>
        <w:t>decreasing</w:t>
      </w:r>
      <w:r w:rsidR="00850511">
        <w:rPr>
          <w:rFonts w:ascii="Times New Roman" w:hAnsi="Times New Roman" w:cs="Times New Roman"/>
          <w:sz w:val="24"/>
          <w:szCs w:val="24"/>
        </w:rPr>
        <w:t xml:space="preserve"> </w:t>
      </w:r>
      <w:r w:rsidR="00A5562D">
        <w:rPr>
          <w:rFonts w:ascii="Times New Roman" w:hAnsi="Times New Roman" w:cs="Times New Roman"/>
          <w:sz w:val="24"/>
          <w:szCs w:val="24"/>
        </w:rPr>
        <w:t>in favour of part-time employment as smaller post-baby-boomer cohorts reach retirement age.</w:t>
      </w:r>
    </w:p>
    <w:p w:rsidR="00671718" w:rsidRDefault="00671718" w:rsidP="00BC1B69">
      <w:pPr>
        <w:tabs>
          <w:tab w:val="left" w:pos="426"/>
        </w:tabs>
        <w:spacing w:after="0" w:line="288" w:lineRule="auto"/>
        <w:ind w:firstLine="720"/>
        <w:jc w:val="both"/>
        <w:rPr>
          <w:rFonts w:ascii="Times New Roman" w:hAnsi="Times New Roman" w:cs="Times New Roman"/>
          <w:sz w:val="24"/>
          <w:szCs w:val="24"/>
        </w:rPr>
      </w:pPr>
    </w:p>
    <w:p w:rsidR="00A840F0" w:rsidRDefault="00A840F0" w:rsidP="00BC1B69">
      <w:pPr>
        <w:tabs>
          <w:tab w:val="left" w:pos="426"/>
        </w:tabs>
        <w:spacing w:after="0" w:line="288" w:lineRule="auto"/>
        <w:ind w:firstLine="720"/>
        <w:jc w:val="both"/>
        <w:rPr>
          <w:rFonts w:ascii="Times New Roman" w:hAnsi="Times New Roman" w:cs="Times New Roman"/>
          <w:sz w:val="24"/>
          <w:szCs w:val="24"/>
        </w:rPr>
      </w:pPr>
    </w:p>
    <w:p w:rsidR="00A5562D" w:rsidRPr="00EE7BFD" w:rsidRDefault="00A5562D" w:rsidP="00BC1B69">
      <w:pPr>
        <w:tabs>
          <w:tab w:val="left" w:pos="426"/>
        </w:tabs>
        <w:spacing w:after="0" w:line="288" w:lineRule="auto"/>
        <w:jc w:val="center"/>
        <w:rPr>
          <w:rFonts w:ascii="Times New Roman" w:hAnsi="Times New Roman" w:cs="Times New Roman"/>
          <w:b/>
          <w:bCs/>
          <w:iCs/>
          <w:sz w:val="24"/>
          <w:szCs w:val="24"/>
        </w:rPr>
      </w:pPr>
      <w:r w:rsidRPr="00EE7BFD">
        <w:rPr>
          <w:rFonts w:ascii="Times New Roman" w:hAnsi="Times New Roman" w:cs="Times New Roman"/>
          <w:b/>
          <w:bCs/>
          <w:iCs/>
          <w:sz w:val="24"/>
          <w:szCs w:val="24"/>
        </w:rPr>
        <w:t xml:space="preserve">Figure 12: </w:t>
      </w:r>
      <w:r w:rsidR="00253F68">
        <w:rPr>
          <w:rFonts w:ascii="Times New Roman" w:hAnsi="Times New Roman" w:cs="Times New Roman"/>
          <w:b/>
          <w:bCs/>
          <w:iCs/>
          <w:sz w:val="24"/>
          <w:szCs w:val="24"/>
        </w:rPr>
        <w:t>Employment by Part-time/Full-time S</w:t>
      </w:r>
      <w:r w:rsidRPr="00EE7BFD">
        <w:rPr>
          <w:rFonts w:ascii="Times New Roman" w:hAnsi="Times New Roman" w:cs="Times New Roman"/>
          <w:b/>
          <w:bCs/>
          <w:iCs/>
          <w:sz w:val="24"/>
          <w:szCs w:val="24"/>
        </w:rPr>
        <w:t xml:space="preserve">tatus by </w:t>
      </w:r>
      <w:r w:rsidR="00253F68">
        <w:rPr>
          <w:rFonts w:ascii="Times New Roman" w:hAnsi="Times New Roman" w:cs="Times New Roman"/>
          <w:b/>
          <w:bCs/>
          <w:iCs/>
          <w:sz w:val="24"/>
          <w:szCs w:val="24"/>
        </w:rPr>
        <w:t>C</w:t>
      </w:r>
      <w:r w:rsidRPr="00EE7BFD">
        <w:rPr>
          <w:rFonts w:ascii="Times New Roman" w:hAnsi="Times New Roman" w:cs="Times New Roman"/>
          <w:b/>
          <w:bCs/>
          <w:iCs/>
          <w:sz w:val="24"/>
          <w:szCs w:val="24"/>
        </w:rPr>
        <w:t>ohort</w:t>
      </w:r>
    </w:p>
    <w:p w:rsidR="00A5562D" w:rsidRDefault="00EB46F5" w:rsidP="00BC1B69">
      <w:pPr>
        <w:tabs>
          <w:tab w:val="left" w:pos="426"/>
        </w:tabs>
        <w:spacing w:after="0" w:line="288" w:lineRule="auto"/>
        <w:jc w:val="both"/>
        <w:rPr>
          <w:rFonts w:ascii="Times New Roman" w:hAnsi="Times New Roman" w:cs="Times New Roman"/>
          <w:sz w:val="24"/>
          <w:szCs w:val="24"/>
        </w:rPr>
      </w:pPr>
      <w:r w:rsidRPr="00EB46F5">
        <w:rPr>
          <w:noProof/>
          <w:lang w:eastAsia="en-NZ"/>
        </w:rPr>
        <w:drawing>
          <wp:inline distT="0" distB="0" distL="0" distR="0">
            <wp:extent cx="5731510" cy="37407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rsidR="00A840F0" w:rsidRDefault="00A840F0" w:rsidP="00A840F0">
      <w:pPr>
        <w:tabs>
          <w:tab w:val="left" w:pos="426"/>
        </w:tabs>
        <w:spacing w:after="0" w:line="288" w:lineRule="auto"/>
        <w:ind w:firstLine="720"/>
        <w:jc w:val="both"/>
        <w:rPr>
          <w:rFonts w:ascii="Times New Roman" w:hAnsi="Times New Roman" w:cs="Times New Roman"/>
          <w:sz w:val="24"/>
          <w:szCs w:val="24"/>
        </w:rPr>
      </w:pPr>
    </w:p>
    <w:p w:rsidR="00A840F0" w:rsidRDefault="00A840F0" w:rsidP="00A840F0">
      <w:pPr>
        <w:tabs>
          <w:tab w:val="left" w:pos="426"/>
        </w:tabs>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The trends are similar for both men and women (see Appendix Figures 11 and 12), although there appears to have been a slight trend towards more full-time employment among successive female cohorts since those born in 1941-1946. Again, the robustness of this trend will not be known until further data become available, but it may reflect a generational difference in women’s work preferences.</w:t>
      </w:r>
    </w:p>
    <w:p w:rsidR="0027042D" w:rsidRDefault="0027042D" w:rsidP="00BC1B69">
      <w:pPr>
        <w:tabs>
          <w:tab w:val="left" w:pos="426"/>
        </w:tabs>
        <w:spacing w:after="0" w:line="288" w:lineRule="auto"/>
        <w:jc w:val="both"/>
        <w:rPr>
          <w:rFonts w:ascii="Times New Roman" w:hAnsi="Times New Roman" w:cs="Times New Roman"/>
          <w:sz w:val="24"/>
          <w:szCs w:val="24"/>
        </w:rPr>
      </w:pPr>
    </w:p>
    <w:p w:rsidR="00773CB9" w:rsidRPr="00671718" w:rsidRDefault="00C22540" w:rsidP="00BC1B69">
      <w:pPr>
        <w:pStyle w:val="Heading2"/>
      </w:pPr>
      <w:r w:rsidRPr="00671718">
        <w:t>Conclusion</w:t>
      </w:r>
      <w:r w:rsidR="00671718">
        <w:t>s</w:t>
      </w:r>
    </w:p>
    <w:p w:rsidR="00A731BE" w:rsidRDefault="00A731BE"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An understanding of labour force trends among older New Zealanders is crucial, given the overall ageing of the New Zealand population and especially the increasing size of the older population relative to those of prime working age. Census data from 1991 to 2013 demonstrates that labour force participation is highest among the young old, but is also substantial among the oldest age groups. Full-time employment is substantial among the youngest old, with part-time employment more prevalent among the oldest age groups. Over the period 1991 to 2013 the size of the labour force of older people has grown substantially, and the labour force participation rate among older people has also grown, while the proportion of older workers in full-time employment has grown between 1996 and 2013. Part of the increase in the older labour force is due to an increase in the size of successive age cohorts, but generational differences in labour force participation rates are also significant. However, generational differences do not appear to affect the choice between part-time and full-time employment to the same extent, with the relative size of successive cohorts explaining much of the change in the proportion of full-time employment among older workers.</w:t>
      </w:r>
    </w:p>
    <w:bookmarkEnd w:id="1"/>
    <w:p w:rsidR="00616B7A" w:rsidRDefault="00616B7A" w:rsidP="00BC1B69">
      <w:pPr>
        <w:tabs>
          <w:tab w:val="left" w:pos="426"/>
        </w:tabs>
        <w:spacing w:after="0" w:line="288" w:lineRule="auto"/>
        <w:rPr>
          <w:rFonts w:asciiTheme="majorBidi" w:eastAsiaTheme="majorEastAsia" w:hAnsiTheme="majorBidi" w:cstheme="majorBidi"/>
          <w:b/>
          <w:bCs/>
          <w:sz w:val="30"/>
          <w:szCs w:val="30"/>
        </w:rPr>
      </w:pPr>
    </w:p>
    <w:p w:rsidR="00B87AB1" w:rsidRPr="00671718" w:rsidRDefault="00B87AB1" w:rsidP="00BC1B69">
      <w:pPr>
        <w:pStyle w:val="Heading1"/>
        <w:tabs>
          <w:tab w:val="left" w:pos="426"/>
        </w:tabs>
        <w:spacing w:before="0" w:line="288" w:lineRule="auto"/>
        <w:jc w:val="both"/>
        <w:rPr>
          <w:rFonts w:asciiTheme="majorBidi" w:hAnsiTheme="majorBidi"/>
          <w:color w:val="auto"/>
          <w:sz w:val="24"/>
          <w:szCs w:val="24"/>
        </w:rPr>
      </w:pPr>
      <w:bookmarkStart w:id="2" w:name="_Toc320189413"/>
      <w:r w:rsidRPr="00671718">
        <w:rPr>
          <w:rFonts w:asciiTheme="majorBidi" w:hAnsiTheme="majorBidi"/>
          <w:color w:val="auto"/>
          <w:sz w:val="24"/>
          <w:szCs w:val="24"/>
        </w:rPr>
        <w:t>Reference</w:t>
      </w:r>
      <w:bookmarkEnd w:id="2"/>
      <w:r w:rsidR="00FC21A1" w:rsidRPr="00671718">
        <w:rPr>
          <w:rFonts w:asciiTheme="majorBidi" w:hAnsiTheme="majorBidi"/>
          <w:color w:val="auto"/>
          <w:sz w:val="24"/>
          <w:szCs w:val="24"/>
        </w:rPr>
        <w:t>s</w:t>
      </w:r>
    </w:p>
    <w:p w:rsidR="00A07C8B" w:rsidRPr="00671718" w:rsidRDefault="00A07C8B"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 xml:space="preserve">Bascand, G. (2012). </w:t>
      </w:r>
      <w:r w:rsidRPr="00671718">
        <w:rPr>
          <w:rFonts w:asciiTheme="majorBidi" w:hAnsiTheme="majorBidi" w:cstheme="majorBidi"/>
          <w:i/>
          <w:noProof/>
          <w:lang w:val="en-US"/>
        </w:rPr>
        <w:t>Planning for the future: Structural change in New Zealand's population, labour force and productivity</w:t>
      </w:r>
      <w:r w:rsidRPr="00671718">
        <w:rPr>
          <w:rFonts w:asciiTheme="majorBidi" w:hAnsiTheme="majorBidi" w:cstheme="majorBidi"/>
          <w:noProof/>
          <w:lang w:val="en-US"/>
        </w:rPr>
        <w:t>. Wellington: Statistics New Zealand.</w:t>
      </w:r>
    </w:p>
    <w:p w:rsidR="00A07C8B" w:rsidRPr="00671718" w:rsidRDefault="00A07C8B"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 xml:space="preserve">Cameron, </w:t>
      </w:r>
      <w:r w:rsidR="00ED5824">
        <w:rPr>
          <w:rFonts w:asciiTheme="majorBidi" w:hAnsiTheme="majorBidi" w:cstheme="majorBidi"/>
          <w:noProof/>
          <w:lang w:val="en-US"/>
        </w:rPr>
        <w:t>M.P., Barrett, P., Cochrane, W.</w:t>
      </w:r>
      <w:r w:rsidRPr="00671718">
        <w:rPr>
          <w:rFonts w:asciiTheme="majorBidi" w:hAnsiTheme="majorBidi" w:cstheme="majorBidi"/>
          <w:noProof/>
          <w:lang w:val="en-US"/>
        </w:rPr>
        <w:t xml:space="preserve"> and McNeill, K. (2010). Agricultural change and social sustainability in rural New Zealand, </w:t>
      </w:r>
      <w:r w:rsidRPr="00671718">
        <w:rPr>
          <w:rFonts w:asciiTheme="majorBidi" w:hAnsiTheme="majorBidi" w:cstheme="majorBidi"/>
          <w:i/>
          <w:iCs/>
          <w:noProof/>
          <w:lang w:val="en-US"/>
        </w:rPr>
        <w:t xml:space="preserve">International Journal of Environmental, Cultural, Economic and Social Sustainability </w:t>
      </w:r>
      <w:r w:rsidRPr="00671718">
        <w:rPr>
          <w:rFonts w:asciiTheme="majorBidi" w:hAnsiTheme="majorBidi" w:cstheme="majorBidi"/>
          <w:noProof/>
          <w:lang w:val="en-US"/>
        </w:rPr>
        <w:t>6(3), 77-91.</w:t>
      </w:r>
    </w:p>
    <w:p w:rsidR="001F1121" w:rsidRPr="00671718" w:rsidRDefault="00A07C8B"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Davey, J. (2008</w:t>
      </w:r>
      <w:r w:rsidR="001F1121" w:rsidRPr="00671718">
        <w:rPr>
          <w:rFonts w:asciiTheme="majorBidi" w:hAnsiTheme="majorBidi" w:cstheme="majorBidi"/>
          <w:noProof/>
          <w:lang w:val="en-US"/>
        </w:rPr>
        <w:t>) Workforce ageing: An issue for employers. IPS WP 08/04: http://ips.ac.nz/publications/publications/show/222</w:t>
      </w:r>
    </w:p>
    <w:p w:rsidR="00A731BE" w:rsidRPr="00671718" w:rsidRDefault="00A731BE" w:rsidP="000F15E0">
      <w:pPr>
        <w:pStyle w:val="Bibliography"/>
        <w:tabs>
          <w:tab w:val="left" w:pos="426"/>
        </w:tabs>
        <w:spacing w:after="100" w:line="240" w:lineRule="auto"/>
        <w:ind w:left="425" w:hanging="425"/>
        <w:jc w:val="both"/>
        <w:rPr>
          <w:rFonts w:asciiTheme="majorBidi" w:hAnsiTheme="majorBidi" w:cstheme="majorBidi"/>
          <w:noProof/>
        </w:rPr>
      </w:pPr>
      <w:r w:rsidRPr="00671718">
        <w:rPr>
          <w:rFonts w:asciiTheme="majorBidi" w:hAnsiTheme="majorBidi" w:cstheme="majorBidi"/>
          <w:noProof/>
        </w:rPr>
        <w:t xml:space="preserve">Hurnard, R. (2005). The effect of New Zealand Superannuation eligibility age on the labour force participation of older people. </w:t>
      </w:r>
      <w:r w:rsidRPr="00671718">
        <w:rPr>
          <w:rStyle w:val="SubtleReference"/>
          <w:i/>
          <w:iCs/>
          <w:sz w:val="22"/>
          <w:szCs w:val="22"/>
        </w:rPr>
        <w:t>New Zealand Treasury Working Paper 05/09</w:t>
      </w:r>
      <w:r w:rsidRPr="00671718">
        <w:rPr>
          <w:rStyle w:val="SubtleReference"/>
          <w:sz w:val="22"/>
          <w:szCs w:val="22"/>
        </w:rPr>
        <w:t>. Wellington: New Zealand Treasury</w:t>
      </w:r>
      <w:r w:rsidRPr="00671718">
        <w:rPr>
          <w:rFonts w:asciiTheme="majorBidi" w:hAnsiTheme="majorBidi" w:cstheme="majorBidi"/>
          <w:noProof/>
        </w:rPr>
        <w:t>.</w:t>
      </w:r>
    </w:p>
    <w:p w:rsidR="00A07C8B" w:rsidRPr="00671718" w:rsidRDefault="00A07C8B"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Jackson, N. (2013). Demography of New Zealand's dairy farming industry 1996-2006,</w:t>
      </w:r>
      <w:r w:rsidRPr="00671718">
        <w:rPr>
          <w:rFonts w:asciiTheme="majorBidi" w:hAnsiTheme="majorBidi" w:cstheme="majorBidi"/>
          <w:i/>
          <w:iCs/>
          <w:noProof/>
          <w:lang w:val="en-US"/>
        </w:rPr>
        <w:t xml:space="preserve"> paper presented at the Population Association of New Zealand conference</w:t>
      </w:r>
      <w:r w:rsidRPr="00671718">
        <w:rPr>
          <w:rFonts w:asciiTheme="majorBidi" w:hAnsiTheme="majorBidi" w:cstheme="majorBidi"/>
          <w:noProof/>
          <w:lang w:val="en-US"/>
        </w:rPr>
        <w:t>, Wellington, 27-28 June.</w:t>
      </w:r>
    </w:p>
    <w:p w:rsidR="00A07C8B" w:rsidRPr="00671718" w:rsidRDefault="00ED5824" w:rsidP="000F15E0">
      <w:pPr>
        <w:pStyle w:val="Bibliography"/>
        <w:tabs>
          <w:tab w:val="left" w:pos="426"/>
        </w:tabs>
        <w:spacing w:after="100" w:line="240" w:lineRule="auto"/>
        <w:ind w:left="425" w:hanging="425"/>
        <w:jc w:val="both"/>
        <w:rPr>
          <w:rFonts w:asciiTheme="majorBidi" w:hAnsiTheme="majorBidi" w:cstheme="majorBidi"/>
          <w:noProof/>
        </w:rPr>
      </w:pPr>
      <w:r>
        <w:rPr>
          <w:rFonts w:asciiTheme="majorBidi" w:hAnsiTheme="majorBidi" w:cstheme="majorBidi"/>
          <w:noProof/>
        </w:rPr>
        <w:t xml:space="preserve">Jackson, N., Cochrane, B. </w:t>
      </w:r>
      <w:r w:rsidR="00A07C8B" w:rsidRPr="00671718">
        <w:rPr>
          <w:rFonts w:asciiTheme="majorBidi" w:hAnsiTheme="majorBidi" w:cstheme="majorBidi"/>
          <w:noProof/>
        </w:rPr>
        <w:t xml:space="preserve">and McMillan, R. (2013). </w:t>
      </w:r>
      <w:r w:rsidR="00A07C8B" w:rsidRPr="00671718">
        <w:rPr>
          <w:rFonts w:asciiTheme="majorBidi" w:hAnsiTheme="majorBidi" w:cstheme="majorBidi"/>
          <w:i/>
          <w:noProof/>
        </w:rPr>
        <w:t>Workforce participation of older workers as an element of New Zealand’s Retirement Income Framework: A Review of Existing Knowledge and Data</w:t>
      </w:r>
      <w:r w:rsidR="00A07C8B" w:rsidRPr="00671718">
        <w:rPr>
          <w:rFonts w:asciiTheme="majorBidi" w:hAnsiTheme="majorBidi" w:cstheme="majorBidi"/>
          <w:noProof/>
        </w:rPr>
        <w:t>. Hamilton: National Institute of Demographic and Economic Analysis, University of Waikato.</w:t>
      </w:r>
    </w:p>
    <w:p w:rsidR="00A07C8B" w:rsidRPr="00671718" w:rsidRDefault="00A07C8B"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 xml:space="preserve">New Zealand Treasury. (2013). </w:t>
      </w:r>
      <w:r w:rsidRPr="00671718">
        <w:rPr>
          <w:rFonts w:asciiTheme="majorBidi" w:hAnsiTheme="majorBidi" w:cstheme="majorBidi"/>
          <w:i/>
          <w:iCs/>
          <w:noProof/>
          <w:lang w:val="en-US"/>
        </w:rPr>
        <w:t>Affording Our Future: Statement on New Zealand’s Long-term Fiscal Position</w:t>
      </w:r>
      <w:r w:rsidRPr="00671718">
        <w:rPr>
          <w:rFonts w:asciiTheme="majorBidi" w:hAnsiTheme="majorBidi" w:cstheme="majorBidi"/>
          <w:noProof/>
          <w:lang w:val="en-US"/>
        </w:rPr>
        <w:t>. Wellington: New Zealand Treasury.</w:t>
      </w:r>
    </w:p>
    <w:p w:rsidR="00A840F0" w:rsidRDefault="00A840F0"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A840F0">
        <w:rPr>
          <w:rFonts w:asciiTheme="majorBidi" w:hAnsiTheme="majorBidi" w:cstheme="majorBidi"/>
          <w:noProof/>
          <w:lang w:val="en-US"/>
        </w:rPr>
        <w:lastRenderedPageBreak/>
        <w:t xml:space="preserve">Preston, D. (2008). </w:t>
      </w:r>
      <w:r w:rsidRPr="00A840F0">
        <w:rPr>
          <w:rFonts w:asciiTheme="majorBidi" w:hAnsiTheme="majorBidi" w:cstheme="majorBidi"/>
          <w:i/>
          <w:noProof/>
          <w:lang w:val="en-US"/>
        </w:rPr>
        <w:t>Retirement Income in New Zealand: The Historical Context</w:t>
      </w:r>
      <w:r w:rsidRPr="00A840F0">
        <w:rPr>
          <w:rFonts w:asciiTheme="majorBidi" w:hAnsiTheme="majorBidi" w:cstheme="majorBidi"/>
          <w:noProof/>
          <w:lang w:val="en-US"/>
        </w:rPr>
        <w:t>. Wellington: Retirement Commission.</w:t>
      </w:r>
    </w:p>
    <w:p w:rsidR="001F1121" w:rsidRPr="00671718" w:rsidRDefault="001F1121"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 xml:space="preserve">Robson, W.B.P. (2001). </w:t>
      </w:r>
      <w:r w:rsidRPr="00671718">
        <w:rPr>
          <w:rFonts w:asciiTheme="majorBidi" w:hAnsiTheme="majorBidi" w:cstheme="majorBidi"/>
          <w:i/>
          <w:iCs/>
          <w:noProof/>
          <w:lang w:val="en-US"/>
        </w:rPr>
        <w:t>Aging populations and the workforce: Challenges for employers</w:t>
      </w:r>
      <w:r w:rsidRPr="00671718">
        <w:rPr>
          <w:rFonts w:asciiTheme="majorBidi" w:hAnsiTheme="majorBidi" w:cstheme="majorBidi"/>
          <w:noProof/>
          <w:lang w:val="en-US"/>
        </w:rPr>
        <w:t>. Winnipeg: British-North American Committee.</w:t>
      </w:r>
    </w:p>
    <w:p w:rsidR="00A9434E" w:rsidRPr="00671718" w:rsidRDefault="004D090B" w:rsidP="000F15E0">
      <w:pPr>
        <w:pStyle w:val="Bibliography"/>
        <w:tabs>
          <w:tab w:val="left" w:pos="426"/>
        </w:tabs>
        <w:spacing w:after="100" w:line="240" w:lineRule="auto"/>
        <w:ind w:left="425" w:hanging="425"/>
        <w:jc w:val="both"/>
        <w:rPr>
          <w:rFonts w:asciiTheme="majorBidi" w:hAnsiTheme="majorBidi" w:cstheme="majorBidi"/>
          <w:i/>
          <w:noProof/>
          <w:lang w:val="en-US"/>
        </w:rPr>
      </w:pPr>
      <w:r w:rsidRPr="00671718">
        <w:rPr>
          <w:rFonts w:asciiTheme="majorBidi" w:hAnsiTheme="majorBidi" w:cstheme="majorBidi"/>
          <w:noProof/>
          <w:lang w:val="en-US"/>
        </w:rPr>
        <w:t>Statistics New Zealand</w:t>
      </w:r>
      <w:r w:rsidR="00A9434E" w:rsidRPr="00671718">
        <w:rPr>
          <w:rFonts w:asciiTheme="majorBidi" w:hAnsiTheme="majorBidi" w:cstheme="majorBidi"/>
          <w:noProof/>
          <w:lang w:val="en-US"/>
        </w:rPr>
        <w:t>. (</w:t>
      </w:r>
      <w:r w:rsidRPr="00671718">
        <w:rPr>
          <w:rFonts w:asciiTheme="majorBidi" w:hAnsiTheme="majorBidi" w:cstheme="majorBidi"/>
          <w:noProof/>
          <w:lang w:val="en-US"/>
        </w:rPr>
        <w:t>2006</w:t>
      </w:r>
      <w:r w:rsidR="00A9434E" w:rsidRPr="00671718">
        <w:rPr>
          <w:rFonts w:asciiTheme="majorBidi" w:hAnsiTheme="majorBidi" w:cstheme="majorBidi"/>
          <w:noProof/>
          <w:lang w:val="en-US"/>
        </w:rPr>
        <w:t xml:space="preserve">). </w:t>
      </w:r>
      <w:r w:rsidRPr="00671718">
        <w:rPr>
          <w:rFonts w:asciiTheme="majorBidi" w:hAnsiTheme="majorBidi" w:cstheme="majorBidi"/>
          <w:i/>
          <w:noProof/>
          <w:lang w:val="en-US"/>
        </w:rPr>
        <w:t>Demographic Aspects of New Zealand’s Ageing Population</w:t>
      </w:r>
      <w:r w:rsidR="00A9434E" w:rsidRPr="00671718">
        <w:rPr>
          <w:rFonts w:asciiTheme="majorBidi" w:hAnsiTheme="majorBidi" w:cstheme="majorBidi"/>
          <w:i/>
          <w:noProof/>
          <w:lang w:val="en-US"/>
        </w:rPr>
        <w:t xml:space="preserve">. </w:t>
      </w:r>
      <w:r w:rsidRPr="00671718">
        <w:rPr>
          <w:rFonts w:asciiTheme="majorBidi" w:hAnsiTheme="majorBidi" w:cstheme="majorBidi"/>
          <w:noProof/>
          <w:lang w:val="en-US"/>
        </w:rPr>
        <w:t>Wellington: Statistics New Zealand</w:t>
      </w:r>
      <w:r w:rsidR="00A9434E" w:rsidRPr="00671718">
        <w:rPr>
          <w:rFonts w:asciiTheme="majorBidi" w:hAnsiTheme="majorBidi" w:cstheme="majorBidi"/>
          <w:noProof/>
          <w:lang w:val="en-US"/>
        </w:rPr>
        <w:t>.</w:t>
      </w:r>
    </w:p>
    <w:p w:rsidR="00A07C8B" w:rsidRPr="00671718" w:rsidRDefault="00A07C8B" w:rsidP="000F15E0">
      <w:pPr>
        <w:pStyle w:val="Bibliography"/>
        <w:tabs>
          <w:tab w:val="left" w:pos="426"/>
        </w:tabs>
        <w:spacing w:after="100" w:line="240" w:lineRule="auto"/>
        <w:ind w:left="425" w:hanging="425"/>
        <w:jc w:val="both"/>
        <w:rPr>
          <w:rFonts w:asciiTheme="majorBidi" w:hAnsiTheme="majorBidi" w:cstheme="majorBidi"/>
          <w:noProof/>
          <w:lang w:val="en-US"/>
        </w:rPr>
      </w:pPr>
      <w:r w:rsidRPr="00671718">
        <w:rPr>
          <w:rFonts w:asciiTheme="majorBidi" w:hAnsiTheme="majorBidi" w:cstheme="majorBidi"/>
          <w:noProof/>
          <w:lang w:val="en-US"/>
        </w:rPr>
        <w:t>Wilson, P., and Rodway, P. (2006). Ageing and the long-term fiscal position, in Boston, J., and Davey J.A</w:t>
      </w:r>
      <w:r w:rsidR="00AB368E" w:rsidRPr="00671718">
        <w:rPr>
          <w:rFonts w:asciiTheme="majorBidi" w:hAnsiTheme="majorBidi" w:cstheme="majorBidi"/>
          <w:noProof/>
          <w:lang w:val="en-US"/>
        </w:rPr>
        <w:t>., (E</w:t>
      </w:r>
      <w:r w:rsidRPr="00671718">
        <w:rPr>
          <w:rFonts w:asciiTheme="majorBidi" w:hAnsiTheme="majorBidi" w:cstheme="majorBidi"/>
          <w:noProof/>
          <w:lang w:val="en-US"/>
        </w:rPr>
        <w:t xml:space="preserve">ds.), </w:t>
      </w:r>
      <w:r w:rsidRPr="00671718">
        <w:rPr>
          <w:rFonts w:asciiTheme="majorBidi" w:hAnsiTheme="majorBidi" w:cstheme="majorBidi"/>
          <w:i/>
          <w:iCs/>
          <w:noProof/>
          <w:lang w:val="en-US"/>
        </w:rPr>
        <w:t>Implications of Population Ageing – Opportunities and Risks</w:t>
      </w:r>
      <w:r w:rsidRPr="00671718">
        <w:rPr>
          <w:rFonts w:asciiTheme="majorBidi" w:hAnsiTheme="majorBidi" w:cstheme="majorBidi"/>
          <w:noProof/>
          <w:lang w:val="en-US"/>
        </w:rPr>
        <w:t>, pp. 99-128. Wellington: Institute of Policy Studies, Victoria University of Wellington.</w:t>
      </w:r>
    </w:p>
    <w:p w:rsidR="004E7937" w:rsidRDefault="004E7937" w:rsidP="00BC1B69">
      <w:pPr>
        <w:pStyle w:val="Bibliography"/>
        <w:tabs>
          <w:tab w:val="left" w:pos="426"/>
        </w:tabs>
        <w:spacing w:after="0" w:line="288" w:lineRule="auto"/>
        <w:ind w:left="720" w:hanging="720"/>
        <w:rPr>
          <w:rFonts w:asciiTheme="majorBidi" w:hAnsiTheme="majorBidi" w:cstheme="majorBidi"/>
          <w:noProof/>
          <w:sz w:val="24"/>
          <w:szCs w:val="24"/>
          <w:lang w:val="en-US"/>
        </w:rPr>
      </w:pPr>
    </w:p>
    <w:p w:rsidR="00F57589" w:rsidRPr="000F15E0" w:rsidRDefault="00F57589" w:rsidP="000F15E0">
      <w:pPr>
        <w:tabs>
          <w:tab w:val="left" w:pos="426"/>
        </w:tabs>
        <w:spacing w:after="0" w:line="288" w:lineRule="auto"/>
        <w:jc w:val="center"/>
        <w:rPr>
          <w:rFonts w:asciiTheme="majorBidi" w:hAnsiTheme="majorBidi"/>
          <w:b/>
          <w:sz w:val="24"/>
          <w:szCs w:val="24"/>
        </w:rPr>
      </w:pPr>
      <w:r>
        <w:rPr>
          <w:lang w:val="en-US"/>
        </w:rPr>
        <w:br w:type="page"/>
      </w:r>
      <w:r w:rsidR="000F15E0">
        <w:rPr>
          <w:rFonts w:asciiTheme="majorBidi" w:hAnsiTheme="majorBidi"/>
          <w:b/>
          <w:sz w:val="24"/>
          <w:szCs w:val="24"/>
        </w:rPr>
        <w:lastRenderedPageBreak/>
        <w:t>Appendices</w:t>
      </w:r>
    </w:p>
    <w:p w:rsidR="00652A60" w:rsidRDefault="00652A60" w:rsidP="00BC1B69">
      <w:pPr>
        <w:tabs>
          <w:tab w:val="left" w:pos="426"/>
        </w:tabs>
        <w:spacing w:after="0" w:line="288" w:lineRule="auto"/>
        <w:jc w:val="center"/>
        <w:rPr>
          <w:rFonts w:ascii="Times New Roman" w:hAnsi="Times New Roman" w:cs="Times New Roman"/>
          <w:b/>
          <w:bCs/>
          <w:iCs/>
        </w:rPr>
      </w:pPr>
    </w:p>
    <w:p w:rsidR="00F57589" w:rsidRDefault="00F57589"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t xml:space="preserve">Appendix Figure 1: </w:t>
      </w:r>
      <w:r w:rsidR="00253F68" w:rsidRPr="00A92DFB">
        <w:rPr>
          <w:rFonts w:ascii="Times New Roman" w:hAnsi="Times New Roman" w:cs="Times New Roman"/>
          <w:b/>
          <w:bCs/>
          <w:iCs/>
        </w:rPr>
        <w:t>Employment by Part-time/Full-time Status and Age for W</w:t>
      </w:r>
      <w:r w:rsidRPr="00A92DFB">
        <w:rPr>
          <w:rFonts w:ascii="Times New Roman" w:hAnsi="Times New Roman" w:cs="Times New Roman"/>
          <w:b/>
          <w:bCs/>
          <w:iCs/>
        </w:rPr>
        <w:t>omen, 2013</w:t>
      </w:r>
    </w:p>
    <w:p w:rsidR="00A92DFB" w:rsidRPr="00652A60" w:rsidRDefault="00A92DFB" w:rsidP="00BC1B69">
      <w:pPr>
        <w:tabs>
          <w:tab w:val="left" w:pos="426"/>
        </w:tabs>
        <w:spacing w:after="0" w:line="288" w:lineRule="auto"/>
        <w:jc w:val="center"/>
        <w:rPr>
          <w:rFonts w:ascii="Times New Roman" w:hAnsi="Times New Roman" w:cs="Times New Roman"/>
          <w:b/>
          <w:bCs/>
          <w:iCs/>
          <w:sz w:val="10"/>
          <w:szCs w:val="10"/>
        </w:rPr>
      </w:pPr>
    </w:p>
    <w:p w:rsidR="00F57589" w:rsidRDefault="00977D84" w:rsidP="00BC1B69">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noProof/>
          <w:sz w:val="24"/>
          <w:szCs w:val="24"/>
          <w:lang w:eastAsia="en-NZ"/>
        </w:rPr>
        <w:drawing>
          <wp:inline distT="0" distB="0" distL="0" distR="0">
            <wp:extent cx="5734050" cy="3752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050" cy="3752850"/>
                    </a:xfrm>
                    <a:prstGeom prst="rect">
                      <a:avLst/>
                    </a:prstGeom>
                    <a:noFill/>
                    <a:ln>
                      <a:noFill/>
                    </a:ln>
                  </pic:spPr>
                </pic:pic>
              </a:graphicData>
            </a:graphic>
          </wp:inline>
        </w:drawing>
      </w:r>
    </w:p>
    <w:p w:rsidR="00A92DFB" w:rsidRDefault="00A92DFB" w:rsidP="00BC1B69">
      <w:pPr>
        <w:tabs>
          <w:tab w:val="left" w:pos="426"/>
        </w:tabs>
        <w:spacing w:after="0" w:line="288" w:lineRule="auto"/>
        <w:jc w:val="both"/>
        <w:rPr>
          <w:rFonts w:ascii="Times New Roman" w:hAnsi="Times New Roman" w:cs="Times New Roman"/>
          <w:sz w:val="24"/>
          <w:szCs w:val="24"/>
        </w:rPr>
      </w:pPr>
    </w:p>
    <w:p w:rsidR="00F57589" w:rsidRPr="00ED5824" w:rsidRDefault="00F57589" w:rsidP="00BC1B69">
      <w:pPr>
        <w:tabs>
          <w:tab w:val="left" w:pos="426"/>
        </w:tabs>
        <w:spacing w:after="0" w:line="288" w:lineRule="auto"/>
        <w:jc w:val="center"/>
        <w:rPr>
          <w:rFonts w:ascii="Times New Roman" w:hAnsi="Times New Roman" w:cs="Times New Roman"/>
          <w:b/>
          <w:bCs/>
          <w:iCs/>
        </w:rPr>
      </w:pPr>
      <w:r w:rsidRPr="00ED5824">
        <w:rPr>
          <w:rFonts w:ascii="Times New Roman" w:hAnsi="Times New Roman" w:cs="Times New Roman"/>
          <w:b/>
          <w:bCs/>
          <w:iCs/>
        </w:rPr>
        <w:t xml:space="preserve">Appendix Figure 2: </w:t>
      </w:r>
      <w:r w:rsidR="00253F68" w:rsidRPr="00ED5824">
        <w:rPr>
          <w:rFonts w:ascii="Times New Roman" w:hAnsi="Times New Roman" w:cs="Times New Roman"/>
          <w:b/>
          <w:bCs/>
          <w:iCs/>
        </w:rPr>
        <w:t>Employment by Part-time/F</w:t>
      </w:r>
      <w:r w:rsidRPr="00ED5824">
        <w:rPr>
          <w:rFonts w:ascii="Times New Roman" w:hAnsi="Times New Roman" w:cs="Times New Roman"/>
          <w:b/>
          <w:bCs/>
          <w:iCs/>
        </w:rPr>
        <w:t xml:space="preserve">ull-time </w:t>
      </w:r>
      <w:r w:rsidR="00253F68" w:rsidRPr="00ED5824">
        <w:rPr>
          <w:rFonts w:ascii="Times New Roman" w:hAnsi="Times New Roman" w:cs="Times New Roman"/>
          <w:b/>
          <w:bCs/>
          <w:iCs/>
        </w:rPr>
        <w:t>Status and Age for M</w:t>
      </w:r>
      <w:r w:rsidRPr="00ED5824">
        <w:rPr>
          <w:rFonts w:ascii="Times New Roman" w:hAnsi="Times New Roman" w:cs="Times New Roman"/>
          <w:b/>
          <w:bCs/>
          <w:iCs/>
        </w:rPr>
        <w:t>en, 2013</w:t>
      </w:r>
    </w:p>
    <w:p w:rsidR="00F57589" w:rsidRDefault="00F57589" w:rsidP="00BC1B69">
      <w:pPr>
        <w:tabs>
          <w:tab w:val="left" w:pos="426"/>
        </w:tabs>
        <w:spacing w:after="0" w:line="288" w:lineRule="auto"/>
        <w:jc w:val="both"/>
        <w:rPr>
          <w:rFonts w:ascii="Times New Roman" w:hAnsi="Times New Roman" w:cs="Times New Roman"/>
          <w:sz w:val="24"/>
          <w:szCs w:val="24"/>
        </w:rPr>
      </w:pPr>
      <w:r w:rsidRPr="00F57589">
        <w:rPr>
          <w:noProof/>
          <w:szCs w:val="24"/>
          <w:lang w:eastAsia="en-NZ"/>
        </w:rPr>
        <w:drawing>
          <wp:inline distT="0" distB="0" distL="0" distR="0">
            <wp:extent cx="5731510" cy="3752705"/>
            <wp:effectExtent l="19050" t="0" r="254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206EB2" w:rsidRDefault="00585675" w:rsidP="00BC1B69">
      <w:pPr>
        <w:tabs>
          <w:tab w:val="left" w:pos="426"/>
        </w:tabs>
        <w:spacing w:after="0" w:line="288" w:lineRule="auto"/>
        <w:jc w:val="center"/>
        <w:rPr>
          <w:rFonts w:ascii="Times New Roman" w:hAnsi="Times New Roman" w:cs="Times New Roman"/>
          <w:b/>
          <w:bCs/>
          <w:iCs/>
        </w:rPr>
      </w:pPr>
      <w:r w:rsidRPr="00585675">
        <w:rPr>
          <w:rFonts w:ascii="Times New Roman" w:hAnsi="Times New Roman" w:cs="Times New Roman"/>
          <w:b/>
          <w:bCs/>
          <w:iCs/>
          <w:sz w:val="2"/>
          <w:szCs w:val="2"/>
        </w:rPr>
        <w:lastRenderedPageBreak/>
        <w:br/>
      </w:r>
      <w:r w:rsidRPr="00585675">
        <w:rPr>
          <w:rFonts w:ascii="Times New Roman" w:hAnsi="Times New Roman" w:cs="Times New Roman"/>
          <w:b/>
          <w:bCs/>
          <w:iCs/>
          <w:sz w:val="4"/>
          <w:szCs w:val="4"/>
        </w:rPr>
        <w:br/>
      </w:r>
      <w:r w:rsidR="00206EB2" w:rsidRPr="00A92DFB">
        <w:rPr>
          <w:rFonts w:ascii="Times New Roman" w:hAnsi="Times New Roman" w:cs="Times New Roman"/>
          <w:b/>
          <w:bCs/>
          <w:iCs/>
        </w:rPr>
        <w:t xml:space="preserve">Appendix Figure 3: </w:t>
      </w:r>
      <w:r w:rsidR="00253F68" w:rsidRPr="00A92DFB">
        <w:rPr>
          <w:rFonts w:ascii="Times New Roman" w:hAnsi="Times New Roman" w:cs="Times New Roman"/>
          <w:b/>
          <w:bCs/>
          <w:iCs/>
        </w:rPr>
        <w:t>Female Industry Mix of Employment by Age G</w:t>
      </w:r>
      <w:r w:rsidR="00206EB2" w:rsidRPr="00A92DFB">
        <w:rPr>
          <w:rFonts w:ascii="Times New Roman" w:hAnsi="Times New Roman" w:cs="Times New Roman"/>
          <w:b/>
          <w:bCs/>
          <w:iCs/>
        </w:rPr>
        <w:t>roup, 2013</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206EB2" w:rsidRDefault="00206EB2" w:rsidP="00BC1B69">
      <w:pPr>
        <w:tabs>
          <w:tab w:val="left" w:pos="426"/>
        </w:tabs>
        <w:spacing w:after="0" w:line="288" w:lineRule="auto"/>
        <w:rPr>
          <w:lang w:val="en-US"/>
        </w:rPr>
      </w:pPr>
      <w:r w:rsidRPr="00E928E7">
        <w:rPr>
          <w:noProof/>
          <w:lang w:eastAsia="en-NZ"/>
        </w:rPr>
        <w:drawing>
          <wp:inline distT="0" distB="0" distL="0" distR="0">
            <wp:extent cx="5731510" cy="3752705"/>
            <wp:effectExtent l="19050" t="0" r="254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A92DFB" w:rsidRDefault="00A92DFB" w:rsidP="00BC1B69">
      <w:pPr>
        <w:tabs>
          <w:tab w:val="left" w:pos="426"/>
        </w:tabs>
        <w:spacing w:after="0" w:line="288" w:lineRule="auto"/>
        <w:rPr>
          <w:lang w:val="en-US"/>
        </w:rPr>
      </w:pPr>
    </w:p>
    <w:p w:rsidR="00A92DFB" w:rsidRDefault="00A92DFB" w:rsidP="00BC1B69">
      <w:pPr>
        <w:tabs>
          <w:tab w:val="left" w:pos="426"/>
        </w:tabs>
        <w:spacing w:after="0" w:line="288" w:lineRule="auto"/>
        <w:rPr>
          <w:lang w:val="en-US"/>
        </w:rPr>
      </w:pPr>
    </w:p>
    <w:p w:rsidR="00206EB2" w:rsidRPr="00ED5824" w:rsidRDefault="00206EB2" w:rsidP="00BC1B69">
      <w:pPr>
        <w:tabs>
          <w:tab w:val="left" w:pos="426"/>
        </w:tabs>
        <w:spacing w:after="0" w:line="288" w:lineRule="auto"/>
        <w:jc w:val="center"/>
        <w:rPr>
          <w:rFonts w:ascii="Times New Roman" w:hAnsi="Times New Roman" w:cs="Times New Roman"/>
          <w:b/>
          <w:bCs/>
          <w:iCs/>
        </w:rPr>
      </w:pPr>
      <w:r w:rsidRPr="00ED5824">
        <w:rPr>
          <w:rFonts w:ascii="Times New Roman" w:hAnsi="Times New Roman" w:cs="Times New Roman"/>
          <w:b/>
          <w:bCs/>
          <w:iCs/>
        </w:rPr>
        <w:t xml:space="preserve">Appendix Figure 4: </w:t>
      </w:r>
      <w:r w:rsidR="00253F68" w:rsidRPr="00ED5824">
        <w:rPr>
          <w:rFonts w:ascii="Times New Roman" w:hAnsi="Times New Roman" w:cs="Times New Roman"/>
          <w:b/>
          <w:bCs/>
          <w:iCs/>
        </w:rPr>
        <w:t>Male Industry Mix of Employment by Age G</w:t>
      </w:r>
      <w:r w:rsidRPr="00ED5824">
        <w:rPr>
          <w:rFonts w:ascii="Times New Roman" w:hAnsi="Times New Roman" w:cs="Times New Roman"/>
          <w:b/>
          <w:bCs/>
          <w:iCs/>
        </w:rPr>
        <w:t>roup, 2013</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206EB2" w:rsidRPr="00F57589" w:rsidRDefault="00206EB2" w:rsidP="00BC1B69">
      <w:pPr>
        <w:tabs>
          <w:tab w:val="left" w:pos="426"/>
        </w:tabs>
        <w:spacing w:after="0" w:line="288" w:lineRule="auto"/>
        <w:rPr>
          <w:lang w:val="en-US"/>
        </w:rPr>
      </w:pPr>
      <w:r w:rsidRPr="00E928E7">
        <w:rPr>
          <w:noProof/>
          <w:lang w:eastAsia="en-NZ"/>
        </w:rPr>
        <w:drawing>
          <wp:inline distT="0" distB="0" distL="0" distR="0">
            <wp:extent cx="5731510" cy="3752705"/>
            <wp:effectExtent l="19050" t="0" r="254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585675" w:rsidRDefault="00585675">
      <w:pPr>
        <w:rPr>
          <w:rFonts w:ascii="Times New Roman" w:hAnsi="Times New Roman" w:cs="Times New Roman"/>
          <w:b/>
          <w:bCs/>
          <w:iCs/>
        </w:rPr>
      </w:pPr>
      <w:r>
        <w:rPr>
          <w:rFonts w:ascii="Times New Roman" w:hAnsi="Times New Roman" w:cs="Times New Roman"/>
          <w:b/>
          <w:bCs/>
          <w:iCs/>
        </w:rPr>
        <w:br w:type="page"/>
      </w:r>
    </w:p>
    <w:p w:rsidR="002647D1" w:rsidRDefault="002647D1"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lastRenderedPageBreak/>
        <w:t xml:space="preserve">Appendix Figure </w:t>
      </w:r>
      <w:r w:rsidR="009D6075" w:rsidRPr="00A92DFB">
        <w:rPr>
          <w:rFonts w:ascii="Times New Roman" w:hAnsi="Times New Roman" w:cs="Times New Roman"/>
          <w:b/>
          <w:bCs/>
          <w:iCs/>
        </w:rPr>
        <w:t>5</w:t>
      </w:r>
      <w:r w:rsidR="00253F68" w:rsidRPr="00A92DFB">
        <w:rPr>
          <w:rFonts w:ascii="Times New Roman" w:hAnsi="Times New Roman" w:cs="Times New Roman"/>
          <w:b/>
          <w:bCs/>
          <w:iCs/>
        </w:rPr>
        <w:t>: Labour Force Participation Rate by A</w:t>
      </w:r>
      <w:r w:rsidRPr="00A92DFB">
        <w:rPr>
          <w:rFonts w:ascii="Times New Roman" w:hAnsi="Times New Roman" w:cs="Times New Roman"/>
          <w:b/>
          <w:bCs/>
          <w:iCs/>
        </w:rPr>
        <w:t>ge</w:t>
      </w:r>
      <w:r w:rsidR="00253F68" w:rsidRPr="00A92DFB">
        <w:rPr>
          <w:rFonts w:ascii="Times New Roman" w:hAnsi="Times New Roman" w:cs="Times New Roman"/>
          <w:b/>
          <w:bCs/>
          <w:iCs/>
        </w:rPr>
        <w:t xml:space="preserve"> for W</w:t>
      </w:r>
      <w:r w:rsidRPr="00A92DFB">
        <w:rPr>
          <w:rFonts w:ascii="Times New Roman" w:hAnsi="Times New Roman" w:cs="Times New Roman"/>
          <w:b/>
          <w:bCs/>
          <w:iCs/>
        </w:rPr>
        <w:t>omen, 1991-2013</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2647D1" w:rsidRDefault="002647D1" w:rsidP="00BC1B69">
      <w:pPr>
        <w:tabs>
          <w:tab w:val="left" w:pos="426"/>
        </w:tabs>
        <w:spacing w:after="0" w:line="288" w:lineRule="auto"/>
        <w:jc w:val="both"/>
        <w:rPr>
          <w:rFonts w:ascii="Times New Roman" w:hAnsi="Times New Roman" w:cs="Times New Roman"/>
          <w:sz w:val="24"/>
          <w:szCs w:val="24"/>
        </w:rPr>
      </w:pPr>
      <w:r w:rsidRPr="002647D1">
        <w:rPr>
          <w:noProof/>
          <w:szCs w:val="24"/>
          <w:lang w:eastAsia="en-NZ"/>
        </w:rPr>
        <w:drawing>
          <wp:inline distT="0" distB="0" distL="0" distR="0">
            <wp:extent cx="5731510" cy="3752705"/>
            <wp:effectExtent l="19050" t="0" r="254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A92DFB" w:rsidRDefault="00A92DFB" w:rsidP="00BC1B69">
      <w:pPr>
        <w:tabs>
          <w:tab w:val="left" w:pos="426"/>
        </w:tabs>
        <w:spacing w:after="0" w:line="288" w:lineRule="auto"/>
        <w:jc w:val="both"/>
        <w:rPr>
          <w:rFonts w:ascii="Times New Roman" w:hAnsi="Times New Roman" w:cs="Times New Roman"/>
          <w:sz w:val="24"/>
          <w:szCs w:val="24"/>
        </w:rPr>
      </w:pPr>
    </w:p>
    <w:p w:rsidR="00652A60" w:rsidRDefault="00652A60" w:rsidP="00BC1B69">
      <w:pPr>
        <w:tabs>
          <w:tab w:val="left" w:pos="426"/>
        </w:tabs>
        <w:spacing w:after="0" w:line="288" w:lineRule="auto"/>
        <w:jc w:val="both"/>
        <w:rPr>
          <w:rFonts w:ascii="Times New Roman" w:hAnsi="Times New Roman" w:cs="Times New Roman"/>
          <w:sz w:val="24"/>
          <w:szCs w:val="24"/>
        </w:rPr>
      </w:pPr>
    </w:p>
    <w:p w:rsidR="002647D1" w:rsidRDefault="002647D1"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t xml:space="preserve">Appendix Figure </w:t>
      </w:r>
      <w:r w:rsidR="009D6075" w:rsidRPr="00A92DFB">
        <w:rPr>
          <w:rFonts w:ascii="Times New Roman" w:hAnsi="Times New Roman" w:cs="Times New Roman"/>
          <w:b/>
          <w:bCs/>
          <w:iCs/>
        </w:rPr>
        <w:t>6</w:t>
      </w:r>
      <w:r w:rsidR="00253F68" w:rsidRPr="00A92DFB">
        <w:rPr>
          <w:rFonts w:ascii="Times New Roman" w:hAnsi="Times New Roman" w:cs="Times New Roman"/>
          <w:b/>
          <w:bCs/>
          <w:iCs/>
        </w:rPr>
        <w:t>: Labour F</w:t>
      </w:r>
      <w:r w:rsidRPr="00A92DFB">
        <w:rPr>
          <w:rFonts w:ascii="Times New Roman" w:hAnsi="Times New Roman" w:cs="Times New Roman"/>
          <w:b/>
          <w:bCs/>
          <w:iCs/>
        </w:rPr>
        <w:t xml:space="preserve">orce </w:t>
      </w:r>
      <w:r w:rsidR="00253F68" w:rsidRPr="00A92DFB">
        <w:rPr>
          <w:rFonts w:ascii="Times New Roman" w:hAnsi="Times New Roman" w:cs="Times New Roman"/>
          <w:b/>
          <w:bCs/>
          <w:iCs/>
        </w:rPr>
        <w:t>Participation Rate by A</w:t>
      </w:r>
      <w:r w:rsidRPr="00A92DFB">
        <w:rPr>
          <w:rFonts w:ascii="Times New Roman" w:hAnsi="Times New Roman" w:cs="Times New Roman"/>
          <w:b/>
          <w:bCs/>
          <w:iCs/>
        </w:rPr>
        <w:t>ge</w:t>
      </w:r>
      <w:r w:rsidR="00253F68" w:rsidRPr="00A92DFB">
        <w:rPr>
          <w:rFonts w:ascii="Times New Roman" w:hAnsi="Times New Roman" w:cs="Times New Roman"/>
          <w:b/>
          <w:bCs/>
          <w:iCs/>
        </w:rPr>
        <w:t xml:space="preserve"> for M</w:t>
      </w:r>
      <w:r w:rsidRPr="00A92DFB">
        <w:rPr>
          <w:rFonts w:ascii="Times New Roman" w:hAnsi="Times New Roman" w:cs="Times New Roman"/>
          <w:b/>
          <w:bCs/>
          <w:iCs/>
        </w:rPr>
        <w:t>en, 1991-2013</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2647D1" w:rsidRDefault="002647D1" w:rsidP="00BC1B69">
      <w:pPr>
        <w:tabs>
          <w:tab w:val="left" w:pos="426"/>
        </w:tabs>
        <w:spacing w:after="0" w:line="288" w:lineRule="auto"/>
        <w:jc w:val="both"/>
        <w:rPr>
          <w:rFonts w:ascii="Times New Roman" w:hAnsi="Times New Roman" w:cs="Times New Roman"/>
          <w:sz w:val="24"/>
          <w:szCs w:val="24"/>
        </w:rPr>
      </w:pPr>
      <w:r w:rsidRPr="002647D1">
        <w:rPr>
          <w:noProof/>
          <w:szCs w:val="24"/>
          <w:lang w:eastAsia="en-NZ"/>
        </w:rPr>
        <w:drawing>
          <wp:inline distT="0" distB="0" distL="0" distR="0">
            <wp:extent cx="5731510" cy="3752705"/>
            <wp:effectExtent l="19050" t="0" r="254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ED7BFF" w:rsidRDefault="00ED7BFF" w:rsidP="00BC1B69">
      <w:pPr>
        <w:tabs>
          <w:tab w:val="left" w:pos="426"/>
        </w:tabs>
        <w:spacing w:after="0" w:line="288" w:lineRule="auto"/>
        <w:rPr>
          <w:lang w:val="en-US"/>
        </w:rPr>
      </w:pPr>
      <w:r>
        <w:rPr>
          <w:lang w:val="en-US"/>
        </w:rPr>
        <w:br w:type="page"/>
      </w:r>
    </w:p>
    <w:p w:rsidR="00ED7BFF" w:rsidRDefault="00ED7BFF"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lastRenderedPageBreak/>
        <w:t xml:space="preserve">Appendix Figure </w:t>
      </w:r>
      <w:r w:rsidR="009D6075" w:rsidRPr="00A92DFB">
        <w:rPr>
          <w:rFonts w:ascii="Times New Roman" w:hAnsi="Times New Roman" w:cs="Times New Roman"/>
          <w:b/>
          <w:bCs/>
          <w:iCs/>
        </w:rPr>
        <w:t>7</w:t>
      </w:r>
      <w:r w:rsidR="00253F68" w:rsidRPr="00A92DFB">
        <w:rPr>
          <w:rFonts w:ascii="Times New Roman" w:hAnsi="Times New Roman" w:cs="Times New Roman"/>
          <w:b/>
          <w:bCs/>
          <w:iCs/>
        </w:rPr>
        <w:t>: Female Labour Force A</w:t>
      </w:r>
      <w:r w:rsidRPr="00A92DFB">
        <w:rPr>
          <w:rFonts w:ascii="Times New Roman" w:hAnsi="Times New Roman" w:cs="Times New Roman"/>
          <w:b/>
          <w:bCs/>
          <w:iCs/>
        </w:rPr>
        <w:t>ge</w:t>
      </w:r>
      <w:r w:rsidR="00253F68" w:rsidRPr="00A92DFB">
        <w:rPr>
          <w:rFonts w:ascii="Times New Roman" w:hAnsi="Times New Roman" w:cs="Times New Roman"/>
          <w:b/>
          <w:bCs/>
          <w:iCs/>
        </w:rPr>
        <w:t>d 65 Years and O</w:t>
      </w:r>
      <w:r w:rsidRPr="00A92DFB">
        <w:rPr>
          <w:rFonts w:ascii="Times New Roman" w:hAnsi="Times New Roman" w:cs="Times New Roman"/>
          <w:b/>
          <w:bCs/>
          <w:iCs/>
        </w:rPr>
        <w:t>ver, 1991-2013</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ED7BFF" w:rsidRDefault="00ED7BFF" w:rsidP="00BC1B69">
      <w:pPr>
        <w:tabs>
          <w:tab w:val="left" w:pos="426"/>
        </w:tabs>
        <w:spacing w:after="0" w:line="288" w:lineRule="auto"/>
        <w:jc w:val="both"/>
        <w:rPr>
          <w:rFonts w:ascii="Times New Roman" w:hAnsi="Times New Roman" w:cs="Times New Roman"/>
          <w:sz w:val="24"/>
          <w:szCs w:val="24"/>
        </w:rPr>
      </w:pPr>
      <w:r w:rsidRPr="00ED7BFF">
        <w:rPr>
          <w:noProof/>
          <w:szCs w:val="24"/>
          <w:lang w:eastAsia="en-NZ"/>
        </w:rPr>
        <w:drawing>
          <wp:inline distT="0" distB="0" distL="0" distR="0">
            <wp:extent cx="5731510" cy="3752705"/>
            <wp:effectExtent l="19050" t="0" r="254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A92DFB" w:rsidRDefault="00A92DFB" w:rsidP="00BC1B69">
      <w:pPr>
        <w:tabs>
          <w:tab w:val="left" w:pos="426"/>
        </w:tabs>
        <w:spacing w:after="0" w:line="288" w:lineRule="auto"/>
        <w:jc w:val="both"/>
        <w:rPr>
          <w:rFonts w:ascii="Times New Roman" w:hAnsi="Times New Roman" w:cs="Times New Roman"/>
          <w:sz w:val="24"/>
          <w:szCs w:val="24"/>
        </w:rPr>
      </w:pPr>
    </w:p>
    <w:p w:rsidR="00652A60" w:rsidRDefault="00652A60" w:rsidP="00BC1B69">
      <w:pPr>
        <w:tabs>
          <w:tab w:val="left" w:pos="426"/>
        </w:tabs>
        <w:spacing w:after="0" w:line="288" w:lineRule="auto"/>
        <w:jc w:val="both"/>
        <w:rPr>
          <w:rFonts w:ascii="Times New Roman" w:hAnsi="Times New Roman" w:cs="Times New Roman"/>
          <w:sz w:val="24"/>
          <w:szCs w:val="24"/>
        </w:rPr>
      </w:pPr>
    </w:p>
    <w:p w:rsidR="00ED7BFF" w:rsidRPr="00A92DFB" w:rsidRDefault="00ED7BFF"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t xml:space="preserve">Appendix Figure </w:t>
      </w:r>
      <w:r w:rsidR="009D6075" w:rsidRPr="00A92DFB">
        <w:rPr>
          <w:rFonts w:ascii="Times New Roman" w:hAnsi="Times New Roman" w:cs="Times New Roman"/>
          <w:b/>
          <w:bCs/>
          <w:iCs/>
        </w:rPr>
        <w:t>8</w:t>
      </w:r>
      <w:r w:rsidR="00253F68" w:rsidRPr="00A92DFB">
        <w:rPr>
          <w:rFonts w:ascii="Times New Roman" w:hAnsi="Times New Roman" w:cs="Times New Roman"/>
          <w:b/>
          <w:bCs/>
          <w:iCs/>
        </w:rPr>
        <w:t>: Male Labour Force A</w:t>
      </w:r>
      <w:r w:rsidRPr="00A92DFB">
        <w:rPr>
          <w:rFonts w:ascii="Times New Roman" w:hAnsi="Times New Roman" w:cs="Times New Roman"/>
          <w:b/>
          <w:bCs/>
          <w:iCs/>
        </w:rPr>
        <w:t>ge</w:t>
      </w:r>
      <w:r w:rsidR="00253F68" w:rsidRPr="00A92DFB">
        <w:rPr>
          <w:rFonts w:ascii="Times New Roman" w:hAnsi="Times New Roman" w:cs="Times New Roman"/>
          <w:b/>
          <w:bCs/>
          <w:iCs/>
        </w:rPr>
        <w:t>d 65 Years and O</w:t>
      </w:r>
      <w:r w:rsidRPr="00A92DFB">
        <w:rPr>
          <w:rFonts w:ascii="Times New Roman" w:hAnsi="Times New Roman" w:cs="Times New Roman"/>
          <w:b/>
          <w:bCs/>
          <w:iCs/>
        </w:rPr>
        <w:t>ver, 1991-2013</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ED7BFF" w:rsidRDefault="00ED7BFF" w:rsidP="00BC1B69">
      <w:pPr>
        <w:tabs>
          <w:tab w:val="left" w:pos="426"/>
        </w:tabs>
        <w:spacing w:after="0" w:line="288" w:lineRule="auto"/>
        <w:jc w:val="both"/>
        <w:rPr>
          <w:rFonts w:ascii="Times New Roman" w:hAnsi="Times New Roman" w:cs="Times New Roman"/>
          <w:sz w:val="24"/>
          <w:szCs w:val="24"/>
        </w:rPr>
      </w:pPr>
      <w:r w:rsidRPr="00ED7BFF">
        <w:rPr>
          <w:noProof/>
          <w:szCs w:val="24"/>
          <w:lang w:eastAsia="en-NZ"/>
        </w:rPr>
        <w:drawing>
          <wp:inline distT="0" distB="0" distL="0" distR="0">
            <wp:extent cx="5731510" cy="3752705"/>
            <wp:effectExtent l="19050" t="0" r="254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5731510" cy="3752705"/>
                    </a:xfrm>
                    <a:prstGeom prst="rect">
                      <a:avLst/>
                    </a:prstGeom>
                    <a:noFill/>
                    <a:ln w="9525">
                      <a:noFill/>
                      <a:miter lim="800000"/>
                      <a:headEnd/>
                      <a:tailEnd/>
                    </a:ln>
                  </pic:spPr>
                </pic:pic>
              </a:graphicData>
            </a:graphic>
          </wp:inline>
        </w:drawing>
      </w:r>
    </w:p>
    <w:p w:rsidR="001937D3" w:rsidRDefault="001937D3" w:rsidP="00BC1B69">
      <w:pPr>
        <w:tabs>
          <w:tab w:val="left" w:pos="426"/>
        </w:tabs>
        <w:spacing w:after="0" w:line="288" w:lineRule="auto"/>
        <w:rPr>
          <w:lang w:val="en-US"/>
        </w:rPr>
      </w:pPr>
      <w:r>
        <w:rPr>
          <w:lang w:val="en-US"/>
        </w:rPr>
        <w:br w:type="page"/>
      </w:r>
    </w:p>
    <w:p w:rsidR="001937D3" w:rsidRDefault="001937D3"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lastRenderedPageBreak/>
        <w:t xml:space="preserve">Appendix Figure </w:t>
      </w:r>
      <w:r w:rsidR="00CF77BC" w:rsidRPr="00A92DFB">
        <w:rPr>
          <w:rFonts w:ascii="Times New Roman" w:hAnsi="Times New Roman" w:cs="Times New Roman"/>
          <w:b/>
          <w:bCs/>
          <w:iCs/>
        </w:rPr>
        <w:t>9</w:t>
      </w:r>
      <w:r w:rsidR="00253F68" w:rsidRPr="00A92DFB">
        <w:rPr>
          <w:rFonts w:ascii="Times New Roman" w:hAnsi="Times New Roman" w:cs="Times New Roman"/>
          <w:b/>
          <w:bCs/>
          <w:iCs/>
        </w:rPr>
        <w:t>: Women’s Labour Force Participation R</w:t>
      </w:r>
      <w:r w:rsidRPr="00A92DFB">
        <w:rPr>
          <w:rFonts w:ascii="Times New Roman" w:hAnsi="Times New Roman" w:cs="Times New Roman"/>
          <w:b/>
          <w:bCs/>
          <w:iCs/>
        </w:rPr>
        <w:t xml:space="preserve">ate by </w:t>
      </w:r>
      <w:r w:rsidR="00253F68" w:rsidRPr="00A92DFB">
        <w:rPr>
          <w:rFonts w:ascii="Times New Roman" w:hAnsi="Times New Roman" w:cs="Times New Roman"/>
          <w:b/>
          <w:bCs/>
          <w:iCs/>
        </w:rPr>
        <w:t>C</w:t>
      </w:r>
      <w:r w:rsidRPr="00A92DFB">
        <w:rPr>
          <w:rFonts w:ascii="Times New Roman" w:hAnsi="Times New Roman" w:cs="Times New Roman"/>
          <w:b/>
          <w:bCs/>
          <w:iCs/>
        </w:rPr>
        <w:t>ohort</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1937D3" w:rsidRDefault="00490460" w:rsidP="00BC1B69">
      <w:pPr>
        <w:tabs>
          <w:tab w:val="left" w:pos="426"/>
        </w:tabs>
        <w:spacing w:after="0" w:line="288" w:lineRule="auto"/>
        <w:jc w:val="both"/>
        <w:rPr>
          <w:rFonts w:ascii="Times New Roman" w:hAnsi="Times New Roman" w:cs="Times New Roman"/>
          <w:sz w:val="24"/>
          <w:szCs w:val="24"/>
        </w:rPr>
      </w:pPr>
      <w:r w:rsidRPr="00490460">
        <w:rPr>
          <w:noProof/>
          <w:lang w:eastAsia="en-NZ"/>
        </w:rPr>
        <w:drawing>
          <wp:inline distT="0" distB="0" distL="0" distR="0">
            <wp:extent cx="5731510" cy="37407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rsidR="00A92DFB" w:rsidRDefault="00A92DFB" w:rsidP="00BC1B69">
      <w:pPr>
        <w:tabs>
          <w:tab w:val="left" w:pos="426"/>
        </w:tabs>
        <w:spacing w:after="0" w:line="288" w:lineRule="auto"/>
        <w:jc w:val="both"/>
        <w:rPr>
          <w:rFonts w:ascii="Times New Roman" w:hAnsi="Times New Roman" w:cs="Times New Roman"/>
          <w:sz w:val="24"/>
          <w:szCs w:val="24"/>
        </w:rPr>
      </w:pPr>
    </w:p>
    <w:p w:rsidR="00652A60" w:rsidRDefault="00652A60" w:rsidP="00BC1B69">
      <w:pPr>
        <w:tabs>
          <w:tab w:val="left" w:pos="426"/>
        </w:tabs>
        <w:spacing w:after="0" w:line="288" w:lineRule="auto"/>
        <w:jc w:val="both"/>
        <w:rPr>
          <w:rFonts w:ascii="Times New Roman" w:hAnsi="Times New Roman" w:cs="Times New Roman"/>
          <w:sz w:val="24"/>
          <w:szCs w:val="24"/>
        </w:rPr>
      </w:pPr>
    </w:p>
    <w:p w:rsidR="001937D3" w:rsidRDefault="001937D3"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t xml:space="preserve">Appendix Figure </w:t>
      </w:r>
      <w:r w:rsidR="00CF77BC" w:rsidRPr="00A92DFB">
        <w:rPr>
          <w:rFonts w:ascii="Times New Roman" w:hAnsi="Times New Roman" w:cs="Times New Roman"/>
          <w:b/>
          <w:bCs/>
          <w:iCs/>
        </w:rPr>
        <w:t>10</w:t>
      </w:r>
      <w:r w:rsidR="00253F68" w:rsidRPr="00A92DFB">
        <w:rPr>
          <w:rFonts w:ascii="Times New Roman" w:hAnsi="Times New Roman" w:cs="Times New Roman"/>
          <w:b/>
          <w:bCs/>
          <w:iCs/>
        </w:rPr>
        <w:t>: Men’s Labour Force Participation R</w:t>
      </w:r>
      <w:r w:rsidRPr="00A92DFB">
        <w:rPr>
          <w:rFonts w:ascii="Times New Roman" w:hAnsi="Times New Roman" w:cs="Times New Roman"/>
          <w:b/>
          <w:bCs/>
          <w:iCs/>
        </w:rPr>
        <w:t xml:space="preserve">ate by </w:t>
      </w:r>
      <w:r w:rsidR="00253F68" w:rsidRPr="00A92DFB">
        <w:rPr>
          <w:rFonts w:ascii="Times New Roman" w:hAnsi="Times New Roman" w:cs="Times New Roman"/>
          <w:b/>
          <w:bCs/>
          <w:iCs/>
        </w:rPr>
        <w:t>C</w:t>
      </w:r>
      <w:r w:rsidRPr="00A92DFB">
        <w:rPr>
          <w:rFonts w:ascii="Times New Roman" w:hAnsi="Times New Roman" w:cs="Times New Roman"/>
          <w:b/>
          <w:bCs/>
          <w:iCs/>
        </w:rPr>
        <w:t>ohort</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F57589" w:rsidRDefault="00490460" w:rsidP="00BC1B69">
      <w:pPr>
        <w:tabs>
          <w:tab w:val="left" w:pos="426"/>
        </w:tabs>
        <w:spacing w:after="0" w:line="288" w:lineRule="auto"/>
        <w:rPr>
          <w:lang w:val="en-US"/>
        </w:rPr>
      </w:pPr>
      <w:r w:rsidRPr="00490460">
        <w:rPr>
          <w:noProof/>
          <w:lang w:eastAsia="en-NZ"/>
        </w:rPr>
        <w:drawing>
          <wp:inline distT="0" distB="0" distL="0" distR="0">
            <wp:extent cx="5731510" cy="37407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rsidR="003A2ABA" w:rsidRDefault="00E928E7" w:rsidP="00BC1B69">
      <w:pPr>
        <w:tabs>
          <w:tab w:val="left" w:pos="426"/>
        </w:tabs>
        <w:spacing w:after="0" w:line="288" w:lineRule="auto"/>
        <w:jc w:val="center"/>
        <w:rPr>
          <w:rFonts w:ascii="Times New Roman" w:hAnsi="Times New Roman" w:cs="Times New Roman"/>
          <w:b/>
          <w:bCs/>
          <w:iCs/>
        </w:rPr>
      </w:pPr>
      <w:r>
        <w:rPr>
          <w:lang w:val="en-US"/>
        </w:rPr>
        <w:br w:type="page"/>
      </w:r>
      <w:r w:rsidR="003A2ABA" w:rsidRPr="00A92DFB">
        <w:rPr>
          <w:rFonts w:ascii="Times New Roman" w:hAnsi="Times New Roman" w:cs="Times New Roman"/>
          <w:b/>
          <w:bCs/>
          <w:iCs/>
        </w:rPr>
        <w:lastRenderedPageBreak/>
        <w:t xml:space="preserve">Appendix Figure 11: </w:t>
      </w:r>
      <w:r w:rsidR="00253F68" w:rsidRPr="00A92DFB">
        <w:rPr>
          <w:rFonts w:ascii="Times New Roman" w:hAnsi="Times New Roman" w:cs="Times New Roman"/>
          <w:b/>
          <w:bCs/>
          <w:iCs/>
        </w:rPr>
        <w:t>Employment by Part-time/Full-time S</w:t>
      </w:r>
      <w:r w:rsidR="003A2ABA" w:rsidRPr="00A92DFB">
        <w:rPr>
          <w:rFonts w:ascii="Times New Roman" w:hAnsi="Times New Roman" w:cs="Times New Roman"/>
          <w:b/>
          <w:bCs/>
          <w:iCs/>
        </w:rPr>
        <w:t xml:space="preserve">tatus by </w:t>
      </w:r>
      <w:r w:rsidR="00253F68" w:rsidRPr="00A92DFB">
        <w:rPr>
          <w:rFonts w:ascii="Times New Roman" w:hAnsi="Times New Roman" w:cs="Times New Roman"/>
          <w:b/>
          <w:bCs/>
          <w:iCs/>
        </w:rPr>
        <w:t>Cohort for W</w:t>
      </w:r>
      <w:r w:rsidR="003A2ABA" w:rsidRPr="00A92DFB">
        <w:rPr>
          <w:rFonts w:ascii="Times New Roman" w:hAnsi="Times New Roman" w:cs="Times New Roman"/>
          <w:b/>
          <w:bCs/>
          <w:iCs/>
        </w:rPr>
        <w:t>omen</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3A2ABA" w:rsidRDefault="00490460" w:rsidP="00BC1B69">
      <w:pPr>
        <w:tabs>
          <w:tab w:val="left" w:pos="426"/>
        </w:tabs>
        <w:spacing w:after="0" w:line="288" w:lineRule="auto"/>
        <w:jc w:val="both"/>
        <w:rPr>
          <w:rFonts w:ascii="Times New Roman" w:hAnsi="Times New Roman" w:cs="Times New Roman"/>
          <w:sz w:val="24"/>
          <w:szCs w:val="24"/>
        </w:rPr>
      </w:pPr>
      <w:r w:rsidRPr="00490460">
        <w:rPr>
          <w:noProof/>
          <w:lang w:eastAsia="en-NZ"/>
        </w:rPr>
        <w:drawing>
          <wp:inline distT="0" distB="0" distL="0" distR="0">
            <wp:extent cx="5731510" cy="37407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rsidR="00A92DFB" w:rsidRDefault="00A92DFB" w:rsidP="00BC1B69">
      <w:pPr>
        <w:tabs>
          <w:tab w:val="left" w:pos="426"/>
        </w:tabs>
        <w:spacing w:after="0" w:line="288" w:lineRule="auto"/>
        <w:jc w:val="both"/>
        <w:rPr>
          <w:rFonts w:ascii="Times New Roman" w:hAnsi="Times New Roman" w:cs="Times New Roman"/>
          <w:sz w:val="24"/>
          <w:szCs w:val="24"/>
        </w:rPr>
      </w:pPr>
    </w:p>
    <w:p w:rsidR="00652A60" w:rsidRDefault="00652A60" w:rsidP="00BC1B69">
      <w:pPr>
        <w:tabs>
          <w:tab w:val="left" w:pos="426"/>
        </w:tabs>
        <w:spacing w:after="0" w:line="288" w:lineRule="auto"/>
        <w:jc w:val="both"/>
        <w:rPr>
          <w:rFonts w:ascii="Times New Roman" w:hAnsi="Times New Roman" w:cs="Times New Roman"/>
          <w:sz w:val="24"/>
          <w:szCs w:val="24"/>
        </w:rPr>
      </w:pPr>
    </w:p>
    <w:p w:rsidR="003A2ABA" w:rsidRDefault="003A2ABA" w:rsidP="00BC1B69">
      <w:pPr>
        <w:tabs>
          <w:tab w:val="left" w:pos="426"/>
        </w:tabs>
        <w:spacing w:after="0" w:line="288" w:lineRule="auto"/>
        <w:jc w:val="center"/>
        <w:rPr>
          <w:rFonts w:ascii="Times New Roman" w:hAnsi="Times New Roman" w:cs="Times New Roman"/>
          <w:b/>
          <w:bCs/>
          <w:iCs/>
        </w:rPr>
      </w:pPr>
      <w:r w:rsidRPr="00A92DFB">
        <w:rPr>
          <w:rFonts w:ascii="Times New Roman" w:hAnsi="Times New Roman" w:cs="Times New Roman"/>
          <w:b/>
          <w:bCs/>
          <w:iCs/>
        </w:rPr>
        <w:t xml:space="preserve">Appendix Figure 12: </w:t>
      </w:r>
      <w:r w:rsidR="00253F68" w:rsidRPr="00A92DFB">
        <w:rPr>
          <w:rFonts w:ascii="Times New Roman" w:hAnsi="Times New Roman" w:cs="Times New Roman"/>
          <w:b/>
          <w:bCs/>
          <w:iCs/>
        </w:rPr>
        <w:t>Employment by Part-time/Full-time S</w:t>
      </w:r>
      <w:r w:rsidRPr="00A92DFB">
        <w:rPr>
          <w:rFonts w:ascii="Times New Roman" w:hAnsi="Times New Roman" w:cs="Times New Roman"/>
          <w:b/>
          <w:bCs/>
          <w:iCs/>
        </w:rPr>
        <w:t xml:space="preserve">tatus by </w:t>
      </w:r>
      <w:r w:rsidR="00253F68" w:rsidRPr="00A92DFB">
        <w:rPr>
          <w:rFonts w:ascii="Times New Roman" w:hAnsi="Times New Roman" w:cs="Times New Roman"/>
          <w:b/>
          <w:bCs/>
          <w:iCs/>
        </w:rPr>
        <w:t>Cohort for M</w:t>
      </w:r>
      <w:r w:rsidRPr="00A92DFB">
        <w:rPr>
          <w:rFonts w:ascii="Times New Roman" w:hAnsi="Times New Roman" w:cs="Times New Roman"/>
          <w:b/>
          <w:bCs/>
          <w:iCs/>
        </w:rPr>
        <w:t>en</w:t>
      </w:r>
    </w:p>
    <w:p w:rsidR="00A92DFB" w:rsidRPr="00A92DFB" w:rsidRDefault="00A92DFB" w:rsidP="00BC1B69">
      <w:pPr>
        <w:tabs>
          <w:tab w:val="left" w:pos="426"/>
        </w:tabs>
        <w:spacing w:after="0" w:line="288" w:lineRule="auto"/>
        <w:jc w:val="center"/>
        <w:rPr>
          <w:rFonts w:ascii="Times New Roman" w:hAnsi="Times New Roman" w:cs="Times New Roman"/>
          <w:b/>
          <w:bCs/>
          <w:iCs/>
          <w:sz w:val="10"/>
          <w:szCs w:val="10"/>
        </w:rPr>
      </w:pPr>
    </w:p>
    <w:p w:rsidR="003A2ABA" w:rsidRDefault="00490460" w:rsidP="00BC1B69">
      <w:pPr>
        <w:tabs>
          <w:tab w:val="left" w:pos="426"/>
        </w:tabs>
        <w:spacing w:after="0" w:line="288" w:lineRule="auto"/>
        <w:jc w:val="both"/>
        <w:rPr>
          <w:rFonts w:ascii="Times New Roman" w:hAnsi="Times New Roman" w:cs="Times New Roman"/>
          <w:sz w:val="24"/>
          <w:szCs w:val="24"/>
        </w:rPr>
      </w:pPr>
      <w:r w:rsidRPr="00490460">
        <w:rPr>
          <w:noProof/>
          <w:lang w:eastAsia="en-NZ"/>
        </w:rPr>
        <w:drawing>
          <wp:inline distT="0" distB="0" distL="0" distR="0">
            <wp:extent cx="5731510" cy="374075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740750"/>
                    </a:xfrm>
                    <a:prstGeom prst="rect">
                      <a:avLst/>
                    </a:prstGeom>
                    <a:noFill/>
                    <a:ln>
                      <a:noFill/>
                    </a:ln>
                  </pic:spPr>
                </pic:pic>
              </a:graphicData>
            </a:graphic>
          </wp:inline>
        </w:drawing>
      </w:r>
    </w:p>
    <w:p w:rsidR="003A2ABA" w:rsidRDefault="003A2ABA" w:rsidP="00BC1B69">
      <w:pPr>
        <w:tabs>
          <w:tab w:val="left" w:pos="426"/>
        </w:tabs>
        <w:spacing w:after="0" w:line="288" w:lineRule="auto"/>
        <w:rPr>
          <w:rFonts w:ascii="Times New Roman" w:hAnsi="Times New Roman" w:cs="Times New Roman"/>
          <w:i/>
          <w:sz w:val="24"/>
          <w:szCs w:val="24"/>
        </w:rPr>
      </w:pPr>
      <w:r>
        <w:rPr>
          <w:rFonts w:ascii="Times New Roman" w:hAnsi="Times New Roman" w:cs="Times New Roman"/>
          <w:i/>
          <w:sz w:val="24"/>
          <w:szCs w:val="24"/>
        </w:rPr>
        <w:br w:type="page"/>
      </w:r>
    </w:p>
    <w:p w:rsidR="00585675" w:rsidRDefault="00585675" w:rsidP="00652A60">
      <w:pPr>
        <w:tabs>
          <w:tab w:val="left" w:pos="426"/>
        </w:tabs>
        <w:spacing w:after="0" w:line="288" w:lineRule="auto"/>
        <w:jc w:val="center"/>
        <w:rPr>
          <w:rFonts w:ascii="Times New Roman" w:hAnsi="Times New Roman" w:cs="Times New Roman"/>
          <w:b/>
          <w:bCs/>
          <w:iCs/>
        </w:rPr>
      </w:pPr>
      <w:r>
        <w:rPr>
          <w:rFonts w:ascii="Times New Roman" w:hAnsi="Times New Roman" w:cs="Times New Roman"/>
          <w:b/>
          <w:bCs/>
          <w:iCs/>
        </w:rPr>
        <w:lastRenderedPageBreak/>
        <w:t xml:space="preserve">Appendix </w:t>
      </w:r>
      <w:r w:rsidR="00ED5824">
        <w:rPr>
          <w:rFonts w:ascii="Times New Roman" w:hAnsi="Times New Roman" w:cs="Times New Roman"/>
          <w:b/>
          <w:bCs/>
          <w:iCs/>
        </w:rPr>
        <w:t xml:space="preserve">Table 1: </w:t>
      </w:r>
      <w:r w:rsidR="00253F68" w:rsidRPr="00A92DFB">
        <w:rPr>
          <w:rFonts w:ascii="Times New Roman" w:hAnsi="Times New Roman" w:cs="Times New Roman"/>
          <w:b/>
          <w:bCs/>
          <w:iCs/>
        </w:rPr>
        <w:t>Employment</w:t>
      </w:r>
    </w:p>
    <w:p w:rsidR="00CB3BED" w:rsidRDefault="00585675" w:rsidP="00585675">
      <w:pPr>
        <w:tabs>
          <w:tab w:val="left" w:pos="426"/>
        </w:tabs>
        <w:spacing w:after="0" w:line="288" w:lineRule="auto"/>
        <w:jc w:val="center"/>
        <w:rPr>
          <w:rFonts w:ascii="Times New Roman" w:hAnsi="Times New Roman" w:cs="Times New Roman"/>
          <w:b/>
          <w:bCs/>
          <w:iCs/>
        </w:rPr>
      </w:pPr>
      <w:r>
        <w:rPr>
          <w:rFonts w:ascii="Times New Roman" w:hAnsi="Times New Roman" w:cs="Times New Roman"/>
          <w:b/>
          <w:bCs/>
          <w:iCs/>
        </w:rPr>
        <w:t xml:space="preserve"> Part-Time </w:t>
      </w:r>
      <w:r w:rsidR="00652A60">
        <w:rPr>
          <w:rFonts w:ascii="Times New Roman" w:hAnsi="Times New Roman" w:cs="Times New Roman"/>
          <w:b/>
          <w:bCs/>
          <w:iCs/>
        </w:rPr>
        <w:t xml:space="preserve">and </w:t>
      </w:r>
      <w:r>
        <w:rPr>
          <w:rFonts w:ascii="Times New Roman" w:hAnsi="Times New Roman" w:cs="Times New Roman"/>
          <w:b/>
          <w:bCs/>
          <w:iCs/>
        </w:rPr>
        <w:t>Full-T</w:t>
      </w:r>
      <w:r w:rsidR="00253F68" w:rsidRPr="00A92DFB">
        <w:rPr>
          <w:rFonts w:ascii="Times New Roman" w:hAnsi="Times New Roman" w:cs="Times New Roman"/>
          <w:b/>
          <w:bCs/>
          <w:iCs/>
        </w:rPr>
        <w:t xml:space="preserve">ime Status </w:t>
      </w:r>
      <w:r w:rsidR="00652A60">
        <w:rPr>
          <w:rFonts w:ascii="Times New Roman" w:hAnsi="Times New Roman" w:cs="Times New Roman"/>
          <w:b/>
          <w:bCs/>
          <w:iCs/>
        </w:rPr>
        <w:t xml:space="preserve">by </w:t>
      </w:r>
      <w:r w:rsidR="00253F68" w:rsidRPr="00A92DFB">
        <w:rPr>
          <w:rFonts w:ascii="Times New Roman" w:hAnsi="Times New Roman" w:cs="Times New Roman"/>
          <w:b/>
          <w:bCs/>
          <w:iCs/>
        </w:rPr>
        <w:t>Age G</w:t>
      </w:r>
      <w:r w:rsidR="00CB3BED" w:rsidRPr="00A92DFB">
        <w:rPr>
          <w:rFonts w:ascii="Times New Roman" w:hAnsi="Times New Roman" w:cs="Times New Roman"/>
          <w:b/>
          <w:bCs/>
          <w:iCs/>
        </w:rPr>
        <w:t>roup, 1991-2013</w:t>
      </w:r>
    </w:p>
    <w:p w:rsidR="00C75916" w:rsidRPr="00A92DFB" w:rsidRDefault="00C75916" w:rsidP="00BC1B69">
      <w:pPr>
        <w:tabs>
          <w:tab w:val="left" w:pos="426"/>
        </w:tabs>
        <w:spacing w:after="0" w:line="240" w:lineRule="auto"/>
        <w:jc w:val="center"/>
        <w:rPr>
          <w:rFonts w:ascii="Times New Roman" w:hAnsi="Times New Roman" w:cs="Times New Roman"/>
          <w:b/>
          <w:bCs/>
          <w:iCs/>
        </w:rPr>
      </w:pPr>
    </w:p>
    <w:tbl>
      <w:tblPr>
        <w:tblW w:w="9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
        <w:gridCol w:w="810"/>
        <w:gridCol w:w="810"/>
        <w:gridCol w:w="810"/>
        <w:gridCol w:w="811"/>
        <w:gridCol w:w="810"/>
        <w:gridCol w:w="810"/>
        <w:gridCol w:w="810"/>
        <w:gridCol w:w="810"/>
        <w:gridCol w:w="811"/>
      </w:tblGrid>
      <w:tr w:rsidR="00C16E70" w:rsidRPr="00C16E70" w:rsidTr="00151E48">
        <w:trPr>
          <w:trHeight w:val="255"/>
        </w:trPr>
        <w:tc>
          <w:tcPr>
            <w:tcW w:w="900" w:type="dxa"/>
            <w:tcBorders>
              <w:left w:val="nil"/>
              <w:bottom w:val="nil"/>
              <w:right w:val="nil"/>
            </w:tcBorders>
            <w:shd w:val="clear" w:color="auto" w:fill="auto"/>
            <w:noWrap/>
            <w:vAlign w:val="center"/>
            <w:hideMark/>
          </w:tcPr>
          <w:p w:rsidR="00CB3BED" w:rsidRPr="00C75916" w:rsidRDefault="00CB3BED" w:rsidP="00652A60">
            <w:pPr>
              <w:tabs>
                <w:tab w:val="left" w:pos="426"/>
              </w:tabs>
              <w:spacing w:before="80" w:after="0" w:line="240" w:lineRule="auto"/>
              <w:jc w:val="center"/>
              <w:rPr>
                <w:rFonts w:ascii="Times New Roman" w:eastAsia="Times New Roman" w:hAnsi="Times New Roman" w:cs="Times New Roman"/>
                <w:b/>
                <w:lang w:eastAsia="en-NZ"/>
              </w:rPr>
            </w:pPr>
          </w:p>
        </w:tc>
        <w:tc>
          <w:tcPr>
            <w:tcW w:w="1620" w:type="dxa"/>
            <w:gridSpan w:val="2"/>
            <w:tcBorders>
              <w:left w:val="nil"/>
              <w:bottom w:val="nil"/>
              <w:right w:val="nil"/>
            </w:tcBorders>
            <w:shd w:val="clear" w:color="auto" w:fill="auto"/>
            <w:noWrap/>
            <w:vAlign w:val="center"/>
            <w:hideMark/>
          </w:tcPr>
          <w:p w:rsidR="00CB3BED" w:rsidRPr="00C75916" w:rsidRDefault="00CB3BED" w:rsidP="00652A60">
            <w:pPr>
              <w:tabs>
                <w:tab w:val="left" w:pos="426"/>
              </w:tabs>
              <w:spacing w:before="80"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1991</w:t>
            </w:r>
          </w:p>
        </w:tc>
        <w:tc>
          <w:tcPr>
            <w:tcW w:w="1620" w:type="dxa"/>
            <w:gridSpan w:val="2"/>
            <w:tcBorders>
              <w:left w:val="nil"/>
              <w:bottom w:val="nil"/>
              <w:right w:val="nil"/>
            </w:tcBorders>
            <w:shd w:val="clear" w:color="auto" w:fill="auto"/>
            <w:noWrap/>
            <w:vAlign w:val="center"/>
            <w:hideMark/>
          </w:tcPr>
          <w:p w:rsidR="00CB3BED" w:rsidRPr="00C75916" w:rsidRDefault="00CB3BED" w:rsidP="00652A60">
            <w:pPr>
              <w:tabs>
                <w:tab w:val="left" w:pos="426"/>
              </w:tabs>
              <w:spacing w:before="80"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1996</w:t>
            </w:r>
          </w:p>
        </w:tc>
        <w:tc>
          <w:tcPr>
            <w:tcW w:w="1621" w:type="dxa"/>
            <w:gridSpan w:val="2"/>
            <w:tcBorders>
              <w:left w:val="nil"/>
              <w:bottom w:val="nil"/>
              <w:right w:val="nil"/>
            </w:tcBorders>
            <w:shd w:val="clear" w:color="auto" w:fill="auto"/>
            <w:noWrap/>
            <w:vAlign w:val="center"/>
            <w:hideMark/>
          </w:tcPr>
          <w:p w:rsidR="00CB3BED" w:rsidRPr="00C75916" w:rsidRDefault="00CB3BED" w:rsidP="00652A60">
            <w:pPr>
              <w:tabs>
                <w:tab w:val="left" w:pos="426"/>
              </w:tabs>
              <w:spacing w:before="80"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2001</w:t>
            </w:r>
          </w:p>
        </w:tc>
        <w:tc>
          <w:tcPr>
            <w:tcW w:w="1620" w:type="dxa"/>
            <w:gridSpan w:val="2"/>
            <w:tcBorders>
              <w:left w:val="nil"/>
              <w:bottom w:val="nil"/>
              <w:right w:val="nil"/>
            </w:tcBorders>
            <w:shd w:val="clear" w:color="auto" w:fill="auto"/>
            <w:noWrap/>
            <w:vAlign w:val="center"/>
            <w:hideMark/>
          </w:tcPr>
          <w:p w:rsidR="00CB3BED" w:rsidRPr="00C75916" w:rsidRDefault="00CB3BED" w:rsidP="00652A60">
            <w:pPr>
              <w:tabs>
                <w:tab w:val="left" w:pos="426"/>
              </w:tabs>
              <w:spacing w:before="80"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2006</w:t>
            </w:r>
          </w:p>
        </w:tc>
        <w:tc>
          <w:tcPr>
            <w:tcW w:w="1621" w:type="dxa"/>
            <w:gridSpan w:val="2"/>
            <w:tcBorders>
              <w:left w:val="nil"/>
              <w:bottom w:val="nil"/>
              <w:right w:val="nil"/>
            </w:tcBorders>
            <w:shd w:val="clear" w:color="auto" w:fill="auto"/>
            <w:noWrap/>
            <w:vAlign w:val="center"/>
            <w:hideMark/>
          </w:tcPr>
          <w:p w:rsidR="00CB3BED" w:rsidRPr="00C75916" w:rsidRDefault="00CB3BED" w:rsidP="00652A60">
            <w:pPr>
              <w:tabs>
                <w:tab w:val="left" w:pos="426"/>
              </w:tabs>
              <w:spacing w:before="80"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2013</w:t>
            </w:r>
          </w:p>
        </w:tc>
      </w:tr>
      <w:tr w:rsidR="00C16E70" w:rsidRPr="00C16E70" w:rsidTr="00151E48">
        <w:trPr>
          <w:trHeight w:val="255"/>
        </w:trPr>
        <w:tc>
          <w:tcPr>
            <w:tcW w:w="900" w:type="dxa"/>
            <w:tcBorders>
              <w:top w:val="nil"/>
              <w:left w:val="nil"/>
              <w:bottom w:val="single" w:sz="4" w:space="0" w:color="auto"/>
              <w:right w:val="nil"/>
            </w:tcBorders>
            <w:shd w:val="clear" w:color="auto" w:fill="auto"/>
            <w:noWrap/>
            <w:vAlign w:val="center"/>
            <w:hideMark/>
          </w:tcPr>
          <w:p w:rsidR="00CB3BED" w:rsidRPr="00C75916" w:rsidRDefault="00977D84"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Age Group</w:t>
            </w:r>
            <w:r w:rsidR="003A6741" w:rsidRPr="00C75916">
              <w:rPr>
                <w:rFonts w:ascii="Times New Roman" w:eastAsia="Times New Roman" w:hAnsi="Times New Roman" w:cs="Times New Roman"/>
                <w:b/>
                <w:lang w:eastAsia="en-NZ"/>
              </w:rPr>
              <w:t xml:space="preserve"> (years)</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Part-Time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Full-Time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Part-Time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Full-Time</w:t>
            </w:r>
          </w:p>
        </w:tc>
        <w:tc>
          <w:tcPr>
            <w:tcW w:w="811"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Part-Time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Full-Time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Part-Time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Full-Time</w:t>
            </w:r>
          </w:p>
        </w:tc>
        <w:tc>
          <w:tcPr>
            <w:tcW w:w="810"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Part-Time</w:t>
            </w:r>
          </w:p>
        </w:tc>
        <w:tc>
          <w:tcPr>
            <w:tcW w:w="811" w:type="dxa"/>
            <w:tcBorders>
              <w:top w:val="nil"/>
              <w:left w:val="nil"/>
              <w:bottom w:val="single" w:sz="4" w:space="0" w:color="auto"/>
              <w:right w:val="nil"/>
            </w:tcBorders>
            <w:shd w:val="clear" w:color="auto" w:fill="auto"/>
            <w:noWrap/>
            <w:vAlign w:val="center"/>
            <w:hideMark/>
          </w:tcPr>
          <w:p w:rsidR="00CB3BED" w:rsidRPr="00C75916" w:rsidRDefault="00CB3BED" w:rsidP="00652A60">
            <w:pPr>
              <w:tabs>
                <w:tab w:val="left" w:pos="426"/>
              </w:tabs>
              <w:spacing w:after="0" w:line="240" w:lineRule="auto"/>
              <w:jc w:val="center"/>
              <w:rPr>
                <w:rFonts w:ascii="Times New Roman" w:eastAsia="Times New Roman" w:hAnsi="Times New Roman" w:cs="Times New Roman"/>
                <w:b/>
                <w:lang w:eastAsia="en-NZ"/>
              </w:rPr>
            </w:pPr>
            <w:r w:rsidRPr="00C75916">
              <w:rPr>
                <w:rFonts w:ascii="Times New Roman" w:eastAsia="Times New Roman" w:hAnsi="Times New Roman" w:cs="Times New Roman"/>
                <w:b/>
                <w:lang w:eastAsia="en-NZ"/>
              </w:rPr>
              <w:t>Full-Time</w:t>
            </w:r>
          </w:p>
        </w:tc>
      </w:tr>
      <w:tr w:rsidR="00C16E70" w:rsidRPr="00C16E70" w:rsidTr="00151E48">
        <w:trPr>
          <w:trHeight w:val="250"/>
        </w:trPr>
        <w:tc>
          <w:tcPr>
            <w:tcW w:w="900" w:type="dxa"/>
            <w:vMerge w:val="restart"/>
            <w:tcBorders>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r w:rsidRPr="00CB3BED">
              <w:rPr>
                <w:rFonts w:ascii="Times New Roman" w:eastAsia="Times New Roman" w:hAnsi="Times New Roman" w:cs="Times New Roman"/>
                <w:b/>
                <w:sz w:val="20"/>
                <w:szCs w:val="20"/>
                <w:lang w:eastAsia="en-NZ"/>
              </w:rPr>
              <w:t xml:space="preserve">65-69 </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6075</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7539</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10833</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9552</w:t>
            </w:r>
          </w:p>
        </w:tc>
        <w:tc>
          <w:tcPr>
            <w:tcW w:w="811"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12537</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14901</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20823</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27309</w:t>
            </w:r>
          </w:p>
        </w:tc>
        <w:tc>
          <w:tcPr>
            <w:tcW w:w="810"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30402</w:t>
            </w:r>
          </w:p>
        </w:tc>
        <w:tc>
          <w:tcPr>
            <w:tcW w:w="811" w:type="dxa"/>
            <w:tcBorders>
              <w:left w:val="nil"/>
              <w:bottom w:val="nil"/>
              <w:right w:val="nil"/>
            </w:tcBorders>
            <w:shd w:val="clear" w:color="auto" w:fill="auto"/>
            <w:noWrap/>
            <w:vAlign w:val="center"/>
            <w:hideMark/>
          </w:tcPr>
          <w:p w:rsidR="00C16E70" w:rsidRPr="00CB3BED" w:rsidRDefault="00C16E70" w:rsidP="00652A60">
            <w:pPr>
              <w:tabs>
                <w:tab w:val="left" w:pos="426"/>
              </w:tabs>
              <w:spacing w:before="60"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48906</w:t>
            </w:r>
          </w:p>
        </w:tc>
      </w:tr>
      <w:tr w:rsidR="00C16E70" w:rsidRPr="00C16E70" w:rsidTr="00151E48">
        <w:trPr>
          <w:trHeight w:val="250"/>
        </w:trPr>
        <w:tc>
          <w:tcPr>
            <w:tcW w:w="900" w:type="dxa"/>
            <w:vMerge/>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44.6%</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55.4%</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53.1%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46.9%</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45.7%</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54.3%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43.3%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56.7%</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38.3%</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61.7%</w:t>
            </w:r>
          </w:p>
        </w:tc>
      </w:tr>
      <w:tr w:rsidR="00395639" w:rsidRPr="00C16E70" w:rsidTr="00151E48">
        <w:trPr>
          <w:trHeight w:val="250"/>
        </w:trPr>
        <w:tc>
          <w:tcPr>
            <w:tcW w:w="90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r>
      <w:tr w:rsidR="00C16E70" w:rsidRPr="00C16E70" w:rsidTr="00151E48">
        <w:trPr>
          <w:trHeight w:val="250"/>
        </w:trPr>
        <w:tc>
          <w:tcPr>
            <w:tcW w:w="900" w:type="dxa"/>
            <w:vMerge w:val="restart"/>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r w:rsidRPr="00CB3BED">
              <w:rPr>
                <w:rFonts w:ascii="Times New Roman" w:eastAsia="Times New Roman" w:hAnsi="Times New Roman" w:cs="Times New Roman"/>
                <w:b/>
                <w:sz w:val="20"/>
                <w:szCs w:val="20"/>
                <w:lang w:eastAsia="en-NZ"/>
              </w:rPr>
              <w:t xml:space="preserve">70-74 </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2457</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2835</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5703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3954</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7290</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5991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10197</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8289</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16983</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14580</w:t>
            </w:r>
          </w:p>
        </w:tc>
      </w:tr>
      <w:tr w:rsidR="00C16E70" w:rsidRPr="00C16E70" w:rsidTr="00151E48">
        <w:trPr>
          <w:trHeight w:val="250"/>
        </w:trPr>
        <w:tc>
          <w:tcPr>
            <w:tcW w:w="900" w:type="dxa"/>
            <w:vMerge/>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46.4%</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53.6%</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59.1%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40.9%</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54.9%</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45.1%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55.2%</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44.8%</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53.8%</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46.2%</w:t>
            </w:r>
          </w:p>
        </w:tc>
      </w:tr>
      <w:tr w:rsidR="00395639" w:rsidRPr="00C16E70" w:rsidTr="00151E48">
        <w:trPr>
          <w:trHeight w:val="250"/>
        </w:trPr>
        <w:tc>
          <w:tcPr>
            <w:tcW w:w="90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r>
      <w:tr w:rsidR="00C16E70" w:rsidRPr="00C16E70" w:rsidTr="00151E48">
        <w:trPr>
          <w:trHeight w:val="250"/>
        </w:trPr>
        <w:tc>
          <w:tcPr>
            <w:tcW w:w="900" w:type="dxa"/>
            <w:vMerge w:val="restart"/>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r w:rsidRPr="00CB3BED">
              <w:rPr>
                <w:rFonts w:ascii="Times New Roman" w:eastAsia="Times New Roman" w:hAnsi="Times New Roman" w:cs="Times New Roman"/>
                <w:b/>
                <w:sz w:val="20"/>
                <w:szCs w:val="20"/>
                <w:lang w:eastAsia="en-NZ"/>
              </w:rPr>
              <w:t xml:space="preserve">75-79 </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864</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1041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2541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1641</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3861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1713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6126</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2364</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7593</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3546</w:t>
            </w:r>
          </w:p>
        </w:tc>
      </w:tr>
      <w:tr w:rsidR="00C16E70" w:rsidRPr="00C16E70" w:rsidTr="00151E48">
        <w:trPr>
          <w:trHeight w:val="250"/>
        </w:trPr>
        <w:tc>
          <w:tcPr>
            <w:tcW w:w="900" w:type="dxa"/>
            <w:vMerge/>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45.4%</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54.6%</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60.8%</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39.2%</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69.3%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30.7%</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72.2%</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27.8%</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68.2%</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31.8%</w:t>
            </w:r>
          </w:p>
        </w:tc>
      </w:tr>
      <w:tr w:rsidR="00395639" w:rsidRPr="00C16E70" w:rsidTr="00151E48">
        <w:trPr>
          <w:trHeight w:val="250"/>
        </w:trPr>
        <w:tc>
          <w:tcPr>
            <w:tcW w:w="90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r>
      <w:tr w:rsidR="00C16E70" w:rsidRPr="00C16E70" w:rsidTr="00151E48">
        <w:trPr>
          <w:trHeight w:val="250"/>
        </w:trPr>
        <w:tc>
          <w:tcPr>
            <w:tcW w:w="900" w:type="dxa"/>
            <w:vMerge w:val="restart"/>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r w:rsidRPr="00CB3BED">
              <w:rPr>
                <w:rFonts w:ascii="Times New Roman" w:eastAsia="Times New Roman" w:hAnsi="Times New Roman" w:cs="Times New Roman"/>
                <w:b/>
                <w:sz w:val="20"/>
                <w:szCs w:val="20"/>
                <w:lang w:eastAsia="en-NZ"/>
              </w:rPr>
              <w:t xml:space="preserve">80-84 </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240</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321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1215</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699</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1818</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549</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3060</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876</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3579</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1128</w:t>
            </w:r>
          </w:p>
        </w:tc>
      </w:tr>
      <w:tr w:rsidR="00C16E70" w:rsidRPr="00C16E70" w:rsidTr="00151E48">
        <w:trPr>
          <w:trHeight w:val="250"/>
        </w:trPr>
        <w:tc>
          <w:tcPr>
            <w:tcW w:w="900" w:type="dxa"/>
            <w:vMerge/>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42.8%</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57.2%</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63.5%</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36.5%</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76.8%</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23.2%</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77.7%</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22.3%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76.0%</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24.0%</w:t>
            </w:r>
          </w:p>
        </w:tc>
      </w:tr>
      <w:tr w:rsidR="00395639" w:rsidRPr="00C16E70" w:rsidTr="00151E48">
        <w:trPr>
          <w:trHeight w:val="250"/>
        </w:trPr>
        <w:tc>
          <w:tcPr>
            <w:tcW w:w="90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rPr>
                <w:rFonts w:ascii="Times New Roman" w:eastAsia="Times New Roman" w:hAnsi="Times New Roman" w:cs="Times New Roman"/>
                <w:b/>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0"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c>
          <w:tcPr>
            <w:tcW w:w="811" w:type="dxa"/>
            <w:tcBorders>
              <w:top w:val="nil"/>
              <w:left w:val="nil"/>
              <w:bottom w:val="nil"/>
              <w:right w:val="nil"/>
            </w:tcBorders>
            <w:shd w:val="clear" w:color="auto" w:fill="auto"/>
            <w:noWrap/>
            <w:vAlign w:val="center"/>
          </w:tcPr>
          <w:p w:rsidR="00395639" w:rsidRPr="00CB3BED" w:rsidRDefault="00395639" w:rsidP="00BC1B69">
            <w:pPr>
              <w:tabs>
                <w:tab w:val="left" w:pos="426"/>
              </w:tabs>
              <w:spacing w:after="0" w:line="288" w:lineRule="auto"/>
              <w:jc w:val="right"/>
              <w:rPr>
                <w:rFonts w:ascii="Times New Roman" w:eastAsia="Times New Roman" w:hAnsi="Times New Roman" w:cs="Times New Roman"/>
                <w:sz w:val="20"/>
                <w:szCs w:val="20"/>
                <w:lang w:eastAsia="en-NZ"/>
              </w:rPr>
            </w:pPr>
          </w:p>
        </w:tc>
      </w:tr>
      <w:tr w:rsidR="00C16E70" w:rsidRPr="00C16E70" w:rsidTr="00151E48">
        <w:trPr>
          <w:trHeight w:val="250"/>
        </w:trPr>
        <w:tc>
          <w:tcPr>
            <w:tcW w:w="900" w:type="dxa"/>
            <w:vMerge w:val="restart"/>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rPr>
                <w:rFonts w:ascii="Times New Roman" w:eastAsia="Times New Roman" w:hAnsi="Times New Roman" w:cs="Times New Roman"/>
                <w:b/>
                <w:sz w:val="20"/>
                <w:szCs w:val="20"/>
                <w:lang w:eastAsia="en-NZ"/>
              </w:rPr>
            </w:pPr>
            <w:r w:rsidRPr="00CB3BED">
              <w:rPr>
                <w:rFonts w:ascii="Times New Roman" w:eastAsia="Times New Roman" w:hAnsi="Times New Roman" w:cs="Times New Roman"/>
                <w:b/>
                <w:sz w:val="20"/>
                <w:szCs w:val="20"/>
                <w:lang w:eastAsia="en-NZ"/>
              </w:rPr>
              <w:t>85</w:t>
            </w:r>
            <w:r w:rsidR="00977D84">
              <w:rPr>
                <w:rFonts w:ascii="Times New Roman" w:eastAsia="Times New Roman" w:hAnsi="Times New Roman" w:cs="Times New Roman"/>
                <w:b/>
                <w:sz w:val="20"/>
                <w:szCs w:val="20"/>
                <w:lang w:eastAsia="en-NZ"/>
              </w:rPr>
              <w:t>+</w:t>
            </w:r>
            <w:r w:rsidRPr="00CB3BED">
              <w:rPr>
                <w:rFonts w:ascii="Times New Roman" w:eastAsia="Times New Roman" w:hAnsi="Times New Roman" w:cs="Times New Roman"/>
                <w:b/>
                <w:sz w:val="20"/>
                <w:szCs w:val="20"/>
                <w:lang w:eastAsia="en-NZ"/>
              </w:rPr>
              <w:t xml:space="preserve"> </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72</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123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576</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282</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1002</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273</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1884</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441</w:t>
            </w:r>
          </w:p>
        </w:tc>
        <w:tc>
          <w:tcPr>
            <w:tcW w:w="810"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2304</w:t>
            </w:r>
          </w:p>
        </w:tc>
        <w:tc>
          <w:tcPr>
            <w:tcW w:w="811" w:type="dxa"/>
            <w:tcBorders>
              <w:top w:val="nil"/>
              <w:left w:val="nil"/>
              <w:bottom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492</w:t>
            </w:r>
          </w:p>
        </w:tc>
      </w:tr>
      <w:tr w:rsidR="00C16E70" w:rsidRPr="00C16E70" w:rsidTr="00151E48">
        <w:trPr>
          <w:trHeight w:val="250"/>
        </w:trPr>
        <w:tc>
          <w:tcPr>
            <w:tcW w:w="900" w:type="dxa"/>
            <w:vMerge/>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center"/>
              <w:rPr>
                <w:rFonts w:ascii="Times New Roman" w:eastAsia="Times New Roman" w:hAnsi="Times New Roman" w:cs="Times New Roman"/>
                <w:b/>
                <w:sz w:val="20"/>
                <w:szCs w:val="20"/>
                <w:lang w:eastAsia="en-NZ"/>
              </w:rPr>
            </w:pP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36.9%</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63.1%</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67.1%</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32.9%</w:t>
            </w:r>
          </w:p>
        </w:tc>
        <w:tc>
          <w:tcPr>
            <w:tcW w:w="811"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78.6%</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21.4%</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81.0%</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19.0%</w:t>
            </w:r>
          </w:p>
        </w:tc>
        <w:tc>
          <w:tcPr>
            <w:tcW w:w="810"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82.4%</w:t>
            </w:r>
          </w:p>
        </w:tc>
        <w:tc>
          <w:tcPr>
            <w:tcW w:w="811" w:type="dxa"/>
            <w:tcBorders>
              <w:top w:val="nil"/>
              <w:left w:val="nil"/>
              <w:right w:val="nil"/>
            </w:tcBorders>
            <w:shd w:val="clear" w:color="auto" w:fill="auto"/>
            <w:noWrap/>
            <w:vAlign w:val="center"/>
            <w:hideMark/>
          </w:tcPr>
          <w:p w:rsidR="00C16E70" w:rsidRPr="00CB3BED" w:rsidRDefault="00C16E70" w:rsidP="00BC1B69">
            <w:pPr>
              <w:tabs>
                <w:tab w:val="left" w:pos="426"/>
              </w:tabs>
              <w:spacing w:after="0" w:line="288" w:lineRule="auto"/>
              <w:jc w:val="right"/>
              <w:rPr>
                <w:rFonts w:ascii="Times New Roman" w:eastAsia="Times New Roman" w:hAnsi="Times New Roman" w:cs="Times New Roman"/>
                <w:sz w:val="20"/>
                <w:szCs w:val="20"/>
                <w:lang w:eastAsia="en-NZ"/>
              </w:rPr>
            </w:pPr>
            <w:r w:rsidRPr="00CB3BED">
              <w:rPr>
                <w:rFonts w:ascii="Times New Roman" w:eastAsia="Times New Roman" w:hAnsi="Times New Roman" w:cs="Times New Roman"/>
                <w:sz w:val="20"/>
                <w:szCs w:val="20"/>
                <w:lang w:eastAsia="en-NZ"/>
              </w:rPr>
              <w:t>17.6%</w:t>
            </w:r>
          </w:p>
        </w:tc>
      </w:tr>
    </w:tbl>
    <w:p w:rsidR="00E928E7" w:rsidRDefault="00E928E7" w:rsidP="00BC1B69">
      <w:pPr>
        <w:tabs>
          <w:tab w:val="left" w:pos="426"/>
        </w:tabs>
        <w:spacing w:after="0" w:line="288" w:lineRule="auto"/>
        <w:rPr>
          <w:lang w:val="en-US"/>
        </w:rPr>
      </w:pPr>
    </w:p>
    <w:sectPr w:rsidR="00E928E7" w:rsidSect="003B3104">
      <w:footerReference w:type="default" r:id="rId3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4E" w:rsidRDefault="00097B4E" w:rsidP="00A10425">
      <w:pPr>
        <w:spacing w:after="0" w:line="240" w:lineRule="auto"/>
      </w:pPr>
      <w:r>
        <w:separator/>
      </w:r>
    </w:p>
  </w:endnote>
  <w:endnote w:type="continuationSeparator" w:id="0">
    <w:p w:rsidR="00097B4E" w:rsidRDefault="00097B4E" w:rsidP="00A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724021591"/>
      <w:docPartObj>
        <w:docPartGallery w:val="Page Numbers (Bottom of Page)"/>
        <w:docPartUnique/>
      </w:docPartObj>
    </w:sdtPr>
    <w:sdtEndPr>
      <w:rPr>
        <w:noProof/>
      </w:rPr>
    </w:sdtEndPr>
    <w:sdtContent>
      <w:p w:rsidR="00CC4A32" w:rsidRPr="00865882" w:rsidRDefault="00973B72">
        <w:pPr>
          <w:pStyle w:val="Footer"/>
          <w:jc w:val="center"/>
          <w:rPr>
            <w:rFonts w:asciiTheme="majorBidi" w:hAnsiTheme="majorBidi" w:cstheme="majorBidi"/>
            <w:sz w:val="24"/>
            <w:szCs w:val="24"/>
          </w:rPr>
        </w:pPr>
        <w:r w:rsidRPr="00865882">
          <w:rPr>
            <w:rFonts w:asciiTheme="majorBidi" w:hAnsiTheme="majorBidi" w:cstheme="majorBidi"/>
            <w:sz w:val="24"/>
            <w:szCs w:val="24"/>
          </w:rPr>
          <w:fldChar w:fldCharType="begin"/>
        </w:r>
        <w:r w:rsidR="00CC4A32" w:rsidRPr="00865882">
          <w:rPr>
            <w:rFonts w:asciiTheme="majorBidi" w:hAnsiTheme="majorBidi" w:cstheme="majorBidi"/>
            <w:sz w:val="24"/>
            <w:szCs w:val="24"/>
          </w:rPr>
          <w:instrText xml:space="preserve"> PAGE   \* MERGEFORMAT </w:instrText>
        </w:r>
        <w:r w:rsidRPr="00865882">
          <w:rPr>
            <w:rFonts w:asciiTheme="majorBidi" w:hAnsiTheme="majorBidi" w:cstheme="majorBidi"/>
            <w:sz w:val="24"/>
            <w:szCs w:val="24"/>
          </w:rPr>
          <w:fldChar w:fldCharType="separate"/>
        </w:r>
        <w:r w:rsidR="00672DDD">
          <w:rPr>
            <w:rFonts w:asciiTheme="majorBidi" w:hAnsiTheme="majorBidi" w:cstheme="majorBidi"/>
            <w:noProof/>
            <w:sz w:val="24"/>
            <w:szCs w:val="24"/>
          </w:rPr>
          <w:t>26</w:t>
        </w:r>
        <w:r w:rsidRPr="00865882">
          <w:rPr>
            <w:rFonts w:asciiTheme="majorBidi" w:hAnsiTheme="majorBidi" w:cstheme="majorBidi"/>
            <w:noProof/>
            <w:sz w:val="24"/>
            <w:szCs w:val="24"/>
          </w:rPr>
          <w:fldChar w:fldCharType="end"/>
        </w:r>
      </w:p>
    </w:sdtContent>
  </w:sdt>
  <w:p w:rsidR="00CC4A32" w:rsidRDefault="00CC4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4E" w:rsidRDefault="00097B4E" w:rsidP="00A10425">
      <w:pPr>
        <w:spacing w:after="0" w:line="240" w:lineRule="auto"/>
      </w:pPr>
      <w:r>
        <w:separator/>
      </w:r>
    </w:p>
  </w:footnote>
  <w:footnote w:type="continuationSeparator" w:id="0">
    <w:p w:rsidR="00097B4E" w:rsidRDefault="00097B4E" w:rsidP="00A10425">
      <w:pPr>
        <w:spacing w:after="0" w:line="240" w:lineRule="auto"/>
      </w:pPr>
      <w:r>
        <w:continuationSeparator/>
      </w:r>
    </w:p>
  </w:footnote>
  <w:footnote w:id="1">
    <w:p w:rsidR="00CC4A32" w:rsidRPr="00671718" w:rsidRDefault="00CC4A32" w:rsidP="00671718">
      <w:pPr>
        <w:pStyle w:val="FootnoteText"/>
        <w:ind w:left="142" w:hanging="142"/>
        <w:jc w:val="both"/>
        <w:rPr>
          <w:rFonts w:ascii="Times New Roman" w:hAnsi="Times New Roman" w:cs="Times New Roman"/>
          <w:sz w:val="22"/>
          <w:szCs w:val="22"/>
        </w:rPr>
      </w:pPr>
      <w:r w:rsidRPr="00671718">
        <w:rPr>
          <w:rStyle w:val="FootnoteReference"/>
          <w:rFonts w:ascii="Times New Roman" w:hAnsi="Times New Roman" w:cs="Times New Roman"/>
          <w:sz w:val="22"/>
          <w:szCs w:val="22"/>
        </w:rPr>
        <w:footnoteRef/>
      </w:r>
      <w:r w:rsidRPr="00671718">
        <w:rPr>
          <w:rFonts w:ascii="Times New Roman" w:hAnsi="Times New Roman" w:cs="Times New Roman"/>
          <w:sz w:val="22"/>
          <w:szCs w:val="22"/>
        </w:rPr>
        <w:t xml:space="preserve"> There is no official ‘retirement age’ in New Zealand, although many older workers are likely to take the opportunity to retire presented by the commencement of national superannuation at age 65. For simplicity, the remainder of the paper will refer to age 65 as the retirement age, meaning the age at which national superannuation becomes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nsid w:val="500C1674"/>
    <w:multiLevelType w:val="hybridMultilevel"/>
    <w:tmpl w:val="5082E634"/>
    <w:lvl w:ilvl="0" w:tplc="FD508A1C">
      <w:start w:val="1"/>
      <w:numFmt w:val="decimal"/>
      <w:pStyle w:val="Heading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1"/>
  </w:num>
  <w:num w:numId="2">
    <w:abstractNumId w:val="4"/>
  </w:num>
  <w:num w:numId="3">
    <w:abstractNumId w:val="19"/>
  </w:num>
  <w:num w:numId="4">
    <w:abstractNumId w:val="17"/>
  </w:num>
  <w:num w:numId="5">
    <w:abstractNumId w:val="16"/>
  </w:num>
  <w:num w:numId="6">
    <w:abstractNumId w:val="8"/>
  </w:num>
  <w:num w:numId="7">
    <w:abstractNumId w:val="18"/>
  </w:num>
  <w:num w:numId="8">
    <w:abstractNumId w:val="6"/>
  </w:num>
  <w:num w:numId="9">
    <w:abstractNumId w:val="14"/>
  </w:num>
  <w:num w:numId="10">
    <w:abstractNumId w:val="2"/>
  </w:num>
  <w:num w:numId="11">
    <w:abstractNumId w:val="5"/>
  </w:num>
  <w:num w:numId="12">
    <w:abstractNumId w:val="13"/>
  </w:num>
  <w:num w:numId="13">
    <w:abstractNumId w:val="10"/>
  </w:num>
  <w:num w:numId="14">
    <w:abstractNumId w:val="3"/>
  </w:num>
  <w:num w:numId="15">
    <w:abstractNumId w:val="0"/>
  </w:num>
  <w:num w:numId="16">
    <w:abstractNumId w:val="1"/>
  </w:num>
  <w:num w:numId="17">
    <w:abstractNumId w:val="9"/>
  </w:num>
  <w:num w:numId="18">
    <w:abstractNumId w:val="7"/>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25"/>
    <w:rsid w:val="0000644C"/>
    <w:rsid w:val="000079B5"/>
    <w:rsid w:val="000160A1"/>
    <w:rsid w:val="00046B87"/>
    <w:rsid w:val="00064C76"/>
    <w:rsid w:val="0006594D"/>
    <w:rsid w:val="00067ABE"/>
    <w:rsid w:val="00073388"/>
    <w:rsid w:val="00074527"/>
    <w:rsid w:val="00074905"/>
    <w:rsid w:val="00077896"/>
    <w:rsid w:val="00083B89"/>
    <w:rsid w:val="00084DB6"/>
    <w:rsid w:val="000863E7"/>
    <w:rsid w:val="00086698"/>
    <w:rsid w:val="000934C5"/>
    <w:rsid w:val="00097B4E"/>
    <w:rsid w:val="000A4146"/>
    <w:rsid w:val="000B1E3A"/>
    <w:rsid w:val="000B56BC"/>
    <w:rsid w:val="000B5E5D"/>
    <w:rsid w:val="000B6CB7"/>
    <w:rsid w:val="000B75FA"/>
    <w:rsid w:val="000C0B40"/>
    <w:rsid w:val="000C727D"/>
    <w:rsid w:val="000D7D03"/>
    <w:rsid w:val="000D7E52"/>
    <w:rsid w:val="000F15E0"/>
    <w:rsid w:val="000F1AB1"/>
    <w:rsid w:val="001105F0"/>
    <w:rsid w:val="00110AED"/>
    <w:rsid w:val="001117A2"/>
    <w:rsid w:val="0011433D"/>
    <w:rsid w:val="00116950"/>
    <w:rsid w:val="00121329"/>
    <w:rsid w:val="001224AC"/>
    <w:rsid w:val="00124381"/>
    <w:rsid w:val="00125018"/>
    <w:rsid w:val="0012622A"/>
    <w:rsid w:val="0012635D"/>
    <w:rsid w:val="00126B12"/>
    <w:rsid w:val="001320C6"/>
    <w:rsid w:val="00132238"/>
    <w:rsid w:val="0013558C"/>
    <w:rsid w:val="0014191B"/>
    <w:rsid w:val="001421D0"/>
    <w:rsid w:val="00145396"/>
    <w:rsid w:val="00145DF5"/>
    <w:rsid w:val="00146D28"/>
    <w:rsid w:val="00150539"/>
    <w:rsid w:val="00151E48"/>
    <w:rsid w:val="001549F4"/>
    <w:rsid w:val="00155F32"/>
    <w:rsid w:val="00156EE2"/>
    <w:rsid w:val="001670E4"/>
    <w:rsid w:val="00172850"/>
    <w:rsid w:val="00180BD1"/>
    <w:rsid w:val="00186AB1"/>
    <w:rsid w:val="00192FCC"/>
    <w:rsid w:val="001937D3"/>
    <w:rsid w:val="00193F04"/>
    <w:rsid w:val="00195C4B"/>
    <w:rsid w:val="00196504"/>
    <w:rsid w:val="001A57DB"/>
    <w:rsid w:val="001B0B59"/>
    <w:rsid w:val="001B382F"/>
    <w:rsid w:val="001C1E2D"/>
    <w:rsid w:val="001C6216"/>
    <w:rsid w:val="001D1778"/>
    <w:rsid w:val="001E0459"/>
    <w:rsid w:val="001E3D52"/>
    <w:rsid w:val="001E4CB4"/>
    <w:rsid w:val="001E75F4"/>
    <w:rsid w:val="001F1121"/>
    <w:rsid w:val="001F2FE4"/>
    <w:rsid w:val="00206EB2"/>
    <w:rsid w:val="00220E47"/>
    <w:rsid w:val="0022276D"/>
    <w:rsid w:val="00225147"/>
    <w:rsid w:val="00227BA9"/>
    <w:rsid w:val="00230FAF"/>
    <w:rsid w:val="00235751"/>
    <w:rsid w:val="00235854"/>
    <w:rsid w:val="00236228"/>
    <w:rsid w:val="00236678"/>
    <w:rsid w:val="002434AE"/>
    <w:rsid w:val="00247684"/>
    <w:rsid w:val="0025389C"/>
    <w:rsid w:val="00253F68"/>
    <w:rsid w:val="0025423B"/>
    <w:rsid w:val="002647D1"/>
    <w:rsid w:val="0027042D"/>
    <w:rsid w:val="00270CD7"/>
    <w:rsid w:val="00280161"/>
    <w:rsid w:val="002805F0"/>
    <w:rsid w:val="002817B9"/>
    <w:rsid w:val="00285A7E"/>
    <w:rsid w:val="00286C5E"/>
    <w:rsid w:val="002877F8"/>
    <w:rsid w:val="002933CB"/>
    <w:rsid w:val="002A128E"/>
    <w:rsid w:val="002A172C"/>
    <w:rsid w:val="002A22E0"/>
    <w:rsid w:val="002A683B"/>
    <w:rsid w:val="002B6418"/>
    <w:rsid w:val="002C0B7B"/>
    <w:rsid w:val="002E30F5"/>
    <w:rsid w:val="002E4F5D"/>
    <w:rsid w:val="0030014D"/>
    <w:rsid w:val="00301D56"/>
    <w:rsid w:val="00301F67"/>
    <w:rsid w:val="003029EA"/>
    <w:rsid w:val="00304EF4"/>
    <w:rsid w:val="00307834"/>
    <w:rsid w:val="00307AAB"/>
    <w:rsid w:val="003133AB"/>
    <w:rsid w:val="00313D84"/>
    <w:rsid w:val="00316A8C"/>
    <w:rsid w:val="00317631"/>
    <w:rsid w:val="0033264C"/>
    <w:rsid w:val="00335064"/>
    <w:rsid w:val="00344B4F"/>
    <w:rsid w:val="00347192"/>
    <w:rsid w:val="00360313"/>
    <w:rsid w:val="0036105E"/>
    <w:rsid w:val="003767E2"/>
    <w:rsid w:val="00376FE2"/>
    <w:rsid w:val="00382D1F"/>
    <w:rsid w:val="00386D54"/>
    <w:rsid w:val="0039304C"/>
    <w:rsid w:val="00395639"/>
    <w:rsid w:val="003A0E05"/>
    <w:rsid w:val="003A2ABA"/>
    <w:rsid w:val="003A46D2"/>
    <w:rsid w:val="003A6741"/>
    <w:rsid w:val="003B3104"/>
    <w:rsid w:val="003B45CC"/>
    <w:rsid w:val="003B46DF"/>
    <w:rsid w:val="003B483E"/>
    <w:rsid w:val="003B6A7B"/>
    <w:rsid w:val="003C2D7E"/>
    <w:rsid w:val="003C4AAF"/>
    <w:rsid w:val="003C61E5"/>
    <w:rsid w:val="003E10AA"/>
    <w:rsid w:val="003F298E"/>
    <w:rsid w:val="003F4B03"/>
    <w:rsid w:val="004015EA"/>
    <w:rsid w:val="0040631F"/>
    <w:rsid w:val="004114C4"/>
    <w:rsid w:val="00411871"/>
    <w:rsid w:val="00413DE9"/>
    <w:rsid w:val="00414CEB"/>
    <w:rsid w:val="00422D14"/>
    <w:rsid w:val="0042776F"/>
    <w:rsid w:val="00430488"/>
    <w:rsid w:val="00430748"/>
    <w:rsid w:val="00433C05"/>
    <w:rsid w:val="004414B6"/>
    <w:rsid w:val="00442D24"/>
    <w:rsid w:val="00442DB8"/>
    <w:rsid w:val="0044508A"/>
    <w:rsid w:val="004537B3"/>
    <w:rsid w:val="004557AD"/>
    <w:rsid w:val="00463D7E"/>
    <w:rsid w:val="00464D16"/>
    <w:rsid w:val="0047107B"/>
    <w:rsid w:val="0047214A"/>
    <w:rsid w:val="004739F6"/>
    <w:rsid w:val="0047679E"/>
    <w:rsid w:val="0047684E"/>
    <w:rsid w:val="00483894"/>
    <w:rsid w:val="0048401A"/>
    <w:rsid w:val="00486F2B"/>
    <w:rsid w:val="00490460"/>
    <w:rsid w:val="004948BF"/>
    <w:rsid w:val="00494B21"/>
    <w:rsid w:val="004955DC"/>
    <w:rsid w:val="00497C48"/>
    <w:rsid w:val="004A3C95"/>
    <w:rsid w:val="004C53BE"/>
    <w:rsid w:val="004D090B"/>
    <w:rsid w:val="004D0FDA"/>
    <w:rsid w:val="004D1AD8"/>
    <w:rsid w:val="004D4B05"/>
    <w:rsid w:val="004D688E"/>
    <w:rsid w:val="004E5401"/>
    <w:rsid w:val="004E5C6B"/>
    <w:rsid w:val="004E7937"/>
    <w:rsid w:val="004F1726"/>
    <w:rsid w:val="005010E6"/>
    <w:rsid w:val="005139C7"/>
    <w:rsid w:val="00516020"/>
    <w:rsid w:val="00521C71"/>
    <w:rsid w:val="005250BA"/>
    <w:rsid w:val="0052571D"/>
    <w:rsid w:val="0052663D"/>
    <w:rsid w:val="005274CC"/>
    <w:rsid w:val="005348D2"/>
    <w:rsid w:val="00535EA7"/>
    <w:rsid w:val="00542627"/>
    <w:rsid w:val="00560A0B"/>
    <w:rsid w:val="00562F7E"/>
    <w:rsid w:val="0056324B"/>
    <w:rsid w:val="00563F1D"/>
    <w:rsid w:val="00581945"/>
    <w:rsid w:val="00585675"/>
    <w:rsid w:val="005A3046"/>
    <w:rsid w:val="005A76BE"/>
    <w:rsid w:val="005B04E4"/>
    <w:rsid w:val="005B1025"/>
    <w:rsid w:val="005B2B10"/>
    <w:rsid w:val="005B58C0"/>
    <w:rsid w:val="005C4352"/>
    <w:rsid w:val="005C485D"/>
    <w:rsid w:val="005C7F7D"/>
    <w:rsid w:val="005D6097"/>
    <w:rsid w:val="005E13A3"/>
    <w:rsid w:val="005E672F"/>
    <w:rsid w:val="005F002A"/>
    <w:rsid w:val="005F1800"/>
    <w:rsid w:val="005F61D9"/>
    <w:rsid w:val="006142E3"/>
    <w:rsid w:val="00616B7A"/>
    <w:rsid w:val="0062666D"/>
    <w:rsid w:val="0062789E"/>
    <w:rsid w:val="0063603D"/>
    <w:rsid w:val="00637D67"/>
    <w:rsid w:val="006421B9"/>
    <w:rsid w:val="00652A60"/>
    <w:rsid w:val="00652C59"/>
    <w:rsid w:val="006670CD"/>
    <w:rsid w:val="00671718"/>
    <w:rsid w:val="00672226"/>
    <w:rsid w:val="00672DDD"/>
    <w:rsid w:val="00676358"/>
    <w:rsid w:val="006806E3"/>
    <w:rsid w:val="00691357"/>
    <w:rsid w:val="006917AD"/>
    <w:rsid w:val="00693D6C"/>
    <w:rsid w:val="00695B01"/>
    <w:rsid w:val="00696112"/>
    <w:rsid w:val="006A665C"/>
    <w:rsid w:val="006A74D5"/>
    <w:rsid w:val="006A7C81"/>
    <w:rsid w:val="006A7F5D"/>
    <w:rsid w:val="006B018D"/>
    <w:rsid w:val="006B0482"/>
    <w:rsid w:val="006B55EB"/>
    <w:rsid w:val="006C0CBE"/>
    <w:rsid w:val="006C17F6"/>
    <w:rsid w:val="006C6C2C"/>
    <w:rsid w:val="006D4A87"/>
    <w:rsid w:val="006E25F4"/>
    <w:rsid w:val="0070717D"/>
    <w:rsid w:val="00710569"/>
    <w:rsid w:val="007106D5"/>
    <w:rsid w:val="00711D3B"/>
    <w:rsid w:val="00713DC6"/>
    <w:rsid w:val="007152EC"/>
    <w:rsid w:val="00731E99"/>
    <w:rsid w:val="00734D74"/>
    <w:rsid w:val="007369D3"/>
    <w:rsid w:val="00742868"/>
    <w:rsid w:val="007433F7"/>
    <w:rsid w:val="00743ED0"/>
    <w:rsid w:val="00750B64"/>
    <w:rsid w:val="00751413"/>
    <w:rsid w:val="007529F5"/>
    <w:rsid w:val="00761262"/>
    <w:rsid w:val="0076538C"/>
    <w:rsid w:val="00765620"/>
    <w:rsid w:val="00765937"/>
    <w:rsid w:val="00773CB9"/>
    <w:rsid w:val="007760AF"/>
    <w:rsid w:val="00793B9C"/>
    <w:rsid w:val="007A27F6"/>
    <w:rsid w:val="007A301E"/>
    <w:rsid w:val="007A7EA9"/>
    <w:rsid w:val="007C39CE"/>
    <w:rsid w:val="007C3C21"/>
    <w:rsid w:val="007C7F57"/>
    <w:rsid w:val="007E10B4"/>
    <w:rsid w:val="007E2DF5"/>
    <w:rsid w:val="007F1909"/>
    <w:rsid w:val="00805560"/>
    <w:rsid w:val="00805FC0"/>
    <w:rsid w:val="008104A3"/>
    <w:rsid w:val="00822588"/>
    <w:rsid w:val="008248F6"/>
    <w:rsid w:val="0082765A"/>
    <w:rsid w:val="00840A1B"/>
    <w:rsid w:val="0084360A"/>
    <w:rsid w:val="0084629D"/>
    <w:rsid w:val="00846E4C"/>
    <w:rsid w:val="00850511"/>
    <w:rsid w:val="00850C90"/>
    <w:rsid w:val="00851E78"/>
    <w:rsid w:val="00853288"/>
    <w:rsid w:val="00856DE8"/>
    <w:rsid w:val="00860F8A"/>
    <w:rsid w:val="00865882"/>
    <w:rsid w:val="008757F7"/>
    <w:rsid w:val="00882EC9"/>
    <w:rsid w:val="008845BC"/>
    <w:rsid w:val="008853CA"/>
    <w:rsid w:val="00893F39"/>
    <w:rsid w:val="008971E0"/>
    <w:rsid w:val="008A1084"/>
    <w:rsid w:val="008B0DBC"/>
    <w:rsid w:val="008B3342"/>
    <w:rsid w:val="008B3892"/>
    <w:rsid w:val="008B65DC"/>
    <w:rsid w:val="008C0985"/>
    <w:rsid w:val="008C603F"/>
    <w:rsid w:val="008D4440"/>
    <w:rsid w:val="008D4C04"/>
    <w:rsid w:val="008E43EA"/>
    <w:rsid w:val="008F0CA1"/>
    <w:rsid w:val="0090131D"/>
    <w:rsid w:val="00905CA9"/>
    <w:rsid w:val="00906078"/>
    <w:rsid w:val="009118C0"/>
    <w:rsid w:val="00913F6C"/>
    <w:rsid w:val="00914E39"/>
    <w:rsid w:val="00925DD9"/>
    <w:rsid w:val="00936841"/>
    <w:rsid w:val="00951356"/>
    <w:rsid w:val="00952B62"/>
    <w:rsid w:val="00953371"/>
    <w:rsid w:val="00953E5D"/>
    <w:rsid w:val="00955209"/>
    <w:rsid w:val="00957414"/>
    <w:rsid w:val="009610AC"/>
    <w:rsid w:val="009631CD"/>
    <w:rsid w:val="00973088"/>
    <w:rsid w:val="0097329E"/>
    <w:rsid w:val="00973B72"/>
    <w:rsid w:val="00977D84"/>
    <w:rsid w:val="00982074"/>
    <w:rsid w:val="00983316"/>
    <w:rsid w:val="0098763A"/>
    <w:rsid w:val="00990292"/>
    <w:rsid w:val="00990CC4"/>
    <w:rsid w:val="00991D52"/>
    <w:rsid w:val="00996A57"/>
    <w:rsid w:val="009A405E"/>
    <w:rsid w:val="009A765C"/>
    <w:rsid w:val="009B440C"/>
    <w:rsid w:val="009B5A8E"/>
    <w:rsid w:val="009B5B6A"/>
    <w:rsid w:val="009C36F5"/>
    <w:rsid w:val="009C680A"/>
    <w:rsid w:val="009D6075"/>
    <w:rsid w:val="009E397F"/>
    <w:rsid w:val="009F00F1"/>
    <w:rsid w:val="00A04F3F"/>
    <w:rsid w:val="00A07C84"/>
    <w:rsid w:val="00A07C8B"/>
    <w:rsid w:val="00A10425"/>
    <w:rsid w:val="00A111B9"/>
    <w:rsid w:val="00A158BE"/>
    <w:rsid w:val="00A20F6F"/>
    <w:rsid w:val="00A21DCE"/>
    <w:rsid w:val="00A230F6"/>
    <w:rsid w:val="00A24A3E"/>
    <w:rsid w:val="00A26DE5"/>
    <w:rsid w:val="00A273C9"/>
    <w:rsid w:val="00A316E4"/>
    <w:rsid w:val="00A41F5E"/>
    <w:rsid w:val="00A43439"/>
    <w:rsid w:val="00A50BA7"/>
    <w:rsid w:val="00A51A25"/>
    <w:rsid w:val="00A539AC"/>
    <w:rsid w:val="00A5562D"/>
    <w:rsid w:val="00A60465"/>
    <w:rsid w:val="00A663C7"/>
    <w:rsid w:val="00A731BE"/>
    <w:rsid w:val="00A81B5A"/>
    <w:rsid w:val="00A840F0"/>
    <w:rsid w:val="00A8558F"/>
    <w:rsid w:val="00A92DFB"/>
    <w:rsid w:val="00A9434E"/>
    <w:rsid w:val="00A951B7"/>
    <w:rsid w:val="00AA00CA"/>
    <w:rsid w:val="00AA3608"/>
    <w:rsid w:val="00AA4614"/>
    <w:rsid w:val="00AB1975"/>
    <w:rsid w:val="00AB368E"/>
    <w:rsid w:val="00AB4EFE"/>
    <w:rsid w:val="00AB60D5"/>
    <w:rsid w:val="00AB692F"/>
    <w:rsid w:val="00AB7105"/>
    <w:rsid w:val="00AD340D"/>
    <w:rsid w:val="00AD47FF"/>
    <w:rsid w:val="00AD6478"/>
    <w:rsid w:val="00AD6B6E"/>
    <w:rsid w:val="00AD7D67"/>
    <w:rsid w:val="00AE1103"/>
    <w:rsid w:val="00AE3839"/>
    <w:rsid w:val="00AE42B7"/>
    <w:rsid w:val="00B01105"/>
    <w:rsid w:val="00B0451D"/>
    <w:rsid w:val="00B145E8"/>
    <w:rsid w:val="00B14D39"/>
    <w:rsid w:val="00B160E4"/>
    <w:rsid w:val="00B227EE"/>
    <w:rsid w:val="00B24C6F"/>
    <w:rsid w:val="00B266F1"/>
    <w:rsid w:val="00B306F6"/>
    <w:rsid w:val="00B31C27"/>
    <w:rsid w:val="00B321B7"/>
    <w:rsid w:val="00B34A85"/>
    <w:rsid w:val="00B40B20"/>
    <w:rsid w:val="00B439E9"/>
    <w:rsid w:val="00B44B8E"/>
    <w:rsid w:val="00B5600F"/>
    <w:rsid w:val="00B606C8"/>
    <w:rsid w:val="00B77319"/>
    <w:rsid w:val="00B77D88"/>
    <w:rsid w:val="00B77F77"/>
    <w:rsid w:val="00B801D6"/>
    <w:rsid w:val="00B877FD"/>
    <w:rsid w:val="00B87AB1"/>
    <w:rsid w:val="00B91997"/>
    <w:rsid w:val="00B91F81"/>
    <w:rsid w:val="00B92F16"/>
    <w:rsid w:val="00BA12B5"/>
    <w:rsid w:val="00BC1B69"/>
    <w:rsid w:val="00BC42FB"/>
    <w:rsid w:val="00BC5BF4"/>
    <w:rsid w:val="00BD684E"/>
    <w:rsid w:val="00BE2155"/>
    <w:rsid w:val="00BE21B6"/>
    <w:rsid w:val="00BF792A"/>
    <w:rsid w:val="00C15D9F"/>
    <w:rsid w:val="00C16E70"/>
    <w:rsid w:val="00C22540"/>
    <w:rsid w:val="00C23C9F"/>
    <w:rsid w:val="00C25F4F"/>
    <w:rsid w:val="00C271CE"/>
    <w:rsid w:val="00C31C99"/>
    <w:rsid w:val="00C34812"/>
    <w:rsid w:val="00C41FA4"/>
    <w:rsid w:val="00C46564"/>
    <w:rsid w:val="00C731E8"/>
    <w:rsid w:val="00C75916"/>
    <w:rsid w:val="00C81B80"/>
    <w:rsid w:val="00C81FDC"/>
    <w:rsid w:val="00C8552F"/>
    <w:rsid w:val="00CA0F62"/>
    <w:rsid w:val="00CA3882"/>
    <w:rsid w:val="00CA7207"/>
    <w:rsid w:val="00CA7FC6"/>
    <w:rsid w:val="00CB3BED"/>
    <w:rsid w:val="00CB533A"/>
    <w:rsid w:val="00CB58A5"/>
    <w:rsid w:val="00CB6908"/>
    <w:rsid w:val="00CB7E29"/>
    <w:rsid w:val="00CC41E3"/>
    <w:rsid w:val="00CC4A32"/>
    <w:rsid w:val="00CC4CEB"/>
    <w:rsid w:val="00CD5782"/>
    <w:rsid w:val="00CD672E"/>
    <w:rsid w:val="00CD6A11"/>
    <w:rsid w:val="00CF3A62"/>
    <w:rsid w:val="00CF4D8C"/>
    <w:rsid w:val="00CF77BC"/>
    <w:rsid w:val="00CF7B3E"/>
    <w:rsid w:val="00D1381F"/>
    <w:rsid w:val="00D139A0"/>
    <w:rsid w:val="00D141FD"/>
    <w:rsid w:val="00D16033"/>
    <w:rsid w:val="00D249A9"/>
    <w:rsid w:val="00D25816"/>
    <w:rsid w:val="00D278E0"/>
    <w:rsid w:val="00D42083"/>
    <w:rsid w:val="00D45A67"/>
    <w:rsid w:val="00D4621E"/>
    <w:rsid w:val="00D50210"/>
    <w:rsid w:val="00D56B9A"/>
    <w:rsid w:val="00D5791A"/>
    <w:rsid w:val="00D66660"/>
    <w:rsid w:val="00D733FC"/>
    <w:rsid w:val="00D75E8B"/>
    <w:rsid w:val="00D82C1C"/>
    <w:rsid w:val="00D84241"/>
    <w:rsid w:val="00D85558"/>
    <w:rsid w:val="00D863AC"/>
    <w:rsid w:val="00D87252"/>
    <w:rsid w:val="00D878CA"/>
    <w:rsid w:val="00D87DE6"/>
    <w:rsid w:val="00D9184F"/>
    <w:rsid w:val="00DA3D1E"/>
    <w:rsid w:val="00DB6AF0"/>
    <w:rsid w:val="00DB6D36"/>
    <w:rsid w:val="00DC35D9"/>
    <w:rsid w:val="00DC565D"/>
    <w:rsid w:val="00DC68AB"/>
    <w:rsid w:val="00DE22A5"/>
    <w:rsid w:val="00DE3C7B"/>
    <w:rsid w:val="00DE55A6"/>
    <w:rsid w:val="00DF1323"/>
    <w:rsid w:val="00DF3AF9"/>
    <w:rsid w:val="00DF5F10"/>
    <w:rsid w:val="00E0065A"/>
    <w:rsid w:val="00E00E5A"/>
    <w:rsid w:val="00E03C2F"/>
    <w:rsid w:val="00E03CD6"/>
    <w:rsid w:val="00E043BC"/>
    <w:rsid w:val="00E04A06"/>
    <w:rsid w:val="00E10A84"/>
    <w:rsid w:val="00E12838"/>
    <w:rsid w:val="00E12950"/>
    <w:rsid w:val="00E1724D"/>
    <w:rsid w:val="00E1738F"/>
    <w:rsid w:val="00E179D4"/>
    <w:rsid w:val="00E216E3"/>
    <w:rsid w:val="00E22F70"/>
    <w:rsid w:val="00E33723"/>
    <w:rsid w:val="00E35AAB"/>
    <w:rsid w:val="00E367BE"/>
    <w:rsid w:val="00E415AA"/>
    <w:rsid w:val="00E4604D"/>
    <w:rsid w:val="00E5110B"/>
    <w:rsid w:val="00E55762"/>
    <w:rsid w:val="00E70D17"/>
    <w:rsid w:val="00E765CB"/>
    <w:rsid w:val="00E76D74"/>
    <w:rsid w:val="00E80A86"/>
    <w:rsid w:val="00E8719B"/>
    <w:rsid w:val="00E87E4C"/>
    <w:rsid w:val="00E928E7"/>
    <w:rsid w:val="00E95C65"/>
    <w:rsid w:val="00EA4D1C"/>
    <w:rsid w:val="00EB0922"/>
    <w:rsid w:val="00EB3E8C"/>
    <w:rsid w:val="00EB46F5"/>
    <w:rsid w:val="00EB514B"/>
    <w:rsid w:val="00EB5C3A"/>
    <w:rsid w:val="00EC0999"/>
    <w:rsid w:val="00ED0BA6"/>
    <w:rsid w:val="00ED22E0"/>
    <w:rsid w:val="00ED53F4"/>
    <w:rsid w:val="00ED5824"/>
    <w:rsid w:val="00ED646E"/>
    <w:rsid w:val="00ED780F"/>
    <w:rsid w:val="00ED7BFF"/>
    <w:rsid w:val="00EE01BD"/>
    <w:rsid w:val="00EE2F87"/>
    <w:rsid w:val="00EE4429"/>
    <w:rsid w:val="00EE4816"/>
    <w:rsid w:val="00EE5382"/>
    <w:rsid w:val="00EE6A83"/>
    <w:rsid w:val="00EE7BFD"/>
    <w:rsid w:val="00EF1F25"/>
    <w:rsid w:val="00EF382E"/>
    <w:rsid w:val="00F0625A"/>
    <w:rsid w:val="00F0705C"/>
    <w:rsid w:val="00F10BDB"/>
    <w:rsid w:val="00F15765"/>
    <w:rsid w:val="00F179E6"/>
    <w:rsid w:val="00F2078F"/>
    <w:rsid w:val="00F22624"/>
    <w:rsid w:val="00F23921"/>
    <w:rsid w:val="00F25527"/>
    <w:rsid w:val="00F310CA"/>
    <w:rsid w:val="00F31CE7"/>
    <w:rsid w:val="00F31FD5"/>
    <w:rsid w:val="00F37211"/>
    <w:rsid w:val="00F37B2B"/>
    <w:rsid w:val="00F43B98"/>
    <w:rsid w:val="00F45191"/>
    <w:rsid w:val="00F57589"/>
    <w:rsid w:val="00F63403"/>
    <w:rsid w:val="00F63768"/>
    <w:rsid w:val="00F7355E"/>
    <w:rsid w:val="00F74F3A"/>
    <w:rsid w:val="00F76CA7"/>
    <w:rsid w:val="00F96197"/>
    <w:rsid w:val="00F97744"/>
    <w:rsid w:val="00FB697A"/>
    <w:rsid w:val="00FC17A8"/>
    <w:rsid w:val="00FC21A1"/>
    <w:rsid w:val="00FC61D4"/>
    <w:rsid w:val="00FC6525"/>
    <w:rsid w:val="00FD4688"/>
    <w:rsid w:val="00FE08EA"/>
    <w:rsid w:val="00FE7FE3"/>
    <w:rsid w:val="00FF3E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671718"/>
    <w:pPr>
      <w:keepNext/>
      <w:keepLines/>
      <w:numPr>
        <w:numId w:val="20"/>
      </w:numPr>
      <w:tabs>
        <w:tab w:val="left" w:pos="426"/>
      </w:tabs>
      <w:spacing w:after="0" w:line="288" w:lineRule="auto"/>
      <w:ind w:left="0" w:firstLine="0"/>
      <w:outlineLvl w:val="1"/>
    </w:pPr>
    <w:rPr>
      <w:rFonts w:ascii="Times New Roman" w:eastAsiaTheme="majorEastAsia" w:hAnsi="Times New Roman" w:cstheme="majorBidi"/>
      <w:b/>
      <w:bCs/>
      <w:sz w:val="24"/>
      <w:szCs w:val="24"/>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718"/>
    <w:rPr>
      <w:rFonts w:ascii="Times New Roman" w:eastAsiaTheme="majorEastAsia" w:hAnsi="Times New Roman" w:cstheme="majorBidi"/>
      <w:b/>
      <w:bCs/>
      <w:sz w:val="24"/>
      <w:szCs w:val="24"/>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character" w:styleId="SubtleReference">
    <w:name w:val="Subtle Reference"/>
    <w:uiPriority w:val="31"/>
    <w:qFormat/>
    <w:rsid w:val="00430488"/>
    <w:rPr>
      <w:rFonts w:asciiTheme="majorBidi" w:hAnsiTheme="majorBidi" w:cstheme="majorBidi"/>
      <w:noProof/>
      <w:sz w:val="24"/>
      <w:szCs w:val="24"/>
      <w:lang w:val="en-US"/>
    </w:rPr>
  </w:style>
  <w:style w:type="paragraph" w:styleId="PlainText">
    <w:name w:val="Plain Text"/>
    <w:basedOn w:val="Normal"/>
    <w:link w:val="PlainTextChar"/>
    <w:uiPriority w:val="99"/>
    <w:semiHidden/>
    <w:unhideWhenUsed/>
    <w:rsid w:val="00145DF5"/>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semiHidden/>
    <w:rsid w:val="00145DF5"/>
    <w:rPr>
      <w:rFonts w:ascii="Courier New" w:eastAsia="SimSu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671718"/>
    <w:pPr>
      <w:keepNext/>
      <w:keepLines/>
      <w:numPr>
        <w:numId w:val="20"/>
      </w:numPr>
      <w:tabs>
        <w:tab w:val="left" w:pos="426"/>
      </w:tabs>
      <w:spacing w:after="0" w:line="288" w:lineRule="auto"/>
      <w:ind w:left="0" w:firstLine="0"/>
      <w:outlineLvl w:val="1"/>
    </w:pPr>
    <w:rPr>
      <w:rFonts w:ascii="Times New Roman" w:eastAsiaTheme="majorEastAsia" w:hAnsi="Times New Roman" w:cstheme="majorBidi"/>
      <w:b/>
      <w:bCs/>
      <w:sz w:val="24"/>
      <w:szCs w:val="24"/>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718"/>
    <w:rPr>
      <w:rFonts w:ascii="Times New Roman" w:eastAsiaTheme="majorEastAsia" w:hAnsi="Times New Roman" w:cstheme="majorBidi"/>
      <w:b/>
      <w:bCs/>
      <w:sz w:val="24"/>
      <w:szCs w:val="24"/>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104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character" w:styleId="SubtleReference">
    <w:name w:val="Subtle Reference"/>
    <w:uiPriority w:val="31"/>
    <w:qFormat/>
    <w:rsid w:val="00430488"/>
    <w:rPr>
      <w:rFonts w:asciiTheme="majorBidi" w:hAnsiTheme="majorBidi" w:cstheme="majorBidi"/>
      <w:noProof/>
      <w:sz w:val="24"/>
      <w:szCs w:val="24"/>
      <w:lang w:val="en-US"/>
    </w:rPr>
  </w:style>
  <w:style w:type="paragraph" w:styleId="PlainText">
    <w:name w:val="Plain Text"/>
    <w:basedOn w:val="Normal"/>
    <w:link w:val="PlainTextChar"/>
    <w:uiPriority w:val="99"/>
    <w:semiHidden/>
    <w:unhideWhenUsed/>
    <w:rsid w:val="00145DF5"/>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semiHidden/>
    <w:rsid w:val="00145DF5"/>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4990">
      <w:bodyDiv w:val="1"/>
      <w:marLeft w:val="0"/>
      <w:marRight w:val="0"/>
      <w:marTop w:val="0"/>
      <w:marBottom w:val="0"/>
      <w:divBdr>
        <w:top w:val="none" w:sz="0" w:space="0" w:color="auto"/>
        <w:left w:val="none" w:sz="0" w:space="0" w:color="auto"/>
        <w:bottom w:val="none" w:sz="0" w:space="0" w:color="auto"/>
        <w:right w:val="none" w:sz="0" w:space="0" w:color="auto"/>
      </w:divBdr>
    </w:div>
    <w:div w:id="114299394">
      <w:bodyDiv w:val="1"/>
      <w:marLeft w:val="0"/>
      <w:marRight w:val="0"/>
      <w:marTop w:val="0"/>
      <w:marBottom w:val="0"/>
      <w:divBdr>
        <w:top w:val="none" w:sz="0" w:space="0" w:color="auto"/>
        <w:left w:val="none" w:sz="0" w:space="0" w:color="auto"/>
        <w:bottom w:val="none" w:sz="0" w:space="0" w:color="auto"/>
        <w:right w:val="none" w:sz="0" w:space="0" w:color="auto"/>
      </w:divBdr>
    </w:div>
    <w:div w:id="144779307">
      <w:bodyDiv w:val="1"/>
      <w:marLeft w:val="0"/>
      <w:marRight w:val="0"/>
      <w:marTop w:val="0"/>
      <w:marBottom w:val="0"/>
      <w:divBdr>
        <w:top w:val="none" w:sz="0" w:space="0" w:color="auto"/>
        <w:left w:val="none" w:sz="0" w:space="0" w:color="auto"/>
        <w:bottom w:val="none" w:sz="0" w:space="0" w:color="auto"/>
        <w:right w:val="none" w:sz="0" w:space="0" w:color="auto"/>
      </w:divBdr>
    </w:div>
    <w:div w:id="166671349">
      <w:bodyDiv w:val="1"/>
      <w:marLeft w:val="0"/>
      <w:marRight w:val="0"/>
      <w:marTop w:val="0"/>
      <w:marBottom w:val="0"/>
      <w:divBdr>
        <w:top w:val="none" w:sz="0" w:space="0" w:color="auto"/>
        <w:left w:val="none" w:sz="0" w:space="0" w:color="auto"/>
        <w:bottom w:val="none" w:sz="0" w:space="0" w:color="auto"/>
        <w:right w:val="none" w:sz="0" w:space="0" w:color="auto"/>
      </w:divBdr>
    </w:div>
    <w:div w:id="186335730">
      <w:bodyDiv w:val="1"/>
      <w:marLeft w:val="0"/>
      <w:marRight w:val="0"/>
      <w:marTop w:val="0"/>
      <w:marBottom w:val="0"/>
      <w:divBdr>
        <w:top w:val="none" w:sz="0" w:space="0" w:color="auto"/>
        <w:left w:val="none" w:sz="0" w:space="0" w:color="auto"/>
        <w:bottom w:val="none" w:sz="0" w:space="0" w:color="auto"/>
        <w:right w:val="none" w:sz="0" w:space="0" w:color="auto"/>
      </w:divBdr>
    </w:div>
    <w:div w:id="202838759">
      <w:bodyDiv w:val="1"/>
      <w:marLeft w:val="0"/>
      <w:marRight w:val="0"/>
      <w:marTop w:val="0"/>
      <w:marBottom w:val="0"/>
      <w:divBdr>
        <w:top w:val="none" w:sz="0" w:space="0" w:color="auto"/>
        <w:left w:val="none" w:sz="0" w:space="0" w:color="auto"/>
        <w:bottom w:val="none" w:sz="0" w:space="0" w:color="auto"/>
        <w:right w:val="none" w:sz="0" w:space="0" w:color="auto"/>
      </w:divBdr>
    </w:div>
    <w:div w:id="222255963">
      <w:bodyDiv w:val="1"/>
      <w:marLeft w:val="0"/>
      <w:marRight w:val="0"/>
      <w:marTop w:val="0"/>
      <w:marBottom w:val="0"/>
      <w:divBdr>
        <w:top w:val="none" w:sz="0" w:space="0" w:color="auto"/>
        <w:left w:val="none" w:sz="0" w:space="0" w:color="auto"/>
        <w:bottom w:val="none" w:sz="0" w:space="0" w:color="auto"/>
        <w:right w:val="none" w:sz="0" w:space="0" w:color="auto"/>
      </w:divBdr>
    </w:div>
    <w:div w:id="269552479">
      <w:bodyDiv w:val="1"/>
      <w:marLeft w:val="0"/>
      <w:marRight w:val="0"/>
      <w:marTop w:val="0"/>
      <w:marBottom w:val="0"/>
      <w:divBdr>
        <w:top w:val="none" w:sz="0" w:space="0" w:color="auto"/>
        <w:left w:val="none" w:sz="0" w:space="0" w:color="auto"/>
        <w:bottom w:val="none" w:sz="0" w:space="0" w:color="auto"/>
        <w:right w:val="none" w:sz="0" w:space="0" w:color="auto"/>
      </w:divBdr>
    </w:div>
    <w:div w:id="298613863">
      <w:bodyDiv w:val="1"/>
      <w:marLeft w:val="0"/>
      <w:marRight w:val="0"/>
      <w:marTop w:val="0"/>
      <w:marBottom w:val="0"/>
      <w:divBdr>
        <w:top w:val="none" w:sz="0" w:space="0" w:color="auto"/>
        <w:left w:val="none" w:sz="0" w:space="0" w:color="auto"/>
        <w:bottom w:val="none" w:sz="0" w:space="0" w:color="auto"/>
        <w:right w:val="none" w:sz="0" w:space="0" w:color="auto"/>
      </w:divBdr>
    </w:div>
    <w:div w:id="353920622">
      <w:bodyDiv w:val="1"/>
      <w:marLeft w:val="0"/>
      <w:marRight w:val="0"/>
      <w:marTop w:val="0"/>
      <w:marBottom w:val="0"/>
      <w:divBdr>
        <w:top w:val="none" w:sz="0" w:space="0" w:color="auto"/>
        <w:left w:val="none" w:sz="0" w:space="0" w:color="auto"/>
        <w:bottom w:val="none" w:sz="0" w:space="0" w:color="auto"/>
        <w:right w:val="none" w:sz="0" w:space="0" w:color="auto"/>
      </w:divBdr>
    </w:div>
    <w:div w:id="371225737">
      <w:bodyDiv w:val="1"/>
      <w:marLeft w:val="0"/>
      <w:marRight w:val="0"/>
      <w:marTop w:val="0"/>
      <w:marBottom w:val="0"/>
      <w:divBdr>
        <w:top w:val="none" w:sz="0" w:space="0" w:color="auto"/>
        <w:left w:val="none" w:sz="0" w:space="0" w:color="auto"/>
        <w:bottom w:val="none" w:sz="0" w:space="0" w:color="auto"/>
        <w:right w:val="none" w:sz="0" w:space="0" w:color="auto"/>
      </w:divBdr>
    </w:div>
    <w:div w:id="397869182">
      <w:bodyDiv w:val="1"/>
      <w:marLeft w:val="0"/>
      <w:marRight w:val="0"/>
      <w:marTop w:val="0"/>
      <w:marBottom w:val="0"/>
      <w:divBdr>
        <w:top w:val="none" w:sz="0" w:space="0" w:color="auto"/>
        <w:left w:val="none" w:sz="0" w:space="0" w:color="auto"/>
        <w:bottom w:val="none" w:sz="0" w:space="0" w:color="auto"/>
        <w:right w:val="none" w:sz="0" w:space="0" w:color="auto"/>
      </w:divBdr>
    </w:div>
    <w:div w:id="454442866">
      <w:bodyDiv w:val="1"/>
      <w:marLeft w:val="0"/>
      <w:marRight w:val="0"/>
      <w:marTop w:val="0"/>
      <w:marBottom w:val="0"/>
      <w:divBdr>
        <w:top w:val="none" w:sz="0" w:space="0" w:color="auto"/>
        <w:left w:val="none" w:sz="0" w:space="0" w:color="auto"/>
        <w:bottom w:val="none" w:sz="0" w:space="0" w:color="auto"/>
        <w:right w:val="none" w:sz="0" w:space="0" w:color="auto"/>
      </w:divBdr>
    </w:div>
    <w:div w:id="475024919">
      <w:bodyDiv w:val="1"/>
      <w:marLeft w:val="0"/>
      <w:marRight w:val="0"/>
      <w:marTop w:val="0"/>
      <w:marBottom w:val="0"/>
      <w:divBdr>
        <w:top w:val="none" w:sz="0" w:space="0" w:color="auto"/>
        <w:left w:val="none" w:sz="0" w:space="0" w:color="auto"/>
        <w:bottom w:val="none" w:sz="0" w:space="0" w:color="auto"/>
        <w:right w:val="none" w:sz="0" w:space="0" w:color="auto"/>
      </w:divBdr>
    </w:div>
    <w:div w:id="574515852">
      <w:bodyDiv w:val="1"/>
      <w:marLeft w:val="0"/>
      <w:marRight w:val="0"/>
      <w:marTop w:val="0"/>
      <w:marBottom w:val="0"/>
      <w:divBdr>
        <w:top w:val="none" w:sz="0" w:space="0" w:color="auto"/>
        <w:left w:val="none" w:sz="0" w:space="0" w:color="auto"/>
        <w:bottom w:val="none" w:sz="0" w:space="0" w:color="auto"/>
        <w:right w:val="none" w:sz="0" w:space="0" w:color="auto"/>
      </w:divBdr>
    </w:div>
    <w:div w:id="590159808">
      <w:bodyDiv w:val="1"/>
      <w:marLeft w:val="0"/>
      <w:marRight w:val="0"/>
      <w:marTop w:val="0"/>
      <w:marBottom w:val="0"/>
      <w:divBdr>
        <w:top w:val="none" w:sz="0" w:space="0" w:color="auto"/>
        <w:left w:val="none" w:sz="0" w:space="0" w:color="auto"/>
        <w:bottom w:val="none" w:sz="0" w:space="0" w:color="auto"/>
        <w:right w:val="none" w:sz="0" w:space="0" w:color="auto"/>
      </w:divBdr>
    </w:div>
    <w:div w:id="591164311">
      <w:bodyDiv w:val="1"/>
      <w:marLeft w:val="0"/>
      <w:marRight w:val="0"/>
      <w:marTop w:val="0"/>
      <w:marBottom w:val="0"/>
      <w:divBdr>
        <w:top w:val="none" w:sz="0" w:space="0" w:color="auto"/>
        <w:left w:val="none" w:sz="0" w:space="0" w:color="auto"/>
        <w:bottom w:val="none" w:sz="0" w:space="0" w:color="auto"/>
        <w:right w:val="none" w:sz="0" w:space="0" w:color="auto"/>
      </w:divBdr>
    </w:div>
    <w:div w:id="599337110">
      <w:bodyDiv w:val="1"/>
      <w:marLeft w:val="0"/>
      <w:marRight w:val="0"/>
      <w:marTop w:val="0"/>
      <w:marBottom w:val="0"/>
      <w:divBdr>
        <w:top w:val="none" w:sz="0" w:space="0" w:color="auto"/>
        <w:left w:val="none" w:sz="0" w:space="0" w:color="auto"/>
        <w:bottom w:val="none" w:sz="0" w:space="0" w:color="auto"/>
        <w:right w:val="none" w:sz="0" w:space="0" w:color="auto"/>
      </w:divBdr>
    </w:div>
    <w:div w:id="610745913">
      <w:bodyDiv w:val="1"/>
      <w:marLeft w:val="0"/>
      <w:marRight w:val="0"/>
      <w:marTop w:val="0"/>
      <w:marBottom w:val="0"/>
      <w:divBdr>
        <w:top w:val="none" w:sz="0" w:space="0" w:color="auto"/>
        <w:left w:val="none" w:sz="0" w:space="0" w:color="auto"/>
        <w:bottom w:val="none" w:sz="0" w:space="0" w:color="auto"/>
        <w:right w:val="none" w:sz="0" w:space="0" w:color="auto"/>
      </w:divBdr>
    </w:div>
    <w:div w:id="625965815">
      <w:bodyDiv w:val="1"/>
      <w:marLeft w:val="0"/>
      <w:marRight w:val="0"/>
      <w:marTop w:val="0"/>
      <w:marBottom w:val="0"/>
      <w:divBdr>
        <w:top w:val="none" w:sz="0" w:space="0" w:color="auto"/>
        <w:left w:val="none" w:sz="0" w:space="0" w:color="auto"/>
        <w:bottom w:val="none" w:sz="0" w:space="0" w:color="auto"/>
        <w:right w:val="none" w:sz="0" w:space="0" w:color="auto"/>
      </w:divBdr>
    </w:div>
    <w:div w:id="687609126">
      <w:bodyDiv w:val="1"/>
      <w:marLeft w:val="0"/>
      <w:marRight w:val="0"/>
      <w:marTop w:val="0"/>
      <w:marBottom w:val="0"/>
      <w:divBdr>
        <w:top w:val="none" w:sz="0" w:space="0" w:color="auto"/>
        <w:left w:val="none" w:sz="0" w:space="0" w:color="auto"/>
        <w:bottom w:val="none" w:sz="0" w:space="0" w:color="auto"/>
        <w:right w:val="none" w:sz="0" w:space="0" w:color="auto"/>
      </w:divBdr>
    </w:div>
    <w:div w:id="755438321">
      <w:bodyDiv w:val="1"/>
      <w:marLeft w:val="0"/>
      <w:marRight w:val="0"/>
      <w:marTop w:val="0"/>
      <w:marBottom w:val="0"/>
      <w:divBdr>
        <w:top w:val="none" w:sz="0" w:space="0" w:color="auto"/>
        <w:left w:val="none" w:sz="0" w:space="0" w:color="auto"/>
        <w:bottom w:val="none" w:sz="0" w:space="0" w:color="auto"/>
        <w:right w:val="none" w:sz="0" w:space="0" w:color="auto"/>
      </w:divBdr>
    </w:div>
    <w:div w:id="756094469">
      <w:bodyDiv w:val="1"/>
      <w:marLeft w:val="0"/>
      <w:marRight w:val="0"/>
      <w:marTop w:val="0"/>
      <w:marBottom w:val="0"/>
      <w:divBdr>
        <w:top w:val="none" w:sz="0" w:space="0" w:color="auto"/>
        <w:left w:val="none" w:sz="0" w:space="0" w:color="auto"/>
        <w:bottom w:val="none" w:sz="0" w:space="0" w:color="auto"/>
        <w:right w:val="none" w:sz="0" w:space="0" w:color="auto"/>
      </w:divBdr>
    </w:div>
    <w:div w:id="839735266">
      <w:bodyDiv w:val="1"/>
      <w:marLeft w:val="0"/>
      <w:marRight w:val="0"/>
      <w:marTop w:val="0"/>
      <w:marBottom w:val="0"/>
      <w:divBdr>
        <w:top w:val="none" w:sz="0" w:space="0" w:color="auto"/>
        <w:left w:val="none" w:sz="0" w:space="0" w:color="auto"/>
        <w:bottom w:val="none" w:sz="0" w:space="0" w:color="auto"/>
        <w:right w:val="none" w:sz="0" w:space="0" w:color="auto"/>
      </w:divBdr>
    </w:div>
    <w:div w:id="846334543">
      <w:bodyDiv w:val="1"/>
      <w:marLeft w:val="0"/>
      <w:marRight w:val="0"/>
      <w:marTop w:val="0"/>
      <w:marBottom w:val="0"/>
      <w:divBdr>
        <w:top w:val="none" w:sz="0" w:space="0" w:color="auto"/>
        <w:left w:val="none" w:sz="0" w:space="0" w:color="auto"/>
        <w:bottom w:val="none" w:sz="0" w:space="0" w:color="auto"/>
        <w:right w:val="none" w:sz="0" w:space="0" w:color="auto"/>
      </w:divBdr>
    </w:div>
    <w:div w:id="904488349">
      <w:bodyDiv w:val="1"/>
      <w:marLeft w:val="0"/>
      <w:marRight w:val="0"/>
      <w:marTop w:val="0"/>
      <w:marBottom w:val="0"/>
      <w:divBdr>
        <w:top w:val="none" w:sz="0" w:space="0" w:color="auto"/>
        <w:left w:val="none" w:sz="0" w:space="0" w:color="auto"/>
        <w:bottom w:val="none" w:sz="0" w:space="0" w:color="auto"/>
        <w:right w:val="none" w:sz="0" w:space="0" w:color="auto"/>
      </w:divBdr>
    </w:div>
    <w:div w:id="915940707">
      <w:bodyDiv w:val="1"/>
      <w:marLeft w:val="0"/>
      <w:marRight w:val="0"/>
      <w:marTop w:val="0"/>
      <w:marBottom w:val="0"/>
      <w:divBdr>
        <w:top w:val="none" w:sz="0" w:space="0" w:color="auto"/>
        <w:left w:val="none" w:sz="0" w:space="0" w:color="auto"/>
        <w:bottom w:val="none" w:sz="0" w:space="0" w:color="auto"/>
        <w:right w:val="none" w:sz="0" w:space="0" w:color="auto"/>
      </w:divBdr>
    </w:div>
    <w:div w:id="933052518">
      <w:bodyDiv w:val="1"/>
      <w:marLeft w:val="0"/>
      <w:marRight w:val="0"/>
      <w:marTop w:val="0"/>
      <w:marBottom w:val="0"/>
      <w:divBdr>
        <w:top w:val="none" w:sz="0" w:space="0" w:color="auto"/>
        <w:left w:val="none" w:sz="0" w:space="0" w:color="auto"/>
        <w:bottom w:val="none" w:sz="0" w:space="0" w:color="auto"/>
        <w:right w:val="none" w:sz="0" w:space="0" w:color="auto"/>
      </w:divBdr>
    </w:div>
    <w:div w:id="999187743">
      <w:bodyDiv w:val="1"/>
      <w:marLeft w:val="0"/>
      <w:marRight w:val="0"/>
      <w:marTop w:val="0"/>
      <w:marBottom w:val="0"/>
      <w:divBdr>
        <w:top w:val="none" w:sz="0" w:space="0" w:color="auto"/>
        <w:left w:val="none" w:sz="0" w:space="0" w:color="auto"/>
        <w:bottom w:val="none" w:sz="0" w:space="0" w:color="auto"/>
        <w:right w:val="none" w:sz="0" w:space="0" w:color="auto"/>
      </w:divBdr>
    </w:div>
    <w:div w:id="1072703713">
      <w:bodyDiv w:val="1"/>
      <w:marLeft w:val="0"/>
      <w:marRight w:val="0"/>
      <w:marTop w:val="0"/>
      <w:marBottom w:val="0"/>
      <w:divBdr>
        <w:top w:val="none" w:sz="0" w:space="0" w:color="auto"/>
        <w:left w:val="none" w:sz="0" w:space="0" w:color="auto"/>
        <w:bottom w:val="none" w:sz="0" w:space="0" w:color="auto"/>
        <w:right w:val="none" w:sz="0" w:space="0" w:color="auto"/>
      </w:divBdr>
    </w:div>
    <w:div w:id="1145006985">
      <w:bodyDiv w:val="1"/>
      <w:marLeft w:val="0"/>
      <w:marRight w:val="0"/>
      <w:marTop w:val="0"/>
      <w:marBottom w:val="0"/>
      <w:divBdr>
        <w:top w:val="none" w:sz="0" w:space="0" w:color="auto"/>
        <w:left w:val="none" w:sz="0" w:space="0" w:color="auto"/>
        <w:bottom w:val="none" w:sz="0" w:space="0" w:color="auto"/>
        <w:right w:val="none" w:sz="0" w:space="0" w:color="auto"/>
      </w:divBdr>
    </w:div>
    <w:div w:id="1299409045">
      <w:bodyDiv w:val="1"/>
      <w:marLeft w:val="0"/>
      <w:marRight w:val="0"/>
      <w:marTop w:val="0"/>
      <w:marBottom w:val="0"/>
      <w:divBdr>
        <w:top w:val="none" w:sz="0" w:space="0" w:color="auto"/>
        <w:left w:val="none" w:sz="0" w:space="0" w:color="auto"/>
        <w:bottom w:val="none" w:sz="0" w:space="0" w:color="auto"/>
        <w:right w:val="none" w:sz="0" w:space="0" w:color="auto"/>
      </w:divBdr>
    </w:div>
    <w:div w:id="1332248347">
      <w:bodyDiv w:val="1"/>
      <w:marLeft w:val="0"/>
      <w:marRight w:val="0"/>
      <w:marTop w:val="0"/>
      <w:marBottom w:val="0"/>
      <w:divBdr>
        <w:top w:val="none" w:sz="0" w:space="0" w:color="auto"/>
        <w:left w:val="none" w:sz="0" w:space="0" w:color="auto"/>
        <w:bottom w:val="none" w:sz="0" w:space="0" w:color="auto"/>
        <w:right w:val="none" w:sz="0" w:space="0" w:color="auto"/>
      </w:divBdr>
    </w:div>
    <w:div w:id="1356997770">
      <w:bodyDiv w:val="1"/>
      <w:marLeft w:val="0"/>
      <w:marRight w:val="0"/>
      <w:marTop w:val="0"/>
      <w:marBottom w:val="0"/>
      <w:divBdr>
        <w:top w:val="none" w:sz="0" w:space="0" w:color="auto"/>
        <w:left w:val="none" w:sz="0" w:space="0" w:color="auto"/>
        <w:bottom w:val="none" w:sz="0" w:space="0" w:color="auto"/>
        <w:right w:val="none" w:sz="0" w:space="0" w:color="auto"/>
      </w:divBdr>
    </w:div>
    <w:div w:id="1370644103">
      <w:bodyDiv w:val="1"/>
      <w:marLeft w:val="0"/>
      <w:marRight w:val="0"/>
      <w:marTop w:val="0"/>
      <w:marBottom w:val="0"/>
      <w:divBdr>
        <w:top w:val="none" w:sz="0" w:space="0" w:color="auto"/>
        <w:left w:val="none" w:sz="0" w:space="0" w:color="auto"/>
        <w:bottom w:val="none" w:sz="0" w:space="0" w:color="auto"/>
        <w:right w:val="none" w:sz="0" w:space="0" w:color="auto"/>
      </w:divBdr>
    </w:div>
    <w:div w:id="1377970481">
      <w:bodyDiv w:val="1"/>
      <w:marLeft w:val="0"/>
      <w:marRight w:val="0"/>
      <w:marTop w:val="0"/>
      <w:marBottom w:val="0"/>
      <w:divBdr>
        <w:top w:val="none" w:sz="0" w:space="0" w:color="auto"/>
        <w:left w:val="none" w:sz="0" w:space="0" w:color="auto"/>
        <w:bottom w:val="none" w:sz="0" w:space="0" w:color="auto"/>
        <w:right w:val="none" w:sz="0" w:space="0" w:color="auto"/>
      </w:divBdr>
    </w:div>
    <w:div w:id="1411121860">
      <w:bodyDiv w:val="1"/>
      <w:marLeft w:val="0"/>
      <w:marRight w:val="0"/>
      <w:marTop w:val="0"/>
      <w:marBottom w:val="0"/>
      <w:divBdr>
        <w:top w:val="none" w:sz="0" w:space="0" w:color="auto"/>
        <w:left w:val="none" w:sz="0" w:space="0" w:color="auto"/>
        <w:bottom w:val="none" w:sz="0" w:space="0" w:color="auto"/>
        <w:right w:val="none" w:sz="0" w:space="0" w:color="auto"/>
      </w:divBdr>
    </w:div>
    <w:div w:id="1451628556">
      <w:bodyDiv w:val="1"/>
      <w:marLeft w:val="0"/>
      <w:marRight w:val="0"/>
      <w:marTop w:val="0"/>
      <w:marBottom w:val="0"/>
      <w:divBdr>
        <w:top w:val="none" w:sz="0" w:space="0" w:color="auto"/>
        <w:left w:val="none" w:sz="0" w:space="0" w:color="auto"/>
        <w:bottom w:val="none" w:sz="0" w:space="0" w:color="auto"/>
        <w:right w:val="none" w:sz="0" w:space="0" w:color="auto"/>
      </w:divBdr>
    </w:div>
    <w:div w:id="1462729346">
      <w:bodyDiv w:val="1"/>
      <w:marLeft w:val="0"/>
      <w:marRight w:val="0"/>
      <w:marTop w:val="0"/>
      <w:marBottom w:val="0"/>
      <w:divBdr>
        <w:top w:val="none" w:sz="0" w:space="0" w:color="auto"/>
        <w:left w:val="none" w:sz="0" w:space="0" w:color="auto"/>
        <w:bottom w:val="none" w:sz="0" w:space="0" w:color="auto"/>
        <w:right w:val="none" w:sz="0" w:space="0" w:color="auto"/>
      </w:divBdr>
    </w:div>
    <w:div w:id="1515194656">
      <w:bodyDiv w:val="1"/>
      <w:marLeft w:val="0"/>
      <w:marRight w:val="0"/>
      <w:marTop w:val="0"/>
      <w:marBottom w:val="0"/>
      <w:divBdr>
        <w:top w:val="none" w:sz="0" w:space="0" w:color="auto"/>
        <w:left w:val="none" w:sz="0" w:space="0" w:color="auto"/>
        <w:bottom w:val="none" w:sz="0" w:space="0" w:color="auto"/>
        <w:right w:val="none" w:sz="0" w:space="0" w:color="auto"/>
      </w:divBdr>
    </w:div>
    <w:div w:id="1558198827">
      <w:bodyDiv w:val="1"/>
      <w:marLeft w:val="0"/>
      <w:marRight w:val="0"/>
      <w:marTop w:val="0"/>
      <w:marBottom w:val="0"/>
      <w:divBdr>
        <w:top w:val="none" w:sz="0" w:space="0" w:color="auto"/>
        <w:left w:val="none" w:sz="0" w:space="0" w:color="auto"/>
        <w:bottom w:val="none" w:sz="0" w:space="0" w:color="auto"/>
        <w:right w:val="none" w:sz="0" w:space="0" w:color="auto"/>
      </w:divBdr>
    </w:div>
    <w:div w:id="1585916872">
      <w:bodyDiv w:val="1"/>
      <w:marLeft w:val="0"/>
      <w:marRight w:val="0"/>
      <w:marTop w:val="0"/>
      <w:marBottom w:val="0"/>
      <w:divBdr>
        <w:top w:val="none" w:sz="0" w:space="0" w:color="auto"/>
        <w:left w:val="none" w:sz="0" w:space="0" w:color="auto"/>
        <w:bottom w:val="none" w:sz="0" w:space="0" w:color="auto"/>
        <w:right w:val="none" w:sz="0" w:space="0" w:color="auto"/>
      </w:divBdr>
    </w:div>
    <w:div w:id="1623728515">
      <w:bodyDiv w:val="1"/>
      <w:marLeft w:val="0"/>
      <w:marRight w:val="0"/>
      <w:marTop w:val="0"/>
      <w:marBottom w:val="0"/>
      <w:divBdr>
        <w:top w:val="none" w:sz="0" w:space="0" w:color="auto"/>
        <w:left w:val="none" w:sz="0" w:space="0" w:color="auto"/>
        <w:bottom w:val="none" w:sz="0" w:space="0" w:color="auto"/>
        <w:right w:val="none" w:sz="0" w:space="0" w:color="auto"/>
      </w:divBdr>
    </w:div>
    <w:div w:id="1645623696">
      <w:bodyDiv w:val="1"/>
      <w:marLeft w:val="0"/>
      <w:marRight w:val="0"/>
      <w:marTop w:val="0"/>
      <w:marBottom w:val="0"/>
      <w:divBdr>
        <w:top w:val="none" w:sz="0" w:space="0" w:color="auto"/>
        <w:left w:val="none" w:sz="0" w:space="0" w:color="auto"/>
        <w:bottom w:val="none" w:sz="0" w:space="0" w:color="auto"/>
        <w:right w:val="none" w:sz="0" w:space="0" w:color="auto"/>
      </w:divBdr>
    </w:div>
    <w:div w:id="1696154616">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78714578">
      <w:bodyDiv w:val="1"/>
      <w:marLeft w:val="0"/>
      <w:marRight w:val="0"/>
      <w:marTop w:val="0"/>
      <w:marBottom w:val="0"/>
      <w:divBdr>
        <w:top w:val="none" w:sz="0" w:space="0" w:color="auto"/>
        <w:left w:val="none" w:sz="0" w:space="0" w:color="auto"/>
        <w:bottom w:val="none" w:sz="0" w:space="0" w:color="auto"/>
        <w:right w:val="none" w:sz="0" w:space="0" w:color="auto"/>
      </w:divBdr>
    </w:div>
    <w:div w:id="1786539721">
      <w:bodyDiv w:val="1"/>
      <w:marLeft w:val="0"/>
      <w:marRight w:val="0"/>
      <w:marTop w:val="0"/>
      <w:marBottom w:val="0"/>
      <w:divBdr>
        <w:top w:val="none" w:sz="0" w:space="0" w:color="auto"/>
        <w:left w:val="none" w:sz="0" w:space="0" w:color="auto"/>
        <w:bottom w:val="none" w:sz="0" w:space="0" w:color="auto"/>
        <w:right w:val="none" w:sz="0" w:space="0" w:color="auto"/>
      </w:divBdr>
    </w:div>
    <w:div w:id="1791437087">
      <w:bodyDiv w:val="1"/>
      <w:marLeft w:val="0"/>
      <w:marRight w:val="0"/>
      <w:marTop w:val="0"/>
      <w:marBottom w:val="0"/>
      <w:divBdr>
        <w:top w:val="none" w:sz="0" w:space="0" w:color="auto"/>
        <w:left w:val="none" w:sz="0" w:space="0" w:color="auto"/>
        <w:bottom w:val="none" w:sz="0" w:space="0" w:color="auto"/>
        <w:right w:val="none" w:sz="0" w:space="0" w:color="auto"/>
      </w:divBdr>
    </w:div>
    <w:div w:id="1810438407">
      <w:bodyDiv w:val="1"/>
      <w:marLeft w:val="0"/>
      <w:marRight w:val="0"/>
      <w:marTop w:val="0"/>
      <w:marBottom w:val="0"/>
      <w:divBdr>
        <w:top w:val="none" w:sz="0" w:space="0" w:color="auto"/>
        <w:left w:val="none" w:sz="0" w:space="0" w:color="auto"/>
        <w:bottom w:val="none" w:sz="0" w:space="0" w:color="auto"/>
        <w:right w:val="none" w:sz="0" w:space="0" w:color="auto"/>
      </w:divBdr>
    </w:div>
    <w:div w:id="1833523163">
      <w:bodyDiv w:val="1"/>
      <w:marLeft w:val="0"/>
      <w:marRight w:val="0"/>
      <w:marTop w:val="0"/>
      <w:marBottom w:val="0"/>
      <w:divBdr>
        <w:top w:val="none" w:sz="0" w:space="0" w:color="auto"/>
        <w:left w:val="none" w:sz="0" w:space="0" w:color="auto"/>
        <w:bottom w:val="none" w:sz="0" w:space="0" w:color="auto"/>
        <w:right w:val="none" w:sz="0" w:space="0" w:color="auto"/>
      </w:divBdr>
    </w:div>
    <w:div w:id="1893467923">
      <w:bodyDiv w:val="1"/>
      <w:marLeft w:val="0"/>
      <w:marRight w:val="0"/>
      <w:marTop w:val="0"/>
      <w:marBottom w:val="0"/>
      <w:divBdr>
        <w:top w:val="none" w:sz="0" w:space="0" w:color="auto"/>
        <w:left w:val="none" w:sz="0" w:space="0" w:color="auto"/>
        <w:bottom w:val="none" w:sz="0" w:space="0" w:color="auto"/>
        <w:right w:val="none" w:sz="0" w:space="0" w:color="auto"/>
      </w:divBdr>
    </w:div>
    <w:div w:id="1925020354">
      <w:bodyDiv w:val="1"/>
      <w:marLeft w:val="0"/>
      <w:marRight w:val="0"/>
      <w:marTop w:val="0"/>
      <w:marBottom w:val="0"/>
      <w:divBdr>
        <w:top w:val="none" w:sz="0" w:space="0" w:color="auto"/>
        <w:left w:val="none" w:sz="0" w:space="0" w:color="auto"/>
        <w:bottom w:val="none" w:sz="0" w:space="0" w:color="auto"/>
        <w:right w:val="none" w:sz="0" w:space="0" w:color="auto"/>
      </w:divBdr>
    </w:div>
    <w:div w:id="1946694798">
      <w:bodyDiv w:val="1"/>
      <w:marLeft w:val="0"/>
      <w:marRight w:val="0"/>
      <w:marTop w:val="0"/>
      <w:marBottom w:val="0"/>
      <w:divBdr>
        <w:top w:val="none" w:sz="0" w:space="0" w:color="auto"/>
        <w:left w:val="none" w:sz="0" w:space="0" w:color="auto"/>
        <w:bottom w:val="none" w:sz="0" w:space="0" w:color="auto"/>
        <w:right w:val="none" w:sz="0" w:space="0" w:color="auto"/>
      </w:divBdr>
    </w:div>
    <w:div w:id="1962488916">
      <w:bodyDiv w:val="1"/>
      <w:marLeft w:val="0"/>
      <w:marRight w:val="0"/>
      <w:marTop w:val="0"/>
      <w:marBottom w:val="0"/>
      <w:divBdr>
        <w:top w:val="none" w:sz="0" w:space="0" w:color="auto"/>
        <w:left w:val="none" w:sz="0" w:space="0" w:color="auto"/>
        <w:bottom w:val="none" w:sz="0" w:space="0" w:color="auto"/>
        <w:right w:val="none" w:sz="0" w:space="0" w:color="auto"/>
      </w:divBdr>
    </w:div>
    <w:div w:id="1970935635">
      <w:bodyDiv w:val="1"/>
      <w:marLeft w:val="0"/>
      <w:marRight w:val="0"/>
      <w:marTop w:val="0"/>
      <w:marBottom w:val="0"/>
      <w:divBdr>
        <w:top w:val="none" w:sz="0" w:space="0" w:color="auto"/>
        <w:left w:val="none" w:sz="0" w:space="0" w:color="auto"/>
        <w:bottom w:val="none" w:sz="0" w:space="0" w:color="auto"/>
        <w:right w:val="none" w:sz="0" w:space="0" w:color="auto"/>
      </w:divBdr>
    </w:div>
    <w:div w:id="1997563076">
      <w:bodyDiv w:val="1"/>
      <w:marLeft w:val="0"/>
      <w:marRight w:val="0"/>
      <w:marTop w:val="0"/>
      <w:marBottom w:val="0"/>
      <w:divBdr>
        <w:top w:val="none" w:sz="0" w:space="0" w:color="auto"/>
        <w:left w:val="none" w:sz="0" w:space="0" w:color="auto"/>
        <w:bottom w:val="none" w:sz="0" w:space="0" w:color="auto"/>
        <w:right w:val="none" w:sz="0" w:space="0" w:color="auto"/>
      </w:divBdr>
    </w:div>
    <w:div w:id="2044861906">
      <w:bodyDiv w:val="1"/>
      <w:marLeft w:val="0"/>
      <w:marRight w:val="0"/>
      <w:marTop w:val="0"/>
      <w:marBottom w:val="0"/>
      <w:divBdr>
        <w:top w:val="none" w:sz="0" w:space="0" w:color="auto"/>
        <w:left w:val="none" w:sz="0" w:space="0" w:color="auto"/>
        <w:bottom w:val="none" w:sz="0" w:space="0" w:color="auto"/>
        <w:right w:val="none" w:sz="0" w:space="0" w:color="auto"/>
      </w:divBdr>
    </w:div>
    <w:div w:id="21152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12.emf"/><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5" Type="http://schemas.microsoft.com/office/2007/relationships/stylesWithEffects" Target="stylesWithEffect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2012-03-17T00:00:00</PublishDate>
  <Abstract>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7577AE-5CE6-432C-9A84-C01B246E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ECON499-11C (HAM)</vt:lpstr>
    </vt:vector>
  </TitlesOfParts>
  <Company>University of Waikato</Company>
  <LinksUpToDate>false</LinksUpToDate>
  <CharactersWithSpaces>33515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ECON499-11C (HAM)</dc:title>
  <dc:subject>Facebook and Twitter: How reliably do they predict the New Zealand 2011 election results?</dc:subject>
  <dc:creator>Waikato Management School</dc:creator>
  <cp:lastModifiedBy>Brian Silverstone</cp:lastModifiedBy>
  <cp:revision>2</cp:revision>
  <cp:lastPrinted>2013-04-08T03:30:00Z</cp:lastPrinted>
  <dcterms:created xsi:type="dcterms:W3CDTF">2014-07-27T22:25:00Z</dcterms:created>
  <dcterms:modified xsi:type="dcterms:W3CDTF">2014-07-27T22:25:00Z</dcterms:modified>
</cp:coreProperties>
</file>