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56" w:rsidRDefault="00067156"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UNIVERSITY OF WAIKATO</w:t>
      </w:r>
    </w:p>
    <w:p w:rsidR="00BD747C" w:rsidRDefault="00BD747C" w:rsidP="00703BE7">
      <w:pPr>
        <w:pStyle w:val="PlainText"/>
        <w:tabs>
          <w:tab w:val="left" w:pos="284"/>
        </w:tabs>
        <w:spacing w:line="300" w:lineRule="auto"/>
        <w:jc w:val="center"/>
        <w:rPr>
          <w:rFonts w:ascii="Times New Roman" w:hAnsi="Times New Roman"/>
          <w:b/>
          <w:sz w:val="28"/>
        </w:rPr>
      </w:pP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Hamilton</w:t>
      </w:r>
    </w:p>
    <w:p w:rsidR="00703BE7" w:rsidRDefault="00703BE7" w:rsidP="00703BE7">
      <w:pPr>
        <w:pStyle w:val="PlainText"/>
        <w:tabs>
          <w:tab w:val="left" w:pos="284"/>
        </w:tabs>
        <w:spacing w:line="300" w:lineRule="auto"/>
        <w:jc w:val="center"/>
        <w:rPr>
          <w:rFonts w:ascii="Times New Roman" w:hAnsi="Times New Roman"/>
          <w:b/>
          <w:sz w:val="28"/>
        </w:rPr>
      </w:pPr>
      <w:r>
        <w:rPr>
          <w:rFonts w:ascii="Times New Roman" w:hAnsi="Times New Roman"/>
          <w:b/>
          <w:sz w:val="28"/>
        </w:rPr>
        <w:t>New Zealand</w:t>
      </w:r>
    </w:p>
    <w:p w:rsidR="00703BE7" w:rsidRDefault="00703BE7" w:rsidP="00703BE7">
      <w:pPr>
        <w:pStyle w:val="PlainText"/>
        <w:tabs>
          <w:tab w:val="left" w:pos="284"/>
        </w:tabs>
        <w:spacing w:line="300" w:lineRule="auto"/>
        <w:jc w:val="center"/>
        <w:rPr>
          <w:rFonts w:ascii="Times New Roman" w:hAnsi="Times New Roman"/>
          <w:b/>
          <w:sz w:val="28"/>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00" w:lineRule="auto"/>
        <w:jc w:val="center"/>
        <w:rPr>
          <w:rFonts w:ascii="Times New Roman" w:hAnsi="Times New Roman"/>
          <w:b/>
          <w:sz w:val="24"/>
          <w:szCs w:val="24"/>
        </w:rPr>
      </w:pPr>
    </w:p>
    <w:p w:rsidR="006C4192" w:rsidRDefault="006C4192"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 xml:space="preserve">Factors Associated with </w:t>
      </w:r>
    </w:p>
    <w:p w:rsidR="00A2798F" w:rsidRDefault="006C4192"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r>
        <w:rPr>
          <w:rFonts w:ascii="Times New Roman" w:hAnsi="Times New Roman" w:cs="Times New Roman"/>
          <w:b/>
          <w:sz w:val="28"/>
          <w:szCs w:val="28"/>
        </w:rPr>
        <w:t>Financial Literacy among High School S</w:t>
      </w:r>
      <w:r w:rsidR="00733D32" w:rsidRPr="00733D32">
        <w:rPr>
          <w:rFonts w:ascii="Times New Roman" w:hAnsi="Times New Roman" w:cs="Times New Roman"/>
          <w:b/>
          <w:sz w:val="28"/>
          <w:szCs w:val="28"/>
        </w:rPr>
        <w:t>tudents</w:t>
      </w:r>
    </w:p>
    <w:p w:rsidR="00733D32" w:rsidRDefault="00733D32"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
          <w:sz w:val="28"/>
          <w:szCs w:val="28"/>
        </w:rPr>
      </w:pP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Michael P. Cameron</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703BE7" w:rsidRPr="00A15BED"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Richard Calderwood</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Ashleigh Cox</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r>
        <w:rPr>
          <w:rFonts w:ascii="Times New Roman" w:hAnsi="Times New Roman" w:cs="Times New Roman"/>
          <w:bCs/>
          <w:sz w:val="28"/>
          <w:szCs w:val="28"/>
        </w:rPr>
        <w:t>Steven Lim</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8"/>
          <w:szCs w:val="28"/>
        </w:rPr>
      </w:pPr>
      <w:r w:rsidRPr="00A15BED">
        <w:rPr>
          <w:rFonts w:ascii="Times New Roman" w:hAnsi="Times New Roman" w:cs="Times New Roman"/>
          <w:bCs/>
          <w:i/>
          <w:iCs/>
          <w:sz w:val="28"/>
          <w:szCs w:val="28"/>
        </w:rPr>
        <w:t>University of Waikato</w:t>
      </w:r>
    </w:p>
    <w:p w:rsidR="00A2798F" w:rsidRPr="00A15BED" w:rsidRDefault="00A2798F" w:rsidP="00A2798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i/>
          <w:iCs/>
          <w:sz w:val="24"/>
          <w:szCs w:val="24"/>
        </w:rPr>
      </w:pPr>
    </w:p>
    <w:p w:rsidR="00703BE7" w:rsidRPr="00A15BED" w:rsidRDefault="00A2798F"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sz w:val="28"/>
          <w:szCs w:val="28"/>
        </w:rPr>
      </w:pPr>
      <w:proofErr w:type="spellStart"/>
      <w:r>
        <w:rPr>
          <w:rFonts w:ascii="Times New Roman" w:hAnsi="Times New Roman" w:cs="Times New Roman"/>
          <w:sz w:val="28"/>
          <w:szCs w:val="28"/>
        </w:rPr>
        <w:t>Michio</w:t>
      </w:r>
      <w:proofErr w:type="spellEnd"/>
      <w:r>
        <w:rPr>
          <w:rFonts w:ascii="Times New Roman" w:hAnsi="Times New Roman" w:cs="Times New Roman"/>
          <w:sz w:val="28"/>
          <w:szCs w:val="28"/>
        </w:rPr>
        <w:t xml:space="preserve"> Yamaoka</w:t>
      </w:r>
    </w:p>
    <w:p w:rsidR="00703BE7" w:rsidRDefault="00A2798F"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jc w:val="center"/>
        <w:rPr>
          <w:rFonts w:ascii="Times New Roman" w:hAnsi="Times New Roman" w:cs="Times New Roman"/>
          <w:bCs/>
          <w:sz w:val="28"/>
          <w:szCs w:val="28"/>
        </w:rPr>
      </w:pPr>
      <w:proofErr w:type="spellStart"/>
      <w:r>
        <w:rPr>
          <w:rFonts w:ascii="Times New Roman" w:hAnsi="Times New Roman" w:cs="Times New Roman"/>
          <w:i/>
          <w:sz w:val="28"/>
          <w:szCs w:val="28"/>
        </w:rPr>
        <w:t>Waseda</w:t>
      </w:r>
      <w:proofErr w:type="spellEnd"/>
      <w:r>
        <w:rPr>
          <w:rFonts w:ascii="Times New Roman" w:hAnsi="Times New Roman" w:cs="Times New Roman"/>
          <w:i/>
          <w:sz w:val="28"/>
          <w:szCs w:val="28"/>
        </w:rPr>
        <w:t xml:space="preserve"> University</w:t>
      </w:r>
    </w:p>
    <w:p w:rsidR="00703BE7" w:rsidRDefault="00703BE7" w:rsidP="00703BE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rPr>
          <w:rFonts w:ascii="Times New Roman" w:hAnsi="Times New Roman"/>
          <w:bCs/>
          <w:i/>
          <w:iCs/>
          <w:sz w:val="28"/>
        </w:rPr>
      </w:pPr>
    </w:p>
    <w:p w:rsidR="00703BE7" w:rsidRPr="000D05AB" w:rsidRDefault="00703BE7" w:rsidP="00703BE7">
      <w:pPr>
        <w:pStyle w:val="PlainText"/>
        <w:tabs>
          <w:tab w:val="left" w:pos="284"/>
        </w:tabs>
        <w:jc w:val="both"/>
        <w:rPr>
          <w:rFonts w:ascii="Times New Roman" w:hAnsi="Times New Roman"/>
          <w:b/>
        </w:rPr>
      </w:pPr>
    </w:p>
    <w:p w:rsidR="00703BE7" w:rsidRDefault="00703BE7" w:rsidP="00703BE7">
      <w:pPr>
        <w:pStyle w:val="PlainText"/>
        <w:tabs>
          <w:tab w:val="left" w:pos="284"/>
        </w:tabs>
        <w:jc w:val="center"/>
        <w:rPr>
          <w:rFonts w:ascii="Times New Roman" w:hAnsi="Times New Roman"/>
          <w:b/>
          <w:bCs/>
          <w:sz w:val="28"/>
        </w:rPr>
      </w:pPr>
    </w:p>
    <w:p w:rsidR="00703BE7" w:rsidRDefault="00703BE7" w:rsidP="00703BE7">
      <w:pPr>
        <w:pStyle w:val="PlainText"/>
        <w:tabs>
          <w:tab w:val="left" w:pos="284"/>
        </w:tabs>
        <w:jc w:val="center"/>
        <w:rPr>
          <w:rFonts w:ascii="Times New Roman" w:hAnsi="Times New Roman"/>
          <w:b/>
          <w:bCs/>
          <w:sz w:val="28"/>
        </w:rPr>
      </w:pPr>
      <w:r>
        <w:rPr>
          <w:rFonts w:ascii="Times New Roman" w:hAnsi="Times New Roman"/>
          <w:b/>
          <w:bCs/>
          <w:sz w:val="28"/>
        </w:rPr>
        <w:t>Department of Economics</w:t>
      </w:r>
    </w:p>
    <w:p w:rsidR="00067156" w:rsidRDefault="00067156" w:rsidP="00703BE7">
      <w:pPr>
        <w:pStyle w:val="PlainText"/>
        <w:tabs>
          <w:tab w:val="left" w:pos="284"/>
        </w:tabs>
        <w:jc w:val="center"/>
        <w:rPr>
          <w:rFonts w:ascii="Times New Roman" w:hAnsi="Times New Roman"/>
          <w:b/>
          <w:bCs/>
          <w:sz w:val="28"/>
        </w:rPr>
      </w:pPr>
    </w:p>
    <w:p w:rsidR="00703BE7" w:rsidRDefault="00310047" w:rsidP="00703BE7">
      <w:pPr>
        <w:pStyle w:val="PlainText"/>
        <w:tabs>
          <w:tab w:val="left" w:pos="284"/>
        </w:tabs>
        <w:jc w:val="center"/>
        <w:rPr>
          <w:rFonts w:ascii="Times New Roman" w:hAnsi="Times New Roman"/>
          <w:b/>
          <w:bCs/>
          <w:sz w:val="28"/>
        </w:rPr>
      </w:pPr>
      <w:r>
        <w:rPr>
          <w:rFonts w:ascii="Times New Roman" w:hAnsi="Times New Roman"/>
          <w:b/>
          <w:bCs/>
          <w:sz w:val="28"/>
        </w:rPr>
        <w:t xml:space="preserve">Working Paper in Economics </w:t>
      </w:r>
      <w:r w:rsidR="00067156">
        <w:rPr>
          <w:rFonts w:ascii="Times New Roman" w:hAnsi="Times New Roman"/>
          <w:b/>
          <w:bCs/>
          <w:sz w:val="28"/>
        </w:rPr>
        <w:t>1</w:t>
      </w:r>
      <w:r w:rsidR="00BB7C59">
        <w:rPr>
          <w:rFonts w:ascii="Times New Roman" w:hAnsi="Times New Roman"/>
          <w:b/>
          <w:bCs/>
          <w:sz w:val="28"/>
        </w:rPr>
        <w:t>3/05</w:t>
      </w:r>
    </w:p>
    <w:p w:rsidR="00067156" w:rsidRDefault="00067156" w:rsidP="00703BE7">
      <w:pPr>
        <w:pStyle w:val="PlainText"/>
        <w:tabs>
          <w:tab w:val="left" w:pos="284"/>
        </w:tabs>
        <w:jc w:val="center"/>
        <w:rPr>
          <w:rFonts w:ascii="Times New Roman" w:hAnsi="Times New Roman"/>
          <w:b/>
          <w:bCs/>
          <w:sz w:val="28"/>
        </w:rPr>
      </w:pPr>
    </w:p>
    <w:p w:rsidR="00703BE7" w:rsidRDefault="00A2798F" w:rsidP="00703BE7">
      <w:pPr>
        <w:pStyle w:val="PlainText"/>
        <w:tabs>
          <w:tab w:val="left" w:pos="284"/>
        </w:tabs>
        <w:jc w:val="center"/>
        <w:rPr>
          <w:rFonts w:ascii="Times New Roman" w:hAnsi="Times New Roman"/>
          <w:sz w:val="28"/>
        </w:rPr>
      </w:pPr>
      <w:r>
        <w:rPr>
          <w:rFonts w:ascii="Times New Roman" w:hAnsi="Times New Roman"/>
          <w:sz w:val="28"/>
        </w:rPr>
        <w:t>March 2013</w:t>
      </w:r>
    </w:p>
    <w:p w:rsidR="00067156" w:rsidRDefault="00067156" w:rsidP="00703BE7">
      <w:pPr>
        <w:pStyle w:val="PlainText"/>
        <w:tabs>
          <w:tab w:val="left" w:pos="284"/>
        </w:tabs>
        <w:jc w:val="center"/>
        <w:rPr>
          <w:rFonts w:ascii="Times New Roman" w:hAnsi="Times New Roman"/>
          <w:sz w:val="28"/>
        </w:rPr>
      </w:pPr>
    </w:p>
    <w:p w:rsidR="00703BE7" w:rsidRPr="00310047" w:rsidRDefault="00703BE7" w:rsidP="00703BE7">
      <w:pPr>
        <w:pStyle w:val="PlainText"/>
        <w:tabs>
          <w:tab w:val="left" w:pos="284"/>
        </w:tabs>
        <w:jc w:val="center"/>
        <w:rPr>
          <w:rFonts w:ascii="Times New Roman" w:hAnsi="Times New Roman"/>
          <w:i/>
          <w:iCs/>
          <w:sz w:val="24"/>
          <w:szCs w:val="24"/>
        </w:rPr>
      </w:pPr>
      <w:r w:rsidRPr="00310047">
        <w:rPr>
          <w:rFonts w:ascii="Times New Roman" w:hAnsi="Times New Roman"/>
          <w:i/>
          <w:iCs/>
          <w:sz w:val="24"/>
          <w:szCs w:val="24"/>
        </w:rPr>
        <w:t>Corresponding Author</w:t>
      </w:r>
    </w:p>
    <w:p w:rsidR="00703BE7" w:rsidRDefault="00703BE7" w:rsidP="00703BE7">
      <w:pPr>
        <w:pStyle w:val="PlainText"/>
        <w:tabs>
          <w:tab w:val="left" w:pos="284"/>
        </w:tabs>
        <w:jc w:val="center"/>
        <w:rPr>
          <w:rFonts w:ascii="Times New Roman" w:hAnsi="Times New Roman"/>
          <w:sz w:val="22"/>
        </w:rPr>
      </w:pPr>
    </w:p>
    <w:p w:rsidR="00703BE7" w:rsidRPr="00310047" w:rsidRDefault="00310047" w:rsidP="00703BE7">
      <w:pPr>
        <w:pStyle w:val="PlainText"/>
        <w:tabs>
          <w:tab w:val="left" w:pos="284"/>
        </w:tabs>
        <w:jc w:val="center"/>
        <w:rPr>
          <w:rFonts w:ascii="Times New Roman" w:hAnsi="Times New Roman" w:cs="Times New Roman"/>
          <w:b/>
          <w:bCs/>
          <w:sz w:val="24"/>
          <w:szCs w:val="24"/>
        </w:rPr>
      </w:pPr>
      <w:r>
        <w:rPr>
          <w:rFonts w:ascii="Times New Roman" w:hAnsi="Times New Roman" w:cs="Times New Roman"/>
          <w:b/>
          <w:bCs/>
          <w:sz w:val="24"/>
          <w:szCs w:val="24"/>
        </w:rPr>
        <w:t>Michael P. Cameron</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Economics</w:t>
      </w:r>
      <w:r w:rsidR="00310047">
        <w:rPr>
          <w:rFonts w:ascii="Times New Roman" w:hAnsi="Times New Roman" w:cs="Times New Roman"/>
          <w:sz w:val="24"/>
          <w:szCs w:val="24"/>
        </w:rPr>
        <w:t xml:space="preserve"> Department</w:t>
      </w:r>
      <w:r w:rsidRPr="00310047">
        <w:rPr>
          <w:rFonts w:ascii="Times New Roman" w:hAnsi="Times New Roman" w:cs="Times New Roman"/>
          <w:sz w:val="24"/>
          <w:szCs w:val="24"/>
        </w:rPr>
        <w:t xml:space="preserve"> </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 xml:space="preserve">University of Waikato, </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Private Bag 3105,</w:t>
      </w:r>
    </w:p>
    <w:p w:rsidR="00703BE7" w:rsidRPr="0031004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Hamilton, New Zealand</w:t>
      </w:r>
    </w:p>
    <w:p w:rsidR="00703BE7" w:rsidRPr="00310047" w:rsidRDefault="00703BE7" w:rsidP="00703BE7">
      <w:pPr>
        <w:pStyle w:val="PlainText"/>
        <w:tabs>
          <w:tab w:val="left" w:pos="284"/>
        </w:tabs>
        <w:jc w:val="center"/>
        <w:rPr>
          <w:rFonts w:ascii="Times New Roman" w:hAnsi="Times New Roman" w:cs="Times New Roman"/>
          <w:sz w:val="24"/>
          <w:szCs w:val="24"/>
        </w:rPr>
      </w:pPr>
    </w:p>
    <w:p w:rsidR="00703BE7" w:rsidRDefault="00703BE7" w:rsidP="00703BE7">
      <w:pPr>
        <w:pStyle w:val="PlainText"/>
        <w:tabs>
          <w:tab w:val="left" w:pos="284"/>
        </w:tabs>
        <w:jc w:val="center"/>
        <w:rPr>
          <w:rFonts w:ascii="Times New Roman" w:hAnsi="Times New Roman" w:cs="Times New Roman"/>
          <w:sz w:val="24"/>
          <w:szCs w:val="24"/>
        </w:rPr>
      </w:pPr>
      <w:r w:rsidRPr="00310047">
        <w:rPr>
          <w:rFonts w:ascii="Times New Roman" w:hAnsi="Times New Roman" w:cs="Times New Roman"/>
          <w:sz w:val="24"/>
          <w:szCs w:val="24"/>
        </w:rPr>
        <w:t>Email:</w:t>
      </w:r>
      <w:r w:rsidRPr="00214AC7">
        <w:rPr>
          <w:rFonts w:ascii="Times New Roman" w:hAnsi="Times New Roman" w:cs="Times New Roman"/>
          <w:sz w:val="24"/>
          <w:szCs w:val="24"/>
        </w:rPr>
        <w:t xml:space="preserve"> </w:t>
      </w:r>
      <w:r w:rsidR="00214AC7" w:rsidRPr="00214AC7">
        <w:rPr>
          <w:rFonts w:ascii="Times New Roman" w:hAnsi="Times New Roman" w:cs="Times New Roman"/>
          <w:sz w:val="24"/>
          <w:szCs w:val="24"/>
        </w:rPr>
        <w:t>mcam@waikato.ac.nz</w:t>
      </w:r>
    </w:p>
    <w:p w:rsidR="00214AC7" w:rsidRPr="00214AC7" w:rsidRDefault="00214AC7" w:rsidP="00067156">
      <w:pPr>
        <w:tabs>
          <w:tab w:val="left" w:pos="284"/>
        </w:tabs>
        <w:spacing w:line="288" w:lineRule="auto"/>
        <w:jc w:val="center"/>
      </w:pPr>
      <w:r>
        <w:t>Tel</w:t>
      </w:r>
      <w:r w:rsidRPr="008F7BE6">
        <w:t xml:space="preserve">: +64 </w:t>
      </w:r>
      <w:r w:rsidR="00981EFA">
        <w:t>(0)</w:t>
      </w:r>
      <w:r w:rsidRPr="008F7BE6">
        <w:t>7 858 5082</w:t>
      </w:r>
    </w:p>
    <w:p w:rsidR="007D3F85" w:rsidRDefault="007D3F85" w:rsidP="00703BE7">
      <w:pPr>
        <w:pStyle w:val="PlainText"/>
        <w:tabs>
          <w:tab w:val="left" w:pos="284"/>
        </w:tabs>
        <w:spacing w:line="300" w:lineRule="auto"/>
        <w:jc w:val="center"/>
        <w:rPr>
          <w:rFonts w:ascii="Times New Roman" w:hAnsi="Times New Roman"/>
          <w:b/>
          <w:bCs/>
          <w:sz w:val="24"/>
        </w:rPr>
      </w:pPr>
    </w:p>
    <w:p w:rsidR="007D3F85" w:rsidRDefault="007D3F85" w:rsidP="00703BE7">
      <w:pPr>
        <w:pStyle w:val="PlainText"/>
        <w:tabs>
          <w:tab w:val="left" w:pos="284"/>
        </w:tabs>
        <w:spacing w:line="300" w:lineRule="auto"/>
        <w:jc w:val="center"/>
        <w:rPr>
          <w:rFonts w:ascii="Times New Roman" w:hAnsi="Times New Roman"/>
          <w:b/>
          <w:bCs/>
          <w:sz w:val="24"/>
        </w:rPr>
      </w:pPr>
    </w:p>
    <w:p w:rsidR="007D3F85" w:rsidRDefault="007D3F85" w:rsidP="00703BE7">
      <w:pPr>
        <w:pStyle w:val="PlainText"/>
        <w:tabs>
          <w:tab w:val="left" w:pos="284"/>
        </w:tabs>
        <w:spacing w:line="300" w:lineRule="auto"/>
        <w:jc w:val="center"/>
        <w:rPr>
          <w:rFonts w:ascii="Times New Roman" w:hAnsi="Times New Roman"/>
          <w:b/>
          <w:bCs/>
          <w:sz w:val="24"/>
        </w:rPr>
      </w:pPr>
    </w:p>
    <w:p w:rsidR="007D3F85" w:rsidRDefault="007D3F85" w:rsidP="00703BE7">
      <w:pPr>
        <w:pStyle w:val="PlainText"/>
        <w:tabs>
          <w:tab w:val="left" w:pos="284"/>
        </w:tabs>
        <w:spacing w:line="300" w:lineRule="auto"/>
        <w:jc w:val="center"/>
        <w:rPr>
          <w:rFonts w:ascii="Times New Roman" w:hAnsi="Times New Roman"/>
          <w:b/>
          <w:bCs/>
          <w:sz w:val="24"/>
        </w:rPr>
      </w:pPr>
    </w:p>
    <w:p w:rsidR="00703BE7" w:rsidRDefault="00214AC7" w:rsidP="00703BE7">
      <w:pPr>
        <w:pStyle w:val="PlainText"/>
        <w:tabs>
          <w:tab w:val="left" w:pos="284"/>
        </w:tabs>
        <w:spacing w:line="300" w:lineRule="auto"/>
        <w:jc w:val="center"/>
        <w:rPr>
          <w:rFonts w:ascii="Times New Roman" w:hAnsi="Times New Roman"/>
          <w:b/>
          <w:bCs/>
          <w:sz w:val="24"/>
        </w:rPr>
      </w:pPr>
      <w:r>
        <w:rPr>
          <w:rFonts w:ascii="Times New Roman" w:hAnsi="Times New Roman"/>
          <w:b/>
          <w:bCs/>
          <w:sz w:val="24"/>
        </w:rPr>
        <w:t>Abstract</w:t>
      </w:r>
    </w:p>
    <w:p w:rsidR="00067156" w:rsidRPr="00067156" w:rsidRDefault="00067156" w:rsidP="00BE03DB">
      <w:pPr>
        <w:pStyle w:val="PlainText"/>
        <w:tabs>
          <w:tab w:val="left" w:pos="284"/>
        </w:tabs>
        <w:spacing w:line="300" w:lineRule="auto"/>
        <w:jc w:val="both"/>
        <w:rPr>
          <w:rFonts w:ascii="Times New Roman" w:hAnsi="Times New Roman"/>
          <w:b/>
          <w:bCs/>
          <w:sz w:val="12"/>
          <w:szCs w:val="12"/>
        </w:rPr>
      </w:pPr>
    </w:p>
    <w:p w:rsidR="00703BE7" w:rsidRDefault="00BB7C59" w:rsidP="00BE03DB">
      <w:pPr>
        <w:spacing w:line="300" w:lineRule="auto"/>
        <w:jc w:val="both"/>
      </w:pPr>
      <w:r w:rsidRPr="00BB7C59">
        <w:rPr>
          <w:bCs/>
          <w:iCs/>
        </w:rPr>
        <w:t xml:space="preserve">Understanding the financial literacy of young people is an essential prerequisite for developing effective education programmes designed to improve young people’s understanding of personal finance. In this paper, we present results from a survey of high school students which included a financial literacy component, a financial risk tolerance assessment, and basic demographic details. </w:t>
      </w:r>
      <w:r w:rsidR="00B75464">
        <w:rPr>
          <w:bCs/>
          <w:iCs/>
        </w:rPr>
        <w:t xml:space="preserve"> </w:t>
      </w:r>
      <w:r w:rsidRPr="00BB7C59">
        <w:rPr>
          <w:bCs/>
          <w:iCs/>
        </w:rPr>
        <w:t xml:space="preserve">Overall, we find that financial literacy is lowest among </w:t>
      </w:r>
      <w:r w:rsidR="00AA7EB8">
        <w:rPr>
          <w:bCs/>
          <w:iCs/>
        </w:rPr>
        <w:t xml:space="preserve">financially </w:t>
      </w:r>
      <w:r w:rsidRPr="00BB7C59">
        <w:rPr>
          <w:bCs/>
          <w:iCs/>
        </w:rPr>
        <w:t xml:space="preserve">poorer students, those with less English ability, and those with less academic ability. </w:t>
      </w:r>
      <w:r w:rsidR="00B75464">
        <w:rPr>
          <w:bCs/>
          <w:iCs/>
        </w:rPr>
        <w:t xml:space="preserve"> </w:t>
      </w:r>
      <w:r w:rsidRPr="00BB7C59">
        <w:rPr>
          <w:bCs/>
          <w:iCs/>
        </w:rPr>
        <w:t>However, relative poverty and lower English ability were not related to the ability to apply financial knowledge. Thus, while financial education targeted to immigrant groups and the poor may improve overall financial literacy, a broader approach remains necessary. A general form of financial literacy education, beginning at the high school level, may be the key to improving financial literacy in the population in the long term.</w:t>
      </w:r>
    </w:p>
    <w:p w:rsidR="00703BE7" w:rsidRDefault="00703BE7" w:rsidP="00703BE7">
      <w:pPr>
        <w:spacing w:line="300" w:lineRule="auto"/>
      </w:pPr>
    </w:p>
    <w:p w:rsidR="007D3F85" w:rsidRDefault="007D3F85" w:rsidP="00703BE7">
      <w:pPr>
        <w:spacing w:line="300" w:lineRule="auto"/>
      </w:pPr>
    </w:p>
    <w:p w:rsidR="007D3F85" w:rsidRDefault="007D3F85" w:rsidP="00703BE7">
      <w:pPr>
        <w:spacing w:line="300" w:lineRule="auto"/>
      </w:pPr>
    </w:p>
    <w:p w:rsidR="00703BE7" w:rsidRDefault="00703BE7" w:rsidP="00703BE7">
      <w:pPr>
        <w:spacing w:line="300" w:lineRule="auto"/>
        <w:jc w:val="center"/>
        <w:rPr>
          <w:b/>
        </w:rPr>
      </w:pPr>
      <w:r>
        <w:rPr>
          <w:b/>
        </w:rPr>
        <w:t>Keywords</w:t>
      </w:r>
    </w:p>
    <w:p w:rsidR="006C4192" w:rsidRDefault="006C4192" w:rsidP="00703BE7">
      <w:pPr>
        <w:spacing w:line="300" w:lineRule="auto"/>
        <w:jc w:val="center"/>
      </w:pPr>
      <w:r>
        <w:t>financial literacy</w:t>
      </w:r>
    </w:p>
    <w:p w:rsidR="006C4192" w:rsidRDefault="00BB7C59" w:rsidP="00703BE7">
      <w:pPr>
        <w:spacing w:line="300" w:lineRule="auto"/>
        <w:jc w:val="center"/>
      </w:pPr>
      <w:r w:rsidRPr="00BB7C59">
        <w:t xml:space="preserve">financial </w:t>
      </w:r>
      <w:r w:rsidR="006C4192">
        <w:t>education</w:t>
      </w:r>
    </w:p>
    <w:p w:rsidR="006C4192" w:rsidRDefault="006C4192" w:rsidP="00703BE7">
      <w:pPr>
        <w:spacing w:line="300" w:lineRule="auto"/>
        <w:jc w:val="center"/>
      </w:pPr>
      <w:r>
        <w:t>risk tolerance</w:t>
      </w:r>
    </w:p>
    <w:p w:rsidR="00A2798F" w:rsidRDefault="00BB7C59" w:rsidP="00703BE7">
      <w:pPr>
        <w:spacing w:line="300" w:lineRule="auto"/>
        <w:jc w:val="center"/>
      </w:pPr>
      <w:r w:rsidRPr="00BB7C59">
        <w:t>New Zealand</w:t>
      </w:r>
    </w:p>
    <w:p w:rsidR="00703BE7" w:rsidRDefault="00703BE7" w:rsidP="00703BE7">
      <w:pPr>
        <w:spacing w:line="300" w:lineRule="auto"/>
        <w:jc w:val="center"/>
      </w:pPr>
    </w:p>
    <w:p w:rsidR="007D3F85" w:rsidRDefault="007D3F85" w:rsidP="00703BE7">
      <w:pPr>
        <w:spacing w:line="300" w:lineRule="auto"/>
        <w:jc w:val="center"/>
      </w:pPr>
    </w:p>
    <w:p w:rsidR="007D3F85" w:rsidRPr="00FC23F3" w:rsidRDefault="007D3F85" w:rsidP="00703BE7">
      <w:pPr>
        <w:spacing w:line="300" w:lineRule="auto"/>
        <w:jc w:val="center"/>
      </w:pPr>
    </w:p>
    <w:p w:rsidR="00703BE7" w:rsidRDefault="00703BE7" w:rsidP="00703BE7">
      <w:pPr>
        <w:spacing w:line="300" w:lineRule="auto"/>
        <w:jc w:val="center"/>
        <w:rPr>
          <w:b/>
        </w:rPr>
      </w:pPr>
      <w:r>
        <w:rPr>
          <w:b/>
        </w:rPr>
        <w:t>JEL Classification</w:t>
      </w:r>
    </w:p>
    <w:p w:rsidR="00703BE7" w:rsidRDefault="00A2798F" w:rsidP="00A2798F">
      <w:pPr>
        <w:spacing w:line="300" w:lineRule="auto"/>
        <w:jc w:val="center"/>
        <w:rPr>
          <w:bCs/>
        </w:rPr>
      </w:pPr>
      <w:r>
        <w:t>A21, D14</w:t>
      </w:r>
    </w:p>
    <w:p w:rsidR="00AB3C47" w:rsidRDefault="00AB3C47" w:rsidP="00703BE7">
      <w:pPr>
        <w:spacing w:line="300" w:lineRule="auto"/>
        <w:rPr>
          <w:bCs/>
        </w:rPr>
      </w:pPr>
    </w:p>
    <w:p w:rsidR="00162783" w:rsidRDefault="00162783" w:rsidP="00703BE7">
      <w:pPr>
        <w:spacing w:line="300" w:lineRule="auto"/>
        <w:rPr>
          <w:bCs/>
        </w:rPr>
      </w:pPr>
    </w:p>
    <w:p w:rsidR="007D3F85" w:rsidRDefault="007D3F85" w:rsidP="00703BE7">
      <w:pPr>
        <w:spacing w:line="300" w:lineRule="auto"/>
        <w:rPr>
          <w:bCs/>
        </w:rPr>
      </w:pPr>
    </w:p>
    <w:p w:rsidR="00703BE7" w:rsidRDefault="00703BE7" w:rsidP="00703BE7">
      <w:pPr>
        <w:spacing w:line="300" w:lineRule="auto"/>
        <w:jc w:val="center"/>
        <w:rPr>
          <w:b/>
          <w:sz w:val="22"/>
          <w:szCs w:val="22"/>
        </w:rPr>
      </w:pPr>
      <w:r w:rsidRPr="006C4192">
        <w:rPr>
          <w:b/>
          <w:sz w:val="22"/>
          <w:szCs w:val="22"/>
        </w:rPr>
        <w:t>Acknowledgements</w:t>
      </w:r>
    </w:p>
    <w:p w:rsidR="0004202A" w:rsidRPr="0004202A" w:rsidRDefault="0004202A" w:rsidP="00703BE7">
      <w:pPr>
        <w:spacing w:line="300" w:lineRule="auto"/>
        <w:jc w:val="center"/>
        <w:rPr>
          <w:b/>
          <w:sz w:val="10"/>
          <w:szCs w:val="10"/>
        </w:rPr>
      </w:pPr>
    </w:p>
    <w:p w:rsidR="0013167C" w:rsidRPr="006C4192" w:rsidRDefault="00BE03DB" w:rsidP="00BE03DB">
      <w:pPr>
        <w:tabs>
          <w:tab w:val="left" w:pos="284"/>
        </w:tabs>
        <w:spacing w:line="288" w:lineRule="auto"/>
        <w:jc w:val="both"/>
        <w:rPr>
          <w:sz w:val="22"/>
          <w:szCs w:val="22"/>
        </w:rPr>
      </w:pPr>
      <w:r w:rsidRPr="006C4192">
        <w:rPr>
          <w:sz w:val="22"/>
          <w:szCs w:val="22"/>
        </w:rPr>
        <w:t xml:space="preserve">This research was funded by a Waikato Management School internal contestable research grant. We are thankful to John Gibson and Bruce </w:t>
      </w:r>
      <w:proofErr w:type="spellStart"/>
      <w:r w:rsidRPr="006C4192">
        <w:rPr>
          <w:sz w:val="22"/>
          <w:szCs w:val="22"/>
        </w:rPr>
        <w:t>Cortesi</w:t>
      </w:r>
      <w:proofErr w:type="spellEnd"/>
      <w:r w:rsidRPr="006C4192">
        <w:rPr>
          <w:sz w:val="22"/>
          <w:szCs w:val="22"/>
        </w:rPr>
        <w:t xml:space="preserve"> for suggestions on research design, and to participants at a University of Waikato professional development day for high school economics teachers for comments on an earlier draft of this paper.</w:t>
      </w:r>
    </w:p>
    <w:p w:rsidR="0013167C" w:rsidRPr="006C4192" w:rsidRDefault="0013167C" w:rsidP="007231F9">
      <w:pPr>
        <w:tabs>
          <w:tab w:val="left" w:pos="284"/>
        </w:tabs>
        <w:spacing w:line="288" w:lineRule="auto"/>
        <w:rPr>
          <w:sz w:val="22"/>
          <w:szCs w:val="22"/>
        </w:rPr>
      </w:pPr>
    </w:p>
    <w:p w:rsidR="00A2798F" w:rsidRDefault="00143F95" w:rsidP="00A2798F">
      <w:pPr>
        <w:pStyle w:val="Heading3"/>
        <w:tabs>
          <w:tab w:val="left" w:pos="284"/>
        </w:tabs>
        <w:spacing w:before="0" w:after="0" w:line="288" w:lineRule="auto"/>
        <w:jc w:val="both"/>
        <w:rPr>
          <w:rFonts w:ascii="Times New Roman" w:hAnsi="Times New Roman"/>
          <w:b/>
          <w:i w:val="0"/>
          <w:sz w:val="24"/>
          <w:szCs w:val="24"/>
          <w:u w:val="none"/>
        </w:rPr>
      </w:pPr>
      <w:r w:rsidRPr="008F7BE6">
        <w:rPr>
          <w:rFonts w:ascii="Arial" w:hAnsi="Arial" w:cs="Arial"/>
          <w:b/>
          <w:bCs/>
          <w:kern w:val="32"/>
        </w:rPr>
        <w:br w:type="page"/>
      </w:r>
      <w:r w:rsidR="00A2798F">
        <w:rPr>
          <w:rFonts w:ascii="Times New Roman" w:hAnsi="Times New Roman"/>
          <w:b/>
          <w:i w:val="0"/>
          <w:sz w:val="24"/>
          <w:szCs w:val="24"/>
          <w:u w:val="none"/>
        </w:rPr>
        <w:lastRenderedPageBreak/>
        <w:t>1.  Introduction</w:t>
      </w:r>
    </w:p>
    <w:p w:rsidR="00E77E41" w:rsidRPr="006B20F4" w:rsidRDefault="00E77E41" w:rsidP="00214AC7">
      <w:pPr>
        <w:tabs>
          <w:tab w:val="left" w:pos="284"/>
        </w:tabs>
        <w:spacing w:line="288" w:lineRule="auto"/>
        <w:rPr>
          <w:b/>
          <w:i/>
          <w:sz w:val="12"/>
          <w:szCs w:val="12"/>
        </w:rPr>
      </w:pPr>
    </w:p>
    <w:p w:rsidR="00BB7C59" w:rsidRDefault="00BB7C59" w:rsidP="004E7D3D">
      <w:pPr>
        <w:tabs>
          <w:tab w:val="left" w:pos="284"/>
        </w:tabs>
        <w:spacing w:line="288" w:lineRule="auto"/>
        <w:jc w:val="both"/>
      </w:pPr>
      <w:r>
        <w:t xml:space="preserve">Financial literacy can be considered </w:t>
      </w:r>
      <w:r w:rsidR="006C4192">
        <w:t>‘</w:t>
      </w:r>
      <w:r>
        <w:t xml:space="preserve">a combination of awareness, knowledge, skill, attitude and </w:t>
      </w:r>
      <w:r w:rsidRPr="00BB704D">
        <w:rPr>
          <w:lang w:val="en-NZ"/>
        </w:rPr>
        <w:t>behaviour</w:t>
      </w:r>
      <w:r>
        <w:t xml:space="preserve"> necessary to make sound financial decisions and ultimately achieve individual financial</w:t>
      </w:r>
      <w:r w:rsidR="006C4192">
        <w:t xml:space="preserve"> wellbeing’ (Atkinson and Messy 2012, p.</w:t>
      </w:r>
      <w:r>
        <w:t>14). Having an effective degree of financial literacy is important, given the increasing range and accessibility of financial products and services available (</w:t>
      </w:r>
      <w:r w:rsidR="006C4192">
        <w:t xml:space="preserve">see, for example, </w:t>
      </w:r>
      <w:r>
        <w:t xml:space="preserve">Beckett </w:t>
      </w:r>
      <w:r w:rsidR="006C4192" w:rsidRPr="006C4192">
        <w:rPr>
          <w:i/>
        </w:rPr>
        <w:t>et al</w:t>
      </w:r>
      <w:r w:rsidR="006C4192">
        <w:t xml:space="preserve">. </w:t>
      </w:r>
      <w:r w:rsidR="00727E33">
        <w:t>2000,</w:t>
      </w:r>
      <w:r>
        <w:t xml:space="preserve"> </w:t>
      </w:r>
      <w:proofErr w:type="spellStart"/>
      <w:r>
        <w:t>Marcolin</w:t>
      </w:r>
      <w:proofErr w:type="spellEnd"/>
      <w:r>
        <w:t xml:space="preserve"> and Abraham 2006). Young people in particular are having to make more financial choices earlier and are increasingly confronted with opportunities to borrow money and apply for credit (</w:t>
      </w:r>
      <w:r w:rsidR="006C4192">
        <w:t xml:space="preserve">see, for example, Roberts and Jones 2001, </w:t>
      </w:r>
      <w:proofErr w:type="spellStart"/>
      <w:r>
        <w:t>Lusardi</w:t>
      </w:r>
      <w:proofErr w:type="spellEnd"/>
      <w:r>
        <w:t xml:space="preserve"> </w:t>
      </w:r>
      <w:r w:rsidRPr="006C4192">
        <w:rPr>
          <w:i/>
        </w:rPr>
        <w:t>et al</w:t>
      </w:r>
      <w:r w:rsidR="006C4192">
        <w:t>.</w:t>
      </w:r>
      <w:r>
        <w:t xml:space="preserve"> 2010).</w:t>
      </w:r>
    </w:p>
    <w:p w:rsidR="00292791" w:rsidRDefault="00292791" w:rsidP="00BB7C59">
      <w:pPr>
        <w:tabs>
          <w:tab w:val="left" w:pos="284"/>
        </w:tabs>
        <w:spacing w:line="288" w:lineRule="auto"/>
      </w:pPr>
    </w:p>
    <w:p w:rsidR="00A2798F" w:rsidRDefault="0035460F" w:rsidP="00BB7C59">
      <w:pPr>
        <w:tabs>
          <w:tab w:val="left" w:pos="284"/>
        </w:tabs>
        <w:spacing w:line="288" w:lineRule="auto"/>
        <w:jc w:val="both"/>
      </w:pPr>
      <w:r>
        <w:tab/>
      </w:r>
      <w:r w:rsidR="00BB7C59">
        <w:t>Despite there being no commonly accepted, standard definition of financial literacy (Huston 2010), it is apparent from many prior studies that the level of financial literacy (however measured) amongst</w:t>
      </w:r>
      <w:r w:rsidR="00003B28">
        <w:t xml:space="preserve"> young people is poor (</w:t>
      </w:r>
      <w:proofErr w:type="spellStart"/>
      <w:r w:rsidR="00003B28">
        <w:t>Mandell</w:t>
      </w:r>
      <w:proofErr w:type="spellEnd"/>
      <w:r w:rsidR="00003B28">
        <w:t xml:space="preserve"> 2008a,</w:t>
      </w:r>
      <w:r w:rsidR="00BB7C59">
        <w:t xml:space="preserve"> 2008b; </w:t>
      </w:r>
      <w:proofErr w:type="spellStart"/>
      <w:r w:rsidR="00BB7C59">
        <w:t>Borodich</w:t>
      </w:r>
      <w:proofErr w:type="spellEnd"/>
      <w:r w:rsidR="00BB7C59">
        <w:t xml:space="preserve"> </w:t>
      </w:r>
      <w:r w:rsidR="00BB7C59" w:rsidRPr="00003B28">
        <w:rPr>
          <w:i/>
        </w:rPr>
        <w:t>et al.</w:t>
      </w:r>
      <w:r w:rsidR="00003B28">
        <w:t xml:space="preserve"> 2010, </w:t>
      </w:r>
      <w:r w:rsidR="00BB7C59">
        <w:t xml:space="preserve">Cameron </w:t>
      </w:r>
      <w:r w:rsidR="00727E33" w:rsidRPr="00727E33">
        <w:rPr>
          <w:i/>
        </w:rPr>
        <w:t>et al.</w:t>
      </w:r>
      <w:r w:rsidR="00727E33" w:rsidRPr="00FF4848">
        <w:rPr>
          <w:i/>
        </w:rPr>
        <w:t xml:space="preserve"> </w:t>
      </w:r>
      <w:r w:rsidR="00BB7C59">
        <w:t>2013). On reviewing the need for financial education in the U.S., the Office of Investor Education and Assistance, Securitie</w:t>
      </w:r>
      <w:r w:rsidR="00727E33">
        <w:t>s and Exchange Commission (1999</w:t>
      </w:r>
      <w:r w:rsidR="00BB7C59">
        <w:t xml:space="preserve"> p.2) declared the country to be facing </w:t>
      </w:r>
      <w:r w:rsidR="006C4192">
        <w:t>‘</w:t>
      </w:r>
      <w:r w:rsidR="00BB7C59">
        <w:t>a financial literacy crisis</w:t>
      </w:r>
      <w:r w:rsidR="006C4192">
        <w:t>’</w:t>
      </w:r>
      <w:r w:rsidR="00BB7C59">
        <w:t xml:space="preserve">, and was </w:t>
      </w:r>
      <w:r w:rsidR="006C4192">
        <w:t>‘</w:t>
      </w:r>
      <w:r w:rsidR="00BB7C59">
        <w:t>alarmed</w:t>
      </w:r>
      <w:r w:rsidR="006C4192">
        <w:t>’</w:t>
      </w:r>
      <w:r w:rsidR="00BB7C59">
        <w:t xml:space="preserve"> at how few high school students could pass a basic financial literacy test. </w:t>
      </w:r>
      <w:r w:rsidR="00003B28">
        <w:t xml:space="preserve"> </w:t>
      </w:r>
      <w:proofErr w:type="spellStart"/>
      <w:r w:rsidR="00BB7C59">
        <w:t>Mandell</w:t>
      </w:r>
      <w:proofErr w:type="spellEnd"/>
      <w:r w:rsidR="00BB7C59">
        <w:t xml:space="preserve"> (2008a) noted that financial literacy levels appear to be worsening with time. The results of the initial </w:t>
      </w:r>
      <w:proofErr w:type="spellStart"/>
      <w:r w:rsidR="00BB7C59">
        <w:t>Jump$tart</w:t>
      </w:r>
      <w:proofErr w:type="spellEnd"/>
      <w:r w:rsidR="00BB7C59">
        <w:t xml:space="preserve"> survey of 1997 were considered appalling, returning an average score of 57.3%. However the following four biennial test means were betw</w:t>
      </w:r>
      <w:r w:rsidR="00727E33">
        <w:t>een 50.2% and 52.4% (</w:t>
      </w:r>
      <w:proofErr w:type="spellStart"/>
      <w:r w:rsidR="00727E33">
        <w:t>Mandell</w:t>
      </w:r>
      <w:proofErr w:type="spellEnd"/>
      <w:r w:rsidR="00BB7C59">
        <w:t xml:space="preserve"> 2008a), and by 2008 average score had fallen to 48.3%, meaning the test averages have never made the 60% de</w:t>
      </w:r>
      <w:r w:rsidR="00727E33">
        <w:t>signated as acceptable (</w:t>
      </w:r>
      <w:proofErr w:type="spellStart"/>
      <w:r w:rsidR="00727E33">
        <w:t>Mandell</w:t>
      </w:r>
      <w:proofErr w:type="spellEnd"/>
      <w:r w:rsidR="00BB7C59">
        <w:t xml:space="preserve"> 2008b).</w:t>
      </w:r>
    </w:p>
    <w:p w:rsidR="00BE03DB" w:rsidRPr="006B20F4" w:rsidRDefault="00BE03DB" w:rsidP="00BB7C59">
      <w:pPr>
        <w:tabs>
          <w:tab w:val="left" w:pos="284"/>
        </w:tabs>
        <w:spacing w:line="288" w:lineRule="auto"/>
        <w:jc w:val="both"/>
        <w:rPr>
          <w:b/>
          <w:i/>
          <w:sz w:val="16"/>
          <w:szCs w:val="16"/>
        </w:rPr>
      </w:pPr>
    </w:p>
    <w:p w:rsidR="006B20F4" w:rsidRPr="006B20F4" w:rsidRDefault="006B20F4" w:rsidP="00BB7C59">
      <w:pPr>
        <w:tabs>
          <w:tab w:val="left" w:pos="284"/>
        </w:tabs>
        <w:spacing w:line="288" w:lineRule="auto"/>
        <w:jc w:val="both"/>
        <w:rPr>
          <w:b/>
          <w:i/>
          <w:sz w:val="16"/>
          <w:szCs w:val="16"/>
        </w:rPr>
      </w:pPr>
    </w:p>
    <w:p w:rsidR="00A2798F" w:rsidRDefault="00A2798F" w:rsidP="00A2798F">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 xml:space="preserve">2.  </w:t>
      </w:r>
      <w:r w:rsidR="00AA7EB8">
        <w:rPr>
          <w:rFonts w:ascii="Times New Roman" w:hAnsi="Times New Roman"/>
          <w:b/>
          <w:i w:val="0"/>
          <w:sz w:val="24"/>
          <w:szCs w:val="24"/>
          <w:u w:val="none"/>
        </w:rPr>
        <w:t>Background</w:t>
      </w:r>
    </w:p>
    <w:p w:rsidR="006B20F4" w:rsidRPr="006B20F4" w:rsidRDefault="006B20F4" w:rsidP="00A2798F">
      <w:pPr>
        <w:pStyle w:val="Heading3"/>
        <w:tabs>
          <w:tab w:val="left" w:pos="284"/>
        </w:tabs>
        <w:spacing w:before="0" w:after="0" w:line="288" w:lineRule="auto"/>
        <w:jc w:val="both"/>
        <w:rPr>
          <w:rFonts w:ascii="Times New Roman" w:hAnsi="Times New Roman"/>
          <w:b/>
          <w:i w:val="0"/>
          <w:sz w:val="12"/>
          <w:szCs w:val="12"/>
          <w:u w:val="none"/>
        </w:rPr>
      </w:pPr>
    </w:p>
    <w:p w:rsidR="00FF4848" w:rsidRDefault="00FF4848" w:rsidP="004E7D3D">
      <w:pPr>
        <w:pStyle w:val="Heading3"/>
        <w:tabs>
          <w:tab w:val="left" w:pos="284"/>
        </w:tabs>
        <w:spacing w:before="0" w:after="0" w:line="288" w:lineRule="auto"/>
        <w:jc w:val="both"/>
        <w:rPr>
          <w:rFonts w:ascii="Times New Roman" w:hAnsi="Times New Roman"/>
          <w:i w:val="0"/>
          <w:spacing w:val="0"/>
          <w:sz w:val="24"/>
          <w:szCs w:val="24"/>
          <w:u w:val="none"/>
        </w:rPr>
      </w:pPr>
      <w:r w:rsidRPr="00FF4848">
        <w:rPr>
          <w:rFonts w:ascii="Times New Roman" w:hAnsi="Times New Roman"/>
          <w:i w:val="0"/>
          <w:spacing w:val="0"/>
          <w:sz w:val="24"/>
          <w:szCs w:val="24"/>
          <w:u w:val="none"/>
        </w:rPr>
        <w:t>Many factors have been shown to be associated with financial literacy among teenagers. In terms of demographic characteristics, males have been found to out</w:t>
      </w:r>
      <w:r w:rsidR="00003B28">
        <w:rPr>
          <w:rFonts w:ascii="Times New Roman" w:hAnsi="Times New Roman"/>
          <w:i w:val="0"/>
          <w:spacing w:val="0"/>
          <w:sz w:val="24"/>
          <w:szCs w:val="24"/>
          <w:u w:val="none"/>
        </w:rPr>
        <w:t>perform females (</w:t>
      </w:r>
      <w:proofErr w:type="spellStart"/>
      <w:r w:rsidR="00003B28">
        <w:rPr>
          <w:rFonts w:ascii="Times New Roman" w:hAnsi="Times New Roman"/>
          <w:i w:val="0"/>
          <w:spacing w:val="0"/>
          <w:sz w:val="24"/>
          <w:szCs w:val="24"/>
          <w:u w:val="none"/>
        </w:rPr>
        <w:t>Mandell</w:t>
      </w:r>
      <w:proofErr w:type="spellEnd"/>
      <w:r w:rsidR="00727E33">
        <w:rPr>
          <w:rFonts w:ascii="Times New Roman" w:hAnsi="Times New Roman"/>
          <w:i w:val="0"/>
          <w:spacing w:val="0"/>
          <w:sz w:val="24"/>
          <w:szCs w:val="24"/>
          <w:u w:val="none"/>
        </w:rPr>
        <w:t xml:space="preserve"> 2008a,</w:t>
      </w:r>
      <w:r w:rsidRPr="00FF4848">
        <w:rPr>
          <w:rFonts w:ascii="Times New Roman" w:hAnsi="Times New Roman"/>
          <w:i w:val="0"/>
          <w:spacing w:val="0"/>
          <w:sz w:val="24"/>
          <w:szCs w:val="24"/>
          <w:u w:val="none"/>
        </w:rPr>
        <w:t xml:space="preserve"> </w:t>
      </w:r>
      <w:proofErr w:type="spellStart"/>
      <w:r w:rsidRPr="00FF4848">
        <w:rPr>
          <w:rFonts w:ascii="Times New Roman" w:hAnsi="Times New Roman"/>
          <w:i w:val="0"/>
          <w:spacing w:val="0"/>
          <w:sz w:val="24"/>
          <w:szCs w:val="24"/>
          <w:u w:val="none"/>
        </w:rPr>
        <w:t>Lusardi</w:t>
      </w:r>
      <w:proofErr w:type="spellEnd"/>
      <w:r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Pr>
          <w:rFonts w:ascii="Times New Roman" w:hAnsi="Times New Roman"/>
          <w:i w:val="0"/>
          <w:spacing w:val="0"/>
          <w:sz w:val="24"/>
          <w:szCs w:val="24"/>
          <w:u w:val="none"/>
        </w:rPr>
        <w:t xml:space="preserve"> </w:t>
      </w:r>
      <w:r w:rsidRPr="00FF4848">
        <w:rPr>
          <w:rFonts w:ascii="Times New Roman" w:hAnsi="Times New Roman"/>
          <w:i w:val="0"/>
          <w:spacing w:val="0"/>
          <w:sz w:val="24"/>
          <w:szCs w:val="24"/>
          <w:u w:val="none"/>
        </w:rPr>
        <w:t>2010), although gender differences appear to not be stable over time, as females outperformed males in the most r</w:t>
      </w:r>
      <w:r w:rsidR="00727E33">
        <w:rPr>
          <w:rFonts w:ascii="Times New Roman" w:hAnsi="Times New Roman"/>
          <w:i w:val="0"/>
          <w:spacing w:val="0"/>
          <w:sz w:val="24"/>
          <w:szCs w:val="24"/>
          <w:u w:val="none"/>
        </w:rPr>
        <w:t xml:space="preserve">ecent </w:t>
      </w:r>
      <w:proofErr w:type="spellStart"/>
      <w:r w:rsidR="00727E33">
        <w:rPr>
          <w:rFonts w:ascii="Times New Roman" w:hAnsi="Times New Roman"/>
          <w:i w:val="0"/>
          <w:spacing w:val="0"/>
          <w:sz w:val="24"/>
          <w:szCs w:val="24"/>
          <w:u w:val="none"/>
        </w:rPr>
        <w:t>Jump$tart</w:t>
      </w:r>
      <w:proofErr w:type="spellEnd"/>
      <w:r w:rsidR="00727E33">
        <w:rPr>
          <w:rFonts w:ascii="Times New Roman" w:hAnsi="Times New Roman"/>
          <w:i w:val="0"/>
          <w:spacing w:val="0"/>
          <w:sz w:val="24"/>
          <w:szCs w:val="24"/>
          <w:u w:val="none"/>
        </w:rPr>
        <w:t xml:space="preserve"> survey (</w:t>
      </w:r>
      <w:proofErr w:type="spellStart"/>
      <w:r w:rsidR="00727E33">
        <w:rPr>
          <w:rFonts w:ascii="Times New Roman" w:hAnsi="Times New Roman"/>
          <w:i w:val="0"/>
          <w:spacing w:val="0"/>
          <w:sz w:val="24"/>
          <w:szCs w:val="24"/>
          <w:u w:val="none"/>
        </w:rPr>
        <w:t>Mandell</w:t>
      </w:r>
      <w:proofErr w:type="spellEnd"/>
      <w:r w:rsidRPr="00FF4848">
        <w:rPr>
          <w:rFonts w:ascii="Times New Roman" w:hAnsi="Times New Roman"/>
          <w:i w:val="0"/>
          <w:spacing w:val="0"/>
          <w:sz w:val="24"/>
          <w:szCs w:val="24"/>
          <w:u w:val="none"/>
        </w:rPr>
        <w:t xml:space="preserve"> 2008b).</w:t>
      </w:r>
    </w:p>
    <w:p w:rsidR="00292791" w:rsidRPr="00FF4848" w:rsidRDefault="00292791" w:rsidP="00292791">
      <w:pPr>
        <w:pStyle w:val="Heading3"/>
        <w:tabs>
          <w:tab w:val="left" w:pos="284"/>
        </w:tabs>
        <w:spacing w:before="0" w:after="0" w:line="288" w:lineRule="auto"/>
        <w:rPr>
          <w:rFonts w:ascii="Times New Roman" w:hAnsi="Times New Roman"/>
          <w:i w:val="0"/>
          <w:spacing w:val="0"/>
          <w:sz w:val="24"/>
          <w:szCs w:val="24"/>
          <w:u w:val="none"/>
        </w:rPr>
      </w:pPr>
    </w:p>
    <w:p w:rsidR="00FF4848"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Studies have shown that overall academic ability of students is strongly positively related w</w:t>
      </w:r>
      <w:r w:rsidR="00727E33">
        <w:rPr>
          <w:rFonts w:ascii="Times New Roman" w:hAnsi="Times New Roman"/>
          <w:i w:val="0"/>
          <w:spacing w:val="0"/>
          <w:sz w:val="24"/>
          <w:szCs w:val="24"/>
          <w:u w:val="none"/>
        </w:rPr>
        <w:t>ith financial literacy (</w:t>
      </w:r>
      <w:proofErr w:type="spellStart"/>
      <w:r w:rsidR="00727E33">
        <w:rPr>
          <w:rFonts w:ascii="Times New Roman" w:hAnsi="Times New Roman"/>
          <w:i w:val="0"/>
          <w:spacing w:val="0"/>
          <w:sz w:val="24"/>
          <w:szCs w:val="24"/>
          <w:u w:val="none"/>
        </w:rPr>
        <w:t>Mandell</w:t>
      </w:r>
      <w:proofErr w:type="spellEnd"/>
      <w:r w:rsidR="00FF4848" w:rsidRPr="00FF4848">
        <w:rPr>
          <w:rFonts w:ascii="Times New Roman" w:hAnsi="Times New Roman"/>
          <w:i w:val="0"/>
          <w:spacing w:val="0"/>
          <w:sz w:val="24"/>
          <w:szCs w:val="24"/>
          <w:u w:val="none"/>
        </w:rPr>
        <w:t xml:space="preserve"> 2008b), as are students’ educational and car</w:t>
      </w:r>
      <w:r w:rsidR="00727E33">
        <w:rPr>
          <w:rFonts w:ascii="Times New Roman" w:hAnsi="Times New Roman"/>
          <w:i w:val="0"/>
          <w:spacing w:val="0"/>
          <w:sz w:val="24"/>
          <w:szCs w:val="24"/>
          <w:u w:val="none"/>
        </w:rPr>
        <w:t>eer aspirations (</w:t>
      </w:r>
      <w:proofErr w:type="spellStart"/>
      <w:r w:rsidR="00727E33">
        <w:rPr>
          <w:rFonts w:ascii="Times New Roman" w:hAnsi="Times New Roman"/>
          <w:i w:val="0"/>
          <w:spacing w:val="0"/>
          <w:sz w:val="24"/>
          <w:szCs w:val="24"/>
          <w:u w:val="none"/>
        </w:rPr>
        <w:t>Mandell</w:t>
      </w:r>
      <w:proofErr w:type="spellEnd"/>
      <w:r w:rsidR="00727E33">
        <w:rPr>
          <w:rFonts w:ascii="Times New Roman" w:hAnsi="Times New Roman"/>
          <w:i w:val="0"/>
          <w:spacing w:val="0"/>
          <w:sz w:val="24"/>
          <w:szCs w:val="24"/>
          <w:u w:val="none"/>
        </w:rPr>
        <w:t xml:space="preserve"> 2008b,</w:t>
      </w:r>
      <w:r w:rsidR="00FF4848" w:rsidRPr="00FF4848">
        <w:rPr>
          <w:rFonts w:ascii="Times New Roman" w:hAnsi="Times New Roman"/>
          <w:i w:val="0"/>
          <w:spacing w:val="0"/>
          <w:sz w:val="24"/>
          <w:szCs w:val="24"/>
          <w:u w:val="none"/>
        </w:rPr>
        <w:t xml:space="preserve">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 xml:space="preserve">2010). </w:t>
      </w:r>
      <w:r w:rsidR="00003B2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However, students who have completed an economics, personal finance or money management course have been shown to not have hig</w:t>
      </w:r>
      <w:r w:rsidR="00727E33">
        <w:rPr>
          <w:rFonts w:ascii="Times New Roman" w:hAnsi="Times New Roman"/>
          <w:i w:val="0"/>
          <w:spacing w:val="0"/>
          <w:sz w:val="24"/>
          <w:szCs w:val="24"/>
          <w:u w:val="none"/>
        </w:rPr>
        <w:t>her financial literacy (</w:t>
      </w:r>
      <w:proofErr w:type="spellStart"/>
      <w:r w:rsidR="00727E33">
        <w:rPr>
          <w:rFonts w:ascii="Times New Roman" w:hAnsi="Times New Roman"/>
          <w:i w:val="0"/>
          <w:spacing w:val="0"/>
          <w:sz w:val="24"/>
          <w:szCs w:val="24"/>
          <w:u w:val="none"/>
        </w:rPr>
        <w:t>Mandell</w:t>
      </w:r>
      <w:proofErr w:type="spellEnd"/>
      <w:r w:rsidR="00FF4848" w:rsidRPr="00FF4848">
        <w:rPr>
          <w:rFonts w:ascii="Times New Roman" w:hAnsi="Times New Roman"/>
          <w:i w:val="0"/>
          <w:spacing w:val="0"/>
          <w:sz w:val="24"/>
          <w:szCs w:val="24"/>
          <w:u w:val="none"/>
        </w:rPr>
        <w:t xml:space="preserve"> 2008b). </w:t>
      </w:r>
      <w:r w:rsidR="00AA7EB8">
        <w:rPr>
          <w:rFonts w:ascii="Times New Roman" w:hAnsi="Times New Roman"/>
          <w:i w:val="0"/>
          <w:spacing w:val="0"/>
          <w:sz w:val="24"/>
          <w:szCs w:val="24"/>
          <w:u w:val="none"/>
        </w:rPr>
        <w:t>Still</w:t>
      </w:r>
      <w:r w:rsidR="00FF4848" w:rsidRPr="00FF4848">
        <w:rPr>
          <w:rFonts w:ascii="Times New Roman" w:hAnsi="Times New Roman"/>
          <w:i w:val="0"/>
          <w:spacing w:val="0"/>
          <w:sz w:val="24"/>
          <w:szCs w:val="24"/>
          <w:u w:val="none"/>
        </w:rPr>
        <w:t xml:space="preserve">, </w:t>
      </w:r>
      <w:proofErr w:type="spellStart"/>
      <w:r w:rsidR="00FF4848" w:rsidRPr="00FF4848">
        <w:rPr>
          <w:rFonts w:ascii="Times New Roman" w:hAnsi="Times New Roman"/>
          <w:i w:val="0"/>
          <w:spacing w:val="0"/>
          <w:sz w:val="24"/>
          <w:szCs w:val="24"/>
          <w:u w:val="none"/>
        </w:rPr>
        <w:t>Mandell</w:t>
      </w:r>
      <w:proofErr w:type="spellEnd"/>
      <w:r w:rsidR="00FF4848" w:rsidRPr="00FF4848">
        <w:rPr>
          <w:rFonts w:ascii="Times New Roman" w:hAnsi="Times New Roman"/>
          <w:i w:val="0"/>
          <w:spacing w:val="0"/>
          <w:sz w:val="24"/>
          <w:szCs w:val="24"/>
          <w:u w:val="none"/>
        </w:rPr>
        <w:t xml:space="preserve"> (2008b) found that students who had completed a stock market game in class did perform better. He noted that </w:t>
      </w:r>
      <w:r w:rsidR="006C4192">
        <w:rPr>
          <w:rFonts w:ascii="Times New Roman" w:hAnsi="Times New Roman"/>
          <w:i w:val="0"/>
          <w:spacing w:val="0"/>
          <w:sz w:val="24"/>
          <w:szCs w:val="24"/>
          <w:u w:val="none"/>
        </w:rPr>
        <w:t>‘</w:t>
      </w:r>
      <w:r w:rsidR="00FF4848" w:rsidRPr="00FF4848">
        <w:rPr>
          <w:rFonts w:ascii="Times New Roman" w:hAnsi="Times New Roman"/>
          <w:i w:val="0"/>
          <w:spacing w:val="0"/>
          <w:sz w:val="24"/>
          <w:szCs w:val="24"/>
          <w:u w:val="none"/>
        </w:rPr>
        <w:t>playing such an interactive game stimulates interest in (at least) the investment-related aspects of personal finance</w:t>
      </w:r>
      <w:r w:rsidR="006C4192">
        <w:rPr>
          <w:rFonts w:ascii="Times New Roman" w:hAnsi="Times New Roman"/>
          <w:i w:val="0"/>
          <w:spacing w:val="0"/>
          <w:sz w:val="24"/>
          <w:szCs w:val="24"/>
          <w:u w:val="none"/>
        </w:rPr>
        <w:t>’</w:t>
      </w:r>
      <w:r w:rsidR="00727E33">
        <w:rPr>
          <w:rFonts w:ascii="Times New Roman" w:hAnsi="Times New Roman"/>
          <w:i w:val="0"/>
          <w:spacing w:val="0"/>
          <w:sz w:val="24"/>
          <w:szCs w:val="24"/>
          <w:u w:val="none"/>
        </w:rPr>
        <w:t xml:space="preserve"> (</w:t>
      </w:r>
      <w:proofErr w:type="spellStart"/>
      <w:r w:rsidR="00727E33">
        <w:rPr>
          <w:rFonts w:ascii="Times New Roman" w:hAnsi="Times New Roman"/>
          <w:i w:val="0"/>
          <w:spacing w:val="0"/>
          <w:sz w:val="24"/>
          <w:szCs w:val="24"/>
          <w:u w:val="none"/>
        </w:rPr>
        <w:t>Mandell</w:t>
      </w:r>
      <w:proofErr w:type="spellEnd"/>
      <w:r w:rsidR="00727E33">
        <w:rPr>
          <w:rFonts w:ascii="Times New Roman" w:hAnsi="Times New Roman"/>
          <w:i w:val="0"/>
          <w:spacing w:val="0"/>
          <w:sz w:val="24"/>
          <w:szCs w:val="24"/>
          <w:u w:val="none"/>
        </w:rPr>
        <w:t xml:space="preserve"> 2008b, p.</w:t>
      </w:r>
      <w:r w:rsidR="00FF4848" w:rsidRPr="00FF4848">
        <w:rPr>
          <w:rFonts w:ascii="Times New Roman" w:hAnsi="Times New Roman"/>
          <w:i w:val="0"/>
          <w:spacing w:val="0"/>
          <w:sz w:val="24"/>
          <w:szCs w:val="24"/>
          <w:u w:val="none"/>
        </w:rPr>
        <w:t>17).</w:t>
      </w:r>
    </w:p>
    <w:p w:rsidR="00292791" w:rsidRPr="00FF4848" w:rsidRDefault="00292791" w:rsidP="00292791">
      <w:pPr>
        <w:pStyle w:val="Heading3"/>
        <w:tabs>
          <w:tab w:val="left" w:pos="284"/>
        </w:tabs>
        <w:spacing w:before="0" w:after="0" w:line="288" w:lineRule="auto"/>
        <w:rPr>
          <w:rFonts w:ascii="Times New Roman" w:hAnsi="Times New Roman"/>
          <w:i w:val="0"/>
          <w:spacing w:val="0"/>
          <w:sz w:val="24"/>
          <w:szCs w:val="24"/>
          <w:u w:val="none"/>
        </w:rPr>
      </w:pPr>
    </w:p>
    <w:p w:rsidR="00FF4848"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Several studies cite the dominance of parents in informal financial education (see</w:t>
      </w:r>
      <w:r w:rsidR="00727E33">
        <w:rPr>
          <w:rFonts w:ascii="Times New Roman" w:hAnsi="Times New Roman"/>
          <w:i w:val="0"/>
          <w:spacing w:val="0"/>
          <w:sz w:val="24"/>
          <w:szCs w:val="24"/>
          <w:u w:val="none"/>
        </w:rPr>
        <w:t>, for example,</w:t>
      </w:r>
      <w:r w:rsidR="00FF4848" w:rsidRPr="00FF4848">
        <w:rPr>
          <w:rFonts w:ascii="Times New Roman" w:hAnsi="Times New Roman"/>
          <w:i w:val="0"/>
          <w:spacing w:val="0"/>
          <w:sz w:val="24"/>
          <w:szCs w:val="24"/>
          <w:u w:val="none"/>
        </w:rPr>
        <w:t xml:space="preserve">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2010). It is</w:t>
      </w:r>
      <w:r w:rsidR="00003B28">
        <w:rPr>
          <w:rFonts w:ascii="Times New Roman" w:hAnsi="Times New Roman"/>
          <w:i w:val="0"/>
          <w:spacing w:val="0"/>
          <w:sz w:val="24"/>
          <w:szCs w:val="24"/>
          <w:u w:val="none"/>
        </w:rPr>
        <w:t>,</w:t>
      </w:r>
      <w:r w:rsidR="00FF4848" w:rsidRPr="00FF4848">
        <w:rPr>
          <w:rFonts w:ascii="Times New Roman" w:hAnsi="Times New Roman"/>
          <w:i w:val="0"/>
          <w:spacing w:val="0"/>
          <w:sz w:val="24"/>
          <w:szCs w:val="24"/>
          <w:u w:val="none"/>
        </w:rPr>
        <w:t xml:space="preserve"> therefore</w:t>
      </w:r>
      <w:r w:rsidR="00003B28">
        <w:rPr>
          <w:rFonts w:ascii="Times New Roman" w:hAnsi="Times New Roman"/>
          <w:i w:val="0"/>
          <w:spacing w:val="0"/>
          <w:sz w:val="24"/>
          <w:szCs w:val="24"/>
          <w:u w:val="none"/>
        </w:rPr>
        <w:t>,</w:t>
      </w:r>
      <w:r w:rsidR="00FF4848" w:rsidRPr="00FF4848">
        <w:rPr>
          <w:rFonts w:ascii="Times New Roman" w:hAnsi="Times New Roman"/>
          <w:i w:val="0"/>
          <w:spacing w:val="0"/>
          <w:sz w:val="24"/>
          <w:szCs w:val="24"/>
          <w:u w:val="none"/>
        </w:rPr>
        <w:t xml:space="preserve"> not surprising that Bowen (2002), </w:t>
      </w:r>
      <w:proofErr w:type="spellStart"/>
      <w:r w:rsidR="00FF4848" w:rsidRPr="00FF4848">
        <w:rPr>
          <w:rFonts w:ascii="Times New Roman" w:hAnsi="Times New Roman"/>
          <w:i w:val="0"/>
          <w:spacing w:val="0"/>
          <w:sz w:val="24"/>
          <w:szCs w:val="24"/>
          <w:u w:val="none"/>
        </w:rPr>
        <w:t>Mandell</w:t>
      </w:r>
      <w:proofErr w:type="spellEnd"/>
      <w:r w:rsidR="00FF4848" w:rsidRPr="00FF4848">
        <w:rPr>
          <w:rFonts w:ascii="Times New Roman" w:hAnsi="Times New Roman"/>
          <w:i w:val="0"/>
          <w:spacing w:val="0"/>
          <w:sz w:val="24"/>
          <w:szCs w:val="24"/>
          <w:u w:val="none"/>
        </w:rPr>
        <w:t xml:space="preserve"> </w:t>
      </w:r>
      <w:r w:rsidR="00003B28">
        <w:rPr>
          <w:rFonts w:ascii="Times New Roman" w:hAnsi="Times New Roman"/>
          <w:i w:val="0"/>
          <w:spacing w:val="0"/>
          <w:sz w:val="24"/>
          <w:szCs w:val="24"/>
          <w:u w:val="none"/>
        </w:rPr>
        <w:lastRenderedPageBreak/>
        <w:t>(2008a)</w:t>
      </w:r>
      <w:r w:rsidR="00FF4848" w:rsidRPr="00FF4848">
        <w:rPr>
          <w:rFonts w:ascii="Times New Roman" w:hAnsi="Times New Roman"/>
          <w:i w:val="0"/>
          <w:spacing w:val="0"/>
          <w:sz w:val="24"/>
          <w:szCs w:val="24"/>
          <w:u w:val="none"/>
        </w:rPr>
        <w:t xml:space="preserve"> and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FF4848" w:rsidRPr="00727E33">
        <w:rPr>
          <w:rFonts w:ascii="Times New Roman" w:hAnsi="Times New Roman"/>
          <w:spacing w:val="0"/>
          <w:sz w:val="24"/>
          <w:szCs w:val="24"/>
          <w:u w:val="none"/>
        </w:rPr>
        <w:t>et al.</w:t>
      </w:r>
      <w:r w:rsidR="00FF4848" w:rsidRPr="00FF4848">
        <w:rPr>
          <w:rFonts w:ascii="Times New Roman" w:hAnsi="Times New Roman"/>
          <w:i w:val="0"/>
          <w:spacing w:val="0"/>
          <w:sz w:val="24"/>
          <w:szCs w:val="24"/>
          <w:u w:val="none"/>
        </w:rPr>
        <w:t xml:space="preserve"> (2010) all find that higher financial education among parents is correlated with a higher financial literacy, while other studies have found that financial literacy is positively associated with </w:t>
      </w:r>
      <w:r w:rsidR="00003B28">
        <w:rPr>
          <w:rFonts w:ascii="Times New Roman" w:hAnsi="Times New Roman"/>
          <w:i w:val="0"/>
          <w:spacing w:val="0"/>
          <w:sz w:val="24"/>
          <w:szCs w:val="24"/>
          <w:u w:val="none"/>
        </w:rPr>
        <w:t>parental income (</w:t>
      </w:r>
      <w:proofErr w:type="spellStart"/>
      <w:r w:rsidR="00003B28">
        <w:rPr>
          <w:rFonts w:ascii="Times New Roman" w:hAnsi="Times New Roman"/>
          <w:i w:val="0"/>
          <w:spacing w:val="0"/>
          <w:sz w:val="24"/>
          <w:szCs w:val="24"/>
          <w:u w:val="none"/>
        </w:rPr>
        <w:t>Mandell</w:t>
      </w:r>
      <w:proofErr w:type="spellEnd"/>
      <w:r w:rsidR="00727E33">
        <w:rPr>
          <w:rFonts w:ascii="Times New Roman" w:hAnsi="Times New Roman"/>
          <w:i w:val="0"/>
          <w:spacing w:val="0"/>
          <w:sz w:val="24"/>
          <w:szCs w:val="24"/>
          <w:u w:val="none"/>
        </w:rPr>
        <w:t xml:space="preserve"> 2008a,</w:t>
      </w:r>
      <w:r w:rsidR="00FF4848" w:rsidRPr="00FF4848">
        <w:rPr>
          <w:rFonts w:ascii="Times New Roman" w:hAnsi="Times New Roman"/>
          <w:i w:val="0"/>
          <w:spacing w:val="0"/>
          <w:sz w:val="24"/>
          <w:szCs w:val="24"/>
          <w:u w:val="none"/>
        </w:rPr>
        <w:t xml:space="preserve">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2010). The characteristics of students’ peers are also important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2010), but these variables probably proxy the students’ own characteristics to some extent.</w:t>
      </w:r>
    </w:p>
    <w:p w:rsidR="00292791" w:rsidRPr="00FF4848" w:rsidRDefault="00292791" w:rsidP="00292791">
      <w:pPr>
        <w:pStyle w:val="Heading3"/>
        <w:tabs>
          <w:tab w:val="left" w:pos="284"/>
        </w:tabs>
        <w:spacing w:before="0" w:after="0" w:line="288" w:lineRule="auto"/>
        <w:rPr>
          <w:rFonts w:ascii="Times New Roman" w:hAnsi="Times New Roman"/>
          <w:i w:val="0"/>
          <w:spacing w:val="0"/>
          <w:sz w:val="24"/>
          <w:szCs w:val="24"/>
          <w:u w:val="none"/>
        </w:rPr>
      </w:pPr>
    </w:p>
    <w:p w:rsidR="00FF4848"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 xml:space="preserve">Students’ experience with managing their own finances is an important factor associated with financial literacy. </w:t>
      </w:r>
      <w:r w:rsidR="00003B28">
        <w:rPr>
          <w:rFonts w:ascii="Times New Roman" w:hAnsi="Times New Roman"/>
          <w:i w:val="0"/>
          <w:spacing w:val="0"/>
          <w:sz w:val="24"/>
          <w:szCs w:val="24"/>
          <w:u w:val="none"/>
        </w:rPr>
        <w:t xml:space="preserve"> </w:t>
      </w:r>
      <w:proofErr w:type="spellStart"/>
      <w:r w:rsidR="00FF4848" w:rsidRPr="00FF4848">
        <w:rPr>
          <w:rFonts w:ascii="Times New Roman" w:hAnsi="Times New Roman"/>
          <w:i w:val="0"/>
          <w:spacing w:val="0"/>
          <w:sz w:val="24"/>
          <w:szCs w:val="24"/>
          <w:u w:val="none"/>
        </w:rPr>
        <w:t>Mandell</w:t>
      </w:r>
      <w:proofErr w:type="spellEnd"/>
      <w:r w:rsidR="00FF4848" w:rsidRPr="00FF4848">
        <w:rPr>
          <w:rFonts w:ascii="Times New Roman" w:hAnsi="Times New Roman"/>
          <w:i w:val="0"/>
          <w:spacing w:val="0"/>
          <w:sz w:val="24"/>
          <w:szCs w:val="24"/>
          <w:u w:val="none"/>
        </w:rPr>
        <w:t xml:space="preserve"> (2008b) showed that high school students who use an ATM card for purchases and cash withdrawals have higher financial literacy than those who use a card only for cash withdrawals, or those who do not use an ATM card. </w:t>
      </w:r>
      <w:r w:rsidR="00B75464">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 xml:space="preserve">In contrast, students who use a credit card have significantly lower financial literacy than those who do not. Students with bank accounts tend to be more financially literate, as do those who have worked </w:t>
      </w:r>
      <w:r w:rsidR="00727E33">
        <w:rPr>
          <w:rFonts w:ascii="Times New Roman" w:hAnsi="Times New Roman"/>
          <w:i w:val="0"/>
          <w:spacing w:val="0"/>
          <w:sz w:val="24"/>
          <w:szCs w:val="24"/>
          <w:u w:val="none"/>
        </w:rPr>
        <w:t>in the paid workforce (</w:t>
      </w:r>
      <w:proofErr w:type="spellStart"/>
      <w:r w:rsidR="00727E33">
        <w:rPr>
          <w:rFonts w:ascii="Times New Roman" w:hAnsi="Times New Roman"/>
          <w:i w:val="0"/>
          <w:spacing w:val="0"/>
          <w:sz w:val="24"/>
          <w:szCs w:val="24"/>
          <w:u w:val="none"/>
        </w:rPr>
        <w:t>Mandell</w:t>
      </w:r>
      <w:proofErr w:type="spellEnd"/>
      <w:r w:rsidR="00727E33">
        <w:rPr>
          <w:rFonts w:ascii="Times New Roman" w:hAnsi="Times New Roman"/>
          <w:i w:val="0"/>
          <w:spacing w:val="0"/>
          <w:sz w:val="24"/>
          <w:szCs w:val="24"/>
          <w:u w:val="none"/>
        </w:rPr>
        <w:t xml:space="preserve"> </w:t>
      </w:r>
      <w:r w:rsidR="00B75464">
        <w:rPr>
          <w:rFonts w:ascii="Times New Roman" w:hAnsi="Times New Roman"/>
          <w:i w:val="0"/>
          <w:spacing w:val="0"/>
          <w:sz w:val="24"/>
          <w:szCs w:val="24"/>
          <w:u w:val="none"/>
        </w:rPr>
        <w:t xml:space="preserve">2008b).  </w:t>
      </w:r>
      <w:r w:rsidR="00FF4848" w:rsidRPr="00FF4848">
        <w:rPr>
          <w:rFonts w:ascii="Times New Roman" w:hAnsi="Times New Roman"/>
          <w:i w:val="0"/>
          <w:spacing w:val="0"/>
          <w:sz w:val="24"/>
          <w:szCs w:val="24"/>
          <w:u w:val="none"/>
        </w:rPr>
        <w:t>Finally, time preference has been shown to be significant, with impatience associated with lower financial literacy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2010).</w:t>
      </w:r>
    </w:p>
    <w:p w:rsidR="00292791" w:rsidRDefault="00292791" w:rsidP="00292791">
      <w:pPr>
        <w:pStyle w:val="Heading3"/>
        <w:tabs>
          <w:tab w:val="left" w:pos="284"/>
        </w:tabs>
        <w:spacing w:before="0" w:after="0" w:line="288" w:lineRule="auto"/>
        <w:rPr>
          <w:rFonts w:ascii="Times New Roman" w:hAnsi="Times New Roman"/>
          <w:i w:val="0"/>
          <w:spacing w:val="0"/>
          <w:sz w:val="24"/>
          <w:szCs w:val="24"/>
          <w:u w:val="none"/>
        </w:rPr>
      </w:pPr>
    </w:p>
    <w:p w:rsidR="00FF4848"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Given the potentially severe consequences of low financial literac</w:t>
      </w:r>
      <w:r w:rsidR="00003B28">
        <w:rPr>
          <w:rFonts w:ascii="Times New Roman" w:hAnsi="Times New Roman"/>
          <w:i w:val="0"/>
          <w:spacing w:val="0"/>
          <w:sz w:val="24"/>
          <w:szCs w:val="24"/>
          <w:u w:val="none"/>
        </w:rPr>
        <w:t>y (</w:t>
      </w:r>
      <w:proofErr w:type="spellStart"/>
      <w:r w:rsidR="00003B28">
        <w:rPr>
          <w:rFonts w:ascii="Times New Roman" w:hAnsi="Times New Roman"/>
          <w:i w:val="0"/>
          <w:spacing w:val="0"/>
          <w:sz w:val="24"/>
          <w:szCs w:val="24"/>
          <w:u w:val="none"/>
        </w:rPr>
        <w:t>Lusardi</w:t>
      </w:r>
      <w:proofErr w:type="spellEnd"/>
      <w:r w:rsidR="00003B28">
        <w:rPr>
          <w:rFonts w:ascii="Times New Roman" w:hAnsi="Times New Roman"/>
          <w:i w:val="0"/>
          <w:spacing w:val="0"/>
          <w:sz w:val="24"/>
          <w:szCs w:val="24"/>
          <w:u w:val="none"/>
        </w:rPr>
        <w:t xml:space="preserve"> and </w:t>
      </w:r>
      <w:proofErr w:type="spellStart"/>
      <w:r w:rsidR="00003B28">
        <w:rPr>
          <w:rFonts w:ascii="Times New Roman" w:hAnsi="Times New Roman"/>
          <w:i w:val="0"/>
          <w:spacing w:val="0"/>
          <w:sz w:val="24"/>
          <w:szCs w:val="24"/>
          <w:u w:val="none"/>
        </w:rPr>
        <w:t>Mitchelli</w:t>
      </w:r>
      <w:proofErr w:type="spellEnd"/>
      <w:r w:rsidR="00727E33">
        <w:rPr>
          <w:rFonts w:ascii="Times New Roman" w:hAnsi="Times New Roman"/>
          <w:i w:val="0"/>
          <w:spacing w:val="0"/>
          <w:sz w:val="24"/>
          <w:szCs w:val="24"/>
          <w:u w:val="none"/>
        </w:rPr>
        <w:t xml:space="preserve"> 2007, </w:t>
      </w:r>
      <w:proofErr w:type="spellStart"/>
      <w:r w:rsidR="00FF4848" w:rsidRPr="00FF4848">
        <w:rPr>
          <w:rFonts w:ascii="Times New Roman" w:hAnsi="Times New Roman"/>
          <w:i w:val="0"/>
          <w:spacing w:val="0"/>
          <w:sz w:val="24"/>
          <w:szCs w:val="24"/>
          <w:u w:val="none"/>
        </w:rPr>
        <w:t>Lusardi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727E33">
        <w:rPr>
          <w:rFonts w:ascii="Times New Roman" w:hAnsi="Times New Roman"/>
          <w:i w:val="0"/>
          <w:spacing w:val="0"/>
          <w:sz w:val="24"/>
          <w:szCs w:val="24"/>
          <w:u w:val="none"/>
        </w:rPr>
        <w:t xml:space="preserve">2010, </w:t>
      </w:r>
      <w:proofErr w:type="spellStart"/>
      <w:r w:rsidR="00FF4848" w:rsidRPr="00FF4848">
        <w:rPr>
          <w:rFonts w:ascii="Times New Roman" w:hAnsi="Times New Roman"/>
          <w:i w:val="0"/>
          <w:spacing w:val="0"/>
          <w:sz w:val="24"/>
          <w:szCs w:val="24"/>
          <w:u w:val="none"/>
        </w:rPr>
        <w:t>Gerardi</w:t>
      </w:r>
      <w:proofErr w:type="spellEnd"/>
      <w:r w:rsidR="00FF4848" w:rsidRPr="00FF4848">
        <w:rPr>
          <w:rFonts w:ascii="Times New Roman" w:hAnsi="Times New Roman"/>
          <w:i w:val="0"/>
          <w:spacing w:val="0"/>
          <w:sz w:val="24"/>
          <w:szCs w:val="24"/>
          <w:u w:val="none"/>
        </w:rPr>
        <w:t xml:space="preserve"> </w:t>
      </w:r>
      <w:r w:rsidR="00727E33" w:rsidRPr="00727E33">
        <w:rPr>
          <w:rFonts w:ascii="Times New Roman" w:hAnsi="Times New Roman"/>
          <w:spacing w:val="0"/>
          <w:sz w:val="24"/>
          <w:szCs w:val="24"/>
          <w:u w:val="none"/>
        </w:rPr>
        <w:t>et al.</w:t>
      </w:r>
      <w:r w:rsidR="00727E33" w:rsidRPr="00FF484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2010), it is incumbent on policy makers and education providers to understand how best to improve financial literacy, especially among young people. Understanding the factors associated with financial literacy under current educational programme settings is an important first step in appropriate development of educational materials.</w:t>
      </w:r>
    </w:p>
    <w:p w:rsidR="00292791" w:rsidRDefault="00292791" w:rsidP="004E7D3D">
      <w:pPr>
        <w:pStyle w:val="Heading3"/>
        <w:tabs>
          <w:tab w:val="left" w:pos="284"/>
        </w:tabs>
        <w:spacing w:before="0" w:after="0" w:line="288" w:lineRule="auto"/>
        <w:jc w:val="both"/>
        <w:rPr>
          <w:rFonts w:ascii="Times New Roman" w:hAnsi="Times New Roman"/>
          <w:i w:val="0"/>
          <w:spacing w:val="0"/>
          <w:sz w:val="24"/>
          <w:szCs w:val="24"/>
          <w:u w:val="none"/>
        </w:rPr>
      </w:pPr>
    </w:p>
    <w:p w:rsidR="00003B28"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 xml:space="preserve">In this study, we investigate the factors that are associated with financial literacy in a sample of high school students in an urban area of New Zealand. </w:t>
      </w:r>
      <w:r w:rsidR="00003B28">
        <w:rPr>
          <w:rFonts w:ascii="Times New Roman" w:hAnsi="Times New Roman"/>
          <w:i w:val="0"/>
          <w:spacing w:val="0"/>
          <w:sz w:val="24"/>
          <w:szCs w:val="24"/>
          <w:u w:val="none"/>
        </w:rPr>
        <w:t xml:space="preserve"> </w:t>
      </w:r>
      <w:r w:rsidR="00FF4848" w:rsidRPr="00FF4848">
        <w:rPr>
          <w:rFonts w:ascii="Times New Roman" w:hAnsi="Times New Roman"/>
          <w:i w:val="0"/>
          <w:spacing w:val="0"/>
          <w:sz w:val="24"/>
          <w:szCs w:val="24"/>
          <w:u w:val="none"/>
        </w:rPr>
        <w:t>Specifically, we test the relationship between five groups of v</w:t>
      </w:r>
      <w:r w:rsidR="00003B28">
        <w:rPr>
          <w:rFonts w:ascii="Times New Roman" w:hAnsi="Times New Roman"/>
          <w:i w:val="0"/>
          <w:spacing w:val="0"/>
          <w:sz w:val="24"/>
          <w:szCs w:val="24"/>
          <w:u w:val="none"/>
        </w:rPr>
        <w:t>ariables and financial literacy, namely,</w:t>
      </w:r>
      <w:r w:rsidR="00FF4848" w:rsidRPr="00FF4848">
        <w:rPr>
          <w:rFonts w:ascii="Times New Roman" w:hAnsi="Times New Roman"/>
          <w:i w:val="0"/>
          <w:spacing w:val="0"/>
          <w:sz w:val="24"/>
          <w:szCs w:val="24"/>
          <w:u w:val="none"/>
        </w:rPr>
        <w:t xml:space="preserve"> </w:t>
      </w:r>
    </w:p>
    <w:p w:rsidR="00003B28" w:rsidRPr="00003B28" w:rsidRDefault="00003B28" w:rsidP="004E7D3D">
      <w:pPr>
        <w:pStyle w:val="Heading3"/>
        <w:tabs>
          <w:tab w:val="left" w:pos="284"/>
        </w:tabs>
        <w:spacing w:before="0" w:after="0" w:line="288" w:lineRule="auto"/>
        <w:jc w:val="both"/>
        <w:rPr>
          <w:rFonts w:ascii="Times New Roman" w:hAnsi="Times New Roman"/>
          <w:i w:val="0"/>
          <w:spacing w:val="0"/>
          <w:sz w:val="12"/>
          <w:szCs w:val="12"/>
          <w:u w:val="none"/>
        </w:rPr>
      </w:pP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sidRPr="00003B28">
        <w:rPr>
          <w:rFonts w:ascii="Times New Roman" w:hAnsi="Times New Roman"/>
          <w:sz w:val="24"/>
          <w:szCs w:val="24"/>
          <w:u w:val="none"/>
        </w:rPr>
        <w:t>•</w:t>
      </w:r>
      <w:r w:rsidRPr="00003B28">
        <w:rPr>
          <w:rFonts w:ascii="Times New Roman" w:hAnsi="Times New Roman"/>
          <w:sz w:val="24"/>
          <w:szCs w:val="24"/>
          <w:u w:val="none"/>
        </w:rPr>
        <w:tab/>
      </w:r>
      <w:r w:rsidRPr="00003B28">
        <w:rPr>
          <w:rFonts w:ascii="Times New Roman" w:hAnsi="Times New Roman"/>
          <w:b/>
          <w:i w:val="0"/>
          <w:sz w:val="24"/>
          <w:szCs w:val="24"/>
          <w:u w:val="none"/>
        </w:rPr>
        <w:t>D</w:t>
      </w:r>
      <w:r>
        <w:rPr>
          <w:rFonts w:ascii="Times New Roman" w:hAnsi="Times New Roman"/>
          <w:b/>
          <w:i w:val="0"/>
          <w:spacing w:val="0"/>
          <w:sz w:val="24"/>
          <w:szCs w:val="24"/>
          <w:u w:val="none"/>
        </w:rPr>
        <w:t>emographic Characteristics of S</w:t>
      </w:r>
      <w:r w:rsidR="00FF4848" w:rsidRPr="00003B28">
        <w:rPr>
          <w:rFonts w:ascii="Times New Roman" w:hAnsi="Times New Roman"/>
          <w:b/>
          <w:i w:val="0"/>
          <w:spacing w:val="0"/>
          <w:sz w:val="24"/>
          <w:szCs w:val="24"/>
          <w:u w:val="none"/>
        </w:rPr>
        <w:t>tudents</w:t>
      </w:r>
      <w:r w:rsidR="00FF4848" w:rsidRPr="00003B28">
        <w:rPr>
          <w:rFonts w:ascii="Times New Roman" w:hAnsi="Times New Roman"/>
          <w:i w:val="0"/>
          <w:spacing w:val="0"/>
          <w:sz w:val="24"/>
          <w:szCs w:val="24"/>
          <w:u w:val="none"/>
        </w:rPr>
        <w:t xml:space="preserve"> </w:t>
      </w: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Pr>
          <w:rFonts w:ascii="Times New Roman" w:hAnsi="Times New Roman"/>
          <w:i w:val="0"/>
          <w:spacing w:val="0"/>
          <w:sz w:val="24"/>
          <w:szCs w:val="24"/>
          <w:u w:val="none"/>
        </w:rPr>
        <w:tab/>
      </w:r>
      <w:proofErr w:type="gramStart"/>
      <w:r>
        <w:rPr>
          <w:rFonts w:ascii="Times New Roman" w:hAnsi="Times New Roman"/>
          <w:i w:val="0"/>
          <w:spacing w:val="0"/>
          <w:sz w:val="24"/>
          <w:szCs w:val="24"/>
          <w:u w:val="none"/>
        </w:rPr>
        <w:t>Gender, Age.</w:t>
      </w:r>
      <w:proofErr w:type="gramEnd"/>
      <w:r w:rsidR="00FF4848" w:rsidRPr="00003B28">
        <w:rPr>
          <w:rFonts w:ascii="Times New Roman" w:hAnsi="Times New Roman"/>
          <w:i w:val="0"/>
          <w:spacing w:val="0"/>
          <w:sz w:val="24"/>
          <w:szCs w:val="24"/>
          <w:u w:val="none"/>
        </w:rPr>
        <w:t xml:space="preserve"> </w:t>
      </w:r>
    </w:p>
    <w:p w:rsidR="00003B28" w:rsidRPr="00003B28" w:rsidRDefault="00003B28" w:rsidP="00B75464">
      <w:pPr>
        <w:pStyle w:val="Heading3"/>
        <w:tabs>
          <w:tab w:val="left" w:pos="284"/>
        </w:tabs>
        <w:spacing w:before="0" w:after="0"/>
        <w:ind w:left="284" w:hanging="284"/>
        <w:rPr>
          <w:rFonts w:ascii="Times New Roman" w:hAnsi="Times New Roman"/>
          <w:i w:val="0"/>
          <w:spacing w:val="0"/>
          <w:sz w:val="12"/>
          <w:szCs w:val="12"/>
          <w:u w:val="none"/>
        </w:rPr>
      </w:pP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sidRPr="00003B28">
        <w:rPr>
          <w:rFonts w:ascii="Times New Roman" w:hAnsi="Times New Roman"/>
          <w:sz w:val="24"/>
          <w:szCs w:val="24"/>
          <w:u w:val="none"/>
        </w:rPr>
        <w:t>•</w:t>
      </w:r>
      <w:r>
        <w:rPr>
          <w:rFonts w:ascii="Times New Roman" w:hAnsi="Times New Roman"/>
          <w:sz w:val="24"/>
          <w:szCs w:val="24"/>
          <w:u w:val="none"/>
        </w:rPr>
        <w:tab/>
      </w:r>
      <w:r w:rsidRPr="00003B28">
        <w:rPr>
          <w:rFonts w:ascii="Times New Roman" w:hAnsi="Times New Roman"/>
          <w:b/>
          <w:i w:val="0"/>
          <w:spacing w:val="0"/>
          <w:sz w:val="24"/>
          <w:szCs w:val="24"/>
          <w:u w:val="none"/>
        </w:rPr>
        <w:t>S</w:t>
      </w:r>
      <w:r>
        <w:rPr>
          <w:rFonts w:ascii="Times New Roman" w:hAnsi="Times New Roman"/>
          <w:b/>
          <w:i w:val="0"/>
          <w:spacing w:val="0"/>
          <w:sz w:val="24"/>
          <w:szCs w:val="24"/>
          <w:u w:val="none"/>
        </w:rPr>
        <w:t>tudent Ability and Student C</w:t>
      </w:r>
      <w:r w:rsidR="00FF4848" w:rsidRPr="00003B28">
        <w:rPr>
          <w:rFonts w:ascii="Times New Roman" w:hAnsi="Times New Roman"/>
          <w:b/>
          <w:i w:val="0"/>
          <w:spacing w:val="0"/>
          <w:sz w:val="24"/>
          <w:szCs w:val="24"/>
          <w:u w:val="none"/>
        </w:rPr>
        <w:t>haracteristics</w:t>
      </w:r>
      <w:r>
        <w:rPr>
          <w:rFonts w:ascii="Times New Roman" w:hAnsi="Times New Roman"/>
          <w:i w:val="0"/>
          <w:spacing w:val="0"/>
          <w:sz w:val="24"/>
          <w:szCs w:val="24"/>
          <w:u w:val="none"/>
        </w:rPr>
        <w:t xml:space="preserve"> </w:t>
      </w: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Pr>
          <w:rFonts w:ascii="Times New Roman" w:hAnsi="Times New Roman"/>
          <w:i w:val="0"/>
          <w:spacing w:val="0"/>
          <w:sz w:val="24"/>
          <w:szCs w:val="24"/>
          <w:u w:val="none"/>
        </w:rPr>
        <w:tab/>
      </w:r>
      <w:proofErr w:type="gramStart"/>
      <w:r w:rsidR="00FF4848" w:rsidRPr="00003B28">
        <w:rPr>
          <w:rFonts w:ascii="Times New Roman" w:hAnsi="Times New Roman"/>
          <w:i w:val="0"/>
          <w:spacing w:val="0"/>
          <w:sz w:val="24"/>
          <w:szCs w:val="24"/>
          <w:u w:val="none"/>
        </w:rPr>
        <w:t>English ability, mathematics ability, past study in</w:t>
      </w:r>
      <w:r>
        <w:rPr>
          <w:rFonts w:ascii="Times New Roman" w:hAnsi="Times New Roman"/>
          <w:i w:val="0"/>
          <w:spacing w:val="0"/>
          <w:sz w:val="24"/>
          <w:szCs w:val="24"/>
          <w:u w:val="none"/>
        </w:rPr>
        <w:t xml:space="preserve"> economics or business studies.</w:t>
      </w:r>
      <w:proofErr w:type="gramEnd"/>
      <w:r w:rsidR="00FF4848" w:rsidRPr="00003B28">
        <w:rPr>
          <w:rFonts w:ascii="Times New Roman" w:hAnsi="Times New Roman"/>
          <w:i w:val="0"/>
          <w:spacing w:val="0"/>
          <w:sz w:val="24"/>
          <w:szCs w:val="24"/>
          <w:u w:val="none"/>
        </w:rPr>
        <w:t xml:space="preserve"> </w:t>
      </w:r>
    </w:p>
    <w:p w:rsidR="00003B28" w:rsidRPr="00003B28" w:rsidRDefault="00003B28" w:rsidP="00B75464">
      <w:pPr>
        <w:pStyle w:val="Heading3"/>
        <w:tabs>
          <w:tab w:val="left" w:pos="284"/>
        </w:tabs>
        <w:spacing w:before="0" w:after="0"/>
        <w:ind w:left="284" w:hanging="284"/>
        <w:rPr>
          <w:rFonts w:ascii="Times New Roman" w:hAnsi="Times New Roman"/>
          <w:i w:val="0"/>
          <w:spacing w:val="0"/>
          <w:sz w:val="12"/>
          <w:szCs w:val="12"/>
          <w:u w:val="none"/>
        </w:rPr>
      </w:pP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sidRPr="00003B28">
        <w:rPr>
          <w:rFonts w:ascii="Times New Roman" w:hAnsi="Times New Roman"/>
          <w:sz w:val="24"/>
          <w:szCs w:val="24"/>
          <w:u w:val="none"/>
        </w:rPr>
        <w:t>•</w:t>
      </w:r>
      <w:r>
        <w:rPr>
          <w:rFonts w:ascii="Times New Roman" w:hAnsi="Times New Roman"/>
          <w:sz w:val="24"/>
          <w:szCs w:val="24"/>
          <w:u w:val="none"/>
        </w:rPr>
        <w:tab/>
      </w:r>
      <w:r w:rsidRPr="00003B28">
        <w:rPr>
          <w:rFonts w:ascii="Times New Roman" w:hAnsi="Times New Roman"/>
          <w:b/>
          <w:i w:val="0"/>
          <w:spacing w:val="0"/>
          <w:sz w:val="24"/>
          <w:szCs w:val="24"/>
          <w:u w:val="none"/>
        </w:rPr>
        <w:t>C</w:t>
      </w:r>
      <w:r>
        <w:rPr>
          <w:rFonts w:ascii="Times New Roman" w:hAnsi="Times New Roman"/>
          <w:b/>
          <w:i w:val="0"/>
          <w:spacing w:val="0"/>
          <w:sz w:val="24"/>
          <w:szCs w:val="24"/>
          <w:u w:val="none"/>
        </w:rPr>
        <w:t xml:space="preserve">onsumer </w:t>
      </w:r>
      <w:proofErr w:type="spellStart"/>
      <w:r>
        <w:rPr>
          <w:rFonts w:ascii="Times New Roman" w:hAnsi="Times New Roman"/>
          <w:b/>
          <w:i w:val="0"/>
          <w:spacing w:val="0"/>
          <w:sz w:val="24"/>
          <w:szCs w:val="24"/>
          <w:u w:val="none"/>
        </w:rPr>
        <w:t>Socialisation</w:t>
      </w:r>
      <w:proofErr w:type="spellEnd"/>
      <w:r>
        <w:rPr>
          <w:rFonts w:ascii="Times New Roman" w:hAnsi="Times New Roman"/>
          <w:b/>
          <w:i w:val="0"/>
          <w:spacing w:val="0"/>
          <w:sz w:val="24"/>
          <w:szCs w:val="24"/>
          <w:u w:val="none"/>
        </w:rPr>
        <w:t xml:space="preserve"> and Financial E</w:t>
      </w:r>
      <w:r w:rsidR="00FF4848" w:rsidRPr="00003B28">
        <w:rPr>
          <w:rFonts w:ascii="Times New Roman" w:hAnsi="Times New Roman"/>
          <w:b/>
          <w:i w:val="0"/>
          <w:spacing w:val="0"/>
          <w:sz w:val="24"/>
          <w:szCs w:val="24"/>
          <w:u w:val="none"/>
        </w:rPr>
        <w:t>xperience</w:t>
      </w:r>
      <w:r w:rsidR="00FF4848" w:rsidRPr="00003B28">
        <w:rPr>
          <w:rFonts w:ascii="Times New Roman" w:hAnsi="Times New Roman"/>
          <w:i w:val="0"/>
          <w:spacing w:val="0"/>
          <w:sz w:val="24"/>
          <w:szCs w:val="24"/>
          <w:u w:val="none"/>
        </w:rPr>
        <w:t xml:space="preserve"> </w:t>
      </w: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Pr>
          <w:rFonts w:ascii="Times New Roman" w:hAnsi="Times New Roman"/>
          <w:i w:val="0"/>
          <w:spacing w:val="0"/>
          <w:sz w:val="24"/>
          <w:szCs w:val="24"/>
          <w:u w:val="none"/>
        </w:rPr>
        <w:tab/>
      </w:r>
      <w:proofErr w:type="gramStart"/>
      <w:r>
        <w:rPr>
          <w:rFonts w:ascii="Times New Roman" w:hAnsi="Times New Roman"/>
          <w:i w:val="0"/>
          <w:spacing w:val="0"/>
          <w:sz w:val="24"/>
          <w:szCs w:val="24"/>
          <w:u w:val="none"/>
        </w:rPr>
        <w:t>Banking, Employment and Consumer Spending History.</w:t>
      </w:r>
      <w:proofErr w:type="gramEnd"/>
      <w:r w:rsidR="00FF4848" w:rsidRPr="00003B28">
        <w:rPr>
          <w:rFonts w:ascii="Times New Roman" w:hAnsi="Times New Roman"/>
          <w:i w:val="0"/>
          <w:spacing w:val="0"/>
          <w:sz w:val="24"/>
          <w:szCs w:val="24"/>
          <w:u w:val="none"/>
        </w:rPr>
        <w:t xml:space="preserve"> </w:t>
      </w:r>
    </w:p>
    <w:p w:rsidR="00003B28" w:rsidRPr="00003B28" w:rsidRDefault="00003B28" w:rsidP="00B75464">
      <w:pPr>
        <w:pStyle w:val="Heading3"/>
        <w:tabs>
          <w:tab w:val="left" w:pos="284"/>
        </w:tabs>
        <w:spacing w:before="0" w:after="0"/>
        <w:ind w:left="284" w:hanging="284"/>
        <w:rPr>
          <w:rFonts w:ascii="Times New Roman" w:hAnsi="Times New Roman"/>
          <w:i w:val="0"/>
          <w:spacing w:val="0"/>
          <w:sz w:val="12"/>
          <w:szCs w:val="12"/>
          <w:u w:val="none"/>
        </w:rPr>
      </w:pPr>
    </w:p>
    <w:p w:rsid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sidRPr="00003B28">
        <w:rPr>
          <w:rFonts w:ascii="Times New Roman" w:hAnsi="Times New Roman"/>
          <w:sz w:val="24"/>
          <w:szCs w:val="24"/>
          <w:u w:val="none"/>
        </w:rPr>
        <w:t>•</w:t>
      </w:r>
      <w:r>
        <w:rPr>
          <w:rFonts w:ascii="Times New Roman" w:hAnsi="Times New Roman"/>
          <w:sz w:val="24"/>
          <w:szCs w:val="24"/>
          <w:u w:val="none"/>
        </w:rPr>
        <w:tab/>
      </w:r>
      <w:r w:rsidRPr="00003B28">
        <w:rPr>
          <w:rFonts w:ascii="Times New Roman" w:hAnsi="Times New Roman"/>
          <w:b/>
          <w:i w:val="0"/>
          <w:spacing w:val="0"/>
          <w:sz w:val="24"/>
          <w:szCs w:val="24"/>
          <w:u w:val="none"/>
        </w:rPr>
        <w:t>P</w:t>
      </w:r>
      <w:r>
        <w:rPr>
          <w:rFonts w:ascii="Times New Roman" w:hAnsi="Times New Roman"/>
          <w:b/>
          <w:i w:val="0"/>
          <w:spacing w:val="0"/>
          <w:sz w:val="24"/>
          <w:szCs w:val="24"/>
          <w:u w:val="none"/>
        </w:rPr>
        <w:t>arental W</w:t>
      </w:r>
      <w:r w:rsidRPr="00003B28">
        <w:rPr>
          <w:rFonts w:ascii="Times New Roman" w:hAnsi="Times New Roman"/>
          <w:b/>
          <w:i w:val="0"/>
          <w:spacing w:val="0"/>
          <w:sz w:val="24"/>
          <w:szCs w:val="24"/>
          <w:u w:val="none"/>
        </w:rPr>
        <w:t>ealth</w:t>
      </w:r>
      <w:r>
        <w:rPr>
          <w:rFonts w:ascii="Times New Roman" w:hAnsi="Times New Roman"/>
          <w:i w:val="0"/>
          <w:spacing w:val="0"/>
          <w:sz w:val="24"/>
          <w:szCs w:val="24"/>
          <w:u w:val="none"/>
        </w:rPr>
        <w:t xml:space="preserve">, </w:t>
      </w:r>
      <w:r w:rsidR="00FF4848" w:rsidRPr="00003B28">
        <w:rPr>
          <w:rFonts w:ascii="Times New Roman" w:hAnsi="Times New Roman"/>
          <w:i w:val="0"/>
          <w:spacing w:val="0"/>
          <w:sz w:val="24"/>
          <w:szCs w:val="24"/>
          <w:u w:val="none"/>
        </w:rPr>
        <w:t xml:space="preserve">and </w:t>
      </w:r>
    </w:p>
    <w:p w:rsidR="00003B28" w:rsidRPr="00003B28" w:rsidRDefault="00003B28" w:rsidP="00B75464">
      <w:pPr>
        <w:pStyle w:val="Heading3"/>
        <w:tabs>
          <w:tab w:val="left" w:pos="284"/>
        </w:tabs>
        <w:spacing w:before="0" w:after="0"/>
        <w:ind w:left="284" w:hanging="284"/>
        <w:rPr>
          <w:rFonts w:ascii="Times New Roman" w:hAnsi="Times New Roman"/>
          <w:i w:val="0"/>
          <w:spacing w:val="0"/>
          <w:sz w:val="12"/>
          <w:szCs w:val="12"/>
          <w:u w:val="none"/>
        </w:rPr>
      </w:pPr>
    </w:p>
    <w:p w:rsidR="00FF4848" w:rsidRPr="00003B28" w:rsidRDefault="00003B28" w:rsidP="00B75464">
      <w:pPr>
        <w:pStyle w:val="Heading3"/>
        <w:tabs>
          <w:tab w:val="left" w:pos="284"/>
        </w:tabs>
        <w:spacing w:before="0" w:after="0"/>
        <w:ind w:left="284" w:hanging="284"/>
        <w:rPr>
          <w:rFonts w:ascii="Times New Roman" w:hAnsi="Times New Roman"/>
          <w:i w:val="0"/>
          <w:spacing w:val="0"/>
          <w:sz w:val="24"/>
          <w:szCs w:val="24"/>
          <w:u w:val="none"/>
        </w:rPr>
      </w:pPr>
      <w:r w:rsidRPr="00003B28">
        <w:rPr>
          <w:rFonts w:ascii="Times New Roman" w:hAnsi="Times New Roman"/>
          <w:sz w:val="24"/>
          <w:szCs w:val="24"/>
          <w:u w:val="none"/>
        </w:rPr>
        <w:t>•</w:t>
      </w:r>
      <w:r>
        <w:rPr>
          <w:rFonts w:ascii="Times New Roman" w:hAnsi="Times New Roman"/>
          <w:sz w:val="24"/>
          <w:szCs w:val="24"/>
          <w:u w:val="none"/>
        </w:rPr>
        <w:tab/>
      </w:r>
      <w:r w:rsidRPr="00003B28">
        <w:rPr>
          <w:rFonts w:ascii="Times New Roman" w:hAnsi="Times New Roman"/>
          <w:b/>
          <w:i w:val="0"/>
          <w:spacing w:val="0"/>
          <w:sz w:val="24"/>
          <w:szCs w:val="24"/>
          <w:u w:val="none"/>
        </w:rPr>
        <w:t>F</w:t>
      </w:r>
      <w:r w:rsidR="00FF4848" w:rsidRPr="00003B28">
        <w:rPr>
          <w:rFonts w:ascii="Times New Roman" w:hAnsi="Times New Roman"/>
          <w:b/>
          <w:i w:val="0"/>
          <w:spacing w:val="0"/>
          <w:sz w:val="24"/>
          <w:szCs w:val="24"/>
          <w:u w:val="none"/>
        </w:rPr>
        <w:t>inancial</w:t>
      </w:r>
      <w:r>
        <w:rPr>
          <w:rFonts w:ascii="Times New Roman" w:hAnsi="Times New Roman"/>
          <w:b/>
          <w:i w:val="0"/>
          <w:spacing w:val="0"/>
          <w:sz w:val="24"/>
          <w:szCs w:val="24"/>
          <w:u w:val="none"/>
        </w:rPr>
        <w:t xml:space="preserve"> Risk T</w:t>
      </w:r>
      <w:r w:rsidR="00FF4848" w:rsidRPr="00003B28">
        <w:rPr>
          <w:rFonts w:ascii="Times New Roman" w:hAnsi="Times New Roman"/>
          <w:b/>
          <w:i w:val="0"/>
          <w:spacing w:val="0"/>
          <w:sz w:val="24"/>
          <w:szCs w:val="24"/>
          <w:u w:val="none"/>
        </w:rPr>
        <w:t>olerance</w:t>
      </w:r>
      <w:r w:rsidR="00FF4848" w:rsidRPr="00003B28">
        <w:rPr>
          <w:rFonts w:ascii="Times New Roman" w:hAnsi="Times New Roman"/>
          <w:i w:val="0"/>
          <w:spacing w:val="0"/>
          <w:sz w:val="24"/>
          <w:szCs w:val="24"/>
          <w:u w:val="none"/>
        </w:rPr>
        <w:t xml:space="preserve">. </w:t>
      </w:r>
    </w:p>
    <w:p w:rsidR="00292791" w:rsidRDefault="00292791" w:rsidP="004E7D3D">
      <w:pPr>
        <w:pStyle w:val="Heading3"/>
        <w:tabs>
          <w:tab w:val="left" w:pos="284"/>
        </w:tabs>
        <w:spacing w:before="0" w:after="0" w:line="288" w:lineRule="auto"/>
        <w:jc w:val="both"/>
        <w:rPr>
          <w:rFonts w:ascii="Times New Roman" w:hAnsi="Times New Roman"/>
          <w:i w:val="0"/>
          <w:spacing w:val="0"/>
          <w:sz w:val="24"/>
          <w:szCs w:val="24"/>
          <w:u w:val="none"/>
        </w:rPr>
      </w:pPr>
    </w:p>
    <w:p w:rsidR="00292791" w:rsidRDefault="0035460F" w:rsidP="004E7D3D">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FF4848" w:rsidRPr="00FF4848">
        <w:rPr>
          <w:rFonts w:ascii="Times New Roman" w:hAnsi="Times New Roman"/>
          <w:i w:val="0"/>
          <w:spacing w:val="0"/>
          <w:sz w:val="24"/>
          <w:szCs w:val="24"/>
          <w:u w:val="none"/>
        </w:rPr>
        <w:t xml:space="preserve">We </w:t>
      </w:r>
      <w:proofErr w:type="spellStart"/>
      <w:r w:rsidR="00FF4848" w:rsidRPr="00FF4848">
        <w:rPr>
          <w:rFonts w:ascii="Times New Roman" w:hAnsi="Times New Roman"/>
          <w:i w:val="0"/>
          <w:spacing w:val="0"/>
          <w:sz w:val="24"/>
          <w:szCs w:val="24"/>
          <w:u w:val="none"/>
        </w:rPr>
        <w:t>hypothesise</w:t>
      </w:r>
      <w:proofErr w:type="spellEnd"/>
      <w:r w:rsidR="00FF4848" w:rsidRPr="00FF4848">
        <w:rPr>
          <w:rFonts w:ascii="Times New Roman" w:hAnsi="Times New Roman"/>
          <w:i w:val="0"/>
          <w:spacing w:val="0"/>
          <w:sz w:val="24"/>
          <w:szCs w:val="24"/>
          <w:u w:val="none"/>
        </w:rPr>
        <w:t xml:space="preserve"> that age will have an increasing effect on financial literacy, because as young people mature they become more engaged in the financial and consumer worlds. We also expect this effect to be non-linear, i.e. that the size of the incremental effect of age will diminish with age. We have no a priori hypothesis on the effect of gender on financial literacy, although multiple choice tests tend to favour boys over girls (</w:t>
      </w:r>
      <w:proofErr w:type="spellStart"/>
      <w:r w:rsidR="00FF4848" w:rsidRPr="00FF4848">
        <w:rPr>
          <w:rFonts w:ascii="Times New Roman" w:hAnsi="Times New Roman"/>
          <w:i w:val="0"/>
          <w:spacing w:val="0"/>
          <w:sz w:val="24"/>
          <w:szCs w:val="24"/>
          <w:u w:val="none"/>
        </w:rPr>
        <w:t>Mazzeo</w:t>
      </w:r>
      <w:proofErr w:type="spellEnd"/>
      <w:r w:rsidR="00FF4848" w:rsidRPr="00FF4848">
        <w:rPr>
          <w:rFonts w:ascii="Times New Roman" w:hAnsi="Times New Roman"/>
          <w:i w:val="0"/>
          <w:spacing w:val="0"/>
          <w:sz w:val="24"/>
          <w:szCs w:val="24"/>
          <w:u w:val="none"/>
        </w:rPr>
        <w:t xml:space="preserve"> </w:t>
      </w:r>
      <w:r w:rsidR="00FF4848" w:rsidRPr="00727E33">
        <w:rPr>
          <w:rFonts w:ascii="Times New Roman" w:hAnsi="Times New Roman"/>
          <w:spacing w:val="0"/>
          <w:sz w:val="24"/>
          <w:szCs w:val="24"/>
          <w:u w:val="none"/>
        </w:rPr>
        <w:t>et al.</w:t>
      </w:r>
      <w:r w:rsidR="00FF4848" w:rsidRPr="00FF4848">
        <w:rPr>
          <w:rFonts w:ascii="Times New Roman" w:hAnsi="Times New Roman"/>
          <w:i w:val="0"/>
          <w:spacing w:val="0"/>
          <w:sz w:val="24"/>
          <w:szCs w:val="24"/>
          <w:u w:val="none"/>
        </w:rPr>
        <w:t xml:space="preserve"> 1993). We </w:t>
      </w:r>
      <w:proofErr w:type="spellStart"/>
      <w:r w:rsidR="00FF4848" w:rsidRPr="00FF4848">
        <w:rPr>
          <w:rFonts w:ascii="Times New Roman" w:hAnsi="Times New Roman"/>
          <w:i w:val="0"/>
          <w:spacing w:val="0"/>
          <w:sz w:val="24"/>
          <w:szCs w:val="24"/>
          <w:u w:val="none"/>
        </w:rPr>
        <w:t>hypothesise</w:t>
      </w:r>
      <w:proofErr w:type="spellEnd"/>
      <w:r w:rsidR="00FF4848" w:rsidRPr="00FF4848">
        <w:rPr>
          <w:rFonts w:ascii="Times New Roman" w:hAnsi="Times New Roman"/>
          <w:i w:val="0"/>
          <w:spacing w:val="0"/>
          <w:sz w:val="24"/>
          <w:szCs w:val="24"/>
          <w:u w:val="none"/>
        </w:rPr>
        <w:t xml:space="preserve"> that financial literacy increases with English ability (because the survey instrument is administered in English), mathematical ability (which may also </w:t>
      </w:r>
      <w:r w:rsidR="00AA7EB8">
        <w:rPr>
          <w:rFonts w:ascii="Times New Roman" w:hAnsi="Times New Roman"/>
          <w:i w:val="0"/>
          <w:spacing w:val="0"/>
          <w:sz w:val="24"/>
          <w:szCs w:val="24"/>
          <w:u w:val="none"/>
        </w:rPr>
        <w:t xml:space="preserve">be a </w:t>
      </w:r>
      <w:r w:rsidR="00FF4848" w:rsidRPr="00FF4848">
        <w:rPr>
          <w:rFonts w:ascii="Times New Roman" w:hAnsi="Times New Roman"/>
          <w:i w:val="0"/>
          <w:spacing w:val="0"/>
          <w:sz w:val="24"/>
          <w:szCs w:val="24"/>
          <w:u w:val="none"/>
        </w:rPr>
        <w:t xml:space="preserve">proxy for </w:t>
      </w:r>
      <w:r w:rsidR="00FF4848" w:rsidRPr="00FF4848">
        <w:rPr>
          <w:rFonts w:ascii="Times New Roman" w:hAnsi="Times New Roman"/>
          <w:i w:val="0"/>
          <w:spacing w:val="0"/>
          <w:sz w:val="24"/>
          <w:szCs w:val="24"/>
          <w:u w:val="none"/>
        </w:rPr>
        <w:lastRenderedPageBreak/>
        <w:t xml:space="preserve">students’ overall academic ability), and past study in economics or business studies (which we expect would introduce students to many concepts related to personal finance). We </w:t>
      </w:r>
      <w:proofErr w:type="spellStart"/>
      <w:r w:rsidR="00FF4848" w:rsidRPr="00FF4848">
        <w:rPr>
          <w:rFonts w:ascii="Times New Roman" w:hAnsi="Times New Roman"/>
          <w:i w:val="0"/>
          <w:spacing w:val="0"/>
          <w:sz w:val="24"/>
          <w:szCs w:val="24"/>
          <w:u w:val="none"/>
        </w:rPr>
        <w:t>hypothesise</w:t>
      </w:r>
      <w:proofErr w:type="spellEnd"/>
      <w:r w:rsidR="00FF4848" w:rsidRPr="00FF4848">
        <w:rPr>
          <w:rFonts w:ascii="Times New Roman" w:hAnsi="Times New Roman"/>
          <w:i w:val="0"/>
          <w:spacing w:val="0"/>
          <w:sz w:val="24"/>
          <w:szCs w:val="24"/>
          <w:u w:val="none"/>
        </w:rPr>
        <w:t xml:space="preserve"> that greater consumer </w:t>
      </w:r>
      <w:proofErr w:type="spellStart"/>
      <w:r w:rsidR="00FF4848" w:rsidRPr="00FF4848">
        <w:rPr>
          <w:rFonts w:ascii="Times New Roman" w:hAnsi="Times New Roman"/>
          <w:i w:val="0"/>
          <w:spacing w:val="0"/>
          <w:sz w:val="24"/>
          <w:szCs w:val="24"/>
          <w:u w:val="none"/>
        </w:rPr>
        <w:t>socialisation</w:t>
      </w:r>
      <w:proofErr w:type="spellEnd"/>
      <w:r w:rsidR="00FF4848" w:rsidRPr="00FF4848">
        <w:rPr>
          <w:rFonts w:ascii="Times New Roman" w:hAnsi="Times New Roman"/>
          <w:i w:val="0"/>
          <w:spacing w:val="0"/>
          <w:sz w:val="24"/>
          <w:szCs w:val="24"/>
          <w:u w:val="none"/>
        </w:rPr>
        <w:t xml:space="preserve"> and financial experience (proxied by longer periods of holding a bank account or being employed; and by paying some of their own mobile phone expenses) will be associated with higher financial literacy. Parental wealth is </w:t>
      </w:r>
      <w:proofErr w:type="spellStart"/>
      <w:r w:rsidR="00FF4848" w:rsidRPr="00FF4848">
        <w:rPr>
          <w:rFonts w:ascii="Times New Roman" w:hAnsi="Times New Roman"/>
          <w:i w:val="0"/>
          <w:spacing w:val="0"/>
          <w:sz w:val="24"/>
          <w:szCs w:val="24"/>
          <w:u w:val="none"/>
        </w:rPr>
        <w:t>hypothesised</w:t>
      </w:r>
      <w:proofErr w:type="spellEnd"/>
      <w:r w:rsidR="00FF4848" w:rsidRPr="00FF4848">
        <w:rPr>
          <w:rFonts w:ascii="Times New Roman" w:hAnsi="Times New Roman"/>
          <w:i w:val="0"/>
          <w:spacing w:val="0"/>
          <w:sz w:val="24"/>
          <w:szCs w:val="24"/>
          <w:u w:val="none"/>
        </w:rPr>
        <w:t xml:space="preserve"> to have a positive relationship with financial literacy, as those whose parents have more financial resources are more likely to pass on financial experience and knowledge to their children. Finally, we have no prior hypothesis about the relationship between financial literacy and financial risk tolerance, but were interested in whether any relationship would be observed.</w:t>
      </w:r>
    </w:p>
    <w:p w:rsidR="00292791" w:rsidRPr="006B20F4" w:rsidRDefault="00292791" w:rsidP="00292791">
      <w:pPr>
        <w:pStyle w:val="Heading3"/>
        <w:tabs>
          <w:tab w:val="left" w:pos="284"/>
        </w:tabs>
        <w:spacing w:before="0" w:after="0" w:line="288" w:lineRule="auto"/>
        <w:jc w:val="both"/>
        <w:rPr>
          <w:rFonts w:ascii="Times New Roman" w:hAnsi="Times New Roman"/>
          <w:i w:val="0"/>
          <w:spacing w:val="0"/>
          <w:sz w:val="16"/>
          <w:szCs w:val="16"/>
          <w:u w:val="none"/>
        </w:rPr>
      </w:pPr>
    </w:p>
    <w:p w:rsidR="006B20F4" w:rsidRPr="006B20F4" w:rsidRDefault="006B20F4" w:rsidP="00292791">
      <w:pPr>
        <w:pStyle w:val="Heading3"/>
        <w:tabs>
          <w:tab w:val="left" w:pos="284"/>
        </w:tabs>
        <w:spacing w:before="0" w:after="0" w:line="288" w:lineRule="auto"/>
        <w:jc w:val="both"/>
        <w:rPr>
          <w:rFonts w:ascii="Times New Roman" w:hAnsi="Times New Roman"/>
          <w:i w:val="0"/>
          <w:spacing w:val="0"/>
          <w:sz w:val="16"/>
          <w:szCs w:val="16"/>
          <w:u w:val="none"/>
        </w:rPr>
      </w:pPr>
    </w:p>
    <w:p w:rsidR="00377416"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3</w:t>
      </w:r>
      <w:r w:rsidR="00214AC7">
        <w:rPr>
          <w:rFonts w:ascii="Times New Roman" w:hAnsi="Times New Roman"/>
          <w:b/>
          <w:i w:val="0"/>
          <w:sz w:val="24"/>
          <w:szCs w:val="24"/>
          <w:u w:val="none"/>
        </w:rPr>
        <w:t xml:space="preserve">.  </w:t>
      </w:r>
      <w:r>
        <w:rPr>
          <w:rFonts w:ascii="Times New Roman" w:hAnsi="Times New Roman"/>
          <w:b/>
          <w:i w:val="0"/>
          <w:sz w:val="24"/>
          <w:szCs w:val="24"/>
          <w:u w:val="none"/>
        </w:rPr>
        <w:t xml:space="preserve">Data and </w:t>
      </w:r>
      <w:r w:rsidR="00377416" w:rsidRPr="008F7BE6">
        <w:rPr>
          <w:rFonts w:ascii="Times New Roman" w:hAnsi="Times New Roman"/>
          <w:b/>
          <w:i w:val="0"/>
          <w:sz w:val="24"/>
          <w:szCs w:val="24"/>
          <w:u w:val="none"/>
        </w:rPr>
        <w:t>Methods</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B75464" w:rsidRDefault="00FF4848" w:rsidP="00FF4848">
      <w:pPr>
        <w:tabs>
          <w:tab w:val="left" w:pos="284"/>
        </w:tabs>
        <w:spacing w:line="288" w:lineRule="auto"/>
        <w:jc w:val="both"/>
      </w:pPr>
      <w:r>
        <w:t xml:space="preserve">We surveyed high school students in schools in and around Hamilton, an inland city in the central North Island of New Zealand, in September and October 2012. </w:t>
      </w:r>
      <w:r w:rsidR="00B75464">
        <w:t xml:space="preserve"> </w:t>
      </w:r>
      <w:r>
        <w:t xml:space="preserve">Eleven high schools were approached, and five agreed to participate in the research project. </w:t>
      </w:r>
      <w:r w:rsidR="00B75464">
        <w:t xml:space="preserve"> </w:t>
      </w:r>
      <w:r>
        <w:t>The schools rang</w:t>
      </w:r>
      <w:r w:rsidR="0070149F">
        <w:t>ed from decile 4 to decile 10,</w:t>
      </w:r>
      <w:r w:rsidR="004B3BE4">
        <w:rPr>
          <w:rStyle w:val="FootnoteReference"/>
        </w:rPr>
        <w:footnoteReference w:id="1"/>
      </w:r>
      <w:r w:rsidR="0070149F">
        <w:t xml:space="preserve"> </w:t>
      </w:r>
      <w:r>
        <w:t xml:space="preserve">with an average decile of 7.8, and were geographically dispersed throughout the Hamilton sub-region. </w:t>
      </w:r>
      <w:r w:rsidR="00B75464">
        <w:t xml:space="preserve"> </w:t>
      </w:r>
    </w:p>
    <w:p w:rsidR="00B75464" w:rsidRDefault="00B75464" w:rsidP="00FF4848">
      <w:pPr>
        <w:tabs>
          <w:tab w:val="left" w:pos="284"/>
        </w:tabs>
        <w:spacing w:line="288" w:lineRule="auto"/>
        <w:jc w:val="both"/>
      </w:pPr>
    </w:p>
    <w:p w:rsidR="00FF4848" w:rsidRDefault="00B75464" w:rsidP="00FF4848">
      <w:pPr>
        <w:tabs>
          <w:tab w:val="left" w:pos="284"/>
        </w:tabs>
        <w:spacing w:line="288" w:lineRule="auto"/>
        <w:jc w:val="both"/>
      </w:pPr>
      <w:r>
        <w:tab/>
      </w:r>
      <w:r w:rsidR="00FF4848">
        <w:t xml:space="preserve">The sampling frame comprised students in NCEA Level 1 mathematics classes. </w:t>
      </w:r>
      <w:r>
        <w:t xml:space="preserve"> </w:t>
      </w:r>
      <w:r w:rsidR="00FF4848">
        <w:t xml:space="preserve">Mathematics was selected because NCEA Level 1 mathematics is compulsory for all students. </w:t>
      </w:r>
      <w:r>
        <w:t xml:space="preserve"> </w:t>
      </w:r>
      <w:r w:rsidR="00FF4848">
        <w:t xml:space="preserve">Almost all students in NCEA </w:t>
      </w:r>
      <w:r>
        <w:t>Level 1 will be in Year 11, that is,</w:t>
      </w:r>
      <w:r w:rsidR="00FF4848">
        <w:t xml:space="preserve"> 15 years old, which matches the ages of the comparator samples from Japan and the United States. Students were given 50 minutes to complete the financial literacy test, a short demographic questionnaire, and a survey instrument designed to measure financial risk tolerance. </w:t>
      </w:r>
      <w:r>
        <w:t xml:space="preserve"> </w:t>
      </w:r>
      <w:r w:rsidR="00FF4848">
        <w:t xml:space="preserve">The combined test and survey instrument was pre-tested for suitability and length among first-year university economics students before data collection began. Student participation in the research was </w:t>
      </w:r>
      <w:proofErr w:type="spellStart"/>
      <w:r w:rsidR="00FF4848">
        <w:t>incentivised</w:t>
      </w:r>
      <w:proofErr w:type="spellEnd"/>
      <w:r w:rsidR="00FF4848">
        <w:t xml:space="preserve"> through a random draw for prizes undertaken after all students had participated. The research was given ethical approval by the Waikato Management School Ethics Committee.</w:t>
      </w:r>
    </w:p>
    <w:p w:rsidR="00292791" w:rsidRDefault="00292791" w:rsidP="00FF4848">
      <w:pPr>
        <w:tabs>
          <w:tab w:val="left" w:pos="284"/>
        </w:tabs>
        <w:spacing w:line="288" w:lineRule="auto"/>
        <w:jc w:val="both"/>
      </w:pPr>
    </w:p>
    <w:p w:rsidR="00FF4848" w:rsidRDefault="0035460F" w:rsidP="00FF4848">
      <w:pPr>
        <w:tabs>
          <w:tab w:val="left" w:pos="284"/>
        </w:tabs>
        <w:spacing w:line="288" w:lineRule="auto"/>
        <w:jc w:val="both"/>
      </w:pPr>
      <w:r>
        <w:tab/>
      </w:r>
      <w:r w:rsidR="00FF4848">
        <w:t>The students’ financial literacy was evaluated using the Financial Fitness for Life – High Schools (FF</w:t>
      </w:r>
      <w:r w:rsidR="00727E33">
        <w:t>FL-HS) test (</w:t>
      </w:r>
      <w:proofErr w:type="spellStart"/>
      <w:r w:rsidR="00727E33">
        <w:t>Walstad</w:t>
      </w:r>
      <w:proofErr w:type="spellEnd"/>
      <w:r w:rsidR="00727E33">
        <w:t xml:space="preserve"> and </w:t>
      </w:r>
      <w:proofErr w:type="spellStart"/>
      <w:r w:rsidR="00727E33">
        <w:t>Rebeck</w:t>
      </w:r>
      <w:proofErr w:type="spellEnd"/>
      <w:r w:rsidR="00FF4848">
        <w:t xml:space="preserve"> 2005). The FFFL-HS Test was designed by the National Council on Economic Education (NCEE) to provide an up-to-date assessment tool that </w:t>
      </w:r>
      <w:r w:rsidR="006C4192">
        <w:t>‘</w:t>
      </w:r>
      <w:r w:rsidR="00FF4848">
        <w:t>measure(s) understanding of personal finance among high school students</w:t>
      </w:r>
      <w:r w:rsidR="006C4192">
        <w:t>’</w:t>
      </w:r>
      <w:r w:rsidR="00FF4848">
        <w:t xml:space="preserve">, as part of their </w:t>
      </w:r>
      <w:proofErr w:type="spellStart"/>
      <w:r w:rsidR="00FF4848">
        <w:t>endeavour</w:t>
      </w:r>
      <w:proofErr w:type="spellEnd"/>
      <w:r w:rsidR="00FF4848">
        <w:t xml:space="preserve"> to provide the best possible economic and financial education to high school students. The test has been used widely (see</w:t>
      </w:r>
      <w:r w:rsidR="00727E33">
        <w:t>,</w:t>
      </w:r>
      <w:r w:rsidR="00FF4848">
        <w:t xml:space="preserve"> for example, </w:t>
      </w:r>
      <w:proofErr w:type="spellStart"/>
      <w:r w:rsidR="00FF4848">
        <w:t>Borodich</w:t>
      </w:r>
      <w:proofErr w:type="spellEnd"/>
      <w:r w:rsidR="00FF4848">
        <w:t xml:space="preserve"> </w:t>
      </w:r>
      <w:r w:rsidR="00FF4848" w:rsidRPr="00727E33">
        <w:rPr>
          <w:i/>
        </w:rPr>
        <w:t>et al.</w:t>
      </w:r>
      <w:r w:rsidR="00FF4848">
        <w:t xml:space="preserve"> (2010), Harter an</w:t>
      </w:r>
      <w:r w:rsidR="006B20F4">
        <w:t>d Harter (2007)</w:t>
      </w:r>
      <w:r w:rsidR="00AA7EB8">
        <w:t xml:space="preserve"> or Butt </w:t>
      </w:r>
      <w:r w:rsidR="00AA7EB8" w:rsidRPr="00727E33">
        <w:rPr>
          <w:i/>
        </w:rPr>
        <w:t>et al.</w:t>
      </w:r>
      <w:r w:rsidR="00AA7EB8">
        <w:t xml:space="preserve"> </w:t>
      </w:r>
      <w:r w:rsidR="00FF4848">
        <w:t>(2008)). The FFFL-HS test comprises ten multiple choice questions on each of five themes:</w:t>
      </w:r>
    </w:p>
    <w:p w:rsidR="006B20F4" w:rsidRDefault="006B20F4" w:rsidP="006B20F4">
      <w:pPr>
        <w:ind w:left="284" w:hanging="284"/>
        <w:jc w:val="both"/>
      </w:pPr>
      <w:r>
        <w:lastRenderedPageBreak/>
        <w:t>•</w:t>
      </w:r>
      <w:r>
        <w:tab/>
      </w:r>
      <w:r w:rsidRPr="009A1D36">
        <w:rPr>
          <w:b/>
        </w:rPr>
        <w:t>The Economic Way of Thinking</w:t>
      </w:r>
    </w:p>
    <w:p w:rsidR="006B20F4" w:rsidRDefault="006B20F4" w:rsidP="006B20F4">
      <w:pPr>
        <w:ind w:left="284" w:hanging="284"/>
        <w:jc w:val="both"/>
      </w:pPr>
      <w:r>
        <w:tab/>
        <w:t>Economic reasoning and the way decision-making affects</w:t>
      </w:r>
      <w:r w:rsidR="00B75464">
        <w:t xml:space="preserve"> incomes and standard of living.</w:t>
      </w:r>
    </w:p>
    <w:p w:rsidR="006B20F4" w:rsidRPr="002E3380" w:rsidRDefault="006B20F4" w:rsidP="006B20F4">
      <w:pPr>
        <w:ind w:left="284" w:hanging="284"/>
        <w:jc w:val="both"/>
        <w:rPr>
          <w:sz w:val="12"/>
          <w:szCs w:val="12"/>
        </w:rPr>
      </w:pPr>
    </w:p>
    <w:p w:rsidR="006B20F4" w:rsidRDefault="006B20F4" w:rsidP="006B20F4">
      <w:pPr>
        <w:tabs>
          <w:tab w:val="left" w:pos="426"/>
        </w:tabs>
        <w:ind w:left="284" w:hanging="284"/>
        <w:jc w:val="both"/>
      </w:pPr>
      <w:r>
        <w:t>•</w:t>
      </w:r>
      <w:r>
        <w:tab/>
      </w:r>
      <w:r w:rsidRPr="009A1D36">
        <w:rPr>
          <w:b/>
        </w:rPr>
        <w:t>Earning Income</w:t>
      </w:r>
    </w:p>
    <w:p w:rsidR="006B20F4" w:rsidRDefault="006B20F4" w:rsidP="006B20F4">
      <w:pPr>
        <w:tabs>
          <w:tab w:val="left" w:pos="426"/>
        </w:tabs>
        <w:ind w:left="284" w:hanging="284"/>
        <w:jc w:val="both"/>
      </w:pPr>
      <w:r>
        <w:tab/>
      </w:r>
      <w:proofErr w:type="gramStart"/>
      <w:r>
        <w:t>Aspects of finding work and own job creation and reasons why in</w:t>
      </w:r>
      <w:r w:rsidR="00B75464">
        <w:t>comes vary between various jobs.</w:t>
      </w:r>
      <w:proofErr w:type="gramEnd"/>
    </w:p>
    <w:p w:rsidR="006B20F4" w:rsidRPr="002E3380" w:rsidRDefault="006B20F4" w:rsidP="006B20F4">
      <w:pPr>
        <w:tabs>
          <w:tab w:val="left" w:pos="426"/>
        </w:tabs>
        <w:ind w:left="284" w:hanging="284"/>
        <w:jc w:val="both"/>
        <w:rPr>
          <w:sz w:val="12"/>
          <w:szCs w:val="12"/>
        </w:rPr>
      </w:pPr>
    </w:p>
    <w:p w:rsidR="006B20F4" w:rsidRDefault="006B20F4" w:rsidP="006B20F4">
      <w:pPr>
        <w:tabs>
          <w:tab w:val="left" w:pos="426"/>
        </w:tabs>
        <w:ind w:left="284" w:hanging="284"/>
        <w:jc w:val="both"/>
        <w:rPr>
          <w:b/>
        </w:rPr>
      </w:pPr>
      <w:r>
        <w:t>•</w:t>
      </w:r>
      <w:r>
        <w:tab/>
      </w:r>
      <w:r w:rsidRPr="009A1D36">
        <w:rPr>
          <w:b/>
        </w:rPr>
        <w:t>Saving</w:t>
      </w:r>
    </w:p>
    <w:p w:rsidR="006B20F4" w:rsidRDefault="006B20F4" w:rsidP="006B20F4">
      <w:pPr>
        <w:tabs>
          <w:tab w:val="left" w:pos="426"/>
        </w:tabs>
        <w:ind w:left="284" w:hanging="284"/>
        <w:jc w:val="both"/>
      </w:pPr>
      <w:r>
        <w:rPr>
          <w:b/>
        </w:rPr>
        <w:tab/>
      </w:r>
      <w:proofErr w:type="gramStart"/>
      <w:r>
        <w:t>Costs and benefits of saving an</w:t>
      </w:r>
      <w:r w:rsidR="00B75464">
        <w:t>d various aspects of investment.</w:t>
      </w:r>
      <w:proofErr w:type="gramEnd"/>
    </w:p>
    <w:p w:rsidR="006B20F4" w:rsidRPr="002E3380" w:rsidRDefault="006B20F4" w:rsidP="006B20F4">
      <w:pPr>
        <w:tabs>
          <w:tab w:val="left" w:pos="426"/>
        </w:tabs>
        <w:ind w:left="284" w:hanging="284"/>
        <w:jc w:val="both"/>
        <w:rPr>
          <w:sz w:val="12"/>
          <w:szCs w:val="12"/>
        </w:rPr>
      </w:pPr>
    </w:p>
    <w:p w:rsidR="006B20F4" w:rsidRDefault="006B20F4" w:rsidP="006B20F4">
      <w:pPr>
        <w:tabs>
          <w:tab w:val="left" w:pos="426"/>
        </w:tabs>
        <w:ind w:left="284" w:hanging="284"/>
        <w:jc w:val="both"/>
      </w:pPr>
      <w:r>
        <w:t>•</w:t>
      </w:r>
      <w:r>
        <w:tab/>
      </w:r>
      <w:r w:rsidRPr="009A1D36">
        <w:rPr>
          <w:b/>
        </w:rPr>
        <w:t>Spending and Using Credit</w:t>
      </w:r>
    </w:p>
    <w:p w:rsidR="006B20F4" w:rsidRDefault="006B20F4" w:rsidP="006B20F4">
      <w:pPr>
        <w:tabs>
          <w:tab w:val="left" w:pos="426"/>
        </w:tabs>
        <w:ind w:left="284" w:hanging="284"/>
        <w:jc w:val="both"/>
      </w:pPr>
      <w:r>
        <w:tab/>
        <w:t xml:space="preserve">The use of credit and </w:t>
      </w:r>
      <w:r w:rsidR="00B75464">
        <w:t>the nature of interest payments, and</w:t>
      </w:r>
    </w:p>
    <w:p w:rsidR="006B20F4" w:rsidRPr="002E3380" w:rsidRDefault="006B20F4" w:rsidP="006B20F4">
      <w:pPr>
        <w:tabs>
          <w:tab w:val="left" w:pos="426"/>
        </w:tabs>
        <w:ind w:left="284" w:hanging="284"/>
        <w:jc w:val="both"/>
        <w:rPr>
          <w:sz w:val="12"/>
          <w:szCs w:val="12"/>
        </w:rPr>
      </w:pPr>
    </w:p>
    <w:p w:rsidR="006B20F4" w:rsidRDefault="006B20F4" w:rsidP="006B20F4">
      <w:pPr>
        <w:tabs>
          <w:tab w:val="left" w:pos="426"/>
        </w:tabs>
        <w:ind w:left="284" w:hanging="284"/>
        <w:jc w:val="both"/>
      </w:pPr>
      <w:r>
        <w:t>•</w:t>
      </w:r>
      <w:r>
        <w:tab/>
      </w:r>
      <w:r w:rsidRPr="009A1D36">
        <w:rPr>
          <w:b/>
        </w:rPr>
        <w:t>Money Management</w:t>
      </w:r>
    </w:p>
    <w:p w:rsidR="006B20F4" w:rsidRDefault="006B20F4" w:rsidP="006B20F4">
      <w:pPr>
        <w:tabs>
          <w:tab w:val="left" w:pos="426"/>
        </w:tabs>
        <w:ind w:left="284" w:hanging="284"/>
        <w:jc w:val="both"/>
      </w:pPr>
      <w:r>
        <w:tab/>
      </w:r>
      <w:proofErr w:type="gramStart"/>
      <w:r>
        <w:t>Budgeting, banking and insurance.</w:t>
      </w:r>
      <w:proofErr w:type="gramEnd"/>
    </w:p>
    <w:p w:rsidR="006B20F4" w:rsidRDefault="0035460F" w:rsidP="00FF4848">
      <w:pPr>
        <w:tabs>
          <w:tab w:val="left" w:pos="284"/>
        </w:tabs>
        <w:spacing w:line="288" w:lineRule="auto"/>
        <w:jc w:val="both"/>
      </w:pPr>
      <w:r>
        <w:tab/>
      </w:r>
    </w:p>
    <w:p w:rsidR="006B20F4" w:rsidRDefault="006B20F4" w:rsidP="00FF4848">
      <w:pPr>
        <w:tabs>
          <w:tab w:val="left" w:pos="284"/>
        </w:tabs>
        <w:spacing w:line="288" w:lineRule="auto"/>
        <w:jc w:val="both"/>
      </w:pPr>
    </w:p>
    <w:p w:rsidR="00FF4848" w:rsidRDefault="006B20F4" w:rsidP="00FF4848">
      <w:pPr>
        <w:tabs>
          <w:tab w:val="left" w:pos="284"/>
        </w:tabs>
        <w:spacing w:line="288" w:lineRule="auto"/>
        <w:jc w:val="both"/>
      </w:pPr>
      <w:r>
        <w:tab/>
      </w:r>
      <w:r w:rsidR="00FF4848">
        <w:t>The questions in the test are also classified into three cognitive levels: Knowledge, Comprehension, and Application. There are 14 questions pertaining to Knowledge, which emphasise the ability to recognize and recall facts. The 25 Comprehension questions require some understanding of information and the skill of explaining it in various ways. The other 11 questions (Application) involve the use of information in different scenarios. The questions from the U.S. version of the FFFL-HS test were adapted for the New Zealand context by the New Zealand-based authors. This involved minor alterations to individual questions to account for differences in local financial and tax laws</w:t>
      </w:r>
      <w:r w:rsidR="00FF4848" w:rsidRPr="00EC23F5">
        <w:t>. The final version of the New Zealand test is included in</w:t>
      </w:r>
      <w:r w:rsidR="00EC23F5" w:rsidRPr="00EC23F5">
        <w:t xml:space="preserve"> Cameron </w:t>
      </w:r>
      <w:r w:rsidR="00727E33" w:rsidRPr="006C4192">
        <w:rPr>
          <w:i/>
        </w:rPr>
        <w:t>et al</w:t>
      </w:r>
      <w:r w:rsidR="00727E33">
        <w:t xml:space="preserve">. </w:t>
      </w:r>
      <w:r w:rsidR="00EC23F5" w:rsidRPr="00EC23F5">
        <w:t>(2013)</w:t>
      </w:r>
      <w:r w:rsidR="00FF4848" w:rsidRPr="00EC23F5">
        <w:t>.</w:t>
      </w:r>
    </w:p>
    <w:p w:rsidR="00292791" w:rsidRDefault="00292791" w:rsidP="00FF4848">
      <w:pPr>
        <w:tabs>
          <w:tab w:val="left" w:pos="284"/>
        </w:tabs>
        <w:spacing w:line="288" w:lineRule="auto"/>
        <w:jc w:val="both"/>
      </w:pPr>
    </w:p>
    <w:p w:rsidR="006B20F4" w:rsidRDefault="0035460F" w:rsidP="00FF4848">
      <w:pPr>
        <w:tabs>
          <w:tab w:val="left" w:pos="284"/>
        </w:tabs>
        <w:spacing w:line="288" w:lineRule="auto"/>
        <w:jc w:val="both"/>
      </w:pPr>
      <w:r>
        <w:tab/>
      </w:r>
      <w:r w:rsidR="00FF4848">
        <w:t xml:space="preserve">The demographic questionnaire first asked for students’ age (to the nearest month), gender, first language, and whether they had ever studied economics or business studies before. It then asked for students’ self-perceived mathematics ability (top third/middle third/bottom third), and self-perceived parental wealth (top third/middle third/bottom third). Students were also asked to note the road intersection closest to their home. </w:t>
      </w:r>
      <w:r w:rsidR="00B75464">
        <w:t xml:space="preserve"> </w:t>
      </w:r>
      <w:r w:rsidR="00FF4848">
        <w:t>This question was asked in order to obtain a geographically-based estimate of parental wealth. Since it can be assumed that most students live at home with their parents, and geographic measure</w:t>
      </w:r>
      <w:r w:rsidR="00D45798">
        <w:t>s</w:t>
      </w:r>
      <w:r w:rsidR="00FF4848">
        <w:t xml:space="preserve"> of local social deprivation are available for small areas, we can use this data to as an indicator of parental wealth in the absence of perfect data on this variable. </w:t>
      </w:r>
      <w:r w:rsidR="00B75464">
        <w:t xml:space="preserve"> </w:t>
      </w:r>
      <w:r w:rsidR="00FF4848">
        <w:t xml:space="preserve">To construct this variable, we used the average social deprivation (NZDep2006) score for all </w:t>
      </w:r>
      <w:proofErr w:type="spellStart"/>
      <w:r w:rsidR="00FF4848">
        <w:t>meshblocks</w:t>
      </w:r>
      <w:proofErr w:type="spellEnd"/>
      <w:r w:rsidR="00FF4848">
        <w:t xml:space="preserve"> surrounding the specified road intersection. </w:t>
      </w:r>
      <w:r w:rsidR="00B75464">
        <w:t xml:space="preserve"> </w:t>
      </w:r>
      <w:proofErr w:type="spellStart"/>
      <w:r w:rsidR="00FF4848">
        <w:t>Meshblocks</w:t>
      </w:r>
      <w:proofErr w:type="spellEnd"/>
      <w:r w:rsidR="00FF4848">
        <w:t xml:space="preserve"> are the smallest g</w:t>
      </w:r>
      <w:r w:rsidR="004609E5">
        <w:t>eographic unit for which statis</w:t>
      </w:r>
      <w:r w:rsidR="00FF4848">
        <w:t>t</w:t>
      </w:r>
      <w:r w:rsidR="004609E5">
        <w:t>i</w:t>
      </w:r>
      <w:r w:rsidR="00FF4848">
        <w:t xml:space="preserve">cal data </w:t>
      </w:r>
      <w:r w:rsidR="004609E5">
        <w:t>are</w:t>
      </w:r>
      <w:r w:rsidR="00FF4848">
        <w:t xml:space="preserve"> collected by Statistics New Zealand. They are approximately the size of a city block, with an average population of around 100 people. NZDep2006 is the most commonly used measure of local area social deprivation in New Zealand (</w:t>
      </w:r>
      <w:proofErr w:type="spellStart"/>
      <w:r w:rsidR="00FF4848">
        <w:t>Salmond</w:t>
      </w:r>
      <w:proofErr w:type="spellEnd"/>
      <w:r w:rsidR="00FF4848">
        <w:t xml:space="preserve"> </w:t>
      </w:r>
      <w:r w:rsidR="00727E33" w:rsidRPr="006C4192">
        <w:rPr>
          <w:i/>
        </w:rPr>
        <w:t>et al</w:t>
      </w:r>
      <w:r w:rsidR="00727E33">
        <w:t xml:space="preserve">. </w:t>
      </w:r>
      <w:r w:rsidR="00FF4848">
        <w:t xml:space="preserve">2007), and was constructed from 2006 Census data, with lower deprivation scores representing areas of higher socio-economic status. </w:t>
      </w:r>
    </w:p>
    <w:p w:rsidR="006B20F4" w:rsidRDefault="006B20F4" w:rsidP="00FF4848">
      <w:pPr>
        <w:tabs>
          <w:tab w:val="left" w:pos="284"/>
        </w:tabs>
        <w:spacing w:line="288" w:lineRule="auto"/>
        <w:jc w:val="both"/>
      </w:pPr>
    </w:p>
    <w:p w:rsidR="00FF4848" w:rsidRDefault="006B20F4" w:rsidP="00FF4848">
      <w:pPr>
        <w:tabs>
          <w:tab w:val="left" w:pos="284"/>
        </w:tabs>
        <w:spacing w:line="288" w:lineRule="auto"/>
        <w:jc w:val="both"/>
      </w:pPr>
      <w:r>
        <w:tab/>
        <w:t>T</w:t>
      </w:r>
      <w:r w:rsidR="00FF4848">
        <w:t>he demographic sec</w:t>
      </w:r>
      <w:r w:rsidR="004609E5">
        <w:t>tion asked whether the students</w:t>
      </w:r>
      <w:r w:rsidR="00FF4848">
        <w:t xml:space="preserve"> had a bank account (and for how long), whether they had a part-time job (and for how long), and whether they paid their own </w:t>
      </w:r>
      <w:r w:rsidR="00FF4848">
        <w:lastRenderedPageBreak/>
        <w:t xml:space="preserve">mobile phone expenses. These final three questions were included in order to measure students’ degree of </w:t>
      </w:r>
      <w:r w:rsidR="00727E33">
        <w:t xml:space="preserve">‘consumer </w:t>
      </w:r>
      <w:proofErr w:type="spellStart"/>
      <w:r w:rsidR="00727E33">
        <w:t>socialisation</w:t>
      </w:r>
      <w:proofErr w:type="spellEnd"/>
      <w:r w:rsidR="00727E33">
        <w:t xml:space="preserve">’ (Ward </w:t>
      </w:r>
      <w:r w:rsidR="00FF4848">
        <w:t>1974) or financial experience; that is, how engaged they already are in market and finance activities.</w:t>
      </w:r>
    </w:p>
    <w:p w:rsidR="00292791" w:rsidRDefault="00292791" w:rsidP="00FF4848">
      <w:pPr>
        <w:tabs>
          <w:tab w:val="left" w:pos="284"/>
        </w:tabs>
        <w:spacing w:line="288" w:lineRule="auto"/>
        <w:jc w:val="both"/>
      </w:pPr>
    </w:p>
    <w:p w:rsidR="00FF4848" w:rsidRDefault="0035460F" w:rsidP="00FF4848">
      <w:pPr>
        <w:tabs>
          <w:tab w:val="left" w:pos="284"/>
        </w:tabs>
        <w:spacing w:line="288" w:lineRule="auto"/>
        <w:jc w:val="both"/>
      </w:pPr>
      <w:r>
        <w:tab/>
      </w:r>
      <w:r w:rsidR="00FF4848">
        <w:t xml:space="preserve">Finally, students’ degree of financial risk tolerance was assessed using the assessment instrument introduced by Grable and Lytton (1999). This instrument has been widely used (see for example, Grable (2000), Grable and Lytton (2003), </w:t>
      </w:r>
      <w:proofErr w:type="spellStart"/>
      <w:r w:rsidR="00FF4848">
        <w:t>Chatzoglou</w:t>
      </w:r>
      <w:proofErr w:type="spellEnd"/>
      <w:r w:rsidR="00FF4848">
        <w:t xml:space="preserve"> (2010), or Gilliam and </w:t>
      </w:r>
      <w:proofErr w:type="spellStart"/>
      <w:r w:rsidR="00FF4848">
        <w:t>Chatterjee</w:t>
      </w:r>
      <w:proofErr w:type="spellEnd"/>
      <w:r w:rsidR="00FF4848">
        <w:t xml:space="preserve"> (2011)). </w:t>
      </w:r>
      <w:r w:rsidR="00B75464">
        <w:t xml:space="preserve"> </w:t>
      </w:r>
      <w:r w:rsidR="00FF4848">
        <w:t xml:space="preserve">The instrument itself consists of 20 multiple-choice questions. </w:t>
      </w:r>
      <w:r w:rsidR="00B75464">
        <w:t xml:space="preserve"> </w:t>
      </w:r>
      <w:r w:rsidR="00FF4848">
        <w:t>Each possible answer is designated a score of between one and four points (although not all questions offer all four values), and all points are summed together to give an index value between 20 and 69, with a higher value representing higher degree of financial risk tolerance (lower risk aversion).</w:t>
      </w:r>
    </w:p>
    <w:p w:rsidR="00292791" w:rsidRDefault="00292791" w:rsidP="00FF4848">
      <w:pPr>
        <w:tabs>
          <w:tab w:val="left" w:pos="284"/>
        </w:tabs>
        <w:spacing w:line="288" w:lineRule="auto"/>
        <w:jc w:val="both"/>
      </w:pPr>
    </w:p>
    <w:p w:rsidR="00FF4848" w:rsidRDefault="0035460F" w:rsidP="00FF4848">
      <w:pPr>
        <w:tabs>
          <w:tab w:val="left" w:pos="284"/>
        </w:tabs>
        <w:spacing w:line="288" w:lineRule="auto"/>
        <w:jc w:val="both"/>
      </w:pPr>
      <w:r>
        <w:tab/>
      </w:r>
      <w:r w:rsidR="00FF4848">
        <w:t xml:space="preserve">In all, 352 students participated in the research. We omitted from the analysis 17 students who scored less than 25 percent in the test (we assume these students were answering test questions randomly), or who failed to attempt five or more of the questions. Thus, the analysis in this paper is based on the test results from the remaining 335 students. </w:t>
      </w:r>
      <w:r w:rsidR="00B75464">
        <w:t xml:space="preserve"> </w:t>
      </w:r>
      <w:r w:rsidR="00FF4848">
        <w:t>Of these, 293 students completed all three sections of the survey (financial literacy test, demographic questionnaire, and financ</w:t>
      </w:r>
      <w:r w:rsidR="00292791">
        <w:t>ial risk tolerance instrument).</w:t>
      </w:r>
    </w:p>
    <w:p w:rsidR="00292791" w:rsidRDefault="00292791" w:rsidP="00FF4848">
      <w:pPr>
        <w:tabs>
          <w:tab w:val="left" w:pos="284"/>
        </w:tabs>
        <w:spacing w:line="288" w:lineRule="auto"/>
        <w:jc w:val="both"/>
      </w:pPr>
    </w:p>
    <w:p w:rsidR="00FF4848" w:rsidRDefault="0035460F" w:rsidP="00FF4848">
      <w:pPr>
        <w:tabs>
          <w:tab w:val="left" w:pos="284"/>
        </w:tabs>
        <w:spacing w:line="288" w:lineRule="auto"/>
        <w:jc w:val="both"/>
      </w:pPr>
      <w:r>
        <w:tab/>
      </w:r>
      <w:r w:rsidR="00FF4848">
        <w:t>To examine the association between the various groups of variables and financial literacy, we employed ordinary least squares regression, with school-level fixed effects to control for unobserved differences in the test administration and any other unobserved factors between schools. We used a stepwise forward selection procedure to add groups of variables to the regression model with overall financial literacy score (as a mark out of 50) as the dependent variable. All steps are reported in the following section. Sample sizes decrease with each step, as some students did not answer all of the demographic questions. Once the final model was constructed, we ran similar regressions with Knowledge, Comprehension, and Application scores as dependent variables.</w:t>
      </w:r>
    </w:p>
    <w:p w:rsidR="00A2798F" w:rsidRPr="00B3432F" w:rsidRDefault="00A2798F" w:rsidP="00A2798F">
      <w:pPr>
        <w:tabs>
          <w:tab w:val="left" w:pos="284"/>
        </w:tabs>
        <w:spacing w:line="288" w:lineRule="auto"/>
        <w:jc w:val="both"/>
        <w:rPr>
          <w:sz w:val="16"/>
          <w:szCs w:val="16"/>
        </w:rPr>
      </w:pPr>
    </w:p>
    <w:p w:rsidR="00B3432F" w:rsidRPr="00B3432F" w:rsidRDefault="00B3432F" w:rsidP="00A2798F">
      <w:pPr>
        <w:tabs>
          <w:tab w:val="left" w:pos="284"/>
        </w:tabs>
        <w:spacing w:line="288" w:lineRule="auto"/>
        <w:jc w:val="both"/>
        <w:rPr>
          <w:sz w:val="16"/>
          <w:szCs w:val="16"/>
        </w:rPr>
      </w:pPr>
    </w:p>
    <w:p w:rsidR="00D33CAD"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4</w:t>
      </w:r>
      <w:r w:rsidR="00214AC7">
        <w:rPr>
          <w:rFonts w:ascii="Times New Roman" w:hAnsi="Times New Roman"/>
          <w:b/>
          <w:i w:val="0"/>
          <w:sz w:val="24"/>
          <w:szCs w:val="24"/>
          <w:u w:val="none"/>
        </w:rPr>
        <w:t xml:space="preserve">.  </w:t>
      </w:r>
      <w:r w:rsidR="00D33CAD" w:rsidRPr="008F7BE6">
        <w:rPr>
          <w:rFonts w:ascii="Times New Roman" w:hAnsi="Times New Roman"/>
          <w:b/>
          <w:i w:val="0"/>
          <w:sz w:val="24"/>
          <w:szCs w:val="24"/>
          <w:u w:val="none"/>
        </w:rPr>
        <w:t>Results</w:t>
      </w:r>
      <w:r w:rsidR="009B3657">
        <w:rPr>
          <w:rFonts w:ascii="Times New Roman" w:hAnsi="Times New Roman"/>
          <w:b/>
          <w:i w:val="0"/>
          <w:sz w:val="24"/>
          <w:szCs w:val="24"/>
          <w:u w:val="none"/>
        </w:rPr>
        <w:t xml:space="preserve"> </w:t>
      </w:r>
      <w:r>
        <w:rPr>
          <w:rFonts w:ascii="Times New Roman" w:hAnsi="Times New Roman"/>
          <w:b/>
          <w:i w:val="0"/>
          <w:sz w:val="24"/>
          <w:szCs w:val="24"/>
          <w:u w:val="none"/>
        </w:rPr>
        <w:t>and Discussion</w:t>
      </w:r>
    </w:p>
    <w:p w:rsidR="00E77E41" w:rsidRPr="006B20F4" w:rsidRDefault="00E77E41" w:rsidP="007231F9">
      <w:pPr>
        <w:pStyle w:val="Heading3"/>
        <w:tabs>
          <w:tab w:val="left" w:pos="284"/>
        </w:tabs>
        <w:spacing w:before="0" w:after="0" w:line="288" w:lineRule="auto"/>
        <w:jc w:val="both"/>
        <w:rPr>
          <w:rFonts w:ascii="Times New Roman" w:hAnsi="Times New Roman"/>
          <w:b/>
          <w:i w:val="0"/>
          <w:sz w:val="12"/>
          <w:szCs w:val="12"/>
          <w:u w:val="none"/>
        </w:rPr>
      </w:pPr>
    </w:p>
    <w:p w:rsidR="00FF4848" w:rsidRDefault="00FF4848" w:rsidP="006C4192">
      <w:pPr>
        <w:spacing w:line="288" w:lineRule="auto"/>
        <w:jc w:val="both"/>
      </w:pPr>
      <w:r w:rsidRPr="00FF4848">
        <w:t xml:space="preserve">Table 1 presents the summary statistics for key dependent and explanatory variables used in the analysis. </w:t>
      </w:r>
      <w:r w:rsidR="00B75464">
        <w:t xml:space="preserve"> </w:t>
      </w:r>
      <w:r w:rsidRPr="00FF4848">
        <w:t xml:space="preserve">The sample size is different for different variables, because some students did not answer all of the demographic questions. </w:t>
      </w:r>
      <w:r w:rsidR="00003B28">
        <w:t xml:space="preserve"> </w:t>
      </w:r>
      <w:r w:rsidRPr="00FF4848">
        <w:t>On average, financial literacy was poor</w:t>
      </w:r>
      <w:r w:rsidR="004609E5">
        <w:t>,</w:t>
      </w:r>
      <w:r w:rsidRPr="00FF4848">
        <w:t xml:space="preserve"> with an average score amongst this sample of </w:t>
      </w:r>
      <w:r w:rsidR="00003B28">
        <w:t xml:space="preserve">23.1 correct answers out of 50.  </w:t>
      </w:r>
      <w:r w:rsidRPr="00FF4848">
        <w:t>This poor level of financial literacy is similar to that observed in other countries (</w:t>
      </w:r>
      <w:r w:rsidR="006C4192">
        <w:t>see, for example,</w:t>
      </w:r>
      <w:r w:rsidRPr="00FF4848">
        <w:t xml:space="preserve"> Cameron </w:t>
      </w:r>
      <w:r w:rsidRPr="006C4192">
        <w:rPr>
          <w:i/>
        </w:rPr>
        <w:t>et al.</w:t>
      </w:r>
      <w:r w:rsidRPr="00FF4848">
        <w:t xml:space="preserve"> (2013) for a comparison of scores from this sample with scores in the United States and Japan). </w:t>
      </w:r>
      <w:r w:rsidR="00003B28">
        <w:t xml:space="preserve"> </w:t>
      </w:r>
      <w:r w:rsidRPr="00FF4848">
        <w:t xml:space="preserve">Students do poorly at all cognitive levels, with all three means at 50 percent correct or below. </w:t>
      </w:r>
      <w:r w:rsidR="00D150C7">
        <w:t xml:space="preserve"> </w:t>
      </w:r>
      <w:r w:rsidRPr="00FF4848">
        <w:t xml:space="preserve">Again, this is in line with international comparisons (Cameron </w:t>
      </w:r>
      <w:r w:rsidR="006C4192" w:rsidRPr="006C4192">
        <w:rPr>
          <w:i/>
        </w:rPr>
        <w:t>et al</w:t>
      </w:r>
      <w:r w:rsidR="006C4192">
        <w:t xml:space="preserve">. </w:t>
      </w:r>
      <w:r w:rsidRPr="00FF4848">
        <w:t>2013).</w:t>
      </w:r>
    </w:p>
    <w:p w:rsidR="002069B9" w:rsidRDefault="002069B9">
      <w:r>
        <w:br w:type="page"/>
      </w:r>
    </w:p>
    <w:p w:rsidR="00A2798F" w:rsidRPr="006C4192" w:rsidRDefault="006B20F4" w:rsidP="009B3657">
      <w:pPr>
        <w:spacing w:after="60"/>
        <w:jc w:val="center"/>
        <w:rPr>
          <w:sz w:val="22"/>
          <w:szCs w:val="22"/>
        </w:rPr>
      </w:pPr>
      <w:r>
        <w:rPr>
          <w:b/>
          <w:bCs/>
          <w:color w:val="000000"/>
          <w:sz w:val="22"/>
          <w:szCs w:val="22"/>
        </w:rPr>
        <w:lastRenderedPageBreak/>
        <w:t xml:space="preserve">Table 1: </w:t>
      </w:r>
      <w:r w:rsidR="00B3432F">
        <w:rPr>
          <w:b/>
          <w:bCs/>
          <w:color w:val="000000"/>
          <w:sz w:val="22"/>
          <w:szCs w:val="22"/>
        </w:rPr>
        <w:t xml:space="preserve"> </w:t>
      </w:r>
      <w:r>
        <w:rPr>
          <w:b/>
          <w:bCs/>
          <w:color w:val="000000"/>
          <w:sz w:val="22"/>
          <w:szCs w:val="22"/>
        </w:rPr>
        <w:t>Summary Statistics for Key V</w:t>
      </w:r>
      <w:r w:rsidR="00FF4848" w:rsidRPr="006C4192">
        <w:rPr>
          <w:b/>
          <w:bCs/>
          <w:color w:val="000000"/>
          <w:sz w:val="22"/>
          <w:szCs w:val="22"/>
        </w:rPr>
        <w:t>ariables</w:t>
      </w:r>
    </w:p>
    <w:tbl>
      <w:tblPr>
        <w:tblStyle w:val="TableGrid"/>
        <w:tblW w:w="9576" w:type="dxa"/>
        <w:tblBorders>
          <w:left w:val="none" w:sz="0" w:space="0" w:color="auto"/>
          <w:right w:val="none" w:sz="0" w:space="0" w:color="auto"/>
          <w:insideH w:val="none" w:sz="0" w:space="0" w:color="auto"/>
          <w:insideV w:val="none" w:sz="0" w:space="0" w:color="auto"/>
        </w:tblBorders>
        <w:tblLook w:val="04A0"/>
      </w:tblPr>
      <w:tblGrid>
        <w:gridCol w:w="2917"/>
        <w:gridCol w:w="1331"/>
        <w:gridCol w:w="1332"/>
        <w:gridCol w:w="1332"/>
        <w:gridCol w:w="1332"/>
        <w:gridCol w:w="1332"/>
      </w:tblGrid>
      <w:tr w:rsidR="00FF4848" w:rsidTr="006C4192">
        <w:tc>
          <w:tcPr>
            <w:tcW w:w="2917" w:type="dxa"/>
            <w:tcBorders>
              <w:top w:val="single" w:sz="4" w:space="0" w:color="auto"/>
              <w:bottom w:val="single" w:sz="4" w:space="0" w:color="auto"/>
            </w:tcBorders>
            <w:vAlign w:val="center"/>
            <w:hideMark/>
          </w:tcPr>
          <w:p w:rsidR="00FF4848" w:rsidRPr="006C4192" w:rsidRDefault="00FF4848" w:rsidP="006C4192">
            <w:pPr>
              <w:spacing w:before="200" w:after="200"/>
              <w:rPr>
                <w:b/>
                <w:sz w:val="22"/>
                <w:szCs w:val="22"/>
              </w:rPr>
            </w:pPr>
            <w:r w:rsidRPr="006C4192">
              <w:rPr>
                <w:b/>
                <w:sz w:val="22"/>
                <w:szCs w:val="22"/>
              </w:rPr>
              <w:t>Variable</w:t>
            </w:r>
          </w:p>
        </w:tc>
        <w:tc>
          <w:tcPr>
            <w:tcW w:w="1331" w:type="dxa"/>
            <w:tcBorders>
              <w:top w:val="single" w:sz="4" w:space="0" w:color="auto"/>
              <w:bottom w:val="single" w:sz="4" w:space="0" w:color="auto"/>
            </w:tcBorders>
            <w:vAlign w:val="center"/>
            <w:hideMark/>
          </w:tcPr>
          <w:p w:rsidR="00FF4848" w:rsidRPr="006C4192" w:rsidRDefault="00B3432F" w:rsidP="006C4192">
            <w:pPr>
              <w:spacing w:before="200" w:after="200"/>
              <w:jc w:val="center"/>
              <w:rPr>
                <w:b/>
                <w:sz w:val="22"/>
                <w:szCs w:val="22"/>
              </w:rPr>
            </w:pPr>
            <w:r>
              <w:rPr>
                <w:b/>
                <w:sz w:val="22"/>
                <w:szCs w:val="22"/>
              </w:rPr>
              <w:t>Sample S</w:t>
            </w:r>
            <w:r w:rsidR="00FF4848" w:rsidRPr="006C4192">
              <w:rPr>
                <w:b/>
                <w:sz w:val="22"/>
                <w:szCs w:val="22"/>
              </w:rPr>
              <w:t>ize</w:t>
            </w:r>
          </w:p>
        </w:tc>
        <w:tc>
          <w:tcPr>
            <w:tcW w:w="1332" w:type="dxa"/>
            <w:tcBorders>
              <w:top w:val="single" w:sz="4" w:space="0" w:color="auto"/>
              <w:bottom w:val="single" w:sz="4" w:space="0" w:color="auto"/>
            </w:tcBorders>
            <w:vAlign w:val="center"/>
            <w:hideMark/>
          </w:tcPr>
          <w:p w:rsidR="00FF4848" w:rsidRPr="006C4192" w:rsidRDefault="00FF4848" w:rsidP="006C4192">
            <w:pPr>
              <w:spacing w:before="200" w:after="200"/>
              <w:jc w:val="center"/>
              <w:rPr>
                <w:b/>
                <w:sz w:val="22"/>
                <w:szCs w:val="22"/>
              </w:rPr>
            </w:pPr>
            <w:r w:rsidRPr="006C4192">
              <w:rPr>
                <w:b/>
                <w:sz w:val="22"/>
                <w:szCs w:val="22"/>
              </w:rPr>
              <w:t>Mean</w:t>
            </w:r>
          </w:p>
        </w:tc>
        <w:tc>
          <w:tcPr>
            <w:tcW w:w="1332" w:type="dxa"/>
            <w:tcBorders>
              <w:top w:val="single" w:sz="4" w:space="0" w:color="auto"/>
              <w:bottom w:val="single" w:sz="4" w:space="0" w:color="auto"/>
            </w:tcBorders>
            <w:vAlign w:val="center"/>
            <w:hideMark/>
          </w:tcPr>
          <w:p w:rsidR="00FF4848" w:rsidRPr="006C4192" w:rsidRDefault="00FF4848" w:rsidP="006C4192">
            <w:pPr>
              <w:spacing w:before="200" w:after="200"/>
              <w:jc w:val="center"/>
              <w:rPr>
                <w:b/>
                <w:sz w:val="22"/>
                <w:szCs w:val="22"/>
              </w:rPr>
            </w:pPr>
            <w:r w:rsidRPr="006C4192">
              <w:rPr>
                <w:b/>
                <w:sz w:val="22"/>
                <w:szCs w:val="22"/>
              </w:rPr>
              <w:t>Maximum</w:t>
            </w:r>
          </w:p>
        </w:tc>
        <w:tc>
          <w:tcPr>
            <w:tcW w:w="1332" w:type="dxa"/>
            <w:tcBorders>
              <w:top w:val="single" w:sz="4" w:space="0" w:color="auto"/>
              <w:bottom w:val="single" w:sz="4" w:space="0" w:color="auto"/>
            </w:tcBorders>
            <w:vAlign w:val="center"/>
            <w:hideMark/>
          </w:tcPr>
          <w:p w:rsidR="00FF4848" w:rsidRPr="006C4192" w:rsidRDefault="00FF4848" w:rsidP="006C4192">
            <w:pPr>
              <w:spacing w:before="200" w:after="200"/>
              <w:jc w:val="center"/>
              <w:rPr>
                <w:b/>
                <w:sz w:val="22"/>
                <w:szCs w:val="22"/>
              </w:rPr>
            </w:pPr>
            <w:r w:rsidRPr="006C4192">
              <w:rPr>
                <w:b/>
                <w:sz w:val="22"/>
                <w:szCs w:val="22"/>
              </w:rPr>
              <w:t>Minimum</w:t>
            </w:r>
          </w:p>
        </w:tc>
        <w:tc>
          <w:tcPr>
            <w:tcW w:w="1332" w:type="dxa"/>
            <w:tcBorders>
              <w:top w:val="single" w:sz="4" w:space="0" w:color="auto"/>
              <w:bottom w:val="single" w:sz="4" w:space="0" w:color="auto"/>
            </w:tcBorders>
            <w:vAlign w:val="center"/>
            <w:hideMark/>
          </w:tcPr>
          <w:p w:rsidR="00FF4848" w:rsidRDefault="00FF4848" w:rsidP="00B3432F">
            <w:pPr>
              <w:spacing w:before="200"/>
              <w:jc w:val="center"/>
              <w:rPr>
                <w:b/>
                <w:sz w:val="22"/>
                <w:szCs w:val="22"/>
              </w:rPr>
            </w:pPr>
            <w:r w:rsidRPr="006C4192">
              <w:rPr>
                <w:b/>
                <w:sz w:val="22"/>
                <w:szCs w:val="22"/>
              </w:rPr>
              <w:t>St</w:t>
            </w:r>
            <w:r w:rsidR="00B3432F">
              <w:rPr>
                <w:b/>
                <w:sz w:val="22"/>
                <w:szCs w:val="22"/>
              </w:rPr>
              <w:t>andard</w:t>
            </w:r>
          </w:p>
          <w:p w:rsidR="00B3432F" w:rsidRPr="006C4192" w:rsidRDefault="00B3432F" w:rsidP="00B3432F">
            <w:pPr>
              <w:spacing w:after="200"/>
              <w:jc w:val="center"/>
              <w:rPr>
                <w:b/>
                <w:sz w:val="22"/>
                <w:szCs w:val="22"/>
              </w:rPr>
            </w:pPr>
            <w:r>
              <w:rPr>
                <w:b/>
                <w:sz w:val="22"/>
                <w:szCs w:val="22"/>
              </w:rPr>
              <w:t>Deviation</w:t>
            </w:r>
          </w:p>
        </w:tc>
      </w:tr>
      <w:tr w:rsidR="00FF4848" w:rsidTr="006C4192">
        <w:tc>
          <w:tcPr>
            <w:tcW w:w="2917" w:type="dxa"/>
            <w:tcBorders>
              <w:top w:val="single" w:sz="4" w:space="0" w:color="auto"/>
            </w:tcBorders>
            <w:vAlign w:val="center"/>
            <w:hideMark/>
          </w:tcPr>
          <w:p w:rsidR="00B3432F" w:rsidRPr="00B3432F" w:rsidRDefault="00FF4848" w:rsidP="00B3432F">
            <w:pPr>
              <w:spacing w:before="100" w:after="60"/>
              <w:ind w:left="425" w:hanging="425"/>
              <w:rPr>
                <w:i/>
                <w:sz w:val="6"/>
                <w:szCs w:val="6"/>
              </w:rPr>
            </w:pPr>
            <w:r w:rsidRPr="006C4192">
              <w:rPr>
                <w:i/>
                <w:sz w:val="22"/>
                <w:szCs w:val="22"/>
              </w:rPr>
              <w:t>Dependent variables</w:t>
            </w:r>
          </w:p>
        </w:tc>
        <w:tc>
          <w:tcPr>
            <w:tcW w:w="1331" w:type="dxa"/>
            <w:tcBorders>
              <w:top w:val="single" w:sz="4" w:space="0" w:color="auto"/>
            </w:tcBorders>
            <w:vAlign w:val="center"/>
          </w:tcPr>
          <w:p w:rsidR="00FF4848" w:rsidRPr="006C4192" w:rsidRDefault="00FF4848">
            <w:pPr>
              <w:jc w:val="center"/>
              <w:rPr>
                <w:i/>
                <w:sz w:val="22"/>
                <w:szCs w:val="22"/>
              </w:rPr>
            </w:pPr>
          </w:p>
        </w:tc>
        <w:tc>
          <w:tcPr>
            <w:tcW w:w="1332" w:type="dxa"/>
            <w:tcBorders>
              <w:top w:val="single" w:sz="4" w:space="0" w:color="auto"/>
            </w:tcBorders>
            <w:vAlign w:val="center"/>
          </w:tcPr>
          <w:p w:rsidR="00FF4848" w:rsidRPr="006C4192" w:rsidRDefault="00FF4848">
            <w:pPr>
              <w:jc w:val="center"/>
              <w:rPr>
                <w:i/>
                <w:sz w:val="22"/>
                <w:szCs w:val="22"/>
              </w:rPr>
            </w:pPr>
          </w:p>
        </w:tc>
        <w:tc>
          <w:tcPr>
            <w:tcW w:w="1332" w:type="dxa"/>
            <w:tcBorders>
              <w:top w:val="single" w:sz="4" w:space="0" w:color="auto"/>
            </w:tcBorders>
            <w:vAlign w:val="center"/>
          </w:tcPr>
          <w:p w:rsidR="00FF4848" w:rsidRPr="006C4192" w:rsidRDefault="00FF4848">
            <w:pPr>
              <w:jc w:val="center"/>
              <w:rPr>
                <w:i/>
                <w:sz w:val="22"/>
                <w:szCs w:val="22"/>
              </w:rPr>
            </w:pPr>
          </w:p>
        </w:tc>
        <w:tc>
          <w:tcPr>
            <w:tcW w:w="1332" w:type="dxa"/>
            <w:tcBorders>
              <w:top w:val="single" w:sz="4" w:space="0" w:color="auto"/>
            </w:tcBorders>
            <w:vAlign w:val="center"/>
          </w:tcPr>
          <w:p w:rsidR="00FF4848" w:rsidRPr="006C4192" w:rsidRDefault="00FF4848">
            <w:pPr>
              <w:jc w:val="center"/>
              <w:rPr>
                <w:i/>
                <w:sz w:val="22"/>
                <w:szCs w:val="22"/>
              </w:rPr>
            </w:pPr>
          </w:p>
        </w:tc>
        <w:tc>
          <w:tcPr>
            <w:tcW w:w="1332" w:type="dxa"/>
            <w:tcBorders>
              <w:top w:val="single" w:sz="4" w:space="0" w:color="auto"/>
            </w:tcBorders>
            <w:vAlign w:val="center"/>
          </w:tcPr>
          <w:p w:rsidR="00FF4848" w:rsidRPr="006C4192" w:rsidRDefault="00FF4848">
            <w:pPr>
              <w:jc w:val="center"/>
              <w:rPr>
                <w:i/>
                <w:sz w:val="22"/>
                <w:szCs w:val="22"/>
              </w:rPr>
            </w:pP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 xml:space="preserve">Financial Literacy score </w:t>
            </w:r>
            <w:r w:rsidRPr="006C4192">
              <w:rPr>
                <w:sz w:val="22"/>
                <w:szCs w:val="22"/>
              </w:rPr>
              <w:br/>
              <w:t>(out of 50)</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23.1</w:t>
            </w:r>
          </w:p>
        </w:tc>
        <w:tc>
          <w:tcPr>
            <w:tcW w:w="1332" w:type="dxa"/>
            <w:vAlign w:val="center"/>
            <w:hideMark/>
          </w:tcPr>
          <w:p w:rsidR="00FF4848" w:rsidRPr="006C4192" w:rsidRDefault="00FF4848">
            <w:pPr>
              <w:jc w:val="center"/>
              <w:rPr>
                <w:sz w:val="22"/>
                <w:szCs w:val="22"/>
              </w:rPr>
            </w:pPr>
            <w:r w:rsidRPr="006C4192">
              <w:rPr>
                <w:sz w:val="22"/>
                <w:szCs w:val="22"/>
              </w:rPr>
              <w:t>43.0</w:t>
            </w:r>
          </w:p>
        </w:tc>
        <w:tc>
          <w:tcPr>
            <w:tcW w:w="1332" w:type="dxa"/>
            <w:vAlign w:val="center"/>
            <w:hideMark/>
          </w:tcPr>
          <w:p w:rsidR="00FF4848" w:rsidRPr="006C4192" w:rsidRDefault="00FF4848">
            <w:pPr>
              <w:jc w:val="center"/>
              <w:rPr>
                <w:sz w:val="22"/>
                <w:szCs w:val="22"/>
              </w:rPr>
            </w:pPr>
            <w:r w:rsidRPr="006C4192">
              <w:rPr>
                <w:sz w:val="22"/>
                <w:szCs w:val="22"/>
              </w:rPr>
              <w:t>7.0</w:t>
            </w:r>
          </w:p>
        </w:tc>
        <w:tc>
          <w:tcPr>
            <w:tcW w:w="1332" w:type="dxa"/>
            <w:vAlign w:val="center"/>
            <w:hideMark/>
          </w:tcPr>
          <w:p w:rsidR="00FF4848" w:rsidRPr="006C4192" w:rsidRDefault="00FF4848">
            <w:pPr>
              <w:jc w:val="center"/>
              <w:rPr>
                <w:sz w:val="22"/>
                <w:szCs w:val="22"/>
              </w:rPr>
            </w:pPr>
            <w:r w:rsidRPr="006C4192">
              <w:rPr>
                <w:sz w:val="22"/>
                <w:szCs w:val="22"/>
              </w:rPr>
              <w:t>6.6</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Knowledge score</w:t>
            </w:r>
            <w:r w:rsidRPr="006C4192">
              <w:rPr>
                <w:sz w:val="22"/>
                <w:szCs w:val="22"/>
              </w:rPr>
              <w:br/>
              <w:t>(out of 14)</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5.4</w:t>
            </w:r>
          </w:p>
        </w:tc>
        <w:tc>
          <w:tcPr>
            <w:tcW w:w="1332" w:type="dxa"/>
            <w:vAlign w:val="center"/>
            <w:hideMark/>
          </w:tcPr>
          <w:p w:rsidR="00FF4848" w:rsidRPr="006C4192" w:rsidRDefault="00FF4848">
            <w:pPr>
              <w:jc w:val="center"/>
              <w:rPr>
                <w:sz w:val="22"/>
                <w:szCs w:val="22"/>
              </w:rPr>
            </w:pPr>
            <w:r w:rsidRPr="006C4192">
              <w:rPr>
                <w:sz w:val="22"/>
                <w:szCs w:val="22"/>
              </w:rPr>
              <w:t>12.0</w:t>
            </w:r>
          </w:p>
        </w:tc>
        <w:tc>
          <w:tcPr>
            <w:tcW w:w="1332" w:type="dxa"/>
            <w:vAlign w:val="center"/>
            <w:hideMark/>
          </w:tcPr>
          <w:p w:rsidR="00FF4848" w:rsidRPr="006C4192" w:rsidRDefault="00FF4848">
            <w:pPr>
              <w:jc w:val="center"/>
              <w:rPr>
                <w:sz w:val="22"/>
                <w:szCs w:val="22"/>
              </w:rPr>
            </w:pPr>
            <w:r w:rsidRPr="006C4192">
              <w:rPr>
                <w:sz w:val="22"/>
                <w:szCs w:val="22"/>
              </w:rPr>
              <w:t>0.0</w:t>
            </w:r>
          </w:p>
        </w:tc>
        <w:tc>
          <w:tcPr>
            <w:tcW w:w="1332" w:type="dxa"/>
            <w:vAlign w:val="center"/>
            <w:hideMark/>
          </w:tcPr>
          <w:p w:rsidR="00FF4848" w:rsidRPr="006C4192" w:rsidRDefault="00FF4848">
            <w:pPr>
              <w:jc w:val="center"/>
              <w:rPr>
                <w:sz w:val="22"/>
                <w:szCs w:val="22"/>
              </w:rPr>
            </w:pPr>
            <w:r w:rsidRPr="006C4192">
              <w:rPr>
                <w:sz w:val="22"/>
                <w:szCs w:val="22"/>
              </w:rPr>
              <w:t>2.4</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Comprehension Score</w:t>
            </w:r>
            <w:r w:rsidRPr="006C4192">
              <w:rPr>
                <w:sz w:val="22"/>
                <w:szCs w:val="22"/>
              </w:rPr>
              <w:br/>
              <w:t>(out of 25)</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12.5</w:t>
            </w:r>
          </w:p>
        </w:tc>
        <w:tc>
          <w:tcPr>
            <w:tcW w:w="1332" w:type="dxa"/>
            <w:vAlign w:val="center"/>
            <w:hideMark/>
          </w:tcPr>
          <w:p w:rsidR="00FF4848" w:rsidRPr="006C4192" w:rsidRDefault="00FF4848">
            <w:pPr>
              <w:jc w:val="center"/>
              <w:rPr>
                <w:sz w:val="22"/>
                <w:szCs w:val="22"/>
              </w:rPr>
            </w:pPr>
            <w:r w:rsidRPr="006C4192">
              <w:rPr>
                <w:sz w:val="22"/>
                <w:szCs w:val="22"/>
              </w:rPr>
              <w:t>24.0</w:t>
            </w:r>
          </w:p>
        </w:tc>
        <w:tc>
          <w:tcPr>
            <w:tcW w:w="1332" w:type="dxa"/>
            <w:vAlign w:val="center"/>
            <w:hideMark/>
          </w:tcPr>
          <w:p w:rsidR="00FF4848" w:rsidRPr="006C4192" w:rsidRDefault="00FF4848">
            <w:pPr>
              <w:jc w:val="center"/>
              <w:rPr>
                <w:sz w:val="22"/>
                <w:szCs w:val="22"/>
              </w:rPr>
            </w:pPr>
            <w:r w:rsidRPr="006C4192">
              <w:rPr>
                <w:sz w:val="22"/>
                <w:szCs w:val="22"/>
              </w:rPr>
              <w:t>2.0</w:t>
            </w:r>
          </w:p>
        </w:tc>
        <w:tc>
          <w:tcPr>
            <w:tcW w:w="1332" w:type="dxa"/>
            <w:vAlign w:val="center"/>
            <w:hideMark/>
          </w:tcPr>
          <w:p w:rsidR="00FF4848" w:rsidRPr="006C4192" w:rsidRDefault="00FF4848">
            <w:pPr>
              <w:jc w:val="center"/>
              <w:rPr>
                <w:sz w:val="22"/>
                <w:szCs w:val="22"/>
              </w:rPr>
            </w:pPr>
            <w:r w:rsidRPr="006C4192">
              <w:rPr>
                <w:sz w:val="22"/>
                <w:szCs w:val="22"/>
              </w:rPr>
              <w:t>3.9</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Application score</w:t>
            </w:r>
            <w:r w:rsidRPr="006C4192">
              <w:rPr>
                <w:sz w:val="22"/>
                <w:szCs w:val="22"/>
              </w:rPr>
              <w:br/>
              <w:t>(out of 11)</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5.2</w:t>
            </w:r>
          </w:p>
        </w:tc>
        <w:tc>
          <w:tcPr>
            <w:tcW w:w="1332" w:type="dxa"/>
            <w:vAlign w:val="center"/>
            <w:hideMark/>
          </w:tcPr>
          <w:p w:rsidR="00FF4848" w:rsidRPr="006C4192" w:rsidRDefault="00FF4848">
            <w:pPr>
              <w:jc w:val="center"/>
              <w:rPr>
                <w:sz w:val="22"/>
                <w:szCs w:val="22"/>
              </w:rPr>
            </w:pPr>
            <w:r w:rsidRPr="006C4192">
              <w:rPr>
                <w:sz w:val="22"/>
                <w:szCs w:val="22"/>
              </w:rPr>
              <w:t>9.0</w:t>
            </w:r>
          </w:p>
        </w:tc>
        <w:tc>
          <w:tcPr>
            <w:tcW w:w="1332" w:type="dxa"/>
            <w:vAlign w:val="center"/>
            <w:hideMark/>
          </w:tcPr>
          <w:p w:rsidR="00FF4848" w:rsidRPr="006C4192" w:rsidRDefault="00FF4848">
            <w:pPr>
              <w:jc w:val="center"/>
              <w:rPr>
                <w:sz w:val="22"/>
                <w:szCs w:val="22"/>
              </w:rPr>
            </w:pPr>
            <w:r w:rsidRPr="006C4192">
              <w:rPr>
                <w:sz w:val="22"/>
                <w:szCs w:val="22"/>
              </w:rPr>
              <w:t>0.0</w:t>
            </w:r>
          </w:p>
        </w:tc>
        <w:tc>
          <w:tcPr>
            <w:tcW w:w="1332" w:type="dxa"/>
            <w:vAlign w:val="center"/>
            <w:hideMark/>
          </w:tcPr>
          <w:p w:rsidR="00FF4848" w:rsidRPr="006C4192" w:rsidRDefault="00FF4848">
            <w:pPr>
              <w:jc w:val="center"/>
              <w:rPr>
                <w:sz w:val="22"/>
                <w:szCs w:val="22"/>
              </w:rPr>
            </w:pPr>
            <w:r w:rsidRPr="006C4192">
              <w:rPr>
                <w:sz w:val="22"/>
                <w:szCs w:val="22"/>
              </w:rPr>
              <w:t>1.7</w:t>
            </w:r>
          </w:p>
        </w:tc>
      </w:tr>
      <w:tr w:rsidR="00FF4848" w:rsidTr="006C4192">
        <w:tc>
          <w:tcPr>
            <w:tcW w:w="2917" w:type="dxa"/>
            <w:vAlign w:val="center"/>
          </w:tcPr>
          <w:p w:rsidR="00FF4848" w:rsidRPr="006C4192" w:rsidRDefault="00FF4848">
            <w:pPr>
              <w:ind w:left="426" w:hanging="426"/>
              <w:rPr>
                <w:sz w:val="22"/>
                <w:szCs w:val="22"/>
              </w:rPr>
            </w:pPr>
          </w:p>
        </w:tc>
        <w:tc>
          <w:tcPr>
            <w:tcW w:w="1331" w:type="dxa"/>
            <w:vAlign w:val="center"/>
          </w:tcPr>
          <w:p w:rsidR="00FF4848" w:rsidRPr="006C4192" w:rsidRDefault="00FF4848">
            <w:pPr>
              <w:jc w:val="center"/>
              <w:rPr>
                <w:sz w:val="22"/>
                <w:szCs w:val="22"/>
              </w:rPr>
            </w:pPr>
          </w:p>
        </w:tc>
        <w:tc>
          <w:tcPr>
            <w:tcW w:w="1332" w:type="dxa"/>
            <w:vAlign w:val="center"/>
          </w:tcPr>
          <w:p w:rsidR="00FF4848" w:rsidRPr="006C4192" w:rsidRDefault="00FF4848">
            <w:pPr>
              <w:jc w:val="center"/>
              <w:rPr>
                <w:sz w:val="22"/>
                <w:szCs w:val="22"/>
              </w:rPr>
            </w:pPr>
          </w:p>
        </w:tc>
        <w:tc>
          <w:tcPr>
            <w:tcW w:w="1332" w:type="dxa"/>
            <w:vAlign w:val="center"/>
          </w:tcPr>
          <w:p w:rsidR="00FF4848" w:rsidRPr="006C4192" w:rsidRDefault="00FF4848">
            <w:pPr>
              <w:jc w:val="center"/>
              <w:rPr>
                <w:sz w:val="22"/>
                <w:szCs w:val="22"/>
              </w:rPr>
            </w:pPr>
          </w:p>
        </w:tc>
        <w:tc>
          <w:tcPr>
            <w:tcW w:w="1332" w:type="dxa"/>
            <w:vAlign w:val="center"/>
          </w:tcPr>
          <w:p w:rsidR="00FF4848" w:rsidRPr="006C4192" w:rsidRDefault="00FF4848">
            <w:pPr>
              <w:jc w:val="center"/>
              <w:rPr>
                <w:sz w:val="22"/>
                <w:szCs w:val="22"/>
              </w:rPr>
            </w:pPr>
          </w:p>
        </w:tc>
        <w:tc>
          <w:tcPr>
            <w:tcW w:w="1332" w:type="dxa"/>
            <w:vAlign w:val="center"/>
          </w:tcPr>
          <w:p w:rsidR="00FF4848" w:rsidRPr="006C4192" w:rsidRDefault="00FF4848">
            <w:pPr>
              <w:jc w:val="center"/>
              <w:rPr>
                <w:sz w:val="22"/>
                <w:szCs w:val="22"/>
              </w:rPr>
            </w:pPr>
          </w:p>
        </w:tc>
      </w:tr>
      <w:tr w:rsidR="00FF4848" w:rsidTr="006C4192">
        <w:tc>
          <w:tcPr>
            <w:tcW w:w="2917" w:type="dxa"/>
            <w:vAlign w:val="center"/>
            <w:hideMark/>
          </w:tcPr>
          <w:p w:rsidR="00FF4848" w:rsidRDefault="00FF4848">
            <w:pPr>
              <w:ind w:left="426" w:hanging="426"/>
              <w:rPr>
                <w:i/>
                <w:sz w:val="22"/>
                <w:szCs w:val="22"/>
              </w:rPr>
            </w:pPr>
            <w:r w:rsidRPr="006C4192">
              <w:rPr>
                <w:i/>
                <w:sz w:val="22"/>
                <w:szCs w:val="22"/>
              </w:rPr>
              <w:t>Explanatory variables</w:t>
            </w:r>
          </w:p>
          <w:p w:rsidR="00B3432F" w:rsidRPr="00B3432F" w:rsidRDefault="00B3432F">
            <w:pPr>
              <w:ind w:left="426" w:hanging="426"/>
              <w:rPr>
                <w:i/>
                <w:sz w:val="6"/>
                <w:szCs w:val="6"/>
              </w:rPr>
            </w:pPr>
          </w:p>
        </w:tc>
        <w:tc>
          <w:tcPr>
            <w:tcW w:w="1331" w:type="dxa"/>
            <w:vAlign w:val="center"/>
          </w:tcPr>
          <w:p w:rsidR="00FF4848" w:rsidRPr="006C4192" w:rsidRDefault="00FF4848">
            <w:pPr>
              <w:jc w:val="center"/>
              <w:rPr>
                <w:i/>
                <w:sz w:val="22"/>
                <w:szCs w:val="22"/>
              </w:rPr>
            </w:pPr>
          </w:p>
        </w:tc>
        <w:tc>
          <w:tcPr>
            <w:tcW w:w="1332" w:type="dxa"/>
            <w:vAlign w:val="center"/>
          </w:tcPr>
          <w:p w:rsidR="00FF4848" w:rsidRPr="006C4192" w:rsidRDefault="00FF4848">
            <w:pPr>
              <w:jc w:val="center"/>
              <w:rPr>
                <w:i/>
                <w:sz w:val="22"/>
                <w:szCs w:val="22"/>
              </w:rPr>
            </w:pPr>
          </w:p>
        </w:tc>
        <w:tc>
          <w:tcPr>
            <w:tcW w:w="1332" w:type="dxa"/>
            <w:vAlign w:val="center"/>
          </w:tcPr>
          <w:p w:rsidR="00FF4848" w:rsidRPr="006C4192" w:rsidRDefault="00FF4848">
            <w:pPr>
              <w:jc w:val="center"/>
              <w:rPr>
                <w:i/>
                <w:sz w:val="22"/>
                <w:szCs w:val="22"/>
              </w:rPr>
            </w:pPr>
          </w:p>
        </w:tc>
        <w:tc>
          <w:tcPr>
            <w:tcW w:w="1332" w:type="dxa"/>
            <w:vAlign w:val="center"/>
          </w:tcPr>
          <w:p w:rsidR="00FF4848" w:rsidRPr="006C4192" w:rsidRDefault="00FF4848">
            <w:pPr>
              <w:jc w:val="center"/>
              <w:rPr>
                <w:i/>
                <w:sz w:val="22"/>
                <w:szCs w:val="22"/>
              </w:rPr>
            </w:pPr>
          </w:p>
        </w:tc>
        <w:tc>
          <w:tcPr>
            <w:tcW w:w="1332" w:type="dxa"/>
            <w:vAlign w:val="center"/>
          </w:tcPr>
          <w:p w:rsidR="00FF4848" w:rsidRPr="006C4192" w:rsidRDefault="00FF4848">
            <w:pPr>
              <w:jc w:val="center"/>
              <w:rPr>
                <w:i/>
                <w:sz w:val="22"/>
                <w:szCs w:val="22"/>
              </w:rPr>
            </w:pP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Gender (Male = 1)</w:t>
            </w:r>
          </w:p>
        </w:tc>
        <w:tc>
          <w:tcPr>
            <w:tcW w:w="1331" w:type="dxa"/>
            <w:vAlign w:val="center"/>
            <w:hideMark/>
          </w:tcPr>
          <w:p w:rsidR="00FF4848" w:rsidRPr="006C4192" w:rsidRDefault="00FF4848">
            <w:pPr>
              <w:jc w:val="center"/>
              <w:rPr>
                <w:sz w:val="22"/>
                <w:szCs w:val="22"/>
              </w:rPr>
            </w:pPr>
            <w:r w:rsidRPr="006C4192">
              <w:rPr>
                <w:sz w:val="22"/>
                <w:szCs w:val="22"/>
              </w:rPr>
              <w:t>289</w:t>
            </w:r>
          </w:p>
        </w:tc>
        <w:tc>
          <w:tcPr>
            <w:tcW w:w="1332" w:type="dxa"/>
            <w:vAlign w:val="center"/>
            <w:hideMark/>
          </w:tcPr>
          <w:p w:rsidR="00FF4848" w:rsidRPr="006C4192" w:rsidRDefault="00FF4848">
            <w:pPr>
              <w:jc w:val="center"/>
              <w:rPr>
                <w:sz w:val="22"/>
                <w:szCs w:val="22"/>
              </w:rPr>
            </w:pPr>
            <w:r w:rsidRPr="006C4192">
              <w:rPr>
                <w:sz w:val="22"/>
                <w:szCs w:val="22"/>
              </w:rPr>
              <w:t>0.60</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Age</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15.9</w:t>
            </w:r>
          </w:p>
        </w:tc>
        <w:tc>
          <w:tcPr>
            <w:tcW w:w="1332" w:type="dxa"/>
            <w:vAlign w:val="center"/>
            <w:hideMark/>
          </w:tcPr>
          <w:p w:rsidR="00FF4848" w:rsidRPr="006C4192" w:rsidRDefault="00FF4848">
            <w:pPr>
              <w:jc w:val="center"/>
              <w:rPr>
                <w:sz w:val="22"/>
                <w:szCs w:val="22"/>
              </w:rPr>
            </w:pPr>
            <w:r w:rsidRPr="006C4192">
              <w:rPr>
                <w:sz w:val="22"/>
                <w:szCs w:val="22"/>
              </w:rPr>
              <w:t>18.8</w:t>
            </w:r>
          </w:p>
        </w:tc>
        <w:tc>
          <w:tcPr>
            <w:tcW w:w="1332" w:type="dxa"/>
            <w:vAlign w:val="center"/>
            <w:hideMark/>
          </w:tcPr>
          <w:p w:rsidR="00FF4848" w:rsidRPr="006C4192" w:rsidRDefault="00FF4848">
            <w:pPr>
              <w:jc w:val="center"/>
              <w:rPr>
                <w:sz w:val="22"/>
                <w:szCs w:val="22"/>
              </w:rPr>
            </w:pPr>
            <w:r w:rsidRPr="006C4192">
              <w:rPr>
                <w:sz w:val="22"/>
                <w:szCs w:val="22"/>
              </w:rPr>
              <w:t>13.0</w:t>
            </w:r>
          </w:p>
        </w:tc>
        <w:tc>
          <w:tcPr>
            <w:tcW w:w="1332" w:type="dxa"/>
            <w:vAlign w:val="center"/>
            <w:hideMark/>
          </w:tcPr>
          <w:p w:rsidR="00FF4848" w:rsidRPr="006C4192" w:rsidRDefault="00FF4848">
            <w:pPr>
              <w:jc w:val="center"/>
              <w:rPr>
                <w:sz w:val="22"/>
                <w:szCs w:val="22"/>
              </w:rPr>
            </w:pPr>
            <w:r w:rsidRPr="006C4192">
              <w:rPr>
                <w:sz w:val="22"/>
                <w:szCs w:val="22"/>
              </w:rPr>
              <w:t>0.5</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English as a first language (Yes = 1)</w:t>
            </w:r>
          </w:p>
        </w:tc>
        <w:tc>
          <w:tcPr>
            <w:tcW w:w="1331" w:type="dxa"/>
            <w:vAlign w:val="center"/>
            <w:hideMark/>
          </w:tcPr>
          <w:p w:rsidR="00FF4848" w:rsidRPr="006C4192" w:rsidRDefault="00FF4848">
            <w:pPr>
              <w:jc w:val="center"/>
              <w:rPr>
                <w:sz w:val="22"/>
                <w:szCs w:val="22"/>
              </w:rPr>
            </w:pPr>
            <w:r w:rsidRPr="006C4192">
              <w:rPr>
                <w:sz w:val="22"/>
                <w:szCs w:val="22"/>
              </w:rPr>
              <w:t>288</w:t>
            </w:r>
          </w:p>
        </w:tc>
        <w:tc>
          <w:tcPr>
            <w:tcW w:w="1332" w:type="dxa"/>
            <w:vAlign w:val="center"/>
            <w:hideMark/>
          </w:tcPr>
          <w:p w:rsidR="00FF4848" w:rsidRPr="006C4192" w:rsidRDefault="00FF4848">
            <w:pPr>
              <w:jc w:val="center"/>
              <w:rPr>
                <w:sz w:val="22"/>
                <w:szCs w:val="22"/>
              </w:rPr>
            </w:pPr>
            <w:r w:rsidRPr="006C4192">
              <w:rPr>
                <w:sz w:val="22"/>
                <w:szCs w:val="22"/>
              </w:rPr>
              <w:t>0.82</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Economics or business studies (Yes = 1)</w:t>
            </w:r>
          </w:p>
        </w:tc>
        <w:tc>
          <w:tcPr>
            <w:tcW w:w="1331" w:type="dxa"/>
            <w:vAlign w:val="center"/>
            <w:hideMark/>
          </w:tcPr>
          <w:p w:rsidR="00FF4848" w:rsidRPr="006C4192" w:rsidRDefault="00FF4848">
            <w:pPr>
              <w:jc w:val="center"/>
              <w:rPr>
                <w:sz w:val="22"/>
                <w:szCs w:val="22"/>
              </w:rPr>
            </w:pPr>
            <w:r w:rsidRPr="006C4192">
              <w:rPr>
                <w:sz w:val="22"/>
                <w:szCs w:val="22"/>
              </w:rPr>
              <w:t>290</w:t>
            </w:r>
          </w:p>
        </w:tc>
        <w:tc>
          <w:tcPr>
            <w:tcW w:w="1332" w:type="dxa"/>
            <w:vAlign w:val="center"/>
            <w:hideMark/>
          </w:tcPr>
          <w:p w:rsidR="00FF4848" w:rsidRPr="006C4192" w:rsidRDefault="00FF4848">
            <w:pPr>
              <w:jc w:val="center"/>
              <w:rPr>
                <w:sz w:val="22"/>
                <w:szCs w:val="22"/>
              </w:rPr>
            </w:pPr>
            <w:r w:rsidRPr="006C4192">
              <w:rPr>
                <w:sz w:val="22"/>
                <w:szCs w:val="22"/>
              </w:rPr>
              <w:t>0.43</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High mathematics ability</w:t>
            </w:r>
            <w:r w:rsidRPr="006C4192">
              <w:rPr>
                <w:sz w:val="22"/>
                <w:szCs w:val="22"/>
              </w:rPr>
              <w:br/>
              <w:t>(Yes = 1)</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0.34</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Low mathematics ability</w:t>
            </w:r>
            <w:r w:rsidRPr="006C4192">
              <w:rPr>
                <w:sz w:val="22"/>
                <w:szCs w:val="22"/>
              </w:rPr>
              <w:br/>
              <w:t>(Yes = 1)</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0.13</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Bank account (years)</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5.1</w:t>
            </w:r>
          </w:p>
        </w:tc>
        <w:tc>
          <w:tcPr>
            <w:tcW w:w="1332" w:type="dxa"/>
            <w:vAlign w:val="center"/>
            <w:hideMark/>
          </w:tcPr>
          <w:p w:rsidR="00FF4848" w:rsidRPr="006C4192" w:rsidRDefault="00FF4848">
            <w:pPr>
              <w:jc w:val="center"/>
              <w:rPr>
                <w:sz w:val="22"/>
                <w:szCs w:val="22"/>
              </w:rPr>
            </w:pPr>
            <w:r w:rsidRPr="006C4192">
              <w:rPr>
                <w:sz w:val="22"/>
                <w:szCs w:val="22"/>
              </w:rPr>
              <w:t>16.0</w:t>
            </w:r>
          </w:p>
        </w:tc>
        <w:tc>
          <w:tcPr>
            <w:tcW w:w="1332" w:type="dxa"/>
            <w:vAlign w:val="center"/>
            <w:hideMark/>
          </w:tcPr>
          <w:p w:rsidR="00FF4848" w:rsidRPr="006C4192" w:rsidRDefault="00FF4848">
            <w:pPr>
              <w:jc w:val="center"/>
              <w:rPr>
                <w:sz w:val="22"/>
                <w:szCs w:val="22"/>
              </w:rPr>
            </w:pPr>
            <w:r w:rsidRPr="006C4192">
              <w:rPr>
                <w:sz w:val="22"/>
                <w:szCs w:val="22"/>
              </w:rPr>
              <w:t>0.0</w:t>
            </w:r>
          </w:p>
        </w:tc>
        <w:tc>
          <w:tcPr>
            <w:tcW w:w="1332" w:type="dxa"/>
            <w:vAlign w:val="center"/>
            <w:hideMark/>
          </w:tcPr>
          <w:p w:rsidR="00FF4848" w:rsidRPr="006C4192" w:rsidRDefault="00FF4848">
            <w:pPr>
              <w:jc w:val="center"/>
              <w:rPr>
                <w:sz w:val="22"/>
                <w:szCs w:val="22"/>
              </w:rPr>
            </w:pPr>
            <w:r w:rsidRPr="006C4192">
              <w:rPr>
                <w:sz w:val="22"/>
                <w:szCs w:val="22"/>
              </w:rPr>
              <w:t>4.7</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Employment (years)</w:t>
            </w:r>
          </w:p>
        </w:tc>
        <w:tc>
          <w:tcPr>
            <w:tcW w:w="1331" w:type="dxa"/>
            <w:vAlign w:val="center"/>
            <w:hideMark/>
          </w:tcPr>
          <w:p w:rsidR="00FF4848" w:rsidRPr="006C4192" w:rsidRDefault="00FF4848">
            <w:pPr>
              <w:jc w:val="center"/>
              <w:rPr>
                <w:sz w:val="22"/>
                <w:szCs w:val="22"/>
              </w:rPr>
            </w:pPr>
            <w:r w:rsidRPr="006C4192">
              <w:rPr>
                <w:sz w:val="22"/>
                <w:szCs w:val="22"/>
              </w:rPr>
              <w:t>292</w:t>
            </w:r>
          </w:p>
        </w:tc>
        <w:tc>
          <w:tcPr>
            <w:tcW w:w="1332" w:type="dxa"/>
            <w:vAlign w:val="center"/>
            <w:hideMark/>
          </w:tcPr>
          <w:p w:rsidR="00FF4848" w:rsidRPr="006C4192" w:rsidRDefault="00FF4848">
            <w:pPr>
              <w:jc w:val="center"/>
              <w:rPr>
                <w:sz w:val="22"/>
                <w:szCs w:val="22"/>
              </w:rPr>
            </w:pPr>
            <w:r w:rsidRPr="006C4192">
              <w:rPr>
                <w:sz w:val="22"/>
                <w:szCs w:val="22"/>
              </w:rPr>
              <w:t>0.5</w:t>
            </w:r>
          </w:p>
        </w:tc>
        <w:tc>
          <w:tcPr>
            <w:tcW w:w="1332" w:type="dxa"/>
            <w:vAlign w:val="center"/>
            <w:hideMark/>
          </w:tcPr>
          <w:p w:rsidR="00FF4848" w:rsidRPr="006C4192" w:rsidRDefault="00FF4848">
            <w:pPr>
              <w:jc w:val="center"/>
              <w:rPr>
                <w:sz w:val="22"/>
                <w:szCs w:val="22"/>
              </w:rPr>
            </w:pPr>
            <w:r w:rsidRPr="006C4192">
              <w:rPr>
                <w:sz w:val="22"/>
                <w:szCs w:val="22"/>
              </w:rPr>
              <w:t>8.0</w:t>
            </w:r>
          </w:p>
        </w:tc>
        <w:tc>
          <w:tcPr>
            <w:tcW w:w="1332" w:type="dxa"/>
            <w:vAlign w:val="center"/>
            <w:hideMark/>
          </w:tcPr>
          <w:p w:rsidR="00FF4848" w:rsidRPr="006C4192" w:rsidRDefault="00FF4848">
            <w:pPr>
              <w:jc w:val="center"/>
              <w:rPr>
                <w:sz w:val="22"/>
                <w:szCs w:val="22"/>
              </w:rPr>
            </w:pPr>
            <w:r w:rsidRPr="006C4192">
              <w:rPr>
                <w:sz w:val="22"/>
                <w:szCs w:val="22"/>
              </w:rPr>
              <w:t>0.0</w:t>
            </w:r>
          </w:p>
        </w:tc>
        <w:tc>
          <w:tcPr>
            <w:tcW w:w="1332" w:type="dxa"/>
            <w:vAlign w:val="center"/>
            <w:hideMark/>
          </w:tcPr>
          <w:p w:rsidR="00FF4848" w:rsidRPr="006C4192" w:rsidRDefault="00FF4848">
            <w:pPr>
              <w:jc w:val="center"/>
              <w:rPr>
                <w:sz w:val="22"/>
                <w:szCs w:val="22"/>
              </w:rPr>
            </w:pPr>
            <w:r w:rsidRPr="006C4192">
              <w:rPr>
                <w:sz w:val="22"/>
                <w:szCs w:val="22"/>
              </w:rPr>
              <w:t>1.2</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Pays mobile phone</w:t>
            </w:r>
            <w:r w:rsidRPr="006C4192">
              <w:rPr>
                <w:sz w:val="22"/>
                <w:szCs w:val="22"/>
              </w:rPr>
              <w:br/>
              <w:t>(Yes = 1)</w:t>
            </w:r>
          </w:p>
        </w:tc>
        <w:tc>
          <w:tcPr>
            <w:tcW w:w="1331" w:type="dxa"/>
            <w:vAlign w:val="center"/>
            <w:hideMark/>
          </w:tcPr>
          <w:p w:rsidR="00FF4848" w:rsidRPr="006C4192" w:rsidRDefault="00FF4848">
            <w:pPr>
              <w:jc w:val="center"/>
              <w:rPr>
                <w:sz w:val="22"/>
                <w:szCs w:val="22"/>
              </w:rPr>
            </w:pPr>
            <w:r w:rsidRPr="006C4192">
              <w:rPr>
                <w:sz w:val="22"/>
                <w:szCs w:val="22"/>
              </w:rPr>
              <w:t>291</w:t>
            </w:r>
          </w:p>
        </w:tc>
        <w:tc>
          <w:tcPr>
            <w:tcW w:w="1332" w:type="dxa"/>
            <w:vAlign w:val="center"/>
            <w:hideMark/>
          </w:tcPr>
          <w:p w:rsidR="00FF4848" w:rsidRPr="006C4192" w:rsidRDefault="00FF4848">
            <w:pPr>
              <w:jc w:val="center"/>
              <w:rPr>
                <w:sz w:val="22"/>
                <w:szCs w:val="22"/>
              </w:rPr>
            </w:pPr>
            <w:r w:rsidRPr="006C4192">
              <w:rPr>
                <w:sz w:val="22"/>
                <w:szCs w:val="22"/>
              </w:rPr>
              <w:t>0.45</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c>
          <w:tcPr>
            <w:tcW w:w="1332" w:type="dxa"/>
            <w:vAlign w:val="center"/>
            <w:hideMark/>
          </w:tcPr>
          <w:p w:rsidR="00FF4848" w:rsidRPr="006C4192" w:rsidRDefault="00FF4848">
            <w:pPr>
              <w:jc w:val="center"/>
              <w:rPr>
                <w:sz w:val="22"/>
                <w:szCs w:val="22"/>
              </w:rPr>
            </w:pPr>
            <w:r w:rsidRPr="006C4192">
              <w:rPr>
                <w:sz w:val="22"/>
                <w:szCs w:val="22"/>
              </w:rPr>
              <w:t>NA</w:t>
            </w:r>
          </w:p>
        </w:tc>
      </w:tr>
      <w:tr w:rsidR="00FF4848" w:rsidTr="006C4192">
        <w:tc>
          <w:tcPr>
            <w:tcW w:w="2917" w:type="dxa"/>
            <w:vAlign w:val="center"/>
            <w:hideMark/>
          </w:tcPr>
          <w:p w:rsidR="00FF4848" w:rsidRPr="006C4192" w:rsidRDefault="00FF4848">
            <w:pPr>
              <w:ind w:left="426" w:hanging="426"/>
              <w:rPr>
                <w:sz w:val="22"/>
                <w:szCs w:val="22"/>
              </w:rPr>
            </w:pPr>
            <w:r w:rsidRPr="006C4192">
              <w:rPr>
                <w:sz w:val="22"/>
                <w:szCs w:val="22"/>
              </w:rPr>
              <w:t>Social deprivation score</w:t>
            </w:r>
          </w:p>
        </w:tc>
        <w:tc>
          <w:tcPr>
            <w:tcW w:w="1331" w:type="dxa"/>
            <w:vAlign w:val="center"/>
            <w:hideMark/>
          </w:tcPr>
          <w:p w:rsidR="00FF4848" w:rsidRPr="006C4192" w:rsidRDefault="00FF4848">
            <w:pPr>
              <w:jc w:val="center"/>
              <w:rPr>
                <w:sz w:val="22"/>
                <w:szCs w:val="22"/>
              </w:rPr>
            </w:pPr>
            <w:r w:rsidRPr="006C4192">
              <w:rPr>
                <w:sz w:val="22"/>
                <w:szCs w:val="22"/>
              </w:rPr>
              <w:t>213</w:t>
            </w:r>
          </w:p>
        </w:tc>
        <w:tc>
          <w:tcPr>
            <w:tcW w:w="1332" w:type="dxa"/>
            <w:vAlign w:val="center"/>
            <w:hideMark/>
          </w:tcPr>
          <w:p w:rsidR="00FF4848" w:rsidRPr="006C4192" w:rsidRDefault="00FF4848">
            <w:pPr>
              <w:jc w:val="center"/>
              <w:rPr>
                <w:sz w:val="22"/>
                <w:szCs w:val="22"/>
              </w:rPr>
            </w:pPr>
            <w:r w:rsidRPr="006C4192">
              <w:rPr>
                <w:sz w:val="22"/>
                <w:szCs w:val="22"/>
              </w:rPr>
              <w:t>973.0</w:t>
            </w:r>
          </w:p>
        </w:tc>
        <w:tc>
          <w:tcPr>
            <w:tcW w:w="1332" w:type="dxa"/>
            <w:vAlign w:val="center"/>
            <w:hideMark/>
          </w:tcPr>
          <w:p w:rsidR="00FF4848" w:rsidRPr="006C4192" w:rsidRDefault="00FF4848">
            <w:pPr>
              <w:jc w:val="center"/>
              <w:rPr>
                <w:sz w:val="22"/>
                <w:szCs w:val="22"/>
              </w:rPr>
            </w:pPr>
            <w:r w:rsidRPr="006C4192">
              <w:rPr>
                <w:sz w:val="22"/>
                <w:szCs w:val="22"/>
              </w:rPr>
              <w:t>1219.5</w:t>
            </w:r>
          </w:p>
        </w:tc>
        <w:tc>
          <w:tcPr>
            <w:tcW w:w="1332" w:type="dxa"/>
            <w:vAlign w:val="center"/>
            <w:hideMark/>
          </w:tcPr>
          <w:p w:rsidR="00FF4848" w:rsidRPr="006C4192" w:rsidRDefault="00FF4848">
            <w:pPr>
              <w:jc w:val="center"/>
              <w:rPr>
                <w:sz w:val="22"/>
                <w:szCs w:val="22"/>
              </w:rPr>
            </w:pPr>
            <w:r w:rsidRPr="006C4192">
              <w:rPr>
                <w:sz w:val="22"/>
                <w:szCs w:val="22"/>
              </w:rPr>
              <w:t>853.5</w:t>
            </w:r>
          </w:p>
        </w:tc>
        <w:tc>
          <w:tcPr>
            <w:tcW w:w="1332" w:type="dxa"/>
            <w:vAlign w:val="center"/>
            <w:hideMark/>
          </w:tcPr>
          <w:p w:rsidR="00FF4848" w:rsidRPr="006C4192" w:rsidRDefault="00FF4848">
            <w:pPr>
              <w:jc w:val="center"/>
              <w:rPr>
                <w:sz w:val="22"/>
                <w:szCs w:val="22"/>
              </w:rPr>
            </w:pPr>
            <w:r w:rsidRPr="006C4192">
              <w:rPr>
                <w:sz w:val="22"/>
                <w:szCs w:val="22"/>
              </w:rPr>
              <w:t>71.3</w:t>
            </w:r>
          </w:p>
        </w:tc>
      </w:tr>
      <w:tr w:rsidR="00FF4848" w:rsidTr="006C4192">
        <w:tc>
          <w:tcPr>
            <w:tcW w:w="2917" w:type="dxa"/>
            <w:vAlign w:val="center"/>
            <w:hideMark/>
          </w:tcPr>
          <w:p w:rsidR="00FF4848" w:rsidRPr="006C4192" w:rsidRDefault="00FF4848" w:rsidP="00B3432F">
            <w:pPr>
              <w:spacing w:after="60"/>
              <w:ind w:left="426" w:hanging="426"/>
              <w:rPr>
                <w:sz w:val="22"/>
                <w:szCs w:val="22"/>
              </w:rPr>
            </w:pPr>
            <w:r w:rsidRPr="006C4192">
              <w:rPr>
                <w:sz w:val="22"/>
                <w:szCs w:val="22"/>
              </w:rPr>
              <w:t>Financial risk tolerance score</w:t>
            </w:r>
          </w:p>
        </w:tc>
        <w:tc>
          <w:tcPr>
            <w:tcW w:w="1331" w:type="dxa"/>
            <w:vAlign w:val="center"/>
            <w:hideMark/>
          </w:tcPr>
          <w:p w:rsidR="00FF4848" w:rsidRPr="006C4192" w:rsidRDefault="00FF4848" w:rsidP="00B3432F">
            <w:pPr>
              <w:spacing w:after="60"/>
              <w:jc w:val="center"/>
              <w:rPr>
                <w:sz w:val="22"/>
                <w:szCs w:val="22"/>
              </w:rPr>
            </w:pPr>
            <w:r w:rsidRPr="006C4192">
              <w:rPr>
                <w:sz w:val="22"/>
                <w:szCs w:val="22"/>
              </w:rPr>
              <w:t>292</w:t>
            </w:r>
          </w:p>
        </w:tc>
        <w:tc>
          <w:tcPr>
            <w:tcW w:w="1332" w:type="dxa"/>
            <w:vAlign w:val="center"/>
            <w:hideMark/>
          </w:tcPr>
          <w:p w:rsidR="00FF4848" w:rsidRPr="006C4192" w:rsidRDefault="00FF4848" w:rsidP="00B3432F">
            <w:pPr>
              <w:spacing w:after="60"/>
              <w:jc w:val="center"/>
              <w:rPr>
                <w:sz w:val="22"/>
                <w:szCs w:val="22"/>
              </w:rPr>
            </w:pPr>
            <w:r w:rsidRPr="006C4192">
              <w:rPr>
                <w:sz w:val="22"/>
                <w:szCs w:val="22"/>
              </w:rPr>
              <w:t>39.1</w:t>
            </w:r>
          </w:p>
        </w:tc>
        <w:tc>
          <w:tcPr>
            <w:tcW w:w="1332" w:type="dxa"/>
            <w:vAlign w:val="center"/>
            <w:hideMark/>
          </w:tcPr>
          <w:p w:rsidR="00FF4848" w:rsidRPr="006C4192" w:rsidRDefault="00FF4848" w:rsidP="00B3432F">
            <w:pPr>
              <w:spacing w:after="60"/>
              <w:jc w:val="center"/>
              <w:rPr>
                <w:sz w:val="22"/>
                <w:szCs w:val="22"/>
              </w:rPr>
            </w:pPr>
            <w:r w:rsidRPr="006C4192">
              <w:rPr>
                <w:sz w:val="22"/>
                <w:szCs w:val="22"/>
              </w:rPr>
              <w:t>65.0</w:t>
            </w:r>
          </w:p>
        </w:tc>
        <w:tc>
          <w:tcPr>
            <w:tcW w:w="1332" w:type="dxa"/>
            <w:vAlign w:val="center"/>
            <w:hideMark/>
          </w:tcPr>
          <w:p w:rsidR="00FF4848" w:rsidRPr="006C4192" w:rsidRDefault="00FF4848" w:rsidP="00B3432F">
            <w:pPr>
              <w:spacing w:after="60"/>
              <w:jc w:val="center"/>
              <w:rPr>
                <w:sz w:val="22"/>
                <w:szCs w:val="22"/>
              </w:rPr>
            </w:pPr>
            <w:r w:rsidRPr="006C4192">
              <w:rPr>
                <w:sz w:val="22"/>
                <w:szCs w:val="22"/>
              </w:rPr>
              <w:t>25.0</w:t>
            </w:r>
          </w:p>
        </w:tc>
        <w:tc>
          <w:tcPr>
            <w:tcW w:w="1332" w:type="dxa"/>
            <w:vAlign w:val="center"/>
            <w:hideMark/>
          </w:tcPr>
          <w:p w:rsidR="00FF4848" w:rsidRPr="006C4192" w:rsidRDefault="00FF4848" w:rsidP="00B3432F">
            <w:pPr>
              <w:spacing w:after="60"/>
              <w:jc w:val="center"/>
              <w:rPr>
                <w:sz w:val="22"/>
                <w:szCs w:val="22"/>
              </w:rPr>
            </w:pPr>
            <w:r w:rsidRPr="006C4192">
              <w:rPr>
                <w:sz w:val="22"/>
                <w:szCs w:val="22"/>
              </w:rPr>
              <w:t>5.8</w:t>
            </w:r>
          </w:p>
        </w:tc>
      </w:tr>
    </w:tbl>
    <w:p w:rsidR="00A2798F" w:rsidRDefault="00A2798F" w:rsidP="00A2798F"/>
    <w:p w:rsidR="004E7D3D" w:rsidRDefault="004E7D3D" w:rsidP="00A2798F"/>
    <w:p w:rsidR="00FF4848" w:rsidRDefault="00AB69B2" w:rsidP="00AB69B2">
      <w:pPr>
        <w:tabs>
          <w:tab w:val="left" w:pos="284"/>
        </w:tabs>
        <w:spacing w:line="288" w:lineRule="auto"/>
        <w:jc w:val="both"/>
      </w:pPr>
      <w:r>
        <w:tab/>
      </w:r>
      <w:r w:rsidR="00FF4848">
        <w:t xml:space="preserve">Sixty percent of the sample was male, and the average age was 15.9 years. </w:t>
      </w:r>
      <w:r w:rsidR="00B75464">
        <w:t xml:space="preserve"> </w:t>
      </w:r>
      <w:r w:rsidR="00FF4848">
        <w:t xml:space="preserve">Most students (82 percent) spoke English as their first language and nearly half (43 percent) had previously taken a course in economics or business studies. </w:t>
      </w:r>
      <w:r w:rsidR="00B75464">
        <w:t xml:space="preserve"> </w:t>
      </w:r>
      <w:r w:rsidR="00FF4848">
        <w:t xml:space="preserve">This is surprisingly high, considering that economics and business studies are not compulsory school subjects, and students have many subject choices available. About one third of students rated themselves in the top one third in terms of mathematics ability, but only 13 percent rated themselves in the bottom one third. On average, students had held a bank account for 5.1 years, and been in paid employment for 0.5 years. </w:t>
      </w:r>
      <w:r w:rsidR="00B75464">
        <w:t xml:space="preserve"> </w:t>
      </w:r>
      <w:r w:rsidR="00FF4848">
        <w:t>Nearly half of students (45 percent) reported that they paid their own mobile phone expenses.</w:t>
      </w:r>
    </w:p>
    <w:p w:rsidR="00292791" w:rsidRDefault="00292791" w:rsidP="0063644B">
      <w:pPr>
        <w:spacing w:line="288" w:lineRule="auto"/>
        <w:jc w:val="both"/>
      </w:pPr>
    </w:p>
    <w:p w:rsidR="00FF4848" w:rsidRDefault="0035460F" w:rsidP="00AB69B2">
      <w:pPr>
        <w:tabs>
          <w:tab w:val="left" w:pos="284"/>
        </w:tabs>
        <w:spacing w:line="288" w:lineRule="auto"/>
        <w:jc w:val="both"/>
      </w:pPr>
      <w:r>
        <w:tab/>
      </w:r>
      <w:r w:rsidR="00FF4848">
        <w:t xml:space="preserve">Table 2 presents the regression results with overall financial literacy as the dependent variable, with robust standard errors in parentheses below the coefficients. </w:t>
      </w:r>
      <w:r w:rsidR="00B75464">
        <w:t xml:space="preserve"> </w:t>
      </w:r>
      <w:r w:rsidR="00FF4848">
        <w:t xml:space="preserve">Gender is initially significant (with boys having higher financial literacy than girls), but this effect disappears when student characteristics are included. Age and age-squared are both statistically significant in all models, which implies that financial literacy increases with age, but at a </w:t>
      </w:r>
      <w:r w:rsidR="00FF4848">
        <w:lastRenderedPageBreak/>
        <w:t xml:space="preserve">decreasing rate. </w:t>
      </w:r>
      <w:r w:rsidR="00B75464">
        <w:t xml:space="preserve"> </w:t>
      </w:r>
      <w:r w:rsidR="00FF4848">
        <w:t>The coefficients in Model (5) suggest that financial literacy peaks at an age of 16.4 years; thus financial literacy increases with age only through the early years of high school but that by senior high school this effect is limited. This is consistent with young teenagers developing their financial knowledge as they mature and become more acculturated into making their own financial decisions.</w:t>
      </w:r>
    </w:p>
    <w:p w:rsidR="00292791" w:rsidRDefault="00292791" w:rsidP="0063644B">
      <w:pPr>
        <w:spacing w:line="288" w:lineRule="auto"/>
        <w:jc w:val="both"/>
      </w:pPr>
    </w:p>
    <w:p w:rsidR="00B3432F" w:rsidRDefault="0035460F" w:rsidP="00AB69B2">
      <w:pPr>
        <w:tabs>
          <w:tab w:val="left" w:pos="284"/>
        </w:tabs>
        <w:spacing w:line="288" w:lineRule="auto"/>
        <w:jc w:val="both"/>
      </w:pPr>
      <w:r>
        <w:tab/>
      </w:r>
      <w:r w:rsidR="00FF4848">
        <w:t xml:space="preserve">Student ability and characteristics are generally significant in the models. English as a first language is highly significant and associated with more than two additional correct answers in the 50-question test. This is consistent with students who have English as a second language finding it more difficult to understand multiple choice questions in their second language. Students who have previously completed an economics or business studies course have significantly higher financial literacy. </w:t>
      </w:r>
      <w:r w:rsidR="00B75464">
        <w:t xml:space="preserve"> </w:t>
      </w:r>
      <w:r w:rsidR="00FF4848">
        <w:t>This contrasts wit</w:t>
      </w:r>
      <w:r w:rsidR="00D150C7">
        <w:t xml:space="preserve">h previous studies (see </w:t>
      </w:r>
      <w:proofErr w:type="spellStart"/>
      <w:r w:rsidR="00D150C7">
        <w:t>Mandell</w:t>
      </w:r>
      <w:proofErr w:type="spellEnd"/>
      <w:r w:rsidR="00FF4848">
        <w:t xml:space="preserve"> 2008b) where no significant relationship has been found. Economics and business studies courses typically introduce high school students to many personal finance terms. However, there may also be a selection effect, in that students who are more interested in economics or business studies are also students who take a keener interest in personal finance. </w:t>
      </w:r>
      <w:r w:rsidR="00B75464">
        <w:t xml:space="preserve"> </w:t>
      </w:r>
      <w:r w:rsidR="00FF4848">
        <w:t xml:space="preserve">So, we cannot use this result to conclude that high school economics or business studies courses themselves improve financial literacy. </w:t>
      </w:r>
    </w:p>
    <w:p w:rsidR="00B3432F" w:rsidRDefault="00B3432F" w:rsidP="00AB69B2">
      <w:pPr>
        <w:tabs>
          <w:tab w:val="left" w:pos="284"/>
        </w:tabs>
        <w:spacing w:line="288" w:lineRule="auto"/>
        <w:jc w:val="both"/>
      </w:pPr>
    </w:p>
    <w:p w:rsidR="00FF4848" w:rsidRDefault="00B3432F" w:rsidP="00AB69B2">
      <w:pPr>
        <w:tabs>
          <w:tab w:val="left" w:pos="284"/>
        </w:tabs>
        <w:spacing w:line="288" w:lineRule="auto"/>
        <w:jc w:val="both"/>
      </w:pPr>
      <w:r>
        <w:tab/>
      </w:r>
      <w:r w:rsidR="00FF4848">
        <w:t xml:space="preserve">Self-reported high mathematics ability is associated with an over 6.5 percentage point better performance in the financial literacy test. Self-reported low mathematics ability is related to lower financial literacy, but this result becomes statistically insignificant once we control for parental wealth. Clearly, more able students are </w:t>
      </w:r>
      <w:r w:rsidR="004609E5">
        <w:t>likely to be better at</w:t>
      </w:r>
      <w:r w:rsidR="00FF4848">
        <w:t xml:space="preserve"> understand</w:t>
      </w:r>
      <w:r w:rsidR="004609E5">
        <w:t>ing</w:t>
      </w:r>
      <w:r w:rsidR="00FF4848">
        <w:t xml:space="preserve"> and interpret</w:t>
      </w:r>
      <w:r w:rsidR="004609E5">
        <w:t>ing</w:t>
      </w:r>
      <w:r w:rsidR="00FF4848">
        <w:t xml:space="preserve"> multiple choice questions of any type, including financial literacy questions. We cannot conclude that mathematical ability is associated with financial literacy per se, because we cannot separate </w:t>
      </w:r>
      <w:r w:rsidR="004609E5">
        <w:t>the</w:t>
      </w:r>
      <w:r w:rsidR="00FF4848">
        <w:t xml:space="preserve"> effect</w:t>
      </w:r>
      <w:r w:rsidR="004609E5">
        <w:t xml:space="preserve"> of mathematical ability</w:t>
      </w:r>
      <w:r w:rsidR="00FF4848">
        <w:t xml:space="preserve"> from</w:t>
      </w:r>
      <w:r w:rsidR="004609E5">
        <w:t xml:space="preserve"> the overall effect of</w:t>
      </w:r>
      <w:r w:rsidR="00FF4848">
        <w:t xml:space="preserve"> </w:t>
      </w:r>
      <w:r w:rsidR="004609E5">
        <w:t>student aptitude</w:t>
      </w:r>
      <w:r w:rsidR="00FF4848">
        <w:t xml:space="preserve">. However, these results provide guidance </w:t>
      </w:r>
      <w:r w:rsidR="004609E5" w:rsidRPr="004609E5">
        <w:t xml:space="preserve">on the types of students to which </w:t>
      </w:r>
      <w:r w:rsidR="00FF4848">
        <w:t>financial literacy education might be targeted for greatest effect.</w:t>
      </w:r>
    </w:p>
    <w:p w:rsidR="00B3432F" w:rsidRDefault="00B3432F" w:rsidP="00AB69B2">
      <w:pPr>
        <w:tabs>
          <w:tab w:val="left" w:pos="284"/>
        </w:tabs>
        <w:spacing w:line="288" w:lineRule="auto"/>
        <w:jc w:val="both"/>
      </w:pPr>
    </w:p>
    <w:p w:rsidR="00B3432F" w:rsidRDefault="00B3432F" w:rsidP="00B3432F">
      <w:pPr>
        <w:tabs>
          <w:tab w:val="left" w:pos="284"/>
        </w:tabs>
        <w:spacing w:line="288" w:lineRule="auto"/>
        <w:jc w:val="both"/>
      </w:pPr>
      <w:r>
        <w:tab/>
        <w:t xml:space="preserve">Of the variables that indicate consumer </w:t>
      </w:r>
      <w:proofErr w:type="spellStart"/>
      <w:r>
        <w:t>socialisation</w:t>
      </w:r>
      <w:proofErr w:type="spellEnd"/>
      <w:r>
        <w:t xml:space="preserve"> or financial experience, only the length of time students have held a bank account was statistically significant. </w:t>
      </w:r>
      <w:r w:rsidR="00B75464">
        <w:t xml:space="preserve"> </w:t>
      </w:r>
      <w:r>
        <w:t xml:space="preserve">Length of paid employment, and paying some or all of their mobile phone expenses were not significant. The size of the effect of bank accounts is relatively small. </w:t>
      </w:r>
      <w:r w:rsidR="00B75464">
        <w:t xml:space="preserve"> </w:t>
      </w:r>
      <w:r>
        <w:t>Given that on average these students had held a bank account for five years, the mean effect of bank accounts is an additional one correct question (out of 50).</w:t>
      </w:r>
    </w:p>
    <w:p w:rsidR="00B3432F" w:rsidRDefault="00B3432F" w:rsidP="00B3432F">
      <w:pPr>
        <w:tabs>
          <w:tab w:val="left" w:pos="284"/>
        </w:tabs>
        <w:spacing w:line="288" w:lineRule="auto"/>
        <w:jc w:val="both"/>
      </w:pPr>
    </w:p>
    <w:p w:rsidR="00B3432F" w:rsidRDefault="00B3432F" w:rsidP="00B3432F">
      <w:pPr>
        <w:tabs>
          <w:tab w:val="left" w:pos="284"/>
        </w:tabs>
        <w:spacing w:line="288" w:lineRule="auto"/>
        <w:jc w:val="both"/>
      </w:pPr>
      <w:r>
        <w:tab/>
        <w:t xml:space="preserve">Parental wealth (proxied by social deprivation) is highly statistically significant, and has a negative coefficient. This suggests that students who live in an area that has higher social deprivation have significantly lower financial literacy. The size of this effect is substantial, despite the small coefficient and having controlled for student background and ability. The highest deprivation score in our sample is 1220, and the lowest is 854. </w:t>
      </w:r>
      <w:r w:rsidR="00B75464">
        <w:t xml:space="preserve"> </w:t>
      </w:r>
      <w:r w:rsidRPr="00B75464">
        <w:rPr>
          <w:i/>
        </w:rPr>
        <w:t>Ceteris paribus</w:t>
      </w:r>
      <w:r>
        <w:t xml:space="preserve">, the difference between a student with a deprivation score of 1220 and one of </w:t>
      </w:r>
      <w:proofErr w:type="gramStart"/>
      <w:r>
        <w:t>854,</w:t>
      </w:r>
      <w:proofErr w:type="gramEnd"/>
      <w:r>
        <w:t xml:space="preserve"> is nearly 10 </w:t>
      </w:r>
      <w:r>
        <w:lastRenderedPageBreak/>
        <w:t xml:space="preserve">percentage points in financial literacy. </w:t>
      </w:r>
      <w:r w:rsidR="00B75464">
        <w:t xml:space="preserve"> </w:t>
      </w:r>
      <w:r>
        <w:t xml:space="preserve">Finally, financial risk tolerance is not associated with financial literacy. </w:t>
      </w:r>
      <w:r w:rsidR="00B75464">
        <w:t xml:space="preserve"> </w:t>
      </w:r>
      <w:r>
        <w:t>Students with higher financial literacy are no more or less likely to prefer risky investment than students with lower financial literacy.</w:t>
      </w:r>
    </w:p>
    <w:p w:rsidR="00B3432F" w:rsidRDefault="00B3432F" w:rsidP="00B3432F">
      <w:pPr>
        <w:tabs>
          <w:tab w:val="left" w:pos="284"/>
        </w:tabs>
        <w:spacing w:line="288" w:lineRule="auto"/>
        <w:jc w:val="both"/>
      </w:pPr>
    </w:p>
    <w:p w:rsidR="00B3432F" w:rsidRDefault="00B3432F" w:rsidP="00B3432F">
      <w:pPr>
        <w:tabs>
          <w:tab w:val="left" w:pos="284"/>
        </w:tabs>
        <w:spacing w:line="288" w:lineRule="auto"/>
        <w:jc w:val="both"/>
      </w:pPr>
    </w:p>
    <w:p w:rsidR="00EC446D" w:rsidRPr="006C4192" w:rsidRDefault="00EC446D" w:rsidP="009B3657">
      <w:pPr>
        <w:spacing w:after="60"/>
        <w:jc w:val="center"/>
        <w:rPr>
          <w:sz w:val="22"/>
          <w:szCs w:val="22"/>
        </w:rPr>
      </w:pPr>
      <w:r w:rsidRPr="006C4192">
        <w:rPr>
          <w:b/>
          <w:bCs/>
          <w:color w:val="000000"/>
          <w:sz w:val="22"/>
          <w:szCs w:val="22"/>
        </w:rPr>
        <w:t xml:space="preserve">Table 2: </w:t>
      </w:r>
      <w:r w:rsidR="009B3657">
        <w:rPr>
          <w:b/>
          <w:bCs/>
          <w:color w:val="000000"/>
          <w:sz w:val="22"/>
          <w:szCs w:val="22"/>
        </w:rPr>
        <w:t xml:space="preserve"> </w:t>
      </w:r>
      <w:r w:rsidRPr="006C4192">
        <w:rPr>
          <w:b/>
          <w:bCs/>
          <w:color w:val="000000"/>
          <w:sz w:val="22"/>
          <w:szCs w:val="22"/>
        </w:rPr>
        <w:t xml:space="preserve">Regression </w:t>
      </w:r>
      <w:r w:rsidR="006C4192">
        <w:rPr>
          <w:b/>
          <w:bCs/>
          <w:color w:val="000000"/>
          <w:sz w:val="22"/>
          <w:szCs w:val="22"/>
        </w:rPr>
        <w:t>R</w:t>
      </w:r>
      <w:r w:rsidRPr="006C4192">
        <w:rPr>
          <w:b/>
          <w:bCs/>
          <w:color w:val="000000"/>
          <w:sz w:val="22"/>
          <w:szCs w:val="22"/>
        </w:rPr>
        <w:t xml:space="preserve">esults for </w:t>
      </w:r>
      <w:r w:rsidR="006C4192">
        <w:rPr>
          <w:b/>
          <w:bCs/>
          <w:color w:val="000000"/>
          <w:sz w:val="22"/>
          <w:szCs w:val="22"/>
        </w:rPr>
        <w:t>F</w:t>
      </w:r>
      <w:r w:rsidRPr="006C4192">
        <w:rPr>
          <w:b/>
          <w:bCs/>
          <w:color w:val="000000"/>
          <w:sz w:val="22"/>
          <w:szCs w:val="22"/>
        </w:rPr>
        <w:t xml:space="preserve">inancial </w:t>
      </w:r>
      <w:r w:rsidR="006C4192">
        <w:rPr>
          <w:b/>
          <w:bCs/>
          <w:color w:val="000000"/>
          <w:sz w:val="22"/>
          <w:szCs w:val="22"/>
        </w:rPr>
        <w:t>L</w:t>
      </w:r>
      <w:r w:rsidRPr="006C4192">
        <w:rPr>
          <w:b/>
          <w:bCs/>
          <w:color w:val="000000"/>
          <w:sz w:val="22"/>
          <w:szCs w:val="22"/>
        </w:rPr>
        <w:t xml:space="preserve">iteracy </w:t>
      </w:r>
      <w:r w:rsidR="006C4192">
        <w:rPr>
          <w:b/>
          <w:bCs/>
          <w:color w:val="000000"/>
          <w:sz w:val="22"/>
          <w:szCs w:val="22"/>
        </w:rPr>
        <w:t>S</w:t>
      </w:r>
      <w:r w:rsidRPr="006C4192">
        <w:rPr>
          <w:b/>
          <w:bCs/>
          <w:color w:val="000000"/>
          <w:sz w:val="22"/>
          <w:szCs w:val="22"/>
        </w:rPr>
        <w:t>core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703"/>
        <w:gridCol w:w="1291"/>
        <w:gridCol w:w="1311"/>
        <w:gridCol w:w="1315"/>
        <w:gridCol w:w="1313"/>
        <w:gridCol w:w="1310"/>
      </w:tblGrid>
      <w:tr w:rsidR="00EC446D" w:rsidRPr="006C4192" w:rsidTr="006C4192">
        <w:tc>
          <w:tcPr>
            <w:tcW w:w="2917" w:type="dxa"/>
            <w:tcBorders>
              <w:top w:val="single" w:sz="4" w:space="0" w:color="auto"/>
              <w:bottom w:val="single" w:sz="4" w:space="0" w:color="auto"/>
            </w:tcBorders>
            <w:vAlign w:val="center"/>
            <w:hideMark/>
          </w:tcPr>
          <w:p w:rsidR="00EC446D" w:rsidRPr="006C4192" w:rsidRDefault="00EC446D" w:rsidP="006C4192">
            <w:pPr>
              <w:spacing w:before="100" w:after="100"/>
              <w:rPr>
                <w:b/>
                <w:sz w:val="22"/>
                <w:szCs w:val="22"/>
              </w:rPr>
            </w:pPr>
            <w:r w:rsidRPr="006C4192">
              <w:rPr>
                <w:b/>
                <w:sz w:val="22"/>
                <w:szCs w:val="22"/>
              </w:rPr>
              <w:t>Variable</w:t>
            </w:r>
          </w:p>
        </w:tc>
        <w:tc>
          <w:tcPr>
            <w:tcW w:w="1331" w:type="dxa"/>
            <w:tcBorders>
              <w:top w:val="single" w:sz="4" w:space="0" w:color="auto"/>
              <w:bottom w:val="single" w:sz="4" w:space="0" w:color="auto"/>
            </w:tcBorders>
            <w:vAlign w:val="center"/>
            <w:hideMark/>
          </w:tcPr>
          <w:p w:rsidR="00EC446D" w:rsidRPr="006C4192" w:rsidRDefault="00EC446D" w:rsidP="006C4192">
            <w:pPr>
              <w:spacing w:before="100" w:after="100"/>
              <w:jc w:val="center"/>
              <w:rPr>
                <w:b/>
                <w:sz w:val="22"/>
                <w:szCs w:val="22"/>
              </w:rPr>
            </w:pPr>
            <w:r w:rsidRPr="006C4192">
              <w:rPr>
                <w:b/>
                <w:sz w:val="22"/>
                <w:szCs w:val="22"/>
              </w:rPr>
              <w:t>Model (1)</w:t>
            </w:r>
          </w:p>
        </w:tc>
        <w:tc>
          <w:tcPr>
            <w:tcW w:w="1332" w:type="dxa"/>
            <w:tcBorders>
              <w:top w:val="single" w:sz="4" w:space="0" w:color="auto"/>
              <w:bottom w:val="single" w:sz="4" w:space="0" w:color="auto"/>
            </w:tcBorders>
            <w:vAlign w:val="center"/>
            <w:hideMark/>
          </w:tcPr>
          <w:p w:rsidR="00EC446D" w:rsidRPr="006C4192" w:rsidRDefault="00EC446D" w:rsidP="006C4192">
            <w:pPr>
              <w:spacing w:before="100" w:after="100"/>
              <w:jc w:val="center"/>
              <w:rPr>
                <w:b/>
                <w:sz w:val="22"/>
                <w:szCs w:val="22"/>
              </w:rPr>
            </w:pPr>
            <w:r w:rsidRPr="006C4192">
              <w:rPr>
                <w:b/>
                <w:sz w:val="22"/>
                <w:szCs w:val="22"/>
              </w:rPr>
              <w:t>Model (2)</w:t>
            </w:r>
          </w:p>
        </w:tc>
        <w:tc>
          <w:tcPr>
            <w:tcW w:w="1332" w:type="dxa"/>
            <w:tcBorders>
              <w:top w:val="single" w:sz="4" w:space="0" w:color="auto"/>
              <w:bottom w:val="single" w:sz="4" w:space="0" w:color="auto"/>
            </w:tcBorders>
            <w:vAlign w:val="center"/>
            <w:hideMark/>
          </w:tcPr>
          <w:p w:rsidR="00EC446D" w:rsidRPr="006C4192" w:rsidRDefault="00EC446D" w:rsidP="006C4192">
            <w:pPr>
              <w:spacing w:before="100" w:after="100"/>
              <w:jc w:val="center"/>
              <w:rPr>
                <w:b/>
                <w:sz w:val="22"/>
                <w:szCs w:val="22"/>
              </w:rPr>
            </w:pPr>
            <w:r w:rsidRPr="006C4192">
              <w:rPr>
                <w:b/>
                <w:sz w:val="22"/>
                <w:szCs w:val="22"/>
              </w:rPr>
              <w:t>Model (3)</w:t>
            </w:r>
          </w:p>
        </w:tc>
        <w:tc>
          <w:tcPr>
            <w:tcW w:w="1332" w:type="dxa"/>
            <w:tcBorders>
              <w:top w:val="single" w:sz="4" w:space="0" w:color="auto"/>
              <w:bottom w:val="single" w:sz="4" w:space="0" w:color="auto"/>
            </w:tcBorders>
            <w:vAlign w:val="center"/>
            <w:hideMark/>
          </w:tcPr>
          <w:p w:rsidR="00EC446D" w:rsidRPr="006C4192" w:rsidRDefault="00EC446D" w:rsidP="006C4192">
            <w:pPr>
              <w:spacing w:before="100" w:after="100"/>
              <w:jc w:val="center"/>
              <w:rPr>
                <w:b/>
                <w:sz w:val="22"/>
                <w:szCs w:val="22"/>
              </w:rPr>
            </w:pPr>
            <w:r w:rsidRPr="006C4192">
              <w:rPr>
                <w:b/>
                <w:sz w:val="22"/>
                <w:szCs w:val="22"/>
              </w:rPr>
              <w:t>Model (4)</w:t>
            </w:r>
          </w:p>
        </w:tc>
        <w:tc>
          <w:tcPr>
            <w:tcW w:w="1332" w:type="dxa"/>
            <w:tcBorders>
              <w:top w:val="single" w:sz="4" w:space="0" w:color="auto"/>
              <w:bottom w:val="single" w:sz="4" w:space="0" w:color="auto"/>
            </w:tcBorders>
            <w:vAlign w:val="center"/>
            <w:hideMark/>
          </w:tcPr>
          <w:p w:rsidR="00EC446D" w:rsidRPr="006C4192" w:rsidRDefault="00EC446D" w:rsidP="006C4192">
            <w:pPr>
              <w:spacing w:before="100" w:after="100"/>
              <w:jc w:val="center"/>
              <w:rPr>
                <w:b/>
                <w:sz w:val="22"/>
                <w:szCs w:val="22"/>
              </w:rPr>
            </w:pPr>
            <w:r w:rsidRPr="006C4192">
              <w:rPr>
                <w:b/>
                <w:sz w:val="22"/>
                <w:szCs w:val="22"/>
              </w:rPr>
              <w:t>Model (5)</w:t>
            </w:r>
          </w:p>
        </w:tc>
      </w:tr>
      <w:tr w:rsidR="00EC446D" w:rsidRPr="006C4192" w:rsidTr="006C4192">
        <w:tc>
          <w:tcPr>
            <w:tcW w:w="2917" w:type="dxa"/>
            <w:tcBorders>
              <w:top w:val="single" w:sz="4" w:space="0" w:color="auto"/>
            </w:tcBorders>
            <w:vAlign w:val="center"/>
            <w:hideMark/>
          </w:tcPr>
          <w:p w:rsidR="00EC446D" w:rsidRPr="006C4192" w:rsidRDefault="00EC446D">
            <w:pPr>
              <w:ind w:left="426" w:hanging="426"/>
              <w:rPr>
                <w:sz w:val="22"/>
                <w:szCs w:val="22"/>
              </w:rPr>
            </w:pPr>
            <w:r w:rsidRPr="006C4192">
              <w:rPr>
                <w:sz w:val="22"/>
                <w:szCs w:val="22"/>
              </w:rPr>
              <w:t>Gender (Male = 1)</w:t>
            </w:r>
          </w:p>
        </w:tc>
        <w:tc>
          <w:tcPr>
            <w:tcW w:w="1331" w:type="dxa"/>
            <w:tcBorders>
              <w:top w:val="single" w:sz="4" w:space="0" w:color="auto"/>
            </w:tcBorders>
            <w:vAlign w:val="center"/>
            <w:hideMark/>
          </w:tcPr>
          <w:p w:rsidR="00EC446D" w:rsidRPr="006C4192" w:rsidRDefault="00EC446D" w:rsidP="009B3657">
            <w:pPr>
              <w:tabs>
                <w:tab w:val="decimal" w:pos="230"/>
              </w:tabs>
              <w:rPr>
                <w:sz w:val="22"/>
                <w:szCs w:val="22"/>
              </w:rPr>
            </w:pPr>
            <w:r w:rsidRPr="006C4192">
              <w:rPr>
                <w:sz w:val="22"/>
                <w:szCs w:val="22"/>
              </w:rPr>
              <w:t>1.855</w:t>
            </w:r>
            <w:r w:rsidRPr="006C4192">
              <w:rPr>
                <w:sz w:val="22"/>
                <w:szCs w:val="22"/>
                <w:vertAlign w:val="superscript"/>
              </w:rPr>
              <w:t>***</w:t>
            </w:r>
          </w:p>
          <w:p w:rsidR="00EC446D" w:rsidRPr="006C4192" w:rsidRDefault="00EC446D" w:rsidP="009B3657">
            <w:pPr>
              <w:tabs>
                <w:tab w:val="decimal" w:pos="230"/>
              </w:tabs>
              <w:rPr>
                <w:sz w:val="22"/>
                <w:szCs w:val="22"/>
              </w:rPr>
            </w:pPr>
            <w:r w:rsidRPr="006C4192">
              <w:rPr>
                <w:sz w:val="22"/>
                <w:szCs w:val="22"/>
              </w:rPr>
              <w:t>(0.898)</w:t>
            </w:r>
          </w:p>
        </w:tc>
        <w:tc>
          <w:tcPr>
            <w:tcW w:w="1332" w:type="dxa"/>
            <w:tcBorders>
              <w:top w:val="single" w:sz="4" w:space="0" w:color="auto"/>
            </w:tcBorders>
            <w:vAlign w:val="center"/>
            <w:hideMark/>
          </w:tcPr>
          <w:p w:rsidR="00EC446D" w:rsidRPr="006C4192" w:rsidRDefault="00EC446D" w:rsidP="009B3657">
            <w:pPr>
              <w:tabs>
                <w:tab w:val="decimal" w:pos="365"/>
              </w:tabs>
              <w:rPr>
                <w:sz w:val="22"/>
                <w:szCs w:val="22"/>
              </w:rPr>
            </w:pPr>
            <w:r w:rsidRPr="006C4192">
              <w:rPr>
                <w:sz w:val="22"/>
                <w:szCs w:val="22"/>
              </w:rPr>
              <w:t>1.016</w:t>
            </w:r>
          </w:p>
          <w:p w:rsidR="00EC446D" w:rsidRPr="006C4192" w:rsidRDefault="00EC446D" w:rsidP="009B3657">
            <w:pPr>
              <w:tabs>
                <w:tab w:val="decimal" w:pos="365"/>
              </w:tabs>
              <w:rPr>
                <w:sz w:val="22"/>
                <w:szCs w:val="22"/>
              </w:rPr>
            </w:pPr>
            <w:r w:rsidRPr="006C4192">
              <w:rPr>
                <w:sz w:val="22"/>
                <w:szCs w:val="22"/>
              </w:rPr>
              <w:t>(0.798)</w:t>
            </w:r>
          </w:p>
        </w:tc>
        <w:tc>
          <w:tcPr>
            <w:tcW w:w="1332" w:type="dxa"/>
            <w:tcBorders>
              <w:top w:val="single" w:sz="4" w:space="0" w:color="auto"/>
            </w:tcBorders>
            <w:vAlign w:val="center"/>
            <w:hideMark/>
          </w:tcPr>
          <w:p w:rsidR="00EC446D" w:rsidRPr="006C4192" w:rsidRDefault="00EC446D" w:rsidP="009B3657">
            <w:pPr>
              <w:tabs>
                <w:tab w:val="decimal" w:pos="400"/>
              </w:tabs>
              <w:rPr>
                <w:sz w:val="22"/>
                <w:szCs w:val="22"/>
              </w:rPr>
            </w:pPr>
            <w:r w:rsidRPr="006C4192">
              <w:rPr>
                <w:sz w:val="22"/>
                <w:szCs w:val="22"/>
              </w:rPr>
              <w:t>0.976</w:t>
            </w:r>
          </w:p>
          <w:p w:rsidR="00EC446D" w:rsidRPr="006C4192" w:rsidRDefault="00EC446D" w:rsidP="009B3657">
            <w:pPr>
              <w:tabs>
                <w:tab w:val="decimal" w:pos="400"/>
              </w:tabs>
              <w:rPr>
                <w:sz w:val="22"/>
                <w:szCs w:val="22"/>
              </w:rPr>
            </w:pPr>
            <w:r w:rsidRPr="006C4192">
              <w:rPr>
                <w:sz w:val="22"/>
                <w:szCs w:val="22"/>
              </w:rPr>
              <w:t>(0.797)</w:t>
            </w:r>
          </w:p>
        </w:tc>
        <w:tc>
          <w:tcPr>
            <w:tcW w:w="1332" w:type="dxa"/>
            <w:tcBorders>
              <w:top w:val="single" w:sz="4" w:space="0" w:color="auto"/>
            </w:tcBorders>
            <w:vAlign w:val="center"/>
            <w:hideMark/>
          </w:tcPr>
          <w:p w:rsidR="00EC446D" w:rsidRPr="006C4192" w:rsidRDefault="00EC446D" w:rsidP="009B3657">
            <w:pPr>
              <w:tabs>
                <w:tab w:val="decimal" w:pos="383"/>
              </w:tabs>
              <w:rPr>
                <w:sz w:val="22"/>
                <w:szCs w:val="22"/>
              </w:rPr>
            </w:pPr>
            <w:r w:rsidRPr="006C4192">
              <w:rPr>
                <w:sz w:val="22"/>
                <w:szCs w:val="22"/>
              </w:rPr>
              <w:t>1.175</w:t>
            </w:r>
          </w:p>
          <w:p w:rsidR="00EC446D" w:rsidRPr="006C4192" w:rsidRDefault="00EC446D" w:rsidP="009B3657">
            <w:pPr>
              <w:tabs>
                <w:tab w:val="decimal" w:pos="383"/>
              </w:tabs>
              <w:rPr>
                <w:sz w:val="22"/>
                <w:szCs w:val="22"/>
              </w:rPr>
            </w:pPr>
            <w:r w:rsidRPr="006C4192">
              <w:rPr>
                <w:sz w:val="22"/>
                <w:szCs w:val="22"/>
              </w:rPr>
              <w:t>(0.952)</w:t>
            </w:r>
          </w:p>
        </w:tc>
        <w:tc>
          <w:tcPr>
            <w:tcW w:w="1332" w:type="dxa"/>
            <w:tcBorders>
              <w:top w:val="single" w:sz="4" w:space="0" w:color="auto"/>
            </w:tcBorders>
            <w:vAlign w:val="center"/>
            <w:hideMark/>
          </w:tcPr>
          <w:p w:rsidR="00EC446D" w:rsidRPr="006C4192" w:rsidRDefault="00EC446D" w:rsidP="009B3657">
            <w:pPr>
              <w:tabs>
                <w:tab w:val="decimal" w:pos="357"/>
              </w:tabs>
              <w:rPr>
                <w:sz w:val="22"/>
                <w:szCs w:val="22"/>
              </w:rPr>
            </w:pPr>
            <w:r w:rsidRPr="006C4192">
              <w:rPr>
                <w:sz w:val="22"/>
                <w:szCs w:val="22"/>
              </w:rPr>
              <w:t>1.210</w:t>
            </w:r>
          </w:p>
          <w:p w:rsidR="00EC446D" w:rsidRPr="006C4192" w:rsidRDefault="00EC446D" w:rsidP="009B3657">
            <w:pPr>
              <w:tabs>
                <w:tab w:val="decimal" w:pos="357"/>
              </w:tabs>
              <w:rPr>
                <w:sz w:val="22"/>
                <w:szCs w:val="22"/>
              </w:rPr>
            </w:pPr>
            <w:r w:rsidRPr="006C4192">
              <w:rPr>
                <w:sz w:val="22"/>
                <w:szCs w:val="22"/>
              </w:rPr>
              <w:t>(0.948)</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Age</w:t>
            </w:r>
          </w:p>
        </w:tc>
        <w:tc>
          <w:tcPr>
            <w:tcW w:w="1331" w:type="dxa"/>
            <w:vAlign w:val="center"/>
            <w:hideMark/>
          </w:tcPr>
          <w:p w:rsidR="00EC446D" w:rsidRPr="006C4192" w:rsidRDefault="00EC446D" w:rsidP="009B3657">
            <w:pPr>
              <w:tabs>
                <w:tab w:val="decimal" w:pos="230"/>
              </w:tabs>
              <w:rPr>
                <w:sz w:val="22"/>
                <w:szCs w:val="22"/>
              </w:rPr>
            </w:pPr>
            <w:r w:rsidRPr="006C4192">
              <w:rPr>
                <w:sz w:val="22"/>
                <w:szCs w:val="22"/>
              </w:rPr>
              <w:t>19.140</w:t>
            </w:r>
            <w:r w:rsidRPr="006C4192">
              <w:rPr>
                <w:sz w:val="22"/>
                <w:szCs w:val="22"/>
                <w:vertAlign w:val="superscript"/>
              </w:rPr>
              <w:t>***</w:t>
            </w:r>
            <w:r w:rsidRPr="006C4192">
              <w:rPr>
                <w:sz w:val="22"/>
                <w:szCs w:val="22"/>
                <w:vertAlign w:val="superscript"/>
              </w:rPr>
              <w:br/>
            </w:r>
            <w:r w:rsidRPr="006C4192">
              <w:rPr>
                <w:sz w:val="22"/>
                <w:szCs w:val="22"/>
              </w:rPr>
              <w:t>(7.015)</w:t>
            </w: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17.375</w:t>
            </w:r>
            <w:r w:rsidRPr="006C4192">
              <w:rPr>
                <w:sz w:val="22"/>
                <w:szCs w:val="22"/>
                <w:vertAlign w:val="superscript"/>
              </w:rPr>
              <w:t>**</w:t>
            </w:r>
            <w:r w:rsidRPr="006C4192">
              <w:rPr>
                <w:sz w:val="22"/>
                <w:szCs w:val="22"/>
                <w:vertAlign w:val="superscript"/>
              </w:rPr>
              <w:br/>
            </w:r>
            <w:r w:rsidRPr="006C4192">
              <w:rPr>
                <w:sz w:val="22"/>
                <w:szCs w:val="22"/>
              </w:rPr>
              <w:t>(8.370)</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21.704</w:t>
            </w:r>
            <w:r w:rsidRPr="006C4192">
              <w:rPr>
                <w:sz w:val="22"/>
                <w:szCs w:val="22"/>
                <w:vertAlign w:val="superscript"/>
              </w:rPr>
              <w:t>***</w:t>
            </w:r>
            <w:r w:rsidRPr="006C4192">
              <w:rPr>
                <w:sz w:val="22"/>
                <w:szCs w:val="22"/>
                <w:vertAlign w:val="superscript"/>
              </w:rPr>
              <w:br/>
            </w:r>
            <w:r w:rsidRPr="006C4192">
              <w:rPr>
                <w:sz w:val="22"/>
                <w:szCs w:val="22"/>
              </w:rPr>
              <w:t>(6.915)</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25.527</w:t>
            </w:r>
            <w:r w:rsidRPr="006C4192">
              <w:rPr>
                <w:sz w:val="22"/>
                <w:szCs w:val="22"/>
                <w:vertAlign w:val="superscript"/>
              </w:rPr>
              <w:t>*</w:t>
            </w:r>
            <w:r w:rsidRPr="006C4192">
              <w:rPr>
                <w:sz w:val="22"/>
                <w:szCs w:val="22"/>
                <w:vertAlign w:val="superscript"/>
              </w:rPr>
              <w:br/>
            </w:r>
            <w:r w:rsidRPr="006C4192">
              <w:rPr>
                <w:sz w:val="22"/>
                <w:szCs w:val="22"/>
              </w:rPr>
              <w:t>(12.291)</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29.418</w:t>
            </w:r>
            <w:r w:rsidRPr="006C4192">
              <w:rPr>
                <w:sz w:val="22"/>
                <w:szCs w:val="22"/>
                <w:vertAlign w:val="superscript"/>
              </w:rPr>
              <w:t>**</w:t>
            </w:r>
            <w:r w:rsidRPr="006C4192">
              <w:rPr>
                <w:sz w:val="22"/>
                <w:szCs w:val="22"/>
                <w:vertAlign w:val="superscript"/>
              </w:rPr>
              <w:br/>
            </w:r>
            <w:r w:rsidRPr="006C4192">
              <w:rPr>
                <w:sz w:val="22"/>
                <w:szCs w:val="22"/>
              </w:rPr>
              <w:t>(13.582)</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Age</w:t>
            </w:r>
            <w:r w:rsidRPr="006C4192">
              <w:rPr>
                <w:sz w:val="22"/>
                <w:szCs w:val="22"/>
                <w:vertAlign w:val="superscript"/>
              </w:rPr>
              <w:t>2</w:t>
            </w:r>
          </w:p>
        </w:tc>
        <w:tc>
          <w:tcPr>
            <w:tcW w:w="1331" w:type="dxa"/>
            <w:vAlign w:val="center"/>
            <w:hideMark/>
          </w:tcPr>
          <w:p w:rsidR="00EC446D" w:rsidRPr="006C4192" w:rsidRDefault="00EC446D" w:rsidP="009B3657">
            <w:pPr>
              <w:tabs>
                <w:tab w:val="decimal" w:pos="230"/>
              </w:tabs>
              <w:rPr>
                <w:sz w:val="22"/>
                <w:szCs w:val="22"/>
              </w:rPr>
            </w:pPr>
            <w:r w:rsidRPr="006C4192">
              <w:rPr>
                <w:sz w:val="22"/>
                <w:szCs w:val="22"/>
              </w:rPr>
              <w:t>-0.627</w:t>
            </w:r>
            <w:r w:rsidRPr="006C4192">
              <w:rPr>
                <w:sz w:val="22"/>
                <w:szCs w:val="22"/>
                <w:vertAlign w:val="superscript"/>
              </w:rPr>
              <w:t>***</w:t>
            </w:r>
            <w:r w:rsidRPr="006C4192">
              <w:rPr>
                <w:sz w:val="22"/>
                <w:szCs w:val="22"/>
              </w:rPr>
              <w:br/>
              <w:t>(0.218)</w:t>
            </w: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-0.551</w:t>
            </w:r>
            <w:r w:rsidRPr="006C4192">
              <w:rPr>
                <w:sz w:val="22"/>
                <w:szCs w:val="22"/>
                <w:vertAlign w:val="superscript"/>
              </w:rPr>
              <w:t>**</w:t>
            </w:r>
            <w:r w:rsidRPr="006C4192">
              <w:rPr>
                <w:sz w:val="22"/>
                <w:szCs w:val="22"/>
              </w:rPr>
              <w:br/>
              <w:t>(0.262)</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-0.684</w:t>
            </w:r>
            <w:r w:rsidRPr="006C4192">
              <w:rPr>
                <w:sz w:val="22"/>
                <w:szCs w:val="22"/>
                <w:vertAlign w:val="superscript"/>
              </w:rPr>
              <w:t>***</w:t>
            </w:r>
            <w:r w:rsidRPr="006C4192">
              <w:rPr>
                <w:sz w:val="22"/>
                <w:szCs w:val="22"/>
              </w:rPr>
              <w:br/>
              <w:t>(0.216)</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-0.078</w:t>
            </w:r>
            <w:r w:rsidRPr="006C4192">
              <w:rPr>
                <w:sz w:val="22"/>
                <w:szCs w:val="22"/>
                <w:vertAlign w:val="superscript"/>
              </w:rPr>
              <w:t>*</w:t>
            </w:r>
            <w:r w:rsidRPr="006C4192">
              <w:rPr>
                <w:sz w:val="22"/>
                <w:szCs w:val="22"/>
              </w:rPr>
              <w:br/>
              <w:t>(0.403)</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-0.899</w:t>
            </w:r>
            <w:r w:rsidRPr="006C4192">
              <w:rPr>
                <w:sz w:val="22"/>
                <w:szCs w:val="22"/>
                <w:vertAlign w:val="superscript"/>
              </w:rPr>
              <w:t>**</w:t>
            </w:r>
            <w:r w:rsidRPr="006C4192">
              <w:rPr>
                <w:sz w:val="22"/>
                <w:szCs w:val="22"/>
              </w:rPr>
              <w:br/>
              <w:t>(0.441)</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English as a first language (Yes = 1)</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2.670</w:t>
            </w:r>
            <w:r w:rsidRPr="006C4192">
              <w:rPr>
                <w:sz w:val="22"/>
                <w:szCs w:val="22"/>
                <w:vertAlign w:val="superscript"/>
              </w:rPr>
              <w:t>***</w:t>
            </w:r>
            <w:r w:rsidRPr="006C4192">
              <w:rPr>
                <w:sz w:val="22"/>
                <w:szCs w:val="22"/>
                <w:vertAlign w:val="superscript"/>
              </w:rPr>
              <w:br/>
            </w:r>
            <w:r w:rsidRPr="006C4192">
              <w:rPr>
                <w:sz w:val="22"/>
                <w:szCs w:val="22"/>
              </w:rPr>
              <w:t>(0.866)</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2.288</w:t>
            </w:r>
            <w:r w:rsidRPr="006C4192">
              <w:rPr>
                <w:sz w:val="22"/>
                <w:szCs w:val="22"/>
                <w:vertAlign w:val="superscript"/>
              </w:rPr>
              <w:t>***</w:t>
            </w:r>
            <w:r w:rsidRPr="006C4192">
              <w:rPr>
                <w:sz w:val="22"/>
                <w:szCs w:val="22"/>
                <w:vertAlign w:val="superscript"/>
              </w:rPr>
              <w:br/>
            </w:r>
            <w:r w:rsidRPr="006C4192">
              <w:rPr>
                <w:sz w:val="22"/>
                <w:szCs w:val="22"/>
              </w:rPr>
              <w:t>(0.874)</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2.138</w:t>
            </w:r>
            <w:r w:rsidRPr="006C4192">
              <w:rPr>
                <w:sz w:val="22"/>
                <w:szCs w:val="22"/>
                <w:vertAlign w:val="superscript"/>
              </w:rPr>
              <w:t>*</w:t>
            </w:r>
            <w:r w:rsidRPr="006C4192">
              <w:rPr>
                <w:sz w:val="22"/>
                <w:szCs w:val="22"/>
                <w:vertAlign w:val="superscript"/>
              </w:rPr>
              <w:br/>
            </w:r>
            <w:r w:rsidRPr="006C4192">
              <w:rPr>
                <w:sz w:val="22"/>
                <w:szCs w:val="22"/>
              </w:rPr>
              <w:t>(1.153)</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2.191</w:t>
            </w:r>
            <w:r w:rsidRPr="006C4192">
              <w:rPr>
                <w:sz w:val="22"/>
                <w:szCs w:val="22"/>
                <w:vertAlign w:val="superscript"/>
              </w:rPr>
              <w:t>*</w:t>
            </w:r>
            <w:r w:rsidRPr="006C4192">
              <w:rPr>
                <w:sz w:val="22"/>
                <w:szCs w:val="22"/>
                <w:vertAlign w:val="superscript"/>
              </w:rPr>
              <w:br/>
            </w:r>
            <w:r w:rsidRPr="006C4192">
              <w:rPr>
                <w:sz w:val="22"/>
                <w:szCs w:val="22"/>
              </w:rPr>
              <w:t>(1.148)</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Economics or business studies (Yes = 1)</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3.232</w:t>
            </w:r>
            <w:r w:rsidRPr="006C4192">
              <w:rPr>
                <w:sz w:val="22"/>
                <w:szCs w:val="22"/>
                <w:vertAlign w:val="superscript"/>
              </w:rPr>
              <w:t>***</w:t>
            </w:r>
            <w:r w:rsidRPr="006C4192">
              <w:rPr>
                <w:sz w:val="22"/>
                <w:szCs w:val="22"/>
                <w:vertAlign w:val="superscript"/>
              </w:rPr>
              <w:br/>
            </w:r>
            <w:r w:rsidRPr="006C4192">
              <w:rPr>
                <w:sz w:val="22"/>
                <w:szCs w:val="22"/>
              </w:rPr>
              <w:t>(0.728)</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3.129</w:t>
            </w:r>
            <w:r w:rsidRPr="006C4192">
              <w:rPr>
                <w:sz w:val="22"/>
                <w:szCs w:val="22"/>
                <w:vertAlign w:val="superscript"/>
              </w:rPr>
              <w:t>***</w:t>
            </w:r>
            <w:r w:rsidRPr="006C4192">
              <w:rPr>
                <w:sz w:val="22"/>
                <w:szCs w:val="22"/>
                <w:vertAlign w:val="superscript"/>
              </w:rPr>
              <w:br/>
            </w:r>
            <w:r w:rsidRPr="006C4192">
              <w:rPr>
                <w:sz w:val="22"/>
                <w:szCs w:val="22"/>
              </w:rPr>
              <w:t>(0.727)</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3.013</w:t>
            </w:r>
            <w:r w:rsidRPr="006C4192">
              <w:rPr>
                <w:sz w:val="22"/>
                <w:szCs w:val="22"/>
                <w:vertAlign w:val="superscript"/>
              </w:rPr>
              <w:t>***</w:t>
            </w:r>
            <w:r w:rsidRPr="006C4192">
              <w:rPr>
                <w:sz w:val="22"/>
                <w:szCs w:val="22"/>
                <w:vertAlign w:val="superscript"/>
              </w:rPr>
              <w:br/>
            </w:r>
            <w:r w:rsidRPr="006C4192">
              <w:rPr>
                <w:sz w:val="22"/>
                <w:szCs w:val="22"/>
              </w:rPr>
              <w:t>(0.888)</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3.073</w:t>
            </w:r>
            <w:r w:rsidRPr="006C4192">
              <w:rPr>
                <w:sz w:val="22"/>
                <w:szCs w:val="22"/>
                <w:vertAlign w:val="superscript"/>
              </w:rPr>
              <w:t>***</w:t>
            </w:r>
            <w:r w:rsidRPr="006C4192">
              <w:rPr>
                <w:sz w:val="22"/>
                <w:szCs w:val="22"/>
                <w:vertAlign w:val="superscript"/>
              </w:rPr>
              <w:br/>
            </w:r>
            <w:r w:rsidRPr="006C4192">
              <w:rPr>
                <w:sz w:val="22"/>
                <w:szCs w:val="22"/>
              </w:rPr>
              <w:t>(0.891)</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High mathematics ability</w:t>
            </w:r>
            <w:r w:rsidRPr="006C4192">
              <w:rPr>
                <w:sz w:val="22"/>
                <w:szCs w:val="22"/>
              </w:rPr>
              <w:br/>
              <w:t>(Yes = 1)</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3.741</w:t>
            </w:r>
            <w:r w:rsidRPr="006C4192">
              <w:rPr>
                <w:sz w:val="22"/>
                <w:szCs w:val="22"/>
                <w:vertAlign w:val="superscript"/>
              </w:rPr>
              <w:t>***</w:t>
            </w:r>
            <w:r w:rsidRPr="006C4192">
              <w:rPr>
                <w:sz w:val="22"/>
                <w:szCs w:val="22"/>
                <w:vertAlign w:val="superscript"/>
              </w:rPr>
              <w:br/>
            </w:r>
            <w:r w:rsidRPr="006C4192">
              <w:rPr>
                <w:sz w:val="22"/>
                <w:szCs w:val="22"/>
              </w:rPr>
              <w:t>(0.805)</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3.318</w:t>
            </w:r>
            <w:r w:rsidRPr="006C4192">
              <w:rPr>
                <w:sz w:val="22"/>
                <w:szCs w:val="22"/>
                <w:vertAlign w:val="superscript"/>
              </w:rPr>
              <w:t>***</w:t>
            </w:r>
            <w:r w:rsidRPr="006C4192">
              <w:rPr>
                <w:sz w:val="22"/>
                <w:szCs w:val="22"/>
                <w:vertAlign w:val="superscript"/>
              </w:rPr>
              <w:br/>
            </w:r>
            <w:r w:rsidRPr="006C4192">
              <w:rPr>
                <w:sz w:val="22"/>
                <w:szCs w:val="22"/>
              </w:rPr>
              <w:t>(0.822)</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3.379</w:t>
            </w:r>
            <w:r w:rsidRPr="006C4192">
              <w:rPr>
                <w:sz w:val="22"/>
                <w:szCs w:val="22"/>
                <w:vertAlign w:val="superscript"/>
              </w:rPr>
              <w:t>***</w:t>
            </w:r>
            <w:r w:rsidRPr="006C4192">
              <w:rPr>
                <w:sz w:val="22"/>
                <w:szCs w:val="22"/>
                <w:vertAlign w:val="superscript"/>
              </w:rPr>
              <w:br/>
            </w:r>
            <w:r w:rsidRPr="006C4192">
              <w:rPr>
                <w:sz w:val="22"/>
                <w:szCs w:val="22"/>
              </w:rPr>
              <w:t>(0.942)</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3.486</w:t>
            </w:r>
            <w:r w:rsidRPr="006C4192">
              <w:rPr>
                <w:sz w:val="22"/>
                <w:szCs w:val="22"/>
                <w:vertAlign w:val="superscript"/>
              </w:rPr>
              <w:t>***</w:t>
            </w:r>
            <w:r w:rsidRPr="006C4192">
              <w:rPr>
                <w:sz w:val="22"/>
                <w:szCs w:val="22"/>
                <w:vertAlign w:val="superscript"/>
              </w:rPr>
              <w:br/>
            </w:r>
            <w:r w:rsidRPr="006C4192">
              <w:rPr>
                <w:sz w:val="22"/>
                <w:szCs w:val="22"/>
              </w:rPr>
              <w:t>(0.966)</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Low mathematics ability</w:t>
            </w:r>
            <w:r w:rsidRPr="006C4192">
              <w:rPr>
                <w:sz w:val="22"/>
                <w:szCs w:val="22"/>
              </w:rPr>
              <w:br/>
              <w:t>(Yes = 1)</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hideMark/>
          </w:tcPr>
          <w:p w:rsidR="00EC446D" w:rsidRPr="006C4192" w:rsidRDefault="00EC446D" w:rsidP="009B3657">
            <w:pPr>
              <w:tabs>
                <w:tab w:val="decimal" w:pos="365"/>
              </w:tabs>
              <w:rPr>
                <w:sz w:val="22"/>
                <w:szCs w:val="22"/>
              </w:rPr>
            </w:pPr>
            <w:r w:rsidRPr="006C4192">
              <w:rPr>
                <w:sz w:val="22"/>
                <w:szCs w:val="22"/>
              </w:rPr>
              <w:t>-1.808</w:t>
            </w:r>
            <w:r w:rsidRPr="006C4192">
              <w:rPr>
                <w:sz w:val="22"/>
                <w:szCs w:val="22"/>
                <w:vertAlign w:val="superscript"/>
              </w:rPr>
              <w:t>*</w:t>
            </w:r>
            <w:r w:rsidRPr="006C4192">
              <w:rPr>
                <w:sz w:val="22"/>
                <w:szCs w:val="22"/>
                <w:vertAlign w:val="superscript"/>
              </w:rPr>
              <w:br/>
            </w:r>
            <w:r w:rsidRPr="006C4192">
              <w:rPr>
                <w:sz w:val="22"/>
                <w:szCs w:val="22"/>
              </w:rPr>
              <w:t>(1.064)</w:t>
            </w: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-1.971</w:t>
            </w:r>
            <w:r w:rsidRPr="006C4192">
              <w:rPr>
                <w:sz w:val="22"/>
                <w:szCs w:val="22"/>
                <w:vertAlign w:val="superscript"/>
              </w:rPr>
              <w:t>*</w:t>
            </w:r>
            <w:r w:rsidRPr="006C4192">
              <w:rPr>
                <w:sz w:val="22"/>
                <w:szCs w:val="22"/>
                <w:vertAlign w:val="superscript"/>
              </w:rPr>
              <w:br/>
            </w:r>
            <w:r w:rsidRPr="006C4192">
              <w:rPr>
                <w:sz w:val="22"/>
                <w:szCs w:val="22"/>
              </w:rPr>
              <w:t>(1.058)</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-0.133</w:t>
            </w:r>
            <w:r w:rsidRPr="006C4192">
              <w:rPr>
                <w:sz w:val="22"/>
                <w:szCs w:val="22"/>
                <w:vertAlign w:val="superscript"/>
              </w:rPr>
              <w:br/>
            </w:r>
            <w:r w:rsidRPr="006C4192">
              <w:rPr>
                <w:sz w:val="22"/>
                <w:szCs w:val="22"/>
              </w:rPr>
              <w:t>(1.291)</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-0.050</w:t>
            </w:r>
            <w:r w:rsidRPr="006C4192">
              <w:rPr>
                <w:sz w:val="22"/>
                <w:szCs w:val="22"/>
                <w:vertAlign w:val="superscript"/>
              </w:rPr>
              <w:br/>
            </w:r>
            <w:r w:rsidRPr="006C4192">
              <w:rPr>
                <w:sz w:val="22"/>
                <w:szCs w:val="22"/>
              </w:rPr>
              <w:t>(1.307)</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Bank account (years)</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0.221</w:t>
            </w:r>
            <w:r w:rsidRPr="006C4192">
              <w:rPr>
                <w:sz w:val="22"/>
                <w:szCs w:val="22"/>
                <w:vertAlign w:val="superscript"/>
              </w:rPr>
              <w:t>***</w:t>
            </w:r>
            <w:r w:rsidRPr="006C4192">
              <w:rPr>
                <w:sz w:val="22"/>
                <w:szCs w:val="22"/>
                <w:vertAlign w:val="superscript"/>
              </w:rPr>
              <w:br/>
            </w:r>
            <w:r w:rsidRPr="006C4192">
              <w:rPr>
                <w:sz w:val="22"/>
                <w:szCs w:val="22"/>
              </w:rPr>
              <w:t>(0.082)</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0.231</w:t>
            </w:r>
            <w:r w:rsidRPr="006C4192">
              <w:rPr>
                <w:sz w:val="22"/>
                <w:szCs w:val="22"/>
                <w:vertAlign w:val="superscript"/>
              </w:rPr>
              <w:t>***</w:t>
            </w:r>
            <w:r w:rsidRPr="006C4192">
              <w:rPr>
                <w:sz w:val="22"/>
                <w:szCs w:val="22"/>
                <w:vertAlign w:val="superscript"/>
              </w:rPr>
              <w:br/>
            </w:r>
            <w:r w:rsidRPr="006C4192">
              <w:rPr>
                <w:sz w:val="22"/>
                <w:szCs w:val="22"/>
              </w:rPr>
              <w:t>(0.095)</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0.232</w:t>
            </w:r>
            <w:r w:rsidRPr="006C4192">
              <w:rPr>
                <w:sz w:val="22"/>
                <w:szCs w:val="22"/>
                <w:vertAlign w:val="superscript"/>
              </w:rPr>
              <w:t>***</w:t>
            </w:r>
            <w:r w:rsidRPr="006C4192">
              <w:rPr>
                <w:sz w:val="22"/>
                <w:szCs w:val="22"/>
                <w:vertAlign w:val="superscript"/>
              </w:rPr>
              <w:br/>
            </w:r>
            <w:r w:rsidRPr="006C4192">
              <w:rPr>
                <w:sz w:val="22"/>
                <w:szCs w:val="22"/>
              </w:rPr>
              <w:t>(0.094)</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Employment (years)</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-0.545</w:t>
            </w:r>
            <w:r w:rsidRPr="006C4192">
              <w:rPr>
                <w:sz w:val="22"/>
                <w:szCs w:val="22"/>
                <w:vertAlign w:val="superscript"/>
              </w:rPr>
              <w:br/>
            </w:r>
            <w:r w:rsidRPr="006C4192">
              <w:rPr>
                <w:sz w:val="22"/>
                <w:szCs w:val="22"/>
              </w:rPr>
              <w:t>(0.375)</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-0.486</w:t>
            </w:r>
            <w:r w:rsidRPr="006C4192">
              <w:rPr>
                <w:sz w:val="22"/>
                <w:szCs w:val="22"/>
                <w:vertAlign w:val="superscript"/>
              </w:rPr>
              <w:br/>
            </w:r>
            <w:r w:rsidRPr="006C4192">
              <w:rPr>
                <w:sz w:val="22"/>
                <w:szCs w:val="22"/>
              </w:rPr>
              <w:t>(0.456)</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-0.467</w:t>
            </w:r>
            <w:r w:rsidRPr="006C4192">
              <w:rPr>
                <w:sz w:val="22"/>
                <w:szCs w:val="22"/>
                <w:vertAlign w:val="superscript"/>
              </w:rPr>
              <w:br/>
            </w:r>
            <w:r w:rsidRPr="006C4192">
              <w:rPr>
                <w:sz w:val="22"/>
                <w:szCs w:val="22"/>
              </w:rPr>
              <w:t>(0.472)</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Pays mobile phone</w:t>
            </w:r>
            <w:r w:rsidRPr="006C4192">
              <w:rPr>
                <w:sz w:val="22"/>
                <w:szCs w:val="22"/>
              </w:rPr>
              <w:br/>
              <w:t>(Yes = 1)</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hideMark/>
          </w:tcPr>
          <w:p w:rsidR="00EC446D" w:rsidRPr="006C4192" w:rsidRDefault="00EC446D" w:rsidP="009B3657">
            <w:pPr>
              <w:tabs>
                <w:tab w:val="decimal" w:pos="400"/>
              </w:tabs>
              <w:rPr>
                <w:sz w:val="22"/>
                <w:szCs w:val="22"/>
              </w:rPr>
            </w:pPr>
            <w:r w:rsidRPr="006C4192">
              <w:rPr>
                <w:sz w:val="22"/>
                <w:szCs w:val="22"/>
              </w:rPr>
              <w:t>0.019</w:t>
            </w:r>
            <w:r w:rsidRPr="006C4192">
              <w:rPr>
                <w:sz w:val="22"/>
                <w:szCs w:val="22"/>
                <w:vertAlign w:val="superscript"/>
              </w:rPr>
              <w:br/>
            </w:r>
            <w:r w:rsidRPr="006C4192">
              <w:rPr>
                <w:sz w:val="22"/>
                <w:szCs w:val="22"/>
              </w:rPr>
              <w:t>(0.695)</w:t>
            </w: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-0.360</w:t>
            </w:r>
            <w:r w:rsidRPr="006C4192">
              <w:rPr>
                <w:sz w:val="22"/>
                <w:szCs w:val="22"/>
                <w:vertAlign w:val="superscript"/>
              </w:rPr>
              <w:t xml:space="preserve"> </w:t>
            </w:r>
            <w:r w:rsidRPr="006C4192">
              <w:rPr>
                <w:sz w:val="22"/>
                <w:szCs w:val="22"/>
                <w:vertAlign w:val="superscript"/>
              </w:rPr>
              <w:br/>
            </w:r>
            <w:r w:rsidRPr="006C4192">
              <w:rPr>
                <w:sz w:val="22"/>
                <w:szCs w:val="22"/>
              </w:rPr>
              <w:t>(0.815)</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-0.438</w:t>
            </w:r>
            <w:r w:rsidRPr="006C4192">
              <w:rPr>
                <w:sz w:val="22"/>
                <w:szCs w:val="22"/>
                <w:vertAlign w:val="superscript"/>
              </w:rPr>
              <w:t xml:space="preserve"> </w:t>
            </w:r>
            <w:r w:rsidRPr="006C4192">
              <w:rPr>
                <w:sz w:val="22"/>
                <w:szCs w:val="22"/>
                <w:vertAlign w:val="superscript"/>
              </w:rPr>
              <w:br/>
            </w:r>
            <w:r w:rsidRPr="006C4192">
              <w:rPr>
                <w:sz w:val="22"/>
                <w:szCs w:val="22"/>
              </w:rPr>
              <w:t>(0.818)</w:t>
            </w:r>
          </w:p>
        </w:tc>
      </w:tr>
      <w:tr w:rsidR="00EC446D" w:rsidRPr="006C4192" w:rsidTr="006C4192">
        <w:tc>
          <w:tcPr>
            <w:tcW w:w="2917" w:type="dxa"/>
            <w:vAlign w:val="center"/>
            <w:hideMark/>
          </w:tcPr>
          <w:p w:rsidR="00EC446D" w:rsidRPr="006C4192" w:rsidRDefault="00EC446D">
            <w:pPr>
              <w:ind w:left="426" w:hanging="426"/>
              <w:rPr>
                <w:sz w:val="22"/>
                <w:szCs w:val="22"/>
              </w:rPr>
            </w:pPr>
            <w:r w:rsidRPr="006C4192">
              <w:rPr>
                <w:sz w:val="22"/>
                <w:szCs w:val="22"/>
              </w:rPr>
              <w:t>Social deprivation score</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tcPr>
          <w:p w:rsidR="00EC446D" w:rsidRPr="006C4192" w:rsidRDefault="00EC446D" w:rsidP="009B3657">
            <w:pPr>
              <w:tabs>
                <w:tab w:val="decimal" w:pos="400"/>
              </w:tabs>
              <w:rPr>
                <w:sz w:val="22"/>
                <w:szCs w:val="22"/>
              </w:rPr>
            </w:pPr>
          </w:p>
        </w:tc>
        <w:tc>
          <w:tcPr>
            <w:tcW w:w="1332" w:type="dxa"/>
            <w:vAlign w:val="center"/>
            <w:hideMark/>
          </w:tcPr>
          <w:p w:rsidR="00EC446D" w:rsidRPr="006C4192" w:rsidRDefault="00EC446D" w:rsidP="009B3657">
            <w:pPr>
              <w:tabs>
                <w:tab w:val="decimal" w:pos="383"/>
              </w:tabs>
              <w:rPr>
                <w:sz w:val="22"/>
                <w:szCs w:val="22"/>
              </w:rPr>
            </w:pPr>
            <w:r w:rsidRPr="006C4192">
              <w:rPr>
                <w:sz w:val="22"/>
                <w:szCs w:val="22"/>
              </w:rPr>
              <w:t>-0.013</w:t>
            </w:r>
            <w:r w:rsidRPr="006C4192">
              <w:rPr>
                <w:sz w:val="22"/>
                <w:szCs w:val="22"/>
                <w:vertAlign w:val="superscript"/>
              </w:rPr>
              <w:t>**</w:t>
            </w:r>
            <w:r w:rsidRPr="006C4192">
              <w:rPr>
                <w:sz w:val="22"/>
                <w:szCs w:val="22"/>
                <w:vertAlign w:val="superscript"/>
              </w:rPr>
              <w:br/>
            </w:r>
            <w:r w:rsidRPr="006C4192">
              <w:rPr>
                <w:sz w:val="22"/>
                <w:szCs w:val="22"/>
              </w:rPr>
              <w:t>(0.005)</w:t>
            </w: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-0.013</w:t>
            </w:r>
            <w:r w:rsidRPr="006C4192">
              <w:rPr>
                <w:sz w:val="22"/>
                <w:szCs w:val="22"/>
                <w:vertAlign w:val="superscript"/>
              </w:rPr>
              <w:t>**</w:t>
            </w:r>
            <w:r w:rsidRPr="006C4192">
              <w:rPr>
                <w:sz w:val="22"/>
                <w:szCs w:val="22"/>
                <w:vertAlign w:val="superscript"/>
              </w:rPr>
              <w:br/>
            </w:r>
            <w:r w:rsidRPr="006C4192">
              <w:rPr>
                <w:sz w:val="22"/>
                <w:szCs w:val="22"/>
              </w:rPr>
              <w:t>(0.005)</w:t>
            </w:r>
          </w:p>
        </w:tc>
      </w:tr>
      <w:tr w:rsidR="00EC446D" w:rsidRPr="006C4192" w:rsidTr="006C4192">
        <w:tc>
          <w:tcPr>
            <w:tcW w:w="2917" w:type="dxa"/>
            <w:vAlign w:val="center"/>
            <w:hideMark/>
          </w:tcPr>
          <w:p w:rsidR="00EC446D" w:rsidRPr="006C4192" w:rsidRDefault="00EC446D" w:rsidP="00D150C7">
            <w:pPr>
              <w:ind w:left="426" w:right="-207" w:hanging="426"/>
              <w:rPr>
                <w:sz w:val="22"/>
                <w:szCs w:val="22"/>
              </w:rPr>
            </w:pPr>
            <w:r w:rsidRPr="006C4192">
              <w:rPr>
                <w:sz w:val="22"/>
                <w:szCs w:val="22"/>
              </w:rPr>
              <w:t>Financial risk tolerance score</w:t>
            </w: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tcPr>
          <w:p w:rsidR="00EC446D" w:rsidRPr="006C4192" w:rsidRDefault="00EC446D" w:rsidP="009B3657">
            <w:pPr>
              <w:tabs>
                <w:tab w:val="decimal" w:pos="400"/>
              </w:tabs>
              <w:rPr>
                <w:sz w:val="22"/>
                <w:szCs w:val="22"/>
              </w:rPr>
            </w:pPr>
          </w:p>
        </w:tc>
        <w:tc>
          <w:tcPr>
            <w:tcW w:w="1332" w:type="dxa"/>
            <w:vAlign w:val="center"/>
          </w:tcPr>
          <w:p w:rsidR="00EC446D" w:rsidRPr="006C4192" w:rsidRDefault="00EC446D" w:rsidP="009B3657">
            <w:pPr>
              <w:tabs>
                <w:tab w:val="decimal" w:pos="383"/>
              </w:tabs>
              <w:rPr>
                <w:sz w:val="22"/>
                <w:szCs w:val="22"/>
              </w:rPr>
            </w:pPr>
          </w:p>
        </w:tc>
        <w:tc>
          <w:tcPr>
            <w:tcW w:w="1332" w:type="dxa"/>
            <w:vAlign w:val="center"/>
            <w:hideMark/>
          </w:tcPr>
          <w:p w:rsidR="00EC446D" w:rsidRPr="006C4192" w:rsidRDefault="00EC446D" w:rsidP="009B3657">
            <w:pPr>
              <w:tabs>
                <w:tab w:val="decimal" w:pos="357"/>
              </w:tabs>
              <w:rPr>
                <w:sz w:val="22"/>
                <w:szCs w:val="22"/>
              </w:rPr>
            </w:pPr>
            <w:r w:rsidRPr="006C4192">
              <w:rPr>
                <w:sz w:val="22"/>
                <w:szCs w:val="22"/>
              </w:rPr>
              <w:t>-0.072</w:t>
            </w:r>
            <w:r w:rsidRPr="006C4192">
              <w:rPr>
                <w:sz w:val="22"/>
                <w:szCs w:val="22"/>
                <w:vertAlign w:val="superscript"/>
              </w:rPr>
              <w:t xml:space="preserve"> </w:t>
            </w:r>
            <w:r w:rsidRPr="006C4192">
              <w:rPr>
                <w:sz w:val="22"/>
                <w:szCs w:val="22"/>
                <w:vertAlign w:val="superscript"/>
              </w:rPr>
              <w:br/>
            </w:r>
            <w:r w:rsidRPr="006C4192">
              <w:rPr>
                <w:sz w:val="22"/>
                <w:szCs w:val="22"/>
              </w:rPr>
              <w:t>(0.080)</w:t>
            </w:r>
          </w:p>
        </w:tc>
      </w:tr>
      <w:tr w:rsidR="00EC446D" w:rsidRPr="006C4192" w:rsidTr="006C4192">
        <w:tc>
          <w:tcPr>
            <w:tcW w:w="2917" w:type="dxa"/>
            <w:vAlign w:val="center"/>
          </w:tcPr>
          <w:p w:rsidR="00EC446D" w:rsidRPr="006C4192" w:rsidRDefault="00EC446D">
            <w:pPr>
              <w:ind w:left="426" w:hanging="426"/>
              <w:rPr>
                <w:sz w:val="22"/>
                <w:szCs w:val="22"/>
              </w:rPr>
            </w:pPr>
          </w:p>
        </w:tc>
        <w:tc>
          <w:tcPr>
            <w:tcW w:w="1331" w:type="dxa"/>
            <w:vAlign w:val="center"/>
          </w:tcPr>
          <w:p w:rsidR="00EC446D" w:rsidRPr="006C4192" w:rsidRDefault="00EC446D" w:rsidP="009B3657">
            <w:pPr>
              <w:tabs>
                <w:tab w:val="decimal" w:pos="230"/>
              </w:tabs>
              <w:rPr>
                <w:sz w:val="22"/>
                <w:szCs w:val="22"/>
              </w:rPr>
            </w:pPr>
          </w:p>
        </w:tc>
        <w:tc>
          <w:tcPr>
            <w:tcW w:w="1332" w:type="dxa"/>
            <w:vAlign w:val="center"/>
          </w:tcPr>
          <w:p w:rsidR="00EC446D" w:rsidRPr="006C4192" w:rsidRDefault="00EC446D" w:rsidP="009B3657">
            <w:pPr>
              <w:tabs>
                <w:tab w:val="decimal" w:pos="365"/>
              </w:tabs>
              <w:rPr>
                <w:sz w:val="22"/>
                <w:szCs w:val="22"/>
              </w:rPr>
            </w:pPr>
          </w:p>
        </w:tc>
        <w:tc>
          <w:tcPr>
            <w:tcW w:w="1332" w:type="dxa"/>
            <w:vAlign w:val="center"/>
          </w:tcPr>
          <w:p w:rsidR="00EC446D" w:rsidRPr="006C4192" w:rsidRDefault="00EC446D" w:rsidP="009B3657">
            <w:pPr>
              <w:tabs>
                <w:tab w:val="decimal" w:pos="400"/>
              </w:tabs>
              <w:rPr>
                <w:sz w:val="22"/>
                <w:szCs w:val="22"/>
              </w:rPr>
            </w:pPr>
          </w:p>
        </w:tc>
        <w:tc>
          <w:tcPr>
            <w:tcW w:w="1332" w:type="dxa"/>
            <w:vAlign w:val="center"/>
          </w:tcPr>
          <w:p w:rsidR="00EC446D" w:rsidRPr="006C4192" w:rsidRDefault="00EC446D" w:rsidP="009B3657">
            <w:pPr>
              <w:tabs>
                <w:tab w:val="decimal" w:pos="383"/>
              </w:tabs>
              <w:rPr>
                <w:sz w:val="22"/>
                <w:szCs w:val="22"/>
              </w:rPr>
            </w:pPr>
          </w:p>
        </w:tc>
        <w:tc>
          <w:tcPr>
            <w:tcW w:w="1332" w:type="dxa"/>
            <w:vAlign w:val="center"/>
          </w:tcPr>
          <w:p w:rsidR="00EC446D" w:rsidRPr="006C4192" w:rsidRDefault="00EC446D" w:rsidP="009B3657">
            <w:pPr>
              <w:tabs>
                <w:tab w:val="decimal" w:pos="357"/>
              </w:tabs>
              <w:rPr>
                <w:sz w:val="22"/>
                <w:szCs w:val="22"/>
              </w:rPr>
            </w:pPr>
          </w:p>
        </w:tc>
      </w:tr>
      <w:tr w:rsidR="00EC446D" w:rsidRPr="006C4192" w:rsidTr="006C4192">
        <w:tc>
          <w:tcPr>
            <w:tcW w:w="2917" w:type="dxa"/>
            <w:vAlign w:val="center"/>
            <w:hideMark/>
          </w:tcPr>
          <w:p w:rsidR="00EC446D" w:rsidRPr="009B3657" w:rsidRDefault="00EC446D">
            <w:pPr>
              <w:ind w:left="426" w:hanging="426"/>
              <w:rPr>
                <w:i/>
                <w:sz w:val="22"/>
                <w:szCs w:val="22"/>
              </w:rPr>
            </w:pPr>
            <w:r w:rsidRPr="009B3657">
              <w:rPr>
                <w:i/>
                <w:sz w:val="22"/>
                <w:szCs w:val="22"/>
              </w:rPr>
              <w:t>n</w:t>
            </w:r>
          </w:p>
        </w:tc>
        <w:tc>
          <w:tcPr>
            <w:tcW w:w="1331" w:type="dxa"/>
            <w:vAlign w:val="center"/>
            <w:hideMark/>
          </w:tcPr>
          <w:p w:rsidR="00EC446D" w:rsidRPr="006C4192" w:rsidRDefault="00EC446D" w:rsidP="009B3657">
            <w:pPr>
              <w:tabs>
                <w:tab w:val="decimal" w:pos="274"/>
              </w:tabs>
              <w:ind w:right="234"/>
              <w:jc w:val="center"/>
              <w:rPr>
                <w:sz w:val="22"/>
                <w:szCs w:val="22"/>
              </w:rPr>
            </w:pPr>
            <w:r w:rsidRPr="006C4192">
              <w:rPr>
                <w:sz w:val="22"/>
                <w:szCs w:val="22"/>
              </w:rPr>
              <w:t>289</w:t>
            </w:r>
          </w:p>
        </w:tc>
        <w:tc>
          <w:tcPr>
            <w:tcW w:w="1332" w:type="dxa"/>
            <w:vAlign w:val="center"/>
            <w:hideMark/>
          </w:tcPr>
          <w:p w:rsidR="00EC446D" w:rsidRPr="006C4192" w:rsidRDefault="00EC446D" w:rsidP="009B3657">
            <w:pPr>
              <w:tabs>
                <w:tab w:val="decimal" w:pos="365"/>
              </w:tabs>
              <w:jc w:val="center"/>
              <w:rPr>
                <w:sz w:val="22"/>
                <w:szCs w:val="22"/>
              </w:rPr>
            </w:pPr>
            <w:r w:rsidRPr="006C4192">
              <w:rPr>
                <w:sz w:val="22"/>
                <w:szCs w:val="22"/>
              </w:rPr>
              <w:t>285</w:t>
            </w:r>
          </w:p>
        </w:tc>
        <w:tc>
          <w:tcPr>
            <w:tcW w:w="1332" w:type="dxa"/>
            <w:vAlign w:val="center"/>
            <w:hideMark/>
          </w:tcPr>
          <w:p w:rsidR="00EC446D" w:rsidRPr="006C4192" w:rsidRDefault="00EC446D" w:rsidP="009B3657">
            <w:pPr>
              <w:tabs>
                <w:tab w:val="decimal" w:pos="400"/>
              </w:tabs>
              <w:jc w:val="center"/>
              <w:rPr>
                <w:sz w:val="22"/>
                <w:szCs w:val="22"/>
              </w:rPr>
            </w:pPr>
            <w:r w:rsidRPr="006C4192">
              <w:rPr>
                <w:sz w:val="22"/>
                <w:szCs w:val="22"/>
              </w:rPr>
              <w:t>285</w:t>
            </w:r>
          </w:p>
        </w:tc>
        <w:tc>
          <w:tcPr>
            <w:tcW w:w="1332" w:type="dxa"/>
            <w:vAlign w:val="center"/>
            <w:hideMark/>
          </w:tcPr>
          <w:p w:rsidR="00EC446D" w:rsidRPr="006C4192" w:rsidRDefault="00EC446D" w:rsidP="009B3657">
            <w:pPr>
              <w:tabs>
                <w:tab w:val="decimal" w:pos="383"/>
              </w:tabs>
              <w:jc w:val="center"/>
              <w:rPr>
                <w:sz w:val="22"/>
                <w:szCs w:val="22"/>
              </w:rPr>
            </w:pPr>
            <w:r w:rsidRPr="006C4192">
              <w:rPr>
                <w:sz w:val="22"/>
                <w:szCs w:val="22"/>
              </w:rPr>
              <w:t>207</w:t>
            </w:r>
          </w:p>
        </w:tc>
        <w:tc>
          <w:tcPr>
            <w:tcW w:w="1332" w:type="dxa"/>
            <w:vAlign w:val="center"/>
            <w:hideMark/>
          </w:tcPr>
          <w:p w:rsidR="00EC446D" w:rsidRPr="006C4192" w:rsidRDefault="00EC446D" w:rsidP="009B3657">
            <w:pPr>
              <w:tabs>
                <w:tab w:val="decimal" w:pos="357"/>
              </w:tabs>
              <w:jc w:val="center"/>
              <w:rPr>
                <w:sz w:val="22"/>
                <w:szCs w:val="22"/>
              </w:rPr>
            </w:pPr>
            <w:r w:rsidRPr="006C4192">
              <w:rPr>
                <w:sz w:val="22"/>
                <w:szCs w:val="22"/>
              </w:rPr>
              <w:t>207</w:t>
            </w:r>
          </w:p>
        </w:tc>
      </w:tr>
      <w:tr w:rsidR="00EC446D" w:rsidRPr="006C4192" w:rsidTr="006C4192">
        <w:tc>
          <w:tcPr>
            <w:tcW w:w="2917" w:type="dxa"/>
            <w:hideMark/>
          </w:tcPr>
          <w:p w:rsidR="00EC446D" w:rsidRPr="006C4192" w:rsidRDefault="00EC446D" w:rsidP="009B3657">
            <w:pPr>
              <w:spacing w:after="60"/>
              <w:ind w:left="426" w:hanging="426"/>
              <w:rPr>
                <w:sz w:val="22"/>
                <w:szCs w:val="22"/>
              </w:rPr>
            </w:pPr>
            <w:r w:rsidRPr="006C4192">
              <w:rPr>
                <w:sz w:val="22"/>
                <w:szCs w:val="22"/>
              </w:rPr>
              <w:t>R</w:t>
            </w:r>
            <w:r w:rsidRPr="006C4192">
              <w:rPr>
                <w:sz w:val="22"/>
                <w:szCs w:val="22"/>
                <w:vertAlign w:val="superscript"/>
              </w:rPr>
              <w:t>2</w:t>
            </w:r>
          </w:p>
        </w:tc>
        <w:tc>
          <w:tcPr>
            <w:tcW w:w="1331" w:type="dxa"/>
            <w:hideMark/>
          </w:tcPr>
          <w:p w:rsidR="00EC446D" w:rsidRPr="006C4192" w:rsidRDefault="00EC446D" w:rsidP="009B3657">
            <w:pPr>
              <w:tabs>
                <w:tab w:val="decimal" w:pos="230"/>
              </w:tabs>
              <w:spacing w:after="60"/>
              <w:rPr>
                <w:sz w:val="22"/>
                <w:szCs w:val="22"/>
              </w:rPr>
            </w:pPr>
            <w:r w:rsidRPr="006C4192">
              <w:rPr>
                <w:sz w:val="22"/>
                <w:szCs w:val="22"/>
              </w:rPr>
              <w:t>0.040</w:t>
            </w:r>
          </w:p>
        </w:tc>
        <w:tc>
          <w:tcPr>
            <w:tcW w:w="1332" w:type="dxa"/>
            <w:hideMark/>
          </w:tcPr>
          <w:p w:rsidR="00EC446D" w:rsidRPr="006C4192" w:rsidRDefault="00EC446D" w:rsidP="009B3657">
            <w:pPr>
              <w:tabs>
                <w:tab w:val="decimal" w:pos="365"/>
              </w:tabs>
              <w:spacing w:after="60"/>
              <w:rPr>
                <w:sz w:val="22"/>
                <w:szCs w:val="22"/>
              </w:rPr>
            </w:pPr>
            <w:r w:rsidRPr="006C4192">
              <w:rPr>
                <w:sz w:val="22"/>
                <w:szCs w:val="22"/>
              </w:rPr>
              <w:t>0.208</w:t>
            </w:r>
          </w:p>
        </w:tc>
        <w:tc>
          <w:tcPr>
            <w:tcW w:w="1332" w:type="dxa"/>
            <w:hideMark/>
          </w:tcPr>
          <w:p w:rsidR="00EC446D" w:rsidRPr="006C4192" w:rsidRDefault="00EC446D" w:rsidP="009B3657">
            <w:pPr>
              <w:tabs>
                <w:tab w:val="decimal" w:pos="400"/>
              </w:tabs>
              <w:spacing w:after="60"/>
              <w:rPr>
                <w:sz w:val="22"/>
                <w:szCs w:val="22"/>
              </w:rPr>
            </w:pPr>
            <w:r w:rsidRPr="006C4192">
              <w:rPr>
                <w:sz w:val="22"/>
                <w:szCs w:val="22"/>
              </w:rPr>
              <w:t>0.229</w:t>
            </w:r>
          </w:p>
        </w:tc>
        <w:tc>
          <w:tcPr>
            <w:tcW w:w="1332" w:type="dxa"/>
            <w:hideMark/>
          </w:tcPr>
          <w:p w:rsidR="00EC446D" w:rsidRPr="006C4192" w:rsidRDefault="00EC446D" w:rsidP="009B3657">
            <w:pPr>
              <w:tabs>
                <w:tab w:val="decimal" w:pos="383"/>
              </w:tabs>
              <w:spacing w:after="60"/>
              <w:rPr>
                <w:sz w:val="22"/>
                <w:szCs w:val="22"/>
              </w:rPr>
            </w:pPr>
            <w:r w:rsidRPr="006C4192">
              <w:rPr>
                <w:sz w:val="22"/>
                <w:szCs w:val="22"/>
              </w:rPr>
              <w:t>0.215</w:t>
            </w:r>
          </w:p>
        </w:tc>
        <w:tc>
          <w:tcPr>
            <w:tcW w:w="1332" w:type="dxa"/>
            <w:hideMark/>
          </w:tcPr>
          <w:p w:rsidR="00EC446D" w:rsidRPr="006C4192" w:rsidRDefault="00EC446D" w:rsidP="009B3657">
            <w:pPr>
              <w:tabs>
                <w:tab w:val="decimal" w:pos="357"/>
              </w:tabs>
              <w:spacing w:after="60"/>
              <w:rPr>
                <w:sz w:val="22"/>
                <w:szCs w:val="22"/>
              </w:rPr>
            </w:pPr>
            <w:r w:rsidRPr="006C4192">
              <w:rPr>
                <w:sz w:val="22"/>
                <w:szCs w:val="22"/>
              </w:rPr>
              <w:t>0.215</w:t>
            </w:r>
          </w:p>
        </w:tc>
      </w:tr>
    </w:tbl>
    <w:p w:rsidR="00EC446D" w:rsidRPr="006C4192" w:rsidRDefault="00EC446D" w:rsidP="009B3657">
      <w:pPr>
        <w:spacing w:before="60"/>
        <w:jc w:val="both"/>
        <w:rPr>
          <w:sz w:val="22"/>
          <w:szCs w:val="22"/>
        </w:rPr>
      </w:pPr>
      <w:r w:rsidRPr="006C4192">
        <w:rPr>
          <w:sz w:val="22"/>
          <w:szCs w:val="22"/>
          <w:vertAlign w:val="superscript"/>
        </w:rPr>
        <w:t>*</w:t>
      </w:r>
      <w:r w:rsidRPr="006C4192">
        <w:rPr>
          <w:sz w:val="22"/>
          <w:szCs w:val="22"/>
        </w:rPr>
        <w:t xml:space="preserve"> p&lt;0.1; </w:t>
      </w:r>
      <w:r w:rsidRPr="006C4192">
        <w:rPr>
          <w:sz w:val="22"/>
          <w:szCs w:val="22"/>
          <w:vertAlign w:val="superscript"/>
        </w:rPr>
        <w:t>**</w:t>
      </w:r>
      <w:r w:rsidRPr="006C4192">
        <w:rPr>
          <w:sz w:val="22"/>
          <w:szCs w:val="22"/>
        </w:rPr>
        <w:t xml:space="preserve"> p&lt;0.05; </w:t>
      </w:r>
      <w:r w:rsidRPr="006C4192">
        <w:rPr>
          <w:sz w:val="22"/>
          <w:szCs w:val="22"/>
          <w:vertAlign w:val="superscript"/>
        </w:rPr>
        <w:t>***</w:t>
      </w:r>
      <w:r w:rsidRPr="006C4192">
        <w:rPr>
          <w:sz w:val="22"/>
          <w:szCs w:val="22"/>
        </w:rPr>
        <w:t xml:space="preserve"> p&lt;0.01</w:t>
      </w:r>
    </w:p>
    <w:p w:rsidR="00A2798F" w:rsidRPr="006C4192" w:rsidRDefault="00A2798F" w:rsidP="007231F9">
      <w:pPr>
        <w:tabs>
          <w:tab w:val="left" w:pos="284"/>
        </w:tabs>
        <w:spacing w:line="288" w:lineRule="auto"/>
        <w:jc w:val="both"/>
        <w:rPr>
          <w:sz w:val="22"/>
          <w:szCs w:val="22"/>
        </w:rPr>
      </w:pPr>
    </w:p>
    <w:p w:rsidR="00B3432F" w:rsidRDefault="0035460F" w:rsidP="00AB69B2">
      <w:pPr>
        <w:tabs>
          <w:tab w:val="left" w:pos="284"/>
        </w:tabs>
        <w:spacing w:line="288" w:lineRule="auto"/>
        <w:jc w:val="both"/>
      </w:pPr>
      <w:r>
        <w:tab/>
      </w:r>
    </w:p>
    <w:p w:rsidR="00EC446D" w:rsidRDefault="0035460F" w:rsidP="00EC446D">
      <w:pPr>
        <w:tabs>
          <w:tab w:val="left" w:pos="284"/>
        </w:tabs>
        <w:spacing w:line="288" w:lineRule="auto"/>
        <w:jc w:val="both"/>
      </w:pPr>
      <w:r>
        <w:tab/>
      </w:r>
      <w:r w:rsidR="00EC446D">
        <w:t>Table 3 presents a more fine-grained analysis, with the results of separate regressions for questions at each cognitive level; that is, regressions with Knowledge score (out of 14), Comprehension score (out of 25), and Application score (out of 11) as dependent variables. Only the final regression results (</w:t>
      </w:r>
      <w:r w:rsidR="00B75464">
        <w:t xml:space="preserve">that is, </w:t>
      </w:r>
      <w:r w:rsidR="00EC446D">
        <w:t>the equivalent of Model (5) from Table 2) are reported.</w:t>
      </w:r>
    </w:p>
    <w:p w:rsidR="00B3432F" w:rsidRDefault="00B3432F" w:rsidP="00EC446D">
      <w:pPr>
        <w:tabs>
          <w:tab w:val="left" w:pos="284"/>
        </w:tabs>
        <w:spacing w:line="288" w:lineRule="auto"/>
        <w:jc w:val="both"/>
      </w:pPr>
    </w:p>
    <w:p w:rsidR="00B3432F" w:rsidRDefault="00B3432F" w:rsidP="00B3432F">
      <w:pPr>
        <w:tabs>
          <w:tab w:val="left" w:pos="284"/>
        </w:tabs>
        <w:spacing w:line="288" w:lineRule="auto"/>
        <w:jc w:val="both"/>
      </w:pPr>
      <w:r>
        <w:tab/>
        <w:t xml:space="preserve">The effect of English ability on financial literacy appears to be limited to </w:t>
      </w:r>
      <w:r w:rsidRPr="00BA7CA3">
        <w:rPr>
          <w:rFonts w:asciiTheme="majorBidi" w:hAnsiTheme="majorBidi" w:cstheme="majorBidi"/>
        </w:rPr>
        <w:t xml:space="preserve">limited to </w:t>
      </w:r>
      <w:r>
        <w:rPr>
          <w:rFonts w:asciiTheme="majorBidi" w:hAnsiTheme="majorBidi" w:cstheme="majorBidi"/>
        </w:rPr>
        <w:t>the</w:t>
      </w:r>
      <w:r w:rsidRPr="00BA7CA3">
        <w:rPr>
          <w:rFonts w:asciiTheme="majorBidi" w:hAnsiTheme="majorBidi" w:cstheme="majorBidi"/>
        </w:rPr>
        <w:t xml:space="preserve"> comprehension</w:t>
      </w:r>
      <w:r>
        <w:rPr>
          <w:rFonts w:asciiTheme="majorBidi" w:hAnsiTheme="majorBidi" w:cstheme="majorBidi"/>
        </w:rPr>
        <w:t xml:space="preserve"> cognitive level</w:t>
      </w:r>
      <w:r>
        <w:t xml:space="preserve">. Thus, students with English as a second language are no less likely to recognise or recall basic financial terms, nor are they less likely </w:t>
      </w:r>
      <w:r w:rsidRPr="00BA7CA3">
        <w:rPr>
          <w:rFonts w:asciiTheme="majorBidi" w:hAnsiTheme="majorBidi" w:cstheme="majorBidi"/>
        </w:rPr>
        <w:t xml:space="preserve">to </w:t>
      </w:r>
      <w:r>
        <w:rPr>
          <w:rFonts w:asciiTheme="majorBidi" w:hAnsiTheme="majorBidi" w:cstheme="majorBidi"/>
        </w:rPr>
        <w:t>do well in financial application questions</w:t>
      </w:r>
      <w:r>
        <w:t xml:space="preserve">. Mathematical ability is related to all three cognitive levels, consistent with students of greater academic ability being generally able to answer multiple </w:t>
      </w:r>
      <w:r>
        <w:lastRenderedPageBreak/>
        <w:t xml:space="preserve">choice questions better. Having a bank account for longer is also associated with greater financial literacy at all three cognitive levels. </w:t>
      </w:r>
      <w:r w:rsidR="00B75464">
        <w:t xml:space="preserve"> </w:t>
      </w:r>
      <w:r>
        <w:t>Thus bank accounts probably signify students who are not only more exposed to financial terms, but also students who are better able to make sound financial decisions.</w:t>
      </w:r>
    </w:p>
    <w:p w:rsidR="00EC446D" w:rsidRDefault="00EC446D" w:rsidP="00EC446D">
      <w:pPr>
        <w:tabs>
          <w:tab w:val="left" w:pos="284"/>
        </w:tabs>
        <w:spacing w:line="288" w:lineRule="auto"/>
        <w:jc w:val="both"/>
      </w:pPr>
    </w:p>
    <w:p w:rsidR="00B3432F" w:rsidRDefault="00B3432F" w:rsidP="00EC446D">
      <w:pPr>
        <w:tabs>
          <w:tab w:val="left" w:pos="284"/>
        </w:tabs>
        <w:spacing w:line="288" w:lineRule="auto"/>
        <w:jc w:val="both"/>
      </w:pPr>
    </w:p>
    <w:p w:rsidR="009B3657" w:rsidRDefault="006C4192" w:rsidP="009B3657">
      <w:pPr>
        <w:jc w:val="center"/>
        <w:rPr>
          <w:b/>
          <w:bCs/>
          <w:color w:val="000000"/>
          <w:sz w:val="22"/>
          <w:szCs w:val="22"/>
        </w:rPr>
      </w:pPr>
      <w:r>
        <w:rPr>
          <w:b/>
          <w:bCs/>
          <w:color w:val="000000"/>
          <w:sz w:val="22"/>
          <w:szCs w:val="22"/>
        </w:rPr>
        <w:t xml:space="preserve">Table 3: </w:t>
      </w:r>
      <w:r w:rsidR="00B3432F">
        <w:rPr>
          <w:b/>
          <w:bCs/>
          <w:color w:val="000000"/>
          <w:sz w:val="22"/>
          <w:szCs w:val="22"/>
        </w:rPr>
        <w:t xml:space="preserve"> </w:t>
      </w:r>
      <w:r>
        <w:rPr>
          <w:b/>
          <w:bCs/>
          <w:color w:val="000000"/>
          <w:sz w:val="22"/>
          <w:szCs w:val="22"/>
        </w:rPr>
        <w:t>Regression Results for Financial Li</w:t>
      </w:r>
      <w:r w:rsidR="009B3657">
        <w:rPr>
          <w:b/>
          <w:bCs/>
          <w:color w:val="000000"/>
          <w:sz w:val="22"/>
          <w:szCs w:val="22"/>
        </w:rPr>
        <w:t>teracy Score</w:t>
      </w:r>
    </w:p>
    <w:p w:rsidR="00EC446D" w:rsidRPr="009B3657" w:rsidRDefault="006C4192" w:rsidP="009B3657">
      <w:pPr>
        <w:spacing w:after="60"/>
        <w:jc w:val="center"/>
        <w:rPr>
          <w:sz w:val="22"/>
          <w:szCs w:val="22"/>
        </w:rPr>
      </w:pPr>
      <w:r w:rsidRPr="009B3657">
        <w:rPr>
          <w:bCs/>
          <w:color w:val="000000"/>
          <w:sz w:val="22"/>
          <w:szCs w:val="22"/>
        </w:rPr>
        <w:t>by Cognitive L</w:t>
      </w:r>
      <w:r w:rsidR="00EC446D" w:rsidRPr="009B3657">
        <w:rPr>
          <w:bCs/>
          <w:color w:val="000000"/>
          <w:sz w:val="22"/>
          <w:szCs w:val="22"/>
        </w:rPr>
        <w:t>evel</w:t>
      </w:r>
    </w:p>
    <w:tbl>
      <w:tblPr>
        <w:tblStyle w:val="TableGrid"/>
        <w:tblW w:w="9577" w:type="dxa"/>
        <w:tblBorders>
          <w:left w:val="none" w:sz="0" w:space="0" w:color="auto"/>
          <w:right w:val="none" w:sz="0" w:space="0" w:color="auto"/>
          <w:insideH w:val="none" w:sz="0" w:space="0" w:color="auto"/>
          <w:insideV w:val="none" w:sz="0" w:space="0" w:color="auto"/>
        </w:tblBorders>
        <w:tblLook w:val="04A0"/>
      </w:tblPr>
      <w:tblGrid>
        <w:gridCol w:w="2917"/>
        <w:gridCol w:w="2220"/>
        <w:gridCol w:w="2220"/>
        <w:gridCol w:w="2220"/>
      </w:tblGrid>
      <w:tr w:rsidR="00EC446D" w:rsidRPr="006C4192" w:rsidTr="006C4192">
        <w:tc>
          <w:tcPr>
            <w:tcW w:w="2917" w:type="dxa"/>
            <w:tcBorders>
              <w:top w:val="single" w:sz="4" w:space="0" w:color="auto"/>
              <w:bottom w:val="single" w:sz="4" w:space="0" w:color="auto"/>
            </w:tcBorders>
            <w:vAlign w:val="center"/>
            <w:hideMark/>
          </w:tcPr>
          <w:p w:rsidR="00EC446D" w:rsidRPr="006C4192" w:rsidRDefault="00EC446D" w:rsidP="006C4192">
            <w:pPr>
              <w:spacing w:before="100" w:after="100"/>
              <w:rPr>
                <w:b/>
                <w:sz w:val="22"/>
                <w:szCs w:val="22"/>
              </w:rPr>
            </w:pPr>
            <w:r w:rsidRPr="006C4192">
              <w:rPr>
                <w:b/>
                <w:sz w:val="22"/>
                <w:szCs w:val="22"/>
              </w:rPr>
              <w:t>Variable</w:t>
            </w:r>
          </w:p>
        </w:tc>
        <w:tc>
          <w:tcPr>
            <w:tcW w:w="2220" w:type="dxa"/>
            <w:tcBorders>
              <w:top w:val="single" w:sz="4" w:space="0" w:color="auto"/>
              <w:bottom w:val="single" w:sz="4" w:space="0" w:color="auto"/>
            </w:tcBorders>
            <w:vAlign w:val="center"/>
            <w:hideMark/>
          </w:tcPr>
          <w:p w:rsidR="00B3432F" w:rsidRDefault="006C4192" w:rsidP="00B3432F">
            <w:pPr>
              <w:jc w:val="center"/>
              <w:rPr>
                <w:b/>
                <w:sz w:val="22"/>
                <w:szCs w:val="22"/>
              </w:rPr>
            </w:pPr>
            <w:r>
              <w:rPr>
                <w:b/>
                <w:sz w:val="22"/>
                <w:szCs w:val="22"/>
              </w:rPr>
              <w:t>Knowledge</w:t>
            </w:r>
          </w:p>
          <w:p w:rsidR="00EC446D" w:rsidRPr="006C4192" w:rsidRDefault="006C4192" w:rsidP="00B3432F">
            <w:pPr>
              <w:jc w:val="center"/>
              <w:rPr>
                <w:b/>
                <w:sz w:val="22"/>
                <w:szCs w:val="22"/>
              </w:rPr>
            </w:pPr>
            <w:r>
              <w:rPr>
                <w:b/>
                <w:sz w:val="22"/>
                <w:szCs w:val="22"/>
              </w:rPr>
              <w:t xml:space="preserve"> S</w:t>
            </w:r>
            <w:r w:rsidR="00EC446D" w:rsidRPr="006C4192">
              <w:rPr>
                <w:b/>
                <w:sz w:val="22"/>
                <w:szCs w:val="22"/>
              </w:rPr>
              <w:t>core</w:t>
            </w:r>
          </w:p>
        </w:tc>
        <w:tc>
          <w:tcPr>
            <w:tcW w:w="2220" w:type="dxa"/>
            <w:tcBorders>
              <w:top w:val="single" w:sz="4" w:space="0" w:color="auto"/>
              <w:bottom w:val="single" w:sz="4" w:space="0" w:color="auto"/>
            </w:tcBorders>
            <w:vAlign w:val="center"/>
            <w:hideMark/>
          </w:tcPr>
          <w:p w:rsidR="00EC446D" w:rsidRPr="006C4192" w:rsidRDefault="006C4192" w:rsidP="006C4192">
            <w:pPr>
              <w:spacing w:before="100" w:after="100"/>
              <w:jc w:val="center"/>
              <w:rPr>
                <w:b/>
                <w:sz w:val="22"/>
                <w:szCs w:val="22"/>
              </w:rPr>
            </w:pPr>
            <w:r>
              <w:rPr>
                <w:b/>
                <w:sz w:val="22"/>
                <w:szCs w:val="22"/>
              </w:rPr>
              <w:t>Comprehension S</w:t>
            </w:r>
            <w:r w:rsidR="00EC446D" w:rsidRPr="006C4192">
              <w:rPr>
                <w:b/>
                <w:sz w:val="22"/>
                <w:szCs w:val="22"/>
              </w:rPr>
              <w:t>core</w:t>
            </w:r>
          </w:p>
        </w:tc>
        <w:tc>
          <w:tcPr>
            <w:tcW w:w="2220" w:type="dxa"/>
            <w:tcBorders>
              <w:top w:val="single" w:sz="4" w:space="0" w:color="auto"/>
              <w:bottom w:val="single" w:sz="4" w:space="0" w:color="auto"/>
            </w:tcBorders>
            <w:vAlign w:val="center"/>
            <w:hideMark/>
          </w:tcPr>
          <w:p w:rsidR="00B3432F" w:rsidRDefault="006C4192" w:rsidP="00B3432F">
            <w:pPr>
              <w:spacing w:before="100"/>
              <w:jc w:val="center"/>
              <w:rPr>
                <w:b/>
                <w:sz w:val="22"/>
                <w:szCs w:val="22"/>
              </w:rPr>
            </w:pPr>
            <w:r>
              <w:rPr>
                <w:b/>
                <w:sz w:val="22"/>
                <w:szCs w:val="22"/>
              </w:rPr>
              <w:t xml:space="preserve">Application </w:t>
            </w:r>
          </w:p>
          <w:p w:rsidR="00EC446D" w:rsidRPr="006C4192" w:rsidRDefault="006C4192" w:rsidP="00B3432F">
            <w:pPr>
              <w:spacing w:after="100"/>
              <w:jc w:val="center"/>
              <w:rPr>
                <w:b/>
                <w:sz w:val="22"/>
                <w:szCs w:val="22"/>
              </w:rPr>
            </w:pPr>
            <w:r>
              <w:rPr>
                <w:b/>
                <w:sz w:val="22"/>
                <w:szCs w:val="22"/>
              </w:rPr>
              <w:t>S</w:t>
            </w:r>
            <w:r w:rsidR="00EC446D" w:rsidRPr="006C4192">
              <w:rPr>
                <w:b/>
                <w:sz w:val="22"/>
                <w:szCs w:val="22"/>
              </w:rPr>
              <w:t>core</w:t>
            </w:r>
          </w:p>
        </w:tc>
      </w:tr>
      <w:tr w:rsidR="00EC446D" w:rsidRPr="006C4192" w:rsidTr="006C4192">
        <w:tc>
          <w:tcPr>
            <w:tcW w:w="2917" w:type="dxa"/>
            <w:tcBorders>
              <w:top w:val="single" w:sz="4" w:space="0" w:color="auto"/>
            </w:tcBorders>
            <w:vAlign w:val="center"/>
            <w:hideMark/>
          </w:tcPr>
          <w:p w:rsidR="00EC446D" w:rsidRPr="006C4192" w:rsidRDefault="00EC446D" w:rsidP="006C4192">
            <w:pPr>
              <w:ind w:left="426" w:hanging="426"/>
              <w:rPr>
                <w:sz w:val="22"/>
                <w:szCs w:val="22"/>
              </w:rPr>
            </w:pPr>
            <w:r w:rsidRPr="006C4192">
              <w:rPr>
                <w:sz w:val="22"/>
                <w:szCs w:val="22"/>
              </w:rPr>
              <w:t>Gender (Male = 1)</w:t>
            </w:r>
          </w:p>
        </w:tc>
        <w:tc>
          <w:tcPr>
            <w:tcW w:w="2220" w:type="dxa"/>
            <w:tcBorders>
              <w:top w:val="single" w:sz="4" w:space="0" w:color="auto"/>
            </w:tcBorders>
            <w:vAlign w:val="center"/>
            <w:hideMark/>
          </w:tcPr>
          <w:p w:rsidR="00EC446D" w:rsidRPr="006C4192" w:rsidRDefault="00EC446D" w:rsidP="00B3432F">
            <w:pPr>
              <w:tabs>
                <w:tab w:val="decimal" w:pos="906"/>
              </w:tabs>
              <w:rPr>
                <w:sz w:val="22"/>
                <w:szCs w:val="22"/>
              </w:rPr>
            </w:pPr>
            <w:r w:rsidRPr="006C4192">
              <w:rPr>
                <w:sz w:val="22"/>
                <w:szCs w:val="22"/>
              </w:rPr>
              <w:t>0.551</w:t>
            </w:r>
          </w:p>
          <w:p w:rsidR="00EC446D" w:rsidRPr="006C4192" w:rsidRDefault="00EC446D" w:rsidP="00B3432F">
            <w:pPr>
              <w:tabs>
                <w:tab w:val="decimal" w:pos="906"/>
              </w:tabs>
              <w:rPr>
                <w:sz w:val="22"/>
                <w:szCs w:val="22"/>
              </w:rPr>
            </w:pPr>
            <w:r w:rsidRPr="006C4192">
              <w:rPr>
                <w:sz w:val="22"/>
                <w:szCs w:val="22"/>
              </w:rPr>
              <w:t>(0.388)</w:t>
            </w:r>
          </w:p>
        </w:tc>
        <w:tc>
          <w:tcPr>
            <w:tcW w:w="2220" w:type="dxa"/>
            <w:tcBorders>
              <w:top w:val="single" w:sz="4" w:space="0" w:color="auto"/>
            </w:tcBorders>
            <w:vAlign w:val="center"/>
            <w:hideMark/>
          </w:tcPr>
          <w:p w:rsidR="00EC446D" w:rsidRPr="006C4192" w:rsidRDefault="00EC446D" w:rsidP="00B3432F">
            <w:pPr>
              <w:tabs>
                <w:tab w:val="decimal" w:pos="817"/>
              </w:tabs>
              <w:rPr>
                <w:sz w:val="22"/>
                <w:szCs w:val="22"/>
              </w:rPr>
            </w:pPr>
            <w:r w:rsidRPr="006C4192">
              <w:rPr>
                <w:sz w:val="22"/>
                <w:szCs w:val="22"/>
              </w:rPr>
              <w:t>0.690</w:t>
            </w:r>
          </w:p>
          <w:p w:rsidR="00EC446D" w:rsidRPr="006C4192" w:rsidRDefault="00EC446D" w:rsidP="00B3432F">
            <w:pPr>
              <w:tabs>
                <w:tab w:val="decimal" w:pos="817"/>
              </w:tabs>
              <w:rPr>
                <w:sz w:val="22"/>
                <w:szCs w:val="22"/>
              </w:rPr>
            </w:pPr>
            <w:r w:rsidRPr="006C4192">
              <w:rPr>
                <w:sz w:val="22"/>
                <w:szCs w:val="22"/>
              </w:rPr>
              <w:t>(0.549)</w:t>
            </w:r>
          </w:p>
        </w:tc>
        <w:tc>
          <w:tcPr>
            <w:tcW w:w="2220" w:type="dxa"/>
            <w:tcBorders>
              <w:top w:val="single" w:sz="4" w:space="0" w:color="auto"/>
            </w:tcBorders>
            <w:vAlign w:val="center"/>
            <w:hideMark/>
          </w:tcPr>
          <w:p w:rsidR="00EC446D" w:rsidRPr="006C4192" w:rsidRDefault="00EC446D" w:rsidP="00B3432F">
            <w:pPr>
              <w:tabs>
                <w:tab w:val="decimal" w:pos="865"/>
              </w:tabs>
              <w:rPr>
                <w:sz w:val="22"/>
                <w:szCs w:val="22"/>
              </w:rPr>
            </w:pPr>
            <w:r w:rsidRPr="006C4192">
              <w:rPr>
                <w:sz w:val="22"/>
                <w:szCs w:val="22"/>
              </w:rPr>
              <w:t>-0.031</w:t>
            </w:r>
          </w:p>
          <w:p w:rsidR="00EC446D" w:rsidRPr="006C4192" w:rsidRDefault="00EC446D" w:rsidP="00B3432F">
            <w:pPr>
              <w:tabs>
                <w:tab w:val="decimal" w:pos="865"/>
              </w:tabs>
              <w:rPr>
                <w:sz w:val="22"/>
                <w:szCs w:val="22"/>
              </w:rPr>
            </w:pPr>
            <w:r w:rsidRPr="006C4192">
              <w:rPr>
                <w:sz w:val="22"/>
                <w:szCs w:val="22"/>
              </w:rPr>
              <w:t>(0.267)</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Age</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8.102</w:t>
            </w:r>
            <w:r w:rsidRPr="006C4192">
              <w:rPr>
                <w:sz w:val="22"/>
                <w:szCs w:val="22"/>
                <w:vertAlign w:val="superscript"/>
              </w:rPr>
              <w:t>*</w:t>
            </w:r>
            <w:r w:rsidRPr="006C4192">
              <w:rPr>
                <w:sz w:val="22"/>
                <w:szCs w:val="22"/>
                <w:vertAlign w:val="superscript"/>
              </w:rPr>
              <w:br/>
            </w:r>
            <w:r w:rsidRPr="006C4192">
              <w:rPr>
                <w:sz w:val="22"/>
                <w:szCs w:val="22"/>
              </w:rPr>
              <w:t>(4.366)</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15.474</w:t>
            </w:r>
            <w:r w:rsidRPr="006C4192">
              <w:rPr>
                <w:sz w:val="22"/>
                <w:szCs w:val="22"/>
                <w:vertAlign w:val="superscript"/>
              </w:rPr>
              <w:t>*</w:t>
            </w:r>
            <w:r w:rsidRPr="006C4192">
              <w:rPr>
                <w:sz w:val="22"/>
                <w:szCs w:val="22"/>
                <w:vertAlign w:val="superscript"/>
              </w:rPr>
              <w:br/>
            </w:r>
            <w:r w:rsidRPr="006C4192">
              <w:rPr>
                <w:sz w:val="22"/>
                <w:szCs w:val="22"/>
              </w:rPr>
              <w:t>(8.750)</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5.843</w:t>
            </w:r>
            <w:r w:rsidRPr="006C4192">
              <w:rPr>
                <w:sz w:val="22"/>
                <w:szCs w:val="22"/>
                <w:vertAlign w:val="superscript"/>
              </w:rPr>
              <w:br/>
            </w:r>
            <w:r w:rsidRPr="006C4192">
              <w:rPr>
                <w:sz w:val="22"/>
                <w:szCs w:val="22"/>
              </w:rPr>
              <w:t>(3.808)</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Age</w:t>
            </w:r>
            <w:r w:rsidRPr="006C4192">
              <w:rPr>
                <w:sz w:val="22"/>
                <w:szCs w:val="22"/>
                <w:vertAlign w:val="superscript"/>
              </w:rPr>
              <w:t>2</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-0.249</w:t>
            </w:r>
            <w:r w:rsidRPr="006C4192">
              <w:rPr>
                <w:sz w:val="22"/>
                <w:szCs w:val="22"/>
                <w:vertAlign w:val="superscript"/>
              </w:rPr>
              <w:t>*</w:t>
            </w:r>
            <w:r w:rsidRPr="006C4192">
              <w:rPr>
                <w:sz w:val="22"/>
                <w:szCs w:val="22"/>
              </w:rPr>
              <w:br/>
              <w:t>(0.140)</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-0.473</w:t>
            </w:r>
            <w:r w:rsidRPr="006C4192">
              <w:rPr>
                <w:sz w:val="22"/>
                <w:szCs w:val="22"/>
                <w:vertAlign w:val="superscript"/>
              </w:rPr>
              <w:t>*</w:t>
            </w:r>
            <w:r w:rsidRPr="006C4192">
              <w:rPr>
                <w:sz w:val="22"/>
                <w:szCs w:val="22"/>
              </w:rPr>
              <w:br/>
              <w:t>(0.286)</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-0.178</w:t>
            </w:r>
            <w:r w:rsidRPr="006C4192">
              <w:rPr>
                <w:sz w:val="22"/>
                <w:szCs w:val="22"/>
              </w:rPr>
              <w:br/>
              <w:t>(0.124)</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English as a first language (Yes = 1)</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0.177</w:t>
            </w:r>
            <w:r w:rsidRPr="006C4192">
              <w:rPr>
                <w:sz w:val="22"/>
                <w:szCs w:val="22"/>
                <w:vertAlign w:val="superscript"/>
              </w:rPr>
              <w:br/>
            </w:r>
            <w:r w:rsidRPr="006C4192">
              <w:rPr>
                <w:sz w:val="22"/>
                <w:szCs w:val="22"/>
              </w:rPr>
              <w:t>(0.409)</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1.492</w:t>
            </w:r>
            <w:r w:rsidRPr="006C4192">
              <w:rPr>
                <w:sz w:val="22"/>
                <w:szCs w:val="22"/>
                <w:vertAlign w:val="superscript"/>
              </w:rPr>
              <w:t>**</w:t>
            </w:r>
            <w:r w:rsidRPr="006C4192">
              <w:rPr>
                <w:sz w:val="22"/>
                <w:szCs w:val="22"/>
                <w:vertAlign w:val="superscript"/>
              </w:rPr>
              <w:br/>
            </w:r>
            <w:r w:rsidRPr="006C4192">
              <w:rPr>
                <w:sz w:val="22"/>
                <w:szCs w:val="22"/>
              </w:rPr>
              <w:t>(0.725)</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0.522</w:t>
            </w:r>
            <w:r w:rsidRPr="006C4192">
              <w:rPr>
                <w:sz w:val="22"/>
                <w:szCs w:val="22"/>
                <w:vertAlign w:val="superscript"/>
              </w:rPr>
              <w:br/>
            </w:r>
            <w:r w:rsidRPr="006C4192">
              <w:rPr>
                <w:sz w:val="22"/>
                <w:szCs w:val="22"/>
              </w:rPr>
              <w:t>(0.328)</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Economics or business studies (Yes = 1)</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0.804</w:t>
            </w:r>
            <w:r w:rsidRPr="006C4192">
              <w:rPr>
                <w:sz w:val="22"/>
                <w:szCs w:val="22"/>
                <w:vertAlign w:val="superscript"/>
              </w:rPr>
              <w:t>**</w:t>
            </w:r>
            <w:r w:rsidRPr="006C4192">
              <w:rPr>
                <w:sz w:val="22"/>
                <w:szCs w:val="22"/>
                <w:vertAlign w:val="superscript"/>
              </w:rPr>
              <w:br/>
            </w:r>
            <w:r w:rsidRPr="006C4192">
              <w:rPr>
                <w:sz w:val="22"/>
                <w:szCs w:val="22"/>
              </w:rPr>
              <w:t>(0.340)</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1.980</w:t>
            </w:r>
            <w:r w:rsidRPr="006C4192">
              <w:rPr>
                <w:sz w:val="22"/>
                <w:szCs w:val="22"/>
                <w:vertAlign w:val="superscript"/>
              </w:rPr>
              <w:t>***</w:t>
            </w:r>
            <w:r w:rsidRPr="006C4192">
              <w:rPr>
                <w:sz w:val="22"/>
                <w:szCs w:val="22"/>
                <w:vertAlign w:val="superscript"/>
              </w:rPr>
              <w:br/>
            </w:r>
            <w:r w:rsidRPr="006C4192">
              <w:rPr>
                <w:sz w:val="22"/>
                <w:szCs w:val="22"/>
              </w:rPr>
              <w:t>(0.537)</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0.289</w:t>
            </w:r>
            <w:r w:rsidRPr="006C4192">
              <w:rPr>
                <w:sz w:val="22"/>
                <w:szCs w:val="22"/>
                <w:vertAlign w:val="superscript"/>
              </w:rPr>
              <w:br/>
            </w:r>
            <w:r w:rsidRPr="006C4192">
              <w:rPr>
                <w:sz w:val="22"/>
                <w:szCs w:val="22"/>
              </w:rPr>
              <w:t>(0.256)</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High mathematics ability</w:t>
            </w:r>
            <w:r w:rsidRPr="006C4192">
              <w:rPr>
                <w:sz w:val="22"/>
                <w:szCs w:val="22"/>
              </w:rPr>
              <w:br/>
              <w:t>(Yes = 1)</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0.929</w:t>
            </w:r>
            <w:r w:rsidRPr="006C4192">
              <w:rPr>
                <w:sz w:val="22"/>
                <w:szCs w:val="22"/>
                <w:vertAlign w:val="superscript"/>
              </w:rPr>
              <w:t>**</w:t>
            </w:r>
            <w:r w:rsidRPr="006C4192">
              <w:rPr>
                <w:sz w:val="22"/>
                <w:szCs w:val="22"/>
                <w:vertAlign w:val="superscript"/>
              </w:rPr>
              <w:br/>
            </w:r>
            <w:r w:rsidRPr="006C4192">
              <w:rPr>
                <w:sz w:val="22"/>
                <w:szCs w:val="22"/>
              </w:rPr>
              <w:t>(0.373)</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1.704</w:t>
            </w:r>
            <w:r w:rsidRPr="006C4192">
              <w:rPr>
                <w:sz w:val="22"/>
                <w:szCs w:val="22"/>
                <w:vertAlign w:val="superscript"/>
              </w:rPr>
              <w:t>***</w:t>
            </w:r>
            <w:r w:rsidRPr="006C4192">
              <w:rPr>
                <w:sz w:val="22"/>
                <w:szCs w:val="22"/>
                <w:vertAlign w:val="superscript"/>
              </w:rPr>
              <w:br/>
            </w:r>
            <w:r w:rsidRPr="006C4192">
              <w:rPr>
                <w:sz w:val="22"/>
                <w:szCs w:val="22"/>
              </w:rPr>
              <w:t>(0.547)</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0.853</w:t>
            </w:r>
            <w:r w:rsidRPr="006C4192">
              <w:rPr>
                <w:sz w:val="22"/>
                <w:szCs w:val="22"/>
                <w:vertAlign w:val="superscript"/>
              </w:rPr>
              <w:t>***</w:t>
            </w:r>
            <w:r w:rsidRPr="006C4192">
              <w:rPr>
                <w:sz w:val="22"/>
                <w:szCs w:val="22"/>
                <w:vertAlign w:val="superscript"/>
              </w:rPr>
              <w:br/>
            </w:r>
            <w:r w:rsidRPr="006C4192">
              <w:rPr>
                <w:sz w:val="22"/>
                <w:szCs w:val="22"/>
              </w:rPr>
              <w:t>(0.273)</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Low mathematics ability</w:t>
            </w:r>
            <w:r w:rsidRPr="006C4192">
              <w:rPr>
                <w:sz w:val="22"/>
                <w:szCs w:val="22"/>
              </w:rPr>
              <w:br/>
              <w:t>(Yes = 1)</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0.265</w:t>
            </w:r>
            <w:r w:rsidRPr="006C4192">
              <w:rPr>
                <w:sz w:val="22"/>
                <w:szCs w:val="22"/>
                <w:vertAlign w:val="superscript"/>
              </w:rPr>
              <w:br/>
            </w:r>
            <w:r w:rsidRPr="006C4192">
              <w:rPr>
                <w:sz w:val="22"/>
                <w:szCs w:val="22"/>
              </w:rPr>
              <w:t>(0.600)</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-0.518</w:t>
            </w:r>
            <w:r w:rsidRPr="006C4192">
              <w:rPr>
                <w:sz w:val="22"/>
                <w:szCs w:val="22"/>
                <w:vertAlign w:val="superscript"/>
              </w:rPr>
              <w:br/>
            </w:r>
            <w:r w:rsidRPr="006C4192">
              <w:rPr>
                <w:sz w:val="22"/>
                <w:szCs w:val="22"/>
              </w:rPr>
              <w:t>(0.799)</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0.203</w:t>
            </w:r>
            <w:r w:rsidRPr="006C4192">
              <w:rPr>
                <w:sz w:val="22"/>
                <w:szCs w:val="22"/>
                <w:vertAlign w:val="superscript"/>
              </w:rPr>
              <w:br/>
            </w:r>
            <w:r w:rsidRPr="006C4192">
              <w:rPr>
                <w:sz w:val="22"/>
                <w:szCs w:val="22"/>
              </w:rPr>
              <w:t>(0.370)</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Bank account (years)</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0.074</w:t>
            </w:r>
            <w:r w:rsidRPr="006C4192">
              <w:rPr>
                <w:sz w:val="22"/>
                <w:szCs w:val="22"/>
                <w:vertAlign w:val="superscript"/>
              </w:rPr>
              <w:t>**</w:t>
            </w:r>
            <w:r w:rsidRPr="006C4192">
              <w:rPr>
                <w:sz w:val="22"/>
                <w:szCs w:val="22"/>
                <w:vertAlign w:val="superscript"/>
              </w:rPr>
              <w:br/>
            </w:r>
            <w:r w:rsidRPr="006C4192">
              <w:rPr>
                <w:sz w:val="22"/>
                <w:szCs w:val="22"/>
              </w:rPr>
              <w:t>(0.036)</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0.097</w:t>
            </w:r>
            <w:r w:rsidRPr="006C4192">
              <w:rPr>
                <w:sz w:val="22"/>
                <w:szCs w:val="22"/>
                <w:vertAlign w:val="superscript"/>
              </w:rPr>
              <w:t>*</w:t>
            </w:r>
            <w:r w:rsidRPr="006C4192">
              <w:rPr>
                <w:sz w:val="22"/>
                <w:szCs w:val="22"/>
                <w:vertAlign w:val="superscript"/>
              </w:rPr>
              <w:br/>
            </w:r>
            <w:r w:rsidRPr="006C4192">
              <w:rPr>
                <w:sz w:val="22"/>
                <w:szCs w:val="22"/>
              </w:rPr>
              <w:t>(0.053)</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0.061</w:t>
            </w:r>
            <w:r w:rsidRPr="006C4192">
              <w:rPr>
                <w:sz w:val="22"/>
                <w:szCs w:val="22"/>
                <w:vertAlign w:val="superscript"/>
              </w:rPr>
              <w:t>**</w:t>
            </w:r>
            <w:r w:rsidRPr="006C4192">
              <w:rPr>
                <w:sz w:val="22"/>
                <w:szCs w:val="22"/>
                <w:vertAlign w:val="superscript"/>
              </w:rPr>
              <w:br/>
            </w:r>
            <w:r w:rsidRPr="006C4192">
              <w:rPr>
                <w:sz w:val="22"/>
                <w:szCs w:val="22"/>
              </w:rPr>
              <w:t>(0.026)</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Employment (years)</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-0.141</w:t>
            </w:r>
            <w:r w:rsidRPr="006C4192">
              <w:rPr>
                <w:sz w:val="22"/>
                <w:szCs w:val="22"/>
                <w:vertAlign w:val="superscript"/>
              </w:rPr>
              <w:br/>
            </w:r>
            <w:r w:rsidRPr="006C4192">
              <w:rPr>
                <w:sz w:val="22"/>
                <w:szCs w:val="22"/>
              </w:rPr>
              <w:t>(0.151)</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-0.364</w:t>
            </w:r>
            <w:r w:rsidRPr="006C4192">
              <w:rPr>
                <w:sz w:val="22"/>
                <w:szCs w:val="22"/>
                <w:vertAlign w:val="superscript"/>
              </w:rPr>
              <w:br/>
            </w:r>
            <w:r w:rsidRPr="006C4192">
              <w:rPr>
                <w:sz w:val="22"/>
                <w:szCs w:val="22"/>
              </w:rPr>
              <w:t>(0.261)</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0.038</w:t>
            </w:r>
            <w:r w:rsidRPr="006C4192">
              <w:rPr>
                <w:sz w:val="22"/>
                <w:szCs w:val="22"/>
                <w:vertAlign w:val="superscript"/>
              </w:rPr>
              <w:br/>
            </w:r>
            <w:r w:rsidRPr="006C4192">
              <w:rPr>
                <w:sz w:val="22"/>
                <w:szCs w:val="22"/>
              </w:rPr>
              <w:t>(0.135)</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Pays mobile phone</w:t>
            </w:r>
            <w:r w:rsidRPr="006C4192">
              <w:rPr>
                <w:sz w:val="22"/>
                <w:szCs w:val="22"/>
              </w:rPr>
              <w:br/>
              <w:t>(Yes = 1)</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-0.164</w:t>
            </w:r>
            <w:r w:rsidRPr="006C4192">
              <w:rPr>
                <w:sz w:val="22"/>
                <w:szCs w:val="22"/>
                <w:vertAlign w:val="superscript"/>
              </w:rPr>
              <w:t xml:space="preserve"> </w:t>
            </w:r>
            <w:r w:rsidRPr="006C4192">
              <w:rPr>
                <w:sz w:val="22"/>
                <w:szCs w:val="22"/>
                <w:vertAlign w:val="superscript"/>
              </w:rPr>
              <w:br/>
            </w:r>
            <w:r w:rsidRPr="006C4192">
              <w:rPr>
                <w:sz w:val="22"/>
                <w:szCs w:val="22"/>
              </w:rPr>
              <w:t>(0.329)</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-0.232</w:t>
            </w:r>
            <w:r w:rsidRPr="006C4192">
              <w:rPr>
                <w:sz w:val="22"/>
                <w:szCs w:val="22"/>
                <w:vertAlign w:val="superscript"/>
              </w:rPr>
              <w:t xml:space="preserve"> </w:t>
            </w:r>
            <w:r w:rsidRPr="006C4192">
              <w:rPr>
                <w:sz w:val="22"/>
                <w:szCs w:val="22"/>
                <w:vertAlign w:val="superscript"/>
              </w:rPr>
              <w:br/>
            </w:r>
            <w:r w:rsidRPr="006C4192">
              <w:rPr>
                <w:sz w:val="22"/>
                <w:szCs w:val="22"/>
              </w:rPr>
              <w:t>(0.487)</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-0.043</w:t>
            </w:r>
            <w:r w:rsidRPr="006C4192">
              <w:rPr>
                <w:sz w:val="22"/>
                <w:szCs w:val="22"/>
                <w:vertAlign w:val="superscript"/>
              </w:rPr>
              <w:t xml:space="preserve"> </w:t>
            </w:r>
            <w:r w:rsidRPr="006C4192">
              <w:rPr>
                <w:sz w:val="22"/>
                <w:szCs w:val="22"/>
                <w:vertAlign w:val="superscript"/>
              </w:rPr>
              <w:br/>
            </w:r>
            <w:r w:rsidRPr="006C4192">
              <w:rPr>
                <w:sz w:val="22"/>
                <w:szCs w:val="22"/>
              </w:rPr>
              <w:t>(0.233)</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Social deprivation score</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-0.005</w:t>
            </w:r>
            <w:r w:rsidRPr="006C4192">
              <w:rPr>
                <w:sz w:val="22"/>
                <w:szCs w:val="22"/>
                <w:vertAlign w:val="superscript"/>
              </w:rPr>
              <w:t>**</w:t>
            </w:r>
            <w:r w:rsidRPr="006C4192">
              <w:rPr>
                <w:sz w:val="22"/>
                <w:szCs w:val="22"/>
                <w:vertAlign w:val="superscript"/>
              </w:rPr>
              <w:br/>
            </w:r>
            <w:r w:rsidRPr="006C4192">
              <w:rPr>
                <w:sz w:val="22"/>
                <w:szCs w:val="22"/>
              </w:rPr>
              <w:t>(0.002)</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-0.008</w:t>
            </w:r>
            <w:r w:rsidRPr="006C4192">
              <w:rPr>
                <w:sz w:val="22"/>
                <w:szCs w:val="22"/>
                <w:vertAlign w:val="superscript"/>
              </w:rPr>
              <w:t>**</w:t>
            </w:r>
            <w:r w:rsidRPr="006C4192">
              <w:rPr>
                <w:sz w:val="22"/>
                <w:szCs w:val="22"/>
                <w:vertAlign w:val="superscript"/>
              </w:rPr>
              <w:br/>
            </w:r>
            <w:r w:rsidRPr="006C4192">
              <w:rPr>
                <w:sz w:val="22"/>
                <w:szCs w:val="22"/>
              </w:rPr>
              <w:t>(0.003)</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&lt;0.001</w:t>
            </w:r>
            <w:r w:rsidRPr="006C4192">
              <w:rPr>
                <w:sz w:val="22"/>
                <w:szCs w:val="22"/>
                <w:vertAlign w:val="superscript"/>
              </w:rPr>
              <w:br/>
            </w:r>
            <w:r w:rsidRPr="006C4192">
              <w:rPr>
                <w:sz w:val="22"/>
                <w:szCs w:val="22"/>
              </w:rPr>
              <w:t>(0.002)</w:t>
            </w:r>
          </w:p>
        </w:tc>
      </w:tr>
      <w:tr w:rsidR="00EC446D" w:rsidRPr="006C4192" w:rsidTr="006C4192">
        <w:tc>
          <w:tcPr>
            <w:tcW w:w="2917" w:type="dxa"/>
            <w:vAlign w:val="center"/>
            <w:hideMark/>
          </w:tcPr>
          <w:p w:rsidR="00EC446D" w:rsidRPr="006C4192" w:rsidRDefault="00EC446D" w:rsidP="006C4192">
            <w:pPr>
              <w:ind w:left="426" w:hanging="426"/>
              <w:rPr>
                <w:sz w:val="22"/>
                <w:szCs w:val="22"/>
              </w:rPr>
            </w:pPr>
            <w:r w:rsidRPr="006C4192">
              <w:rPr>
                <w:sz w:val="22"/>
                <w:szCs w:val="22"/>
              </w:rPr>
              <w:t>Financial risk tolerance score</w:t>
            </w:r>
          </w:p>
        </w:tc>
        <w:tc>
          <w:tcPr>
            <w:tcW w:w="2220" w:type="dxa"/>
            <w:vAlign w:val="center"/>
            <w:hideMark/>
          </w:tcPr>
          <w:p w:rsidR="00EC446D" w:rsidRPr="006C4192" w:rsidRDefault="00EC446D" w:rsidP="00B3432F">
            <w:pPr>
              <w:tabs>
                <w:tab w:val="decimal" w:pos="906"/>
              </w:tabs>
              <w:rPr>
                <w:sz w:val="22"/>
                <w:szCs w:val="22"/>
              </w:rPr>
            </w:pPr>
            <w:r w:rsidRPr="006C4192">
              <w:rPr>
                <w:sz w:val="22"/>
                <w:szCs w:val="22"/>
              </w:rPr>
              <w:t>0.007</w:t>
            </w:r>
            <w:r w:rsidRPr="006C4192">
              <w:rPr>
                <w:sz w:val="22"/>
                <w:szCs w:val="22"/>
                <w:vertAlign w:val="superscript"/>
              </w:rPr>
              <w:t xml:space="preserve"> </w:t>
            </w:r>
            <w:r w:rsidRPr="006C4192">
              <w:rPr>
                <w:sz w:val="22"/>
                <w:szCs w:val="22"/>
                <w:vertAlign w:val="superscript"/>
              </w:rPr>
              <w:br/>
            </w:r>
            <w:r w:rsidRPr="006C4192">
              <w:rPr>
                <w:sz w:val="22"/>
                <w:szCs w:val="22"/>
              </w:rPr>
              <w:t>(0.032)</w:t>
            </w:r>
          </w:p>
        </w:tc>
        <w:tc>
          <w:tcPr>
            <w:tcW w:w="2220" w:type="dxa"/>
            <w:vAlign w:val="center"/>
            <w:hideMark/>
          </w:tcPr>
          <w:p w:rsidR="00EC446D" w:rsidRPr="006C4192" w:rsidRDefault="00EC446D" w:rsidP="00B3432F">
            <w:pPr>
              <w:tabs>
                <w:tab w:val="decimal" w:pos="817"/>
              </w:tabs>
              <w:rPr>
                <w:sz w:val="22"/>
                <w:szCs w:val="22"/>
              </w:rPr>
            </w:pPr>
            <w:r w:rsidRPr="006C4192">
              <w:rPr>
                <w:sz w:val="22"/>
                <w:szCs w:val="22"/>
              </w:rPr>
              <w:t>-0.046</w:t>
            </w:r>
            <w:r w:rsidRPr="006C4192">
              <w:rPr>
                <w:sz w:val="22"/>
                <w:szCs w:val="22"/>
                <w:vertAlign w:val="superscript"/>
              </w:rPr>
              <w:t xml:space="preserve"> </w:t>
            </w:r>
            <w:r w:rsidRPr="006C4192">
              <w:rPr>
                <w:sz w:val="22"/>
                <w:szCs w:val="22"/>
                <w:vertAlign w:val="superscript"/>
              </w:rPr>
              <w:br/>
            </w:r>
            <w:r w:rsidRPr="006C4192">
              <w:rPr>
                <w:sz w:val="22"/>
                <w:szCs w:val="22"/>
              </w:rPr>
              <w:t>(0.043)</w:t>
            </w:r>
          </w:p>
        </w:tc>
        <w:tc>
          <w:tcPr>
            <w:tcW w:w="2220" w:type="dxa"/>
            <w:vAlign w:val="center"/>
            <w:hideMark/>
          </w:tcPr>
          <w:p w:rsidR="00EC446D" w:rsidRPr="006C4192" w:rsidRDefault="00EC446D" w:rsidP="00B3432F">
            <w:pPr>
              <w:tabs>
                <w:tab w:val="decimal" w:pos="865"/>
              </w:tabs>
              <w:rPr>
                <w:sz w:val="22"/>
                <w:szCs w:val="22"/>
              </w:rPr>
            </w:pPr>
            <w:r w:rsidRPr="006C4192">
              <w:rPr>
                <w:sz w:val="22"/>
                <w:szCs w:val="22"/>
              </w:rPr>
              <w:t>-0.032</w:t>
            </w:r>
            <w:r w:rsidRPr="006C4192">
              <w:rPr>
                <w:sz w:val="22"/>
                <w:szCs w:val="22"/>
                <w:vertAlign w:val="superscript"/>
              </w:rPr>
              <w:t xml:space="preserve">* </w:t>
            </w:r>
            <w:r w:rsidRPr="006C4192">
              <w:rPr>
                <w:sz w:val="22"/>
                <w:szCs w:val="22"/>
                <w:vertAlign w:val="superscript"/>
              </w:rPr>
              <w:br/>
            </w:r>
            <w:r w:rsidRPr="006C4192">
              <w:rPr>
                <w:sz w:val="22"/>
                <w:szCs w:val="22"/>
              </w:rPr>
              <w:t>(0.019)</w:t>
            </w:r>
          </w:p>
        </w:tc>
      </w:tr>
      <w:tr w:rsidR="00EC446D" w:rsidRPr="006C4192" w:rsidTr="006C4192">
        <w:tc>
          <w:tcPr>
            <w:tcW w:w="2917" w:type="dxa"/>
            <w:vAlign w:val="center"/>
          </w:tcPr>
          <w:p w:rsidR="00EC446D" w:rsidRPr="006C4192" w:rsidRDefault="00EC446D" w:rsidP="006C4192">
            <w:pPr>
              <w:ind w:left="426" w:hanging="426"/>
              <w:rPr>
                <w:sz w:val="22"/>
                <w:szCs w:val="22"/>
              </w:rPr>
            </w:pPr>
          </w:p>
        </w:tc>
        <w:tc>
          <w:tcPr>
            <w:tcW w:w="2220" w:type="dxa"/>
            <w:vAlign w:val="center"/>
          </w:tcPr>
          <w:p w:rsidR="00EC446D" w:rsidRPr="006C4192" w:rsidRDefault="00EC446D" w:rsidP="00B3432F">
            <w:pPr>
              <w:tabs>
                <w:tab w:val="decimal" w:pos="906"/>
              </w:tabs>
              <w:rPr>
                <w:sz w:val="22"/>
                <w:szCs w:val="22"/>
              </w:rPr>
            </w:pPr>
          </w:p>
        </w:tc>
        <w:tc>
          <w:tcPr>
            <w:tcW w:w="2220" w:type="dxa"/>
            <w:vAlign w:val="center"/>
          </w:tcPr>
          <w:p w:rsidR="00EC446D" w:rsidRPr="006C4192" w:rsidRDefault="00EC446D" w:rsidP="00B3432F">
            <w:pPr>
              <w:tabs>
                <w:tab w:val="decimal" w:pos="817"/>
              </w:tabs>
              <w:rPr>
                <w:sz w:val="22"/>
                <w:szCs w:val="22"/>
              </w:rPr>
            </w:pPr>
          </w:p>
        </w:tc>
        <w:tc>
          <w:tcPr>
            <w:tcW w:w="2220" w:type="dxa"/>
            <w:vAlign w:val="center"/>
          </w:tcPr>
          <w:p w:rsidR="00EC446D" w:rsidRPr="006C4192" w:rsidRDefault="00EC446D" w:rsidP="00B3432F">
            <w:pPr>
              <w:tabs>
                <w:tab w:val="decimal" w:pos="865"/>
              </w:tabs>
              <w:rPr>
                <w:sz w:val="22"/>
                <w:szCs w:val="22"/>
              </w:rPr>
            </w:pPr>
          </w:p>
        </w:tc>
      </w:tr>
      <w:tr w:rsidR="00EC446D" w:rsidRPr="006C4192" w:rsidTr="006C4192">
        <w:tc>
          <w:tcPr>
            <w:tcW w:w="2917" w:type="dxa"/>
            <w:vAlign w:val="center"/>
            <w:hideMark/>
          </w:tcPr>
          <w:p w:rsidR="00EC446D" w:rsidRPr="009B3657" w:rsidRDefault="00EC446D" w:rsidP="006C4192">
            <w:pPr>
              <w:ind w:left="426" w:hanging="426"/>
              <w:rPr>
                <w:i/>
                <w:sz w:val="22"/>
                <w:szCs w:val="22"/>
              </w:rPr>
            </w:pPr>
            <w:r w:rsidRPr="009B3657">
              <w:rPr>
                <w:i/>
                <w:sz w:val="22"/>
                <w:szCs w:val="22"/>
              </w:rPr>
              <w:t>n</w:t>
            </w:r>
          </w:p>
        </w:tc>
        <w:tc>
          <w:tcPr>
            <w:tcW w:w="2220" w:type="dxa"/>
            <w:vAlign w:val="center"/>
            <w:hideMark/>
          </w:tcPr>
          <w:p w:rsidR="00EC446D" w:rsidRPr="006C4192" w:rsidRDefault="00EC446D" w:rsidP="00B3432F">
            <w:pPr>
              <w:tabs>
                <w:tab w:val="decimal" w:pos="1194"/>
              </w:tabs>
              <w:rPr>
                <w:sz w:val="22"/>
                <w:szCs w:val="22"/>
              </w:rPr>
            </w:pPr>
            <w:r w:rsidRPr="006C4192">
              <w:rPr>
                <w:sz w:val="22"/>
                <w:szCs w:val="22"/>
              </w:rPr>
              <w:t>207</w:t>
            </w:r>
          </w:p>
        </w:tc>
        <w:tc>
          <w:tcPr>
            <w:tcW w:w="2220" w:type="dxa"/>
            <w:vAlign w:val="center"/>
            <w:hideMark/>
          </w:tcPr>
          <w:p w:rsidR="00EC446D" w:rsidRPr="006C4192" w:rsidRDefault="00B3432F" w:rsidP="00B3432F">
            <w:pPr>
              <w:tabs>
                <w:tab w:val="decimal" w:pos="1100"/>
              </w:tabs>
              <w:rPr>
                <w:sz w:val="22"/>
                <w:szCs w:val="22"/>
              </w:rPr>
            </w:pPr>
            <w:r>
              <w:rPr>
                <w:sz w:val="22"/>
                <w:szCs w:val="22"/>
              </w:rPr>
              <w:t xml:space="preserve">   </w:t>
            </w:r>
            <w:r w:rsidR="00EC446D" w:rsidRPr="006C4192">
              <w:rPr>
                <w:sz w:val="22"/>
                <w:szCs w:val="22"/>
              </w:rPr>
              <w:t>207</w:t>
            </w:r>
          </w:p>
        </w:tc>
        <w:tc>
          <w:tcPr>
            <w:tcW w:w="2220" w:type="dxa"/>
            <w:vAlign w:val="center"/>
            <w:hideMark/>
          </w:tcPr>
          <w:p w:rsidR="00EC446D" w:rsidRPr="006C4192" w:rsidRDefault="00B3432F" w:rsidP="00B3432F">
            <w:pPr>
              <w:tabs>
                <w:tab w:val="decimal" w:pos="865"/>
                <w:tab w:val="decimal" w:pos="1194"/>
              </w:tabs>
              <w:rPr>
                <w:sz w:val="22"/>
                <w:szCs w:val="22"/>
              </w:rPr>
            </w:pPr>
            <w:r>
              <w:rPr>
                <w:sz w:val="22"/>
                <w:szCs w:val="22"/>
              </w:rPr>
              <w:tab/>
            </w:r>
            <w:r>
              <w:rPr>
                <w:sz w:val="22"/>
                <w:szCs w:val="22"/>
              </w:rPr>
              <w:tab/>
            </w:r>
            <w:r w:rsidR="00EC446D" w:rsidRPr="006C4192">
              <w:rPr>
                <w:sz w:val="22"/>
                <w:szCs w:val="22"/>
              </w:rPr>
              <w:t>207</w:t>
            </w:r>
          </w:p>
        </w:tc>
      </w:tr>
      <w:tr w:rsidR="00EC446D" w:rsidRPr="006C4192" w:rsidTr="006C4192">
        <w:tc>
          <w:tcPr>
            <w:tcW w:w="2917" w:type="dxa"/>
            <w:hideMark/>
          </w:tcPr>
          <w:p w:rsidR="00EC446D" w:rsidRPr="006C4192" w:rsidRDefault="00EC446D" w:rsidP="00B3432F">
            <w:pPr>
              <w:spacing w:after="60"/>
              <w:ind w:left="426" w:hanging="426"/>
              <w:rPr>
                <w:sz w:val="22"/>
                <w:szCs w:val="22"/>
              </w:rPr>
            </w:pPr>
            <w:r w:rsidRPr="006C4192">
              <w:rPr>
                <w:sz w:val="22"/>
                <w:szCs w:val="22"/>
              </w:rPr>
              <w:t>R</w:t>
            </w:r>
            <w:r w:rsidRPr="006C4192">
              <w:rPr>
                <w:sz w:val="22"/>
                <w:szCs w:val="22"/>
                <w:vertAlign w:val="superscript"/>
              </w:rPr>
              <w:t>2</w:t>
            </w:r>
          </w:p>
        </w:tc>
        <w:tc>
          <w:tcPr>
            <w:tcW w:w="2220" w:type="dxa"/>
            <w:hideMark/>
          </w:tcPr>
          <w:p w:rsidR="00EC446D" w:rsidRPr="006C4192" w:rsidRDefault="00EC446D" w:rsidP="00B3432F">
            <w:pPr>
              <w:tabs>
                <w:tab w:val="decimal" w:pos="906"/>
              </w:tabs>
              <w:spacing w:after="60"/>
              <w:rPr>
                <w:sz w:val="22"/>
                <w:szCs w:val="22"/>
              </w:rPr>
            </w:pPr>
            <w:r w:rsidRPr="006C4192">
              <w:rPr>
                <w:sz w:val="22"/>
                <w:szCs w:val="22"/>
              </w:rPr>
              <w:t>0.137</w:t>
            </w:r>
          </w:p>
        </w:tc>
        <w:tc>
          <w:tcPr>
            <w:tcW w:w="2220" w:type="dxa"/>
            <w:hideMark/>
          </w:tcPr>
          <w:p w:rsidR="00EC446D" w:rsidRPr="006C4192" w:rsidRDefault="00EC446D" w:rsidP="00B3432F">
            <w:pPr>
              <w:tabs>
                <w:tab w:val="decimal" w:pos="817"/>
              </w:tabs>
              <w:spacing w:after="60"/>
              <w:rPr>
                <w:sz w:val="22"/>
                <w:szCs w:val="22"/>
              </w:rPr>
            </w:pPr>
            <w:r w:rsidRPr="006C4192">
              <w:rPr>
                <w:sz w:val="22"/>
                <w:szCs w:val="22"/>
              </w:rPr>
              <w:t>0.182</w:t>
            </w:r>
          </w:p>
        </w:tc>
        <w:tc>
          <w:tcPr>
            <w:tcW w:w="2220" w:type="dxa"/>
            <w:hideMark/>
          </w:tcPr>
          <w:p w:rsidR="00EC446D" w:rsidRPr="006C4192" w:rsidRDefault="00EC446D" w:rsidP="00B3432F">
            <w:pPr>
              <w:tabs>
                <w:tab w:val="decimal" w:pos="865"/>
              </w:tabs>
              <w:spacing w:after="60"/>
              <w:rPr>
                <w:sz w:val="22"/>
                <w:szCs w:val="22"/>
              </w:rPr>
            </w:pPr>
            <w:r w:rsidRPr="006C4192">
              <w:rPr>
                <w:sz w:val="22"/>
                <w:szCs w:val="22"/>
              </w:rPr>
              <w:t>0.096</w:t>
            </w:r>
          </w:p>
        </w:tc>
      </w:tr>
    </w:tbl>
    <w:p w:rsidR="00EC446D" w:rsidRPr="006C4192" w:rsidRDefault="00EC446D" w:rsidP="00B3432F">
      <w:pPr>
        <w:spacing w:before="60"/>
        <w:jc w:val="both"/>
        <w:rPr>
          <w:sz w:val="22"/>
          <w:szCs w:val="22"/>
        </w:rPr>
      </w:pPr>
      <w:r w:rsidRPr="006C4192">
        <w:rPr>
          <w:sz w:val="22"/>
          <w:szCs w:val="22"/>
          <w:vertAlign w:val="superscript"/>
        </w:rPr>
        <w:t>*</w:t>
      </w:r>
      <w:r w:rsidRPr="006C4192">
        <w:rPr>
          <w:sz w:val="22"/>
          <w:szCs w:val="22"/>
        </w:rPr>
        <w:t xml:space="preserve"> p&lt;0.1; </w:t>
      </w:r>
      <w:r w:rsidRPr="006C4192">
        <w:rPr>
          <w:sz w:val="22"/>
          <w:szCs w:val="22"/>
          <w:vertAlign w:val="superscript"/>
        </w:rPr>
        <w:t>**</w:t>
      </w:r>
      <w:r w:rsidRPr="006C4192">
        <w:rPr>
          <w:sz w:val="22"/>
          <w:szCs w:val="22"/>
        </w:rPr>
        <w:t xml:space="preserve"> p&lt;0.05; </w:t>
      </w:r>
      <w:r w:rsidRPr="006C4192">
        <w:rPr>
          <w:sz w:val="22"/>
          <w:szCs w:val="22"/>
          <w:vertAlign w:val="superscript"/>
        </w:rPr>
        <w:t>***</w:t>
      </w:r>
      <w:r w:rsidRPr="006C4192">
        <w:rPr>
          <w:sz w:val="22"/>
          <w:szCs w:val="22"/>
        </w:rPr>
        <w:t xml:space="preserve"> p&lt;0.01</w:t>
      </w:r>
    </w:p>
    <w:p w:rsidR="00EC446D" w:rsidRDefault="00EC446D" w:rsidP="00B3432F">
      <w:pPr>
        <w:tabs>
          <w:tab w:val="left" w:pos="284"/>
        </w:tabs>
        <w:spacing w:before="60" w:line="288" w:lineRule="auto"/>
        <w:jc w:val="both"/>
      </w:pPr>
    </w:p>
    <w:p w:rsidR="004E7D3D" w:rsidRDefault="004E7D3D" w:rsidP="00EC446D">
      <w:pPr>
        <w:tabs>
          <w:tab w:val="left" w:pos="284"/>
        </w:tabs>
        <w:spacing w:line="288" w:lineRule="auto"/>
        <w:jc w:val="both"/>
      </w:pPr>
    </w:p>
    <w:p w:rsidR="00EC446D" w:rsidRDefault="0035460F" w:rsidP="00EC446D">
      <w:pPr>
        <w:tabs>
          <w:tab w:val="left" w:pos="284"/>
        </w:tabs>
        <w:spacing w:line="288" w:lineRule="auto"/>
        <w:jc w:val="both"/>
      </w:pPr>
      <w:r>
        <w:tab/>
      </w:r>
      <w:r w:rsidR="00EC446D">
        <w:t>Interestingly, after controlling for other variables, parental wealth (proxied by social deprivation) is only associated with knowledge and comprehension, but not application scores. This implies that students from wealthy families are better able to recognise and understand personal finance terms, but that this higher recognition and understanding does not necessarily translate into greater ability to make financial decisions.</w:t>
      </w:r>
    </w:p>
    <w:p w:rsidR="00292791" w:rsidRDefault="00292791" w:rsidP="00EC446D">
      <w:pPr>
        <w:tabs>
          <w:tab w:val="left" w:pos="284"/>
        </w:tabs>
        <w:spacing w:line="288" w:lineRule="auto"/>
        <w:jc w:val="both"/>
      </w:pPr>
    </w:p>
    <w:p w:rsidR="004005E0" w:rsidRDefault="0035460F" w:rsidP="007231F9">
      <w:pPr>
        <w:pStyle w:val="Heading3"/>
        <w:tabs>
          <w:tab w:val="left" w:pos="284"/>
        </w:tabs>
        <w:spacing w:before="0" w:after="0" w:line="288" w:lineRule="auto"/>
        <w:jc w:val="both"/>
        <w:rPr>
          <w:rFonts w:ascii="Times New Roman" w:hAnsi="Times New Roman"/>
          <w:i w:val="0"/>
          <w:spacing w:val="0"/>
          <w:sz w:val="24"/>
          <w:szCs w:val="24"/>
          <w:u w:val="none"/>
        </w:rPr>
      </w:pPr>
      <w:r>
        <w:rPr>
          <w:rFonts w:ascii="Times New Roman" w:hAnsi="Times New Roman"/>
          <w:i w:val="0"/>
          <w:spacing w:val="0"/>
          <w:sz w:val="24"/>
          <w:szCs w:val="24"/>
          <w:u w:val="none"/>
        </w:rPr>
        <w:tab/>
      </w:r>
      <w:r w:rsidR="004005E0" w:rsidRPr="004005E0">
        <w:rPr>
          <w:rFonts w:ascii="Times New Roman" w:hAnsi="Times New Roman"/>
          <w:i w:val="0"/>
          <w:spacing w:val="0"/>
          <w:sz w:val="24"/>
          <w:szCs w:val="24"/>
          <w:u w:val="none"/>
        </w:rPr>
        <w:t xml:space="preserve">Finally, financial risk tolerance is moderately negatively associated with application scores. This suggests that, within this sample, students who are more risk averse (lower </w:t>
      </w:r>
      <w:r w:rsidR="004005E0" w:rsidRPr="004005E0">
        <w:rPr>
          <w:rFonts w:ascii="Times New Roman" w:hAnsi="Times New Roman"/>
          <w:i w:val="0"/>
          <w:spacing w:val="0"/>
          <w:sz w:val="24"/>
          <w:szCs w:val="24"/>
          <w:u w:val="none"/>
        </w:rPr>
        <w:lastRenderedPageBreak/>
        <w:t xml:space="preserve">financial risk tolerance) have greater ability to apply their financial literacy knowledge to decision-making. This is an interesting result since it also implies that, holding other factors constant, students with </w:t>
      </w:r>
      <w:r w:rsidR="00542CA9">
        <w:rPr>
          <w:rFonts w:ascii="Times New Roman" w:hAnsi="Times New Roman"/>
          <w:i w:val="0"/>
          <w:spacing w:val="0"/>
          <w:sz w:val="24"/>
          <w:szCs w:val="24"/>
          <w:u w:val="none"/>
        </w:rPr>
        <w:t>poorer</w:t>
      </w:r>
      <w:r w:rsidR="004005E0" w:rsidRPr="004005E0">
        <w:rPr>
          <w:rFonts w:ascii="Times New Roman" w:hAnsi="Times New Roman"/>
          <w:i w:val="0"/>
          <w:spacing w:val="0"/>
          <w:sz w:val="24"/>
          <w:szCs w:val="24"/>
          <w:u w:val="none"/>
        </w:rPr>
        <w:t xml:space="preserve"> performance in terms of financial decision-making are also those that would be willing to make </w:t>
      </w:r>
      <w:r w:rsidR="00542CA9">
        <w:rPr>
          <w:rFonts w:ascii="Times New Roman" w:hAnsi="Times New Roman"/>
          <w:i w:val="0"/>
          <w:spacing w:val="0"/>
          <w:sz w:val="24"/>
          <w:szCs w:val="24"/>
          <w:u w:val="none"/>
        </w:rPr>
        <w:t>riskier</w:t>
      </w:r>
      <w:r w:rsidR="004005E0" w:rsidRPr="004005E0">
        <w:rPr>
          <w:rFonts w:ascii="Times New Roman" w:hAnsi="Times New Roman"/>
          <w:i w:val="0"/>
          <w:spacing w:val="0"/>
          <w:sz w:val="24"/>
          <w:szCs w:val="24"/>
          <w:u w:val="none"/>
        </w:rPr>
        <w:t xml:space="preserve"> investment choices.</w:t>
      </w:r>
    </w:p>
    <w:p w:rsidR="004005E0" w:rsidRDefault="004005E0" w:rsidP="007231F9">
      <w:pPr>
        <w:pStyle w:val="Heading3"/>
        <w:tabs>
          <w:tab w:val="left" w:pos="284"/>
        </w:tabs>
        <w:spacing w:before="0" w:after="0" w:line="288" w:lineRule="auto"/>
        <w:jc w:val="both"/>
        <w:rPr>
          <w:rFonts w:ascii="Times New Roman" w:hAnsi="Times New Roman"/>
          <w:i w:val="0"/>
          <w:spacing w:val="0"/>
          <w:sz w:val="24"/>
          <w:szCs w:val="24"/>
          <w:u w:val="none"/>
        </w:rPr>
      </w:pPr>
    </w:p>
    <w:p w:rsidR="00D33CAD" w:rsidRDefault="00A2798F" w:rsidP="007231F9">
      <w:pPr>
        <w:pStyle w:val="Heading3"/>
        <w:tabs>
          <w:tab w:val="left" w:pos="284"/>
        </w:tabs>
        <w:spacing w:before="0" w:after="0" w:line="288" w:lineRule="auto"/>
        <w:jc w:val="both"/>
        <w:rPr>
          <w:rFonts w:ascii="Times New Roman" w:hAnsi="Times New Roman"/>
          <w:b/>
          <w:i w:val="0"/>
          <w:sz w:val="24"/>
          <w:szCs w:val="24"/>
          <w:u w:val="none"/>
        </w:rPr>
      </w:pPr>
      <w:r>
        <w:rPr>
          <w:rFonts w:ascii="Times New Roman" w:hAnsi="Times New Roman"/>
          <w:b/>
          <w:i w:val="0"/>
          <w:sz w:val="24"/>
          <w:szCs w:val="24"/>
          <w:u w:val="none"/>
        </w:rPr>
        <w:t>5</w:t>
      </w:r>
      <w:r w:rsidR="00214AC7">
        <w:rPr>
          <w:rFonts w:ascii="Times New Roman" w:hAnsi="Times New Roman"/>
          <w:b/>
          <w:i w:val="0"/>
          <w:sz w:val="24"/>
          <w:szCs w:val="24"/>
          <w:u w:val="none"/>
        </w:rPr>
        <w:t xml:space="preserve">.  </w:t>
      </w:r>
      <w:r>
        <w:rPr>
          <w:rFonts w:ascii="Times New Roman" w:hAnsi="Times New Roman"/>
          <w:b/>
          <w:i w:val="0"/>
          <w:sz w:val="24"/>
          <w:szCs w:val="24"/>
          <w:u w:val="none"/>
        </w:rPr>
        <w:t>Conclusion</w:t>
      </w:r>
      <w:r w:rsidR="006C4192">
        <w:rPr>
          <w:rFonts w:ascii="Times New Roman" w:hAnsi="Times New Roman"/>
          <w:b/>
          <w:i w:val="0"/>
          <w:sz w:val="24"/>
          <w:szCs w:val="24"/>
          <w:u w:val="none"/>
        </w:rPr>
        <w:t>s</w:t>
      </w:r>
      <w:r w:rsidR="002E47AE" w:rsidRPr="008F7BE6">
        <w:rPr>
          <w:rFonts w:ascii="Times New Roman" w:hAnsi="Times New Roman"/>
          <w:b/>
          <w:i w:val="0"/>
          <w:sz w:val="24"/>
          <w:szCs w:val="24"/>
          <w:u w:val="none"/>
        </w:rPr>
        <w:t xml:space="preserve"> </w:t>
      </w:r>
    </w:p>
    <w:p w:rsidR="00E77E41" w:rsidRPr="00E77E41" w:rsidRDefault="00E77E41" w:rsidP="007231F9">
      <w:pPr>
        <w:pStyle w:val="Heading3"/>
        <w:tabs>
          <w:tab w:val="left" w:pos="284"/>
        </w:tabs>
        <w:spacing w:before="0" w:after="0" w:line="288" w:lineRule="auto"/>
        <w:jc w:val="both"/>
        <w:rPr>
          <w:rFonts w:ascii="Times New Roman" w:hAnsi="Times New Roman"/>
          <w:b/>
          <w:i w:val="0"/>
          <w:sz w:val="8"/>
          <w:szCs w:val="8"/>
          <w:u w:val="none"/>
        </w:rPr>
      </w:pPr>
    </w:p>
    <w:p w:rsidR="00EC446D" w:rsidRDefault="00EC446D" w:rsidP="00EC446D">
      <w:pPr>
        <w:tabs>
          <w:tab w:val="left" w:pos="284"/>
        </w:tabs>
        <w:spacing w:line="288" w:lineRule="auto"/>
        <w:jc w:val="both"/>
      </w:pPr>
      <w:r>
        <w:t xml:space="preserve">The results presented in this paper have a number of important implications for policy makers and education providers. To the extent that financial literacy is associated with financial decision making, these results suggest that teenagers are poorly prepared for making potentially life-changing financial decisions. This result is not limited to our sample of New Zealand high school students – our results are merely one of many studies that find extremely low levels of financial literacy among teenagers (see for example, Cameron </w:t>
      </w:r>
      <w:r w:rsidR="006C4192" w:rsidRPr="006C4192">
        <w:rPr>
          <w:i/>
        </w:rPr>
        <w:t>et al</w:t>
      </w:r>
      <w:r w:rsidR="006C4192">
        <w:t xml:space="preserve">. </w:t>
      </w:r>
      <w:r>
        <w:t xml:space="preserve">(2013) or </w:t>
      </w:r>
      <w:proofErr w:type="spellStart"/>
      <w:r>
        <w:t>Mandell</w:t>
      </w:r>
      <w:proofErr w:type="spellEnd"/>
      <w:r>
        <w:t xml:space="preserve"> (2008b)). </w:t>
      </w:r>
      <w:r w:rsidR="00B75464">
        <w:t xml:space="preserve"> </w:t>
      </w:r>
      <w:r>
        <w:t xml:space="preserve">Financial literacy is described as an education priority in various National Strategies for Financial Literacy (New Zealand Network for Financial Literacy, 2010; Financial Literacy and Education Commission, 2011). Thus, a general programme of financial literacy improvement is warranted, and </w:t>
      </w:r>
      <w:r w:rsidR="00542CA9">
        <w:t>there is a strong case for it to</w:t>
      </w:r>
      <w:r>
        <w:t xml:space="preserve"> be rolled out as part of the compulsory curriculum in high schools.</w:t>
      </w:r>
    </w:p>
    <w:p w:rsidR="00292791" w:rsidRDefault="00292791" w:rsidP="00EC446D">
      <w:pPr>
        <w:tabs>
          <w:tab w:val="left" w:pos="284"/>
        </w:tabs>
        <w:spacing w:line="288" w:lineRule="auto"/>
        <w:jc w:val="both"/>
      </w:pPr>
    </w:p>
    <w:p w:rsidR="00EC446D" w:rsidRDefault="0035460F" w:rsidP="00EC446D">
      <w:pPr>
        <w:tabs>
          <w:tab w:val="left" w:pos="284"/>
        </w:tabs>
        <w:spacing w:line="288" w:lineRule="auto"/>
        <w:jc w:val="both"/>
      </w:pPr>
      <w:r>
        <w:tab/>
      </w:r>
      <w:r w:rsidR="00EC446D">
        <w:t xml:space="preserve">Barring a general or compulsory programme of financial literacy education, there are a number of general results in our paper that could justify a more targeted approach. </w:t>
      </w:r>
      <w:r w:rsidR="00B75464">
        <w:t xml:space="preserve"> </w:t>
      </w:r>
      <w:r w:rsidR="00EC446D">
        <w:t xml:space="preserve">Financial literacy was lowest among poorer students, those with less English ability, and those with less academic ability. </w:t>
      </w:r>
      <w:r w:rsidR="00B75464">
        <w:t xml:space="preserve"> </w:t>
      </w:r>
      <w:r w:rsidR="00EC446D">
        <w:t>This suggests that financial literacy programmes may be able to generate the greatest gains in financial literacy by targeting students</w:t>
      </w:r>
      <w:r w:rsidR="00542CA9">
        <w:t xml:space="preserve"> from poorer communities</w:t>
      </w:r>
      <w:r w:rsidR="00EC446D">
        <w:t>, recent immigrants, and/or schools in poorer areas. However, we also found that English ability and social deprivation of students were not related to financial literacy at the application cognitive level. This is the cognitive level at which respondents are asked to apply their financial literacy knowledge, potentially the most important level since it is the closest to actual financial decision making behaviour. This suggests that, while this targeted approach may improve fin</w:t>
      </w:r>
      <w:r w:rsidR="00542CA9">
        <w:t>ancial literacy amongst the more</w:t>
      </w:r>
      <w:r w:rsidR="00EC446D">
        <w:t xml:space="preserve"> vulnerable sections of the community, there are still significant gains to be had by extending financial literacy education to all high school students.</w:t>
      </w:r>
    </w:p>
    <w:p w:rsidR="00292791" w:rsidRDefault="00292791" w:rsidP="00EC446D">
      <w:pPr>
        <w:tabs>
          <w:tab w:val="left" w:pos="284"/>
        </w:tabs>
        <w:spacing w:line="288" w:lineRule="auto"/>
        <w:jc w:val="both"/>
      </w:pPr>
    </w:p>
    <w:p w:rsidR="00EC446D" w:rsidRDefault="0035460F" w:rsidP="00EC446D">
      <w:pPr>
        <w:tabs>
          <w:tab w:val="left" w:pos="284"/>
        </w:tabs>
        <w:spacing w:line="288" w:lineRule="auto"/>
        <w:jc w:val="both"/>
      </w:pPr>
      <w:r>
        <w:tab/>
      </w:r>
      <w:r w:rsidR="00EC446D">
        <w:t xml:space="preserve">Besides the overall poor results, one particular aspect should be especially concerning. Lower scores at the application cognitive level of financial literacy are associated with higher levels of financial risk tolerance. </w:t>
      </w:r>
      <w:r w:rsidR="00B75464">
        <w:t xml:space="preserve"> </w:t>
      </w:r>
      <w:r w:rsidR="00EC446D">
        <w:t xml:space="preserve">In other words, high school students who are less risk averse are also less able to apply </w:t>
      </w:r>
      <w:r w:rsidR="00542CA9">
        <w:t xml:space="preserve">their </w:t>
      </w:r>
      <w:r w:rsidR="00EC446D">
        <w:t xml:space="preserve">knowledge to </w:t>
      </w:r>
      <w:r w:rsidR="00542CA9">
        <w:t xml:space="preserve">personal financial </w:t>
      </w:r>
      <w:r w:rsidR="00EC446D">
        <w:t xml:space="preserve">situations. This result </w:t>
      </w:r>
      <w:r w:rsidR="00542CA9">
        <w:t>provides some support for</w:t>
      </w:r>
      <w:r w:rsidR="00EC446D">
        <w:t xml:space="preserve"> the contention that poor financial literacy was one of the causes of the recent Global Financial Crisis (</w:t>
      </w:r>
      <w:proofErr w:type="spellStart"/>
      <w:r w:rsidR="00EC446D">
        <w:t>Gerardi</w:t>
      </w:r>
      <w:proofErr w:type="spellEnd"/>
      <w:r w:rsidR="00EC446D">
        <w:t xml:space="preserve"> </w:t>
      </w:r>
      <w:r w:rsidR="006C4192" w:rsidRPr="006C4192">
        <w:rPr>
          <w:i/>
        </w:rPr>
        <w:t>et al</w:t>
      </w:r>
      <w:r w:rsidR="006C4192">
        <w:t xml:space="preserve">. </w:t>
      </w:r>
      <w:r w:rsidR="00EC446D">
        <w:t xml:space="preserve">2010), and if that is true then a general form of financial literacy education at high school level should be adopted with some urgency. This also raises the question of whether there is some causal mechanism between financial literacy at the application cognitive level and financial risk tolerance – does the ability to </w:t>
      </w:r>
      <w:r w:rsidR="00EC446D">
        <w:lastRenderedPageBreak/>
        <w:t xml:space="preserve">apply personal financial knowledge lead high school students to become more risk averse? While we are not necessarily advocating for greater risk aversion in the general population, a greater degree of prudence with regard to investment opportunities </w:t>
      </w:r>
      <w:r w:rsidR="00542CA9">
        <w:t>may be</w:t>
      </w:r>
      <w:r w:rsidR="00EC446D">
        <w:t xml:space="preserve"> warranted.</w:t>
      </w:r>
    </w:p>
    <w:p w:rsidR="00292791" w:rsidRDefault="00292791" w:rsidP="00EC446D">
      <w:pPr>
        <w:tabs>
          <w:tab w:val="left" w:pos="284"/>
        </w:tabs>
        <w:spacing w:line="288" w:lineRule="auto"/>
        <w:jc w:val="both"/>
      </w:pPr>
    </w:p>
    <w:p w:rsidR="00B3432F" w:rsidRDefault="0035460F" w:rsidP="00EC446D">
      <w:pPr>
        <w:tabs>
          <w:tab w:val="left" w:pos="284"/>
        </w:tabs>
        <w:spacing w:line="288" w:lineRule="auto"/>
        <w:jc w:val="both"/>
      </w:pPr>
      <w:r>
        <w:tab/>
      </w:r>
      <w:r w:rsidR="00EC446D">
        <w:t>This research also raises other questions that should be explored in future research. Some of these questions have already been identified in a recent report by the Financial Literacy and Education Commission Research and Evaluation Working Group (2011). First, while we have looked at financial literacy at three different cognitive levels, we are unable to establish the extent to which financial literacy is associated with actual financial decision making. We can infer that the application cognitive level is related to decision making behaviour, but we cannot definitively say this. This is particularly true in light of the weak links between financial education and financial behaviour among mature adults that have been established in t</w:t>
      </w:r>
      <w:r w:rsidR="006C4192">
        <w:t>he existing literature (</w:t>
      </w:r>
      <w:proofErr w:type="spellStart"/>
      <w:r w:rsidR="006C4192">
        <w:t>Lusardi</w:t>
      </w:r>
      <w:proofErr w:type="spellEnd"/>
      <w:r w:rsidR="006C4192">
        <w:t xml:space="preserve"> 2008, </w:t>
      </w:r>
      <w:proofErr w:type="spellStart"/>
      <w:r w:rsidR="006C4192">
        <w:t>Roa</w:t>
      </w:r>
      <w:proofErr w:type="spellEnd"/>
      <w:r w:rsidR="006C4192">
        <w:t xml:space="preserve"> Garcia</w:t>
      </w:r>
      <w:r w:rsidR="00EC446D">
        <w:t xml:space="preserve"> 2013). Longitudinal or experimental studies among high school students will be necessary in order to investigate whether financial literacy education among the young improves their financial decision making behaviour, both immediately and as they grow older (see also </w:t>
      </w:r>
      <w:proofErr w:type="spellStart"/>
      <w:r w:rsidR="00EC446D">
        <w:t>Bernheim</w:t>
      </w:r>
      <w:proofErr w:type="spellEnd"/>
      <w:r w:rsidR="00EC446D">
        <w:t xml:space="preserve"> </w:t>
      </w:r>
      <w:r w:rsidR="006C4192" w:rsidRPr="006C4192">
        <w:rPr>
          <w:i/>
        </w:rPr>
        <w:t>et al</w:t>
      </w:r>
      <w:r w:rsidR="006C4192">
        <w:t xml:space="preserve">. </w:t>
      </w:r>
      <w:r w:rsidR="00EC446D">
        <w:t xml:space="preserve">(2001)). </w:t>
      </w:r>
    </w:p>
    <w:p w:rsidR="00B3432F" w:rsidRDefault="00B3432F" w:rsidP="00EC446D">
      <w:pPr>
        <w:tabs>
          <w:tab w:val="left" w:pos="284"/>
        </w:tabs>
        <w:spacing w:line="288" w:lineRule="auto"/>
        <w:jc w:val="both"/>
      </w:pPr>
    </w:p>
    <w:p w:rsidR="00EC446D" w:rsidRDefault="00B3432F" w:rsidP="00EC446D">
      <w:pPr>
        <w:tabs>
          <w:tab w:val="left" w:pos="284"/>
        </w:tabs>
        <w:spacing w:line="288" w:lineRule="auto"/>
        <w:jc w:val="both"/>
      </w:pPr>
      <w:r>
        <w:tab/>
      </w:r>
      <w:r w:rsidR="00EC446D">
        <w:t>Second</w:t>
      </w:r>
      <w:r>
        <w:t xml:space="preserve">ly, </w:t>
      </w:r>
      <w:r w:rsidR="00EC446D">
        <w:t>we have</w:t>
      </w:r>
      <w:r>
        <w:t>, in this paper,</w:t>
      </w:r>
      <w:r w:rsidR="00EC446D">
        <w:t xml:space="preserve"> identified the factors associated with financial literacy, but have been unable to establish causal factors. </w:t>
      </w:r>
      <w:r w:rsidR="00B75464">
        <w:t xml:space="preserve"> </w:t>
      </w:r>
      <w:r w:rsidR="00EC446D">
        <w:t xml:space="preserve">In particular, we believe it is worth investigating further whether business studies and economics courses in junior high school have an effect on financial literacy in senior high school. </w:t>
      </w:r>
      <w:r w:rsidR="00B75464">
        <w:t xml:space="preserve"> </w:t>
      </w:r>
      <w:r w:rsidR="00EC446D">
        <w:t>Answering this question would help to tailor appropriate financial literacy education programmes.  Finally, once appropriate programmes of financial literacy education are in place, evaluation of their effectiveness (including their effectiveness in changing financial decision making behaviour as well as their effectiveness in increasing financial literacy) should be undertaken.</w:t>
      </w:r>
    </w:p>
    <w:p w:rsidR="00292791" w:rsidRDefault="00292791" w:rsidP="00EC446D">
      <w:pPr>
        <w:tabs>
          <w:tab w:val="left" w:pos="284"/>
        </w:tabs>
        <w:spacing w:line="288" w:lineRule="auto"/>
        <w:jc w:val="both"/>
      </w:pPr>
    </w:p>
    <w:p w:rsidR="00EC446D" w:rsidRDefault="0035460F" w:rsidP="00EC446D">
      <w:pPr>
        <w:tabs>
          <w:tab w:val="left" w:pos="284"/>
        </w:tabs>
        <w:spacing w:line="288" w:lineRule="auto"/>
        <w:jc w:val="both"/>
      </w:pPr>
      <w:r>
        <w:tab/>
      </w:r>
      <w:r w:rsidR="00EC446D">
        <w:t>Financial literacy is a key component of knowledge for consumers in modern society. People who lack adequate financial literacy are more likely to make financial decisions with adverse consequences for themselves or others. A general form of financial literacy education, beginning at the high school level, may be the key to improving the situation.</w:t>
      </w:r>
    </w:p>
    <w:p w:rsidR="00A2798F" w:rsidRDefault="00A2798F" w:rsidP="00A2798F">
      <w:pPr>
        <w:tabs>
          <w:tab w:val="left" w:pos="284"/>
        </w:tabs>
        <w:spacing w:line="288" w:lineRule="auto"/>
        <w:jc w:val="both"/>
      </w:pPr>
    </w:p>
    <w:p w:rsidR="009B3657" w:rsidRDefault="009B3657">
      <w:pPr>
        <w:rPr>
          <w:b/>
          <w:bCs/>
          <w:iCs/>
        </w:rPr>
      </w:pPr>
      <w:r>
        <w:br w:type="page"/>
      </w:r>
    </w:p>
    <w:p w:rsidR="00DF5FEE" w:rsidRPr="00214AC7" w:rsidRDefault="00DF5FEE" w:rsidP="007231F9">
      <w:pPr>
        <w:pStyle w:val="Heading2"/>
        <w:tabs>
          <w:tab w:val="left" w:pos="284"/>
        </w:tabs>
        <w:spacing w:before="0" w:after="0" w:line="288" w:lineRule="auto"/>
        <w:ind w:left="709" w:hanging="709"/>
        <w:rPr>
          <w:rFonts w:ascii="Times New Roman" w:hAnsi="Times New Roman" w:cs="Times New Roman"/>
          <w:sz w:val="24"/>
          <w:szCs w:val="24"/>
        </w:rPr>
      </w:pPr>
      <w:r w:rsidRPr="00214AC7">
        <w:rPr>
          <w:rFonts w:ascii="Times New Roman" w:hAnsi="Times New Roman" w:cs="Times New Roman"/>
          <w:sz w:val="24"/>
          <w:szCs w:val="24"/>
        </w:rPr>
        <w:lastRenderedPageBreak/>
        <w:t>References</w:t>
      </w:r>
    </w:p>
    <w:p w:rsidR="004E5A29" w:rsidRPr="006C4192" w:rsidRDefault="004E5A29" w:rsidP="00C065DD">
      <w:pPr>
        <w:ind w:left="426" w:hanging="426"/>
        <w:jc w:val="both"/>
        <w:rPr>
          <w:sz w:val="22"/>
          <w:szCs w:val="22"/>
        </w:rPr>
      </w:pPr>
      <w:proofErr w:type="gramStart"/>
      <w:r w:rsidRPr="006C4192">
        <w:rPr>
          <w:sz w:val="22"/>
          <w:szCs w:val="22"/>
        </w:rPr>
        <w:t>Atkinson, A. and Messy, F. (2012).</w:t>
      </w:r>
      <w:proofErr w:type="gramEnd"/>
      <w:r w:rsidRPr="006C4192">
        <w:rPr>
          <w:sz w:val="22"/>
          <w:szCs w:val="22"/>
        </w:rPr>
        <w:t xml:space="preserve"> Measuring Financial Literacy: Results of the OECD / International Network on Financial Education (INFE) Pilot Study, OECD Working Papers on Finance, Insurance and Private Pensions No. 15. Paris: OECD Publishing.</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 xml:space="preserve">Beckett, A., Hewer, P., and </w:t>
      </w:r>
      <w:proofErr w:type="spellStart"/>
      <w:r w:rsidRPr="006C4192">
        <w:rPr>
          <w:sz w:val="22"/>
          <w:szCs w:val="22"/>
        </w:rPr>
        <w:t>Howcroft</w:t>
      </w:r>
      <w:proofErr w:type="spellEnd"/>
      <w:r w:rsidRPr="006C4192">
        <w:rPr>
          <w:sz w:val="22"/>
          <w:szCs w:val="22"/>
        </w:rPr>
        <w:t>, B. (2000).</w:t>
      </w:r>
      <w:proofErr w:type="gramEnd"/>
      <w:r w:rsidRPr="006C4192">
        <w:rPr>
          <w:sz w:val="22"/>
          <w:szCs w:val="22"/>
        </w:rPr>
        <w:t xml:space="preserve"> </w:t>
      </w:r>
      <w:proofErr w:type="gramStart"/>
      <w:r w:rsidRPr="006C4192">
        <w:rPr>
          <w:sz w:val="22"/>
          <w:szCs w:val="22"/>
        </w:rPr>
        <w:t>An exposition of consumer behaviour in the financial services industry.</w:t>
      </w:r>
      <w:proofErr w:type="gramEnd"/>
      <w:r w:rsidRPr="006C4192">
        <w:rPr>
          <w:sz w:val="22"/>
          <w:szCs w:val="22"/>
        </w:rPr>
        <w:t xml:space="preserve"> </w:t>
      </w:r>
      <w:proofErr w:type="gramStart"/>
      <w:r w:rsidRPr="006C4192">
        <w:rPr>
          <w:sz w:val="22"/>
          <w:szCs w:val="22"/>
        </w:rPr>
        <w:t>International Journal of Bank Marketing 18(1), 15-26.</w:t>
      </w:r>
      <w:proofErr w:type="gramEnd"/>
    </w:p>
    <w:p w:rsidR="004E5A29" w:rsidRPr="006C4192" w:rsidRDefault="004E5A29" w:rsidP="00C065DD">
      <w:pPr>
        <w:ind w:left="426" w:hanging="426"/>
        <w:jc w:val="both"/>
        <w:rPr>
          <w:sz w:val="22"/>
          <w:szCs w:val="22"/>
        </w:rPr>
      </w:pPr>
      <w:proofErr w:type="spellStart"/>
      <w:r w:rsidRPr="006C4192">
        <w:rPr>
          <w:sz w:val="22"/>
          <w:szCs w:val="22"/>
        </w:rPr>
        <w:t>Bernheim</w:t>
      </w:r>
      <w:proofErr w:type="spellEnd"/>
      <w:r w:rsidRPr="006C4192">
        <w:rPr>
          <w:sz w:val="22"/>
          <w:szCs w:val="22"/>
        </w:rPr>
        <w:t>, D., Garrett, D. and Maki, D. (2001) Education and saving: the long-term effects of high school financial curriculum mandates. Journal of Public Economics 80(3), 435-565.</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lang w:val="de-DE"/>
        </w:rPr>
        <w:t xml:space="preserve">Borodich, S., Deplazes, S., Kardash, N., and Kovzik, A. (2010). </w:t>
      </w:r>
      <w:proofErr w:type="gramStart"/>
      <w:r w:rsidRPr="006C4192">
        <w:rPr>
          <w:sz w:val="22"/>
          <w:szCs w:val="22"/>
        </w:rPr>
        <w:t>Comparative analysis of the levels of financial literacy among students in the U.S., Belarus, and Japan.</w:t>
      </w:r>
      <w:proofErr w:type="gramEnd"/>
      <w:r w:rsidRPr="006C4192">
        <w:rPr>
          <w:sz w:val="22"/>
          <w:szCs w:val="22"/>
        </w:rPr>
        <w:t xml:space="preserve"> Journal of Economics and Economic Education Research 11(3), 71-86.</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rPr>
        <w:t xml:space="preserve">Bowen, C.F. (2002). </w:t>
      </w:r>
      <w:proofErr w:type="gramStart"/>
      <w:r w:rsidRPr="006C4192">
        <w:rPr>
          <w:sz w:val="22"/>
          <w:szCs w:val="22"/>
        </w:rPr>
        <w:t>Financial knowledge of teens and their parents.</w:t>
      </w:r>
      <w:proofErr w:type="gramEnd"/>
      <w:r w:rsidRPr="006C4192">
        <w:rPr>
          <w:sz w:val="22"/>
          <w:szCs w:val="22"/>
        </w:rPr>
        <w:t xml:space="preserve"> </w:t>
      </w:r>
      <w:proofErr w:type="gramStart"/>
      <w:r w:rsidRPr="006C4192">
        <w:rPr>
          <w:sz w:val="22"/>
          <w:szCs w:val="22"/>
        </w:rPr>
        <w:t>Financial counseling and planning 13(2), 93-102.</w:t>
      </w:r>
      <w:proofErr w:type="gramEnd"/>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 xml:space="preserve">Butt, N.M., </w:t>
      </w:r>
      <w:proofErr w:type="spellStart"/>
      <w:r w:rsidRPr="006C4192">
        <w:rPr>
          <w:sz w:val="22"/>
          <w:szCs w:val="22"/>
        </w:rPr>
        <w:t>Haessler</w:t>
      </w:r>
      <w:proofErr w:type="spellEnd"/>
      <w:r w:rsidRPr="006C4192">
        <w:rPr>
          <w:sz w:val="22"/>
          <w:szCs w:val="22"/>
        </w:rPr>
        <w:t xml:space="preserve">, S.J., and </w:t>
      </w:r>
      <w:proofErr w:type="spellStart"/>
      <w:r w:rsidRPr="006C4192">
        <w:rPr>
          <w:sz w:val="22"/>
          <w:szCs w:val="22"/>
        </w:rPr>
        <w:t>Schug</w:t>
      </w:r>
      <w:proofErr w:type="spellEnd"/>
      <w:r w:rsidRPr="006C4192">
        <w:rPr>
          <w:sz w:val="22"/>
          <w:szCs w:val="22"/>
        </w:rPr>
        <w:t>, M.C. (2008).</w:t>
      </w:r>
      <w:proofErr w:type="gramEnd"/>
      <w:r w:rsidRPr="006C4192">
        <w:rPr>
          <w:sz w:val="22"/>
          <w:szCs w:val="22"/>
        </w:rPr>
        <w:t xml:space="preserve"> </w:t>
      </w:r>
      <w:proofErr w:type="gramStart"/>
      <w:r w:rsidRPr="006C4192">
        <w:rPr>
          <w:sz w:val="22"/>
          <w:szCs w:val="22"/>
        </w:rPr>
        <w:t>An incentives-based approach to implementing Financial Fitness for Life in the Milwaukee public schools.</w:t>
      </w:r>
      <w:proofErr w:type="gramEnd"/>
      <w:r w:rsidRPr="006C4192">
        <w:rPr>
          <w:sz w:val="22"/>
          <w:szCs w:val="22"/>
        </w:rPr>
        <w:t xml:space="preserve"> Journal of Private Enterprise 24(1), 165-173.</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Cameron, M.P., Calderwood, R., Cox, A., Lim, S., and Yamaoka, M. (2013).</w:t>
      </w:r>
      <w:proofErr w:type="gramEnd"/>
      <w:r w:rsidRPr="006C4192">
        <w:rPr>
          <w:sz w:val="22"/>
          <w:szCs w:val="22"/>
        </w:rPr>
        <w:t xml:space="preserve"> Personal financial literacy among high school students in New Zealand, Japan, and the United States, Department of Economics Working Paper 13/04.  Hamilton, New Zealand: Department of Economics, University of Waikato.</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Chatzoglou</w:t>
      </w:r>
      <w:proofErr w:type="spellEnd"/>
      <w:r w:rsidRPr="006C4192">
        <w:rPr>
          <w:sz w:val="22"/>
          <w:szCs w:val="22"/>
        </w:rPr>
        <w:t xml:space="preserve">, P. D. (2010). </w:t>
      </w:r>
      <w:proofErr w:type="gramStart"/>
      <w:r w:rsidRPr="006C4192">
        <w:rPr>
          <w:sz w:val="22"/>
          <w:szCs w:val="22"/>
        </w:rPr>
        <w:t>Investigating internet usage as innovation adaption: a quantitative study.</w:t>
      </w:r>
      <w:proofErr w:type="gramEnd"/>
      <w:r w:rsidRPr="006C4192">
        <w:rPr>
          <w:sz w:val="22"/>
          <w:szCs w:val="22"/>
        </w:rPr>
        <w:t xml:space="preserve"> Journal of Information, Communication and Ethics in Society 8(4), 338-363.</w:t>
      </w:r>
    </w:p>
    <w:p w:rsidR="002069B9" w:rsidRPr="006C4192" w:rsidRDefault="002069B9" w:rsidP="00C065DD">
      <w:pPr>
        <w:ind w:left="426" w:hanging="426"/>
        <w:jc w:val="both"/>
        <w:rPr>
          <w:sz w:val="22"/>
          <w:szCs w:val="22"/>
        </w:rPr>
      </w:pPr>
    </w:p>
    <w:p w:rsidR="004E5A29" w:rsidRPr="006C4192" w:rsidRDefault="004E5A29" w:rsidP="00B75464">
      <w:pPr>
        <w:ind w:left="426" w:hanging="426"/>
        <w:rPr>
          <w:sz w:val="22"/>
          <w:szCs w:val="22"/>
        </w:rPr>
      </w:pPr>
      <w:proofErr w:type="gramStart"/>
      <w:r w:rsidRPr="006C4192">
        <w:rPr>
          <w:sz w:val="22"/>
          <w:szCs w:val="22"/>
        </w:rPr>
        <w:t>Financial Literacy and Education Commission Research and Evaluation Working Group (2011).</w:t>
      </w:r>
      <w:proofErr w:type="gramEnd"/>
      <w:r w:rsidRPr="006C4192">
        <w:rPr>
          <w:sz w:val="22"/>
          <w:szCs w:val="22"/>
        </w:rPr>
        <w:t xml:space="preserve"> </w:t>
      </w:r>
      <w:proofErr w:type="gramStart"/>
      <w:r w:rsidRPr="006C4192">
        <w:rPr>
          <w:sz w:val="22"/>
          <w:szCs w:val="22"/>
        </w:rPr>
        <w:t>2012 Research Priorities and Research Questions.</w:t>
      </w:r>
      <w:proofErr w:type="gramEnd"/>
      <w:r w:rsidRPr="006C4192">
        <w:rPr>
          <w:sz w:val="22"/>
          <w:szCs w:val="22"/>
        </w:rPr>
        <w:t xml:space="preserve"> Retrieved 7 March, 2013 from </w:t>
      </w:r>
      <w:hyperlink r:id="rId8" w:history="1">
        <w:r w:rsidR="002069B9" w:rsidRPr="006C4192">
          <w:rPr>
            <w:rStyle w:val="Hyperlink"/>
            <w:sz w:val="22"/>
            <w:szCs w:val="22"/>
          </w:rPr>
          <w:t>http://www.treasury.gov/resource-center/financial-education/Documents/2012%20Research%20Priorities%20-%20May%2012.pdf</w:t>
        </w:r>
      </w:hyperlink>
    </w:p>
    <w:p w:rsidR="002069B9" w:rsidRPr="006C4192" w:rsidRDefault="002069B9" w:rsidP="00C065DD">
      <w:pPr>
        <w:ind w:left="426" w:hanging="426"/>
        <w:jc w:val="both"/>
        <w:rPr>
          <w:sz w:val="22"/>
          <w:szCs w:val="22"/>
        </w:rPr>
      </w:pPr>
    </w:p>
    <w:p w:rsidR="004E5A29" w:rsidRPr="006C4192" w:rsidRDefault="004E5A29" w:rsidP="00B75464">
      <w:pPr>
        <w:ind w:left="426" w:hanging="426"/>
        <w:rPr>
          <w:sz w:val="22"/>
          <w:szCs w:val="22"/>
        </w:rPr>
      </w:pPr>
      <w:proofErr w:type="gramStart"/>
      <w:r w:rsidRPr="006C4192">
        <w:rPr>
          <w:sz w:val="22"/>
          <w:szCs w:val="22"/>
        </w:rPr>
        <w:t>Financial Literacy and Education Commission (2011).</w:t>
      </w:r>
      <w:proofErr w:type="gramEnd"/>
      <w:r w:rsidRPr="006C4192">
        <w:rPr>
          <w:sz w:val="22"/>
          <w:szCs w:val="22"/>
        </w:rPr>
        <w:t xml:space="preserve"> </w:t>
      </w:r>
      <w:proofErr w:type="gramStart"/>
      <w:r w:rsidRPr="006C4192">
        <w:rPr>
          <w:sz w:val="22"/>
          <w:szCs w:val="22"/>
        </w:rPr>
        <w:t>Promoting financial success in the United States: National strategy for financial literacy 2011.</w:t>
      </w:r>
      <w:proofErr w:type="gramEnd"/>
      <w:r w:rsidRPr="006C4192">
        <w:rPr>
          <w:sz w:val="22"/>
          <w:szCs w:val="22"/>
        </w:rPr>
        <w:t xml:space="preserve"> Retrieved 7 March, 2013 from </w:t>
      </w:r>
      <w:hyperlink r:id="rId9" w:history="1">
        <w:r w:rsidR="002069B9" w:rsidRPr="006C4192">
          <w:rPr>
            <w:rStyle w:val="Hyperlink"/>
            <w:sz w:val="22"/>
            <w:szCs w:val="22"/>
          </w:rPr>
          <w:t>http://www.treasury.gov/resource-center/financial-education/Documents/NationalStrategyBook_12310%20(2).pdf</w:t>
        </w:r>
      </w:hyperlink>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Gerardi</w:t>
      </w:r>
      <w:proofErr w:type="spellEnd"/>
      <w:r w:rsidRPr="006C4192">
        <w:rPr>
          <w:sz w:val="22"/>
          <w:szCs w:val="22"/>
        </w:rPr>
        <w:t xml:space="preserve">, K.S., </w:t>
      </w:r>
      <w:proofErr w:type="spellStart"/>
      <w:r w:rsidRPr="006C4192">
        <w:rPr>
          <w:sz w:val="22"/>
          <w:szCs w:val="22"/>
        </w:rPr>
        <w:t>Goette</w:t>
      </w:r>
      <w:proofErr w:type="spellEnd"/>
      <w:r w:rsidRPr="006C4192">
        <w:rPr>
          <w:sz w:val="22"/>
          <w:szCs w:val="22"/>
        </w:rPr>
        <w:t xml:space="preserve">, L.F., and Meier, S. (2010). Financial literacy and subprime mortgage delinquency: Evidence from a survey matched to administrative data. </w:t>
      </w:r>
      <w:proofErr w:type="gramStart"/>
      <w:r w:rsidRPr="006C4192">
        <w:rPr>
          <w:sz w:val="22"/>
          <w:szCs w:val="22"/>
        </w:rPr>
        <w:t>Federal Reserve Bank of Atlanta Working Paper No. 2010-10.</w:t>
      </w:r>
      <w:proofErr w:type="gramEnd"/>
      <w:r w:rsidRPr="006C4192">
        <w:rPr>
          <w:sz w:val="22"/>
          <w:szCs w:val="22"/>
        </w:rPr>
        <w:t xml:space="preserve"> Atlanta: Federal Reserve Bank of Atlanta.</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rPr>
        <w:t xml:space="preserve">Gilliam, J., and </w:t>
      </w:r>
      <w:proofErr w:type="spellStart"/>
      <w:r w:rsidRPr="006C4192">
        <w:rPr>
          <w:sz w:val="22"/>
          <w:szCs w:val="22"/>
        </w:rPr>
        <w:t>Chatterjee</w:t>
      </w:r>
      <w:proofErr w:type="spellEnd"/>
      <w:r w:rsidRPr="006C4192">
        <w:rPr>
          <w:sz w:val="22"/>
          <w:szCs w:val="22"/>
        </w:rPr>
        <w:t xml:space="preserve">, S. (2011). </w:t>
      </w:r>
      <w:proofErr w:type="gramStart"/>
      <w:r w:rsidRPr="006C4192">
        <w:rPr>
          <w:sz w:val="22"/>
          <w:szCs w:val="22"/>
        </w:rPr>
        <w:t>The Influence of birth order on financial risk tolerance.</w:t>
      </w:r>
      <w:proofErr w:type="gramEnd"/>
      <w:r w:rsidRPr="006C4192">
        <w:rPr>
          <w:sz w:val="22"/>
          <w:szCs w:val="22"/>
        </w:rPr>
        <w:t xml:space="preserve"> Journal of Business and Economics Research 9(4), 43-50.</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rPr>
        <w:t>Grable, J.E. (2000). Financial risk tolerance and additional factors that affect risk taking in everyday money matters. Journal of Business and Psychology 14(4), 625-630.</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Grable, J., and Lytton, R. H. (1999).</w:t>
      </w:r>
      <w:proofErr w:type="gramEnd"/>
      <w:r w:rsidRPr="006C4192">
        <w:rPr>
          <w:sz w:val="22"/>
          <w:szCs w:val="22"/>
        </w:rPr>
        <w:t xml:space="preserve"> Financial risk tolerance revisited: The development of a risk assessment instrument. Financial services review 8(3), 163-181.</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Grable, J., and Lytton, R. (2003).</w:t>
      </w:r>
      <w:proofErr w:type="gramEnd"/>
      <w:r w:rsidRPr="006C4192">
        <w:rPr>
          <w:sz w:val="22"/>
          <w:szCs w:val="22"/>
        </w:rPr>
        <w:t xml:space="preserve"> The development of a risk assessment instrument: A follow up study. Financial Services Review 12(3), 257-274.</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Harter, C.L., and Harter, J.F. (2007).</w:t>
      </w:r>
      <w:proofErr w:type="gramEnd"/>
      <w:r w:rsidRPr="006C4192">
        <w:rPr>
          <w:sz w:val="22"/>
          <w:szCs w:val="22"/>
        </w:rPr>
        <w:t xml:space="preserve"> </w:t>
      </w:r>
      <w:proofErr w:type="gramStart"/>
      <w:r w:rsidRPr="006C4192">
        <w:rPr>
          <w:sz w:val="22"/>
          <w:szCs w:val="22"/>
        </w:rPr>
        <w:t>Assessing the effectiveness of financial fitness for life in eastern Kentucky.</w:t>
      </w:r>
      <w:proofErr w:type="gramEnd"/>
      <w:r w:rsidRPr="006C4192">
        <w:rPr>
          <w:sz w:val="22"/>
          <w:szCs w:val="22"/>
        </w:rPr>
        <w:t xml:space="preserve"> Paper presented at the 2007 Annual Meeting of the American Economic Association, Baltimore, Md., </w:t>
      </w:r>
      <w:proofErr w:type="gramStart"/>
      <w:r w:rsidRPr="006C4192">
        <w:rPr>
          <w:sz w:val="22"/>
          <w:szCs w:val="22"/>
        </w:rPr>
        <w:t>7</w:t>
      </w:r>
      <w:proofErr w:type="gramEnd"/>
      <w:r w:rsidRPr="006C4192">
        <w:rPr>
          <w:sz w:val="22"/>
          <w:szCs w:val="22"/>
        </w:rPr>
        <w:t>-11 November.</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rPr>
        <w:t xml:space="preserve">Huston, S.J. (2010). </w:t>
      </w:r>
      <w:proofErr w:type="gramStart"/>
      <w:r w:rsidRPr="006C4192">
        <w:rPr>
          <w:sz w:val="22"/>
          <w:szCs w:val="22"/>
        </w:rPr>
        <w:t>Measuring financial literacy.</w:t>
      </w:r>
      <w:proofErr w:type="gramEnd"/>
      <w:r w:rsidRPr="006C4192">
        <w:rPr>
          <w:sz w:val="22"/>
          <w:szCs w:val="22"/>
        </w:rPr>
        <w:t xml:space="preserve"> Journal of Consumer Affairs 44(2), 296-316. </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Lusardi</w:t>
      </w:r>
      <w:proofErr w:type="spellEnd"/>
      <w:r w:rsidRPr="006C4192">
        <w:rPr>
          <w:sz w:val="22"/>
          <w:szCs w:val="22"/>
        </w:rPr>
        <w:t>, A. (2008) Household saving behaviour: The role of financial literacy, information, and financial</w:t>
      </w:r>
      <w:r w:rsidRPr="006C4192">
        <w:rPr>
          <w:b/>
          <w:bCs/>
          <w:iCs/>
          <w:sz w:val="22"/>
          <w:szCs w:val="22"/>
        </w:rPr>
        <w:t xml:space="preserve"> </w:t>
      </w:r>
      <w:r w:rsidRPr="006C4192">
        <w:rPr>
          <w:sz w:val="22"/>
          <w:szCs w:val="22"/>
        </w:rPr>
        <w:t xml:space="preserve">education programs. </w:t>
      </w:r>
      <w:proofErr w:type="gramStart"/>
      <w:r w:rsidRPr="006C4192">
        <w:rPr>
          <w:sz w:val="22"/>
          <w:szCs w:val="22"/>
        </w:rPr>
        <w:t>NBER Working Paper 13824.</w:t>
      </w:r>
      <w:proofErr w:type="gramEnd"/>
      <w:r w:rsidRPr="006C4192">
        <w:rPr>
          <w:sz w:val="22"/>
          <w:szCs w:val="22"/>
        </w:rPr>
        <w:t xml:space="preserve"> Cambridge, </w:t>
      </w:r>
      <w:proofErr w:type="gramStart"/>
      <w:r w:rsidRPr="006C4192">
        <w:rPr>
          <w:sz w:val="22"/>
          <w:szCs w:val="22"/>
        </w:rPr>
        <w:t>Ma.:</w:t>
      </w:r>
      <w:proofErr w:type="gramEnd"/>
      <w:r w:rsidRPr="006C4192">
        <w:rPr>
          <w:sz w:val="22"/>
          <w:szCs w:val="22"/>
        </w:rPr>
        <w:t xml:space="preserve"> National Bureau of Economic Research.</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proofErr w:type="gramStart"/>
      <w:r w:rsidRPr="006C4192">
        <w:rPr>
          <w:sz w:val="22"/>
          <w:szCs w:val="22"/>
        </w:rPr>
        <w:t>Lusardi</w:t>
      </w:r>
      <w:proofErr w:type="spellEnd"/>
      <w:r w:rsidRPr="006C4192">
        <w:rPr>
          <w:sz w:val="22"/>
          <w:szCs w:val="22"/>
        </w:rPr>
        <w:t xml:space="preserve">, A., and </w:t>
      </w:r>
      <w:proofErr w:type="spellStart"/>
      <w:r w:rsidRPr="006C4192">
        <w:rPr>
          <w:sz w:val="22"/>
          <w:szCs w:val="22"/>
        </w:rPr>
        <w:t>Mitchelli</w:t>
      </w:r>
      <w:proofErr w:type="spellEnd"/>
      <w:r w:rsidRPr="006C4192">
        <w:rPr>
          <w:sz w:val="22"/>
          <w:szCs w:val="22"/>
        </w:rPr>
        <w:t>, O. (2007).</w:t>
      </w:r>
      <w:proofErr w:type="gramEnd"/>
      <w:r w:rsidRPr="006C4192">
        <w:rPr>
          <w:sz w:val="22"/>
          <w:szCs w:val="22"/>
        </w:rPr>
        <w:t xml:space="preserve"> Financial literacy and retirement preparedness: Evidence and implications for financial education. Business Economics 42(1), 35-44.</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proofErr w:type="gramStart"/>
      <w:r w:rsidRPr="006C4192">
        <w:rPr>
          <w:sz w:val="22"/>
          <w:szCs w:val="22"/>
        </w:rPr>
        <w:t>Lusardi</w:t>
      </w:r>
      <w:proofErr w:type="spellEnd"/>
      <w:r w:rsidRPr="006C4192">
        <w:rPr>
          <w:sz w:val="22"/>
          <w:szCs w:val="22"/>
        </w:rPr>
        <w:t xml:space="preserve">, A., Mitchell, O.S., and </w:t>
      </w:r>
      <w:proofErr w:type="spellStart"/>
      <w:r w:rsidRPr="006C4192">
        <w:rPr>
          <w:sz w:val="22"/>
          <w:szCs w:val="22"/>
        </w:rPr>
        <w:t>Curto</w:t>
      </w:r>
      <w:proofErr w:type="spellEnd"/>
      <w:r w:rsidRPr="006C4192">
        <w:rPr>
          <w:sz w:val="22"/>
          <w:szCs w:val="22"/>
        </w:rPr>
        <w:t>, V. (2010).</w:t>
      </w:r>
      <w:proofErr w:type="gramEnd"/>
      <w:r w:rsidRPr="006C4192">
        <w:rPr>
          <w:sz w:val="22"/>
          <w:szCs w:val="22"/>
        </w:rPr>
        <w:t xml:space="preserve"> </w:t>
      </w:r>
      <w:proofErr w:type="gramStart"/>
      <w:r w:rsidRPr="006C4192">
        <w:rPr>
          <w:sz w:val="22"/>
          <w:szCs w:val="22"/>
        </w:rPr>
        <w:t>Financial literacy among the young.</w:t>
      </w:r>
      <w:proofErr w:type="gramEnd"/>
      <w:r w:rsidRPr="006C4192">
        <w:rPr>
          <w:sz w:val="22"/>
          <w:szCs w:val="22"/>
        </w:rPr>
        <w:t xml:space="preserve"> Journal of Consumer Affairs 44(2) 358-380.</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Mandell</w:t>
      </w:r>
      <w:proofErr w:type="spellEnd"/>
      <w:r w:rsidRPr="006C4192">
        <w:rPr>
          <w:sz w:val="22"/>
          <w:szCs w:val="22"/>
        </w:rPr>
        <w:t xml:space="preserve">, L. (2008a). </w:t>
      </w:r>
      <w:proofErr w:type="gramStart"/>
      <w:r w:rsidRPr="006C4192">
        <w:rPr>
          <w:sz w:val="22"/>
          <w:szCs w:val="22"/>
        </w:rPr>
        <w:t>Financial literacy of high school students.</w:t>
      </w:r>
      <w:proofErr w:type="gramEnd"/>
      <w:r w:rsidRPr="006C4192">
        <w:rPr>
          <w:sz w:val="22"/>
          <w:szCs w:val="22"/>
        </w:rPr>
        <w:t xml:space="preserve"> </w:t>
      </w:r>
      <w:proofErr w:type="gramStart"/>
      <w:r w:rsidRPr="006C4192">
        <w:rPr>
          <w:sz w:val="22"/>
          <w:szCs w:val="22"/>
        </w:rPr>
        <w:t>In J.J. Xiao (Ed.) Handbook of Consumer Finance Research, pp. 163-183.</w:t>
      </w:r>
      <w:proofErr w:type="gramEnd"/>
      <w:r w:rsidRPr="006C4192">
        <w:rPr>
          <w:sz w:val="22"/>
          <w:szCs w:val="22"/>
        </w:rPr>
        <w:t xml:space="preserve"> New York: Springer.</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Mandell</w:t>
      </w:r>
      <w:proofErr w:type="spellEnd"/>
      <w:r w:rsidRPr="006C4192">
        <w:rPr>
          <w:sz w:val="22"/>
          <w:szCs w:val="22"/>
        </w:rPr>
        <w:t xml:space="preserve">, L. (2008b). The financial literacy of young American adults: Results of the 2008 National </w:t>
      </w:r>
      <w:proofErr w:type="spellStart"/>
      <w:r w:rsidRPr="006C4192">
        <w:rPr>
          <w:sz w:val="22"/>
          <w:szCs w:val="22"/>
        </w:rPr>
        <w:t>Jump$tart</w:t>
      </w:r>
      <w:proofErr w:type="spellEnd"/>
      <w:r w:rsidRPr="006C4192">
        <w:rPr>
          <w:sz w:val="22"/>
          <w:szCs w:val="22"/>
        </w:rPr>
        <w:t xml:space="preserve"> Coalition survey of high school seniors and college students. Washington, D.C.: The </w:t>
      </w:r>
      <w:proofErr w:type="spellStart"/>
      <w:r w:rsidRPr="006C4192">
        <w:rPr>
          <w:sz w:val="22"/>
          <w:szCs w:val="22"/>
        </w:rPr>
        <w:t>Jump$tart</w:t>
      </w:r>
      <w:proofErr w:type="spellEnd"/>
      <w:r w:rsidRPr="006C4192">
        <w:rPr>
          <w:sz w:val="22"/>
          <w:szCs w:val="22"/>
        </w:rPr>
        <w:t xml:space="preserve"> Coalition for Personal Financial Literacy.</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proofErr w:type="gramStart"/>
      <w:r w:rsidRPr="006C4192">
        <w:rPr>
          <w:sz w:val="22"/>
          <w:szCs w:val="22"/>
        </w:rPr>
        <w:t>Marcolin</w:t>
      </w:r>
      <w:proofErr w:type="spellEnd"/>
      <w:r w:rsidRPr="006C4192">
        <w:rPr>
          <w:sz w:val="22"/>
          <w:szCs w:val="22"/>
        </w:rPr>
        <w:t>, S., and Abraham, A. (2006).</w:t>
      </w:r>
      <w:proofErr w:type="gramEnd"/>
      <w:r w:rsidRPr="006C4192">
        <w:rPr>
          <w:sz w:val="22"/>
          <w:szCs w:val="22"/>
        </w:rPr>
        <w:t xml:space="preserve"> Financial literacy research: Current literature and future opportunities. </w:t>
      </w:r>
      <w:proofErr w:type="gramStart"/>
      <w:r w:rsidRPr="006C4192">
        <w:rPr>
          <w:sz w:val="22"/>
          <w:szCs w:val="22"/>
        </w:rPr>
        <w:t xml:space="preserve">In P. </w:t>
      </w:r>
      <w:proofErr w:type="spellStart"/>
      <w:r w:rsidRPr="006C4192">
        <w:rPr>
          <w:sz w:val="22"/>
          <w:szCs w:val="22"/>
        </w:rPr>
        <w:t>Basu</w:t>
      </w:r>
      <w:proofErr w:type="spellEnd"/>
      <w:r w:rsidRPr="006C4192">
        <w:rPr>
          <w:sz w:val="22"/>
          <w:szCs w:val="22"/>
        </w:rPr>
        <w:t xml:space="preserve">, G. O'Neill and A. </w:t>
      </w:r>
      <w:proofErr w:type="spellStart"/>
      <w:r w:rsidRPr="006C4192">
        <w:rPr>
          <w:sz w:val="22"/>
          <w:szCs w:val="22"/>
        </w:rPr>
        <w:t>Travaglione</w:t>
      </w:r>
      <w:proofErr w:type="spellEnd"/>
      <w:r w:rsidRPr="006C4192">
        <w:rPr>
          <w:sz w:val="22"/>
          <w:szCs w:val="22"/>
        </w:rPr>
        <w:t xml:space="preserve"> (Eds.), Proceedings of the 3rd International Conference on Contemporary Business, </w:t>
      </w:r>
      <w:proofErr w:type="spellStart"/>
      <w:r w:rsidRPr="006C4192">
        <w:rPr>
          <w:sz w:val="22"/>
          <w:szCs w:val="22"/>
        </w:rPr>
        <w:t>Leura</w:t>
      </w:r>
      <w:proofErr w:type="spellEnd"/>
      <w:r w:rsidRPr="006C4192">
        <w:rPr>
          <w:sz w:val="22"/>
          <w:szCs w:val="22"/>
        </w:rPr>
        <w:t xml:space="preserve"> NSW, 21-22 September 2006.</w:t>
      </w:r>
      <w:proofErr w:type="gramEnd"/>
      <w:r w:rsidRPr="006C4192">
        <w:rPr>
          <w:sz w:val="22"/>
          <w:szCs w:val="22"/>
        </w:rPr>
        <w:t xml:space="preserve"> Bathurst: Faculty of Commerce, Charles </w:t>
      </w:r>
      <w:proofErr w:type="spellStart"/>
      <w:r w:rsidRPr="006C4192">
        <w:rPr>
          <w:sz w:val="22"/>
          <w:szCs w:val="22"/>
        </w:rPr>
        <w:t>Sturt</w:t>
      </w:r>
      <w:proofErr w:type="spellEnd"/>
      <w:r w:rsidRPr="006C4192">
        <w:rPr>
          <w:sz w:val="22"/>
          <w:szCs w:val="22"/>
        </w:rPr>
        <w:t xml:space="preserve"> University.</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r w:rsidRPr="006C4192">
        <w:rPr>
          <w:sz w:val="22"/>
          <w:szCs w:val="22"/>
          <w:lang w:val="de-DE"/>
        </w:rPr>
        <w:t xml:space="preserve">Mazzeo, J., Schmitt, A., and Bleistein, C. (1993). </w:t>
      </w:r>
      <w:r w:rsidRPr="006C4192">
        <w:rPr>
          <w:sz w:val="22"/>
          <w:szCs w:val="22"/>
        </w:rPr>
        <w:t>Sex-related differences on constructed response and multiple-choice sections of Advanced Placement Examinations (CB Report No. 92-7, ETS RR 93-5). New York: College Entrance Examination Board.</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New Zealand Network for Financial Literacy.</w:t>
      </w:r>
      <w:proofErr w:type="gramEnd"/>
      <w:r w:rsidRPr="006C4192">
        <w:rPr>
          <w:sz w:val="22"/>
          <w:szCs w:val="22"/>
        </w:rPr>
        <w:t xml:space="preserve"> </w:t>
      </w:r>
      <w:proofErr w:type="gramStart"/>
      <w:r w:rsidRPr="006C4192">
        <w:rPr>
          <w:sz w:val="22"/>
          <w:szCs w:val="22"/>
        </w:rPr>
        <w:t>(2010). National Strategy for Financial Literacy.</w:t>
      </w:r>
      <w:proofErr w:type="gramEnd"/>
      <w:r w:rsidRPr="006C4192">
        <w:rPr>
          <w:sz w:val="22"/>
          <w:szCs w:val="22"/>
        </w:rPr>
        <w:t xml:space="preserve"> Retrieved 13 June 2012 from </w:t>
      </w:r>
      <w:hyperlink r:id="rId10" w:history="1">
        <w:r w:rsidR="002069B9" w:rsidRPr="006C4192">
          <w:rPr>
            <w:rStyle w:val="Hyperlink"/>
            <w:sz w:val="22"/>
            <w:szCs w:val="22"/>
          </w:rPr>
          <w:t>http://www.financialliteracy.org.nz/webfm_send/376</w:t>
        </w:r>
      </w:hyperlink>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r w:rsidRPr="006C4192">
        <w:rPr>
          <w:sz w:val="22"/>
          <w:szCs w:val="22"/>
        </w:rPr>
        <w:t>Roa</w:t>
      </w:r>
      <w:proofErr w:type="spellEnd"/>
      <w:r w:rsidRPr="006C4192">
        <w:rPr>
          <w:sz w:val="22"/>
          <w:szCs w:val="22"/>
        </w:rPr>
        <w:t xml:space="preserve"> Garcia, M.J. (2013). Financial education and behavioural finance: New insights into the role of information in financial decisions. Journal of Economic Surveys 27(2), 297-315.</w:t>
      </w:r>
    </w:p>
    <w:p w:rsidR="002069B9" w:rsidRPr="006C4192" w:rsidRDefault="002069B9" w:rsidP="00C065DD">
      <w:pPr>
        <w:ind w:left="426" w:hanging="426"/>
        <w:jc w:val="both"/>
        <w:rPr>
          <w:sz w:val="22"/>
          <w:szCs w:val="22"/>
        </w:rPr>
      </w:pPr>
    </w:p>
    <w:p w:rsidR="004E5A29" w:rsidRPr="006C4192" w:rsidRDefault="004E5A29" w:rsidP="00C065DD">
      <w:pPr>
        <w:ind w:left="426" w:hanging="426"/>
        <w:jc w:val="both"/>
        <w:rPr>
          <w:sz w:val="22"/>
          <w:szCs w:val="22"/>
        </w:rPr>
      </w:pPr>
      <w:proofErr w:type="gramStart"/>
      <w:r w:rsidRPr="006C4192">
        <w:rPr>
          <w:sz w:val="22"/>
          <w:szCs w:val="22"/>
        </w:rPr>
        <w:t>Roberts, J.A., and Jones, E. (2001).</w:t>
      </w:r>
      <w:proofErr w:type="gramEnd"/>
      <w:r w:rsidRPr="006C4192">
        <w:rPr>
          <w:sz w:val="22"/>
          <w:szCs w:val="22"/>
        </w:rPr>
        <w:t xml:space="preserve"> </w:t>
      </w:r>
      <w:proofErr w:type="gramStart"/>
      <w:r w:rsidRPr="006C4192">
        <w:rPr>
          <w:sz w:val="22"/>
          <w:szCs w:val="22"/>
        </w:rPr>
        <w:t>Money attitudes, credit card use, and compulsive buying among American college students.</w:t>
      </w:r>
      <w:proofErr w:type="gramEnd"/>
      <w:r w:rsidRPr="006C4192">
        <w:rPr>
          <w:sz w:val="22"/>
          <w:szCs w:val="22"/>
        </w:rPr>
        <w:t xml:space="preserve"> Journal of Consumer Affairs 35(2), 213-240.</w:t>
      </w:r>
    </w:p>
    <w:p w:rsidR="002069B9" w:rsidRPr="006C4192" w:rsidRDefault="002069B9" w:rsidP="00C065DD">
      <w:pPr>
        <w:ind w:left="426" w:hanging="426"/>
        <w:jc w:val="both"/>
        <w:rPr>
          <w:sz w:val="22"/>
          <w:szCs w:val="22"/>
        </w:rPr>
      </w:pPr>
    </w:p>
    <w:p w:rsidR="004E5A29" w:rsidRDefault="004E5A29" w:rsidP="00C065DD">
      <w:pPr>
        <w:ind w:left="426" w:hanging="426"/>
        <w:jc w:val="both"/>
        <w:rPr>
          <w:sz w:val="22"/>
          <w:szCs w:val="22"/>
        </w:rPr>
      </w:pPr>
      <w:proofErr w:type="spellStart"/>
      <w:proofErr w:type="gramStart"/>
      <w:r w:rsidRPr="006C4192">
        <w:rPr>
          <w:sz w:val="22"/>
          <w:szCs w:val="22"/>
        </w:rPr>
        <w:t>Salmond</w:t>
      </w:r>
      <w:proofErr w:type="spellEnd"/>
      <w:r w:rsidRPr="006C4192">
        <w:rPr>
          <w:sz w:val="22"/>
          <w:szCs w:val="22"/>
        </w:rPr>
        <w:t xml:space="preserve">, C., </w:t>
      </w:r>
      <w:proofErr w:type="spellStart"/>
      <w:r w:rsidRPr="006C4192">
        <w:rPr>
          <w:sz w:val="22"/>
          <w:szCs w:val="22"/>
        </w:rPr>
        <w:t>Crampton</w:t>
      </w:r>
      <w:proofErr w:type="spellEnd"/>
      <w:r w:rsidRPr="006C4192">
        <w:rPr>
          <w:sz w:val="22"/>
          <w:szCs w:val="22"/>
        </w:rPr>
        <w:t>, P., and Atkinson, J. (2007).</w:t>
      </w:r>
      <w:proofErr w:type="gramEnd"/>
      <w:r w:rsidRPr="006C4192">
        <w:rPr>
          <w:sz w:val="22"/>
          <w:szCs w:val="22"/>
        </w:rPr>
        <w:t xml:space="preserve"> NZDep2006 Index of Deprivation – User’s Manual. Wellington: Department of Public Health, University of Otago. </w:t>
      </w:r>
    </w:p>
    <w:p w:rsidR="006C4192" w:rsidRPr="006C4192" w:rsidRDefault="006C4192" w:rsidP="00C065DD">
      <w:pPr>
        <w:ind w:left="426" w:hanging="426"/>
        <w:jc w:val="both"/>
        <w:rPr>
          <w:sz w:val="22"/>
          <w:szCs w:val="22"/>
        </w:rPr>
      </w:pPr>
    </w:p>
    <w:p w:rsidR="004E5A29" w:rsidRPr="006C4192" w:rsidRDefault="004E5A29" w:rsidP="00C065DD">
      <w:pPr>
        <w:ind w:left="426" w:hanging="426"/>
        <w:jc w:val="both"/>
        <w:rPr>
          <w:sz w:val="22"/>
          <w:szCs w:val="22"/>
        </w:rPr>
      </w:pPr>
      <w:proofErr w:type="spellStart"/>
      <w:proofErr w:type="gramStart"/>
      <w:r w:rsidRPr="006C4192">
        <w:rPr>
          <w:sz w:val="22"/>
          <w:szCs w:val="22"/>
        </w:rPr>
        <w:t>Walstad</w:t>
      </w:r>
      <w:proofErr w:type="spellEnd"/>
      <w:r w:rsidRPr="006C4192">
        <w:rPr>
          <w:sz w:val="22"/>
          <w:szCs w:val="22"/>
        </w:rPr>
        <w:t xml:space="preserve">, W.B. and </w:t>
      </w:r>
      <w:proofErr w:type="spellStart"/>
      <w:r w:rsidRPr="006C4192">
        <w:rPr>
          <w:sz w:val="22"/>
          <w:szCs w:val="22"/>
        </w:rPr>
        <w:t>Rebeck</w:t>
      </w:r>
      <w:proofErr w:type="spellEnd"/>
      <w:r w:rsidRPr="006C4192">
        <w:rPr>
          <w:sz w:val="22"/>
          <w:szCs w:val="22"/>
        </w:rPr>
        <w:t>, K. (2005).</w:t>
      </w:r>
      <w:proofErr w:type="gramEnd"/>
      <w:r w:rsidRPr="006C4192">
        <w:rPr>
          <w:sz w:val="22"/>
          <w:szCs w:val="22"/>
        </w:rPr>
        <w:t xml:space="preserve"> </w:t>
      </w:r>
      <w:proofErr w:type="gramStart"/>
      <w:r w:rsidRPr="006C4192">
        <w:rPr>
          <w:sz w:val="22"/>
          <w:szCs w:val="22"/>
        </w:rPr>
        <w:t>Financial fitness for life – High school test examiner's manual.</w:t>
      </w:r>
      <w:proofErr w:type="gramEnd"/>
      <w:r w:rsidRPr="006C4192">
        <w:rPr>
          <w:sz w:val="22"/>
          <w:szCs w:val="22"/>
        </w:rPr>
        <w:t xml:space="preserve"> New York: National Council on Economic Education.</w:t>
      </w:r>
    </w:p>
    <w:p w:rsidR="001535B7" w:rsidRPr="006C4192" w:rsidRDefault="001535B7" w:rsidP="00C065DD">
      <w:pPr>
        <w:ind w:left="426" w:hanging="426"/>
        <w:jc w:val="both"/>
        <w:rPr>
          <w:sz w:val="22"/>
          <w:szCs w:val="22"/>
        </w:rPr>
      </w:pPr>
    </w:p>
    <w:p w:rsidR="00DF5FEE" w:rsidRPr="006C4192" w:rsidRDefault="004E5A29" w:rsidP="00C065DD">
      <w:pPr>
        <w:ind w:left="426" w:hanging="426"/>
        <w:jc w:val="both"/>
        <w:rPr>
          <w:sz w:val="22"/>
          <w:szCs w:val="22"/>
        </w:rPr>
      </w:pPr>
      <w:r w:rsidRPr="006C4192">
        <w:rPr>
          <w:sz w:val="22"/>
          <w:szCs w:val="22"/>
        </w:rPr>
        <w:t xml:space="preserve">Ward, S. (1974). </w:t>
      </w:r>
      <w:proofErr w:type="gramStart"/>
      <w:r w:rsidRPr="006C4192">
        <w:rPr>
          <w:sz w:val="22"/>
          <w:szCs w:val="22"/>
        </w:rPr>
        <w:t>Consumer socialization.</w:t>
      </w:r>
      <w:proofErr w:type="gramEnd"/>
      <w:r w:rsidRPr="006C4192">
        <w:rPr>
          <w:sz w:val="22"/>
          <w:szCs w:val="22"/>
        </w:rPr>
        <w:t xml:space="preserve"> Journal of Consumer Research 1(9), 1-16.</w:t>
      </w:r>
    </w:p>
    <w:p w:rsidR="007D0891" w:rsidRPr="006C4192" w:rsidRDefault="007D0891" w:rsidP="00C065DD">
      <w:pPr>
        <w:ind w:left="426" w:hanging="426"/>
        <w:jc w:val="both"/>
        <w:rPr>
          <w:sz w:val="22"/>
          <w:szCs w:val="22"/>
        </w:rPr>
      </w:pPr>
    </w:p>
    <w:sectPr w:rsidR="007D0891" w:rsidRPr="006C4192" w:rsidSect="00A2798F">
      <w:footerReference w:type="default" r:id="rId11"/>
      <w:pgSz w:w="11907" w:h="16839"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E86" w:rsidRDefault="00844E86" w:rsidP="009F74A0">
      <w:r>
        <w:separator/>
      </w:r>
    </w:p>
  </w:endnote>
  <w:endnote w:type="continuationSeparator" w:id="0">
    <w:p w:rsidR="00844E86" w:rsidRDefault="00844E86" w:rsidP="009F74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TC Avant Garde Gothic">
    <w:altName w:val="ITC Avant Garde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28" w:rsidRDefault="00003B28">
    <w:pPr>
      <w:pStyle w:val="Footer"/>
      <w:jc w:val="center"/>
    </w:pPr>
    <w:fldSimple w:instr=" PAGE   \* MERGEFORMAT ">
      <w:r w:rsidR="00B75464">
        <w:rPr>
          <w:noProof/>
        </w:rPr>
        <w:t>15</w:t>
      </w:r>
    </w:fldSimple>
  </w:p>
  <w:p w:rsidR="00003B28" w:rsidRDefault="00003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E86" w:rsidRDefault="00844E86" w:rsidP="009F74A0">
      <w:r>
        <w:separator/>
      </w:r>
    </w:p>
  </w:footnote>
  <w:footnote w:type="continuationSeparator" w:id="0">
    <w:p w:rsidR="00844E86" w:rsidRDefault="00844E86" w:rsidP="009F74A0">
      <w:r>
        <w:continuationSeparator/>
      </w:r>
    </w:p>
  </w:footnote>
  <w:footnote w:id="1">
    <w:p w:rsidR="00003B28" w:rsidRPr="00727E33" w:rsidRDefault="00003B28" w:rsidP="00727E33">
      <w:pPr>
        <w:pStyle w:val="FootnoteText"/>
        <w:ind w:left="284" w:hanging="284"/>
        <w:jc w:val="both"/>
        <w:rPr>
          <w:sz w:val="22"/>
          <w:szCs w:val="22"/>
          <w:lang w:val="en-NZ"/>
        </w:rPr>
      </w:pPr>
      <w:r w:rsidRPr="00727E33">
        <w:rPr>
          <w:rStyle w:val="FootnoteReference"/>
          <w:sz w:val="22"/>
          <w:szCs w:val="22"/>
        </w:rPr>
        <w:footnoteRef/>
      </w:r>
      <w:r w:rsidRPr="00727E33">
        <w:rPr>
          <w:sz w:val="22"/>
          <w:szCs w:val="22"/>
        </w:rPr>
        <w:t xml:space="preserve"> </w:t>
      </w:r>
      <w:r>
        <w:rPr>
          <w:sz w:val="22"/>
          <w:szCs w:val="22"/>
        </w:rPr>
        <w:tab/>
      </w:r>
      <w:r w:rsidRPr="00727E33">
        <w:rPr>
          <w:sz w:val="22"/>
          <w:szCs w:val="22"/>
        </w:rPr>
        <w:t>New Zealand schools are rated to indicate the extent to which they draw students from low socio-economic communities, with decile 1 representing the ‘poorest’ 10 percent of schools, while decile 10 represents the ‘richest’ 10 percent of schools.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w:pict>
  </w:numPicBullet>
  <w:numPicBullet w:numPicBulletId="1">
    <w:pict>
      <v:shape id="_x0000_i1066" type="#_x0000_t75" style="width:3in;height:3in" o:bullet="t"/>
    </w:pict>
  </w:numPicBullet>
  <w:numPicBullet w:numPicBulletId="2">
    <w:pict>
      <v:shape id="_x0000_i1067" type="#_x0000_t75" style="width:3in;height:3in" o:bullet="t"/>
    </w:pict>
  </w:numPicBullet>
  <w:abstractNum w:abstractNumId="0">
    <w:nsid w:val="081D02B9"/>
    <w:multiLevelType w:val="hybridMultilevel"/>
    <w:tmpl w:val="31643100"/>
    <w:lvl w:ilvl="0" w:tplc="B7A8493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957C5"/>
    <w:multiLevelType w:val="hybridMultilevel"/>
    <w:tmpl w:val="83EEE8F0"/>
    <w:lvl w:ilvl="0" w:tplc="04090019">
      <w:start w:val="1"/>
      <w:numFmt w:val="lowerLetter"/>
      <w:lvlText w:val="%1."/>
      <w:lvlJc w:val="left"/>
      <w:pPr>
        <w:tabs>
          <w:tab w:val="num" w:pos="720"/>
        </w:tabs>
        <w:ind w:left="720" w:hanging="360"/>
      </w:pPr>
      <w:rPr>
        <w:rFonts w:hint="default"/>
      </w:rPr>
    </w:lvl>
    <w:lvl w:ilvl="1" w:tplc="F962A734">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5F0FD5"/>
    <w:multiLevelType w:val="hybridMultilevel"/>
    <w:tmpl w:val="37B23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3789A"/>
    <w:multiLevelType w:val="hybridMultilevel"/>
    <w:tmpl w:val="691E2AF2"/>
    <w:lvl w:ilvl="0" w:tplc="7D0A832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8F4A18"/>
    <w:multiLevelType w:val="hybridMultilevel"/>
    <w:tmpl w:val="5D726DA0"/>
    <w:lvl w:ilvl="0" w:tplc="435A3D88">
      <w:start w:val="3"/>
      <w:numFmt w:val="lowerLetter"/>
      <w:lvlText w:val="%1."/>
      <w:lvlJc w:val="left"/>
      <w:pPr>
        <w:tabs>
          <w:tab w:val="num" w:pos="1440"/>
        </w:tabs>
        <w:ind w:left="1440" w:hanging="360"/>
      </w:pPr>
      <w:rPr>
        <w:rFonts w:hint="default"/>
      </w:rPr>
    </w:lvl>
    <w:lvl w:ilvl="1" w:tplc="C66EF180">
      <w:start w:val="1"/>
      <w:numFmt w:val="decimal"/>
      <w:lvlText w:val="(%2)"/>
      <w:lvlJc w:val="left"/>
      <w:pPr>
        <w:tabs>
          <w:tab w:val="num" w:pos="2160"/>
        </w:tabs>
        <w:ind w:left="2160" w:hanging="360"/>
      </w:pPr>
      <w:rPr>
        <w:rFonts w:hint="default"/>
      </w:rPr>
    </w:lvl>
    <w:lvl w:ilvl="2" w:tplc="30524398">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AA0272"/>
    <w:multiLevelType w:val="hybridMultilevel"/>
    <w:tmpl w:val="58D442BE"/>
    <w:lvl w:ilvl="0" w:tplc="EB6A040A">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73B4772"/>
    <w:multiLevelType w:val="hybridMultilevel"/>
    <w:tmpl w:val="416086B0"/>
    <w:lvl w:ilvl="0" w:tplc="04090019">
      <w:start w:val="1"/>
      <w:numFmt w:val="lowerLetter"/>
      <w:lvlText w:val="%1."/>
      <w:lvlJc w:val="left"/>
      <w:pPr>
        <w:tabs>
          <w:tab w:val="num" w:pos="1440"/>
        </w:tabs>
        <w:ind w:left="1440" w:hanging="360"/>
      </w:pPr>
      <w:rPr>
        <w:rFonts w:hint="default"/>
      </w:rPr>
    </w:lvl>
    <w:lvl w:ilvl="1" w:tplc="74B4BDC6">
      <w:start w:val="10"/>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965759"/>
    <w:multiLevelType w:val="hybridMultilevel"/>
    <w:tmpl w:val="754C7E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9748F8"/>
    <w:multiLevelType w:val="hybridMultilevel"/>
    <w:tmpl w:val="07EC5B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F57A4E"/>
    <w:multiLevelType w:val="hybridMultilevel"/>
    <w:tmpl w:val="BF360F34"/>
    <w:lvl w:ilvl="0" w:tplc="1E32CAF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9464A2"/>
    <w:multiLevelType w:val="hybridMultilevel"/>
    <w:tmpl w:val="F736988A"/>
    <w:lvl w:ilvl="0" w:tplc="0409000F">
      <w:start w:val="36"/>
      <w:numFmt w:val="decimal"/>
      <w:lvlText w:val="%1."/>
      <w:lvlJc w:val="left"/>
      <w:pPr>
        <w:tabs>
          <w:tab w:val="num" w:pos="720"/>
        </w:tabs>
        <w:ind w:left="720" w:hanging="360"/>
      </w:pPr>
      <w:rPr>
        <w:rFonts w:hint="default"/>
      </w:rPr>
    </w:lvl>
    <w:lvl w:ilvl="1" w:tplc="676E829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551010"/>
    <w:multiLevelType w:val="multilevel"/>
    <w:tmpl w:val="C30E71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220ACF"/>
    <w:multiLevelType w:val="hybridMultilevel"/>
    <w:tmpl w:val="03BEF532"/>
    <w:lvl w:ilvl="0" w:tplc="062045D0">
      <w:start w:val="17"/>
      <w:numFmt w:val="decimal"/>
      <w:lvlText w:val="%1."/>
      <w:lvlJc w:val="left"/>
      <w:pPr>
        <w:tabs>
          <w:tab w:val="num" w:pos="1140"/>
        </w:tabs>
        <w:ind w:left="1140" w:hanging="420"/>
      </w:pPr>
      <w:rPr>
        <w:rFonts w:hint="default"/>
      </w:rPr>
    </w:lvl>
    <w:lvl w:ilvl="1" w:tplc="4AECD5AE">
      <w:start w:val="3"/>
      <w:numFmt w:val="lowerLetter"/>
      <w:lvlText w:val="%2."/>
      <w:lvlJc w:val="left"/>
      <w:pPr>
        <w:tabs>
          <w:tab w:val="num" w:pos="1260"/>
        </w:tabs>
        <w:ind w:left="1260" w:hanging="360"/>
      </w:pPr>
      <w:rPr>
        <w:rFonts w:ascii="Times New Roman" w:eastAsia="Times New Roman" w:hAnsi="Times New Roman" w:cs="Times New Roman"/>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EFD5B75"/>
    <w:multiLevelType w:val="hybridMultilevel"/>
    <w:tmpl w:val="671C2256"/>
    <w:lvl w:ilvl="0" w:tplc="8070E4A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12B7A5B"/>
    <w:multiLevelType w:val="hybridMultilevel"/>
    <w:tmpl w:val="92B0DF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0A2D29"/>
    <w:multiLevelType w:val="hybridMultilevel"/>
    <w:tmpl w:val="29C274DE"/>
    <w:lvl w:ilvl="0" w:tplc="25E2BA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46D7069"/>
    <w:multiLevelType w:val="hybridMultilevel"/>
    <w:tmpl w:val="25266FE8"/>
    <w:lvl w:ilvl="0" w:tplc="C730177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66CA2330"/>
    <w:multiLevelType w:val="hybridMultilevel"/>
    <w:tmpl w:val="29C274DE"/>
    <w:lvl w:ilvl="0" w:tplc="25E2BA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67C66E29"/>
    <w:multiLevelType w:val="hybridMultilevel"/>
    <w:tmpl w:val="D396CAA6"/>
    <w:lvl w:ilvl="0" w:tplc="C3AE84E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F2731E"/>
    <w:multiLevelType w:val="hybridMultilevel"/>
    <w:tmpl w:val="45DA4F1A"/>
    <w:lvl w:ilvl="0" w:tplc="7098E72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2C255E4"/>
    <w:multiLevelType w:val="hybridMultilevel"/>
    <w:tmpl w:val="8892CB2E"/>
    <w:lvl w:ilvl="0" w:tplc="1A6E656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76E57AA3"/>
    <w:multiLevelType w:val="hybridMultilevel"/>
    <w:tmpl w:val="FF0E58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C2767E"/>
    <w:multiLevelType w:val="hybridMultilevel"/>
    <w:tmpl w:val="057A8AB2"/>
    <w:lvl w:ilvl="0" w:tplc="C19AD9EE">
      <w:start w:val="1"/>
      <w:numFmt w:val="decimal"/>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1"/>
  </w:num>
  <w:num w:numId="2">
    <w:abstractNumId w:val="2"/>
  </w:num>
  <w:num w:numId="3">
    <w:abstractNumId w:val="18"/>
  </w:num>
  <w:num w:numId="4">
    <w:abstractNumId w:val="22"/>
  </w:num>
  <w:num w:numId="5">
    <w:abstractNumId w:val="6"/>
  </w:num>
  <w:num w:numId="6">
    <w:abstractNumId w:val="9"/>
  </w:num>
  <w:num w:numId="7">
    <w:abstractNumId w:val="3"/>
  </w:num>
  <w:num w:numId="8">
    <w:abstractNumId w:val="7"/>
  </w:num>
  <w:num w:numId="9">
    <w:abstractNumId w:val="4"/>
  </w:num>
  <w:num w:numId="10">
    <w:abstractNumId w:val="1"/>
  </w:num>
  <w:num w:numId="11">
    <w:abstractNumId w:val="8"/>
  </w:num>
  <w:num w:numId="12">
    <w:abstractNumId w:val="12"/>
  </w:num>
  <w:num w:numId="13">
    <w:abstractNumId w:val="10"/>
  </w:num>
  <w:num w:numId="14">
    <w:abstractNumId w:val="21"/>
  </w:num>
  <w:num w:numId="15">
    <w:abstractNumId w:val="14"/>
  </w:num>
  <w:num w:numId="16">
    <w:abstractNumId w:val="5"/>
  </w:num>
  <w:num w:numId="17">
    <w:abstractNumId w:val="13"/>
  </w:num>
  <w:num w:numId="18">
    <w:abstractNumId w:val="20"/>
  </w:num>
  <w:num w:numId="19">
    <w:abstractNumId w:val="19"/>
  </w:num>
  <w:num w:numId="20">
    <w:abstractNumId w:val="17"/>
  </w:num>
  <w:num w:numId="21">
    <w:abstractNumId w:val="16"/>
  </w:num>
  <w:num w:numId="22">
    <w:abstractNumId w:val="0"/>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DF5FEE"/>
    <w:rsid w:val="00000ADC"/>
    <w:rsid w:val="00002680"/>
    <w:rsid w:val="00003B28"/>
    <w:rsid w:val="00006669"/>
    <w:rsid w:val="0001314B"/>
    <w:rsid w:val="00015DF9"/>
    <w:rsid w:val="000172CA"/>
    <w:rsid w:val="000228EC"/>
    <w:rsid w:val="0002447F"/>
    <w:rsid w:val="00025700"/>
    <w:rsid w:val="00027E6A"/>
    <w:rsid w:val="0004202A"/>
    <w:rsid w:val="000440A3"/>
    <w:rsid w:val="00054DBB"/>
    <w:rsid w:val="000560D0"/>
    <w:rsid w:val="00060196"/>
    <w:rsid w:val="0006599E"/>
    <w:rsid w:val="00067156"/>
    <w:rsid w:val="00071B22"/>
    <w:rsid w:val="00075120"/>
    <w:rsid w:val="000757ED"/>
    <w:rsid w:val="00075A86"/>
    <w:rsid w:val="000863F3"/>
    <w:rsid w:val="00086961"/>
    <w:rsid w:val="00095EBF"/>
    <w:rsid w:val="000A27E6"/>
    <w:rsid w:val="000A522D"/>
    <w:rsid w:val="000B40CB"/>
    <w:rsid w:val="000B6F46"/>
    <w:rsid w:val="000B764A"/>
    <w:rsid w:val="000C5F9F"/>
    <w:rsid w:val="000E241C"/>
    <w:rsid w:val="000E4F8F"/>
    <w:rsid w:val="000F1C6F"/>
    <w:rsid w:val="000F5845"/>
    <w:rsid w:val="001058FB"/>
    <w:rsid w:val="00113143"/>
    <w:rsid w:val="001206C5"/>
    <w:rsid w:val="00124862"/>
    <w:rsid w:val="00126294"/>
    <w:rsid w:val="0013167C"/>
    <w:rsid w:val="00134257"/>
    <w:rsid w:val="0013668D"/>
    <w:rsid w:val="00143F95"/>
    <w:rsid w:val="001441CC"/>
    <w:rsid w:val="00146CA2"/>
    <w:rsid w:val="001535B7"/>
    <w:rsid w:val="0016109D"/>
    <w:rsid w:val="00162783"/>
    <w:rsid w:val="0016389A"/>
    <w:rsid w:val="00165C28"/>
    <w:rsid w:val="0016763B"/>
    <w:rsid w:val="001748A1"/>
    <w:rsid w:val="0017783A"/>
    <w:rsid w:val="00181000"/>
    <w:rsid w:val="001841B1"/>
    <w:rsid w:val="001844D3"/>
    <w:rsid w:val="001B0EC3"/>
    <w:rsid w:val="001B3E5E"/>
    <w:rsid w:val="001C1A50"/>
    <w:rsid w:val="001D2B99"/>
    <w:rsid w:val="001D381F"/>
    <w:rsid w:val="001D4180"/>
    <w:rsid w:val="001D5252"/>
    <w:rsid w:val="001E1AD7"/>
    <w:rsid w:val="001E288F"/>
    <w:rsid w:val="002069B9"/>
    <w:rsid w:val="00207752"/>
    <w:rsid w:val="0021056C"/>
    <w:rsid w:val="00213F57"/>
    <w:rsid w:val="00214AC7"/>
    <w:rsid w:val="002308A3"/>
    <w:rsid w:val="002328D3"/>
    <w:rsid w:val="00234CDB"/>
    <w:rsid w:val="002449FF"/>
    <w:rsid w:val="002464E6"/>
    <w:rsid w:val="002475A4"/>
    <w:rsid w:val="002570F7"/>
    <w:rsid w:val="00261A40"/>
    <w:rsid w:val="002663AF"/>
    <w:rsid w:val="00282AD3"/>
    <w:rsid w:val="00287E5B"/>
    <w:rsid w:val="00290DEA"/>
    <w:rsid w:val="00292791"/>
    <w:rsid w:val="00294311"/>
    <w:rsid w:val="002963F1"/>
    <w:rsid w:val="002964D9"/>
    <w:rsid w:val="002A7FDC"/>
    <w:rsid w:val="002B60E7"/>
    <w:rsid w:val="002C14DD"/>
    <w:rsid w:val="002C1DF4"/>
    <w:rsid w:val="002C59DA"/>
    <w:rsid w:val="002C7A58"/>
    <w:rsid w:val="002D7EDC"/>
    <w:rsid w:val="002E33DE"/>
    <w:rsid w:val="002E47AE"/>
    <w:rsid w:val="00304460"/>
    <w:rsid w:val="00304C1A"/>
    <w:rsid w:val="00310047"/>
    <w:rsid w:val="00316C73"/>
    <w:rsid w:val="00331B60"/>
    <w:rsid w:val="00332BD0"/>
    <w:rsid w:val="00334A07"/>
    <w:rsid w:val="00335832"/>
    <w:rsid w:val="003473E3"/>
    <w:rsid w:val="0035460F"/>
    <w:rsid w:val="00354C78"/>
    <w:rsid w:val="00355C5A"/>
    <w:rsid w:val="0035667D"/>
    <w:rsid w:val="00360B0C"/>
    <w:rsid w:val="003628EE"/>
    <w:rsid w:val="003668C6"/>
    <w:rsid w:val="00366C70"/>
    <w:rsid w:val="003717DD"/>
    <w:rsid w:val="003756CB"/>
    <w:rsid w:val="00376C1B"/>
    <w:rsid w:val="00377416"/>
    <w:rsid w:val="00381B59"/>
    <w:rsid w:val="00384449"/>
    <w:rsid w:val="003B0996"/>
    <w:rsid w:val="003B52BD"/>
    <w:rsid w:val="003B57A2"/>
    <w:rsid w:val="003B6573"/>
    <w:rsid w:val="003E0A4F"/>
    <w:rsid w:val="003E4ED8"/>
    <w:rsid w:val="003F16E7"/>
    <w:rsid w:val="003F54B3"/>
    <w:rsid w:val="004005E0"/>
    <w:rsid w:val="0040589F"/>
    <w:rsid w:val="00407D60"/>
    <w:rsid w:val="00417ACE"/>
    <w:rsid w:val="004253C8"/>
    <w:rsid w:val="00440F1F"/>
    <w:rsid w:val="00442BAA"/>
    <w:rsid w:val="00444024"/>
    <w:rsid w:val="004528AA"/>
    <w:rsid w:val="0045748E"/>
    <w:rsid w:val="004609E5"/>
    <w:rsid w:val="00461123"/>
    <w:rsid w:val="0046674F"/>
    <w:rsid w:val="004679A4"/>
    <w:rsid w:val="00482164"/>
    <w:rsid w:val="00483937"/>
    <w:rsid w:val="00493C87"/>
    <w:rsid w:val="00497B01"/>
    <w:rsid w:val="004A06C7"/>
    <w:rsid w:val="004A43CC"/>
    <w:rsid w:val="004A4B6A"/>
    <w:rsid w:val="004B2EE4"/>
    <w:rsid w:val="004B3BE4"/>
    <w:rsid w:val="004C7780"/>
    <w:rsid w:val="004C7D0A"/>
    <w:rsid w:val="004D7780"/>
    <w:rsid w:val="004E5A29"/>
    <w:rsid w:val="004E7D3D"/>
    <w:rsid w:val="004F0B70"/>
    <w:rsid w:val="004F19D6"/>
    <w:rsid w:val="00513494"/>
    <w:rsid w:val="00527974"/>
    <w:rsid w:val="00532851"/>
    <w:rsid w:val="005365A6"/>
    <w:rsid w:val="00542CA9"/>
    <w:rsid w:val="00543CDA"/>
    <w:rsid w:val="00545966"/>
    <w:rsid w:val="00550167"/>
    <w:rsid w:val="00551655"/>
    <w:rsid w:val="00553E24"/>
    <w:rsid w:val="00554DF6"/>
    <w:rsid w:val="0057062D"/>
    <w:rsid w:val="00577DFD"/>
    <w:rsid w:val="00577FE2"/>
    <w:rsid w:val="0058223D"/>
    <w:rsid w:val="005909DB"/>
    <w:rsid w:val="005B1929"/>
    <w:rsid w:val="005B3A1C"/>
    <w:rsid w:val="005B52F5"/>
    <w:rsid w:val="005C5DFC"/>
    <w:rsid w:val="005E0B3F"/>
    <w:rsid w:val="005E706E"/>
    <w:rsid w:val="005E7C41"/>
    <w:rsid w:val="005F38F8"/>
    <w:rsid w:val="005F50F2"/>
    <w:rsid w:val="00602669"/>
    <w:rsid w:val="0060669B"/>
    <w:rsid w:val="00606992"/>
    <w:rsid w:val="006122BB"/>
    <w:rsid w:val="00617042"/>
    <w:rsid w:val="006270C4"/>
    <w:rsid w:val="00631357"/>
    <w:rsid w:val="0063644B"/>
    <w:rsid w:val="00641C58"/>
    <w:rsid w:val="00643EEE"/>
    <w:rsid w:val="00644AF6"/>
    <w:rsid w:val="00653138"/>
    <w:rsid w:val="006544B1"/>
    <w:rsid w:val="00655131"/>
    <w:rsid w:val="006561E6"/>
    <w:rsid w:val="00672035"/>
    <w:rsid w:val="00694FBA"/>
    <w:rsid w:val="006A546A"/>
    <w:rsid w:val="006A7090"/>
    <w:rsid w:val="006B20F4"/>
    <w:rsid w:val="006B57FA"/>
    <w:rsid w:val="006B5DDF"/>
    <w:rsid w:val="006B651E"/>
    <w:rsid w:val="006C4192"/>
    <w:rsid w:val="006C4D9A"/>
    <w:rsid w:val="006D3EEF"/>
    <w:rsid w:val="006E7F96"/>
    <w:rsid w:val="006F24F7"/>
    <w:rsid w:val="006F59ED"/>
    <w:rsid w:val="006F69D0"/>
    <w:rsid w:val="0070149F"/>
    <w:rsid w:val="007030BA"/>
    <w:rsid w:val="00703BE7"/>
    <w:rsid w:val="00712975"/>
    <w:rsid w:val="007207F3"/>
    <w:rsid w:val="007231F9"/>
    <w:rsid w:val="00726251"/>
    <w:rsid w:val="00727E33"/>
    <w:rsid w:val="00732D51"/>
    <w:rsid w:val="00733D32"/>
    <w:rsid w:val="00733DDE"/>
    <w:rsid w:val="00734608"/>
    <w:rsid w:val="00741529"/>
    <w:rsid w:val="00747FAF"/>
    <w:rsid w:val="00754D39"/>
    <w:rsid w:val="0075727D"/>
    <w:rsid w:val="007575BD"/>
    <w:rsid w:val="007635DE"/>
    <w:rsid w:val="00763D61"/>
    <w:rsid w:val="007651DB"/>
    <w:rsid w:val="00772F4B"/>
    <w:rsid w:val="00776AAB"/>
    <w:rsid w:val="007845F7"/>
    <w:rsid w:val="00795353"/>
    <w:rsid w:val="00796F50"/>
    <w:rsid w:val="007A2C22"/>
    <w:rsid w:val="007A36B6"/>
    <w:rsid w:val="007A3A43"/>
    <w:rsid w:val="007A5F65"/>
    <w:rsid w:val="007C77A2"/>
    <w:rsid w:val="007D0891"/>
    <w:rsid w:val="007D3595"/>
    <w:rsid w:val="007D3F85"/>
    <w:rsid w:val="007E03A6"/>
    <w:rsid w:val="007F2105"/>
    <w:rsid w:val="007F7536"/>
    <w:rsid w:val="008017DA"/>
    <w:rsid w:val="0080647D"/>
    <w:rsid w:val="008127AB"/>
    <w:rsid w:val="00815101"/>
    <w:rsid w:val="008175F8"/>
    <w:rsid w:val="008247CF"/>
    <w:rsid w:val="008319A0"/>
    <w:rsid w:val="00833868"/>
    <w:rsid w:val="00844E86"/>
    <w:rsid w:val="008624E4"/>
    <w:rsid w:val="00867E63"/>
    <w:rsid w:val="00870E08"/>
    <w:rsid w:val="00873634"/>
    <w:rsid w:val="00882471"/>
    <w:rsid w:val="00892FF6"/>
    <w:rsid w:val="00894EB8"/>
    <w:rsid w:val="008A0460"/>
    <w:rsid w:val="008A1474"/>
    <w:rsid w:val="008A279D"/>
    <w:rsid w:val="008B40DD"/>
    <w:rsid w:val="008B5AFC"/>
    <w:rsid w:val="008C1BAF"/>
    <w:rsid w:val="008C22E5"/>
    <w:rsid w:val="008C6918"/>
    <w:rsid w:val="008F65C8"/>
    <w:rsid w:val="008F7BE6"/>
    <w:rsid w:val="00900A13"/>
    <w:rsid w:val="0090239B"/>
    <w:rsid w:val="009323EB"/>
    <w:rsid w:val="00932B36"/>
    <w:rsid w:val="009470AB"/>
    <w:rsid w:val="00957F9D"/>
    <w:rsid w:val="00961756"/>
    <w:rsid w:val="00964398"/>
    <w:rsid w:val="00965044"/>
    <w:rsid w:val="00971E0B"/>
    <w:rsid w:val="00981EFA"/>
    <w:rsid w:val="00990D48"/>
    <w:rsid w:val="00991E83"/>
    <w:rsid w:val="00991F9F"/>
    <w:rsid w:val="009B12AC"/>
    <w:rsid w:val="009B2FAB"/>
    <w:rsid w:val="009B3242"/>
    <w:rsid w:val="009B3657"/>
    <w:rsid w:val="009B4BE9"/>
    <w:rsid w:val="009C2AE8"/>
    <w:rsid w:val="009C2D74"/>
    <w:rsid w:val="009C7A60"/>
    <w:rsid w:val="009D08D7"/>
    <w:rsid w:val="009D0BBC"/>
    <w:rsid w:val="009D1083"/>
    <w:rsid w:val="009D3EFF"/>
    <w:rsid w:val="009D3F3A"/>
    <w:rsid w:val="009D69ED"/>
    <w:rsid w:val="009E13C2"/>
    <w:rsid w:val="009E478F"/>
    <w:rsid w:val="009F0ACF"/>
    <w:rsid w:val="009F74A0"/>
    <w:rsid w:val="00A07675"/>
    <w:rsid w:val="00A142FA"/>
    <w:rsid w:val="00A172DD"/>
    <w:rsid w:val="00A20213"/>
    <w:rsid w:val="00A21D2D"/>
    <w:rsid w:val="00A2798F"/>
    <w:rsid w:val="00A27B69"/>
    <w:rsid w:val="00A27DF3"/>
    <w:rsid w:val="00A27E81"/>
    <w:rsid w:val="00A308DB"/>
    <w:rsid w:val="00A31815"/>
    <w:rsid w:val="00A407A5"/>
    <w:rsid w:val="00A41308"/>
    <w:rsid w:val="00A44474"/>
    <w:rsid w:val="00A4644A"/>
    <w:rsid w:val="00A5209A"/>
    <w:rsid w:val="00A540AD"/>
    <w:rsid w:val="00A67454"/>
    <w:rsid w:val="00A839D8"/>
    <w:rsid w:val="00A9186F"/>
    <w:rsid w:val="00A9780B"/>
    <w:rsid w:val="00A97E5C"/>
    <w:rsid w:val="00AA7EB8"/>
    <w:rsid w:val="00AB21B7"/>
    <w:rsid w:val="00AB3C47"/>
    <w:rsid w:val="00AB3F75"/>
    <w:rsid w:val="00AB69B2"/>
    <w:rsid w:val="00AC59C2"/>
    <w:rsid w:val="00AD5138"/>
    <w:rsid w:val="00AE3EE9"/>
    <w:rsid w:val="00AF1A6E"/>
    <w:rsid w:val="00AF6F6B"/>
    <w:rsid w:val="00B3432F"/>
    <w:rsid w:val="00B34766"/>
    <w:rsid w:val="00B37A1A"/>
    <w:rsid w:val="00B4226E"/>
    <w:rsid w:val="00B424D0"/>
    <w:rsid w:val="00B46A99"/>
    <w:rsid w:val="00B532B2"/>
    <w:rsid w:val="00B54B54"/>
    <w:rsid w:val="00B60651"/>
    <w:rsid w:val="00B644E6"/>
    <w:rsid w:val="00B73273"/>
    <w:rsid w:val="00B75464"/>
    <w:rsid w:val="00B75541"/>
    <w:rsid w:val="00B75BC9"/>
    <w:rsid w:val="00B831C5"/>
    <w:rsid w:val="00B8707B"/>
    <w:rsid w:val="00B929E1"/>
    <w:rsid w:val="00B92BC1"/>
    <w:rsid w:val="00B95BFA"/>
    <w:rsid w:val="00BB704D"/>
    <w:rsid w:val="00BB7C59"/>
    <w:rsid w:val="00BB7D95"/>
    <w:rsid w:val="00BC3FC8"/>
    <w:rsid w:val="00BC4EDD"/>
    <w:rsid w:val="00BD19DB"/>
    <w:rsid w:val="00BD538D"/>
    <w:rsid w:val="00BD5672"/>
    <w:rsid w:val="00BD5945"/>
    <w:rsid w:val="00BD747C"/>
    <w:rsid w:val="00BE03DB"/>
    <w:rsid w:val="00BE517A"/>
    <w:rsid w:val="00BE65F0"/>
    <w:rsid w:val="00BF24F1"/>
    <w:rsid w:val="00C03306"/>
    <w:rsid w:val="00C038ED"/>
    <w:rsid w:val="00C04025"/>
    <w:rsid w:val="00C065DD"/>
    <w:rsid w:val="00C07B41"/>
    <w:rsid w:val="00C205C9"/>
    <w:rsid w:val="00C226F9"/>
    <w:rsid w:val="00C24CBF"/>
    <w:rsid w:val="00C261FB"/>
    <w:rsid w:val="00C3078A"/>
    <w:rsid w:val="00C31277"/>
    <w:rsid w:val="00C3160F"/>
    <w:rsid w:val="00C325E3"/>
    <w:rsid w:val="00C35B90"/>
    <w:rsid w:val="00C530E2"/>
    <w:rsid w:val="00C533D6"/>
    <w:rsid w:val="00C54623"/>
    <w:rsid w:val="00C606B0"/>
    <w:rsid w:val="00C73AB6"/>
    <w:rsid w:val="00C7723D"/>
    <w:rsid w:val="00C81DB0"/>
    <w:rsid w:val="00C85C23"/>
    <w:rsid w:val="00C870A0"/>
    <w:rsid w:val="00C91847"/>
    <w:rsid w:val="00C94F75"/>
    <w:rsid w:val="00CA3EE5"/>
    <w:rsid w:val="00CA646D"/>
    <w:rsid w:val="00CB3FE0"/>
    <w:rsid w:val="00CD2836"/>
    <w:rsid w:val="00CD325F"/>
    <w:rsid w:val="00CE3898"/>
    <w:rsid w:val="00CF2C62"/>
    <w:rsid w:val="00CF6640"/>
    <w:rsid w:val="00CF6F47"/>
    <w:rsid w:val="00D030AD"/>
    <w:rsid w:val="00D06CA8"/>
    <w:rsid w:val="00D13EB2"/>
    <w:rsid w:val="00D150C7"/>
    <w:rsid w:val="00D20F49"/>
    <w:rsid w:val="00D33CAD"/>
    <w:rsid w:val="00D36D22"/>
    <w:rsid w:val="00D45798"/>
    <w:rsid w:val="00D45CB2"/>
    <w:rsid w:val="00D46C02"/>
    <w:rsid w:val="00D47A5B"/>
    <w:rsid w:val="00D52CAB"/>
    <w:rsid w:val="00D57A2F"/>
    <w:rsid w:val="00D70758"/>
    <w:rsid w:val="00D72851"/>
    <w:rsid w:val="00D72C27"/>
    <w:rsid w:val="00D87E6C"/>
    <w:rsid w:val="00D90B4B"/>
    <w:rsid w:val="00D931CE"/>
    <w:rsid w:val="00D97997"/>
    <w:rsid w:val="00DA0FDE"/>
    <w:rsid w:val="00DB6EEA"/>
    <w:rsid w:val="00DC6A9B"/>
    <w:rsid w:val="00DC6E45"/>
    <w:rsid w:val="00DD0843"/>
    <w:rsid w:val="00DD1F62"/>
    <w:rsid w:val="00DD6C16"/>
    <w:rsid w:val="00DE2404"/>
    <w:rsid w:val="00DE3A2E"/>
    <w:rsid w:val="00DF2D87"/>
    <w:rsid w:val="00DF5FEE"/>
    <w:rsid w:val="00E03792"/>
    <w:rsid w:val="00E05318"/>
    <w:rsid w:val="00E10030"/>
    <w:rsid w:val="00E11404"/>
    <w:rsid w:val="00E3088B"/>
    <w:rsid w:val="00E37238"/>
    <w:rsid w:val="00E4141A"/>
    <w:rsid w:val="00E6023A"/>
    <w:rsid w:val="00E63E96"/>
    <w:rsid w:val="00E71570"/>
    <w:rsid w:val="00E77E41"/>
    <w:rsid w:val="00E84893"/>
    <w:rsid w:val="00E873EC"/>
    <w:rsid w:val="00E87B40"/>
    <w:rsid w:val="00E90672"/>
    <w:rsid w:val="00E92D9B"/>
    <w:rsid w:val="00E92ED7"/>
    <w:rsid w:val="00E93732"/>
    <w:rsid w:val="00E94290"/>
    <w:rsid w:val="00E97FE4"/>
    <w:rsid w:val="00EA3662"/>
    <w:rsid w:val="00EB2DCF"/>
    <w:rsid w:val="00EB3EE7"/>
    <w:rsid w:val="00EC15D9"/>
    <w:rsid w:val="00EC23F5"/>
    <w:rsid w:val="00EC446D"/>
    <w:rsid w:val="00EC7115"/>
    <w:rsid w:val="00ED1A20"/>
    <w:rsid w:val="00ED2672"/>
    <w:rsid w:val="00ED2D9D"/>
    <w:rsid w:val="00ED4299"/>
    <w:rsid w:val="00ED7F51"/>
    <w:rsid w:val="00EE0AA4"/>
    <w:rsid w:val="00EE4F82"/>
    <w:rsid w:val="00EE6BF3"/>
    <w:rsid w:val="00F012B2"/>
    <w:rsid w:val="00F02E53"/>
    <w:rsid w:val="00F04C6C"/>
    <w:rsid w:val="00F06580"/>
    <w:rsid w:val="00F06875"/>
    <w:rsid w:val="00F07454"/>
    <w:rsid w:val="00F12C01"/>
    <w:rsid w:val="00F2584B"/>
    <w:rsid w:val="00F358AC"/>
    <w:rsid w:val="00F40E77"/>
    <w:rsid w:val="00F505CA"/>
    <w:rsid w:val="00F54444"/>
    <w:rsid w:val="00F614EB"/>
    <w:rsid w:val="00F61535"/>
    <w:rsid w:val="00F62A3D"/>
    <w:rsid w:val="00F67276"/>
    <w:rsid w:val="00F70840"/>
    <w:rsid w:val="00F8296F"/>
    <w:rsid w:val="00F90848"/>
    <w:rsid w:val="00F971B7"/>
    <w:rsid w:val="00FB102F"/>
    <w:rsid w:val="00FB397C"/>
    <w:rsid w:val="00FB3C54"/>
    <w:rsid w:val="00FB404D"/>
    <w:rsid w:val="00FC50C0"/>
    <w:rsid w:val="00FD146E"/>
    <w:rsid w:val="00FE6B52"/>
    <w:rsid w:val="00FF283A"/>
    <w:rsid w:val="00FF4848"/>
    <w:rsid w:val="00FF749E"/>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FEE"/>
    <w:rPr>
      <w:sz w:val="24"/>
      <w:szCs w:val="24"/>
      <w:lang w:val="en-US" w:eastAsia="en-US"/>
    </w:rPr>
  </w:style>
  <w:style w:type="paragraph" w:styleId="Heading1">
    <w:name w:val="heading 1"/>
    <w:basedOn w:val="Normal"/>
    <w:next w:val="Normal"/>
    <w:qFormat/>
    <w:rsid w:val="001058F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qFormat/>
    <w:rsid w:val="001058FB"/>
    <w:pPr>
      <w:keepNext/>
      <w:spacing w:before="240" w:after="60"/>
      <w:outlineLvl w:val="1"/>
    </w:pPr>
    <w:rPr>
      <w:rFonts w:ascii="Verdana" w:hAnsi="Verdana" w:cs="Arial"/>
      <w:b/>
      <w:bCs/>
      <w:iCs/>
      <w:sz w:val="25"/>
      <w:szCs w:val="28"/>
    </w:rPr>
  </w:style>
  <w:style w:type="paragraph" w:styleId="Heading3">
    <w:name w:val="heading 3"/>
    <w:basedOn w:val="Normal"/>
    <w:qFormat/>
    <w:rsid w:val="00D72851"/>
    <w:pPr>
      <w:spacing w:before="192" w:after="60"/>
      <w:outlineLvl w:val="2"/>
    </w:pPr>
    <w:rPr>
      <w:rFonts w:ascii="Verdana" w:hAnsi="Verdana"/>
      <w:i/>
      <w:spacing w:val="-10"/>
      <w:sz w:val="25"/>
      <w:szCs w:val="34"/>
      <w:u w:val="single"/>
    </w:rPr>
  </w:style>
  <w:style w:type="paragraph" w:styleId="Heading6">
    <w:name w:val="heading 6"/>
    <w:basedOn w:val="Normal"/>
    <w:next w:val="Normal"/>
    <w:link w:val="Heading6Char"/>
    <w:uiPriority w:val="9"/>
    <w:semiHidden/>
    <w:unhideWhenUsed/>
    <w:qFormat/>
    <w:rsid w:val="00A2798F"/>
    <w:pPr>
      <w:keepNext/>
      <w:keepLines/>
      <w:spacing w:before="200" w:line="276" w:lineRule="auto"/>
      <w:outlineLvl w:val="5"/>
    </w:pPr>
    <w:rPr>
      <w:rFonts w:ascii="Cambria" w:hAnsi="Cambria"/>
      <w:i/>
      <w:iCs/>
      <w:color w:val="243F60"/>
      <w:sz w:val="22"/>
      <w:szCs w:val="22"/>
      <w:lang w:val="en-NZ" w:eastAsia="zh-CN"/>
    </w:rPr>
  </w:style>
  <w:style w:type="paragraph" w:styleId="Heading7">
    <w:name w:val="heading 7"/>
    <w:basedOn w:val="Normal"/>
    <w:next w:val="Normal"/>
    <w:link w:val="Heading7Char"/>
    <w:uiPriority w:val="9"/>
    <w:semiHidden/>
    <w:unhideWhenUsed/>
    <w:qFormat/>
    <w:rsid w:val="00A2798F"/>
    <w:pPr>
      <w:keepNext/>
      <w:keepLines/>
      <w:spacing w:before="200" w:line="276" w:lineRule="auto"/>
      <w:outlineLvl w:val="6"/>
    </w:pPr>
    <w:rPr>
      <w:rFonts w:ascii="Cambria" w:hAnsi="Cambria"/>
      <w:i/>
      <w:iCs/>
      <w:color w:val="404040"/>
      <w:sz w:val="22"/>
      <w:szCs w:val="22"/>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maVeitch">
    <w:name w:val="Emma Veitch"/>
    <w:semiHidden/>
    <w:rsid w:val="003B0996"/>
    <w:rPr>
      <w:rFonts w:ascii="Arial" w:hAnsi="Arial" w:cs="Arial"/>
      <w:color w:val="auto"/>
      <w:sz w:val="20"/>
      <w:szCs w:val="20"/>
    </w:rPr>
  </w:style>
  <w:style w:type="paragraph" w:styleId="DocumentMap">
    <w:name w:val="Document Map"/>
    <w:basedOn w:val="Normal"/>
    <w:semiHidden/>
    <w:rsid w:val="00D030AD"/>
    <w:pPr>
      <w:shd w:val="clear" w:color="auto" w:fill="000080"/>
    </w:pPr>
    <w:rPr>
      <w:rFonts w:ascii="Tahoma" w:hAnsi="Tahoma" w:cs="Tahoma"/>
      <w:sz w:val="20"/>
      <w:szCs w:val="20"/>
    </w:rPr>
  </w:style>
  <w:style w:type="character" w:styleId="Hyperlink">
    <w:name w:val="Hyperlink"/>
    <w:rsid w:val="00B75BC9"/>
    <w:rPr>
      <w:color w:val="0000FF"/>
      <w:u w:val="single"/>
    </w:rPr>
  </w:style>
  <w:style w:type="paragraph" w:styleId="BalloonText">
    <w:name w:val="Balloon Text"/>
    <w:basedOn w:val="Normal"/>
    <w:semiHidden/>
    <w:rsid w:val="00A41308"/>
    <w:rPr>
      <w:rFonts w:ascii="Tahoma" w:hAnsi="Tahoma" w:cs="Tahoma"/>
      <w:sz w:val="16"/>
      <w:szCs w:val="16"/>
    </w:rPr>
  </w:style>
  <w:style w:type="character" w:styleId="CommentReference">
    <w:name w:val="annotation reference"/>
    <w:semiHidden/>
    <w:rsid w:val="00A41308"/>
    <w:rPr>
      <w:sz w:val="16"/>
      <w:szCs w:val="16"/>
    </w:rPr>
  </w:style>
  <w:style w:type="paragraph" w:styleId="CommentText">
    <w:name w:val="annotation text"/>
    <w:basedOn w:val="Normal"/>
    <w:semiHidden/>
    <w:rsid w:val="00A41308"/>
    <w:rPr>
      <w:sz w:val="20"/>
      <w:szCs w:val="20"/>
    </w:rPr>
  </w:style>
  <w:style w:type="paragraph" w:styleId="CommentSubject">
    <w:name w:val="annotation subject"/>
    <w:basedOn w:val="CommentText"/>
    <w:next w:val="CommentText"/>
    <w:semiHidden/>
    <w:rsid w:val="00A41308"/>
    <w:rPr>
      <w:b/>
      <w:bCs/>
    </w:rPr>
  </w:style>
  <w:style w:type="character" w:customStyle="1" w:styleId="eveitch">
    <w:name w:val="eveitch"/>
    <w:semiHidden/>
    <w:rsid w:val="00991E83"/>
    <w:rPr>
      <w:rFonts w:ascii="Arial" w:hAnsi="Arial" w:cs="Arial"/>
      <w:color w:val="auto"/>
      <w:sz w:val="20"/>
      <w:szCs w:val="20"/>
    </w:rPr>
  </w:style>
  <w:style w:type="paragraph" w:styleId="NormalWeb">
    <w:name w:val="Normal (Web)"/>
    <w:basedOn w:val="Normal"/>
    <w:uiPriority w:val="99"/>
    <w:rsid w:val="00D33CAD"/>
    <w:pPr>
      <w:spacing w:before="100" w:beforeAutospacing="1" w:after="100" w:afterAutospacing="1"/>
    </w:pPr>
  </w:style>
  <w:style w:type="paragraph" w:styleId="FootnoteText">
    <w:name w:val="footnote text"/>
    <w:basedOn w:val="Normal"/>
    <w:link w:val="FootnoteTextChar"/>
    <w:rsid w:val="009F74A0"/>
    <w:rPr>
      <w:sz w:val="20"/>
      <w:szCs w:val="20"/>
    </w:rPr>
  </w:style>
  <w:style w:type="character" w:customStyle="1" w:styleId="FootnoteTextChar">
    <w:name w:val="Footnote Text Char"/>
    <w:link w:val="FootnoteText"/>
    <w:rsid w:val="009F74A0"/>
    <w:rPr>
      <w:lang w:val="en-US" w:eastAsia="en-US"/>
    </w:rPr>
  </w:style>
  <w:style w:type="character" w:styleId="FootnoteReference">
    <w:name w:val="footnote reference"/>
    <w:rsid w:val="009F74A0"/>
    <w:rPr>
      <w:vertAlign w:val="superscript"/>
    </w:rPr>
  </w:style>
  <w:style w:type="character" w:styleId="LineNumber">
    <w:name w:val="line number"/>
    <w:basedOn w:val="DefaultParagraphFont"/>
    <w:rsid w:val="00734608"/>
  </w:style>
  <w:style w:type="table" w:styleId="TableGrid">
    <w:name w:val="Table Grid"/>
    <w:basedOn w:val="TableNormal"/>
    <w:uiPriority w:val="59"/>
    <w:rsid w:val="00D47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19D6"/>
    <w:pPr>
      <w:autoSpaceDE w:val="0"/>
      <w:autoSpaceDN w:val="0"/>
      <w:adjustRightInd w:val="0"/>
    </w:pPr>
    <w:rPr>
      <w:rFonts w:ascii="ITC Avant Garde Gothic" w:hAnsi="ITC Avant Garde Gothic" w:cs="ITC Avant Garde Gothic"/>
      <w:color w:val="000000"/>
      <w:sz w:val="24"/>
      <w:szCs w:val="24"/>
      <w:lang w:val="en-US" w:eastAsia="en-US"/>
    </w:rPr>
  </w:style>
  <w:style w:type="paragraph" w:customStyle="1" w:styleId="Pa8">
    <w:name w:val="Pa8"/>
    <w:basedOn w:val="Default"/>
    <w:next w:val="Default"/>
    <w:uiPriority w:val="99"/>
    <w:rsid w:val="004F19D6"/>
    <w:pPr>
      <w:spacing w:line="441" w:lineRule="atLeast"/>
    </w:pPr>
    <w:rPr>
      <w:rFonts w:cs="Times New Roman"/>
      <w:color w:val="auto"/>
    </w:rPr>
  </w:style>
  <w:style w:type="paragraph" w:styleId="PlainText">
    <w:name w:val="Plain Text"/>
    <w:basedOn w:val="Normal"/>
    <w:link w:val="PlainTextChar"/>
    <w:uiPriority w:val="99"/>
    <w:rsid w:val="00703BE7"/>
    <w:rPr>
      <w:rFonts w:ascii="Courier New" w:eastAsia="SimSun" w:hAnsi="Courier New" w:cs="Courier New"/>
      <w:sz w:val="20"/>
      <w:szCs w:val="20"/>
      <w:lang w:eastAsia="zh-CN"/>
    </w:rPr>
  </w:style>
  <w:style w:type="character" w:customStyle="1" w:styleId="PlainTextChar">
    <w:name w:val="Plain Text Char"/>
    <w:link w:val="PlainText"/>
    <w:uiPriority w:val="99"/>
    <w:rsid w:val="00703BE7"/>
    <w:rPr>
      <w:rFonts w:ascii="Courier New" w:eastAsia="SimSun" w:hAnsi="Courier New" w:cs="Courier New"/>
      <w:lang w:val="en-US" w:eastAsia="zh-CN"/>
    </w:rPr>
  </w:style>
  <w:style w:type="paragraph" w:styleId="Revision">
    <w:name w:val="Revision"/>
    <w:hidden/>
    <w:uiPriority w:val="99"/>
    <w:semiHidden/>
    <w:rsid w:val="00067156"/>
    <w:rPr>
      <w:sz w:val="24"/>
      <w:szCs w:val="24"/>
      <w:lang w:val="en-US" w:eastAsia="en-US"/>
    </w:rPr>
  </w:style>
  <w:style w:type="paragraph" w:styleId="Header">
    <w:name w:val="header"/>
    <w:basedOn w:val="Normal"/>
    <w:link w:val="HeaderChar"/>
    <w:rsid w:val="00067156"/>
    <w:pPr>
      <w:tabs>
        <w:tab w:val="center" w:pos="4513"/>
        <w:tab w:val="right" w:pos="9026"/>
      </w:tabs>
    </w:pPr>
  </w:style>
  <w:style w:type="character" w:customStyle="1" w:styleId="HeaderChar">
    <w:name w:val="Header Char"/>
    <w:link w:val="Header"/>
    <w:uiPriority w:val="99"/>
    <w:rsid w:val="00067156"/>
    <w:rPr>
      <w:sz w:val="24"/>
      <w:szCs w:val="24"/>
      <w:lang w:val="en-US" w:eastAsia="en-US"/>
    </w:rPr>
  </w:style>
  <w:style w:type="paragraph" w:styleId="Footer">
    <w:name w:val="footer"/>
    <w:basedOn w:val="Normal"/>
    <w:link w:val="FooterChar"/>
    <w:uiPriority w:val="99"/>
    <w:rsid w:val="00067156"/>
    <w:pPr>
      <w:tabs>
        <w:tab w:val="center" w:pos="4513"/>
        <w:tab w:val="right" w:pos="9026"/>
      </w:tabs>
    </w:pPr>
  </w:style>
  <w:style w:type="character" w:customStyle="1" w:styleId="FooterChar">
    <w:name w:val="Footer Char"/>
    <w:link w:val="Footer"/>
    <w:uiPriority w:val="99"/>
    <w:rsid w:val="00067156"/>
    <w:rPr>
      <w:sz w:val="24"/>
      <w:szCs w:val="24"/>
      <w:lang w:val="en-US" w:eastAsia="en-US"/>
    </w:rPr>
  </w:style>
  <w:style w:type="character" w:styleId="Emphasis">
    <w:name w:val="Emphasis"/>
    <w:uiPriority w:val="20"/>
    <w:qFormat/>
    <w:rsid w:val="00A2798F"/>
    <w:rPr>
      <w:i/>
      <w:iCs/>
    </w:rPr>
  </w:style>
  <w:style w:type="character" w:customStyle="1" w:styleId="Heading6Char">
    <w:name w:val="Heading 6 Char"/>
    <w:link w:val="Heading6"/>
    <w:uiPriority w:val="9"/>
    <w:semiHidden/>
    <w:rsid w:val="00A2798F"/>
    <w:rPr>
      <w:rFonts w:ascii="Cambria" w:hAnsi="Cambria"/>
      <w:i/>
      <w:iCs/>
      <w:color w:val="243F60"/>
      <w:sz w:val="22"/>
      <w:szCs w:val="22"/>
      <w:lang w:eastAsia="zh-CN"/>
    </w:rPr>
  </w:style>
  <w:style w:type="character" w:customStyle="1" w:styleId="Heading7Char">
    <w:name w:val="Heading 7 Char"/>
    <w:link w:val="Heading7"/>
    <w:uiPriority w:val="9"/>
    <w:semiHidden/>
    <w:rsid w:val="00A2798F"/>
    <w:rPr>
      <w:rFonts w:ascii="Cambria" w:hAnsi="Cambria"/>
      <w:i/>
      <w:iCs/>
      <w:color w:val="404040"/>
      <w:sz w:val="22"/>
      <w:szCs w:val="22"/>
      <w:lang w:eastAsia="zh-CN"/>
    </w:rPr>
  </w:style>
  <w:style w:type="paragraph" w:styleId="BodyTextIndent">
    <w:name w:val="Body Text Indent"/>
    <w:basedOn w:val="Normal"/>
    <w:link w:val="BodyTextIndentChar"/>
    <w:rsid w:val="00A2798F"/>
    <w:pPr>
      <w:tabs>
        <w:tab w:val="left" w:pos="-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eastAsia="MS Mincho"/>
      <w:szCs w:val="20"/>
    </w:rPr>
  </w:style>
  <w:style w:type="character" w:customStyle="1" w:styleId="BodyTextIndentChar">
    <w:name w:val="Body Text Indent Char"/>
    <w:link w:val="BodyTextIndent"/>
    <w:rsid w:val="00A2798F"/>
    <w:rPr>
      <w:rFonts w:eastAsia="MS Mincho"/>
      <w:sz w:val="24"/>
      <w:lang w:val="en-US" w:eastAsia="en-US"/>
    </w:rPr>
  </w:style>
  <w:style w:type="paragraph" w:styleId="BodyTextIndent2">
    <w:name w:val="Body Text Indent 2"/>
    <w:basedOn w:val="Normal"/>
    <w:link w:val="BodyTextIndent2Char"/>
    <w:rsid w:val="00A2798F"/>
    <w:pPr>
      <w:ind w:left="475" w:hanging="475"/>
    </w:pPr>
    <w:rPr>
      <w:rFonts w:ascii="Arial" w:eastAsia="MS Mincho" w:hAnsi="Arial" w:cs="Arial"/>
    </w:rPr>
  </w:style>
  <w:style w:type="character" w:customStyle="1" w:styleId="BodyTextIndent2Char">
    <w:name w:val="Body Text Indent 2 Char"/>
    <w:link w:val="BodyTextIndent2"/>
    <w:rsid w:val="00A2798F"/>
    <w:rPr>
      <w:rFonts w:ascii="Arial" w:eastAsia="MS Mincho"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FEE"/>
    <w:rPr>
      <w:sz w:val="24"/>
      <w:szCs w:val="24"/>
      <w:lang w:val="en-US" w:eastAsia="en-US"/>
    </w:rPr>
  </w:style>
  <w:style w:type="paragraph" w:styleId="Heading1">
    <w:name w:val="heading 1"/>
    <w:basedOn w:val="Normal"/>
    <w:next w:val="Normal"/>
    <w:qFormat/>
    <w:rsid w:val="001058F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qFormat/>
    <w:rsid w:val="001058FB"/>
    <w:pPr>
      <w:keepNext/>
      <w:spacing w:before="240" w:after="60"/>
      <w:outlineLvl w:val="1"/>
    </w:pPr>
    <w:rPr>
      <w:rFonts w:ascii="Verdana" w:hAnsi="Verdana" w:cs="Arial"/>
      <w:b/>
      <w:bCs/>
      <w:iCs/>
      <w:sz w:val="25"/>
      <w:szCs w:val="28"/>
    </w:rPr>
  </w:style>
  <w:style w:type="paragraph" w:styleId="Heading3">
    <w:name w:val="heading 3"/>
    <w:basedOn w:val="Normal"/>
    <w:qFormat/>
    <w:rsid w:val="00D72851"/>
    <w:pPr>
      <w:spacing w:before="192" w:after="60"/>
      <w:outlineLvl w:val="2"/>
    </w:pPr>
    <w:rPr>
      <w:rFonts w:ascii="Verdana" w:hAnsi="Verdana"/>
      <w:i/>
      <w:spacing w:val="-10"/>
      <w:sz w:val="25"/>
      <w:szCs w:val="34"/>
      <w:u w:val="single"/>
    </w:rPr>
  </w:style>
  <w:style w:type="paragraph" w:styleId="Heading6">
    <w:name w:val="heading 6"/>
    <w:basedOn w:val="Normal"/>
    <w:next w:val="Normal"/>
    <w:link w:val="Heading6Char"/>
    <w:uiPriority w:val="9"/>
    <w:semiHidden/>
    <w:unhideWhenUsed/>
    <w:qFormat/>
    <w:rsid w:val="00A2798F"/>
    <w:pPr>
      <w:keepNext/>
      <w:keepLines/>
      <w:spacing w:before="200" w:line="276" w:lineRule="auto"/>
      <w:outlineLvl w:val="5"/>
    </w:pPr>
    <w:rPr>
      <w:rFonts w:ascii="Cambria" w:hAnsi="Cambria"/>
      <w:i/>
      <w:iCs/>
      <w:color w:val="243F60"/>
      <w:sz w:val="22"/>
      <w:szCs w:val="22"/>
      <w:lang w:val="en-NZ" w:eastAsia="zh-CN"/>
    </w:rPr>
  </w:style>
  <w:style w:type="paragraph" w:styleId="Heading7">
    <w:name w:val="heading 7"/>
    <w:basedOn w:val="Normal"/>
    <w:next w:val="Normal"/>
    <w:link w:val="Heading7Char"/>
    <w:uiPriority w:val="9"/>
    <w:semiHidden/>
    <w:unhideWhenUsed/>
    <w:qFormat/>
    <w:rsid w:val="00A2798F"/>
    <w:pPr>
      <w:keepNext/>
      <w:keepLines/>
      <w:spacing w:before="200" w:line="276" w:lineRule="auto"/>
      <w:outlineLvl w:val="6"/>
    </w:pPr>
    <w:rPr>
      <w:rFonts w:ascii="Cambria" w:hAnsi="Cambria"/>
      <w:i/>
      <w:iCs/>
      <w:color w:val="404040"/>
      <w:sz w:val="22"/>
      <w:szCs w:val="22"/>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maVeitch">
    <w:name w:val="Emma Veitch"/>
    <w:semiHidden/>
    <w:rsid w:val="003B0996"/>
    <w:rPr>
      <w:rFonts w:ascii="Arial" w:hAnsi="Arial" w:cs="Arial"/>
      <w:color w:val="auto"/>
      <w:sz w:val="20"/>
      <w:szCs w:val="20"/>
    </w:rPr>
  </w:style>
  <w:style w:type="paragraph" w:styleId="DocumentMap">
    <w:name w:val="Document Map"/>
    <w:basedOn w:val="Normal"/>
    <w:semiHidden/>
    <w:rsid w:val="00D030AD"/>
    <w:pPr>
      <w:shd w:val="clear" w:color="auto" w:fill="000080"/>
    </w:pPr>
    <w:rPr>
      <w:rFonts w:ascii="Tahoma" w:hAnsi="Tahoma" w:cs="Tahoma"/>
      <w:sz w:val="20"/>
      <w:szCs w:val="20"/>
    </w:rPr>
  </w:style>
  <w:style w:type="character" w:styleId="Hyperlink">
    <w:name w:val="Hyperlink"/>
    <w:rsid w:val="00B75BC9"/>
    <w:rPr>
      <w:color w:val="0000FF"/>
      <w:u w:val="single"/>
    </w:rPr>
  </w:style>
  <w:style w:type="paragraph" w:styleId="BalloonText">
    <w:name w:val="Balloon Text"/>
    <w:basedOn w:val="Normal"/>
    <w:semiHidden/>
    <w:rsid w:val="00A41308"/>
    <w:rPr>
      <w:rFonts w:ascii="Tahoma" w:hAnsi="Tahoma" w:cs="Tahoma"/>
      <w:sz w:val="16"/>
      <w:szCs w:val="16"/>
    </w:rPr>
  </w:style>
  <w:style w:type="character" w:styleId="CommentReference">
    <w:name w:val="annotation reference"/>
    <w:semiHidden/>
    <w:rsid w:val="00A41308"/>
    <w:rPr>
      <w:sz w:val="16"/>
      <w:szCs w:val="16"/>
    </w:rPr>
  </w:style>
  <w:style w:type="paragraph" w:styleId="CommentText">
    <w:name w:val="annotation text"/>
    <w:basedOn w:val="Normal"/>
    <w:semiHidden/>
    <w:rsid w:val="00A41308"/>
    <w:rPr>
      <w:sz w:val="20"/>
      <w:szCs w:val="20"/>
    </w:rPr>
  </w:style>
  <w:style w:type="paragraph" w:styleId="CommentSubject">
    <w:name w:val="annotation subject"/>
    <w:basedOn w:val="CommentText"/>
    <w:next w:val="CommentText"/>
    <w:semiHidden/>
    <w:rsid w:val="00A41308"/>
    <w:rPr>
      <w:b/>
      <w:bCs/>
    </w:rPr>
  </w:style>
  <w:style w:type="character" w:customStyle="1" w:styleId="eveitch">
    <w:name w:val="eveitch"/>
    <w:semiHidden/>
    <w:rsid w:val="00991E83"/>
    <w:rPr>
      <w:rFonts w:ascii="Arial" w:hAnsi="Arial" w:cs="Arial"/>
      <w:color w:val="auto"/>
      <w:sz w:val="20"/>
      <w:szCs w:val="20"/>
    </w:rPr>
  </w:style>
  <w:style w:type="paragraph" w:styleId="NormalWeb">
    <w:name w:val="Normal (Web)"/>
    <w:basedOn w:val="Normal"/>
    <w:uiPriority w:val="99"/>
    <w:rsid w:val="00D33CAD"/>
    <w:pPr>
      <w:spacing w:before="100" w:beforeAutospacing="1" w:after="100" w:afterAutospacing="1"/>
    </w:pPr>
  </w:style>
  <w:style w:type="paragraph" w:styleId="FootnoteText">
    <w:name w:val="footnote text"/>
    <w:basedOn w:val="Normal"/>
    <w:link w:val="FootnoteTextChar"/>
    <w:rsid w:val="009F74A0"/>
    <w:rPr>
      <w:sz w:val="20"/>
      <w:szCs w:val="20"/>
    </w:rPr>
  </w:style>
  <w:style w:type="character" w:customStyle="1" w:styleId="FootnoteTextChar">
    <w:name w:val="Footnote Text Char"/>
    <w:link w:val="FootnoteText"/>
    <w:rsid w:val="009F74A0"/>
    <w:rPr>
      <w:lang w:val="en-US" w:eastAsia="en-US"/>
    </w:rPr>
  </w:style>
  <w:style w:type="character" w:styleId="FootnoteReference">
    <w:name w:val="footnote reference"/>
    <w:rsid w:val="009F74A0"/>
    <w:rPr>
      <w:vertAlign w:val="superscript"/>
    </w:rPr>
  </w:style>
  <w:style w:type="character" w:styleId="LineNumber">
    <w:name w:val="line number"/>
    <w:basedOn w:val="DefaultParagraphFont"/>
    <w:rsid w:val="00734608"/>
  </w:style>
  <w:style w:type="table" w:styleId="TableGrid">
    <w:name w:val="Table Grid"/>
    <w:basedOn w:val="TableNormal"/>
    <w:uiPriority w:val="59"/>
    <w:rsid w:val="00D47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19D6"/>
    <w:pPr>
      <w:autoSpaceDE w:val="0"/>
      <w:autoSpaceDN w:val="0"/>
      <w:adjustRightInd w:val="0"/>
    </w:pPr>
    <w:rPr>
      <w:rFonts w:ascii="ITC Avant Garde Gothic" w:hAnsi="ITC Avant Garde Gothic" w:cs="ITC Avant Garde Gothic"/>
      <w:color w:val="000000"/>
      <w:sz w:val="24"/>
      <w:szCs w:val="24"/>
      <w:lang w:val="en-US" w:eastAsia="en-US"/>
    </w:rPr>
  </w:style>
  <w:style w:type="paragraph" w:customStyle="1" w:styleId="Pa8">
    <w:name w:val="Pa8"/>
    <w:basedOn w:val="Default"/>
    <w:next w:val="Default"/>
    <w:uiPriority w:val="99"/>
    <w:rsid w:val="004F19D6"/>
    <w:pPr>
      <w:spacing w:line="441" w:lineRule="atLeast"/>
    </w:pPr>
    <w:rPr>
      <w:rFonts w:cs="Times New Roman"/>
      <w:color w:val="auto"/>
    </w:rPr>
  </w:style>
  <w:style w:type="paragraph" w:styleId="PlainText">
    <w:name w:val="Plain Text"/>
    <w:basedOn w:val="Normal"/>
    <w:link w:val="PlainTextChar"/>
    <w:uiPriority w:val="99"/>
    <w:rsid w:val="00703BE7"/>
    <w:rPr>
      <w:rFonts w:ascii="Courier New" w:eastAsia="SimSun" w:hAnsi="Courier New" w:cs="Courier New"/>
      <w:sz w:val="20"/>
      <w:szCs w:val="20"/>
      <w:lang w:eastAsia="zh-CN"/>
    </w:rPr>
  </w:style>
  <w:style w:type="character" w:customStyle="1" w:styleId="PlainTextChar">
    <w:name w:val="Plain Text Char"/>
    <w:link w:val="PlainText"/>
    <w:uiPriority w:val="99"/>
    <w:rsid w:val="00703BE7"/>
    <w:rPr>
      <w:rFonts w:ascii="Courier New" w:eastAsia="SimSun" w:hAnsi="Courier New" w:cs="Courier New"/>
      <w:lang w:val="en-US" w:eastAsia="zh-CN"/>
    </w:rPr>
  </w:style>
  <w:style w:type="paragraph" w:styleId="Revision">
    <w:name w:val="Revision"/>
    <w:hidden/>
    <w:uiPriority w:val="99"/>
    <w:semiHidden/>
    <w:rsid w:val="00067156"/>
    <w:rPr>
      <w:sz w:val="24"/>
      <w:szCs w:val="24"/>
      <w:lang w:val="en-US" w:eastAsia="en-US"/>
    </w:rPr>
  </w:style>
  <w:style w:type="paragraph" w:styleId="Header">
    <w:name w:val="header"/>
    <w:basedOn w:val="Normal"/>
    <w:link w:val="HeaderChar"/>
    <w:rsid w:val="00067156"/>
    <w:pPr>
      <w:tabs>
        <w:tab w:val="center" w:pos="4513"/>
        <w:tab w:val="right" w:pos="9026"/>
      </w:tabs>
    </w:pPr>
  </w:style>
  <w:style w:type="character" w:customStyle="1" w:styleId="HeaderChar">
    <w:name w:val="Header Char"/>
    <w:link w:val="Header"/>
    <w:uiPriority w:val="99"/>
    <w:rsid w:val="00067156"/>
    <w:rPr>
      <w:sz w:val="24"/>
      <w:szCs w:val="24"/>
      <w:lang w:val="en-US" w:eastAsia="en-US"/>
    </w:rPr>
  </w:style>
  <w:style w:type="paragraph" w:styleId="Footer">
    <w:name w:val="footer"/>
    <w:basedOn w:val="Normal"/>
    <w:link w:val="FooterChar"/>
    <w:uiPriority w:val="99"/>
    <w:rsid w:val="00067156"/>
    <w:pPr>
      <w:tabs>
        <w:tab w:val="center" w:pos="4513"/>
        <w:tab w:val="right" w:pos="9026"/>
      </w:tabs>
    </w:pPr>
  </w:style>
  <w:style w:type="character" w:customStyle="1" w:styleId="FooterChar">
    <w:name w:val="Footer Char"/>
    <w:link w:val="Footer"/>
    <w:uiPriority w:val="99"/>
    <w:rsid w:val="00067156"/>
    <w:rPr>
      <w:sz w:val="24"/>
      <w:szCs w:val="24"/>
      <w:lang w:val="en-US" w:eastAsia="en-US"/>
    </w:rPr>
  </w:style>
  <w:style w:type="character" w:styleId="Emphasis">
    <w:name w:val="Emphasis"/>
    <w:uiPriority w:val="20"/>
    <w:qFormat/>
    <w:rsid w:val="00A2798F"/>
    <w:rPr>
      <w:i/>
      <w:iCs/>
    </w:rPr>
  </w:style>
  <w:style w:type="character" w:customStyle="1" w:styleId="Heading6Char">
    <w:name w:val="Heading 6 Char"/>
    <w:link w:val="Heading6"/>
    <w:uiPriority w:val="9"/>
    <w:semiHidden/>
    <w:rsid w:val="00A2798F"/>
    <w:rPr>
      <w:rFonts w:ascii="Cambria" w:hAnsi="Cambria"/>
      <w:i/>
      <w:iCs/>
      <w:color w:val="243F60"/>
      <w:sz w:val="22"/>
      <w:szCs w:val="22"/>
      <w:lang w:eastAsia="zh-CN"/>
    </w:rPr>
  </w:style>
  <w:style w:type="character" w:customStyle="1" w:styleId="Heading7Char">
    <w:name w:val="Heading 7 Char"/>
    <w:link w:val="Heading7"/>
    <w:uiPriority w:val="9"/>
    <w:semiHidden/>
    <w:rsid w:val="00A2798F"/>
    <w:rPr>
      <w:rFonts w:ascii="Cambria" w:hAnsi="Cambria"/>
      <w:i/>
      <w:iCs/>
      <w:color w:val="404040"/>
      <w:sz w:val="22"/>
      <w:szCs w:val="22"/>
      <w:lang w:eastAsia="zh-CN"/>
    </w:rPr>
  </w:style>
  <w:style w:type="paragraph" w:styleId="BodyTextIndent">
    <w:name w:val="Body Text Indent"/>
    <w:basedOn w:val="Normal"/>
    <w:link w:val="BodyTextIndentChar"/>
    <w:rsid w:val="00A2798F"/>
    <w:pPr>
      <w:tabs>
        <w:tab w:val="left" w:pos="-4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eastAsia="MS Mincho"/>
      <w:szCs w:val="20"/>
    </w:rPr>
  </w:style>
  <w:style w:type="character" w:customStyle="1" w:styleId="BodyTextIndentChar">
    <w:name w:val="Body Text Indent Char"/>
    <w:link w:val="BodyTextIndent"/>
    <w:rsid w:val="00A2798F"/>
    <w:rPr>
      <w:rFonts w:eastAsia="MS Mincho"/>
      <w:sz w:val="24"/>
      <w:lang w:val="en-US" w:eastAsia="en-US"/>
    </w:rPr>
  </w:style>
  <w:style w:type="paragraph" w:styleId="BodyTextIndent2">
    <w:name w:val="Body Text Indent 2"/>
    <w:basedOn w:val="Normal"/>
    <w:link w:val="BodyTextIndent2Char"/>
    <w:rsid w:val="00A2798F"/>
    <w:pPr>
      <w:ind w:left="475" w:hanging="475"/>
    </w:pPr>
    <w:rPr>
      <w:rFonts w:ascii="Arial" w:eastAsia="MS Mincho" w:hAnsi="Arial" w:cs="Arial"/>
    </w:rPr>
  </w:style>
  <w:style w:type="character" w:customStyle="1" w:styleId="BodyTextIndent2Char">
    <w:name w:val="Body Text Indent 2 Char"/>
    <w:link w:val="BodyTextIndent2"/>
    <w:rsid w:val="00A2798F"/>
    <w:rPr>
      <w:rFonts w:ascii="Arial" w:eastAsia="MS Mincho" w:hAnsi="Arial" w:cs="Arial"/>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22453175">
      <w:bodyDiv w:val="1"/>
      <w:marLeft w:val="0"/>
      <w:marRight w:val="0"/>
      <w:marTop w:val="0"/>
      <w:marBottom w:val="0"/>
      <w:divBdr>
        <w:top w:val="none" w:sz="0" w:space="0" w:color="auto"/>
        <w:left w:val="none" w:sz="0" w:space="0" w:color="auto"/>
        <w:bottom w:val="single" w:sz="24" w:space="0" w:color="202020"/>
        <w:right w:val="none" w:sz="0" w:space="0" w:color="auto"/>
      </w:divBdr>
      <w:divsChild>
        <w:div w:id="1758558567">
          <w:marLeft w:val="0"/>
          <w:marRight w:val="0"/>
          <w:marTop w:val="0"/>
          <w:marBottom w:val="0"/>
          <w:divBdr>
            <w:top w:val="none" w:sz="0" w:space="0" w:color="auto"/>
            <w:left w:val="none" w:sz="0" w:space="0" w:color="auto"/>
            <w:bottom w:val="none" w:sz="0" w:space="0" w:color="auto"/>
            <w:right w:val="none" w:sz="0" w:space="0" w:color="auto"/>
          </w:divBdr>
          <w:divsChild>
            <w:div w:id="1499155531">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384332089">
      <w:bodyDiv w:val="1"/>
      <w:marLeft w:val="0"/>
      <w:marRight w:val="0"/>
      <w:marTop w:val="0"/>
      <w:marBottom w:val="0"/>
      <w:divBdr>
        <w:top w:val="none" w:sz="0" w:space="0" w:color="auto"/>
        <w:left w:val="none" w:sz="0" w:space="0" w:color="auto"/>
        <w:bottom w:val="single" w:sz="24" w:space="0" w:color="202020"/>
        <w:right w:val="none" w:sz="0" w:space="0" w:color="auto"/>
      </w:divBdr>
      <w:divsChild>
        <w:div w:id="1443719299">
          <w:marLeft w:val="0"/>
          <w:marRight w:val="0"/>
          <w:marTop w:val="0"/>
          <w:marBottom w:val="0"/>
          <w:divBdr>
            <w:top w:val="none" w:sz="0" w:space="0" w:color="auto"/>
            <w:left w:val="none" w:sz="0" w:space="0" w:color="auto"/>
            <w:bottom w:val="none" w:sz="0" w:space="0" w:color="auto"/>
            <w:right w:val="none" w:sz="0" w:space="0" w:color="auto"/>
          </w:divBdr>
          <w:divsChild>
            <w:div w:id="1974360990">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518618984">
      <w:bodyDiv w:val="1"/>
      <w:marLeft w:val="0"/>
      <w:marRight w:val="0"/>
      <w:marTop w:val="0"/>
      <w:marBottom w:val="0"/>
      <w:divBdr>
        <w:top w:val="none" w:sz="0" w:space="0" w:color="auto"/>
        <w:left w:val="none" w:sz="0" w:space="0" w:color="auto"/>
        <w:bottom w:val="single" w:sz="24" w:space="0" w:color="202020"/>
        <w:right w:val="none" w:sz="0" w:space="0" w:color="auto"/>
      </w:divBdr>
      <w:divsChild>
        <w:div w:id="1486580230">
          <w:marLeft w:val="0"/>
          <w:marRight w:val="0"/>
          <w:marTop w:val="0"/>
          <w:marBottom w:val="0"/>
          <w:divBdr>
            <w:top w:val="none" w:sz="0" w:space="0" w:color="auto"/>
            <w:left w:val="none" w:sz="0" w:space="0" w:color="auto"/>
            <w:bottom w:val="none" w:sz="0" w:space="0" w:color="auto"/>
            <w:right w:val="none" w:sz="0" w:space="0" w:color="auto"/>
          </w:divBdr>
          <w:divsChild>
            <w:div w:id="66894914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644555606">
      <w:bodyDiv w:val="1"/>
      <w:marLeft w:val="0"/>
      <w:marRight w:val="0"/>
      <w:marTop w:val="0"/>
      <w:marBottom w:val="0"/>
      <w:divBdr>
        <w:top w:val="none" w:sz="0" w:space="0" w:color="auto"/>
        <w:left w:val="none" w:sz="0" w:space="0" w:color="auto"/>
        <w:bottom w:val="single" w:sz="24" w:space="0" w:color="202020"/>
        <w:right w:val="none" w:sz="0" w:space="0" w:color="auto"/>
      </w:divBdr>
      <w:divsChild>
        <w:div w:id="944188423">
          <w:marLeft w:val="0"/>
          <w:marRight w:val="0"/>
          <w:marTop w:val="0"/>
          <w:marBottom w:val="0"/>
          <w:divBdr>
            <w:top w:val="none" w:sz="0" w:space="0" w:color="auto"/>
            <w:left w:val="none" w:sz="0" w:space="0" w:color="auto"/>
            <w:bottom w:val="none" w:sz="0" w:space="0" w:color="auto"/>
            <w:right w:val="none" w:sz="0" w:space="0" w:color="auto"/>
          </w:divBdr>
          <w:divsChild>
            <w:div w:id="1791240279">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646276141">
      <w:bodyDiv w:val="1"/>
      <w:marLeft w:val="0"/>
      <w:marRight w:val="0"/>
      <w:marTop w:val="0"/>
      <w:marBottom w:val="0"/>
      <w:divBdr>
        <w:top w:val="none" w:sz="0" w:space="0" w:color="auto"/>
        <w:left w:val="none" w:sz="0" w:space="0" w:color="auto"/>
        <w:bottom w:val="none" w:sz="0" w:space="0" w:color="auto"/>
        <w:right w:val="none" w:sz="0" w:space="0" w:color="auto"/>
      </w:divBdr>
    </w:div>
    <w:div w:id="1000541636">
      <w:bodyDiv w:val="1"/>
      <w:marLeft w:val="0"/>
      <w:marRight w:val="0"/>
      <w:marTop w:val="0"/>
      <w:marBottom w:val="0"/>
      <w:divBdr>
        <w:top w:val="none" w:sz="0" w:space="0" w:color="auto"/>
        <w:left w:val="none" w:sz="0" w:space="0" w:color="auto"/>
        <w:bottom w:val="none" w:sz="0" w:space="0" w:color="auto"/>
        <w:right w:val="none" w:sz="0" w:space="0" w:color="auto"/>
      </w:divBdr>
    </w:div>
    <w:div w:id="1474981973">
      <w:bodyDiv w:val="1"/>
      <w:marLeft w:val="0"/>
      <w:marRight w:val="0"/>
      <w:marTop w:val="0"/>
      <w:marBottom w:val="0"/>
      <w:divBdr>
        <w:top w:val="none" w:sz="0" w:space="0" w:color="auto"/>
        <w:left w:val="none" w:sz="0" w:space="0" w:color="auto"/>
        <w:bottom w:val="none" w:sz="0" w:space="0" w:color="auto"/>
        <w:right w:val="none" w:sz="0" w:space="0" w:color="auto"/>
      </w:divBdr>
    </w:div>
    <w:div w:id="1519654679">
      <w:bodyDiv w:val="1"/>
      <w:marLeft w:val="0"/>
      <w:marRight w:val="0"/>
      <w:marTop w:val="0"/>
      <w:marBottom w:val="0"/>
      <w:divBdr>
        <w:top w:val="none" w:sz="0" w:space="0" w:color="auto"/>
        <w:left w:val="none" w:sz="0" w:space="0" w:color="auto"/>
        <w:bottom w:val="none" w:sz="0" w:space="0" w:color="auto"/>
        <w:right w:val="none" w:sz="0" w:space="0" w:color="auto"/>
      </w:divBdr>
    </w:div>
    <w:div w:id="1648195984">
      <w:bodyDiv w:val="1"/>
      <w:marLeft w:val="0"/>
      <w:marRight w:val="0"/>
      <w:marTop w:val="0"/>
      <w:marBottom w:val="0"/>
      <w:divBdr>
        <w:top w:val="none" w:sz="0" w:space="0" w:color="auto"/>
        <w:left w:val="none" w:sz="0" w:space="0" w:color="auto"/>
        <w:bottom w:val="none" w:sz="0" w:space="0" w:color="auto"/>
        <w:right w:val="none" w:sz="0" w:space="0" w:color="auto"/>
      </w:divBdr>
    </w:div>
    <w:div w:id="1835953607">
      <w:bodyDiv w:val="1"/>
      <w:marLeft w:val="0"/>
      <w:marRight w:val="0"/>
      <w:marTop w:val="0"/>
      <w:marBottom w:val="0"/>
      <w:divBdr>
        <w:top w:val="none" w:sz="0" w:space="0" w:color="auto"/>
        <w:left w:val="none" w:sz="0" w:space="0" w:color="auto"/>
        <w:bottom w:val="single" w:sz="24" w:space="0" w:color="202020"/>
        <w:right w:val="none" w:sz="0" w:space="0" w:color="auto"/>
      </w:divBdr>
      <w:divsChild>
        <w:div w:id="726026094">
          <w:marLeft w:val="0"/>
          <w:marRight w:val="0"/>
          <w:marTop w:val="0"/>
          <w:marBottom w:val="0"/>
          <w:divBdr>
            <w:top w:val="none" w:sz="0" w:space="0" w:color="auto"/>
            <w:left w:val="none" w:sz="0" w:space="0" w:color="auto"/>
            <w:bottom w:val="none" w:sz="0" w:space="0" w:color="auto"/>
            <w:right w:val="none" w:sz="0" w:space="0" w:color="auto"/>
          </w:divBdr>
          <w:divsChild>
            <w:div w:id="236138517">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 w:id="1839341714">
      <w:bodyDiv w:val="1"/>
      <w:marLeft w:val="0"/>
      <w:marRight w:val="0"/>
      <w:marTop w:val="0"/>
      <w:marBottom w:val="0"/>
      <w:divBdr>
        <w:top w:val="none" w:sz="0" w:space="0" w:color="auto"/>
        <w:left w:val="none" w:sz="0" w:space="0" w:color="auto"/>
        <w:bottom w:val="single" w:sz="24" w:space="0" w:color="202020"/>
        <w:right w:val="none" w:sz="0" w:space="0" w:color="auto"/>
      </w:divBdr>
      <w:divsChild>
        <w:div w:id="2079398873">
          <w:marLeft w:val="0"/>
          <w:marRight w:val="0"/>
          <w:marTop w:val="0"/>
          <w:marBottom w:val="0"/>
          <w:divBdr>
            <w:top w:val="none" w:sz="0" w:space="0" w:color="auto"/>
            <w:left w:val="none" w:sz="0" w:space="0" w:color="auto"/>
            <w:bottom w:val="none" w:sz="0" w:space="0" w:color="auto"/>
            <w:right w:val="none" w:sz="0" w:space="0" w:color="auto"/>
          </w:divBdr>
          <w:divsChild>
            <w:div w:id="921256394">
              <w:marLeft w:val="264"/>
              <w:marRight w:val="48"/>
              <w:marTop w:val="600"/>
              <w:marBottom w:val="6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financial-education/Documents/2012%20Research%20Priorities%20-%20May%20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nancialliteracy.org.nz/webfm_send/376" TargetMode="External"/><Relationship Id="rId4" Type="http://schemas.openxmlformats.org/officeDocument/2006/relationships/settings" Target="settings.xml"/><Relationship Id="rId9" Type="http://schemas.openxmlformats.org/officeDocument/2006/relationships/hyperlink" Target="http://www.treasury.gov/resource-center/financial-education/Documents/NationalStrategyBook_12310%20(2).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10B4C-BEFC-4166-BCD0-AB4FED64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15</Pages>
  <Words>5700</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Template - Research Article - General</vt:lpstr>
    </vt:vector>
  </TitlesOfParts>
  <Company>Public Library of Science</Company>
  <LinksUpToDate>false</LinksUpToDate>
  <CharactersWithSpaces>38116</CharactersWithSpaces>
  <SharedDoc>false</SharedDoc>
  <HLinks>
    <vt:vector size="6" baseType="variant">
      <vt:variant>
        <vt:i4>7536667</vt:i4>
      </vt:variant>
      <vt:variant>
        <vt:i4>0</vt:i4>
      </vt:variant>
      <vt:variant>
        <vt:i4>0</vt:i4>
      </vt:variant>
      <vt:variant>
        <vt:i4>5</vt:i4>
      </vt:variant>
      <vt:variant>
        <vt:lpwstr>mailto:mcam@waikato.ac.nz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Research Article - General</dc:title>
  <dc:subject>Template for research manuscripts</dc:subject>
  <dc:creator>Emma Veitch</dc:creator>
  <dc:description>Template for general research papers. (See other templates for papers reporting clinical studies, clinical trials, meta-analyses, or systematic reviews.</dc:description>
  <cp:lastModifiedBy>Brian Silverstone</cp:lastModifiedBy>
  <cp:revision>9</cp:revision>
  <cp:lastPrinted>2012-08-12T03:21:00Z</cp:lastPrinted>
  <dcterms:created xsi:type="dcterms:W3CDTF">2013-04-08T07:56:00Z</dcterms:created>
  <dcterms:modified xsi:type="dcterms:W3CDTF">2013-04-12T06:56:00Z</dcterms:modified>
</cp:coreProperties>
</file>