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97" w:rsidRDefault="00443597" w:rsidP="00B336AE">
      <w:pPr>
        <w:pStyle w:val="PlainText"/>
        <w:tabs>
          <w:tab w:val="left" w:pos="426"/>
        </w:tabs>
        <w:jc w:val="center"/>
        <w:rPr>
          <w:rFonts w:ascii="Times New Roman" w:hAnsi="Times New Roman" w:cs="Times New Roman"/>
          <w:b/>
          <w:sz w:val="28"/>
          <w:szCs w:val="28"/>
        </w:rPr>
      </w:pPr>
      <w:bookmarkStart w:id="0" w:name="_GoBack"/>
      <w:bookmarkEnd w:id="0"/>
    </w:p>
    <w:p w:rsidR="00443597" w:rsidRDefault="00443597" w:rsidP="00B336AE">
      <w:pPr>
        <w:pStyle w:val="PlainText"/>
        <w:tabs>
          <w:tab w:val="left" w:pos="426"/>
        </w:tabs>
        <w:jc w:val="center"/>
        <w:rPr>
          <w:rFonts w:ascii="Times New Roman" w:hAnsi="Times New Roman" w:cs="Times New Roman"/>
          <w:b/>
          <w:sz w:val="28"/>
          <w:szCs w:val="28"/>
        </w:rPr>
      </w:pPr>
    </w:p>
    <w:p w:rsidR="00CE64D6" w:rsidRPr="00443597" w:rsidRDefault="00CE64D6" w:rsidP="00B336AE">
      <w:pPr>
        <w:pStyle w:val="PlainText"/>
        <w:tabs>
          <w:tab w:val="left" w:pos="426"/>
        </w:tabs>
        <w:jc w:val="center"/>
        <w:rPr>
          <w:rFonts w:ascii="Times New Roman" w:hAnsi="Times New Roman" w:cs="Times New Roman"/>
          <w:b/>
          <w:sz w:val="28"/>
          <w:szCs w:val="28"/>
        </w:rPr>
      </w:pPr>
      <w:r w:rsidRPr="00443597">
        <w:rPr>
          <w:rFonts w:ascii="Times New Roman" w:hAnsi="Times New Roman" w:cs="Times New Roman"/>
          <w:b/>
          <w:sz w:val="28"/>
          <w:szCs w:val="28"/>
        </w:rPr>
        <w:t>UNIVERSITY OF WAIKATO</w:t>
      </w:r>
    </w:p>
    <w:p w:rsidR="00CE64D6" w:rsidRPr="00443597" w:rsidRDefault="00CE64D6" w:rsidP="00B336AE">
      <w:pPr>
        <w:pStyle w:val="PlainText"/>
        <w:tabs>
          <w:tab w:val="left" w:pos="426"/>
        </w:tabs>
        <w:jc w:val="center"/>
        <w:rPr>
          <w:rFonts w:ascii="Times New Roman" w:hAnsi="Times New Roman" w:cs="Times New Roman"/>
          <w:b/>
          <w:sz w:val="28"/>
          <w:szCs w:val="28"/>
        </w:rPr>
      </w:pPr>
      <w:r w:rsidRPr="00443597">
        <w:rPr>
          <w:rFonts w:ascii="Times New Roman" w:hAnsi="Times New Roman" w:cs="Times New Roman"/>
          <w:b/>
          <w:sz w:val="28"/>
          <w:szCs w:val="28"/>
        </w:rPr>
        <w:t>Hamilton</w:t>
      </w:r>
    </w:p>
    <w:p w:rsidR="00CE64D6" w:rsidRPr="00443597" w:rsidRDefault="00CE64D6" w:rsidP="00B336AE">
      <w:pPr>
        <w:pStyle w:val="PlainText"/>
        <w:tabs>
          <w:tab w:val="left" w:pos="426"/>
        </w:tabs>
        <w:jc w:val="center"/>
        <w:rPr>
          <w:rFonts w:ascii="Times New Roman" w:hAnsi="Times New Roman" w:cs="Times New Roman"/>
          <w:b/>
          <w:sz w:val="28"/>
          <w:szCs w:val="28"/>
        </w:rPr>
      </w:pPr>
      <w:r w:rsidRPr="00443597">
        <w:rPr>
          <w:rFonts w:ascii="Times New Roman" w:hAnsi="Times New Roman" w:cs="Times New Roman"/>
          <w:b/>
          <w:sz w:val="28"/>
          <w:szCs w:val="28"/>
        </w:rPr>
        <w:t>New Zealand</w:t>
      </w:r>
    </w:p>
    <w:p w:rsidR="00CE64D6" w:rsidRDefault="00CE64D6" w:rsidP="00B336AE">
      <w:pPr>
        <w:pStyle w:val="PlainText"/>
        <w:tabs>
          <w:tab w:val="left" w:pos="426"/>
        </w:tabs>
        <w:jc w:val="center"/>
        <w:rPr>
          <w:rFonts w:ascii="Times New Roman" w:hAnsi="Times New Roman" w:cs="Times New Roman"/>
          <w:b/>
          <w:sz w:val="24"/>
          <w:szCs w:val="24"/>
        </w:rPr>
      </w:pPr>
    </w:p>
    <w:p w:rsidR="00443597" w:rsidRPr="00514F3B" w:rsidRDefault="00443597" w:rsidP="00B336AE">
      <w:pPr>
        <w:pStyle w:val="PlainText"/>
        <w:tabs>
          <w:tab w:val="left" w:pos="426"/>
        </w:tabs>
        <w:jc w:val="center"/>
        <w:rPr>
          <w:rFonts w:ascii="Times New Roman" w:hAnsi="Times New Roman" w:cs="Times New Roman"/>
          <w:b/>
          <w:sz w:val="24"/>
          <w:szCs w:val="24"/>
        </w:rPr>
      </w:pPr>
    </w:p>
    <w:p w:rsidR="00CE64D6" w:rsidRPr="00514F3B" w:rsidRDefault="00CE64D6" w:rsidP="00B336AE">
      <w:pPr>
        <w:pStyle w:val="PlainText"/>
        <w:tabs>
          <w:tab w:val="left" w:pos="426"/>
        </w:tabs>
        <w:jc w:val="center"/>
        <w:rPr>
          <w:rFonts w:ascii="Times New Roman" w:hAnsi="Times New Roman" w:cs="Times New Roman"/>
          <w:b/>
          <w:sz w:val="24"/>
          <w:szCs w:val="24"/>
        </w:rPr>
      </w:pPr>
    </w:p>
    <w:p w:rsidR="00CE64D6" w:rsidRPr="00514F3B" w:rsidRDefault="00CE64D6" w:rsidP="00B336AE">
      <w:pPr>
        <w:pStyle w:val="PlainText"/>
        <w:tabs>
          <w:tab w:val="left" w:pos="426"/>
        </w:tabs>
        <w:jc w:val="center"/>
        <w:rPr>
          <w:rFonts w:ascii="Times New Roman" w:hAnsi="Times New Roman" w:cs="Times New Roman"/>
          <w:b/>
          <w:sz w:val="24"/>
          <w:szCs w:val="24"/>
        </w:rPr>
      </w:pPr>
    </w:p>
    <w:p w:rsidR="00CE64D6" w:rsidRPr="00514F3B" w:rsidRDefault="00CE64D6" w:rsidP="00B336AE">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jc w:val="center"/>
        <w:rPr>
          <w:rFonts w:ascii="Times New Roman" w:hAnsi="Times New Roman" w:cs="Times New Roman"/>
          <w:b/>
          <w:sz w:val="24"/>
          <w:szCs w:val="24"/>
        </w:rPr>
      </w:pPr>
    </w:p>
    <w:p w:rsidR="00443597" w:rsidRDefault="00CE64D6" w:rsidP="00443597">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ind w:firstLine="431"/>
        <w:jc w:val="center"/>
        <w:rPr>
          <w:rFonts w:ascii="Times New Roman" w:hAnsi="Times New Roman" w:cs="Times New Roman"/>
          <w:b/>
          <w:sz w:val="28"/>
          <w:szCs w:val="28"/>
        </w:rPr>
      </w:pPr>
      <w:r w:rsidRPr="00443597">
        <w:rPr>
          <w:rFonts w:ascii="Times New Roman" w:hAnsi="Times New Roman" w:cs="Times New Roman"/>
          <w:b/>
          <w:sz w:val="28"/>
          <w:szCs w:val="28"/>
        </w:rPr>
        <w:t xml:space="preserve">The New Zealand Performance Based Research Fund and </w:t>
      </w:r>
    </w:p>
    <w:p w:rsidR="00CE64D6" w:rsidRPr="00443597" w:rsidRDefault="00CE64D6" w:rsidP="00443597">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ind w:firstLine="431"/>
        <w:jc w:val="center"/>
        <w:rPr>
          <w:rFonts w:ascii="Times New Roman" w:hAnsi="Times New Roman" w:cs="Times New Roman"/>
          <w:b/>
          <w:sz w:val="28"/>
          <w:szCs w:val="28"/>
        </w:rPr>
      </w:pPr>
      <w:proofErr w:type="gramStart"/>
      <w:r w:rsidRPr="00443597">
        <w:rPr>
          <w:rFonts w:ascii="Times New Roman" w:hAnsi="Times New Roman" w:cs="Times New Roman"/>
          <w:b/>
          <w:sz w:val="28"/>
          <w:szCs w:val="28"/>
        </w:rPr>
        <w:t>Its</w:t>
      </w:r>
      <w:proofErr w:type="gramEnd"/>
      <w:r w:rsidRPr="00443597">
        <w:rPr>
          <w:rFonts w:ascii="Times New Roman" w:hAnsi="Times New Roman" w:cs="Times New Roman"/>
          <w:b/>
          <w:sz w:val="28"/>
          <w:szCs w:val="28"/>
        </w:rPr>
        <w:t xml:space="preserve"> Impact on Publication Activity in Economics</w:t>
      </w:r>
    </w:p>
    <w:p w:rsidR="00CE64D6" w:rsidRPr="00443597" w:rsidRDefault="00CE64D6" w:rsidP="00B336AE">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ind w:firstLine="431"/>
        <w:jc w:val="center"/>
        <w:rPr>
          <w:rFonts w:ascii="Times New Roman" w:hAnsi="Times New Roman" w:cs="Times New Roman"/>
          <w:b/>
          <w:sz w:val="28"/>
          <w:szCs w:val="28"/>
        </w:rPr>
      </w:pPr>
    </w:p>
    <w:p w:rsidR="00CE64D6" w:rsidRPr="00443597" w:rsidRDefault="00CE64D6" w:rsidP="00B336AE">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ind w:firstLine="431"/>
        <w:jc w:val="center"/>
        <w:rPr>
          <w:rFonts w:ascii="Times New Roman" w:hAnsi="Times New Roman" w:cs="Times New Roman"/>
          <w:sz w:val="28"/>
          <w:szCs w:val="28"/>
        </w:rPr>
      </w:pPr>
      <w:r w:rsidRPr="00443597">
        <w:rPr>
          <w:rFonts w:ascii="Times New Roman" w:hAnsi="Times New Roman" w:cs="Times New Roman"/>
          <w:sz w:val="28"/>
          <w:szCs w:val="28"/>
        </w:rPr>
        <w:t>David L. Anderson and John Tressler</w:t>
      </w:r>
    </w:p>
    <w:p w:rsidR="00CE64D6" w:rsidRPr="00514F3B" w:rsidRDefault="00CE64D6" w:rsidP="00B336AE">
      <w:pPr>
        <w:pStyle w:val="PlainText"/>
        <w:pBdr>
          <w:top w:val="thinThickSmallGap" w:sz="24" w:space="1" w:color="auto"/>
          <w:left w:val="thinThickSmallGap" w:sz="24" w:space="4" w:color="auto"/>
          <w:bottom w:val="thickThinSmallGap" w:sz="24" w:space="1" w:color="auto"/>
          <w:right w:val="thickThinSmallGap" w:sz="24" w:space="4" w:color="auto"/>
        </w:pBdr>
        <w:tabs>
          <w:tab w:val="left" w:pos="426"/>
        </w:tabs>
        <w:spacing w:line="360" w:lineRule="auto"/>
        <w:jc w:val="center"/>
        <w:rPr>
          <w:rFonts w:ascii="Times New Roman" w:hAnsi="Times New Roman" w:cs="Times New Roman"/>
          <w:b/>
          <w:sz w:val="24"/>
          <w:szCs w:val="24"/>
        </w:rPr>
      </w:pPr>
    </w:p>
    <w:p w:rsidR="00CE64D6" w:rsidRDefault="00CE64D6" w:rsidP="00B336AE">
      <w:pPr>
        <w:pStyle w:val="PlainText"/>
        <w:tabs>
          <w:tab w:val="left" w:pos="426"/>
        </w:tabs>
        <w:spacing w:before="100" w:line="360" w:lineRule="auto"/>
        <w:jc w:val="center"/>
        <w:rPr>
          <w:rFonts w:ascii="Times New Roman" w:hAnsi="Times New Roman" w:cs="Times New Roman"/>
          <w:b/>
          <w:bCs/>
          <w:sz w:val="24"/>
          <w:szCs w:val="24"/>
        </w:rPr>
      </w:pPr>
    </w:p>
    <w:p w:rsidR="00443597" w:rsidRPr="00514F3B" w:rsidRDefault="00443597" w:rsidP="00B336AE">
      <w:pPr>
        <w:pStyle w:val="PlainText"/>
        <w:tabs>
          <w:tab w:val="left" w:pos="426"/>
        </w:tabs>
        <w:spacing w:before="100" w:line="360" w:lineRule="auto"/>
        <w:jc w:val="center"/>
        <w:rPr>
          <w:rFonts w:ascii="Times New Roman" w:hAnsi="Times New Roman" w:cs="Times New Roman"/>
          <w:b/>
          <w:bCs/>
          <w:sz w:val="24"/>
          <w:szCs w:val="24"/>
        </w:rPr>
      </w:pPr>
    </w:p>
    <w:p w:rsidR="00443597" w:rsidRPr="001D3902" w:rsidRDefault="00443597" w:rsidP="00443597">
      <w:pPr>
        <w:pStyle w:val="PlainText"/>
        <w:tabs>
          <w:tab w:val="left" w:pos="426"/>
        </w:tabs>
        <w:spacing w:before="100" w:line="360" w:lineRule="auto"/>
        <w:jc w:val="center"/>
        <w:rPr>
          <w:rFonts w:ascii="Times New Roman" w:hAnsi="Times New Roman" w:cs="Times New Roman"/>
          <w:b/>
          <w:bCs/>
          <w:sz w:val="28"/>
        </w:rPr>
      </w:pPr>
      <w:r w:rsidRPr="001D3902">
        <w:rPr>
          <w:rFonts w:ascii="Times New Roman" w:hAnsi="Times New Roman" w:cs="Times New Roman"/>
          <w:b/>
          <w:bCs/>
          <w:sz w:val="28"/>
        </w:rPr>
        <w:t>Department of Economics</w:t>
      </w:r>
    </w:p>
    <w:p w:rsidR="00443597" w:rsidRPr="001D3902" w:rsidRDefault="00443597" w:rsidP="00443597">
      <w:pPr>
        <w:pStyle w:val="PlainText"/>
        <w:tabs>
          <w:tab w:val="left" w:pos="426"/>
        </w:tabs>
        <w:spacing w:before="100" w:line="360" w:lineRule="auto"/>
        <w:jc w:val="center"/>
        <w:rPr>
          <w:rFonts w:ascii="Times New Roman" w:hAnsi="Times New Roman" w:cs="Times New Roman"/>
          <w:b/>
          <w:bCs/>
          <w:sz w:val="28"/>
        </w:rPr>
      </w:pPr>
      <w:r>
        <w:rPr>
          <w:rFonts w:ascii="Times New Roman" w:hAnsi="Times New Roman" w:cs="Times New Roman"/>
          <w:b/>
          <w:bCs/>
          <w:sz w:val="28"/>
        </w:rPr>
        <w:t>Working Paper in Economics 3/13</w:t>
      </w:r>
    </w:p>
    <w:p w:rsidR="00CE64D6" w:rsidRPr="00B717F0" w:rsidRDefault="00B717F0" w:rsidP="00B336AE">
      <w:pPr>
        <w:pStyle w:val="NoSpacing"/>
        <w:tabs>
          <w:tab w:val="left" w:pos="426"/>
        </w:tabs>
        <w:jc w:val="center"/>
        <w:rPr>
          <w:rFonts w:ascii="Times New Roman" w:hAnsi="Times New Roman" w:cs="Times New Roman"/>
          <w:sz w:val="28"/>
          <w:szCs w:val="28"/>
        </w:rPr>
      </w:pPr>
      <w:r w:rsidRPr="00B717F0">
        <w:rPr>
          <w:rFonts w:ascii="Times New Roman" w:hAnsi="Times New Roman" w:cs="Times New Roman"/>
          <w:sz w:val="28"/>
          <w:szCs w:val="28"/>
        </w:rPr>
        <w:t>Revised August 2013</w:t>
      </w:r>
    </w:p>
    <w:p w:rsidR="00443597" w:rsidRDefault="00443597" w:rsidP="00B336AE">
      <w:pPr>
        <w:pStyle w:val="NoSpacing"/>
        <w:tabs>
          <w:tab w:val="left" w:pos="426"/>
        </w:tabs>
        <w:jc w:val="center"/>
        <w:rPr>
          <w:rFonts w:ascii="Times New Roman" w:hAnsi="Times New Roman" w:cs="Times New Roman"/>
          <w:sz w:val="24"/>
          <w:szCs w:val="24"/>
        </w:rPr>
      </w:pPr>
    </w:p>
    <w:p w:rsidR="00443597" w:rsidRDefault="00443597" w:rsidP="00B336AE">
      <w:pPr>
        <w:pStyle w:val="NoSpacing"/>
        <w:tabs>
          <w:tab w:val="left" w:pos="426"/>
        </w:tabs>
        <w:jc w:val="center"/>
        <w:rPr>
          <w:rFonts w:ascii="Times New Roman" w:hAnsi="Times New Roman" w:cs="Times New Roman"/>
          <w:sz w:val="24"/>
          <w:szCs w:val="24"/>
        </w:rPr>
      </w:pPr>
    </w:p>
    <w:p w:rsidR="00443597" w:rsidRPr="00514F3B" w:rsidRDefault="00443597" w:rsidP="00B336AE">
      <w:pPr>
        <w:pStyle w:val="NoSpacing"/>
        <w:tabs>
          <w:tab w:val="left" w:pos="426"/>
        </w:tabs>
        <w:jc w:val="center"/>
        <w:rPr>
          <w:rFonts w:ascii="Times New Roman" w:hAnsi="Times New Roman" w:cs="Times New Roman"/>
          <w:sz w:val="24"/>
          <w:szCs w:val="24"/>
        </w:rPr>
      </w:pPr>
    </w:p>
    <w:tbl>
      <w:tblPr>
        <w:tblW w:w="18484" w:type="dxa"/>
        <w:tblLook w:val="01E0"/>
      </w:tblPr>
      <w:tblGrid>
        <w:gridCol w:w="4621"/>
        <w:gridCol w:w="4621"/>
        <w:gridCol w:w="4621"/>
        <w:gridCol w:w="4621"/>
      </w:tblGrid>
      <w:tr w:rsidR="00CE64D6" w:rsidRPr="00514F3B" w:rsidTr="004A01DE">
        <w:trPr>
          <w:trHeight w:val="4472"/>
        </w:trPr>
        <w:tc>
          <w:tcPr>
            <w:tcW w:w="4621" w:type="dxa"/>
          </w:tcPr>
          <w:p w:rsidR="00CE64D6" w:rsidRPr="00514F3B" w:rsidRDefault="00CE64D6" w:rsidP="00B336AE">
            <w:pPr>
              <w:pStyle w:val="TitlePage"/>
              <w:widowControl/>
              <w:tabs>
                <w:tab w:val="left" w:pos="426"/>
              </w:tabs>
              <w:ind w:hanging="42"/>
              <w:rPr>
                <w:i/>
                <w:szCs w:val="24"/>
              </w:rPr>
            </w:pPr>
            <w:r w:rsidRPr="00514F3B">
              <w:rPr>
                <w:i/>
                <w:szCs w:val="24"/>
              </w:rPr>
              <w:t>Corresponding Author</w:t>
            </w:r>
          </w:p>
          <w:p w:rsidR="00CE64D6" w:rsidRPr="00514F3B" w:rsidRDefault="00CE64D6" w:rsidP="00B336AE">
            <w:pPr>
              <w:pStyle w:val="BodyText"/>
              <w:tabs>
                <w:tab w:val="left" w:pos="426"/>
              </w:tabs>
              <w:spacing w:after="0"/>
              <w:ind w:hanging="40"/>
              <w:jc w:val="center"/>
              <w:rPr>
                <w:b/>
                <w:lang w:val="en-NZ"/>
              </w:rPr>
            </w:pPr>
            <w:r w:rsidRPr="00514F3B">
              <w:rPr>
                <w:b/>
                <w:lang w:val="en-NZ"/>
              </w:rPr>
              <w:t>John Tressler</w:t>
            </w:r>
          </w:p>
          <w:p w:rsidR="00CE64D6" w:rsidRPr="00514F3B" w:rsidRDefault="00CE64D6" w:rsidP="00B336AE">
            <w:pPr>
              <w:pStyle w:val="BodyText"/>
              <w:tabs>
                <w:tab w:val="left" w:pos="426"/>
              </w:tabs>
              <w:spacing w:after="0"/>
              <w:ind w:hanging="40"/>
              <w:jc w:val="center"/>
              <w:rPr>
                <w:lang w:val="en-NZ"/>
              </w:rPr>
            </w:pPr>
            <w:r w:rsidRPr="00514F3B">
              <w:rPr>
                <w:lang w:val="en-NZ"/>
              </w:rPr>
              <w:t>Economics Department</w:t>
            </w:r>
          </w:p>
          <w:p w:rsidR="00CE64D6" w:rsidRPr="00514F3B" w:rsidRDefault="00CE64D6" w:rsidP="00B336AE">
            <w:pPr>
              <w:pStyle w:val="BodyText"/>
              <w:tabs>
                <w:tab w:val="left" w:pos="426"/>
              </w:tabs>
              <w:spacing w:after="0"/>
              <w:ind w:hanging="40"/>
              <w:jc w:val="center"/>
              <w:rPr>
                <w:lang w:val="en-NZ"/>
              </w:rPr>
            </w:pPr>
            <w:r w:rsidRPr="00514F3B">
              <w:rPr>
                <w:lang w:val="en-NZ"/>
              </w:rPr>
              <w:t>University of Waikato</w:t>
            </w:r>
          </w:p>
          <w:p w:rsidR="00CE64D6" w:rsidRPr="00514F3B" w:rsidRDefault="00CE64D6" w:rsidP="00B336AE">
            <w:pPr>
              <w:pStyle w:val="BodyText"/>
              <w:tabs>
                <w:tab w:val="left" w:pos="426"/>
              </w:tabs>
              <w:spacing w:after="0"/>
              <w:ind w:hanging="40"/>
              <w:jc w:val="center"/>
              <w:rPr>
                <w:lang w:val="en-NZ"/>
              </w:rPr>
            </w:pPr>
            <w:r w:rsidRPr="00514F3B">
              <w:rPr>
                <w:lang w:val="en-NZ"/>
              </w:rPr>
              <w:t>Private Bag 3105</w:t>
            </w:r>
          </w:p>
          <w:p w:rsidR="00CE64D6" w:rsidRPr="00514F3B" w:rsidRDefault="00CE64D6" w:rsidP="00B336AE">
            <w:pPr>
              <w:pStyle w:val="BodyText"/>
              <w:tabs>
                <w:tab w:val="left" w:pos="426"/>
              </w:tabs>
              <w:spacing w:after="0"/>
              <w:ind w:hanging="40"/>
              <w:jc w:val="center"/>
              <w:rPr>
                <w:lang w:val="en-NZ"/>
              </w:rPr>
            </w:pPr>
            <w:r w:rsidRPr="00514F3B">
              <w:rPr>
                <w:lang w:val="en-NZ"/>
              </w:rPr>
              <w:t>Hamilton</w:t>
            </w:r>
          </w:p>
          <w:p w:rsidR="00CE64D6" w:rsidRPr="00514F3B" w:rsidRDefault="00CE64D6" w:rsidP="00B336AE">
            <w:pPr>
              <w:pStyle w:val="BodyText"/>
              <w:tabs>
                <w:tab w:val="left" w:pos="426"/>
              </w:tabs>
              <w:spacing w:after="0"/>
              <w:ind w:hanging="40"/>
              <w:jc w:val="center"/>
              <w:rPr>
                <w:lang w:val="en-NZ"/>
              </w:rPr>
            </w:pPr>
            <w:r w:rsidRPr="00514F3B">
              <w:rPr>
                <w:lang w:val="en-NZ"/>
              </w:rPr>
              <w:t>NEW ZEALAND</w:t>
            </w:r>
            <w:r w:rsidR="00B336AE">
              <w:rPr>
                <w:lang w:val="en-NZ"/>
              </w:rPr>
              <w:t>, 3240</w:t>
            </w:r>
          </w:p>
          <w:p w:rsidR="00CE64D6" w:rsidRPr="00514F3B" w:rsidRDefault="00CE64D6" w:rsidP="00B336AE">
            <w:pPr>
              <w:pStyle w:val="BodyText"/>
              <w:tabs>
                <w:tab w:val="left" w:pos="426"/>
              </w:tabs>
              <w:spacing w:after="0"/>
              <w:ind w:hanging="40"/>
              <w:jc w:val="center"/>
            </w:pPr>
          </w:p>
          <w:p w:rsidR="00CE64D6" w:rsidRPr="00514F3B" w:rsidRDefault="00CE64D6" w:rsidP="00B336AE">
            <w:pPr>
              <w:pStyle w:val="Heading4"/>
              <w:tabs>
                <w:tab w:val="left" w:pos="426"/>
              </w:tabs>
              <w:spacing w:before="0" w:after="0"/>
              <w:ind w:hanging="40"/>
              <w:jc w:val="center"/>
              <w:rPr>
                <w:b w:val="0"/>
                <w:bCs w:val="0"/>
                <w:sz w:val="24"/>
                <w:szCs w:val="24"/>
              </w:rPr>
            </w:pPr>
            <w:r w:rsidRPr="00514F3B">
              <w:rPr>
                <w:b w:val="0"/>
                <w:bCs w:val="0"/>
                <w:sz w:val="24"/>
                <w:szCs w:val="24"/>
              </w:rPr>
              <w:t>Tel: +64 (0) 7-838-4045</w:t>
            </w:r>
          </w:p>
          <w:p w:rsidR="00CE64D6" w:rsidRPr="00514F3B" w:rsidRDefault="00CE64D6" w:rsidP="00B336AE">
            <w:pPr>
              <w:pStyle w:val="Heading4"/>
              <w:tabs>
                <w:tab w:val="left" w:pos="426"/>
              </w:tabs>
              <w:spacing w:before="0" w:after="0"/>
              <w:ind w:hanging="40"/>
              <w:jc w:val="center"/>
              <w:rPr>
                <w:b w:val="0"/>
                <w:bCs w:val="0"/>
                <w:sz w:val="24"/>
                <w:szCs w:val="24"/>
              </w:rPr>
            </w:pPr>
            <w:r w:rsidRPr="00514F3B">
              <w:rPr>
                <w:b w:val="0"/>
                <w:bCs w:val="0"/>
                <w:sz w:val="24"/>
                <w:szCs w:val="24"/>
              </w:rPr>
              <w:t xml:space="preserve">Email: </w:t>
            </w:r>
            <w:r w:rsidRPr="00514F3B">
              <w:rPr>
                <w:b w:val="0"/>
                <w:sz w:val="24"/>
                <w:szCs w:val="24"/>
              </w:rPr>
              <w:t>tressler@waikato.ac.nz</w:t>
            </w:r>
          </w:p>
          <w:p w:rsidR="00CE64D6" w:rsidRPr="00514F3B" w:rsidRDefault="00B336AE" w:rsidP="00B336AE">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Homepage:</w:t>
            </w:r>
          </w:p>
          <w:p w:rsidR="00CE64D6" w:rsidRPr="00514F3B" w:rsidRDefault="00CE64D6" w:rsidP="00B336AE">
            <w:pPr>
              <w:tabs>
                <w:tab w:val="left" w:pos="426"/>
              </w:tabs>
              <w:spacing w:after="0" w:line="240" w:lineRule="auto"/>
              <w:jc w:val="center"/>
              <w:rPr>
                <w:rFonts w:ascii="Times New Roman" w:hAnsi="Times New Roman" w:cs="Times New Roman"/>
                <w:sz w:val="24"/>
                <w:szCs w:val="24"/>
              </w:rPr>
            </w:pPr>
            <w:r w:rsidRPr="00514F3B">
              <w:rPr>
                <w:rFonts w:ascii="Times New Roman" w:hAnsi="Times New Roman" w:cs="Times New Roman"/>
                <w:sz w:val="24"/>
                <w:szCs w:val="24"/>
              </w:rPr>
              <w:t>http://wms-soros.mngt.waikato.ac.nz/personal/tressler</w:t>
            </w:r>
          </w:p>
          <w:p w:rsidR="00CE64D6" w:rsidRPr="00514F3B" w:rsidRDefault="00CE64D6" w:rsidP="00B336AE">
            <w:pPr>
              <w:pStyle w:val="PlainText"/>
              <w:tabs>
                <w:tab w:val="left" w:pos="426"/>
              </w:tabs>
              <w:spacing w:before="100" w:line="360" w:lineRule="auto"/>
              <w:jc w:val="center"/>
              <w:rPr>
                <w:rFonts w:ascii="Times New Roman" w:hAnsi="Times New Roman" w:cs="Times New Roman"/>
                <w:sz w:val="24"/>
                <w:szCs w:val="24"/>
              </w:rPr>
            </w:pPr>
          </w:p>
        </w:tc>
        <w:tc>
          <w:tcPr>
            <w:tcW w:w="4621" w:type="dxa"/>
          </w:tcPr>
          <w:p w:rsidR="00CE64D6" w:rsidRPr="00514F3B" w:rsidRDefault="00CE64D6" w:rsidP="00B336AE">
            <w:pPr>
              <w:pStyle w:val="TitlePage"/>
              <w:widowControl/>
              <w:tabs>
                <w:tab w:val="left" w:pos="426"/>
              </w:tabs>
              <w:ind w:hanging="42"/>
              <w:rPr>
                <w:b/>
                <w:szCs w:val="24"/>
              </w:rPr>
            </w:pPr>
          </w:p>
          <w:p w:rsidR="00CE64D6" w:rsidRPr="00514F3B" w:rsidRDefault="00CE64D6" w:rsidP="00B336AE">
            <w:pPr>
              <w:pStyle w:val="TitlePage"/>
              <w:widowControl/>
              <w:tabs>
                <w:tab w:val="left" w:pos="426"/>
              </w:tabs>
              <w:ind w:hanging="42"/>
              <w:rPr>
                <w:b/>
                <w:szCs w:val="24"/>
              </w:rPr>
            </w:pPr>
            <w:r w:rsidRPr="00514F3B">
              <w:rPr>
                <w:b/>
                <w:szCs w:val="24"/>
              </w:rPr>
              <w:t>David L. Anderson</w:t>
            </w:r>
          </w:p>
          <w:p w:rsidR="00CE64D6" w:rsidRPr="00514F3B" w:rsidRDefault="00CE64D6" w:rsidP="00B336AE">
            <w:pPr>
              <w:pStyle w:val="TitlePage"/>
              <w:widowControl/>
              <w:tabs>
                <w:tab w:val="left" w:pos="426"/>
              </w:tabs>
              <w:ind w:hanging="42"/>
              <w:rPr>
                <w:szCs w:val="24"/>
              </w:rPr>
            </w:pPr>
            <w:r w:rsidRPr="00514F3B">
              <w:rPr>
                <w:szCs w:val="24"/>
              </w:rPr>
              <w:t>School of Business</w:t>
            </w:r>
          </w:p>
          <w:p w:rsidR="00CE64D6" w:rsidRPr="00514F3B" w:rsidRDefault="00CE64D6" w:rsidP="00B336AE">
            <w:pPr>
              <w:pStyle w:val="TitlePage"/>
              <w:widowControl/>
              <w:tabs>
                <w:tab w:val="left" w:pos="426"/>
              </w:tabs>
              <w:ind w:hanging="42"/>
              <w:rPr>
                <w:szCs w:val="24"/>
              </w:rPr>
            </w:pPr>
            <w:r w:rsidRPr="00514F3B">
              <w:rPr>
                <w:szCs w:val="24"/>
              </w:rPr>
              <w:t>Queen’s University</w:t>
            </w:r>
          </w:p>
          <w:p w:rsidR="00CE64D6" w:rsidRPr="00514F3B" w:rsidRDefault="00CE64D6" w:rsidP="00B336AE">
            <w:pPr>
              <w:pStyle w:val="TitlePage"/>
              <w:widowControl/>
              <w:tabs>
                <w:tab w:val="left" w:pos="426"/>
              </w:tabs>
              <w:ind w:hanging="42"/>
              <w:rPr>
                <w:szCs w:val="24"/>
              </w:rPr>
            </w:pPr>
            <w:r w:rsidRPr="00514F3B">
              <w:rPr>
                <w:szCs w:val="24"/>
              </w:rPr>
              <w:t>Kingston, Ontario K7L 3N6</w:t>
            </w:r>
          </w:p>
          <w:p w:rsidR="00CE64D6" w:rsidRPr="00514F3B" w:rsidRDefault="00CE64D6" w:rsidP="00B336AE">
            <w:pPr>
              <w:pStyle w:val="TitlePage"/>
              <w:widowControl/>
              <w:tabs>
                <w:tab w:val="left" w:pos="426"/>
              </w:tabs>
              <w:ind w:hanging="42"/>
              <w:rPr>
                <w:szCs w:val="24"/>
              </w:rPr>
            </w:pPr>
            <w:r w:rsidRPr="00514F3B">
              <w:rPr>
                <w:szCs w:val="24"/>
              </w:rPr>
              <w:t>CANADA</w:t>
            </w:r>
          </w:p>
          <w:p w:rsidR="00CE64D6" w:rsidRPr="00514F3B" w:rsidRDefault="00CE64D6" w:rsidP="00B336AE">
            <w:pPr>
              <w:pStyle w:val="Heading4"/>
              <w:tabs>
                <w:tab w:val="left" w:pos="426"/>
              </w:tabs>
              <w:spacing w:before="0" w:after="0"/>
              <w:ind w:hanging="40"/>
              <w:jc w:val="center"/>
              <w:rPr>
                <w:b w:val="0"/>
                <w:bCs w:val="0"/>
                <w:sz w:val="24"/>
                <w:szCs w:val="24"/>
              </w:rPr>
            </w:pPr>
            <w:r w:rsidRPr="00514F3B">
              <w:rPr>
                <w:b w:val="0"/>
                <w:bCs w:val="0"/>
                <w:sz w:val="24"/>
                <w:szCs w:val="24"/>
              </w:rPr>
              <w:t>Tel: 1-613-533-2362</w:t>
            </w:r>
          </w:p>
          <w:p w:rsidR="00CE64D6" w:rsidRPr="00514F3B" w:rsidRDefault="00CE64D6" w:rsidP="00B336AE">
            <w:pPr>
              <w:pStyle w:val="Heading4"/>
              <w:tabs>
                <w:tab w:val="left" w:pos="426"/>
              </w:tabs>
              <w:spacing w:before="0" w:after="0"/>
              <w:ind w:hanging="40"/>
              <w:jc w:val="center"/>
              <w:rPr>
                <w:b w:val="0"/>
                <w:bCs w:val="0"/>
                <w:sz w:val="24"/>
                <w:szCs w:val="24"/>
              </w:rPr>
            </w:pPr>
            <w:r w:rsidRPr="00514F3B">
              <w:rPr>
                <w:b w:val="0"/>
                <w:bCs w:val="0"/>
                <w:sz w:val="24"/>
                <w:szCs w:val="24"/>
              </w:rPr>
              <w:t xml:space="preserve">Email: </w:t>
            </w:r>
            <w:hyperlink r:id="rId8" w:history="1">
              <w:r w:rsidR="002C62E5" w:rsidRPr="000B13F3">
                <w:rPr>
                  <w:rStyle w:val="Hyperlink"/>
                  <w:b w:val="0"/>
                  <w:bCs w:val="0"/>
                  <w:color w:val="auto"/>
                  <w:sz w:val="24"/>
                  <w:szCs w:val="24"/>
                  <w:u w:val="none"/>
                </w:rPr>
                <w:t>dla@queensu.ca</w:t>
              </w:r>
            </w:hyperlink>
          </w:p>
          <w:p w:rsidR="002C62E5" w:rsidRPr="00B336AE" w:rsidRDefault="002C62E5" w:rsidP="00B336AE">
            <w:pPr>
              <w:tabs>
                <w:tab w:val="left" w:pos="426"/>
              </w:tabs>
              <w:spacing w:after="0" w:line="240" w:lineRule="auto"/>
              <w:jc w:val="center"/>
              <w:rPr>
                <w:rFonts w:ascii="Times New Roman" w:eastAsiaTheme="minorEastAsia" w:hAnsi="Times New Roman" w:cs="Times New Roman"/>
                <w:i/>
                <w:sz w:val="24"/>
                <w:szCs w:val="24"/>
                <w:lang w:val="en-US" w:eastAsia="ko-KR"/>
              </w:rPr>
            </w:pPr>
            <w:r w:rsidRPr="00B336AE">
              <w:rPr>
                <w:rFonts w:ascii="Times New Roman" w:eastAsiaTheme="minorEastAsia" w:hAnsi="Times New Roman" w:cs="Times New Roman"/>
                <w:i/>
                <w:sz w:val="24"/>
                <w:szCs w:val="24"/>
                <w:lang w:val="en-US" w:eastAsia="ko-KR"/>
              </w:rPr>
              <w:t>and</w:t>
            </w:r>
          </w:p>
          <w:p w:rsidR="002C62E5" w:rsidRPr="00514F3B" w:rsidRDefault="002C62E5" w:rsidP="00B336AE">
            <w:pPr>
              <w:tabs>
                <w:tab w:val="left" w:pos="426"/>
              </w:tabs>
              <w:spacing w:after="0" w:line="240" w:lineRule="auto"/>
              <w:jc w:val="center"/>
              <w:rPr>
                <w:rFonts w:ascii="Times New Roman" w:eastAsiaTheme="minorEastAsia" w:hAnsi="Times New Roman" w:cs="Times New Roman"/>
                <w:sz w:val="24"/>
                <w:szCs w:val="24"/>
                <w:lang w:val="en-US" w:eastAsia="ko-KR"/>
              </w:rPr>
            </w:pPr>
            <w:r w:rsidRPr="00514F3B">
              <w:rPr>
                <w:rFonts w:ascii="Times New Roman" w:eastAsiaTheme="minorEastAsia" w:hAnsi="Times New Roman" w:cs="Times New Roman"/>
                <w:sz w:val="24"/>
                <w:szCs w:val="24"/>
                <w:lang w:val="en-US" w:eastAsia="ko-KR"/>
              </w:rPr>
              <w:t>Waikato Management School</w:t>
            </w:r>
          </w:p>
          <w:p w:rsidR="002C62E5" w:rsidRPr="00514F3B" w:rsidRDefault="002C62E5" w:rsidP="00B336AE">
            <w:pPr>
              <w:tabs>
                <w:tab w:val="left" w:pos="426"/>
              </w:tabs>
              <w:spacing w:after="0" w:line="240" w:lineRule="auto"/>
              <w:jc w:val="center"/>
              <w:rPr>
                <w:rFonts w:ascii="Times New Roman" w:eastAsiaTheme="minorEastAsia" w:hAnsi="Times New Roman" w:cs="Times New Roman"/>
                <w:sz w:val="24"/>
                <w:szCs w:val="24"/>
                <w:lang w:val="en-US" w:eastAsia="ko-KR"/>
              </w:rPr>
            </w:pPr>
            <w:r w:rsidRPr="00514F3B">
              <w:rPr>
                <w:rFonts w:ascii="Times New Roman" w:eastAsiaTheme="minorEastAsia" w:hAnsi="Times New Roman" w:cs="Times New Roman"/>
                <w:sz w:val="24"/>
                <w:szCs w:val="24"/>
                <w:lang w:val="en-US" w:eastAsia="ko-KR"/>
              </w:rPr>
              <w:t>University of Waikato</w:t>
            </w:r>
          </w:p>
          <w:p w:rsidR="002C62E5" w:rsidRPr="00514F3B" w:rsidRDefault="002C62E5" w:rsidP="00B336AE">
            <w:pPr>
              <w:tabs>
                <w:tab w:val="left" w:pos="426"/>
              </w:tabs>
              <w:spacing w:after="0" w:line="240" w:lineRule="auto"/>
              <w:jc w:val="center"/>
              <w:rPr>
                <w:rFonts w:ascii="Times New Roman" w:eastAsia="Calibri" w:hAnsi="Times New Roman" w:cs="Times New Roman"/>
                <w:sz w:val="24"/>
                <w:szCs w:val="24"/>
                <w:lang w:val="en-US" w:eastAsia="ko-KR"/>
              </w:rPr>
            </w:pPr>
            <w:r w:rsidRPr="00514F3B">
              <w:rPr>
                <w:rFonts w:ascii="Times New Roman" w:eastAsia="Calibri" w:hAnsi="Times New Roman" w:cs="Times New Roman"/>
                <w:sz w:val="24"/>
                <w:szCs w:val="24"/>
                <w:lang w:val="en-US" w:eastAsia="ko-KR"/>
              </w:rPr>
              <w:t>Private Bag 3105</w:t>
            </w:r>
          </w:p>
          <w:p w:rsidR="002C62E5" w:rsidRPr="00514F3B" w:rsidRDefault="002C62E5" w:rsidP="00B336AE">
            <w:pPr>
              <w:tabs>
                <w:tab w:val="left" w:pos="426"/>
              </w:tabs>
              <w:spacing w:after="0" w:line="240" w:lineRule="auto"/>
              <w:jc w:val="center"/>
              <w:rPr>
                <w:rFonts w:ascii="Times New Roman" w:eastAsia="Calibri" w:hAnsi="Times New Roman" w:cs="Times New Roman"/>
                <w:sz w:val="24"/>
                <w:szCs w:val="24"/>
                <w:lang w:val="en-US" w:eastAsia="ko-KR"/>
              </w:rPr>
            </w:pPr>
            <w:r w:rsidRPr="00514F3B">
              <w:rPr>
                <w:rFonts w:ascii="Times New Roman" w:eastAsia="Calibri" w:hAnsi="Times New Roman" w:cs="Times New Roman"/>
                <w:sz w:val="24"/>
                <w:szCs w:val="24"/>
                <w:lang w:val="en-US" w:eastAsia="ko-KR"/>
              </w:rPr>
              <w:t>Hamilton, NEW ZEALAND</w:t>
            </w:r>
          </w:p>
          <w:p w:rsidR="002C62E5" w:rsidRPr="00514F3B" w:rsidRDefault="002C62E5" w:rsidP="00B336AE">
            <w:pPr>
              <w:tabs>
                <w:tab w:val="left" w:pos="426"/>
              </w:tabs>
              <w:spacing w:after="0" w:line="240" w:lineRule="auto"/>
              <w:jc w:val="center"/>
              <w:rPr>
                <w:rFonts w:ascii="Times New Roman" w:hAnsi="Times New Roman" w:cs="Times New Roman"/>
                <w:sz w:val="24"/>
                <w:szCs w:val="24"/>
                <w:lang w:val="en-US" w:eastAsia="ko-KR"/>
              </w:rPr>
            </w:pPr>
            <w:r w:rsidRPr="00514F3B">
              <w:rPr>
                <w:rFonts w:ascii="Times New Roman" w:eastAsiaTheme="minorEastAsia" w:hAnsi="Times New Roman" w:cs="Times New Roman"/>
                <w:sz w:val="24"/>
                <w:szCs w:val="24"/>
                <w:lang w:val="en-US" w:eastAsia="ko-KR"/>
              </w:rPr>
              <w:t xml:space="preserve">Email: </w:t>
            </w:r>
            <w:hyperlink r:id="rId9" w:history="1">
              <w:r w:rsidRPr="000B13F3">
                <w:rPr>
                  <w:rFonts w:ascii="Times New Roman" w:eastAsiaTheme="minorEastAsia" w:hAnsi="Times New Roman" w:cs="Times New Roman"/>
                  <w:sz w:val="24"/>
                  <w:szCs w:val="24"/>
                  <w:lang w:val="en-US" w:eastAsia="ko-KR"/>
                </w:rPr>
                <w:t>anderson@waikato.ac.nz</w:t>
              </w:r>
            </w:hyperlink>
          </w:p>
        </w:tc>
        <w:tc>
          <w:tcPr>
            <w:tcW w:w="4621" w:type="dxa"/>
          </w:tcPr>
          <w:p w:rsidR="00CE64D6" w:rsidRPr="00514F3B" w:rsidRDefault="00CE64D6" w:rsidP="00B336AE">
            <w:pPr>
              <w:pStyle w:val="PlainText"/>
              <w:tabs>
                <w:tab w:val="left" w:pos="426"/>
              </w:tabs>
              <w:spacing w:before="100" w:line="360" w:lineRule="auto"/>
              <w:jc w:val="center"/>
              <w:rPr>
                <w:rFonts w:ascii="Times New Roman" w:hAnsi="Times New Roman" w:cs="Times New Roman"/>
                <w:b/>
                <w:sz w:val="24"/>
                <w:szCs w:val="24"/>
              </w:rPr>
            </w:pPr>
          </w:p>
        </w:tc>
        <w:tc>
          <w:tcPr>
            <w:tcW w:w="4621" w:type="dxa"/>
          </w:tcPr>
          <w:p w:rsidR="00CE64D6" w:rsidRPr="00514F3B" w:rsidRDefault="00CE64D6" w:rsidP="00B336AE">
            <w:pPr>
              <w:pStyle w:val="Heading4"/>
              <w:tabs>
                <w:tab w:val="left" w:pos="426"/>
              </w:tabs>
              <w:spacing w:before="0" w:after="0"/>
              <w:ind w:hanging="40"/>
              <w:jc w:val="center"/>
              <w:rPr>
                <w:sz w:val="24"/>
                <w:szCs w:val="24"/>
              </w:rPr>
            </w:pPr>
          </w:p>
        </w:tc>
      </w:tr>
    </w:tbl>
    <w:p w:rsidR="00CE64D6" w:rsidRPr="00514F3B" w:rsidRDefault="00CE64D6" w:rsidP="00B336AE">
      <w:pPr>
        <w:tabs>
          <w:tab w:val="left" w:pos="426"/>
        </w:tabs>
        <w:jc w:val="center"/>
        <w:rPr>
          <w:rFonts w:ascii="Times New Roman" w:hAnsi="Times New Roman" w:cs="Times New Roman"/>
          <w:b/>
          <w:sz w:val="24"/>
          <w:szCs w:val="24"/>
        </w:rPr>
      </w:pPr>
    </w:p>
    <w:p w:rsidR="00443597" w:rsidRDefault="00443597" w:rsidP="00B336AE">
      <w:pPr>
        <w:tabs>
          <w:tab w:val="left" w:pos="426"/>
        </w:tabs>
        <w:spacing w:after="0" w:line="240" w:lineRule="auto"/>
        <w:jc w:val="center"/>
        <w:rPr>
          <w:rFonts w:ascii="Times New Roman" w:eastAsia="Calibri" w:hAnsi="Times New Roman" w:cs="Times New Roman"/>
          <w:b/>
          <w:bCs/>
          <w:sz w:val="24"/>
          <w:szCs w:val="24"/>
          <w:lang w:val="en-NZ"/>
        </w:rPr>
      </w:pPr>
    </w:p>
    <w:p w:rsidR="002C62E5" w:rsidRPr="00514F3B" w:rsidRDefault="002C62E5" w:rsidP="00443597">
      <w:pPr>
        <w:jc w:val="center"/>
        <w:rPr>
          <w:rFonts w:ascii="Times New Roman" w:eastAsia="Calibri" w:hAnsi="Times New Roman" w:cs="Times New Roman"/>
          <w:b/>
          <w:bCs/>
          <w:sz w:val="24"/>
          <w:szCs w:val="24"/>
          <w:lang w:val="en-NZ"/>
        </w:rPr>
      </w:pPr>
      <w:r w:rsidRPr="00514F3B">
        <w:rPr>
          <w:rFonts w:ascii="Times New Roman" w:eastAsia="Calibri" w:hAnsi="Times New Roman" w:cs="Times New Roman"/>
          <w:b/>
          <w:bCs/>
          <w:sz w:val="24"/>
          <w:szCs w:val="24"/>
          <w:lang w:val="en-NZ"/>
        </w:rPr>
        <w:t>Abstract</w:t>
      </w:r>
    </w:p>
    <w:p w:rsidR="002C62E5" w:rsidRPr="00443597" w:rsidRDefault="002C62E5" w:rsidP="00514F3B">
      <w:pPr>
        <w:tabs>
          <w:tab w:val="left" w:pos="426"/>
        </w:tabs>
        <w:spacing w:after="0" w:line="240" w:lineRule="auto"/>
        <w:jc w:val="both"/>
        <w:rPr>
          <w:rFonts w:ascii="Times New Roman" w:eastAsia="Calibri" w:hAnsi="Times New Roman" w:cs="Times New Roman"/>
          <w:bCs/>
          <w:sz w:val="12"/>
          <w:szCs w:val="12"/>
          <w:lang w:val="en-NZ"/>
        </w:rPr>
      </w:pPr>
    </w:p>
    <w:p w:rsidR="002C62E5" w:rsidRPr="00514F3B" w:rsidRDefault="00BC3DCC" w:rsidP="003E5413">
      <w:pPr>
        <w:tabs>
          <w:tab w:val="left" w:pos="426"/>
        </w:tabs>
        <w:spacing w:after="0" w:line="360" w:lineRule="auto"/>
        <w:jc w:val="both"/>
        <w:rPr>
          <w:rFonts w:ascii="Times New Roman" w:eastAsia="Calibri" w:hAnsi="Times New Roman" w:cs="Times New Roman"/>
          <w:b/>
          <w:sz w:val="24"/>
          <w:szCs w:val="24"/>
          <w:lang w:val="en-NZ"/>
        </w:rPr>
      </w:pPr>
      <w:r w:rsidRPr="00514F3B">
        <w:rPr>
          <w:rFonts w:ascii="Times New Roman" w:eastAsia="Calibri" w:hAnsi="Times New Roman" w:cs="Times New Roman"/>
          <w:sz w:val="24"/>
          <w:szCs w:val="24"/>
          <w:lang w:val="en-NZ"/>
        </w:rPr>
        <w:t>New Zealand’s academic research assessment scheme, the Performance Based Research Fund (PBRF), was launched in 2002 with the stated objective of increasing research quality</w:t>
      </w:r>
      <w:r w:rsidR="003E3799" w:rsidRPr="00514F3B">
        <w:rPr>
          <w:rFonts w:ascii="Times New Roman" w:eastAsia="Calibri" w:hAnsi="Times New Roman" w:cs="Times New Roman"/>
          <w:sz w:val="24"/>
          <w:szCs w:val="24"/>
          <w:lang w:val="en-NZ"/>
        </w:rPr>
        <w:t xml:space="preserve"> in the nation’s universities. </w:t>
      </w:r>
      <w:r w:rsidRPr="00514F3B">
        <w:rPr>
          <w:rFonts w:ascii="Times New Roman" w:eastAsia="Calibri" w:hAnsi="Times New Roman" w:cs="Times New Roman"/>
          <w:sz w:val="24"/>
          <w:szCs w:val="24"/>
          <w:lang w:val="en-NZ"/>
        </w:rPr>
        <w:t xml:space="preserve">Evaluation rounds were conducted in 2003, 2006 and 2012.  In this paper, we </w:t>
      </w:r>
      <w:r w:rsidR="003E3799" w:rsidRPr="00514F3B">
        <w:rPr>
          <w:rFonts w:ascii="Times New Roman" w:eastAsia="Calibri" w:hAnsi="Times New Roman" w:cs="Times New Roman"/>
          <w:sz w:val="24"/>
          <w:szCs w:val="24"/>
          <w:lang w:val="en-NZ"/>
        </w:rPr>
        <w:t>employ 22 different journal weighting schemes to generate output estimates of refereed journal pa</w:t>
      </w:r>
      <w:r w:rsidR="0048743D" w:rsidRPr="00514F3B">
        <w:rPr>
          <w:rFonts w:ascii="Times New Roman" w:eastAsia="Calibri" w:hAnsi="Times New Roman" w:cs="Times New Roman"/>
          <w:sz w:val="24"/>
          <w:szCs w:val="24"/>
          <w:lang w:val="en-NZ"/>
        </w:rPr>
        <w:t>p</w:t>
      </w:r>
      <w:r w:rsidR="003E3799" w:rsidRPr="00514F3B">
        <w:rPr>
          <w:rFonts w:ascii="Times New Roman" w:eastAsia="Calibri" w:hAnsi="Times New Roman" w:cs="Times New Roman"/>
          <w:sz w:val="24"/>
          <w:szCs w:val="24"/>
          <w:lang w:val="en-NZ"/>
        </w:rPr>
        <w:t>e</w:t>
      </w:r>
      <w:r w:rsidR="00B510FE" w:rsidRPr="00514F3B">
        <w:rPr>
          <w:rFonts w:ascii="Times New Roman" w:eastAsia="Calibri" w:hAnsi="Times New Roman" w:cs="Times New Roman"/>
          <w:sz w:val="24"/>
          <w:szCs w:val="24"/>
          <w:lang w:val="en-NZ"/>
        </w:rPr>
        <w:t>r</w:t>
      </w:r>
      <w:r w:rsidR="003E3799" w:rsidRPr="00514F3B">
        <w:rPr>
          <w:rFonts w:ascii="Times New Roman" w:eastAsia="Calibri" w:hAnsi="Times New Roman" w:cs="Times New Roman"/>
          <w:sz w:val="24"/>
          <w:szCs w:val="24"/>
          <w:lang w:val="en-NZ"/>
        </w:rPr>
        <w:t xml:space="preserve"> and page production over three six year periods (</w:t>
      </w:r>
      <w:r w:rsidRPr="00514F3B">
        <w:rPr>
          <w:rFonts w:ascii="Times New Roman" w:eastAsia="Calibri" w:hAnsi="Times New Roman" w:cs="Times New Roman"/>
          <w:sz w:val="24"/>
          <w:szCs w:val="24"/>
          <w:lang w:val="en-NZ"/>
        </w:rPr>
        <w:t>1994-1999; 2000-2005 and 2006-2011)</w:t>
      </w:r>
      <w:r w:rsidR="003E3799" w:rsidRPr="00514F3B">
        <w:rPr>
          <w:rFonts w:ascii="Times New Roman" w:eastAsia="Calibri" w:hAnsi="Times New Roman" w:cs="Times New Roman"/>
          <w:sz w:val="24"/>
          <w:szCs w:val="24"/>
          <w:lang w:val="en-NZ"/>
        </w:rPr>
        <w:t>.  These time periods reflect a pre-PBRF environment, a mixed assessment period, and a pure PBRF research environment, respectively.   Our findings indicate that</w:t>
      </w:r>
      <w:r w:rsidR="00A917E4" w:rsidRPr="00514F3B">
        <w:rPr>
          <w:rFonts w:ascii="Times New Roman" w:eastAsia="Calibri" w:hAnsi="Times New Roman" w:cs="Times New Roman"/>
          <w:sz w:val="24"/>
          <w:szCs w:val="24"/>
          <w:lang w:val="en-NZ"/>
        </w:rPr>
        <w:t>, on average,</w:t>
      </w:r>
      <w:r w:rsidR="003E3799" w:rsidRPr="00514F3B">
        <w:rPr>
          <w:rFonts w:ascii="Times New Roman" w:eastAsia="Calibri" w:hAnsi="Times New Roman" w:cs="Times New Roman"/>
          <w:sz w:val="24"/>
          <w:szCs w:val="24"/>
          <w:lang w:val="en-NZ"/>
        </w:rPr>
        <w:t xml:space="preserve"> research productivity</w:t>
      </w:r>
      <w:r w:rsidR="00A917E4" w:rsidRPr="00514F3B">
        <w:rPr>
          <w:rFonts w:ascii="Times New Roman" w:eastAsia="Calibri" w:hAnsi="Times New Roman" w:cs="Times New Roman"/>
          <w:sz w:val="24"/>
          <w:szCs w:val="24"/>
          <w:lang w:val="en-NZ"/>
        </w:rPr>
        <w:t xml:space="preserve">, defined in either paper or page terms, has increased since the introduction of the PBRF.  </w:t>
      </w:r>
      <w:r w:rsidR="00B53D46" w:rsidRPr="00514F3B">
        <w:rPr>
          <w:rFonts w:ascii="Times New Roman" w:eastAsia="Calibri" w:hAnsi="Times New Roman" w:cs="Times New Roman"/>
          <w:sz w:val="24"/>
          <w:szCs w:val="24"/>
          <w:lang w:val="en-NZ"/>
        </w:rPr>
        <w:t>However, this outcome is due to a major increase in the quantity of papers and pages produced</w:t>
      </w:r>
      <w:r w:rsidR="00A917E4" w:rsidRPr="00514F3B">
        <w:rPr>
          <w:rFonts w:ascii="Times New Roman" w:eastAsia="Calibri" w:hAnsi="Times New Roman" w:cs="Times New Roman"/>
          <w:sz w:val="24"/>
          <w:szCs w:val="24"/>
          <w:lang w:val="en-NZ"/>
        </w:rPr>
        <w:t xml:space="preserve"> per capita that has</w:t>
      </w:r>
      <w:r w:rsidR="00B53D46" w:rsidRPr="00514F3B">
        <w:rPr>
          <w:rFonts w:ascii="Times New Roman" w:eastAsia="Calibri" w:hAnsi="Times New Roman" w:cs="Times New Roman"/>
          <w:sz w:val="24"/>
          <w:szCs w:val="24"/>
          <w:lang w:val="en-NZ"/>
        </w:rPr>
        <w:t xml:space="preserve"> </w:t>
      </w:r>
      <w:r w:rsidR="00B510FE" w:rsidRPr="00514F3B">
        <w:rPr>
          <w:rFonts w:ascii="Times New Roman" w:eastAsia="Calibri" w:hAnsi="Times New Roman" w:cs="Times New Roman"/>
          <w:sz w:val="24"/>
          <w:szCs w:val="24"/>
          <w:lang w:val="en-NZ"/>
        </w:rPr>
        <w:t>more than off-set</w:t>
      </w:r>
      <w:r w:rsidR="00A917E4" w:rsidRPr="00514F3B">
        <w:rPr>
          <w:rFonts w:ascii="Times New Roman" w:eastAsia="Calibri" w:hAnsi="Times New Roman" w:cs="Times New Roman"/>
          <w:sz w:val="24"/>
          <w:szCs w:val="24"/>
          <w:lang w:val="en-NZ"/>
        </w:rPr>
        <w:t xml:space="preserve"> a </w:t>
      </w:r>
      <w:r w:rsidR="00B510FE" w:rsidRPr="00514F3B">
        <w:rPr>
          <w:rFonts w:ascii="Times New Roman" w:eastAsia="Calibri" w:hAnsi="Times New Roman" w:cs="Times New Roman"/>
          <w:sz w:val="24"/>
          <w:szCs w:val="24"/>
          <w:lang w:val="en-NZ"/>
        </w:rPr>
        <w:t xml:space="preserve">decline in </w:t>
      </w:r>
      <w:r w:rsidR="00B53D46" w:rsidRPr="00514F3B">
        <w:rPr>
          <w:rFonts w:ascii="Times New Roman" w:eastAsia="Calibri" w:hAnsi="Times New Roman" w:cs="Times New Roman"/>
          <w:sz w:val="24"/>
          <w:szCs w:val="24"/>
          <w:lang w:val="en-NZ"/>
        </w:rPr>
        <w:t xml:space="preserve">the quality of </w:t>
      </w:r>
      <w:r w:rsidR="00A917E4" w:rsidRPr="00514F3B">
        <w:rPr>
          <w:rFonts w:ascii="Times New Roman" w:eastAsia="Calibri" w:hAnsi="Times New Roman" w:cs="Times New Roman"/>
          <w:sz w:val="24"/>
          <w:szCs w:val="24"/>
          <w:lang w:val="en-NZ"/>
        </w:rPr>
        <w:t xml:space="preserve">published </w:t>
      </w:r>
      <w:r w:rsidR="00B53D46" w:rsidRPr="00514F3B">
        <w:rPr>
          <w:rFonts w:ascii="Times New Roman" w:eastAsia="Calibri" w:hAnsi="Times New Roman" w:cs="Times New Roman"/>
          <w:sz w:val="24"/>
          <w:szCs w:val="24"/>
          <w:lang w:val="en-NZ"/>
        </w:rPr>
        <w:t xml:space="preserve">outputs </w:t>
      </w:r>
      <w:r w:rsidR="00B510FE" w:rsidRPr="00514F3B">
        <w:rPr>
          <w:rFonts w:ascii="Times New Roman" w:eastAsia="Calibri" w:hAnsi="Times New Roman" w:cs="Times New Roman"/>
          <w:sz w:val="24"/>
          <w:szCs w:val="24"/>
          <w:lang w:val="en-NZ"/>
        </w:rPr>
        <w:t>since t</w:t>
      </w:r>
      <w:r w:rsidR="00B53D46" w:rsidRPr="00514F3B">
        <w:rPr>
          <w:rFonts w:ascii="Times New Roman" w:eastAsia="Calibri" w:hAnsi="Times New Roman" w:cs="Times New Roman"/>
          <w:sz w:val="24"/>
          <w:szCs w:val="24"/>
          <w:lang w:val="en-NZ"/>
        </w:rPr>
        <w:t>he introduction of the PBRF</w:t>
      </w:r>
      <w:r w:rsidR="00A917E4" w:rsidRPr="00514F3B">
        <w:rPr>
          <w:rFonts w:ascii="Times New Roman" w:eastAsia="Calibri" w:hAnsi="Times New Roman" w:cs="Times New Roman"/>
          <w:sz w:val="24"/>
          <w:szCs w:val="24"/>
          <w:lang w:val="en-NZ"/>
        </w:rPr>
        <w:t xml:space="preserve">.  In other words, our findings suggest that the PBRF has failed to achieve its stated goal of increasing average research quality, but it has </w:t>
      </w:r>
      <w:r w:rsidR="008624C3" w:rsidRPr="00514F3B">
        <w:rPr>
          <w:rFonts w:ascii="Times New Roman" w:eastAsia="Calibri" w:hAnsi="Times New Roman" w:cs="Times New Roman"/>
          <w:sz w:val="24"/>
          <w:szCs w:val="24"/>
          <w:lang w:val="en-NZ"/>
        </w:rPr>
        <w:t xml:space="preserve">resulted in substantial gains in productivity </w:t>
      </w:r>
      <w:r w:rsidR="0048743D" w:rsidRPr="00514F3B">
        <w:rPr>
          <w:rFonts w:ascii="Times New Roman" w:eastAsia="Calibri" w:hAnsi="Times New Roman" w:cs="Times New Roman"/>
          <w:sz w:val="24"/>
          <w:szCs w:val="24"/>
          <w:lang w:val="en-NZ"/>
        </w:rPr>
        <w:t xml:space="preserve">achieved </w:t>
      </w:r>
      <w:r w:rsidR="008624C3" w:rsidRPr="00514F3B">
        <w:rPr>
          <w:rFonts w:ascii="Times New Roman" w:eastAsia="Calibri" w:hAnsi="Times New Roman" w:cs="Times New Roman"/>
          <w:sz w:val="24"/>
          <w:szCs w:val="24"/>
          <w:lang w:val="en-NZ"/>
        </w:rPr>
        <w:t>via</w:t>
      </w:r>
      <w:r w:rsidR="0048743D" w:rsidRPr="00514F3B">
        <w:rPr>
          <w:rFonts w:ascii="Times New Roman" w:eastAsia="Calibri" w:hAnsi="Times New Roman" w:cs="Times New Roman"/>
          <w:sz w:val="24"/>
          <w:szCs w:val="24"/>
          <w:lang w:val="en-NZ"/>
        </w:rPr>
        <w:t xml:space="preserve"> large</w:t>
      </w:r>
      <w:r w:rsidR="008624C3" w:rsidRPr="00514F3B">
        <w:rPr>
          <w:rFonts w:ascii="Times New Roman" w:eastAsia="Calibri" w:hAnsi="Times New Roman" w:cs="Times New Roman"/>
          <w:sz w:val="24"/>
          <w:szCs w:val="24"/>
          <w:lang w:val="en-NZ"/>
        </w:rPr>
        <w:t xml:space="preserve"> increases in the quantity of refereed journal articles.  </w:t>
      </w:r>
      <w:r w:rsidR="00A917E4" w:rsidRPr="00514F3B">
        <w:rPr>
          <w:rFonts w:ascii="Times New Roman" w:eastAsia="Calibri" w:hAnsi="Times New Roman" w:cs="Times New Roman"/>
          <w:sz w:val="24"/>
          <w:szCs w:val="24"/>
          <w:lang w:val="en-NZ"/>
        </w:rPr>
        <w:t xml:space="preserve"> </w:t>
      </w:r>
    </w:p>
    <w:p w:rsidR="002C62E5" w:rsidRPr="00514F3B" w:rsidRDefault="002C62E5" w:rsidP="00514F3B">
      <w:pPr>
        <w:tabs>
          <w:tab w:val="left" w:pos="426"/>
        </w:tabs>
        <w:spacing w:after="0" w:line="240" w:lineRule="auto"/>
        <w:jc w:val="both"/>
        <w:rPr>
          <w:rFonts w:ascii="Times New Roman" w:eastAsia="Calibri" w:hAnsi="Times New Roman" w:cs="Times New Roman"/>
          <w:b/>
          <w:sz w:val="24"/>
          <w:szCs w:val="24"/>
          <w:lang w:val="en-NZ"/>
        </w:rPr>
      </w:pPr>
    </w:p>
    <w:p w:rsidR="002C62E5" w:rsidRDefault="002C62E5" w:rsidP="00514F3B">
      <w:pPr>
        <w:tabs>
          <w:tab w:val="left" w:pos="426"/>
        </w:tabs>
        <w:spacing w:after="0" w:line="240" w:lineRule="auto"/>
        <w:jc w:val="both"/>
        <w:rPr>
          <w:rFonts w:ascii="Times New Roman" w:eastAsia="Calibri" w:hAnsi="Times New Roman" w:cs="Times New Roman"/>
          <w:b/>
          <w:sz w:val="24"/>
          <w:szCs w:val="24"/>
          <w:lang w:val="en-NZ"/>
        </w:rPr>
      </w:pPr>
    </w:p>
    <w:p w:rsidR="003E5413" w:rsidRPr="00514F3B" w:rsidRDefault="003E5413" w:rsidP="00514F3B">
      <w:pPr>
        <w:tabs>
          <w:tab w:val="left" w:pos="426"/>
        </w:tabs>
        <w:spacing w:after="0" w:line="240" w:lineRule="auto"/>
        <w:jc w:val="both"/>
        <w:rPr>
          <w:rFonts w:ascii="Times New Roman" w:eastAsia="Calibri" w:hAnsi="Times New Roman" w:cs="Times New Roman"/>
          <w:b/>
          <w:sz w:val="24"/>
          <w:szCs w:val="24"/>
          <w:lang w:val="en-NZ"/>
        </w:rPr>
      </w:pPr>
    </w:p>
    <w:p w:rsidR="002C62E5" w:rsidRPr="00514F3B" w:rsidRDefault="002C62E5" w:rsidP="003E5413">
      <w:pPr>
        <w:tabs>
          <w:tab w:val="left" w:pos="426"/>
        </w:tabs>
        <w:spacing w:after="0" w:line="240" w:lineRule="auto"/>
        <w:jc w:val="center"/>
        <w:rPr>
          <w:rFonts w:ascii="Times New Roman" w:eastAsia="Calibri" w:hAnsi="Times New Roman" w:cs="Times New Roman"/>
          <w:b/>
          <w:sz w:val="24"/>
          <w:szCs w:val="24"/>
          <w:lang w:val="en-NZ"/>
        </w:rPr>
      </w:pPr>
      <w:r w:rsidRPr="00514F3B">
        <w:rPr>
          <w:rFonts w:ascii="Times New Roman" w:eastAsia="Calibri" w:hAnsi="Times New Roman" w:cs="Times New Roman"/>
          <w:b/>
          <w:sz w:val="24"/>
          <w:szCs w:val="24"/>
          <w:lang w:val="en-NZ"/>
        </w:rPr>
        <w:t>Keywords</w:t>
      </w:r>
    </w:p>
    <w:p w:rsidR="002C62E5" w:rsidRPr="003E5413" w:rsidRDefault="002C62E5" w:rsidP="003E5413">
      <w:pPr>
        <w:tabs>
          <w:tab w:val="left" w:pos="426"/>
        </w:tabs>
        <w:spacing w:after="0" w:line="240" w:lineRule="auto"/>
        <w:jc w:val="center"/>
        <w:rPr>
          <w:rFonts w:ascii="Times New Roman" w:eastAsia="Calibri" w:hAnsi="Times New Roman" w:cs="Times New Roman"/>
          <w:b/>
          <w:sz w:val="12"/>
          <w:szCs w:val="12"/>
          <w:lang w:val="en-NZ"/>
        </w:rPr>
      </w:pPr>
    </w:p>
    <w:p w:rsidR="002C62E5" w:rsidRPr="00514F3B" w:rsidRDefault="003E5413" w:rsidP="003E5413">
      <w:pPr>
        <w:tabs>
          <w:tab w:val="left" w:pos="426"/>
        </w:tabs>
        <w:spacing w:after="0" w:line="240" w:lineRule="auto"/>
        <w:jc w:val="center"/>
        <w:rPr>
          <w:rFonts w:ascii="Times New Roman" w:eastAsia="Calibri" w:hAnsi="Times New Roman" w:cs="Times New Roman"/>
          <w:sz w:val="24"/>
          <w:szCs w:val="24"/>
          <w:lang w:val="en-NZ"/>
        </w:rPr>
      </w:pPr>
      <w:proofErr w:type="gramStart"/>
      <w:r>
        <w:rPr>
          <w:rFonts w:ascii="Times New Roman" w:eastAsia="Calibri" w:hAnsi="Times New Roman" w:cs="Times New Roman"/>
          <w:sz w:val="24"/>
          <w:szCs w:val="24"/>
          <w:lang w:val="en-NZ"/>
        </w:rPr>
        <w:t>r</w:t>
      </w:r>
      <w:r w:rsidR="006A4D8B" w:rsidRPr="00514F3B">
        <w:rPr>
          <w:rFonts w:ascii="Times New Roman" w:eastAsia="Calibri" w:hAnsi="Times New Roman" w:cs="Times New Roman"/>
          <w:sz w:val="24"/>
          <w:szCs w:val="24"/>
          <w:lang w:val="en-NZ"/>
        </w:rPr>
        <w:t>esearch</w:t>
      </w:r>
      <w:proofErr w:type="gramEnd"/>
      <w:r w:rsidR="006A4D8B" w:rsidRPr="00514F3B">
        <w:rPr>
          <w:rFonts w:ascii="Times New Roman" w:eastAsia="Calibri" w:hAnsi="Times New Roman" w:cs="Times New Roman"/>
          <w:sz w:val="24"/>
          <w:szCs w:val="24"/>
          <w:lang w:val="en-NZ"/>
        </w:rPr>
        <w:t xml:space="preserve"> </w:t>
      </w:r>
      <w:r>
        <w:rPr>
          <w:rFonts w:ascii="Times New Roman" w:eastAsia="Calibri" w:hAnsi="Times New Roman" w:cs="Times New Roman"/>
          <w:sz w:val="24"/>
          <w:szCs w:val="24"/>
          <w:lang w:val="en-NZ"/>
        </w:rPr>
        <w:t>m</w:t>
      </w:r>
      <w:r w:rsidR="00A921BE" w:rsidRPr="00514F3B">
        <w:rPr>
          <w:rFonts w:ascii="Times New Roman" w:eastAsia="Calibri" w:hAnsi="Times New Roman" w:cs="Times New Roman"/>
          <w:sz w:val="24"/>
          <w:szCs w:val="24"/>
          <w:lang w:val="en-NZ"/>
        </w:rPr>
        <w:t>easurement</w:t>
      </w:r>
    </w:p>
    <w:p w:rsidR="002C62E5" w:rsidRPr="00514F3B" w:rsidRDefault="002C62E5" w:rsidP="003E5413">
      <w:pPr>
        <w:tabs>
          <w:tab w:val="left" w:pos="426"/>
        </w:tabs>
        <w:spacing w:after="0" w:line="240" w:lineRule="auto"/>
        <w:jc w:val="center"/>
        <w:rPr>
          <w:rFonts w:ascii="Times New Roman" w:eastAsia="Calibri" w:hAnsi="Times New Roman" w:cs="Times New Roman"/>
          <w:sz w:val="24"/>
          <w:szCs w:val="24"/>
          <w:lang w:val="en-NZ"/>
        </w:rPr>
      </w:pPr>
      <w:r w:rsidRPr="00514F3B">
        <w:rPr>
          <w:rFonts w:ascii="Times New Roman" w:eastAsia="Calibri" w:hAnsi="Times New Roman" w:cs="Times New Roman"/>
          <w:sz w:val="24"/>
          <w:szCs w:val="24"/>
          <w:lang w:val="en-NZ"/>
        </w:rPr>
        <w:t>PBRF</w:t>
      </w:r>
    </w:p>
    <w:p w:rsidR="00D47F01" w:rsidRPr="00514F3B" w:rsidRDefault="003E5413" w:rsidP="003E5413">
      <w:pPr>
        <w:tabs>
          <w:tab w:val="left" w:pos="426"/>
        </w:tabs>
        <w:spacing w:after="0" w:line="240" w:lineRule="auto"/>
        <w:jc w:val="center"/>
        <w:rPr>
          <w:rFonts w:ascii="Times New Roman" w:eastAsia="Calibri" w:hAnsi="Times New Roman" w:cs="Times New Roman"/>
          <w:sz w:val="24"/>
          <w:szCs w:val="24"/>
          <w:lang w:val="en-NZ"/>
        </w:rPr>
      </w:pPr>
      <w:proofErr w:type="gramStart"/>
      <w:r>
        <w:rPr>
          <w:rFonts w:ascii="Times New Roman" w:eastAsia="Calibri" w:hAnsi="Times New Roman" w:cs="Times New Roman"/>
          <w:sz w:val="24"/>
          <w:szCs w:val="24"/>
          <w:lang w:val="en-NZ"/>
        </w:rPr>
        <w:t>r</w:t>
      </w:r>
      <w:r w:rsidR="002C62E5" w:rsidRPr="00514F3B">
        <w:rPr>
          <w:rFonts w:ascii="Times New Roman" w:eastAsia="Calibri" w:hAnsi="Times New Roman" w:cs="Times New Roman"/>
          <w:sz w:val="24"/>
          <w:szCs w:val="24"/>
          <w:lang w:val="en-NZ"/>
        </w:rPr>
        <w:t>esearch</w:t>
      </w:r>
      <w:proofErr w:type="gramEnd"/>
      <w:r w:rsidR="002C62E5" w:rsidRPr="00514F3B">
        <w:rPr>
          <w:rFonts w:ascii="Times New Roman" w:eastAsia="Calibri" w:hAnsi="Times New Roman" w:cs="Times New Roman"/>
          <w:sz w:val="24"/>
          <w:szCs w:val="24"/>
          <w:lang w:val="en-NZ"/>
        </w:rPr>
        <w:t xml:space="preserve"> </w:t>
      </w:r>
      <w:r>
        <w:rPr>
          <w:rFonts w:ascii="Times New Roman" w:eastAsia="Calibri" w:hAnsi="Times New Roman" w:cs="Times New Roman"/>
          <w:sz w:val="24"/>
          <w:szCs w:val="24"/>
          <w:lang w:val="en-NZ"/>
        </w:rPr>
        <w:t>q</w:t>
      </w:r>
      <w:r w:rsidR="006A4D8B" w:rsidRPr="00514F3B">
        <w:rPr>
          <w:rFonts w:ascii="Times New Roman" w:eastAsia="Calibri" w:hAnsi="Times New Roman" w:cs="Times New Roman"/>
          <w:sz w:val="24"/>
          <w:szCs w:val="24"/>
          <w:lang w:val="en-NZ"/>
        </w:rPr>
        <w:t>uality</w:t>
      </w:r>
    </w:p>
    <w:p w:rsidR="002C62E5" w:rsidRPr="00514F3B" w:rsidRDefault="003E5413" w:rsidP="003E5413">
      <w:pPr>
        <w:tabs>
          <w:tab w:val="left" w:pos="426"/>
        </w:tabs>
        <w:spacing w:after="0" w:line="240" w:lineRule="auto"/>
        <w:jc w:val="center"/>
        <w:rPr>
          <w:rFonts w:ascii="Times New Roman" w:eastAsia="Calibri" w:hAnsi="Times New Roman" w:cs="Times New Roman"/>
          <w:sz w:val="24"/>
          <w:szCs w:val="24"/>
          <w:lang w:val="en-NZ"/>
        </w:rPr>
      </w:pPr>
      <w:proofErr w:type="gramStart"/>
      <w:r>
        <w:rPr>
          <w:rFonts w:ascii="Times New Roman" w:eastAsia="Calibri" w:hAnsi="Times New Roman" w:cs="Times New Roman"/>
          <w:sz w:val="24"/>
          <w:szCs w:val="24"/>
          <w:lang w:val="en-NZ"/>
        </w:rPr>
        <w:t>r</w:t>
      </w:r>
      <w:r w:rsidR="00D47F01" w:rsidRPr="00514F3B">
        <w:rPr>
          <w:rFonts w:ascii="Times New Roman" w:eastAsia="Calibri" w:hAnsi="Times New Roman" w:cs="Times New Roman"/>
          <w:sz w:val="24"/>
          <w:szCs w:val="24"/>
          <w:lang w:val="en-NZ"/>
        </w:rPr>
        <w:t>esearch</w:t>
      </w:r>
      <w:proofErr w:type="gramEnd"/>
      <w:r w:rsidR="00D47F01" w:rsidRPr="00514F3B">
        <w:rPr>
          <w:rFonts w:ascii="Times New Roman" w:eastAsia="Calibri" w:hAnsi="Times New Roman" w:cs="Times New Roman"/>
          <w:sz w:val="24"/>
          <w:szCs w:val="24"/>
          <w:lang w:val="en-NZ"/>
        </w:rPr>
        <w:t xml:space="preserve"> </w:t>
      </w:r>
      <w:r>
        <w:rPr>
          <w:rFonts w:ascii="Times New Roman" w:eastAsia="Calibri" w:hAnsi="Times New Roman" w:cs="Times New Roman"/>
          <w:sz w:val="24"/>
          <w:szCs w:val="24"/>
          <w:lang w:val="en-NZ"/>
        </w:rPr>
        <w:t>a</w:t>
      </w:r>
      <w:r w:rsidR="00D47F01" w:rsidRPr="00514F3B">
        <w:rPr>
          <w:rFonts w:ascii="Times New Roman" w:eastAsia="Calibri" w:hAnsi="Times New Roman" w:cs="Times New Roman"/>
          <w:sz w:val="24"/>
          <w:szCs w:val="24"/>
          <w:lang w:val="en-NZ"/>
        </w:rPr>
        <w:t xml:space="preserve">ssessment </w:t>
      </w:r>
      <w:r>
        <w:rPr>
          <w:rFonts w:ascii="Times New Roman" w:eastAsia="Calibri" w:hAnsi="Times New Roman" w:cs="Times New Roman"/>
          <w:sz w:val="24"/>
          <w:szCs w:val="24"/>
          <w:lang w:val="en-NZ"/>
        </w:rPr>
        <w:t>e</w:t>
      </w:r>
      <w:r w:rsidR="00D47F01" w:rsidRPr="00514F3B">
        <w:rPr>
          <w:rFonts w:ascii="Times New Roman" w:eastAsia="Calibri" w:hAnsi="Times New Roman" w:cs="Times New Roman"/>
          <w:sz w:val="24"/>
          <w:szCs w:val="24"/>
          <w:lang w:val="en-NZ"/>
        </w:rPr>
        <w:t>xercises</w:t>
      </w:r>
    </w:p>
    <w:p w:rsidR="002C62E5" w:rsidRPr="00514F3B" w:rsidRDefault="002C62E5" w:rsidP="003E5413">
      <w:pPr>
        <w:tabs>
          <w:tab w:val="left" w:pos="426"/>
        </w:tabs>
        <w:spacing w:after="0" w:line="240" w:lineRule="auto"/>
        <w:jc w:val="center"/>
        <w:rPr>
          <w:rFonts w:ascii="Times New Roman" w:eastAsia="Calibri" w:hAnsi="Times New Roman" w:cs="Times New Roman"/>
          <w:b/>
          <w:sz w:val="24"/>
          <w:szCs w:val="24"/>
          <w:lang w:val="en-NZ"/>
        </w:rPr>
      </w:pPr>
    </w:p>
    <w:p w:rsidR="002C62E5" w:rsidRPr="00514F3B" w:rsidRDefault="002C62E5" w:rsidP="003E5413">
      <w:pPr>
        <w:tabs>
          <w:tab w:val="left" w:pos="426"/>
        </w:tabs>
        <w:spacing w:after="0" w:line="240" w:lineRule="auto"/>
        <w:jc w:val="center"/>
        <w:rPr>
          <w:rFonts w:ascii="Times New Roman" w:eastAsia="Calibri" w:hAnsi="Times New Roman" w:cs="Times New Roman"/>
          <w:b/>
          <w:sz w:val="24"/>
          <w:szCs w:val="24"/>
          <w:lang w:val="en-NZ"/>
        </w:rPr>
      </w:pPr>
    </w:p>
    <w:p w:rsidR="002C62E5" w:rsidRPr="00514F3B" w:rsidRDefault="002C62E5" w:rsidP="003E5413">
      <w:pPr>
        <w:tabs>
          <w:tab w:val="left" w:pos="426"/>
        </w:tabs>
        <w:spacing w:after="0" w:line="240" w:lineRule="auto"/>
        <w:jc w:val="center"/>
        <w:rPr>
          <w:rFonts w:ascii="Times New Roman" w:eastAsia="Calibri" w:hAnsi="Times New Roman" w:cs="Times New Roman"/>
          <w:b/>
          <w:sz w:val="24"/>
          <w:szCs w:val="24"/>
          <w:lang w:val="en-NZ"/>
        </w:rPr>
      </w:pPr>
    </w:p>
    <w:p w:rsidR="002C62E5" w:rsidRPr="00514F3B" w:rsidRDefault="002C62E5" w:rsidP="003E5413">
      <w:pPr>
        <w:tabs>
          <w:tab w:val="left" w:pos="426"/>
        </w:tabs>
        <w:spacing w:after="0" w:line="240" w:lineRule="auto"/>
        <w:jc w:val="center"/>
        <w:rPr>
          <w:rFonts w:ascii="Times New Roman" w:eastAsia="Calibri" w:hAnsi="Times New Roman" w:cs="Times New Roman"/>
          <w:b/>
          <w:sz w:val="24"/>
          <w:szCs w:val="24"/>
          <w:lang w:val="en-NZ"/>
        </w:rPr>
      </w:pPr>
      <w:r w:rsidRPr="00514F3B">
        <w:rPr>
          <w:rFonts w:ascii="Times New Roman" w:eastAsia="Calibri" w:hAnsi="Times New Roman" w:cs="Times New Roman"/>
          <w:b/>
          <w:sz w:val="24"/>
          <w:szCs w:val="24"/>
          <w:lang w:val="en-NZ"/>
        </w:rPr>
        <w:t>JEL Codes</w:t>
      </w:r>
    </w:p>
    <w:p w:rsidR="00A92408" w:rsidRPr="003E5413" w:rsidRDefault="00A92408" w:rsidP="003E5413">
      <w:pPr>
        <w:tabs>
          <w:tab w:val="left" w:pos="426"/>
        </w:tabs>
        <w:spacing w:after="0" w:line="240" w:lineRule="auto"/>
        <w:jc w:val="center"/>
        <w:rPr>
          <w:rFonts w:ascii="Times New Roman" w:eastAsia="Calibri" w:hAnsi="Times New Roman" w:cs="Times New Roman"/>
          <w:b/>
          <w:sz w:val="12"/>
          <w:szCs w:val="12"/>
          <w:lang w:val="en-NZ"/>
        </w:rPr>
      </w:pPr>
    </w:p>
    <w:p w:rsidR="00A92408" w:rsidRPr="00514F3B" w:rsidRDefault="00A92408" w:rsidP="003E5413">
      <w:pPr>
        <w:tabs>
          <w:tab w:val="left" w:pos="426"/>
        </w:tabs>
        <w:spacing w:after="0" w:line="240" w:lineRule="auto"/>
        <w:jc w:val="center"/>
        <w:rPr>
          <w:rFonts w:ascii="Times New Roman" w:eastAsia="Calibri" w:hAnsi="Times New Roman" w:cs="Times New Roman"/>
          <w:sz w:val="24"/>
          <w:szCs w:val="24"/>
          <w:lang w:val="en-NZ"/>
        </w:rPr>
      </w:pPr>
      <w:r w:rsidRPr="00514F3B">
        <w:rPr>
          <w:rFonts w:ascii="Times New Roman" w:eastAsia="Calibri" w:hAnsi="Times New Roman" w:cs="Times New Roman"/>
          <w:sz w:val="24"/>
          <w:szCs w:val="24"/>
          <w:lang w:val="en-NZ"/>
        </w:rPr>
        <w:t>A11, A14, C81, J24</w:t>
      </w:r>
    </w:p>
    <w:p w:rsidR="002C62E5" w:rsidRDefault="002C62E5" w:rsidP="00514F3B">
      <w:pPr>
        <w:tabs>
          <w:tab w:val="left" w:pos="426"/>
        </w:tabs>
        <w:spacing w:after="0" w:line="240" w:lineRule="auto"/>
        <w:jc w:val="both"/>
        <w:rPr>
          <w:rFonts w:ascii="Times New Roman" w:eastAsia="Calibri" w:hAnsi="Times New Roman" w:cs="Times New Roman"/>
          <w:b/>
          <w:sz w:val="24"/>
          <w:szCs w:val="24"/>
          <w:lang w:val="en-NZ"/>
        </w:rPr>
      </w:pPr>
    </w:p>
    <w:p w:rsidR="00A953C8" w:rsidRPr="00514F3B" w:rsidRDefault="00A953C8" w:rsidP="00514F3B">
      <w:pPr>
        <w:tabs>
          <w:tab w:val="left" w:pos="426"/>
        </w:tabs>
        <w:spacing w:after="0" w:line="240" w:lineRule="auto"/>
        <w:jc w:val="both"/>
        <w:rPr>
          <w:rFonts w:ascii="Times New Roman" w:eastAsia="Calibri" w:hAnsi="Times New Roman" w:cs="Times New Roman"/>
          <w:b/>
          <w:sz w:val="24"/>
          <w:szCs w:val="24"/>
          <w:lang w:val="en-NZ"/>
        </w:rPr>
      </w:pPr>
    </w:p>
    <w:p w:rsidR="002C62E5" w:rsidRPr="00514F3B" w:rsidRDefault="002C62E5" w:rsidP="00514F3B">
      <w:pPr>
        <w:tabs>
          <w:tab w:val="left" w:pos="426"/>
        </w:tabs>
        <w:spacing w:after="0" w:line="240" w:lineRule="auto"/>
        <w:jc w:val="both"/>
        <w:rPr>
          <w:rFonts w:ascii="Times New Roman" w:eastAsia="Calibri" w:hAnsi="Times New Roman" w:cs="Times New Roman"/>
          <w:b/>
          <w:sz w:val="24"/>
          <w:szCs w:val="24"/>
          <w:lang w:val="en-NZ"/>
        </w:rPr>
      </w:pPr>
    </w:p>
    <w:p w:rsidR="002C62E5" w:rsidRDefault="00A953C8" w:rsidP="00C44785">
      <w:pPr>
        <w:tabs>
          <w:tab w:val="left" w:pos="426"/>
        </w:tabs>
        <w:spacing w:after="0" w:line="240" w:lineRule="auto"/>
        <w:jc w:val="center"/>
        <w:rPr>
          <w:rFonts w:ascii="Times New Roman" w:eastAsia="Calibri" w:hAnsi="Times New Roman" w:cs="Times New Roman"/>
          <w:b/>
          <w:lang w:val="en-NZ"/>
        </w:rPr>
      </w:pPr>
      <w:r>
        <w:rPr>
          <w:rFonts w:ascii="Times New Roman" w:eastAsia="Calibri" w:hAnsi="Times New Roman" w:cs="Times New Roman"/>
          <w:b/>
          <w:lang w:val="en-NZ"/>
        </w:rPr>
        <w:t>Acknowledgements</w:t>
      </w:r>
    </w:p>
    <w:p w:rsidR="00C44785" w:rsidRDefault="00C44785" w:rsidP="00C44785">
      <w:pPr>
        <w:tabs>
          <w:tab w:val="left" w:pos="426"/>
        </w:tabs>
        <w:spacing w:after="0" w:line="240" w:lineRule="auto"/>
        <w:jc w:val="center"/>
        <w:rPr>
          <w:rFonts w:ascii="Times New Roman" w:eastAsiaTheme="minorEastAsia" w:hAnsi="Times New Roman" w:cs="Times New Roman"/>
          <w:b/>
          <w:sz w:val="24"/>
          <w:szCs w:val="24"/>
          <w:lang w:val="en-NZ" w:eastAsia="zh-CN"/>
        </w:rPr>
      </w:pPr>
    </w:p>
    <w:p w:rsidR="00C44785" w:rsidRPr="00C44785" w:rsidRDefault="00C44785" w:rsidP="00514F3B">
      <w:pPr>
        <w:tabs>
          <w:tab w:val="left" w:pos="426"/>
        </w:tabs>
        <w:jc w:val="both"/>
        <w:rPr>
          <w:rFonts w:ascii="Times New Roman" w:eastAsiaTheme="minorEastAsia" w:hAnsi="Times New Roman" w:cs="Times New Roman"/>
          <w:bCs/>
          <w:sz w:val="24"/>
          <w:szCs w:val="24"/>
          <w:lang w:val="en-NZ" w:eastAsia="zh-CN"/>
        </w:rPr>
      </w:pPr>
      <w:r>
        <w:rPr>
          <w:rFonts w:ascii="Times New Roman" w:eastAsiaTheme="minorEastAsia" w:hAnsi="Times New Roman" w:cs="Times New Roman"/>
          <w:bCs/>
          <w:sz w:val="24"/>
          <w:szCs w:val="24"/>
          <w:lang w:val="en-NZ" w:eastAsia="zh-CN"/>
        </w:rPr>
        <w:t>We would like to thank John Gibson for providing a database of publications by New Zealand economists prior to 1999.</w:t>
      </w:r>
    </w:p>
    <w:p w:rsidR="002C62E5" w:rsidRPr="00514F3B" w:rsidRDefault="002C62E5" w:rsidP="00514F3B">
      <w:pPr>
        <w:tabs>
          <w:tab w:val="left" w:pos="426"/>
        </w:tabs>
        <w:jc w:val="both"/>
        <w:rPr>
          <w:rFonts w:ascii="Times New Roman" w:eastAsiaTheme="minorEastAsia" w:hAnsi="Times New Roman" w:cs="Times New Roman"/>
          <w:sz w:val="24"/>
          <w:szCs w:val="24"/>
          <w:lang w:val="en-NZ" w:eastAsia="zh-CN"/>
        </w:rPr>
      </w:pPr>
      <w:r w:rsidRPr="00514F3B">
        <w:rPr>
          <w:rFonts w:ascii="Times New Roman" w:eastAsiaTheme="minorEastAsia" w:hAnsi="Times New Roman" w:cs="Times New Roman"/>
          <w:sz w:val="24"/>
          <w:szCs w:val="24"/>
          <w:lang w:val="en-NZ" w:eastAsia="zh-CN"/>
        </w:rPr>
        <w:br w:type="page"/>
      </w:r>
    </w:p>
    <w:p w:rsidR="000A36F3" w:rsidRDefault="008E4CC0" w:rsidP="00514F3B">
      <w:pPr>
        <w:tabs>
          <w:tab w:val="left" w:pos="426"/>
        </w:tabs>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0A36F3" w:rsidRPr="00514F3B">
        <w:rPr>
          <w:rFonts w:ascii="Times New Roman" w:hAnsi="Times New Roman" w:cs="Times New Roman"/>
          <w:b/>
          <w:sz w:val="24"/>
          <w:szCs w:val="24"/>
        </w:rPr>
        <w:t>Introduction</w:t>
      </w:r>
    </w:p>
    <w:p w:rsidR="00514F3B" w:rsidRPr="00514F3B" w:rsidRDefault="00514F3B" w:rsidP="00514F3B">
      <w:pPr>
        <w:tabs>
          <w:tab w:val="left" w:pos="426"/>
        </w:tabs>
        <w:spacing w:after="0"/>
        <w:jc w:val="both"/>
        <w:rPr>
          <w:rFonts w:ascii="Times New Roman" w:hAnsi="Times New Roman" w:cs="Times New Roman"/>
          <w:b/>
          <w:sz w:val="12"/>
          <w:szCs w:val="12"/>
        </w:rPr>
      </w:pPr>
    </w:p>
    <w:p w:rsidR="00EB1EF4" w:rsidRPr="00514F3B" w:rsidRDefault="001678F3" w:rsidP="00514F3B">
      <w:pPr>
        <w:tabs>
          <w:tab w:val="left" w:pos="426"/>
        </w:tabs>
        <w:jc w:val="both"/>
        <w:rPr>
          <w:rFonts w:ascii="Times New Roman" w:hAnsi="Times New Roman" w:cs="Times New Roman"/>
          <w:sz w:val="24"/>
          <w:szCs w:val="24"/>
        </w:rPr>
      </w:pPr>
      <w:r w:rsidRPr="00514F3B">
        <w:rPr>
          <w:rFonts w:ascii="Times New Roman" w:hAnsi="Times New Roman" w:cs="Times New Roman"/>
          <w:sz w:val="24"/>
          <w:szCs w:val="24"/>
        </w:rPr>
        <w:t xml:space="preserve">Nation- </w:t>
      </w:r>
      <w:r w:rsidR="00B336AE">
        <w:rPr>
          <w:rFonts w:ascii="Times New Roman" w:hAnsi="Times New Roman" w:cs="Times New Roman"/>
          <w:sz w:val="24"/>
          <w:szCs w:val="24"/>
        </w:rPr>
        <w:t>wide assessments of university-</w:t>
      </w:r>
      <w:r w:rsidRPr="00514F3B">
        <w:rPr>
          <w:rFonts w:ascii="Times New Roman" w:hAnsi="Times New Roman" w:cs="Times New Roman"/>
          <w:sz w:val="24"/>
          <w:szCs w:val="24"/>
        </w:rPr>
        <w:t xml:space="preserve">based research are now </w:t>
      </w:r>
      <w:r w:rsidR="00A94AD4" w:rsidRPr="00514F3B">
        <w:rPr>
          <w:rFonts w:ascii="Times New Roman" w:hAnsi="Times New Roman" w:cs="Times New Roman"/>
          <w:sz w:val="24"/>
          <w:szCs w:val="24"/>
        </w:rPr>
        <w:t xml:space="preserve">relatively </w:t>
      </w:r>
      <w:r w:rsidRPr="00514F3B">
        <w:rPr>
          <w:rFonts w:ascii="Times New Roman" w:hAnsi="Times New Roman" w:cs="Times New Roman"/>
          <w:sz w:val="24"/>
          <w:szCs w:val="24"/>
        </w:rPr>
        <w:t>common</w:t>
      </w:r>
      <w:r w:rsidR="00B01F74" w:rsidRPr="00514F3B">
        <w:rPr>
          <w:rFonts w:ascii="Times New Roman" w:hAnsi="Times New Roman" w:cs="Times New Roman"/>
          <w:sz w:val="24"/>
          <w:szCs w:val="24"/>
        </w:rPr>
        <w:t xml:space="preserve">.  </w:t>
      </w:r>
      <w:r w:rsidR="00F03614" w:rsidRPr="00514F3B">
        <w:rPr>
          <w:rFonts w:ascii="Times New Roman" w:hAnsi="Times New Roman" w:cs="Times New Roman"/>
          <w:sz w:val="24"/>
          <w:szCs w:val="24"/>
        </w:rPr>
        <w:t xml:space="preserve"> Arguably the best known and most influential of such reviews </w:t>
      </w:r>
      <w:r w:rsidR="00FA46FB" w:rsidRPr="00514F3B">
        <w:rPr>
          <w:rFonts w:ascii="Times New Roman" w:hAnsi="Times New Roman" w:cs="Times New Roman"/>
          <w:sz w:val="24"/>
          <w:szCs w:val="24"/>
        </w:rPr>
        <w:t xml:space="preserve">is </w:t>
      </w:r>
      <w:r w:rsidR="0026108D" w:rsidRPr="00514F3B">
        <w:rPr>
          <w:rFonts w:ascii="Times New Roman" w:hAnsi="Times New Roman" w:cs="Times New Roman"/>
          <w:sz w:val="24"/>
          <w:szCs w:val="24"/>
        </w:rPr>
        <w:t xml:space="preserve">the U.K.’s </w:t>
      </w:r>
      <w:r w:rsidR="00F03614" w:rsidRPr="00514F3B">
        <w:rPr>
          <w:rFonts w:ascii="Times New Roman" w:hAnsi="Times New Roman" w:cs="Times New Roman"/>
          <w:sz w:val="24"/>
          <w:szCs w:val="24"/>
        </w:rPr>
        <w:t xml:space="preserve">Research Assessment Exercise (RAE), first implemented in </w:t>
      </w:r>
      <w:r w:rsidR="002E5DB7" w:rsidRPr="00514F3B">
        <w:rPr>
          <w:rFonts w:ascii="Times New Roman" w:hAnsi="Times New Roman" w:cs="Times New Roman"/>
          <w:sz w:val="24"/>
          <w:szCs w:val="24"/>
        </w:rPr>
        <w:t>1986</w:t>
      </w:r>
      <w:r w:rsidR="00F03614" w:rsidRPr="00514F3B">
        <w:rPr>
          <w:rFonts w:ascii="Times New Roman" w:hAnsi="Times New Roman" w:cs="Times New Roman"/>
          <w:sz w:val="24"/>
          <w:szCs w:val="24"/>
        </w:rPr>
        <w:t>.</w:t>
      </w:r>
      <w:r w:rsidR="002E5DB7" w:rsidRPr="00514F3B">
        <w:rPr>
          <w:rStyle w:val="FootnoteReference"/>
          <w:rFonts w:ascii="Times New Roman" w:hAnsi="Times New Roman" w:cs="Times New Roman"/>
          <w:sz w:val="24"/>
          <w:szCs w:val="24"/>
        </w:rPr>
        <w:footnoteReference w:id="1"/>
      </w:r>
      <w:r w:rsidR="00F03614" w:rsidRPr="00514F3B">
        <w:rPr>
          <w:rFonts w:ascii="Times New Roman" w:hAnsi="Times New Roman" w:cs="Times New Roman"/>
          <w:sz w:val="24"/>
          <w:szCs w:val="24"/>
        </w:rPr>
        <w:t xml:space="preserve">  Since then many other nations</w:t>
      </w:r>
      <w:r w:rsidR="008A105F" w:rsidRPr="00514F3B">
        <w:rPr>
          <w:rFonts w:ascii="Times New Roman" w:hAnsi="Times New Roman" w:cs="Times New Roman"/>
          <w:sz w:val="24"/>
          <w:szCs w:val="24"/>
        </w:rPr>
        <w:t xml:space="preserve"> have, </w:t>
      </w:r>
      <w:r w:rsidR="00F03614" w:rsidRPr="00514F3B">
        <w:rPr>
          <w:rFonts w:ascii="Times New Roman" w:hAnsi="Times New Roman" w:cs="Times New Roman"/>
          <w:sz w:val="24"/>
          <w:szCs w:val="24"/>
        </w:rPr>
        <w:t>or are actively developing, their own research assessment schemes</w:t>
      </w:r>
      <w:r w:rsidR="008A105F" w:rsidRPr="00514F3B">
        <w:rPr>
          <w:rFonts w:ascii="Times New Roman" w:hAnsi="Times New Roman" w:cs="Times New Roman"/>
          <w:sz w:val="24"/>
          <w:szCs w:val="24"/>
        </w:rPr>
        <w:t xml:space="preserve"> (OECD, 2010)</w:t>
      </w:r>
      <w:r w:rsidR="00F03614" w:rsidRPr="00514F3B">
        <w:rPr>
          <w:rFonts w:ascii="Times New Roman" w:hAnsi="Times New Roman" w:cs="Times New Roman"/>
          <w:sz w:val="24"/>
          <w:szCs w:val="24"/>
        </w:rPr>
        <w:t xml:space="preserve">.  </w:t>
      </w:r>
      <w:r w:rsidR="0026108D" w:rsidRPr="00514F3B">
        <w:rPr>
          <w:rFonts w:ascii="Times New Roman" w:hAnsi="Times New Roman" w:cs="Times New Roman"/>
          <w:sz w:val="24"/>
          <w:szCs w:val="24"/>
        </w:rPr>
        <w:t xml:space="preserve"> </w:t>
      </w:r>
      <w:r w:rsidR="00560F59" w:rsidRPr="00514F3B">
        <w:rPr>
          <w:rFonts w:ascii="Times New Roman" w:hAnsi="Times New Roman" w:cs="Times New Roman"/>
          <w:sz w:val="24"/>
          <w:szCs w:val="24"/>
        </w:rPr>
        <w:t xml:space="preserve">In this </w:t>
      </w:r>
      <w:r w:rsidR="0026108D" w:rsidRPr="00514F3B">
        <w:rPr>
          <w:rFonts w:ascii="Times New Roman" w:hAnsi="Times New Roman" w:cs="Times New Roman"/>
          <w:sz w:val="24"/>
          <w:szCs w:val="24"/>
        </w:rPr>
        <w:t xml:space="preserve">paper </w:t>
      </w:r>
      <w:r w:rsidR="00560F59" w:rsidRPr="00514F3B">
        <w:rPr>
          <w:rFonts w:ascii="Times New Roman" w:hAnsi="Times New Roman" w:cs="Times New Roman"/>
          <w:sz w:val="24"/>
          <w:szCs w:val="24"/>
        </w:rPr>
        <w:t xml:space="preserve">we shall </w:t>
      </w:r>
      <w:r w:rsidR="0026108D" w:rsidRPr="00514F3B">
        <w:rPr>
          <w:rFonts w:ascii="Times New Roman" w:hAnsi="Times New Roman" w:cs="Times New Roman"/>
          <w:sz w:val="24"/>
          <w:szCs w:val="24"/>
        </w:rPr>
        <w:t xml:space="preserve">explore the impact of one such </w:t>
      </w:r>
      <w:r w:rsidR="008E288E" w:rsidRPr="00514F3B">
        <w:rPr>
          <w:rFonts w:ascii="Times New Roman" w:hAnsi="Times New Roman" w:cs="Times New Roman"/>
          <w:sz w:val="24"/>
          <w:szCs w:val="24"/>
        </w:rPr>
        <w:t xml:space="preserve">evaluation mechanism, </w:t>
      </w:r>
      <w:r w:rsidR="0026108D" w:rsidRPr="00514F3B">
        <w:rPr>
          <w:rFonts w:ascii="Times New Roman" w:hAnsi="Times New Roman" w:cs="Times New Roman"/>
          <w:sz w:val="24"/>
          <w:szCs w:val="24"/>
        </w:rPr>
        <w:t xml:space="preserve">New Zealand’s </w:t>
      </w:r>
      <w:r w:rsidR="00560F59" w:rsidRPr="00514F3B">
        <w:rPr>
          <w:rFonts w:ascii="Times New Roman" w:hAnsi="Times New Roman" w:cs="Times New Roman"/>
          <w:sz w:val="24"/>
          <w:szCs w:val="24"/>
        </w:rPr>
        <w:t>Performance Based Research Fund (PBRF)</w:t>
      </w:r>
      <w:r w:rsidR="0026108D" w:rsidRPr="00514F3B">
        <w:rPr>
          <w:rFonts w:ascii="Times New Roman" w:hAnsi="Times New Roman" w:cs="Times New Roman"/>
          <w:sz w:val="24"/>
          <w:szCs w:val="24"/>
        </w:rPr>
        <w:t>, on publication activity in the nation’s university- based economics departments.   The</w:t>
      </w:r>
      <w:r w:rsidR="008A105F" w:rsidRPr="00514F3B">
        <w:rPr>
          <w:rFonts w:ascii="Times New Roman" w:hAnsi="Times New Roman" w:cs="Times New Roman"/>
          <w:sz w:val="24"/>
          <w:szCs w:val="24"/>
        </w:rPr>
        <w:t xml:space="preserve"> </w:t>
      </w:r>
      <w:r w:rsidR="00232999" w:rsidRPr="00514F3B">
        <w:rPr>
          <w:rFonts w:ascii="Times New Roman" w:hAnsi="Times New Roman" w:cs="Times New Roman"/>
          <w:sz w:val="24"/>
          <w:szCs w:val="24"/>
        </w:rPr>
        <w:t xml:space="preserve">stated objective of the </w:t>
      </w:r>
      <w:r w:rsidR="008E288E" w:rsidRPr="00514F3B">
        <w:rPr>
          <w:rFonts w:ascii="Times New Roman" w:hAnsi="Times New Roman" w:cs="Times New Roman"/>
          <w:sz w:val="24"/>
          <w:szCs w:val="24"/>
        </w:rPr>
        <w:t>PBRF</w:t>
      </w:r>
      <w:r w:rsidR="00232999" w:rsidRPr="00514F3B">
        <w:rPr>
          <w:rFonts w:ascii="Times New Roman" w:hAnsi="Times New Roman" w:cs="Times New Roman"/>
          <w:sz w:val="24"/>
          <w:szCs w:val="24"/>
        </w:rPr>
        <w:t xml:space="preserve"> </w:t>
      </w:r>
      <w:r w:rsidR="00A15A15" w:rsidRPr="00514F3B">
        <w:rPr>
          <w:rFonts w:ascii="Times New Roman" w:hAnsi="Times New Roman" w:cs="Times New Roman"/>
          <w:sz w:val="24"/>
          <w:szCs w:val="24"/>
        </w:rPr>
        <w:t xml:space="preserve">was to </w:t>
      </w:r>
      <w:r w:rsidR="00560F59" w:rsidRPr="00514F3B">
        <w:rPr>
          <w:rFonts w:ascii="Times New Roman" w:hAnsi="Times New Roman" w:cs="Times New Roman"/>
          <w:sz w:val="24"/>
          <w:szCs w:val="24"/>
        </w:rPr>
        <w:t>improve the quality of research in the nation’s higher education sector</w:t>
      </w:r>
      <w:r w:rsidR="00BA1767" w:rsidRPr="00514F3B">
        <w:rPr>
          <w:rFonts w:ascii="Times New Roman" w:hAnsi="Times New Roman" w:cs="Times New Roman"/>
          <w:sz w:val="24"/>
          <w:szCs w:val="24"/>
        </w:rPr>
        <w:t>,</w:t>
      </w:r>
      <w:r w:rsidR="008A105F" w:rsidRPr="00514F3B">
        <w:rPr>
          <w:rStyle w:val="FootnoteReference"/>
          <w:rFonts w:ascii="Times New Roman" w:hAnsi="Times New Roman" w:cs="Times New Roman"/>
          <w:sz w:val="24"/>
          <w:szCs w:val="24"/>
        </w:rPr>
        <w:footnoteReference w:id="2"/>
      </w:r>
      <w:r w:rsidR="008A105F" w:rsidRPr="00514F3B">
        <w:rPr>
          <w:rFonts w:ascii="Times New Roman" w:hAnsi="Times New Roman" w:cs="Times New Roman"/>
          <w:sz w:val="24"/>
          <w:szCs w:val="24"/>
        </w:rPr>
        <w:t xml:space="preserve"> and this was </w:t>
      </w:r>
      <w:r w:rsidR="00BA1767" w:rsidRPr="00514F3B">
        <w:rPr>
          <w:rFonts w:ascii="Times New Roman" w:hAnsi="Times New Roman" w:cs="Times New Roman"/>
          <w:sz w:val="24"/>
          <w:szCs w:val="24"/>
        </w:rPr>
        <w:t>to be achieved</w:t>
      </w:r>
      <w:r w:rsidR="008A105F" w:rsidRPr="00514F3B">
        <w:rPr>
          <w:rFonts w:ascii="Times New Roman" w:hAnsi="Times New Roman" w:cs="Times New Roman"/>
          <w:sz w:val="24"/>
          <w:szCs w:val="24"/>
        </w:rPr>
        <w:t>, in large part,</w:t>
      </w:r>
      <w:r w:rsidR="00BA1767" w:rsidRPr="00514F3B">
        <w:rPr>
          <w:rFonts w:ascii="Times New Roman" w:hAnsi="Times New Roman" w:cs="Times New Roman"/>
          <w:sz w:val="24"/>
          <w:szCs w:val="24"/>
        </w:rPr>
        <w:t xml:space="preserve"> through financial incentives.  More specifically</w:t>
      </w:r>
      <w:r w:rsidR="00E82447" w:rsidRPr="00514F3B">
        <w:rPr>
          <w:rFonts w:ascii="Times New Roman" w:hAnsi="Times New Roman" w:cs="Times New Roman"/>
          <w:sz w:val="24"/>
          <w:szCs w:val="24"/>
        </w:rPr>
        <w:t xml:space="preserve">, </w:t>
      </w:r>
      <w:r w:rsidR="00864B77" w:rsidRPr="00514F3B">
        <w:rPr>
          <w:rFonts w:ascii="Times New Roman" w:hAnsi="Times New Roman" w:cs="Times New Roman"/>
          <w:sz w:val="24"/>
          <w:szCs w:val="24"/>
        </w:rPr>
        <w:t>approximately 20 percent of the</w:t>
      </w:r>
      <w:r w:rsidR="00AB5CD6" w:rsidRPr="00514F3B">
        <w:rPr>
          <w:rFonts w:ascii="Times New Roman" w:hAnsi="Times New Roman" w:cs="Times New Roman"/>
          <w:sz w:val="24"/>
          <w:szCs w:val="24"/>
        </w:rPr>
        <w:t xml:space="preserve"> </w:t>
      </w:r>
      <w:r w:rsidR="00E82447" w:rsidRPr="00514F3B">
        <w:rPr>
          <w:rFonts w:ascii="Times New Roman" w:hAnsi="Times New Roman" w:cs="Times New Roman"/>
          <w:sz w:val="24"/>
          <w:szCs w:val="24"/>
        </w:rPr>
        <w:t xml:space="preserve">government’s total </w:t>
      </w:r>
      <w:r w:rsidR="008A105F" w:rsidRPr="00514F3B">
        <w:rPr>
          <w:rFonts w:ascii="Times New Roman" w:hAnsi="Times New Roman" w:cs="Times New Roman"/>
          <w:sz w:val="24"/>
          <w:szCs w:val="24"/>
        </w:rPr>
        <w:t xml:space="preserve">annual </w:t>
      </w:r>
      <w:r w:rsidR="00E82447" w:rsidRPr="00514F3B">
        <w:rPr>
          <w:rFonts w:ascii="Times New Roman" w:hAnsi="Times New Roman" w:cs="Times New Roman"/>
          <w:sz w:val="24"/>
          <w:szCs w:val="24"/>
        </w:rPr>
        <w:t xml:space="preserve">operating grant to universities was to be </w:t>
      </w:r>
      <w:r w:rsidR="00A15A15" w:rsidRPr="00514F3B">
        <w:rPr>
          <w:rFonts w:ascii="Times New Roman" w:hAnsi="Times New Roman" w:cs="Times New Roman"/>
          <w:sz w:val="24"/>
          <w:szCs w:val="24"/>
        </w:rPr>
        <w:t xml:space="preserve">distributed through </w:t>
      </w:r>
      <w:r w:rsidR="00E82447" w:rsidRPr="00514F3B">
        <w:rPr>
          <w:rFonts w:ascii="Times New Roman" w:hAnsi="Times New Roman" w:cs="Times New Roman"/>
          <w:sz w:val="24"/>
          <w:szCs w:val="24"/>
        </w:rPr>
        <w:t xml:space="preserve">the PBRF scheme, with individual universities receiving </w:t>
      </w:r>
      <w:r w:rsidR="008E288E" w:rsidRPr="00514F3B">
        <w:rPr>
          <w:rFonts w:ascii="Times New Roman" w:hAnsi="Times New Roman" w:cs="Times New Roman"/>
          <w:sz w:val="24"/>
          <w:szCs w:val="24"/>
        </w:rPr>
        <w:t xml:space="preserve">60 percent of the available funding </w:t>
      </w:r>
      <w:r w:rsidR="00E82447" w:rsidRPr="00514F3B">
        <w:rPr>
          <w:rFonts w:ascii="Times New Roman" w:hAnsi="Times New Roman" w:cs="Times New Roman"/>
          <w:sz w:val="24"/>
          <w:szCs w:val="24"/>
        </w:rPr>
        <w:t xml:space="preserve">based on their relative per capita </w:t>
      </w:r>
      <w:r w:rsidR="008E288E" w:rsidRPr="00514F3B">
        <w:rPr>
          <w:rFonts w:ascii="Times New Roman" w:hAnsi="Times New Roman" w:cs="Times New Roman"/>
          <w:sz w:val="24"/>
          <w:szCs w:val="24"/>
        </w:rPr>
        <w:t xml:space="preserve">research </w:t>
      </w:r>
      <w:r w:rsidR="00CA1403" w:rsidRPr="00514F3B">
        <w:rPr>
          <w:rFonts w:ascii="Times New Roman" w:hAnsi="Times New Roman" w:cs="Times New Roman"/>
          <w:sz w:val="24"/>
          <w:szCs w:val="24"/>
        </w:rPr>
        <w:t xml:space="preserve">performance </w:t>
      </w:r>
      <w:r w:rsidR="00BA1767" w:rsidRPr="00514F3B">
        <w:rPr>
          <w:rFonts w:ascii="Times New Roman" w:hAnsi="Times New Roman" w:cs="Times New Roman"/>
          <w:sz w:val="24"/>
          <w:szCs w:val="24"/>
        </w:rPr>
        <w:t>and their</w:t>
      </w:r>
      <w:r w:rsidR="00BE1477" w:rsidRPr="00514F3B">
        <w:rPr>
          <w:rFonts w:ascii="Times New Roman" w:hAnsi="Times New Roman" w:cs="Times New Roman"/>
          <w:sz w:val="24"/>
          <w:szCs w:val="24"/>
        </w:rPr>
        <w:t xml:space="preserve"> PBRF eligible,</w:t>
      </w:r>
      <w:r w:rsidR="00BA1767" w:rsidRPr="00514F3B">
        <w:rPr>
          <w:rFonts w:ascii="Times New Roman" w:hAnsi="Times New Roman" w:cs="Times New Roman"/>
          <w:sz w:val="24"/>
          <w:szCs w:val="24"/>
        </w:rPr>
        <w:t xml:space="preserve"> full-time equivalent staffing levels</w:t>
      </w:r>
      <w:r w:rsidR="00232999" w:rsidRPr="00514F3B">
        <w:rPr>
          <w:rFonts w:ascii="Times New Roman" w:hAnsi="Times New Roman" w:cs="Times New Roman"/>
          <w:sz w:val="24"/>
          <w:szCs w:val="24"/>
        </w:rPr>
        <w:t xml:space="preserve"> (</w:t>
      </w:r>
      <w:r w:rsidR="008E288E" w:rsidRPr="00514F3B">
        <w:rPr>
          <w:rFonts w:ascii="Times New Roman" w:hAnsi="Times New Roman" w:cs="Times New Roman"/>
          <w:sz w:val="24"/>
          <w:szCs w:val="24"/>
        </w:rPr>
        <w:t>TEC, 2002</w:t>
      </w:r>
      <w:r w:rsidR="001C7741" w:rsidRPr="00514F3B">
        <w:rPr>
          <w:rFonts w:ascii="Times New Roman" w:hAnsi="Times New Roman" w:cs="Times New Roman"/>
          <w:sz w:val="24"/>
          <w:szCs w:val="24"/>
        </w:rPr>
        <w:t>).</w:t>
      </w:r>
      <w:r w:rsidR="00BA1767" w:rsidRPr="00514F3B">
        <w:rPr>
          <w:rFonts w:ascii="Times New Roman" w:hAnsi="Times New Roman" w:cs="Times New Roman"/>
          <w:sz w:val="24"/>
          <w:szCs w:val="24"/>
        </w:rPr>
        <w:t xml:space="preserve"> </w:t>
      </w:r>
    </w:p>
    <w:p w:rsidR="00833BBB"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A9387B" w:rsidRPr="00514F3B">
        <w:rPr>
          <w:rFonts w:ascii="Times New Roman" w:hAnsi="Times New Roman" w:cs="Times New Roman"/>
          <w:sz w:val="24"/>
          <w:szCs w:val="24"/>
        </w:rPr>
        <w:t xml:space="preserve">The PBRF was </w:t>
      </w:r>
      <w:r w:rsidR="00CA1403" w:rsidRPr="00514F3B">
        <w:rPr>
          <w:rFonts w:ascii="Times New Roman" w:hAnsi="Times New Roman" w:cs="Times New Roman"/>
          <w:sz w:val="24"/>
          <w:szCs w:val="24"/>
        </w:rPr>
        <w:t xml:space="preserve">one of the recommendations of the Tertiary Education Advisory Commission in 2001 and the details of the process to be used were not known until </w:t>
      </w:r>
      <w:r w:rsidR="001C0B29" w:rsidRPr="00514F3B">
        <w:rPr>
          <w:rFonts w:ascii="Times New Roman" w:hAnsi="Times New Roman" w:cs="Times New Roman"/>
          <w:sz w:val="24"/>
          <w:szCs w:val="24"/>
        </w:rPr>
        <w:t xml:space="preserve">late </w:t>
      </w:r>
      <w:r w:rsidR="00CA1403" w:rsidRPr="00514F3B">
        <w:rPr>
          <w:rFonts w:ascii="Times New Roman" w:hAnsi="Times New Roman" w:cs="Times New Roman"/>
          <w:sz w:val="24"/>
          <w:szCs w:val="24"/>
        </w:rPr>
        <w:t xml:space="preserve">2002 (TEC, 2002).  </w:t>
      </w:r>
      <w:r w:rsidR="00446A8A" w:rsidRPr="00514F3B">
        <w:rPr>
          <w:rFonts w:ascii="Times New Roman" w:hAnsi="Times New Roman" w:cs="Times New Roman"/>
          <w:sz w:val="24"/>
          <w:szCs w:val="24"/>
        </w:rPr>
        <w:t>The scheme required all academics to submit to a peer assessment of their research over the most recent six year period</w:t>
      </w:r>
      <w:r w:rsidR="005D3ADA" w:rsidRPr="00514F3B">
        <w:rPr>
          <w:rFonts w:ascii="Times New Roman" w:hAnsi="Times New Roman" w:cs="Times New Roman"/>
          <w:sz w:val="24"/>
          <w:szCs w:val="24"/>
        </w:rPr>
        <w:t xml:space="preserve">.  </w:t>
      </w:r>
      <w:r w:rsidR="00CA1403" w:rsidRPr="00514F3B">
        <w:rPr>
          <w:rFonts w:ascii="Times New Roman" w:hAnsi="Times New Roman" w:cs="Times New Roman"/>
          <w:sz w:val="24"/>
          <w:szCs w:val="24"/>
        </w:rPr>
        <w:t xml:space="preserve">The funding implications of PBRF assessments for institutions </w:t>
      </w:r>
      <w:r w:rsidR="005D3ADA" w:rsidRPr="00514F3B">
        <w:rPr>
          <w:rFonts w:ascii="Times New Roman" w:hAnsi="Times New Roman" w:cs="Times New Roman"/>
          <w:sz w:val="24"/>
          <w:szCs w:val="24"/>
        </w:rPr>
        <w:t xml:space="preserve">were to be phased in over the period 2004- 2007.  </w:t>
      </w:r>
      <w:r w:rsidR="003F5934" w:rsidRPr="00514F3B">
        <w:rPr>
          <w:rFonts w:ascii="Times New Roman" w:hAnsi="Times New Roman" w:cs="Times New Roman"/>
          <w:sz w:val="24"/>
          <w:szCs w:val="24"/>
        </w:rPr>
        <w:t xml:space="preserve">The </w:t>
      </w:r>
      <w:r w:rsidR="00CA1403" w:rsidRPr="00514F3B">
        <w:rPr>
          <w:rFonts w:ascii="Times New Roman" w:hAnsi="Times New Roman" w:cs="Times New Roman"/>
          <w:sz w:val="24"/>
          <w:szCs w:val="24"/>
        </w:rPr>
        <w:t>first</w:t>
      </w:r>
      <w:r w:rsidR="003F5934" w:rsidRPr="00514F3B">
        <w:rPr>
          <w:rFonts w:ascii="Times New Roman" w:hAnsi="Times New Roman" w:cs="Times New Roman"/>
          <w:sz w:val="24"/>
          <w:szCs w:val="24"/>
        </w:rPr>
        <w:t xml:space="preserve"> e</w:t>
      </w:r>
      <w:r w:rsidR="00CA1403" w:rsidRPr="00514F3B">
        <w:rPr>
          <w:rFonts w:ascii="Times New Roman" w:hAnsi="Times New Roman" w:cs="Times New Roman"/>
          <w:sz w:val="24"/>
          <w:szCs w:val="24"/>
        </w:rPr>
        <w:t>valuation</w:t>
      </w:r>
      <w:r w:rsidR="003F5934" w:rsidRPr="00514F3B">
        <w:rPr>
          <w:rFonts w:ascii="Times New Roman" w:hAnsi="Times New Roman" w:cs="Times New Roman"/>
          <w:sz w:val="24"/>
          <w:szCs w:val="24"/>
        </w:rPr>
        <w:t xml:space="preserve"> was conducted </w:t>
      </w:r>
      <w:r w:rsidR="00CA1403" w:rsidRPr="00514F3B">
        <w:rPr>
          <w:rFonts w:ascii="Times New Roman" w:hAnsi="Times New Roman" w:cs="Times New Roman"/>
          <w:sz w:val="24"/>
          <w:szCs w:val="24"/>
        </w:rPr>
        <w:t>in 2003</w:t>
      </w:r>
      <w:r w:rsidR="0012609A" w:rsidRPr="00514F3B">
        <w:rPr>
          <w:rFonts w:ascii="Times New Roman" w:hAnsi="Times New Roman" w:cs="Times New Roman"/>
          <w:sz w:val="24"/>
          <w:szCs w:val="24"/>
        </w:rPr>
        <w:t>,</w:t>
      </w:r>
      <w:r w:rsidR="00CA1403" w:rsidRPr="00514F3B">
        <w:rPr>
          <w:rFonts w:ascii="Times New Roman" w:hAnsi="Times New Roman" w:cs="Times New Roman"/>
          <w:sz w:val="24"/>
          <w:szCs w:val="24"/>
        </w:rPr>
        <w:t xml:space="preserve"> based on research over the </w:t>
      </w:r>
      <w:r w:rsidR="0012609A" w:rsidRPr="00514F3B">
        <w:rPr>
          <w:rFonts w:ascii="Times New Roman" w:hAnsi="Times New Roman" w:cs="Times New Roman"/>
          <w:sz w:val="24"/>
          <w:szCs w:val="24"/>
        </w:rPr>
        <w:t xml:space="preserve">period </w:t>
      </w:r>
      <w:r w:rsidR="00CA1403" w:rsidRPr="00514F3B">
        <w:rPr>
          <w:rFonts w:ascii="Times New Roman" w:hAnsi="Times New Roman" w:cs="Times New Roman"/>
          <w:sz w:val="24"/>
          <w:szCs w:val="24"/>
        </w:rPr>
        <w:t>1997-2002</w:t>
      </w:r>
      <w:r w:rsidR="003F5934" w:rsidRPr="00514F3B">
        <w:rPr>
          <w:rFonts w:ascii="Times New Roman" w:hAnsi="Times New Roman" w:cs="Times New Roman"/>
          <w:sz w:val="24"/>
          <w:szCs w:val="24"/>
        </w:rPr>
        <w:t xml:space="preserve">.  </w:t>
      </w:r>
      <w:r w:rsidR="00446A8A" w:rsidRPr="00514F3B">
        <w:rPr>
          <w:rFonts w:ascii="Times New Roman" w:hAnsi="Times New Roman" w:cs="Times New Roman"/>
          <w:sz w:val="24"/>
          <w:szCs w:val="24"/>
        </w:rPr>
        <w:t xml:space="preserve">This was followed by a partial round in 2006, so called because </w:t>
      </w:r>
      <w:r w:rsidR="00297BCF" w:rsidRPr="00514F3B">
        <w:rPr>
          <w:rFonts w:ascii="Times New Roman" w:hAnsi="Times New Roman" w:cs="Times New Roman"/>
          <w:sz w:val="24"/>
          <w:szCs w:val="24"/>
        </w:rPr>
        <w:t xml:space="preserve">all academics </w:t>
      </w:r>
      <w:r w:rsidR="00446A8A" w:rsidRPr="00514F3B">
        <w:rPr>
          <w:rFonts w:ascii="Times New Roman" w:hAnsi="Times New Roman" w:cs="Times New Roman"/>
          <w:sz w:val="24"/>
          <w:szCs w:val="24"/>
        </w:rPr>
        <w:t xml:space="preserve">were </w:t>
      </w:r>
      <w:r w:rsidR="00297BCF" w:rsidRPr="00514F3B">
        <w:rPr>
          <w:rFonts w:ascii="Times New Roman" w:hAnsi="Times New Roman" w:cs="Times New Roman"/>
          <w:sz w:val="24"/>
          <w:szCs w:val="24"/>
        </w:rPr>
        <w:t>given the option of opting out and using their 2003 grade as their 2006</w:t>
      </w:r>
      <w:r w:rsidR="00AB5CD6" w:rsidRPr="00514F3B">
        <w:rPr>
          <w:rFonts w:ascii="Times New Roman" w:hAnsi="Times New Roman" w:cs="Times New Roman"/>
          <w:sz w:val="24"/>
          <w:szCs w:val="24"/>
        </w:rPr>
        <w:t xml:space="preserve"> </w:t>
      </w:r>
      <w:r w:rsidR="00446A8A" w:rsidRPr="00514F3B">
        <w:rPr>
          <w:rFonts w:ascii="Times New Roman" w:hAnsi="Times New Roman" w:cs="Times New Roman"/>
          <w:sz w:val="24"/>
          <w:szCs w:val="24"/>
        </w:rPr>
        <w:t xml:space="preserve">result </w:t>
      </w:r>
      <w:r w:rsidR="00297BCF" w:rsidRPr="00514F3B">
        <w:rPr>
          <w:rFonts w:ascii="Times New Roman" w:hAnsi="Times New Roman" w:cs="Times New Roman"/>
          <w:sz w:val="24"/>
          <w:szCs w:val="24"/>
        </w:rPr>
        <w:t xml:space="preserve">or being evaluated on their research output over the six year period starting on 1 January 2000.  The </w:t>
      </w:r>
      <w:r w:rsidR="00446A8A" w:rsidRPr="00514F3B">
        <w:rPr>
          <w:rFonts w:ascii="Times New Roman" w:hAnsi="Times New Roman" w:cs="Times New Roman"/>
          <w:sz w:val="24"/>
          <w:szCs w:val="24"/>
        </w:rPr>
        <w:t xml:space="preserve">third </w:t>
      </w:r>
      <w:r w:rsidR="008F49CE" w:rsidRPr="00514F3B">
        <w:rPr>
          <w:rFonts w:ascii="Times New Roman" w:hAnsi="Times New Roman" w:cs="Times New Roman"/>
          <w:sz w:val="24"/>
          <w:szCs w:val="24"/>
        </w:rPr>
        <w:t xml:space="preserve">PBRF round was undertaken in 2012, with all research output over the period 2006-2011 being subject, once again, to peer review.  At the time of writing, the </w:t>
      </w:r>
      <w:r w:rsidR="00C66319" w:rsidRPr="00514F3B">
        <w:rPr>
          <w:rFonts w:ascii="Times New Roman" w:hAnsi="Times New Roman" w:cs="Times New Roman"/>
          <w:sz w:val="24"/>
          <w:szCs w:val="24"/>
        </w:rPr>
        <w:t xml:space="preserve">2012 </w:t>
      </w:r>
      <w:r w:rsidR="008F49CE" w:rsidRPr="00514F3B">
        <w:rPr>
          <w:rFonts w:ascii="Times New Roman" w:hAnsi="Times New Roman" w:cs="Times New Roman"/>
          <w:sz w:val="24"/>
          <w:szCs w:val="24"/>
        </w:rPr>
        <w:t>result</w:t>
      </w:r>
      <w:r w:rsidR="00C66319" w:rsidRPr="00514F3B">
        <w:rPr>
          <w:rFonts w:ascii="Times New Roman" w:hAnsi="Times New Roman" w:cs="Times New Roman"/>
          <w:sz w:val="24"/>
          <w:szCs w:val="24"/>
        </w:rPr>
        <w:t>s</w:t>
      </w:r>
      <w:r w:rsidR="00AB5CD6" w:rsidRPr="00514F3B">
        <w:rPr>
          <w:rFonts w:ascii="Times New Roman" w:hAnsi="Times New Roman" w:cs="Times New Roman"/>
          <w:sz w:val="24"/>
          <w:szCs w:val="24"/>
        </w:rPr>
        <w:t xml:space="preserve"> </w:t>
      </w:r>
      <w:r w:rsidR="008F49CE" w:rsidRPr="00514F3B">
        <w:rPr>
          <w:rFonts w:ascii="Times New Roman" w:hAnsi="Times New Roman" w:cs="Times New Roman"/>
          <w:sz w:val="24"/>
          <w:szCs w:val="24"/>
        </w:rPr>
        <w:t>have not been released.</w:t>
      </w:r>
      <w:r w:rsidR="00446A8A" w:rsidRPr="00514F3B">
        <w:rPr>
          <w:rFonts w:ascii="Times New Roman" w:hAnsi="Times New Roman" w:cs="Times New Roman"/>
          <w:sz w:val="24"/>
          <w:szCs w:val="24"/>
        </w:rPr>
        <w:t xml:space="preserve">  </w:t>
      </w:r>
    </w:p>
    <w:p w:rsidR="00EB1EF4"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F30DC" w:rsidRPr="00514F3B">
        <w:rPr>
          <w:rFonts w:ascii="Times New Roman" w:hAnsi="Times New Roman" w:cs="Times New Roman"/>
          <w:sz w:val="24"/>
          <w:szCs w:val="24"/>
        </w:rPr>
        <w:t xml:space="preserve">Before proceeding, we </w:t>
      </w:r>
      <w:r w:rsidR="00235B39" w:rsidRPr="00514F3B">
        <w:rPr>
          <w:rFonts w:ascii="Times New Roman" w:hAnsi="Times New Roman" w:cs="Times New Roman"/>
          <w:sz w:val="24"/>
          <w:szCs w:val="24"/>
        </w:rPr>
        <w:t xml:space="preserve">shall </w:t>
      </w:r>
      <w:r w:rsidR="00FF30DC" w:rsidRPr="00514F3B">
        <w:rPr>
          <w:rFonts w:ascii="Times New Roman" w:hAnsi="Times New Roman" w:cs="Times New Roman"/>
          <w:sz w:val="24"/>
          <w:szCs w:val="24"/>
        </w:rPr>
        <w:t>provide a brief outline of the PBRF evaluation scheme.</w:t>
      </w:r>
      <w:r w:rsidR="00581212" w:rsidRPr="00514F3B">
        <w:rPr>
          <w:rStyle w:val="FootnoteReference"/>
          <w:rFonts w:ascii="Times New Roman" w:hAnsi="Times New Roman" w:cs="Times New Roman"/>
          <w:sz w:val="24"/>
          <w:szCs w:val="24"/>
        </w:rPr>
        <w:footnoteReference w:id="3"/>
      </w:r>
      <w:r w:rsidR="00FF30DC" w:rsidRPr="00514F3B">
        <w:rPr>
          <w:rFonts w:ascii="Times New Roman" w:hAnsi="Times New Roman" w:cs="Times New Roman"/>
          <w:sz w:val="24"/>
          <w:szCs w:val="24"/>
        </w:rPr>
        <w:t xml:space="preserve">  </w:t>
      </w:r>
      <w:r w:rsidR="00833BBB" w:rsidRPr="00514F3B">
        <w:rPr>
          <w:rFonts w:ascii="Times New Roman" w:hAnsi="Times New Roman" w:cs="Times New Roman"/>
          <w:sz w:val="24"/>
          <w:szCs w:val="24"/>
        </w:rPr>
        <w:t xml:space="preserve">The PBRF is a mandatory, individually- based review of the research activities of all </w:t>
      </w:r>
      <w:r w:rsidR="00573421" w:rsidRPr="00514F3B">
        <w:rPr>
          <w:rFonts w:ascii="Times New Roman" w:hAnsi="Times New Roman" w:cs="Times New Roman"/>
          <w:sz w:val="24"/>
          <w:szCs w:val="24"/>
        </w:rPr>
        <w:t xml:space="preserve">academics normally expected to undertake research. </w:t>
      </w:r>
      <w:r w:rsidR="00833BBB" w:rsidRPr="00514F3B">
        <w:rPr>
          <w:rFonts w:ascii="Times New Roman" w:hAnsi="Times New Roman" w:cs="Times New Roman"/>
          <w:sz w:val="24"/>
          <w:szCs w:val="24"/>
        </w:rPr>
        <w:t xml:space="preserve">  Researchers are assigned to one of 12 subject panels, and ultimately to one of 42 discipline categories, with grade assignments being made on the basis of peer assessment.  </w:t>
      </w:r>
      <w:r w:rsidR="00573421" w:rsidRPr="00514F3B">
        <w:rPr>
          <w:rFonts w:ascii="Times New Roman" w:hAnsi="Times New Roman" w:cs="Times New Roman"/>
          <w:sz w:val="24"/>
          <w:szCs w:val="24"/>
        </w:rPr>
        <w:t xml:space="preserve"> </w:t>
      </w:r>
      <w:r w:rsidR="0012609A" w:rsidRPr="00514F3B">
        <w:rPr>
          <w:rFonts w:ascii="Times New Roman" w:hAnsi="Times New Roman" w:cs="Times New Roman"/>
          <w:sz w:val="24"/>
          <w:szCs w:val="24"/>
        </w:rPr>
        <w:t>Indivi</w:t>
      </w:r>
      <w:r w:rsidR="00C25D67" w:rsidRPr="00514F3B">
        <w:rPr>
          <w:rFonts w:ascii="Times New Roman" w:hAnsi="Times New Roman" w:cs="Times New Roman"/>
          <w:sz w:val="24"/>
          <w:szCs w:val="24"/>
        </w:rPr>
        <w:t>d</w:t>
      </w:r>
      <w:r w:rsidR="0012609A" w:rsidRPr="00514F3B">
        <w:rPr>
          <w:rFonts w:ascii="Times New Roman" w:hAnsi="Times New Roman" w:cs="Times New Roman"/>
          <w:sz w:val="24"/>
          <w:szCs w:val="24"/>
        </w:rPr>
        <w:t xml:space="preserve">ual academics </w:t>
      </w:r>
      <w:r w:rsidR="00C25D67" w:rsidRPr="00514F3B">
        <w:rPr>
          <w:rFonts w:ascii="Times New Roman" w:hAnsi="Times New Roman" w:cs="Times New Roman"/>
          <w:sz w:val="24"/>
          <w:szCs w:val="24"/>
        </w:rPr>
        <w:t xml:space="preserve">submit evidence portfolios (EP) that </w:t>
      </w:r>
      <w:r w:rsidR="00744BA1" w:rsidRPr="00514F3B">
        <w:rPr>
          <w:rFonts w:ascii="Times New Roman" w:hAnsi="Times New Roman" w:cs="Times New Roman"/>
          <w:sz w:val="24"/>
          <w:szCs w:val="24"/>
        </w:rPr>
        <w:t xml:space="preserve">describe Research Output (RO), Peer Esteem (PE) </w:t>
      </w:r>
      <w:r w:rsidR="005A7916" w:rsidRPr="00514F3B">
        <w:rPr>
          <w:rFonts w:ascii="Times New Roman" w:hAnsi="Times New Roman" w:cs="Times New Roman"/>
          <w:sz w:val="24"/>
          <w:szCs w:val="24"/>
        </w:rPr>
        <w:t>a</w:t>
      </w:r>
      <w:r w:rsidR="00744BA1" w:rsidRPr="00514F3B">
        <w:rPr>
          <w:rFonts w:ascii="Times New Roman" w:hAnsi="Times New Roman" w:cs="Times New Roman"/>
          <w:sz w:val="24"/>
          <w:szCs w:val="24"/>
        </w:rPr>
        <w:t xml:space="preserve">nd Contributions to </w:t>
      </w:r>
      <w:r w:rsidR="00744BA1" w:rsidRPr="00514F3B">
        <w:rPr>
          <w:rFonts w:ascii="Times New Roman" w:hAnsi="Times New Roman" w:cs="Times New Roman"/>
          <w:sz w:val="24"/>
          <w:szCs w:val="24"/>
        </w:rPr>
        <w:lastRenderedPageBreak/>
        <w:t xml:space="preserve">the Research Environment (CRE).  In describing Research Output </w:t>
      </w:r>
      <w:r w:rsidR="00BC1A74" w:rsidRPr="00514F3B">
        <w:rPr>
          <w:rFonts w:ascii="Times New Roman" w:hAnsi="Times New Roman" w:cs="Times New Roman"/>
          <w:sz w:val="24"/>
          <w:szCs w:val="24"/>
        </w:rPr>
        <w:t>(RO</w:t>
      </w:r>
      <w:r w:rsidR="006A4D8B" w:rsidRPr="00514F3B">
        <w:rPr>
          <w:rFonts w:ascii="Times New Roman" w:hAnsi="Times New Roman" w:cs="Times New Roman"/>
          <w:sz w:val="24"/>
          <w:szCs w:val="24"/>
        </w:rPr>
        <w:t>)</w:t>
      </w:r>
      <w:r w:rsidR="006F372C" w:rsidRPr="00514F3B">
        <w:rPr>
          <w:rFonts w:ascii="Times New Roman" w:hAnsi="Times New Roman" w:cs="Times New Roman"/>
          <w:sz w:val="24"/>
          <w:szCs w:val="24"/>
        </w:rPr>
        <w:t xml:space="preserve">, researchers </w:t>
      </w:r>
      <w:r w:rsidR="00744BA1" w:rsidRPr="00514F3B">
        <w:rPr>
          <w:rFonts w:ascii="Times New Roman" w:hAnsi="Times New Roman" w:cs="Times New Roman"/>
          <w:sz w:val="24"/>
          <w:szCs w:val="24"/>
        </w:rPr>
        <w:t xml:space="preserve">can </w:t>
      </w:r>
      <w:r w:rsidR="009F3B92" w:rsidRPr="00514F3B">
        <w:rPr>
          <w:rFonts w:ascii="Times New Roman" w:hAnsi="Times New Roman" w:cs="Times New Roman"/>
          <w:sz w:val="24"/>
          <w:szCs w:val="24"/>
        </w:rPr>
        <w:t>include</w:t>
      </w:r>
      <w:r w:rsidR="00C25D67" w:rsidRPr="00514F3B">
        <w:rPr>
          <w:rFonts w:ascii="Times New Roman" w:hAnsi="Times New Roman" w:cs="Times New Roman"/>
          <w:sz w:val="24"/>
          <w:szCs w:val="24"/>
        </w:rPr>
        <w:t xml:space="preserve"> up to 34 research outputs</w:t>
      </w:r>
      <w:r w:rsidR="006F372C" w:rsidRPr="00514F3B">
        <w:rPr>
          <w:rFonts w:ascii="Times New Roman" w:hAnsi="Times New Roman" w:cs="Times New Roman"/>
          <w:sz w:val="24"/>
          <w:szCs w:val="24"/>
        </w:rPr>
        <w:t>,</w:t>
      </w:r>
      <w:r w:rsidR="00C25D67" w:rsidRPr="00514F3B">
        <w:rPr>
          <w:rFonts w:ascii="Times New Roman" w:hAnsi="Times New Roman" w:cs="Times New Roman"/>
          <w:sz w:val="24"/>
          <w:szCs w:val="24"/>
        </w:rPr>
        <w:t xml:space="preserve"> and i</w:t>
      </w:r>
      <w:r w:rsidR="009F3B92" w:rsidRPr="00514F3B">
        <w:rPr>
          <w:rFonts w:ascii="Times New Roman" w:hAnsi="Times New Roman" w:cs="Times New Roman"/>
          <w:sz w:val="24"/>
          <w:szCs w:val="24"/>
        </w:rPr>
        <w:t>dentify</w:t>
      </w:r>
      <w:r w:rsidR="00C25D67" w:rsidRPr="00514F3B">
        <w:rPr>
          <w:rFonts w:ascii="Times New Roman" w:hAnsi="Times New Roman" w:cs="Times New Roman"/>
          <w:sz w:val="24"/>
          <w:szCs w:val="24"/>
        </w:rPr>
        <w:t xml:space="preserve"> </w:t>
      </w:r>
      <w:r w:rsidR="006F372C" w:rsidRPr="00514F3B">
        <w:rPr>
          <w:rFonts w:ascii="Times New Roman" w:hAnsi="Times New Roman" w:cs="Times New Roman"/>
          <w:sz w:val="24"/>
          <w:szCs w:val="24"/>
        </w:rPr>
        <w:t xml:space="preserve">4 which they will describe more fully.  </w:t>
      </w:r>
      <w:r w:rsidR="00BC1A74" w:rsidRPr="00514F3B">
        <w:rPr>
          <w:rFonts w:ascii="Times New Roman" w:hAnsi="Times New Roman" w:cs="Times New Roman"/>
          <w:sz w:val="24"/>
          <w:szCs w:val="24"/>
        </w:rPr>
        <w:t xml:space="preserve">It is important to note that research is broadly defined and covers areas such as refereed papers, conference papers, books and book chapters that have been produced over the six year evaluation period.  However, it is widely recognized that for most disciplines, including economics, refereed papers are the primary yard-stick used in the evaluation process.  </w:t>
      </w:r>
      <w:r w:rsidR="00744BA1" w:rsidRPr="00514F3B">
        <w:rPr>
          <w:rFonts w:ascii="Times New Roman" w:hAnsi="Times New Roman" w:cs="Times New Roman"/>
          <w:sz w:val="24"/>
          <w:szCs w:val="24"/>
        </w:rPr>
        <w:t xml:space="preserve">Evidence on Peer Esteem </w:t>
      </w:r>
      <w:r w:rsidR="00BC1A74" w:rsidRPr="00514F3B">
        <w:rPr>
          <w:rFonts w:ascii="Times New Roman" w:hAnsi="Times New Roman" w:cs="Times New Roman"/>
          <w:sz w:val="24"/>
          <w:szCs w:val="24"/>
        </w:rPr>
        <w:t xml:space="preserve">(PE) </w:t>
      </w:r>
      <w:r w:rsidR="00744BA1" w:rsidRPr="00514F3B">
        <w:rPr>
          <w:rFonts w:ascii="Times New Roman" w:hAnsi="Times New Roman" w:cs="Times New Roman"/>
          <w:sz w:val="24"/>
          <w:szCs w:val="24"/>
        </w:rPr>
        <w:t>is based on accolades received during the evaluation period, such as research grants, awards and honours, citations generated by previously published work, journal editorships and the like.  Contributions to the Research Environment</w:t>
      </w:r>
      <w:r w:rsidR="00BC1A74" w:rsidRPr="00514F3B">
        <w:rPr>
          <w:rFonts w:ascii="Times New Roman" w:hAnsi="Times New Roman" w:cs="Times New Roman"/>
          <w:sz w:val="24"/>
          <w:szCs w:val="24"/>
        </w:rPr>
        <w:t xml:space="preserve"> (CRE)</w:t>
      </w:r>
      <w:r w:rsidR="00744BA1" w:rsidRPr="00514F3B">
        <w:rPr>
          <w:rFonts w:ascii="Times New Roman" w:hAnsi="Times New Roman" w:cs="Times New Roman"/>
          <w:sz w:val="24"/>
          <w:szCs w:val="24"/>
        </w:rPr>
        <w:t xml:space="preserve"> include factors such as the researcher’s role in doctoral supervision, development of research groups and programmes, and administrative roles in the area of graduate education.  A </w:t>
      </w:r>
      <w:r w:rsidR="00833BBB" w:rsidRPr="00514F3B">
        <w:rPr>
          <w:rFonts w:ascii="Times New Roman" w:hAnsi="Times New Roman" w:cs="Times New Roman"/>
          <w:sz w:val="24"/>
          <w:szCs w:val="24"/>
        </w:rPr>
        <w:t xml:space="preserve">researcher </w:t>
      </w:r>
      <w:r w:rsidR="00573421" w:rsidRPr="00514F3B">
        <w:rPr>
          <w:rFonts w:ascii="Times New Roman" w:hAnsi="Times New Roman" w:cs="Times New Roman"/>
          <w:sz w:val="24"/>
          <w:szCs w:val="24"/>
        </w:rPr>
        <w:t xml:space="preserve">can refuse to submit an </w:t>
      </w:r>
      <w:r w:rsidR="00C25D67" w:rsidRPr="00514F3B">
        <w:rPr>
          <w:rFonts w:ascii="Times New Roman" w:hAnsi="Times New Roman" w:cs="Times New Roman"/>
          <w:sz w:val="24"/>
          <w:szCs w:val="24"/>
        </w:rPr>
        <w:t>EP</w:t>
      </w:r>
      <w:r w:rsidR="00744BA1" w:rsidRPr="00514F3B">
        <w:rPr>
          <w:rFonts w:ascii="Times New Roman" w:hAnsi="Times New Roman" w:cs="Times New Roman"/>
          <w:sz w:val="24"/>
          <w:szCs w:val="24"/>
        </w:rPr>
        <w:t>,</w:t>
      </w:r>
      <w:r w:rsidR="00C25D67" w:rsidRPr="00514F3B">
        <w:rPr>
          <w:rFonts w:ascii="Times New Roman" w:hAnsi="Times New Roman" w:cs="Times New Roman"/>
          <w:sz w:val="24"/>
          <w:szCs w:val="24"/>
        </w:rPr>
        <w:t xml:space="preserve"> </w:t>
      </w:r>
      <w:r w:rsidR="00573421" w:rsidRPr="00514F3B">
        <w:rPr>
          <w:rFonts w:ascii="Times New Roman" w:hAnsi="Times New Roman" w:cs="Times New Roman"/>
          <w:sz w:val="24"/>
          <w:szCs w:val="24"/>
        </w:rPr>
        <w:t xml:space="preserve">but </w:t>
      </w:r>
      <w:r w:rsidR="00744BA1" w:rsidRPr="00514F3B">
        <w:rPr>
          <w:rFonts w:ascii="Times New Roman" w:hAnsi="Times New Roman" w:cs="Times New Roman"/>
          <w:sz w:val="24"/>
          <w:szCs w:val="24"/>
        </w:rPr>
        <w:t xml:space="preserve">is then </w:t>
      </w:r>
      <w:r w:rsidR="00573421" w:rsidRPr="00514F3B">
        <w:rPr>
          <w:rFonts w:ascii="Times New Roman" w:hAnsi="Times New Roman" w:cs="Times New Roman"/>
          <w:sz w:val="24"/>
          <w:szCs w:val="24"/>
        </w:rPr>
        <w:t>autom</w:t>
      </w:r>
      <w:r w:rsidR="009F3B92" w:rsidRPr="00514F3B">
        <w:rPr>
          <w:rFonts w:ascii="Times New Roman" w:hAnsi="Times New Roman" w:cs="Times New Roman"/>
          <w:sz w:val="24"/>
          <w:szCs w:val="24"/>
        </w:rPr>
        <w:t>atically given a score of zero.</w:t>
      </w:r>
      <w:r w:rsidR="00643481" w:rsidRPr="00514F3B">
        <w:rPr>
          <w:rFonts w:ascii="Times New Roman" w:hAnsi="Times New Roman" w:cs="Times New Roman"/>
          <w:sz w:val="24"/>
          <w:szCs w:val="24"/>
        </w:rPr>
        <w:t xml:space="preserve"> </w:t>
      </w:r>
      <w:r w:rsidR="006D212B" w:rsidRPr="00514F3B">
        <w:rPr>
          <w:rFonts w:ascii="Times New Roman" w:hAnsi="Times New Roman" w:cs="Times New Roman"/>
          <w:sz w:val="24"/>
          <w:szCs w:val="24"/>
        </w:rPr>
        <w:t xml:space="preserve"> The EP is reviewed by the relevant expert panel and </w:t>
      </w:r>
      <w:r w:rsidR="009F3B92" w:rsidRPr="00514F3B">
        <w:rPr>
          <w:rFonts w:ascii="Times New Roman" w:hAnsi="Times New Roman" w:cs="Times New Roman"/>
          <w:sz w:val="24"/>
          <w:szCs w:val="24"/>
        </w:rPr>
        <w:t xml:space="preserve">integer </w:t>
      </w:r>
      <w:r w:rsidR="00FF4663" w:rsidRPr="00514F3B">
        <w:rPr>
          <w:rFonts w:ascii="Times New Roman" w:hAnsi="Times New Roman" w:cs="Times New Roman"/>
          <w:sz w:val="24"/>
          <w:szCs w:val="24"/>
        </w:rPr>
        <w:t xml:space="preserve">grades are assigned using a 0-7 scale for </w:t>
      </w:r>
      <w:r w:rsidR="00BC1A74" w:rsidRPr="00514F3B">
        <w:rPr>
          <w:rFonts w:ascii="Times New Roman" w:hAnsi="Times New Roman" w:cs="Times New Roman"/>
          <w:sz w:val="24"/>
          <w:szCs w:val="24"/>
        </w:rPr>
        <w:t>each of RO, PE and CRE</w:t>
      </w:r>
      <w:r w:rsidR="00FF4663" w:rsidRPr="00514F3B">
        <w:rPr>
          <w:rFonts w:ascii="Times New Roman" w:hAnsi="Times New Roman" w:cs="Times New Roman"/>
          <w:sz w:val="24"/>
          <w:szCs w:val="24"/>
        </w:rPr>
        <w:t>.  These numerical scores are</w:t>
      </w:r>
      <w:r w:rsidR="005A7916" w:rsidRPr="00514F3B">
        <w:rPr>
          <w:rFonts w:ascii="Times New Roman" w:hAnsi="Times New Roman" w:cs="Times New Roman"/>
          <w:sz w:val="24"/>
          <w:szCs w:val="24"/>
        </w:rPr>
        <w:t xml:space="preserve"> then</w:t>
      </w:r>
      <w:r w:rsidR="00FF4663" w:rsidRPr="00514F3B">
        <w:rPr>
          <w:rFonts w:ascii="Times New Roman" w:hAnsi="Times New Roman" w:cs="Times New Roman"/>
          <w:sz w:val="24"/>
          <w:szCs w:val="24"/>
        </w:rPr>
        <w:t xml:space="preserve"> combined to give a Quality Evaluation (</w:t>
      </w:r>
      <w:r w:rsidR="007E3FF1" w:rsidRPr="00514F3B">
        <w:rPr>
          <w:rFonts w:ascii="Times New Roman" w:hAnsi="Times New Roman" w:cs="Times New Roman"/>
          <w:sz w:val="24"/>
          <w:szCs w:val="24"/>
        </w:rPr>
        <w:t>QE)</w:t>
      </w:r>
      <w:r w:rsidR="00FF4663" w:rsidRPr="00514F3B">
        <w:rPr>
          <w:rFonts w:ascii="Times New Roman" w:hAnsi="Times New Roman" w:cs="Times New Roman"/>
          <w:sz w:val="24"/>
          <w:szCs w:val="24"/>
        </w:rPr>
        <w:t xml:space="preserve"> score.  In determining the Quality Evaluation</w:t>
      </w:r>
      <w:r w:rsidR="006A4D8B" w:rsidRPr="00514F3B">
        <w:rPr>
          <w:rFonts w:ascii="Times New Roman" w:hAnsi="Times New Roman" w:cs="Times New Roman"/>
          <w:sz w:val="24"/>
          <w:szCs w:val="24"/>
        </w:rPr>
        <w:t xml:space="preserve"> score, </w:t>
      </w:r>
      <w:r w:rsidR="00FF4663" w:rsidRPr="00514F3B">
        <w:rPr>
          <w:rFonts w:ascii="Times New Roman" w:hAnsi="Times New Roman" w:cs="Times New Roman"/>
          <w:sz w:val="24"/>
          <w:szCs w:val="24"/>
        </w:rPr>
        <w:t xml:space="preserve">the RO score has a weight of 70% and the PE and CRE scores a weight of 15% each.   </w:t>
      </w:r>
      <w:r w:rsidR="006D212B" w:rsidRPr="00514F3B">
        <w:rPr>
          <w:rFonts w:ascii="Times New Roman" w:hAnsi="Times New Roman" w:cs="Times New Roman"/>
          <w:sz w:val="24"/>
          <w:szCs w:val="24"/>
        </w:rPr>
        <w:t xml:space="preserve"> </w:t>
      </w:r>
      <w:r w:rsidR="004A0C3D" w:rsidRPr="00514F3B">
        <w:rPr>
          <w:rFonts w:ascii="Times New Roman" w:hAnsi="Times New Roman" w:cs="Times New Roman"/>
          <w:sz w:val="24"/>
          <w:szCs w:val="24"/>
        </w:rPr>
        <w:t xml:space="preserve"> </w:t>
      </w:r>
    </w:p>
    <w:p w:rsidR="00EA46E0"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E2EDD" w:rsidRPr="00514F3B">
        <w:rPr>
          <w:rFonts w:ascii="Times New Roman" w:hAnsi="Times New Roman" w:cs="Times New Roman"/>
          <w:sz w:val="24"/>
          <w:szCs w:val="24"/>
        </w:rPr>
        <w:t xml:space="preserve">Individual assessments are </w:t>
      </w:r>
      <w:r w:rsidR="00330BF5" w:rsidRPr="00514F3B">
        <w:rPr>
          <w:rFonts w:ascii="Times New Roman" w:hAnsi="Times New Roman" w:cs="Times New Roman"/>
          <w:sz w:val="24"/>
          <w:szCs w:val="24"/>
        </w:rPr>
        <w:t xml:space="preserve">used in two ways.  First, </w:t>
      </w:r>
      <w:r w:rsidR="00FE2EDD" w:rsidRPr="00514F3B">
        <w:rPr>
          <w:rFonts w:ascii="Times New Roman" w:hAnsi="Times New Roman" w:cs="Times New Roman"/>
          <w:sz w:val="24"/>
          <w:szCs w:val="24"/>
        </w:rPr>
        <w:t>researchers</w:t>
      </w:r>
      <w:r w:rsidR="00330BF5" w:rsidRPr="00514F3B">
        <w:rPr>
          <w:rFonts w:ascii="Times New Roman" w:hAnsi="Times New Roman" w:cs="Times New Roman"/>
          <w:sz w:val="24"/>
          <w:szCs w:val="24"/>
        </w:rPr>
        <w:t xml:space="preserve"> are assigned to </w:t>
      </w:r>
      <w:r w:rsidR="00350CC5" w:rsidRPr="00514F3B">
        <w:rPr>
          <w:rFonts w:ascii="Times New Roman" w:hAnsi="Times New Roman" w:cs="Times New Roman"/>
          <w:sz w:val="24"/>
          <w:szCs w:val="24"/>
        </w:rPr>
        <w:t xml:space="preserve">one of </w:t>
      </w:r>
      <w:r w:rsidR="008102B4" w:rsidRPr="00514F3B">
        <w:rPr>
          <w:rFonts w:ascii="Times New Roman" w:hAnsi="Times New Roman" w:cs="Times New Roman"/>
          <w:sz w:val="24"/>
          <w:szCs w:val="24"/>
        </w:rPr>
        <w:t>four categories: A, B, C and R (not active in research</w:t>
      </w:r>
      <w:r w:rsidR="00350CC5" w:rsidRPr="00514F3B">
        <w:rPr>
          <w:rFonts w:ascii="Times New Roman" w:hAnsi="Times New Roman" w:cs="Times New Roman"/>
          <w:sz w:val="24"/>
          <w:szCs w:val="24"/>
        </w:rPr>
        <w:t xml:space="preserve">).  </w:t>
      </w:r>
      <w:r w:rsidR="004471EF" w:rsidRPr="00514F3B">
        <w:rPr>
          <w:rFonts w:ascii="Times New Roman" w:hAnsi="Times New Roman" w:cs="Times New Roman"/>
          <w:sz w:val="24"/>
          <w:szCs w:val="24"/>
        </w:rPr>
        <w:t>Although the</w:t>
      </w:r>
      <w:r w:rsidR="00350CC5" w:rsidRPr="00514F3B">
        <w:rPr>
          <w:rFonts w:ascii="Times New Roman" w:hAnsi="Times New Roman" w:cs="Times New Roman"/>
          <w:sz w:val="24"/>
          <w:szCs w:val="24"/>
        </w:rPr>
        <w:t xml:space="preserve"> letter </w:t>
      </w:r>
      <w:r w:rsidR="004471EF" w:rsidRPr="00514F3B">
        <w:rPr>
          <w:rFonts w:ascii="Times New Roman" w:hAnsi="Times New Roman" w:cs="Times New Roman"/>
          <w:sz w:val="24"/>
          <w:szCs w:val="24"/>
        </w:rPr>
        <w:t>grade received by each</w:t>
      </w:r>
      <w:r w:rsidR="00350CC5" w:rsidRPr="00514F3B">
        <w:rPr>
          <w:rFonts w:ascii="Times New Roman" w:hAnsi="Times New Roman" w:cs="Times New Roman"/>
          <w:sz w:val="24"/>
          <w:szCs w:val="24"/>
        </w:rPr>
        <w:t xml:space="preserve"> researcher </w:t>
      </w:r>
      <w:r w:rsidR="004471EF" w:rsidRPr="00514F3B">
        <w:rPr>
          <w:rFonts w:ascii="Times New Roman" w:hAnsi="Times New Roman" w:cs="Times New Roman"/>
          <w:sz w:val="24"/>
          <w:szCs w:val="24"/>
        </w:rPr>
        <w:t xml:space="preserve">is supposed to be confidential, it is widely perceived that this is not the case, especially since high achievers frequently make their success known for pecuniary and ego reasons. </w:t>
      </w:r>
      <w:r w:rsidR="009D5C25" w:rsidRPr="00514F3B">
        <w:rPr>
          <w:rFonts w:ascii="Times New Roman" w:hAnsi="Times New Roman" w:cs="Times New Roman"/>
          <w:sz w:val="24"/>
          <w:szCs w:val="24"/>
        </w:rPr>
        <w:t xml:space="preserve"> At </w:t>
      </w:r>
      <w:r w:rsidR="004471EF" w:rsidRPr="00514F3B">
        <w:rPr>
          <w:rFonts w:ascii="Times New Roman" w:hAnsi="Times New Roman" w:cs="Times New Roman"/>
          <w:sz w:val="24"/>
          <w:szCs w:val="24"/>
        </w:rPr>
        <w:t>the</w:t>
      </w:r>
      <w:r w:rsidR="00350CC5" w:rsidRPr="00514F3B">
        <w:rPr>
          <w:rFonts w:ascii="Times New Roman" w:hAnsi="Times New Roman" w:cs="Times New Roman"/>
          <w:sz w:val="24"/>
          <w:szCs w:val="24"/>
        </w:rPr>
        <w:t xml:space="preserve"> discipline and</w:t>
      </w:r>
      <w:r w:rsidR="004471EF" w:rsidRPr="00514F3B">
        <w:rPr>
          <w:rFonts w:ascii="Times New Roman" w:hAnsi="Times New Roman" w:cs="Times New Roman"/>
          <w:sz w:val="24"/>
          <w:szCs w:val="24"/>
        </w:rPr>
        <w:t xml:space="preserve"> institutional level, the </w:t>
      </w:r>
      <w:r w:rsidR="009D5C25" w:rsidRPr="00514F3B">
        <w:rPr>
          <w:rFonts w:ascii="Times New Roman" w:hAnsi="Times New Roman" w:cs="Times New Roman"/>
          <w:sz w:val="24"/>
          <w:szCs w:val="24"/>
        </w:rPr>
        <w:t xml:space="preserve">letter </w:t>
      </w:r>
      <w:r w:rsidR="004471EF" w:rsidRPr="00514F3B">
        <w:rPr>
          <w:rFonts w:ascii="Times New Roman" w:hAnsi="Times New Roman" w:cs="Times New Roman"/>
          <w:sz w:val="24"/>
          <w:szCs w:val="24"/>
        </w:rPr>
        <w:t>grades are publicly available</w:t>
      </w:r>
      <w:r w:rsidR="00350CC5" w:rsidRPr="00514F3B">
        <w:rPr>
          <w:rFonts w:ascii="Times New Roman" w:hAnsi="Times New Roman" w:cs="Times New Roman"/>
          <w:sz w:val="24"/>
          <w:szCs w:val="24"/>
        </w:rPr>
        <w:t>,</w:t>
      </w:r>
      <w:r w:rsidR="004471EF" w:rsidRPr="00514F3B">
        <w:rPr>
          <w:rFonts w:ascii="Times New Roman" w:hAnsi="Times New Roman" w:cs="Times New Roman"/>
          <w:sz w:val="24"/>
          <w:szCs w:val="24"/>
        </w:rPr>
        <w:t xml:space="preserve"> and</w:t>
      </w:r>
      <w:r w:rsidR="00350CC5" w:rsidRPr="00514F3B">
        <w:rPr>
          <w:rFonts w:ascii="Times New Roman" w:hAnsi="Times New Roman" w:cs="Times New Roman"/>
          <w:sz w:val="24"/>
          <w:szCs w:val="24"/>
        </w:rPr>
        <w:t xml:space="preserve"> are frequently used</w:t>
      </w:r>
      <w:r w:rsidR="004471EF" w:rsidRPr="00514F3B">
        <w:rPr>
          <w:rFonts w:ascii="Times New Roman" w:hAnsi="Times New Roman" w:cs="Times New Roman"/>
          <w:sz w:val="24"/>
          <w:szCs w:val="24"/>
        </w:rPr>
        <w:t xml:space="preserve"> in promotional material and </w:t>
      </w:r>
      <w:r w:rsidR="009D5C25" w:rsidRPr="00514F3B">
        <w:rPr>
          <w:rFonts w:ascii="Times New Roman" w:hAnsi="Times New Roman" w:cs="Times New Roman"/>
          <w:sz w:val="24"/>
          <w:szCs w:val="24"/>
        </w:rPr>
        <w:t xml:space="preserve">in </w:t>
      </w:r>
      <w:r w:rsidR="004471EF" w:rsidRPr="00514F3B">
        <w:rPr>
          <w:rFonts w:ascii="Times New Roman" w:hAnsi="Times New Roman" w:cs="Times New Roman"/>
          <w:sz w:val="24"/>
          <w:szCs w:val="24"/>
        </w:rPr>
        <w:t>other forms of advertising</w:t>
      </w:r>
      <w:r w:rsidR="009D5C25" w:rsidRPr="00514F3B">
        <w:rPr>
          <w:rFonts w:ascii="Times New Roman" w:hAnsi="Times New Roman" w:cs="Times New Roman"/>
          <w:sz w:val="24"/>
          <w:szCs w:val="24"/>
        </w:rPr>
        <w:t xml:space="preserve"> by the </w:t>
      </w:r>
      <w:r w:rsidR="00FF1968">
        <w:rPr>
          <w:rFonts w:ascii="Times New Roman" w:hAnsi="Times New Roman" w:cs="Times New Roman"/>
          <w:sz w:val="24"/>
          <w:szCs w:val="24"/>
        </w:rPr>
        <w:t>‘</w:t>
      </w:r>
      <w:r w:rsidR="009D5C25" w:rsidRPr="00514F3B">
        <w:rPr>
          <w:rFonts w:ascii="Times New Roman" w:hAnsi="Times New Roman" w:cs="Times New Roman"/>
          <w:sz w:val="24"/>
          <w:szCs w:val="24"/>
        </w:rPr>
        <w:t>winners</w:t>
      </w:r>
      <w:r w:rsidR="00FF1968">
        <w:rPr>
          <w:rFonts w:ascii="Times New Roman" w:hAnsi="Times New Roman" w:cs="Times New Roman"/>
          <w:sz w:val="24"/>
          <w:szCs w:val="24"/>
        </w:rPr>
        <w:t>’</w:t>
      </w:r>
      <w:r w:rsidR="004471EF" w:rsidRPr="00514F3B">
        <w:rPr>
          <w:rFonts w:ascii="Times New Roman" w:hAnsi="Times New Roman" w:cs="Times New Roman"/>
          <w:sz w:val="24"/>
          <w:szCs w:val="24"/>
        </w:rPr>
        <w:t xml:space="preserve">.  </w:t>
      </w:r>
      <w:r w:rsidR="00350CC5" w:rsidRPr="00514F3B">
        <w:rPr>
          <w:rFonts w:ascii="Times New Roman" w:hAnsi="Times New Roman" w:cs="Times New Roman"/>
          <w:sz w:val="24"/>
          <w:szCs w:val="24"/>
        </w:rPr>
        <w:t>Second, t</w:t>
      </w:r>
      <w:r w:rsidR="004471EF" w:rsidRPr="00514F3B">
        <w:rPr>
          <w:rFonts w:ascii="Times New Roman" w:hAnsi="Times New Roman" w:cs="Times New Roman"/>
          <w:sz w:val="24"/>
          <w:szCs w:val="24"/>
        </w:rPr>
        <w:t xml:space="preserve">he </w:t>
      </w:r>
      <w:r w:rsidR="00330BF5" w:rsidRPr="00514F3B">
        <w:rPr>
          <w:rFonts w:ascii="Times New Roman" w:hAnsi="Times New Roman" w:cs="Times New Roman"/>
          <w:sz w:val="24"/>
          <w:szCs w:val="24"/>
        </w:rPr>
        <w:t xml:space="preserve">letter grades are converted to a numerical score: R (0), C (1), B (3) and </w:t>
      </w:r>
      <w:proofErr w:type="gramStart"/>
      <w:r w:rsidR="00330BF5" w:rsidRPr="00514F3B">
        <w:rPr>
          <w:rFonts w:ascii="Times New Roman" w:hAnsi="Times New Roman" w:cs="Times New Roman"/>
          <w:sz w:val="24"/>
          <w:szCs w:val="24"/>
        </w:rPr>
        <w:t>A</w:t>
      </w:r>
      <w:proofErr w:type="gramEnd"/>
      <w:r w:rsidR="00330BF5" w:rsidRPr="00514F3B">
        <w:rPr>
          <w:rFonts w:ascii="Times New Roman" w:hAnsi="Times New Roman" w:cs="Times New Roman"/>
          <w:sz w:val="24"/>
          <w:szCs w:val="24"/>
        </w:rPr>
        <w:t xml:space="preserve"> (5).  These scores are then doubled and are used to generate </w:t>
      </w:r>
      <w:r w:rsidR="004471EF" w:rsidRPr="00514F3B">
        <w:rPr>
          <w:rFonts w:ascii="Times New Roman" w:hAnsi="Times New Roman" w:cs="Times New Roman"/>
          <w:sz w:val="24"/>
          <w:szCs w:val="24"/>
        </w:rPr>
        <w:t xml:space="preserve">per capita scores for each discipline category for each university, and then aggregated across all categories to generate a per capita score for each university.  </w:t>
      </w:r>
      <w:r w:rsidR="00F73242" w:rsidRPr="00514F3B">
        <w:rPr>
          <w:rFonts w:ascii="Times New Roman" w:hAnsi="Times New Roman" w:cs="Times New Roman"/>
          <w:sz w:val="24"/>
          <w:szCs w:val="24"/>
        </w:rPr>
        <w:t>The results are used in two distinct ways:</w:t>
      </w:r>
      <w:r w:rsidR="00EA46E0" w:rsidRPr="00514F3B">
        <w:rPr>
          <w:rFonts w:ascii="Times New Roman" w:hAnsi="Times New Roman" w:cs="Times New Roman"/>
          <w:sz w:val="24"/>
          <w:szCs w:val="24"/>
        </w:rPr>
        <w:t xml:space="preserve">  first, </w:t>
      </w:r>
      <w:r w:rsidR="009D5C25" w:rsidRPr="00514F3B">
        <w:rPr>
          <w:rFonts w:ascii="Times New Roman" w:hAnsi="Times New Roman" w:cs="Times New Roman"/>
          <w:sz w:val="24"/>
          <w:szCs w:val="24"/>
        </w:rPr>
        <w:t xml:space="preserve">as for letter grades, </w:t>
      </w:r>
      <w:r w:rsidR="00EA46E0" w:rsidRPr="00514F3B">
        <w:rPr>
          <w:rFonts w:ascii="Times New Roman" w:hAnsi="Times New Roman" w:cs="Times New Roman"/>
          <w:sz w:val="24"/>
          <w:szCs w:val="24"/>
        </w:rPr>
        <w:t xml:space="preserve">they are aggressively used by the leaders in each category in </w:t>
      </w:r>
      <w:r w:rsidR="009D5C25" w:rsidRPr="00514F3B">
        <w:rPr>
          <w:rFonts w:ascii="Times New Roman" w:hAnsi="Times New Roman" w:cs="Times New Roman"/>
          <w:sz w:val="24"/>
          <w:szCs w:val="24"/>
        </w:rPr>
        <w:t xml:space="preserve">their marketing </w:t>
      </w:r>
      <w:r w:rsidR="00EA46E0" w:rsidRPr="00514F3B">
        <w:rPr>
          <w:rFonts w:ascii="Times New Roman" w:hAnsi="Times New Roman" w:cs="Times New Roman"/>
          <w:sz w:val="24"/>
          <w:szCs w:val="24"/>
        </w:rPr>
        <w:t xml:space="preserve">activities; and second, </w:t>
      </w:r>
      <w:r w:rsidR="0060312D" w:rsidRPr="00514F3B">
        <w:rPr>
          <w:rFonts w:ascii="Times New Roman" w:hAnsi="Times New Roman" w:cs="Times New Roman"/>
          <w:sz w:val="24"/>
          <w:szCs w:val="24"/>
        </w:rPr>
        <w:t>they are used</w:t>
      </w:r>
      <w:r w:rsidR="00AB5CD6" w:rsidRPr="00514F3B">
        <w:rPr>
          <w:rFonts w:ascii="Times New Roman" w:hAnsi="Times New Roman" w:cs="Times New Roman"/>
          <w:sz w:val="24"/>
          <w:szCs w:val="24"/>
        </w:rPr>
        <w:t xml:space="preserve">, along with each university’s </w:t>
      </w:r>
      <w:r w:rsidR="00BE1477" w:rsidRPr="00514F3B">
        <w:rPr>
          <w:rFonts w:ascii="Times New Roman" w:hAnsi="Times New Roman" w:cs="Times New Roman"/>
          <w:sz w:val="24"/>
          <w:szCs w:val="24"/>
        </w:rPr>
        <w:t xml:space="preserve">PBRF eligible, </w:t>
      </w:r>
      <w:r w:rsidR="00AB5CD6" w:rsidRPr="00514F3B">
        <w:rPr>
          <w:rFonts w:ascii="Times New Roman" w:hAnsi="Times New Roman" w:cs="Times New Roman"/>
          <w:sz w:val="24"/>
          <w:szCs w:val="24"/>
        </w:rPr>
        <w:t>full-time equivalent staff numbers,</w:t>
      </w:r>
      <w:r w:rsidR="0060312D" w:rsidRPr="00514F3B">
        <w:rPr>
          <w:rFonts w:ascii="Times New Roman" w:hAnsi="Times New Roman" w:cs="Times New Roman"/>
          <w:sz w:val="24"/>
          <w:szCs w:val="24"/>
        </w:rPr>
        <w:t xml:space="preserve"> to allocate </w:t>
      </w:r>
      <w:r w:rsidR="0041449A" w:rsidRPr="00514F3B">
        <w:rPr>
          <w:rFonts w:ascii="Times New Roman" w:hAnsi="Times New Roman" w:cs="Times New Roman"/>
          <w:sz w:val="24"/>
          <w:szCs w:val="24"/>
        </w:rPr>
        <w:t xml:space="preserve">60 percent of </w:t>
      </w:r>
      <w:r w:rsidR="0060312D" w:rsidRPr="00514F3B">
        <w:rPr>
          <w:rFonts w:ascii="Times New Roman" w:hAnsi="Times New Roman" w:cs="Times New Roman"/>
          <w:sz w:val="24"/>
          <w:szCs w:val="24"/>
        </w:rPr>
        <w:t>the available PBRF funding.</w:t>
      </w:r>
      <w:r w:rsidR="007F1325" w:rsidRPr="00514F3B">
        <w:rPr>
          <w:rStyle w:val="FootnoteReference"/>
          <w:rFonts w:ascii="Times New Roman" w:hAnsi="Times New Roman" w:cs="Times New Roman"/>
          <w:sz w:val="24"/>
          <w:szCs w:val="24"/>
        </w:rPr>
        <w:footnoteReference w:id="4"/>
      </w:r>
      <w:r w:rsidR="0060312D" w:rsidRPr="00514F3B">
        <w:rPr>
          <w:rFonts w:ascii="Times New Roman" w:hAnsi="Times New Roman" w:cs="Times New Roman"/>
          <w:sz w:val="24"/>
          <w:szCs w:val="24"/>
        </w:rPr>
        <w:t xml:space="preserve">  </w:t>
      </w:r>
      <w:r w:rsidR="00EA46E0" w:rsidRPr="00514F3B">
        <w:rPr>
          <w:rFonts w:ascii="Times New Roman" w:hAnsi="Times New Roman" w:cs="Times New Roman"/>
          <w:sz w:val="24"/>
          <w:szCs w:val="24"/>
        </w:rPr>
        <w:t xml:space="preserve">  </w:t>
      </w:r>
    </w:p>
    <w:p w:rsidR="00FF4663"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FF4663" w:rsidRPr="00514F3B">
        <w:rPr>
          <w:rFonts w:ascii="Times New Roman" w:hAnsi="Times New Roman" w:cs="Times New Roman"/>
          <w:sz w:val="24"/>
          <w:szCs w:val="24"/>
        </w:rPr>
        <w:t>The</w:t>
      </w:r>
      <w:r w:rsidR="002B602D" w:rsidRPr="00514F3B">
        <w:rPr>
          <w:rFonts w:ascii="Times New Roman" w:hAnsi="Times New Roman" w:cs="Times New Roman"/>
          <w:sz w:val="24"/>
          <w:szCs w:val="24"/>
        </w:rPr>
        <w:t>se</w:t>
      </w:r>
      <w:r w:rsidR="00FF4663" w:rsidRPr="00514F3B">
        <w:rPr>
          <w:rFonts w:ascii="Times New Roman" w:hAnsi="Times New Roman" w:cs="Times New Roman"/>
          <w:sz w:val="24"/>
          <w:szCs w:val="24"/>
        </w:rPr>
        <w:t xml:space="preserve"> details of the PBRF are essential in understanding the intended effects of the scheme.  For each individual academic the </w:t>
      </w:r>
      <w:r w:rsidR="00871402" w:rsidRPr="00514F3B">
        <w:rPr>
          <w:rFonts w:ascii="Times New Roman" w:hAnsi="Times New Roman" w:cs="Times New Roman"/>
          <w:sz w:val="24"/>
          <w:szCs w:val="24"/>
        </w:rPr>
        <w:t xml:space="preserve">relevant </w:t>
      </w:r>
      <w:r w:rsidR="00F05E02" w:rsidRPr="00514F3B">
        <w:rPr>
          <w:rFonts w:ascii="Times New Roman" w:hAnsi="Times New Roman" w:cs="Times New Roman"/>
          <w:sz w:val="24"/>
          <w:szCs w:val="24"/>
        </w:rPr>
        <w:t>peer-</w:t>
      </w:r>
      <w:r w:rsidR="00FF4663" w:rsidRPr="00514F3B">
        <w:rPr>
          <w:rFonts w:ascii="Times New Roman" w:hAnsi="Times New Roman" w:cs="Times New Roman"/>
          <w:sz w:val="24"/>
          <w:szCs w:val="24"/>
        </w:rPr>
        <w:t xml:space="preserve">review panel has available to it information </w:t>
      </w:r>
      <w:r w:rsidR="00871402" w:rsidRPr="00514F3B">
        <w:rPr>
          <w:rFonts w:ascii="Times New Roman" w:hAnsi="Times New Roman" w:cs="Times New Roman"/>
          <w:sz w:val="24"/>
          <w:szCs w:val="24"/>
        </w:rPr>
        <w:t xml:space="preserve">that can be used in assessing both the </w:t>
      </w:r>
      <w:r w:rsidR="00FF4663" w:rsidRPr="00514F3B">
        <w:rPr>
          <w:rFonts w:ascii="Times New Roman" w:hAnsi="Times New Roman" w:cs="Times New Roman"/>
          <w:sz w:val="24"/>
          <w:szCs w:val="24"/>
        </w:rPr>
        <w:t xml:space="preserve">quality and </w:t>
      </w:r>
      <w:r w:rsidR="00CE6160" w:rsidRPr="00514F3B">
        <w:rPr>
          <w:rFonts w:ascii="Times New Roman" w:hAnsi="Times New Roman" w:cs="Times New Roman"/>
          <w:sz w:val="24"/>
          <w:szCs w:val="24"/>
        </w:rPr>
        <w:t xml:space="preserve">quantity </w:t>
      </w:r>
      <w:r w:rsidR="00FF4663" w:rsidRPr="00514F3B">
        <w:rPr>
          <w:rFonts w:ascii="Times New Roman" w:hAnsi="Times New Roman" w:cs="Times New Roman"/>
          <w:sz w:val="24"/>
          <w:szCs w:val="24"/>
        </w:rPr>
        <w:t>of the research undertaken.  Since the peer evaluation process is essentially a black-box it is difficult to judge the weight given to quality versus quantity or how quality is assessed</w:t>
      </w:r>
      <w:r w:rsidR="00871402" w:rsidRPr="00514F3B">
        <w:rPr>
          <w:rFonts w:ascii="Times New Roman" w:hAnsi="Times New Roman" w:cs="Times New Roman"/>
          <w:sz w:val="24"/>
          <w:szCs w:val="24"/>
        </w:rPr>
        <w:t xml:space="preserve"> in determining the RO score</w:t>
      </w:r>
      <w:r w:rsidR="00FF4663" w:rsidRPr="00514F3B">
        <w:rPr>
          <w:rFonts w:ascii="Times New Roman" w:hAnsi="Times New Roman" w:cs="Times New Roman"/>
          <w:sz w:val="24"/>
          <w:szCs w:val="24"/>
        </w:rPr>
        <w:t>.</w:t>
      </w:r>
    </w:p>
    <w:p w:rsidR="002A32B6"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871402" w:rsidRPr="00514F3B">
        <w:rPr>
          <w:rFonts w:ascii="Times New Roman" w:hAnsi="Times New Roman" w:cs="Times New Roman"/>
          <w:sz w:val="24"/>
          <w:szCs w:val="24"/>
        </w:rPr>
        <w:t>R</w:t>
      </w:r>
      <w:r w:rsidR="00FF4663" w:rsidRPr="00514F3B">
        <w:rPr>
          <w:rFonts w:ascii="Times New Roman" w:hAnsi="Times New Roman" w:cs="Times New Roman"/>
          <w:sz w:val="24"/>
          <w:szCs w:val="24"/>
        </w:rPr>
        <w:t xml:space="preserve">esearch </w:t>
      </w:r>
      <w:r w:rsidR="00871402" w:rsidRPr="00514F3B">
        <w:rPr>
          <w:rFonts w:ascii="Times New Roman" w:hAnsi="Times New Roman" w:cs="Times New Roman"/>
          <w:sz w:val="24"/>
          <w:szCs w:val="24"/>
        </w:rPr>
        <w:t>O</w:t>
      </w:r>
      <w:r w:rsidR="00FF4663" w:rsidRPr="00514F3B">
        <w:rPr>
          <w:rFonts w:ascii="Times New Roman" w:hAnsi="Times New Roman" w:cs="Times New Roman"/>
          <w:sz w:val="24"/>
          <w:szCs w:val="24"/>
        </w:rPr>
        <w:t xml:space="preserve">utput </w:t>
      </w:r>
      <w:r w:rsidR="00871402" w:rsidRPr="00514F3B">
        <w:rPr>
          <w:rFonts w:ascii="Times New Roman" w:hAnsi="Times New Roman" w:cs="Times New Roman"/>
          <w:sz w:val="24"/>
          <w:szCs w:val="24"/>
        </w:rPr>
        <w:t xml:space="preserve">(RO) </w:t>
      </w:r>
      <w:r w:rsidR="00A922AC" w:rsidRPr="00514F3B">
        <w:rPr>
          <w:rFonts w:ascii="Times New Roman" w:hAnsi="Times New Roman" w:cs="Times New Roman"/>
          <w:sz w:val="24"/>
          <w:szCs w:val="24"/>
        </w:rPr>
        <w:t>and</w:t>
      </w:r>
      <w:r w:rsidR="00871402" w:rsidRPr="00514F3B">
        <w:rPr>
          <w:rFonts w:ascii="Times New Roman" w:hAnsi="Times New Roman" w:cs="Times New Roman"/>
          <w:sz w:val="24"/>
          <w:szCs w:val="24"/>
        </w:rPr>
        <w:t xml:space="preserve"> Quality Evaluation (QE) </w:t>
      </w:r>
      <w:r w:rsidR="002A32B6" w:rsidRPr="00514F3B">
        <w:rPr>
          <w:rFonts w:ascii="Times New Roman" w:hAnsi="Times New Roman" w:cs="Times New Roman"/>
          <w:sz w:val="24"/>
          <w:szCs w:val="24"/>
        </w:rPr>
        <w:t>assessments</w:t>
      </w:r>
      <w:r w:rsidR="00FF4663" w:rsidRPr="00514F3B">
        <w:rPr>
          <w:rFonts w:ascii="Times New Roman" w:hAnsi="Times New Roman" w:cs="Times New Roman"/>
          <w:sz w:val="24"/>
          <w:szCs w:val="24"/>
        </w:rPr>
        <w:t xml:space="preserve"> have been treated as research quality measures</w:t>
      </w:r>
      <w:r w:rsidR="009F3B92" w:rsidRPr="00514F3B">
        <w:rPr>
          <w:rFonts w:ascii="Times New Roman" w:hAnsi="Times New Roman" w:cs="Times New Roman"/>
          <w:sz w:val="24"/>
          <w:szCs w:val="24"/>
        </w:rPr>
        <w:t xml:space="preserve"> in much of the discussion and analysis of PBRF</w:t>
      </w:r>
      <w:r w:rsidR="00FF4663" w:rsidRPr="00514F3B">
        <w:rPr>
          <w:rFonts w:ascii="Times New Roman" w:hAnsi="Times New Roman" w:cs="Times New Roman"/>
          <w:sz w:val="24"/>
          <w:szCs w:val="24"/>
        </w:rPr>
        <w:t xml:space="preserve">.  </w:t>
      </w:r>
      <w:r w:rsidR="007E3FF1" w:rsidRPr="00514F3B">
        <w:rPr>
          <w:rFonts w:ascii="Times New Roman" w:hAnsi="Times New Roman" w:cs="Times New Roman"/>
          <w:sz w:val="24"/>
          <w:szCs w:val="24"/>
        </w:rPr>
        <w:t xml:space="preserve">For example Smart (2008a) uses regression analysis to consider the determinants of research quality using the PBRF assessments for individual academics as the independent variable.  </w:t>
      </w:r>
      <w:r w:rsidR="00FF4663" w:rsidRPr="00514F3B">
        <w:rPr>
          <w:rFonts w:ascii="Times New Roman" w:hAnsi="Times New Roman" w:cs="Times New Roman"/>
          <w:sz w:val="24"/>
          <w:szCs w:val="24"/>
        </w:rPr>
        <w:t xml:space="preserve">Cinlar and </w:t>
      </w:r>
      <w:r w:rsidR="00FF4663" w:rsidRPr="00514F3B">
        <w:rPr>
          <w:rFonts w:ascii="Times New Roman" w:hAnsi="Times New Roman" w:cs="Times New Roman"/>
          <w:sz w:val="24"/>
          <w:szCs w:val="24"/>
        </w:rPr>
        <w:lastRenderedPageBreak/>
        <w:t>Dowse (2008)</w:t>
      </w:r>
      <w:r w:rsidR="002B602D" w:rsidRPr="00514F3B">
        <w:rPr>
          <w:rFonts w:ascii="Times New Roman" w:hAnsi="Times New Roman" w:cs="Times New Roman"/>
          <w:sz w:val="24"/>
          <w:szCs w:val="24"/>
        </w:rPr>
        <w:t xml:space="preserve"> </w:t>
      </w:r>
      <w:r w:rsidR="00FF4663" w:rsidRPr="00514F3B">
        <w:rPr>
          <w:rFonts w:ascii="Times New Roman" w:hAnsi="Times New Roman" w:cs="Times New Roman"/>
          <w:sz w:val="24"/>
          <w:szCs w:val="24"/>
        </w:rPr>
        <w:t>use per capita scores in analysing the impact</w:t>
      </w:r>
      <w:r w:rsidR="002B602D" w:rsidRPr="00514F3B">
        <w:rPr>
          <w:rFonts w:ascii="Times New Roman" w:hAnsi="Times New Roman" w:cs="Times New Roman"/>
          <w:sz w:val="24"/>
          <w:szCs w:val="24"/>
        </w:rPr>
        <w:t xml:space="preserve"> of</w:t>
      </w:r>
      <w:r w:rsidR="00FF4663" w:rsidRPr="00514F3B">
        <w:rPr>
          <w:rFonts w:ascii="Times New Roman" w:hAnsi="Times New Roman" w:cs="Times New Roman"/>
          <w:sz w:val="24"/>
          <w:szCs w:val="24"/>
        </w:rPr>
        <w:t xml:space="preserve"> PBRF in particular subject areas.  </w:t>
      </w:r>
      <w:r w:rsidR="009872E5" w:rsidRPr="00514F3B">
        <w:rPr>
          <w:rFonts w:ascii="Times New Roman" w:hAnsi="Times New Roman" w:cs="Times New Roman"/>
          <w:sz w:val="24"/>
          <w:szCs w:val="24"/>
        </w:rPr>
        <w:t>Smart (200</w:t>
      </w:r>
      <w:r w:rsidR="00082D7A" w:rsidRPr="00514F3B">
        <w:rPr>
          <w:rFonts w:ascii="Times New Roman" w:hAnsi="Times New Roman" w:cs="Times New Roman"/>
          <w:sz w:val="24"/>
          <w:szCs w:val="24"/>
        </w:rPr>
        <w:t>8b</w:t>
      </w:r>
      <w:r w:rsidR="009872E5" w:rsidRPr="00514F3B">
        <w:rPr>
          <w:rFonts w:ascii="Times New Roman" w:hAnsi="Times New Roman" w:cs="Times New Roman"/>
          <w:sz w:val="24"/>
          <w:szCs w:val="24"/>
        </w:rPr>
        <w:t xml:space="preserve">) considers </w:t>
      </w:r>
      <w:r w:rsidR="00FF1968">
        <w:rPr>
          <w:rFonts w:ascii="Times New Roman" w:hAnsi="Times New Roman" w:cs="Times New Roman"/>
          <w:sz w:val="24"/>
          <w:szCs w:val="24"/>
        </w:rPr>
        <w:t>‘</w:t>
      </w:r>
      <w:r w:rsidR="009872E5" w:rsidRPr="00514F3B">
        <w:rPr>
          <w:rFonts w:ascii="Times New Roman" w:hAnsi="Times New Roman" w:cs="Times New Roman"/>
          <w:sz w:val="24"/>
          <w:szCs w:val="24"/>
        </w:rPr>
        <w:t>Quality vs Impact</w:t>
      </w:r>
      <w:r w:rsidR="00FF1968">
        <w:rPr>
          <w:rFonts w:ascii="Times New Roman" w:hAnsi="Times New Roman" w:cs="Times New Roman"/>
          <w:sz w:val="24"/>
          <w:szCs w:val="24"/>
        </w:rPr>
        <w:t>’</w:t>
      </w:r>
      <w:r w:rsidR="009872E5" w:rsidRPr="00514F3B">
        <w:rPr>
          <w:rFonts w:ascii="Times New Roman" w:hAnsi="Times New Roman" w:cs="Times New Roman"/>
          <w:sz w:val="24"/>
          <w:szCs w:val="24"/>
        </w:rPr>
        <w:t xml:space="preserve"> by comparing the</w:t>
      </w:r>
      <w:r w:rsidR="00FF4663" w:rsidRPr="00514F3B">
        <w:rPr>
          <w:rFonts w:ascii="Times New Roman" w:hAnsi="Times New Roman" w:cs="Times New Roman"/>
          <w:sz w:val="24"/>
          <w:szCs w:val="24"/>
        </w:rPr>
        <w:t xml:space="preserve"> PBRF </w:t>
      </w:r>
      <w:r w:rsidR="002A32B6" w:rsidRPr="00514F3B">
        <w:rPr>
          <w:rFonts w:ascii="Times New Roman" w:hAnsi="Times New Roman" w:cs="Times New Roman"/>
          <w:sz w:val="24"/>
          <w:szCs w:val="24"/>
        </w:rPr>
        <w:t>assessments of institutions</w:t>
      </w:r>
      <w:r w:rsidR="00FF4663" w:rsidRPr="00514F3B">
        <w:rPr>
          <w:rFonts w:ascii="Times New Roman" w:hAnsi="Times New Roman" w:cs="Times New Roman"/>
          <w:sz w:val="24"/>
          <w:szCs w:val="24"/>
        </w:rPr>
        <w:t xml:space="preserve"> </w:t>
      </w:r>
      <w:r w:rsidR="009872E5" w:rsidRPr="00514F3B">
        <w:rPr>
          <w:rFonts w:ascii="Times New Roman" w:hAnsi="Times New Roman" w:cs="Times New Roman"/>
          <w:sz w:val="24"/>
          <w:szCs w:val="24"/>
        </w:rPr>
        <w:t>in particular subject areas with citation results</w:t>
      </w:r>
      <w:r w:rsidR="002A32B6" w:rsidRPr="00514F3B">
        <w:rPr>
          <w:rFonts w:ascii="Times New Roman" w:hAnsi="Times New Roman" w:cs="Times New Roman"/>
          <w:sz w:val="24"/>
          <w:szCs w:val="24"/>
        </w:rPr>
        <w:t xml:space="preserve">.  </w:t>
      </w:r>
      <w:r w:rsidR="00E56FFC" w:rsidRPr="00514F3B">
        <w:rPr>
          <w:rFonts w:ascii="Times New Roman" w:hAnsi="Times New Roman" w:cs="Times New Roman"/>
          <w:sz w:val="24"/>
          <w:szCs w:val="24"/>
        </w:rPr>
        <w:t>T</w:t>
      </w:r>
      <w:r w:rsidR="002A32B6" w:rsidRPr="00514F3B">
        <w:rPr>
          <w:rFonts w:ascii="Times New Roman" w:hAnsi="Times New Roman" w:cs="Times New Roman"/>
          <w:sz w:val="24"/>
          <w:szCs w:val="24"/>
        </w:rPr>
        <w:t>he impact of PBRF on research productivity across all sectors as a whole</w:t>
      </w:r>
      <w:r w:rsidR="00E56FFC" w:rsidRPr="00514F3B">
        <w:rPr>
          <w:rFonts w:ascii="Times New Roman" w:hAnsi="Times New Roman" w:cs="Times New Roman"/>
          <w:sz w:val="24"/>
          <w:szCs w:val="24"/>
        </w:rPr>
        <w:t xml:space="preserve"> is studied in Smart (2009</w:t>
      </w:r>
      <w:r w:rsidR="001C2097" w:rsidRPr="00514F3B">
        <w:rPr>
          <w:rFonts w:ascii="Times New Roman" w:hAnsi="Times New Roman" w:cs="Times New Roman"/>
          <w:sz w:val="24"/>
          <w:szCs w:val="24"/>
        </w:rPr>
        <w:t>a</w:t>
      </w:r>
      <w:r w:rsidR="00E56FFC" w:rsidRPr="00514F3B">
        <w:rPr>
          <w:rFonts w:ascii="Times New Roman" w:hAnsi="Times New Roman" w:cs="Times New Roman"/>
          <w:sz w:val="24"/>
          <w:szCs w:val="24"/>
        </w:rPr>
        <w:t xml:space="preserve">) using </w:t>
      </w:r>
      <w:r w:rsidR="002A32B6" w:rsidRPr="00514F3B">
        <w:rPr>
          <w:rFonts w:ascii="Times New Roman" w:hAnsi="Times New Roman" w:cs="Times New Roman"/>
          <w:sz w:val="24"/>
          <w:szCs w:val="24"/>
        </w:rPr>
        <w:t xml:space="preserve">ISI </w:t>
      </w:r>
      <w:r w:rsidR="006A4D8B" w:rsidRPr="00514F3B">
        <w:rPr>
          <w:rFonts w:ascii="Times New Roman" w:hAnsi="Times New Roman" w:cs="Times New Roman"/>
          <w:sz w:val="24"/>
          <w:szCs w:val="24"/>
        </w:rPr>
        <w:t xml:space="preserve">Web of Science (henceforth, ISI) </w:t>
      </w:r>
      <w:r w:rsidR="002A32B6" w:rsidRPr="00514F3B">
        <w:rPr>
          <w:rFonts w:ascii="Times New Roman" w:hAnsi="Times New Roman" w:cs="Times New Roman"/>
          <w:sz w:val="24"/>
          <w:szCs w:val="24"/>
        </w:rPr>
        <w:t>refereed papers</w:t>
      </w:r>
      <w:r w:rsidR="00E56FFC" w:rsidRPr="00514F3B">
        <w:rPr>
          <w:rFonts w:ascii="Times New Roman" w:hAnsi="Times New Roman" w:cs="Times New Roman"/>
          <w:sz w:val="24"/>
          <w:szCs w:val="24"/>
        </w:rPr>
        <w:t xml:space="preserve"> as a measure of research output</w:t>
      </w:r>
      <w:r w:rsidR="002A32B6" w:rsidRPr="00514F3B">
        <w:rPr>
          <w:rFonts w:ascii="Times New Roman" w:hAnsi="Times New Roman" w:cs="Times New Roman"/>
          <w:sz w:val="24"/>
          <w:szCs w:val="24"/>
        </w:rPr>
        <w:t xml:space="preserve">.  This research supports the view that research productivity increased substantially following the introduction of PBRF.  </w:t>
      </w:r>
    </w:p>
    <w:p w:rsidR="00CE6160"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CE6160" w:rsidRPr="00514F3B">
        <w:rPr>
          <w:rFonts w:ascii="Times New Roman" w:hAnsi="Times New Roman" w:cs="Times New Roman"/>
          <w:sz w:val="24"/>
          <w:szCs w:val="24"/>
        </w:rPr>
        <w:t xml:space="preserve">This literature is not clear on the distinction between </w:t>
      </w:r>
      <w:r w:rsidR="00FF1968">
        <w:rPr>
          <w:rFonts w:ascii="Times New Roman" w:hAnsi="Times New Roman" w:cs="Times New Roman"/>
          <w:sz w:val="24"/>
          <w:szCs w:val="24"/>
        </w:rPr>
        <w:t>‘</w:t>
      </w:r>
      <w:proofErr w:type="gramStart"/>
      <w:r w:rsidR="00CE6160" w:rsidRPr="00514F3B">
        <w:rPr>
          <w:rFonts w:ascii="Times New Roman" w:hAnsi="Times New Roman" w:cs="Times New Roman"/>
          <w:sz w:val="24"/>
          <w:szCs w:val="24"/>
        </w:rPr>
        <w:t>quality</w:t>
      </w:r>
      <w:proofErr w:type="gramEnd"/>
      <w:r w:rsidR="00FF1968">
        <w:rPr>
          <w:rFonts w:ascii="Times New Roman" w:hAnsi="Times New Roman" w:cs="Times New Roman"/>
          <w:sz w:val="24"/>
          <w:szCs w:val="24"/>
        </w:rPr>
        <w:t>’</w:t>
      </w:r>
      <w:r w:rsidR="00CE6160" w:rsidRPr="00514F3B">
        <w:rPr>
          <w:rFonts w:ascii="Times New Roman" w:hAnsi="Times New Roman" w:cs="Times New Roman"/>
          <w:sz w:val="24"/>
          <w:szCs w:val="24"/>
        </w:rPr>
        <w:t xml:space="preserve"> and </w:t>
      </w:r>
      <w:r w:rsidR="00FF1968">
        <w:rPr>
          <w:rFonts w:ascii="Times New Roman" w:hAnsi="Times New Roman" w:cs="Times New Roman"/>
          <w:sz w:val="24"/>
          <w:szCs w:val="24"/>
        </w:rPr>
        <w:t>‘</w:t>
      </w:r>
      <w:r w:rsidR="00CE6160" w:rsidRPr="00514F3B">
        <w:rPr>
          <w:rFonts w:ascii="Times New Roman" w:hAnsi="Times New Roman" w:cs="Times New Roman"/>
          <w:sz w:val="24"/>
          <w:szCs w:val="24"/>
        </w:rPr>
        <w:t>output</w:t>
      </w:r>
      <w:r w:rsidR="00FF1968">
        <w:rPr>
          <w:rFonts w:ascii="Times New Roman" w:hAnsi="Times New Roman" w:cs="Times New Roman"/>
          <w:sz w:val="24"/>
          <w:szCs w:val="24"/>
        </w:rPr>
        <w:t>’</w:t>
      </w:r>
      <w:r w:rsidR="00CE6160" w:rsidRPr="00514F3B">
        <w:rPr>
          <w:rFonts w:ascii="Times New Roman" w:hAnsi="Times New Roman" w:cs="Times New Roman"/>
          <w:sz w:val="24"/>
          <w:szCs w:val="24"/>
        </w:rPr>
        <w:t xml:space="preserve">.  Since research outputs are not homogeneous, information on the quality of research produced is normally combined with assessments of quality to produce measures of output.  </w:t>
      </w:r>
      <w:r w:rsidR="005D4D37" w:rsidRPr="00514F3B">
        <w:rPr>
          <w:rFonts w:ascii="Times New Roman" w:hAnsi="Times New Roman" w:cs="Times New Roman"/>
          <w:sz w:val="24"/>
          <w:szCs w:val="24"/>
        </w:rPr>
        <w:t xml:space="preserve">Research productivity is then output per capita.   </w:t>
      </w:r>
      <w:r w:rsidR="00CE6160" w:rsidRPr="00514F3B">
        <w:rPr>
          <w:rFonts w:ascii="Times New Roman" w:hAnsi="Times New Roman" w:cs="Times New Roman"/>
          <w:sz w:val="24"/>
          <w:szCs w:val="24"/>
        </w:rPr>
        <w:t xml:space="preserve">Assessments of quality </w:t>
      </w:r>
      <w:r w:rsidR="005D4D37" w:rsidRPr="00514F3B">
        <w:rPr>
          <w:rFonts w:ascii="Times New Roman" w:hAnsi="Times New Roman" w:cs="Times New Roman"/>
          <w:sz w:val="24"/>
          <w:szCs w:val="24"/>
        </w:rPr>
        <w:t xml:space="preserve">are involved in </w:t>
      </w:r>
      <w:r w:rsidR="00CE6160" w:rsidRPr="00514F3B">
        <w:rPr>
          <w:rFonts w:ascii="Times New Roman" w:hAnsi="Times New Roman" w:cs="Times New Roman"/>
          <w:sz w:val="24"/>
          <w:szCs w:val="24"/>
        </w:rPr>
        <w:t xml:space="preserve">the </w:t>
      </w:r>
      <w:r w:rsidR="005D4D37" w:rsidRPr="00514F3B">
        <w:rPr>
          <w:rFonts w:ascii="Times New Roman" w:hAnsi="Times New Roman" w:cs="Times New Roman"/>
          <w:sz w:val="24"/>
          <w:szCs w:val="24"/>
        </w:rPr>
        <w:t xml:space="preserve">implicit </w:t>
      </w:r>
      <w:r w:rsidR="00CE6160" w:rsidRPr="00514F3B">
        <w:rPr>
          <w:rFonts w:ascii="Times New Roman" w:hAnsi="Times New Roman" w:cs="Times New Roman"/>
          <w:sz w:val="24"/>
          <w:szCs w:val="24"/>
        </w:rPr>
        <w:t>evaluations of peer review panels</w:t>
      </w:r>
      <w:r w:rsidR="005D4D37" w:rsidRPr="00514F3B">
        <w:rPr>
          <w:rFonts w:ascii="Times New Roman" w:hAnsi="Times New Roman" w:cs="Times New Roman"/>
          <w:sz w:val="24"/>
          <w:szCs w:val="24"/>
        </w:rPr>
        <w:t xml:space="preserve">, or are based on </w:t>
      </w:r>
      <w:r w:rsidR="004D07CB" w:rsidRPr="00514F3B">
        <w:rPr>
          <w:rFonts w:ascii="Times New Roman" w:hAnsi="Times New Roman" w:cs="Times New Roman"/>
          <w:sz w:val="24"/>
          <w:szCs w:val="24"/>
        </w:rPr>
        <w:t xml:space="preserve">quality indicators such as </w:t>
      </w:r>
      <w:r w:rsidR="00CE6160" w:rsidRPr="00514F3B">
        <w:rPr>
          <w:rFonts w:ascii="Times New Roman" w:hAnsi="Times New Roman" w:cs="Times New Roman"/>
          <w:sz w:val="24"/>
          <w:szCs w:val="24"/>
        </w:rPr>
        <w:t>journal weighting schemes</w:t>
      </w:r>
      <w:r w:rsidR="005D4D37" w:rsidRPr="00514F3B">
        <w:rPr>
          <w:rFonts w:ascii="Times New Roman" w:hAnsi="Times New Roman" w:cs="Times New Roman"/>
          <w:sz w:val="24"/>
          <w:szCs w:val="24"/>
        </w:rPr>
        <w:t xml:space="preserve"> </w:t>
      </w:r>
      <w:r w:rsidR="004D07CB" w:rsidRPr="00514F3B">
        <w:rPr>
          <w:rFonts w:ascii="Times New Roman" w:hAnsi="Times New Roman" w:cs="Times New Roman"/>
          <w:sz w:val="24"/>
          <w:szCs w:val="24"/>
        </w:rPr>
        <w:t>and</w:t>
      </w:r>
      <w:r w:rsidR="00CE6160" w:rsidRPr="00514F3B">
        <w:rPr>
          <w:rFonts w:ascii="Times New Roman" w:hAnsi="Times New Roman" w:cs="Times New Roman"/>
          <w:sz w:val="24"/>
          <w:szCs w:val="24"/>
        </w:rPr>
        <w:t xml:space="preserve"> citation analysis.  </w:t>
      </w:r>
      <w:r w:rsidR="004D07CB" w:rsidRPr="00514F3B">
        <w:rPr>
          <w:rFonts w:ascii="Times New Roman" w:hAnsi="Times New Roman" w:cs="Times New Roman"/>
          <w:sz w:val="24"/>
          <w:szCs w:val="24"/>
        </w:rPr>
        <w:t>In this sense the</w:t>
      </w:r>
      <w:r w:rsidR="00CE6160" w:rsidRPr="00514F3B">
        <w:rPr>
          <w:rFonts w:ascii="Times New Roman" w:hAnsi="Times New Roman" w:cs="Times New Roman"/>
          <w:sz w:val="24"/>
          <w:szCs w:val="24"/>
        </w:rPr>
        <w:t xml:space="preserve"> PBRF assessment </w:t>
      </w:r>
      <w:r w:rsidR="005D4D37" w:rsidRPr="00514F3B">
        <w:rPr>
          <w:rFonts w:ascii="Times New Roman" w:hAnsi="Times New Roman" w:cs="Times New Roman"/>
          <w:sz w:val="24"/>
          <w:szCs w:val="24"/>
        </w:rPr>
        <w:t xml:space="preserve">of research </w:t>
      </w:r>
      <w:r w:rsidR="00CE6160" w:rsidRPr="00514F3B">
        <w:rPr>
          <w:rFonts w:ascii="Times New Roman" w:hAnsi="Times New Roman" w:cs="Times New Roman"/>
          <w:sz w:val="24"/>
          <w:szCs w:val="24"/>
        </w:rPr>
        <w:t xml:space="preserve">is a measure of output and is referred to as a </w:t>
      </w:r>
      <w:r w:rsidR="00FF1968">
        <w:rPr>
          <w:rFonts w:ascii="Times New Roman" w:hAnsi="Times New Roman" w:cs="Times New Roman"/>
          <w:sz w:val="24"/>
          <w:szCs w:val="24"/>
        </w:rPr>
        <w:t>‘</w:t>
      </w:r>
      <w:r w:rsidR="00CE6160" w:rsidRPr="00514F3B">
        <w:rPr>
          <w:rFonts w:ascii="Times New Roman" w:hAnsi="Times New Roman" w:cs="Times New Roman"/>
          <w:sz w:val="24"/>
          <w:szCs w:val="24"/>
        </w:rPr>
        <w:t>Research Output (RO)</w:t>
      </w:r>
      <w:r w:rsidR="00FF1968">
        <w:rPr>
          <w:rFonts w:ascii="Times New Roman" w:hAnsi="Times New Roman" w:cs="Times New Roman"/>
          <w:sz w:val="24"/>
          <w:szCs w:val="24"/>
        </w:rPr>
        <w:t>’</w:t>
      </w:r>
      <w:r w:rsidR="00CE6160" w:rsidRPr="00514F3B">
        <w:rPr>
          <w:rFonts w:ascii="Times New Roman" w:hAnsi="Times New Roman" w:cs="Times New Roman"/>
          <w:sz w:val="24"/>
          <w:szCs w:val="24"/>
        </w:rPr>
        <w:t xml:space="preserve"> score</w:t>
      </w:r>
      <w:r w:rsidR="005D4D37" w:rsidRPr="00514F3B">
        <w:rPr>
          <w:rFonts w:ascii="Times New Roman" w:hAnsi="Times New Roman" w:cs="Times New Roman"/>
          <w:sz w:val="24"/>
          <w:szCs w:val="24"/>
        </w:rPr>
        <w:t xml:space="preserve">. </w:t>
      </w:r>
      <w:r w:rsidR="005D4D37" w:rsidRPr="00514F3B">
        <w:rPr>
          <w:rStyle w:val="FootnoteReference"/>
          <w:rFonts w:ascii="Times New Roman" w:hAnsi="Times New Roman" w:cs="Times New Roman"/>
          <w:sz w:val="24"/>
          <w:szCs w:val="24"/>
        </w:rPr>
        <w:footnoteReference w:id="5"/>
      </w:r>
      <w:r w:rsidR="00CE6160" w:rsidRPr="00514F3B">
        <w:rPr>
          <w:rFonts w:ascii="Times New Roman" w:hAnsi="Times New Roman" w:cs="Times New Roman"/>
          <w:sz w:val="24"/>
          <w:szCs w:val="24"/>
        </w:rPr>
        <w:t xml:space="preserve">, Determining </w:t>
      </w:r>
      <w:r w:rsidR="00FF1968">
        <w:rPr>
          <w:rFonts w:ascii="Times New Roman" w:hAnsi="Times New Roman" w:cs="Times New Roman"/>
          <w:sz w:val="24"/>
          <w:szCs w:val="24"/>
        </w:rPr>
        <w:t>‘</w:t>
      </w:r>
      <w:r w:rsidR="00CE6160" w:rsidRPr="00514F3B">
        <w:rPr>
          <w:rFonts w:ascii="Times New Roman" w:hAnsi="Times New Roman" w:cs="Times New Roman"/>
          <w:sz w:val="24"/>
          <w:szCs w:val="24"/>
        </w:rPr>
        <w:t>quality</w:t>
      </w:r>
      <w:r w:rsidR="00FF1968">
        <w:rPr>
          <w:rFonts w:ascii="Times New Roman" w:hAnsi="Times New Roman" w:cs="Times New Roman"/>
          <w:sz w:val="24"/>
          <w:szCs w:val="24"/>
        </w:rPr>
        <w:t>’</w:t>
      </w:r>
      <w:r w:rsidR="00CE6160" w:rsidRPr="00514F3B">
        <w:rPr>
          <w:rFonts w:ascii="Times New Roman" w:hAnsi="Times New Roman" w:cs="Times New Roman"/>
          <w:sz w:val="24"/>
          <w:szCs w:val="24"/>
        </w:rPr>
        <w:t xml:space="preserve"> would</w:t>
      </w:r>
      <w:r w:rsidR="004D07CB" w:rsidRPr="00514F3B">
        <w:rPr>
          <w:rFonts w:ascii="Times New Roman" w:hAnsi="Times New Roman" w:cs="Times New Roman"/>
          <w:sz w:val="24"/>
          <w:szCs w:val="24"/>
        </w:rPr>
        <w:t xml:space="preserve"> then</w:t>
      </w:r>
      <w:r w:rsidR="00CE6160" w:rsidRPr="00514F3B">
        <w:rPr>
          <w:rFonts w:ascii="Times New Roman" w:hAnsi="Times New Roman" w:cs="Times New Roman"/>
          <w:sz w:val="24"/>
          <w:szCs w:val="24"/>
        </w:rPr>
        <w:t xml:space="preserve"> normally involve an assessment of the quality per unit of research or </w:t>
      </w:r>
      <w:r w:rsidR="004D07CB" w:rsidRPr="00514F3B">
        <w:rPr>
          <w:rFonts w:ascii="Times New Roman" w:hAnsi="Times New Roman" w:cs="Times New Roman"/>
          <w:sz w:val="24"/>
          <w:szCs w:val="24"/>
        </w:rPr>
        <w:t xml:space="preserve">perhaps a </w:t>
      </w:r>
      <w:r w:rsidR="00CE6160" w:rsidRPr="00514F3B">
        <w:rPr>
          <w:rFonts w:ascii="Times New Roman" w:hAnsi="Times New Roman" w:cs="Times New Roman"/>
          <w:sz w:val="24"/>
          <w:szCs w:val="24"/>
        </w:rPr>
        <w:t>comparison of quality assessed output with a measure of the quantity of research.</w:t>
      </w:r>
      <w:r w:rsidR="004D07CB" w:rsidRPr="00514F3B">
        <w:rPr>
          <w:rFonts w:ascii="Times New Roman" w:hAnsi="Times New Roman" w:cs="Times New Roman"/>
          <w:sz w:val="24"/>
          <w:szCs w:val="24"/>
        </w:rPr>
        <w:t xml:space="preserve"> </w:t>
      </w:r>
    </w:p>
    <w:p w:rsidR="00E56FFC"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56FFC" w:rsidRPr="00514F3B">
        <w:rPr>
          <w:rFonts w:ascii="Times New Roman" w:hAnsi="Times New Roman" w:cs="Times New Roman"/>
          <w:sz w:val="24"/>
          <w:szCs w:val="24"/>
        </w:rPr>
        <w:t xml:space="preserve">Although the objective of the PBRF </w:t>
      </w:r>
      <w:r w:rsidR="002B602D" w:rsidRPr="00514F3B">
        <w:rPr>
          <w:rFonts w:ascii="Times New Roman" w:hAnsi="Times New Roman" w:cs="Times New Roman"/>
          <w:sz w:val="24"/>
          <w:szCs w:val="24"/>
        </w:rPr>
        <w:t>is to</w:t>
      </w:r>
      <w:r w:rsidR="00E56FFC" w:rsidRPr="00514F3B">
        <w:rPr>
          <w:rFonts w:ascii="Times New Roman" w:hAnsi="Times New Roman" w:cs="Times New Roman"/>
          <w:sz w:val="24"/>
          <w:szCs w:val="24"/>
        </w:rPr>
        <w:t xml:space="preserve"> increase the quality of research, relatively little</w:t>
      </w:r>
      <w:r w:rsidR="002B602D" w:rsidRPr="00514F3B">
        <w:rPr>
          <w:rFonts w:ascii="Times New Roman" w:hAnsi="Times New Roman" w:cs="Times New Roman"/>
          <w:sz w:val="24"/>
          <w:szCs w:val="24"/>
        </w:rPr>
        <w:t xml:space="preserve"> evidence is available on the impact of PBRF on quality compared with quantity.</w:t>
      </w:r>
      <w:r w:rsidR="00E56FFC" w:rsidRPr="00514F3B">
        <w:rPr>
          <w:rFonts w:ascii="Times New Roman" w:hAnsi="Times New Roman" w:cs="Times New Roman"/>
          <w:sz w:val="24"/>
          <w:szCs w:val="24"/>
        </w:rPr>
        <w:t xml:space="preserve">   </w:t>
      </w:r>
      <w:r w:rsidR="00D661C0" w:rsidRPr="00514F3B">
        <w:rPr>
          <w:rFonts w:ascii="Times New Roman" w:hAnsi="Times New Roman" w:cs="Times New Roman"/>
          <w:sz w:val="24"/>
          <w:szCs w:val="24"/>
        </w:rPr>
        <w:t xml:space="preserve">The only paper that we are aware of that directly addresses this issue is Hodder and Hodder (2010).  They studied the refereed paper output of three New Zealand business schools over the 2004-2008 </w:t>
      </w:r>
      <w:proofErr w:type="gramStart"/>
      <w:r w:rsidR="00D661C0" w:rsidRPr="00514F3B">
        <w:rPr>
          <w:rFonts w:ascii="Times New Roman" w:hAnsi="Times New Roman" w:cs="Times New Roman"/>
          <w:sz w:val="24"/>
          <w:szCs w:val="24"/>
        </w:rPr>
        <w:t>period</w:t>
      </w:r>
      <w:proofErr w:type="gramEnd"/>
      <w:r w:rsidR="00D661C0" w:rsidRPr="00514F3B">
        <w:rPr>
          <w:rFonts w:ascii="Times New Roman" w:hAnsi="Times New Roman" w:cs="Times New Roman"/>
          <w:sz w:val="24"/>
          <w:szCs w:val="24"/>
        </w:rPr>
        <w:t>.   The journal ranking scheme developed by the Australian Business Dean’s Council</w:t>
      </w:r>
      <w:r w:rsidR="00F05E02" w:rsidRPr="00514F3B">
        <w:rPr>
          <w:rFonts w:ascii="Times New Roman" w:hAnsi="Times New Roman" w:cs="Times New Roman"/>
          <w:sz w:val="24"/>
          <w:szCs w:val="24"/>
        </w:rPr>
        <w:t xml:space="preserve"> (ABDC)</w:t>
      </w:r>
      <w:r w:rsidR="00D661C0" w:rsidRPr="00514F3B">
        <w:rPr>
          <w:rFonts w:ascii="Times New Roman" w:hAnsi="Times New Roman" w:cs="Times New Roman"/>
          <w:sz w:val="24"/>
          <w:szCs w:val="24"/>
        </w:rPr>
        <w:t xml:space="preserve"> was employed to assess quality changes.  They summarize their findings as follows:  </w:t>
      </w:r>
      <w:r w:rsidR="00FF1968">
        <w:rPr>
          <w:rFonts w:ascii="Times New Roman" w:hAnsi="Times New Roman" w:cs="Times New Roman"/>
          <w:sz w:val="24"/>
          <w:szCs w:val="24"/>
        </w:rPr>
        <w:t>‘</w:t>
      </w:r>
      <w:r w:rsidR="00D661C0" w:rsidRPr="00514F3B">
        <w:rPr>
          <w:rFonts w:ascii="Times New Roman" w:hAnsi="Times New Roman" w:cs="Times New Roman"/>
          <w:sz w:val="24"/>
          <w:szCs w:val="24"/>
        </w:rPr>
        <w:t>While there are fluctuations in the proportion of articles in various grades of journals over the 2004- 2008 period, the overall tendency is towards more articles in journals of lower grades, i.e., the quantity of articles appears to be over-riding considerations of the quality of the journal</w:t>
      </w:r>
      <w:r w:rsidR="00FF1968">
        <w:rPr>
          <w:rFonts w:ascii="Times New Roman" w:hAnsi="Times New Roman" w:cs="Times New Roman"/>
          <w:sz w:val="24"/>
          <w:szCs w:val="24"/>
        </w:rPr>
        <w:t>’</w:t>
      </w:r>
      <w:r w:rsidR="00D661C0" w:rsidRPr="00514F3B">
        <w:rPr>
          <w:rFonts w:ascii="Times New Roman" w:hAnsi="Times New Roman" w:cs="Times New Roman"/>
          <w:sz w:val="24"/>
          <w:szCs w:val="24"/>
        </w:rPr>
        <w:t xml:space="preserve"> (p. 900).  Indirect evidence on the quality issue is also </w:t>
      </w:r>
      <w:proofErr w:type="gramStart"/>
      <w:r w:rsidR="00D661C0" w:rsidRPr="00514F3B">
        <w:rPr>
          <w:rFonts w:ascii="Times New Roman" w:hAnsi="Times New Roman" w:cs="Times New Roman"/>
          <w:sz w:val="24"/>
          <w:szCs w:val="24"/>
        </w:rPr>
        <w:t>provided  by</w:t>
      </w:r>
      <w:proofErr w:type="gramEnd"/>
      <w:r w:rsidR="00D661C0" w:rsidRPr="00514F3B">
        <w:rPr>
          <w:rFonts w:ascii="Times New Roman" w:hAnsi="Times New Roman" w:cs="Times New Roman"/>
          <w:sz w:val="24"/>
          <w:szCs w:val="24"/>
        </w:rPr>
        <w:t xml:space="preserve"> two other papers.</w:t>
      </w:r>
      <w:r w:rsidR="00E56FFC" w:rsidRPr="00514F3B">
        <w:rPr>
          <w:rFonts w:ascii="Times New Roman" w:hAnsi="Times New Roman" w:cs="Times New Roman"/>
          <w:sz w:val="24"/>
          <w:szCs w:val="24"/>
        </w:rPr>
        <w:t xml:space="preserve">  </w:t>
      </w:r>
      <w:r w:rsidR="00D661C0" w:rsidRPr="00514F3B">
        <w:rPr>
          <w:rFonts w:ascii="Times New Roman" w:hAnsi="Times New Roman" w:cs="Times New Roman"/>
          <w:sz w:val="24"/>
          <w:szCs w:val="24"/>
        </w:rPr>
        <w:t>Gibson, Tressler and Anderson (2008)</w:t>
      </w:r>
      <w:r w:rsidR="002B602D" w:rsidRPr="00514F3B">
        <w:rPr>
          <w:rFonts w:ascii="Times New Roman" w:hAnsi="Times New Roman" w:cs="Times New Roman"/>
          <w:sz w:val="24"/>
          <w:szCs w:val="24"/>
        </w:rPr>
        <w:t xml:space="preserve"> use</w:t>
      </w:r>
      <w:r w:rsidR="00D661C0" w:rsidRPr="00514F3B">
        <w:rPr>
          <w:rFonts w:ascii="Times New Roman" w:hAnsi="Times New Roman" w:cs="Times New Roman"/>
          <w:sz w:val="24"/>
          <w:szCs w:val="24"/>
        </w:rPr>
        <w:t xml:space="preserve"> an academic labour market econometric model to </w:t>
      </w:r>
      <w:r w:rsidR="00E56FFC" w:rsidRPr="00514F3B">
        <w:rPr>
          <w:rFonts w:ascii="Times New Roman" w:hAnsi="Times New Roman" w:cs="Times New Roman"/>
          <w:sz w:val="24"/>
          <w:szCs w:val="24"/>
        </w:rPr>
        <w:t>show that the returns to quality declined and those to quantity increased in academic labour markets for economists following the introduction of PBRF up to the end of 2006.  However the longer term results are open to question given the limited timeframe considered.</w:t>
      </w:r>
      <w:r w:rsidR="001C2097" w:rsidRPr="00514F3B">
        <w:rPr>
          <w:rStyle w:val="FootnoteReference"/>
          <w:rFonts w:ascii="Times New Roman" w:hAnsi="Times New Roman" w:cs="Times New Roman"/>
          <w:sz w:val="24"/>
          <w:szCs w:val="24"/>
        </w:rPr>
        <w:footnoteReference w:id="6"/>
      </w:r>
      <w:r w:rsidR="00D661C0" w:rsidRPr="00514F3B">
        <w:rPr>
          <w:rFonts w:ascii="Times New Roman" w:hAnsi="Times New Roman" w:cs="Times New Roman"/>
          <w:sz w:val="24"/>
          <w:szCs w:val="24"/>
        </w:rPr>
        <w:t xml:space="preserve">   </w:t>
      </w:r>
      <w:r w:rsidR="005A7916" w:rsidRPr="00514F3B">
        <w:rPr>
          <w:rFonts w:ascii="Times New Roman" w:hAnsi="Times New Roman" w:cs="Times New Roman"/>
          <w:sz w:val="24"/>
          <w:szCs w:val="24"/>
        </w:rPr>
        <w:t>In Anderson, Smart and Tressler (201</w:t>
      </w:r>
      <w:r w:rsidR="0077218B" w:rsidRPr="00514F3B">
        <w:rPr>
          <w:rFonts w:ascii="Times New Roman" w:hAnsi="Times New Roman" w:cs="Times New Roman"/>
          <w:sz w:val="24"/>
          <w:szCs w:val="24"/>
        </w:rPr>
        <w:t>3</w:t>
      </w:r>
      <w:r w:rsidR="005A7916" w:rsidRPr="00514F3B">
        <w:rPr>
          <w:rFonts w:ascii="Times New Roman" w:hAnsi="Times New Roman" w:cs="Times New Roman"/>
          <w:sz w:val="24"/>
          <w:szCs w:val="24"/>
        </w:rPr>
        <w:t xml:space="preserve">) PBRF research output scores for individuals in Economics for the 2006 round are compared with research output measures using a variety of internationally recognised journal weighting schemes.  This work indicates that PBRF assessments reflect only a moderate weight on quality and are not consistent with </w:t>
      </w:r>
      <w:r w:rsidR="00FF1968">
        <w:rPr>
          <w:rFonts w:ascii="Times New Roman" w:hAnsi="Times New Roman" w:cs="Times New Roman"/>
          <w:sz w:val="24"/>
          <w:szCs w:val="24"/>
        </w:rPr>
        <w:t>‘</w:t>
      </w:r>
      <w:r w:rsidR="005A7916" w:rsidRPr="00514F3B">
        <w:rPr>
          <w:rFonts w:ascii="Times New Roman" w:hAnsi="Times New Roman" w:cs="Times New Roman"/>
          <w:sz w:val="24"/>
          <w:szCs w:val="24"/>
        </w:rPr>
        <w:t>aggressive or high-powered</w:t>
      </w:r>
      <w:r w:rsidR="00FF1968">
        <w:rPr>
          <w:rFonts w:ascii="Times New Roman" w:hAnsi="Times New Roman" w:cs="Times New Roman"/>
          <w:sz w:val="24"/>
          <w:szCs w:val="24"/>
        </w:rPr>
        <w:t>’</w:t>
      </w:r>
      <w:r w:rsidR="005A7916" w:rsidRPr="00514F3B">
        <w:rPr>
          <w:rFonts w:ascii="Times New Roman" w:hAnsi="Times New Roman" w:cs="Times New Roman"/>
          <w:sz w:val="24"/>
          <w:szCs w:val="24"/>
        </w:rPr>
        <w:t xml:space="preserve"> quality weighting schemes.</w:t>
      </w:r>
    </w:p>
    <w:p w:rsidR="003C5E88" w:rsidRPr="00514F3B" w:rsidRDefault="008E4CC0"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5A7916" w:rsidRPr="00514F3B">
        <w:rPr>
          <w:rFonts w:ascii="Times New Roman" w:hAnsi="Times New Roman" w:cs="Times New Roman"/>
          <w:sz w:val="24"/>
          <w:szCs w:val="24"/>
        </w:rPr>
        <w:t>In this paper a detailed dataset covering the research output of academic economists between 1994 and 2012 is used to directly address the quality versus quantity question.   To measure research we use a wide variety of alternative measures of output commonly used in the international literature on research evaluation.   This enables us to consider both the quantity of measured research and its assessed quality per publication.</w:t>
      </w:r>
      <w:r w:rsidR="00341B3B" w:rsidRPr="00514F3B">
        <w:rPr>
          <w:rFonts w:ascii="Times New Roman" w:hAnsi="Times New Roman" w:cs="Times New Roman"/>
          <w:sz w:val="24"/>
          <w:szCs w:val="24"/>
        </w:rPr>
        <w:t xml:space="preserve">  </w:t>
      </w:r>
      <w:r w:rsidR="005E0C27" w:rsidRPr="00514F3B">
        <w:rPr>
          <w:rFonts w:ascii="Times New Roman" w:hAnsi="Times New Roman" w:cs="Times New Roman"/>
          <w:sz w:val="24"/>
          <w:szCs w:val="24"/>
        </w:rPr>
        <w:t xml:space="preserve">In </w:t>
      </w:r>
      <w:r w:rsidR="00DB6D9C" w:rsidRPr="00514F3B">
        <w:rPr>
          <w:rFonts w:ascii="Times New Roman" w:hAnsi="Times New Roman" w:cs="Times New Roman"/>
          <w:sz w:val="24"/>
          <w:szCs w:val="24"/>
        </w:rPr>
        <w:t xml:space="preserve">contrast to the above noted studies, we </w:t>
      </w:r>
      <w:r w:rsidR="002639D0" w:rsidRPr="00514F3B">
        <w:rPr>
          <w:rFonts w:ascii="Times New Roman" w:hAnsi="Times New Roman" w:cs="Times New Roman"/>
          <w:sz w:val="24"/>
          <w:szCs w:val="24"/>
        </w:rPr>
        <w:t xml:space="preserve">have access to publications over two PBRF rounds (2006 and 2012), </w:t>
      </w:r>
      <w:r w:rsidR="005E0C27" w:rsidRPr="00514F3B">
        <w:rPr>
          <w:rFonts w:ascii="Times New Roman" w:hAnsi="Times New Roman" w:cs="Times New Roman"/>
          <w:sz w:val="24"/>
          <w:szCs w:val="24"/>
        </w:rPr>
        <w:t>and we employ a much broader range of altern</w:t>
      </w:r>
      <w:r w:rsidR="00CC440B" w:rsidRPr="00514F3B">
        <w:rPr>
          <w:rFonts w:ascii="Times New Roman" w:hAnsi="Times New Roman" w:cs="Times New Roman"/>
          <w:sz w:val="24"/>
          <w:szCs w:val="24"/>
        </w:rPr>
        <w:t>ative output measure</w:t>
      </w:r>
      <w:r w:rsidR="00DB6D9C" w:rsidRPr="00514F3B">
        <w:rPr>
          <w:rFonts w:ascii="Times New Roman" w:hAnsi="Times New Roman" w:cs="Times New Roman"/>
          <w:sz w:val="24"/>
          <w:szCs w:val="24"/>
        </w:rPr>
        <w:t xml:space="preserve">s </w:t>
      </w:r>
      <w:r w:rsidR="00CC440B" w:rsidRPr="00514F3B">
        <w:rPr>
          <w:rFonts w:ascii="Times New Roman" w:hAnsi="Times New Roman" w:cs="Times New Roman"/>
          <w:sz w:val="24"/>
          <w:szCs w:val="24"/>
        </w:rPr>
        <w:t>allowing us to address the quality/quantity</w:t>
      </w:r>
      <w:r w:rsidR="00A61E43" w:rsidRPr="00514F3B">
        <w:rPr>
          <w:rFonts w:ascii="Times New Roman" w:hAnsi="Times New Roman" w:cs="Times New Roman"/>
          <w:sz w:val="24"/>
          <w:szCs w:val="24"/>
        </w:rPr>
        <w:t>/productivity</w:t>
      </w:r>
      <w:r w:rsidR="00CC440B" w:rsidRPr="00514F3B">
        <w:rPr>
          <w:rFonts w:ascii="Times New Roman" w:hAnsi="Times New Roman" w:cs="Times New Roman"/>
          <w:sz w:val="24"/>
          <w:szCs w:val="24"/>
        </w:rPr>
        <w:t xml:space="preserve"> question in greater depth</w:t>
      </w:r>
      <w:r w:rsidR="005E3933" w:rsidRPr="00514F3B">
        <w:rPr>
          <w:rFonts w:ascii="Times New Roman" w:hAnsi="Times New Roman" w:cs="Times New Roman"/>
          <w:sz w:val="24"/>
          <w:szCs w:val="24"/>
        </w:rPr>
        <w:t xml:space="preserve">.  </w:t>
      </w:r>
      <w:r w:rsidR="00977744" w:rsidRPr="00514F3B">
        <w:rPr>
          <w:rFonts w:ascii="Times New Roman" w:hAnsi="Times New Roman" w:cs="Times New Roman"/>
          <w:sz w:val="24"/>
          <w:szCs w:val="24"/>
        </w:rPr>
        <w:t xml:space="preserve">At this point we must </w:t>
      </w:r>
      <w:r w:rsidR="005E3933" w:rsidRPr="00514F3B">
        <w:rPr>
          <w:rFonts w:ascii="Times New Roman" w:hAnsi="Times New Roman" w:cs="Times New Roman"/>
          <w:sz w:val="24"/>
          <w:szCs w:val="24"/>
        </w:rPr>
        <w:t>stress</w:t>
      </w:r>
      <w:r w:rsidR="00977744" w:rsidRPr="00514F3B">
        <w:rPr>
          <w:rFonts w:ascii="Times New Roman" w:hAnsi="Times New Roman" w:cs="Times New Roman"/>
          <w:sz w:val="24"/>
          <w:szCs w:val="24"/>
        </w:rPr>
        <w:t xml:space="preserve"> that we have restricted</w:t>
      </w:r>
      <w:r w:rsidR="005451D0" w:rsidRPr="00514F3B">
        <w:rPr>
          <w:rFonts w:ascii="Times New Roman" w:hAnsi="Times New Roman" w:cs="Times New Roman"/>
          <w:sz w:val="24"/>
          <w:szCs w:val="24"/>
        </w:rPr>
        <w:t xml:space="preserve"> our analysis to one component of research; that is, we have ignored conference papers, books, chapters in books and working papers.  However, the refereed article is widely employed in the economics literature as the primary measure of research success,</w:t>
      </w:r>
      <w:r w:rsidR="005451D0" w:rsidRPr="00514F3B">
        <w:rPr>
          <w:rStyle w:val="FootnoteReference"/>
          <w:rFonts w:ascii="Times New Roman" w:hAnsi="Times New Roman" w:cs="Times New Roman"/>
          <w:sz w:val="24"/>
          <w:szCs w:val="24"/>
        </w:rPr>
        <w:footnoteReference w:id="7"/>
      </w:r>
      <w:r w:rsidR="005451D0" w:rsidRPr="00514F3B">
        <w:rPr>
          <w:rFonts w:ascii="Times New Roman" w:hAnsi="Times New Roman" w:cs="Times New Roman"/>
          <w:sz w:val="24"/>
          <w:szCs w:val="24"/>
        </w:rPr>
        <w:t xml:space="preserve"> and it is widely perceived that the PBRF economics evaluation panel operates in a manner consistent with this view.  </w:t>
      </w:r>
      <w:r w:rsidR="00244084" w:rsidRPr="00514F3B">
        <w:rPr>
          <w:rFonts w:ascii="Times New Roman" w:hAnsi="Times New Roman" w:cs="Times New Roman"/>
          <w:sz w:val="24"/>
          <w:szCs w:val="24"/>
        </w:rPr>
        <w:t xml:space="preserve">Fortunately, we have access to both quantity and quality data with respect to refereed articles; therefore, we </w:t>
      </w:r>
      <w:r w:rsidR="000C48FE" w:rsidRPr="00514F3B">
        <w:rPr>
          <w:rFonts w:ascii="Times New Roman" w:hAnsi="Times New Roman" w:cs="Times New Roman"/>
          <w:sz w:val="24"/>
          <w:szCs w:val="24"/>
        </w:rPr>
        <w:t xml:space="preserve">are able to </w:t>
      </w:r>
      <w:r w:rsidR="00244084" w:rsidRPr="00514F3B">
        <w:rPr>
          <w:rFonts w:ascii="Times New Roman" w:hAnsi="Times New Roman" w:cs="Times New Roman"/>
          <w:sz w:val="24"/>
          <w:szCs w:val="24"/>
        </w:rPr>
        <w:t xml:space="preserve">generate estimates of productivity changes over the assessment period, and we can further disaggregate the results to reveal the role played by each variable. </w:t>
      </w:r>
      <w:r w:rsidR="00F05E02" w:rsidRPr="00514F3B">
        <w:rPr>
          <w:rFonts w:ascii="Times New Roman" w:hAnsi="Times New Roman" w:cs="Times New Roman"/>
          <w:sz w:val="24"/>
          <w:szCs w:val="24"/>
        </w:rPr>
        <w:t xml:space="preserve"> For quantity estimates, we have defined economics-relevant articles to be those contained in the approximately 1300 journals listed in </w:t>
      </w:r>
      <w:r w:rsidR="00F05E02" w:rsidRPr="00514F3B">
        <w:rPr>
          <w:rFonts w:ascii="Times New Roman" w:hAnsi="Times New Roman" w:cs="Times New Roman"/>
          <w:i/>
          <w:sz w:val="24"/>
          <w:szCs w:val="24"/>
        </w:rPr>
        <w:t>EconLit</w:t>
      </w:r>
      <w:r w:rsidR="00F05E02" w:rsidRPr="00514F3B">
        <w:rPr>
          <w:rFonts w:ascii="Times New Roman" w:hAnsi="Times New Roman" w:cs="Times New Roman"/>
          <w:sz w:val="24"/>
          <w:szCs w:val="24"/>
        </w:rPr>
        <w:t xml:space="preserve"> as at 17 July 2012.</w:t>
      </w:r>
    </w:p>
    <w:p w:rsidR="00025BF1"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D275C1" w:rsidRPr="00514F3B">
        <w:rPr>
          <w:rFonts w:ascii="Times New Roman" w:hAnsi="Times New Roman" w:cs="Times New Roman"/>
          <w:sz w:val="24"/>
          <w:szCs w:val="24"/>
        </w:rPr>
        <w:t xml:space="preserve">Selecting a proxy for article quality is more difficult.  </w:t>
      </w:r>
      <w:r w:rsidR="00D81041" w:rsidRPr="00514F3B">
        <w:rPr>
          <w:rFonts w:ascii="Times New Roman" w:hAnsi="Times New Roman" w:cs="Times New Roman"/>
          <w:sz w:val="24"/>
          <w:szCs w:val="24"/>
        </w:rPr>
        <w:t xml:space="preserve">The economics literature abounds with journal ranking schemes, generally based on either adjusted or unadjusted citation counts.  </w:t>
      </w:r>
      <w:r w:rsidR="00D275C1" w:rsidRPr="00514F3B">
        <w:rPr>
          <w:rFonts w:ascii="Times New Roman" w:hAnsi="Times New Roman" w:cs="Times New Roman"/>
          <w:sz w:val="24"/>
          <w:szCs w:val="24"/>
        </w:rPr>
        <w:t xml:space="preserve">The rationale for using such journal </w:t>
      </w:r>
      <w:r w:rsidR="00D81041" w:rsidRPr="00514F3B">
        <w:rPr>
          <w:rFonts w:ascii="Times New Roman" w:hAnsi="Times New Roman" w:cs="Times New Roman"/>
          <w:sz w:val="24"/>
          <w:szCs w:val="24"/>
        </w:rPr>
        <w:t xml:space="preserve">weighting schemes </w:t>
      </w:r>
      <w:r w:rsidR="00D275C1" w:rsidRPr="00514F3B">
        <w:rPr>
          <w:rFonts w:ascii="Times New Roman" w:hAnsi="Times New Roman" w:cs="Times New Roman"/>
          <w:sz w:val="24"/>
          <w:szCs w:val="24"/>
        </w:rPr>
        <w:t xml:space="preserve">(JWS) </w:t>
      </w:r>
      <w:r w:rsidR="00D81041" w:rsidRPr="00514F3B">
        <w:rPr>
          <w:rFonts w:ascii="Times New Roman" w:hAnsi="Times New Roman" w:cs="Times New Roman"/>
          <w:sz w:val="24"/>
          <w:szCs w:val="24"/>
        </w:rPr>
        <w:t xml:space="preserve">as a </w:t>
      </w:r>
      <w:r w:rsidR="00D275C1" w:rsidRPr="00514F3B">
        <w:rPr>
          <w:rFonts w:ascii="Times New Roman" w:hAnsi="Times New Roman" w:cs="Times New Roman"/>
          <w:sz w:val="24"/>
          <w:szCs w:val="24"/>
        </w:rPr>
        <w:t xml:space="preserve">surrogate </w:t>
      </w:r>
      <w:r w:rsidR="00D81041" w:rsidRPr="00514F3B">
        <w:rPr>
          <w:rFonts w:ascii="Times New Roman" w:hAnsi="Times New Roman" w:cs="Times New Roman"/>
          <w:sz w:val="24"/>
          <w:szCs w:val="24"/>
        </w:rPr>
        <w:t>for</w:t>
      </w:r>
      <w:r w:rsidR="00D275C1" w:rsidRPr="00514F3B">
        <w:rPr>
          <w:rFonts w:ascii="Times New Roman" w:hAnsi="Times New Roman" w:cs="Times New Roman"/>
          <w:sz w:val="24"/>
          <w:szCs w:val="24"/>
        </w:rPr>
        <w:t xml:space="preserve"> article</w:t>
      </w:r>
      <w:r w:rsidR="00D81041" w:rsidRPr="00514F3B">
        <w:rPr>
          <w:rFonts w:ascii="Times New Roman" w:hAnsi="Times New Roman" w:cs="Times New Roman"/>
          <w:sz w:val="24"/>
          <w:szCs w:val="24"/>
        </w:rPr>
        <w:t xml:space="preserve"> quality </w:t>
      </w:r>
      <w:r w:rsidR="00D275C1" w:rsidRPr="00514F3B">
        <w:rPr>
          <w:rFonts w:ascii="Times New Roman" w:hAnsi="Times New Roman" w:cs="Times New Roman"/>
          <w:sz w:val="24"/>
          <w:szCs w:val="24"/>
        </w:rPr>
        <w:t xml:space="preserve">is the </w:t>
      </w:r>
      <w:r w:rsidR="00D81041" w:rsidRPr="00514F3B">
        <w:rPr>
          <w:rFonts w:ascii="Times New Roman" w:hAnsi="Times New Roman" w:cs="Times New Roman"/>
          <w:sz w:val="24"/>
          <w:szCs w:val="24"/>
        </w:rPr>
        <w:t xml:space="preserve">widespread view that citations are the best available measure </w:t>
      </w:r>
      <w:r w:rsidR="00D275C1" w:rsidRPr="00514F3B">
        <w:rPr>
          <w:rFonts w:ascii="Times New Roman" w:hAnsi="Times New Roman" w:cs="Times New Roman"/>
          <w:sz w:val="24"/>
          <w:szCs w:val="24"/>
        </w:rPr>
        <w:t>f</w:t>
      </w:r>
      <w:r w:rsidR="00D81041" w:rsidRPr="00514F3B">
        <w:rPr>
          <w:rFonts w:ascii="Times New Roman" w:hAnsi="Times New Roman" w:cs="Times New Roman"/>
          <w:sz w:val="24"/>
          <w:szCs w:val="24"/>
        </w:rPr>
        <w:t>or</w:t>
      </w:r>
      <w:r w:rsidR="00F542D8" w:rsidRPr="00514F3B">
        <w:rPr>
          <w:rFonts w:ascii="Times New Roman" w:hAnsi="Times New Roman" w:cs="Times New Roman"/>
          <w:sz w:val="24"/>
          <w:szCs w:val="24"/>
        </w:rPr>
        <w:t xml:space="preserve"> assessing </w:t>
      </w:r>
      <w:r w:rsidR="00D81041" w:rsidRPr="00514F3B">
        <w:rPr>
          <w:rFonts w:ascii="Times New Roman" w:hAnsi="Times New Roman" w:cs="Times New Roman"/>
          <w:sz w:val="24"/>
          <w:szCs w:val="24"/>
        </w:rPr>
        <w:t>an article</w:t>
      </w:r>
      <w:r w:rsidR="00F542D8" w:rsidRPr="00514F3B">
        <w:rPr>
          <w:rFonts w:ascii="Times New Roman" w:hAnsi="Times New Roman" w:cs="Times New Roman"/>
          <w:sz w:val="24"/>
          <w:szCs w:val="24"/>
        </w:rPr>
        <w:t>’</w:t>
      </w:r>
      <w:r w:rsidR="00D81041" w:rsidRPr="00514F3B">
        <w:rPr>
          <w:rFonts w:ascii="Times New Roman" w:hAnsi="Times New Roman" w:cs="Times New Roman"/>
          <w:sz w:val="24"/>
          <w:szCs w:val="24"/>
        </w:rPr>
        <w:t>s impact</w:t>
      </w:r>
      <w:r w:rsidR="00B537A1" w:rsidRPr="00514F3B">
        <w:rPr>
          <w:rFonts w:ascii="Times New Roman" w:hAnsi="Times New Roman" w:cs="Times New Roman"/>
          <w:sz w:val="24"/>
          <w:szCs w:val="24"/>
        </w:rPr>
        <w:t xml:space="preserve">. </w:t>
      </w:r>
      <w:r w:rsidR="00D81041" w:rsidRPr="00514F3B">
        <w:rPr>
          <w:rFonts w:ascii="Times New Roman" w:hAnsi="Times New Roman" w:cs="Times New Roman"/>
          <w:sz w:val="24"/>
          <w:szCs w:val="24"/>
        </w:rPr>
        <w:t xml:space="preserve"> Although </w:t>
      </w:r>
      <w:r w:rsidR="00AB5CD6" w:rsidRPr="00514F3B">
        <w:rPr>
          <w:rFonts w:ascii="Times New Roman" w:hAnsi="Times New Roman" w:cs="Times New Roman"/>
          <w:sz w:val="24"/>
          <w:szCs w:val="24"/>
        </w:rPr>
        <w:t xml:space="preserve">problematic, </w:t>
      </w:r>
      <w:r w:rsidR="00D81041" w:rsidRPr="00514F3B">
        <w:rPr>
          <w:rFonts w:ascii="Times New Roman" w:hAnsi="Times New Roman" w:cs="Times New Roman"/>
          <w:sz w:val="24"/>
          <w:szCs w:val="24"/>
        </w:rPr>
        <w:t xml:space="preserve">we make the </w:t>
      </w:r>
      <w:r w:rsidR="000C48FE" w:rsidRPr="00514F3B">
        <w:rPr>
          <w:rFonts w:ascii="Times New Roman" w:hAnsi="Times New Roman" w:cs="Times New Roman"/>
          <w:sz w:val="24"/>
          <w:szCs w:val="24"/>
        </w:rPr>
        <w:t xml:space="preserve">normal </w:t>
      </w:r>
      <w:r w:rsidR="00D81041" w:rsidRPr="00514F3B">
        <w:rPr>
          <w:rFonts w:ascii="Times New Roman" w:hAnsi="Times New Roman" w:cs="Times New Roman"/>
          <w:sz w:val="24"/>
          <w:szCs w:val="24"/>
        </w:rPr>
        <w:t>leap of faith</w:t>
      </w:r>
      <w:r w:rsidR="000C48FE" w:rsidRPr="00514F3B">
        <w:rPr>
          <w:rFonts w:ascii="Times New Roman" w:hAnsi="Times New Roman" w:cs="Times New Roman"/>
          <w:sz w:val="24"/>
          <w:szCs w:val="24"/>
        </w:rPr>
        <w:t xml:space="preserve">, </w:t>
      </w:r>
      <w:r w:rsidR="00D81041" w:rsidRPr="00514F3B">
        <w:rPr>
          <w:rFonts w:ascii="Times New Roman" w:hAnsi="Times New Roman" w:cs="Times New Roman"/>
          <w:sz w:val="24"/>
          <w:szCs w:val="24"/>
        </w:rPr>
        <w:t>and equate impact with quality.</w:t>
      </w:r>
      <w:r w:rsidR="00042ED7" w:rsidRPr="00514F3B">
        <w:rPr>
          <w:rStyle w:val="FootnoteReference"/>
          <w:rFonts w:ascii="Times New Roman" w:hAnsi="Times New Roman" w:cs="Times New Roman"/>
          <w:sz w:val="24"/>
          <w:szCs w:val="24"/>
        </w:rPr>
        <w:footnoteReference w:id="8"/>
      </w:r>
      <w:r w:rsidR="00D81041" w:rsidRPr="00514F3B">
        <w:rPr>
          <w:rFonts w:ascii="Times New Roman" w:hAnsi="Times New Roman" w:cs="Times New Roman"/>
          <w:sz w:val="24"/>
          <w:szCs w:val="24"/>
        </w:rPr>
        <w:t xml:space="preserve">  However, </w:t>
      </w:r>
      <w:r w:rsidR="00F542D8" w:rsidRPr="00514F3B">
        <w:rPr>
          <w:rFonts w:ascii="Times New Roman" w:hAnsi="Times New Roman" w:cs="Times New Roman"/>
          <w:sz w:val="24"/>
          <w:szCs w:val="24"/>
        </w:rPr>
        <w:t xml:space="preserve">the JWS selection process is complicated by the fact that there are </w:t>
      </w:r>
      <w:r w:rsidR="00D81041" w:rsidRPr="00514F3B">
        <w:rPr>
          <w:rFonts w:ascii="Times New Roman" w:hAnsi="Times New Roman" w:cs="Times New Roman"/>
          <w:sz w:val="24"/>
          <w:szCs w:val="24"/>
        </w:rPr>
        <w:t>numerous journal weighting/ranking schemes</w:t>
      </w:r>
      <w:r w:rsidR="00F542D8" w:rsidRPr="00514F3B">
        <w:rPr>
          <w:rFonts w:ascii="Times New Roman" w:hAnsi="Times New Roman" w:cs="Times New Roman"/>
          <w:sz w:val="24"/>
          <w:szCs w:val="24"/>
        </w:rPr>
        <w:t>, and most</w:t>
      </w:r>
      <w:r w:rsidR="00D81041" w:rsidRPr="00514F3B">
        <w:rPr>
          <w:rFonts w:ascii="Times New Roman" w:hAnsi="Times New Roman" w:cs="Times New Roman"/>
          <w:sz w:val="24"/>
          <w:szCs w:val="24"/>
        </w:rPr>
        <w:t xml:space="preserve"> </w:t>
      </w:r>
      <w:r w:rsidR="00F542D8" w:rsidRPr="00514F3B">
        <w:rPr>
          <w:rFonts w:ascii="Times New Roman" w:hAnsi="Times New Roman" w:cs="Times New Roman"/>
          <w:sz w:val="24"/>
          <w:szCs w:val="24"/>
        </w:rPr>
        <w:t>differ in several important ways</w:t>
      </w:r>
      <w:r w:rsidR="00E407DD" w:rsidRPr="00514F3B">
        <w:rPr>
          <w:rFonts w:ascii="Times New Roman" w:hAnsi="Times New Roman" w:cs="Times New Roman"/>
          <w:sz w:val="24"/>
          <w:szCs w:val="24"/>
        </w:rPr>
        <w:t>.  For example, decisions must be made with respect to:  treatment of citations from multi-authored papers;  treatment of self- citations (accept or reject); selection of a</w:t>
      </w:r>
      <w:r w:rsidR="005C26D3" w:rsidRPr="00514F3B">
        <w:rPr>
          <w:rFonts w:ascii="Times New Roman" w:hAnsi="Times New Roman" w:cs="Times New Roman"/>
          <w:sz w:val="24"/>
          <w:szCs w:val="24"/>
        </w:rPr>
        <w:t>n appropriate</w:t>
      </w:r>
      <w:r w:rsidR="00E407DD" w:rsidRPr="00514F3B">
        <w:rPr>
          <w:rFonts w:ascii="Times New Roman" w:hAnsi="Times New Roman" w:cs="Times New Roman"/>
          <w:sz w:val="24"/>
          <w:szCs w:val="24"/>
        </w:rPr>
        <w:t xml:space="preserve"> citation database;  determination of an appropriate time period for the collection of cites;  the selection of</w:t>
      </w:r>
      <w:r w:rsidR="005C26D3" w:rsidRPr="00514F3B">
        <w:rPr>
          <w:rFonts w:ascii="Times New Roman" w:hAnsi="Times New Roman" w:cs="Times New Roman"/>
          <w:sz w:val="24"/>
          <w:szCs w:val="24"/>
        </w:rPr>
        <w:t xml:space="preserve"> the type and range of </w:t>
      </w:r>
      <w:r w:rsidR="00965E2C" w:rsidRPr="00514F3B">
        <w:rPr>
          <w:rFonts w:ascii="Times New Roman" w:hAnsi="Times New Roman" w:cs="Times New Roman"/>
          <w:sz w:val="24"/>
          <w:szCs w:val="24"/>
        </w:rPr>
        <w:t xml:space="preserve">journals eligible to send and receive citations; </w:t>
      </w:r>
      <w:r w:rsidR="00D81041" w:rsidRPr="00514F3B">
        <w:rPr>
          <w:rFonts w:ascii="Times New Roman" w:hAnsi="Times New Roman" w:cs="Times New Roman"/>
          <w:sz w:val="24"/>
          <w:szCs w:val="24"/>
        </w:rPr>
        <w:t xml:space="preserve">and </w:t>
      </w:r>
      <w:r w:rsidR="00965E2C" w:rsidRPr="00514F3B">
        <w:rPr>
          <w:rFonts w:ascii="Times New Roman" w:hAnsi="Times New Roman" w:cs="Times New Roman"/>
          <w:sz w:val="24"/>
          <w:szCs w:val="24"/>
        </w:rPr>
        <w:t>acceptance or rejection of the premise that all cites are of equal value</w:t>
      </w:r>
      <w:r w:rsidR="001B6B0D" w:rsidRPr="00514F3B">
        <w:rPr>
          <w:rFonts w:ascii="Times New Roman" w:hAnsi="Times New Roman" w:cs="Times New Roman"/>
          <w:sz w:val="24"/>
          <w:szCs w:val="24"/>
        </w:rPr>
        <w:t>;</w:t>
      </w:r>
      <w:r w:rsidR="00965E2C" w:rsidRPr="00514F3B">
        <w:rPr>
          <w:rFonts w:ascii="Times New Roman" w:hAnsi="Times New Roman" w:cs="Times New Roman"/>
          <w:sz w:val="24"/>
          <w:szCs w:val="24"/>
        </w:rPr>
        <w:t xml:space="preserve"> and, if </w:t>
      </w:r>
      <w:r w:rsidR="00F87713" w:rsidRPr="00514F3B">
        <w:rPr>
          <w:rFonts w:ascii="Times New Roman" w:hAnsi="Times New Roman" w:cs="Times New Roman"/>
          <w:sz w:val="24"/>
          <w:szCs w:val="24"/>
        </w:rPr>
        <w:t xml:space="preserve">they are not judged to be equal, </w:t>
      </w:r>
      <w:r w:rsidR="00965E2C" w:rsidRPr="00514F3B">
        <w:rPr>
          <w:rFonts w:ascii="Times New Roman" w:hAnsi="Times New Roman" w:cs="Times New Roman"/>
          <w:sz w:val="24"/>
          <w:szCs w:val="24"/>
        </w:rPr>
        <w:t>how should cites be adjusted</w:t>
      </w:r>
      <w:r w:rsidR="00F87713" w:rsidRPr="00514F3B">
        <w:rPr>
          <w:rFonts w:ascii="Times New Roman" w:hAnsi="Times New Roman" w:cs="Times New Roman"/>
          <w:sz w:val="24"/>
          <w:szCs w:val="24"/>
        </w:rPr>
        <w:t xml:space="preserve">.  </w:t>
      </w:r>
      <w:r w:rsidR="00B96D22" w:rsidRPr="00514F3B">
        <w:rPr>
          <w:rFonts w:ascii="Times New Roman" w:hAnsi="Times New Roman" w:cs="Times New Roman"/>
          <w:sz w:val="24"/>
          <w:szCs w:val="24"/>
        </w:rPr>
        <w:t xml:space="preserve">One can also </w:t>
      </w:r>
      <w:r w:rsidR="00965E2C" w:rsidRPr="00514F3B">
        <w:rPr>
          <w:rFonts w:ascii="Times New Roman" w:hAnsi="Times New Roman" w:cs="Times New Roman"/>
          <w:sz w:val="24"/>
          <w:szCs w:val="24"/>
        </w:rPr>
        <w:t xml:space="preserve">utilize </w:t>
      </w:r>
      <w:r w:rsidR="00B96D22" w:rsidRPr="00514F3B">
        <w:rPr>
          <w:rFonts w:ascii="Times New Roman" w:hAnsi="Times New Roman" w:cs="Times New Roman"/>
          <w:sz w:val="24"/>
          <w:szCs w:val="24"/>
        </w:rPr>
        <w:t xml:space="preserve">journal based weighting schemes </w:t>
      </w:r>
      <w:r w:rsidR="00965E2C" w:rsidRPr="00514F3B">
        <w:rPr>
          <w:rFonts w:ascii="Times New Roman" w:hAnsi="Times New Roman" w:cs="Times New Roman"/>
          <w:sz w:val="24"/>
          <w:szCs w:val="24"/>
        </w:rPr>
        <w:t xml:space="preserve">that are </w:t>
      </w:r>
      <w:r w:rsidR="00B96D22" w:rsidRPr="00514F3B">
        <w:rPr>
          <w:rFonts w:ascii="Times New Roman" w:hAnsi="Times New Roman" w:cs="Times New Roman"/>
          <w:sz w:val="24"/>
          <w:szCs w:val="24"/>
        </w:rPr>
        <w:t>based on perception</w:t>
      </w:r>
      <w:r w:rsidR="00965E2C" w:rsidRPr="00514F3B">
        <w:rPr>
          <w:rFonts w:ascii="Times New Roman" w:hAnsi="Times New Roman" w:cs="Times New Roman"/>
          <w:sz w:val="24"/>
          <w:szCs w:val="24"/>
        </w:rPr>
        <w:t>s of experts</w:t>
      </w:r>
      <w:r w:rsidR="00B96D22" w:rsidRPr="00514F3B">
        <w:rPr>
          <w:rFonts w:ascii="Times New Roman" w:hAnsi="Times New Roman" w:cs="Times New Roman"/>
          <w:sz w:val="24"/>
          <w:szCs w:val="24"/>
        </w:rPr>
        <w:t xml:space="preserve">.  As above, </w:t>
      </w:r>
      <w:r w:rsidR="00965E2C" w:rsidRPr="00514F3B">
        <w:rPr>
          <w:rFonts w:ascii="Times New Roman" w:hAnsi="Times New Roman" w:cs="Times New Roman"/>
          <w:sz w:val="24"/>
          <w:szCs w:val="24"/>
        </w:rPr>
        <w:t xml:space="preserve">perception </w:t>
      </w:r>
      <w:r w:rsidR="00B96D22" w:rsidRPr="00514F3B">
        <w:rPr>
          <w:rFonts w:ascii="Times New Roman" w:hAnsi="Times New Roman" w:cs="Times New Roman"/>
          <w:sz w:val="24"/>
          <w:szCs w:val="24"/>
        </w:rPr>
        <w:t>schemes vary in many ways, but most importantly in the biases held by voters.</w:t>
      </w:r>
      <w:r w:rsidR="00D81041" w:rsidRPr="00514F3B">
        <w:rPr>
          <w:rFonts w:ascii="Times New Roman" w:hAnsi="Times New Roman" w:cs="Times New Roman"/>
          <w:sz w:val="24"/>
          <w:szCs w:val="24"/>
        </w:rPr>
        <w:t xml:space="preserve"> </w:t>
      </w:r>
    </w:p>
    <w:p w:rsidR="00EA46E0"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3A1286" w:rsidRPr="00514F3B">
        <w:rPr>
          <w:rFonts w:ascii="Times New Roman" w:hAnsi="Times New Roman" w:cs="Times New Roman"/>
          <w:sz w:val="24"/>
          <w:szCs w:val="24"/>
        </w:rPr>
        <w:t>Before proceeding, we must address an obvious omission: our failure to include direct citation counts and derivatives therefrom such as the g and h index.  The reason is simple: the lag structure in economics (and</w:t>
      </w:r>
      <w:r w:rsidR="003C5B2E" w:rsidRPr="00514F3B">
        <w:rPr>
          <w:rFonts w:ascii="Times New Roman" w:hAnsi="Times New Roman" w:cs="Times New Roman"/>
          <w:sz w:val="24"/>
          <w:szCs w:val="24"/>
        </w:rPr>
        <w:t xml:space="preserve">, more generally, </w:t>
      </w:r>
      <w:r w:rsidR="003A1286" w:rsidRPr="00514F3B">
        <w:rPr>
          <w:rFonts w:ascii="Times New Roman" w:hAnsi="Times New Roman" w:cs="Times New Roman"/>
          <w:sz w:val="24"/>
          <w:szCs w:val="24"/>
        </w:rPr>
        <w:t xml:space="preserve">the social sciences) between acceptance of an article and the generation of a meaningful stream of citations is such that </w:t>
      </w:r>
      <w:r w:rsidR="00EA208E" w:rsidRPr="00514F3B">
        <w:rPr>
          <w:rFonts w:ascii="Times New Roman" w:hAnsi="Times New Roman" w:cs="Times New Roman"/>
          <w:sz w:val="24"/>
          <w:szCs w:val="24"/>
        </w:rPr>
        <w:t>the results are unreliable in the context of a</w:t>
      </w:r>
      <w:r w:rsidR="003E2B57" w:rsidRPr="00514F3B">
        <w:rPr>
          <w:rFonts w:ascii="Times New Roman" w:hAnsi="Times New Roman" w:cs="Times New Roman"/>
          <w:sz w:val="24"/>
          <w:szCs w:val="24"/>
        </w:rPr>
        <w:t xml:space="preserve">n individual-based, </w:t>
      </w:r>
      <w:r w:rsidR="003A1286" w:rsidRPr="00514F3B">
        <w:rPr>
          <w:rFonts w:ascii="Times New Roman" w:hAnsi="Times New Roman" w:cs="Times New Roman"/>
          <w:sz w:val="24"/>
          <w:szCs w:val="24"/>
        </w:rPr>
        <w:t xml:space="preserve">six year </w:t>
      </w:r>
      <w:r w:rsidR="003E2B57" w:rsidRPr="00514F3B">
        <w:rPr>
          <w:rFonts w:ascii="Times New Roman" w:hAnsi="Times New Roman" w:cs="Times New Roman"/>
          <w:sz w:val="24"/>
          <w:szCs w:val="24"/>
        </w:rPr>
        <w:t xml:space="preserve">cycle, research assessment scheme  </w:t>
      </w:r>
      <w:r w:rsidR="003E2B57" w:rsidRPr="00514F3B">
        <w:rPr>
          <w:rFonts w:ascii="Times New Roman" w:hAnsi="Times New Roman" w:cs="Times New Roman"/>
          <w:sz w:val="24"/>
          <w:szCs w:val="24"/>
        </w:rPr>
        <w:lastRenderedPageBreak/>
        <w:t>(Tressler and Anderson, 2012).</w:t>
      </w:r>
      <w:r w:rsidR="003E2B57" w:rsidRPr="00514F3B">
        <w:rPr>
          <w:rStyle w:val="FootnoteReference"/>
          <w:rFonts w:ascii="Times New Roman" w:hAnsi="Times New Roman" w:cs="Times New Roman"/>
          <w:sz w:val="24"/>
          <w:szCs w:val="24"/>
        </w:rPr>
        <w:footnoteReference w:id="9"/>
      </w:r>
      <w:r w:rsidR="003E2B57" w:rsidRPr="00514F3B">
        <w:rPr>
          <w:rFonts w:ascii="Times New Roman" w:hAnsi="Times New Roman" w:cs="Times New Roman"/>
          <w:sz w:val="24"/>
          <w:szCs w:val="24"/>
        </w:rPr>
        <w:t xml:space="preserve">  </w:t>
      </w:r>
      <w:r w:rsidR="00EA208E" w:rsidRPr="00514F3B">
        <w:rPr>
          <w:rFonts w:ascii="Times New Roman" w:hAnsi="Times New Roman" w:cs="Times New Roman"/>
          <w:sz w:val="24"/>
          <w:szCs w:val="24"/>
        </w:rPr>
        <w:t xml:space="preserve">Therefore, for purposes of this study, the </w:t>
      </w:r>
      <w:r w:rsidR="002765A5" w:rsidRPr="00514F3B">
        <w:rPr>
          <w:rFonts w:ascii="Times New Roman" w:hAnsi="Times New Roman" w:cs="Times New Roman"/>
          <w:sz w:val="24"/>
          <w:szCs w:val="24"/>
        </w:rPr>
        <w:t>direct citation approach is rejected in favour of the indirect approach</w:t>
      </w:r>
      <w:r w:rsidR="00193C99" w:rsidRPr="00514F3B">
        <w:rPr>
          <w:rFonts w:ascii="Times New Roman" w:hAnsi="Times New Roman" w:cs="Times New Roman"/>
          <w:sz w:val="24"/>
          <w:szCs w:val="24"/>
        </w:rPr>
        <w:t>.</w:t>
      </w:r>
    </w:p>
    <w:p w:rsidR="00056099" w:rsidRDefault="00056099" w:rsidP="00514F3B">
      <w:pPr>
        <w:tabs>
          <w:tab w:val="left" w:pos="426"/>
        </w:tabs>
        <w:jc w:val="both"/>
        <w:rPr>
          <w:rFonts w:ascii="Times New Roman" w:hAnsi="Times New Roman" w:cs="Times New Roman"/>
          <w:b/>
          <w:sz w:val="24"/>
          <w:szCs w:val="24"/>
        </w:rPr>
      </w:pPr>
    </w:p>
    <w:p w:rsidR="00263679" w:rsidRPr="00514F3B" w:rsidRDefault="008E4CC0" w:rsidP="00514F3B">
      <w:pPr>
        <w:tabs>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2. </w:t>
      </w:r>
      <w:r w:rsidR="00DD1E92" w:rsidRPr="00514F3B">
        <w:rPr>
          <w:rFonts w:ascii="Times New Roman" w:hAnsi="Times New Roman" w:cs="Times New Roman"/>
          <w:b/>
          <w:sz w:val="24"/>
          <w:szCs w:val="24"/>
        </w:rPr>
        <w:t>Data Sources</w:t>
      </w:r>
    </w:p>
    <w:p w:rsidR="00294DCF" w:rsidRPr="00514F3B" w:rsidRDefault="00515172" w:rsidP="00514F3B">
      <w:pPr>
        <w:tabs>
          <w:tab w:val="left" w:pos="426"/>
        </w:tabs>
        <w:jc w:val="both"/>
        <w:rPr>
          <w:rFonts w:ascii="Times New Roman" w:hAnsi="Times New Roman" w:cs="Times New Roman"/>
          <w:sz w:val="24"/>
          <w:szCs w:val="24"/>
        </w:rPr>
      </w:pPr>
      <w:r w:rsidRPr="00514F3B">
        <w:rPr>
          <w:rFonts w:ascii="Times New Roman" w:hAnsi="Times New Roman" w:cs="Times New Roman"/>
          <w:sz w:val="24"/>
          <w:szCs w:val="24"/>
        </w:rPr>
        <w:t>In order to explore the quantity</w:t>
      </w:r>
      <w:r w:rsidR="001C488D" w:rsidRPr="00514F3B">
        <w:rPr>
          <w:rFonts w:ascii="Times New Roman" w:hAnsi="Times New Roman" w:cs="Times New Roman"/>
          <w:sz w:val="24"/>
          <w:szCs w:val="24"/>
        </w:rPr>
        <w:t>/</w:t>
      </w:r>
      <w:r w:rsidRPr="00514F3B">
        <w:rPr>
          <w:rFonts w:ascii="Times New Roman" w:hAnsi="Times New Roman" w:cs="Times New Roman"/>
          <w:sz w:val="24"/>
          <w:szCs w:val="24"/>
        </w:rPr>
        <w:t xml:space="preserve">quality issue in a rigorous fashion, we assembled three datasets covering all staff employed by New Zealand’s eight universities as at 2000, 2006 and 2012. </w:t>
      </w:r>
      <w:r w:rsidR="00FE6049" w:rsidRPr="00514F3B">
        <w:rPr>
          <w:rFonts w:ascii="Times New Roman" w:hAnsi="Times New Roman" w:cs="Times New Roman"/>
          <w:sz w:val="24"/>
          <w:szCs w:val="24"/>
        </w:rPr>
        <w:t xml:space="preserve"> For each reference period we collected publications generated over the preceding six years in order to replicate the </w:t>
      </w:r>
      <w:r w:rsidR="00087FFC" w:rsidRPr="00514F3B">
        <w:rPr>
          <w:rFonts w:ascii="Times New Roman" w:hAnsi="Times New Roman" w:cs="Times New Roman"/>
          <w:sz w:val="24"/>
          <w:szCs w:val="24"/>
        </w:rPr>
        <w:t xml:space="preserve">assessment periods of the </w:t>
      </w:r>
      <w:r w:rsidR="00FE6049" w:rsidRPr="00514F3B">
        <w:rPr>
          <w:rFonts w:ascii="Times New Roman" w:hAnsi="Times New Roman" w:cs="Times New Roman"/>
          <w:sz w:val="24"/>
          <w:szCs w:val="24"/>
        </w:rPr>
        <w:t>PBRF rounds of 2006 and 2012</w:t>
      </w:r>
      <w:r w:rsidR="00087FFC" w:rsidRPr="00514F3B">
        <w:rPr>
          <w:rFonts w:ascii="Times New Roman" w:hAnsi="Times New Roman" w:cs="Times New Roman"/>
          <w:sz w:val="24"/>
          <w:szCs w:val="24"/>
        </w:rPr>
        <w:t xml:space="preserve"> (2000-</w:t>
      </w:r>
      <w:r w:rsidR="00CB6002" w:rsidRPr="00514F3B">
        <w:rPr>
          <w:rFonts w:ascii="Times New Roman" w:hAnsi="Times New Roman" w:cs="Times New Roman"/>
          <w:sz w:val="24"/>
          <w:szCs w:val="24"/>
        </w:rPr>
        <w:t>2</w:t>
      </w:r>
      <w:r w:rsidR="00087FFC" w:rsidRPr="00514F3B">
        <w:rPr>
          <w:rFonts w:ascii="Times New Roman" w:hAnsi="Times New Roman" w:cs="Times New Roman"/>
          <w:sz w:val="24"/>
          <w:szCs w:val="24"/>
        </w:rPr>
        <w:t>005 and 2006-2011, respectively)</w:t>
      </w:r>
      <w:r w:rsidR="00FE6049" w:rsidRPr="00514F3B">
        <w:rPr>
          <w:rFonts w:ascii="Times New Roman" w:hAnsi="Times New Roman" w:cs="Times New Roman"/>
          <w:sz w:val="24"/>
          <w:szCs w:val="24"/>
        </w:rPr>
        <w:t xml:space="preserve">.  The dataset based on the year 2000 staff lists, covering publications </w:t>
      </w:r>
      <w:r w:rsidR="00087FFC" w:rsidRPr="00514F3B">
        <w:rPr>
          <w:rFonts w:ascii="Times New Roman" w:hAnsi="Times New Roman" w:cs="Times New Roman"/>
          <w:sz w:val="24"/>
          <w:szCs w:val="24"/>
        </w:rPr>
        <w:t xml:space="preserve">over </w:t>
      </w:r>
      <w:r w:rsidR="00FE6049" w:rsidRPr="00514F3B">
        <w:rPr>
          <w:rFonts w:ascii="Times New Roman" w:hAnsi="Times New Roman" w:cs="Times New Roman"/>
          <w:sz w:val="24"/>
          <w:szCs w:val="24"/>
        </w:rPr>
        <w:t>the period 1994-1999, provides us with information on the incentive structure facing New Zealand’s academic economists prior to public discussion of a PBRF-like research evaluation scheme.</w:t>
      </w:r>
      <w:r w:rsidR="00087FFC" w:rsidRPr="00514F3B">
        <w:rPr>
          <w:rStyle w:val="FootnoteReference"/>
          <w:rFonts w:ascii="Times New Roman" w:hAnsi="Times New Roman" w:cs="Times New Roman"/>
          <w:sz w:val="24"/>
          <w:szCs w:val="24"/>
        </w:rPr>
        <w:footnoteReference w:id="10"/>
      </w:r>
      <w:r w:rsidR="00FE6049" w:rsidRPr="00514F3B">
        <w:rPr>
          <w:rFonts w:ascii="Times New Roman" w:hAnsi="Times New Roman" w:cs="Times New Roman"/>
          <w:sz w:val="24"/>
          <w:szCs w:val="24"/>
        </w:rPr>
        <w:t xml:space="preserve">  </w:t>
      </w:r>
      <w:r w:rsidRPr="00514F3B">
        <w:rPr>
          <w:rFonts w:ascii="Times New Roman" w:hAnsi="Times New Roman" w:cs="Times New Roman"/>
          <w:sz w:val="24"/>
          <w:szCs w:val="24"/>
        </w:rPr>
        <w:t xml:space="preserve">The first two staff lists were </w:t>
      </w:r>
      <w:r w:rsidR="00436FD4" w:rsidRPr="00514F3B">
        <w:rPr>
          <w:rFonts w:ascii="Times New Roman" w:hAnsi="Times New Roman" w:cs="Times New Roman"/>
          <w:sz w:val="24"/>
          <w:szCs w:val="24"/>
        </w:rPr>
        <w:t xml:space="preserve">derived </w:t>
      </w:r>
      <w:r w:rsidRPr="00514F3B">
        <w:rPr>
          <w:rFonts w:ascii="Times New Roman" w:hAnsi="Times New Roman" w:cs="Times New Roman"/>
          <w:sz w:val="24"/>
          <w:szCs w:val="24"/>
        </w:rPr>
        <w:t xml:space="preserve">from university calendars, and the 2012 lists were obtained from </w:t>
      </w:r>
      <w:r w:rsidR="00FB2176" w:rsidRPr="00514F3B">
        <w:rPr>
          <w:rFonts w:ascii="Times New Roman" w:hAnsi="Times New Roman" w:cs="Times New Roman"/>
          <w:sz w:val="24"/>
          <w:szCs w:val="24"/>
        </w:rPr>
        <w:t>departmental websites on</w:t>
      </w:r>
      <w:r w:rsidR="00294DCF" w:rsidRPr="00514F3B">
        <w:rPr>
          <w:rFonts w:ascii="Times New Roman" w:hAnsi="Times New Roman" w:cs="Times New Roman"/>
          <w:sz w:val="24"/>
          <w:szCs w:val="24"/>
        </w:rPr>
        <w:t xml:space="preserve"> </w:t>
      </w:r>
      <w:r w:rsidRPr="00514F3B">
        <w:rPr>
          <w:rFonts w:ascii="Times New Roman" w:hAnsi="Times New Roman" w:cs="Times New Roman"/>
          <w:sz w:val="24"/>
          <w:szCs w:val="24"/>
        </w:rPr>
        <w:t xml:space="preserve">15 April 2012.  </w:t>
      </w:r>
      <w:r w:rsidR="00436FD4" w:rsidRPr="00514F3B">
        <w:rPr>
          <w:rFonts w:ascii="Times New Roman" w:hAnsi="Times New Roman" w:cs="Times New Roman"/>
          <w:sz w:val="24"/>
          <w:szCs w:val="24"/>
        </w:rPr>
        <w:t xml:space="preserve">For each staff member, publication lists were compiled primarily from the EconLit database, supplemented by reference to the </w:t>
      </w:r>
      <w:r w:rsidR="00AA5989" w:rsidRPr="00514F3B">
        <w:rPr>
          <w:rFonts w:ascii="Times New Roman" w:hAnsi="Times New Roman" w:cs="Times New Roman"/>
          <w:sz w:val="24"/>
          <w:szCs w:val="24"/>
        </w:rPr>
        <w:t xml:space="preserve">Research Papers in Economics </w:t>
      </w:r>
      <w:r w:rsidR="00FE5BA2" w:rsidRPr="00514F3B">
        <w:rPr>
          <w:rFonts w:ascii="Times New Roman" w:hAnsi="Times New Roman" w:cs="Times New Roman"/>
          <w:sz w:val="24"/>
          <w:szCs w:val="24"/>
        </w:rPr>
        <w:t>RePEc</w:t>
      </w:r>
      <w:r w:rsidR="00AA5989" w:rsidRPr="00514F3B">
        <w:rPr>
          <w:rFonts w:ascii="Times New Roman" w:hAnsi="Times New Roman" w:cs="Times New Roman"/>
          <w:sz w:val="24"/>
          <w:szCs w:val="24"/>
        </w:rPr>
        <w:t xml:space="preserve">) </w:t>
      </w:r>
      <w:r w:rsidR="00436FD4" w:rsidRPr="00514F3B">
        <w:rPr>
          <w:rFonts w:ascii="Times New Roman" w:hAnsi="Times New Roman" w:cs="Times New Roman"/>
          <w:sz w:val="24"/>
          <w:szCs w:val="24"/>
        </w:rPr>
        <w:t>database and individual CVs</w:t>
      </w:r>
      <w:r w:rsidRPr="00514F3B">
        <w:rPr>
          <w:rFonts w:ascii="Times New Roman" w:hAnsi="Times New Roman" w:cs="Times New Roman"/>
          <w:sz w:val="24"/>
          <w:szCs w:val="24"/>
        </w:rPr>
        <w:t xml:space="preserve">.  </w:t>
      </w:r>
      <w:r w:rsidR="003E1F5E" w:rsidRPr="00514F3B">
        <w:rPr>
          <w:rFonts w:ascii="Times New Roman" w:hAnsi="Times New Roman" w:cs="Times New Roman"/>
          <w:sz w:val="24"/>
          <w:szCs w:val="24"/>
        </w:rPr>
        <w:t xml:space="preserve">We followed the prevailing practice of allocating shares in multiple-authored papers on the basis of the 1/n rule, and </w:t>
      </w:r>
      <w:r w:rsidR="00C1108B" w:rsidRPr="00514F3B">
        <w:rPr>
          <w:rFonts w:ascii="Times New Roman" w:hAnsi="Times New Roman" w:cs="Times New Roman"/>
          <w:sz w:val="24"/>
          <w:szCs w:val="24"/>
        </w:rPr>
        <w:t xml:space="preserve">adopted the same rule in allocating pages to individual authors.  </w:t>
      </w:r>
      <w:r w:rsidR="003E1F5E" w:rsidRPr="00514F3B">
        <w:rPr>
          <w:rFonts w:ascii="Times New Roman" w:hAnsi="Times New Roman" w:cs="Times New Roman"/>
          <w:sz w:val="24"/>
          <w:szCs w:val="24"/>
        </w:rPr>
        <w:t xml:space="preserve">We </w:t>
      </w:r>
      <w:r w:rsidR="00C1108B" w:rsidRPr="00514F3B">
        <w:rPr>
          <w:rFonts w:ascii="Times New Roman" w:hAnsi="Times New Roman" w:cs="Times New Roman"/>
          <w:sz w:val="24"/>
          <w:szCs w:val="24"/>
        </w:rPr>
        <w:t xml:space="preserve">again </w:t>
      </w:r>
      <w:r w:rsidR="003E1F5E" w:rsidRPr="00514F3B">
        <w:rPr>
          <w:rFonts w:ascii="Times New Roman" w:hAnsi="Times New Roman" w:cs="Times New Roman"/>
          <w:sz w:val="24"/>
          <w:szCs w:val="24"/>
        </w:rPr>
        <w:t>followed convention</w:t>
      </w:r>
      <w:r w:rsidR="00C1108B" w:rsidRPr="00514F3B">
        <w:rPr>
          <w:rFonts w:ascii="Times New Roman" w:hAnsi="Times New Roman" w:cs="Times New Roman"/>
          <w:sz w:val="24"/>
          <w:szCs w:val="24"/>
        </w:rPr>
        <w:t xml:space="preserve">, and adjusted </w:t>
      </w:r>
      <w:r w:rsidR="003E1F5E" w:rsidRPr="00514F3B">
        <w:rPr>
          <w:rFonts w:ascii="Times New Roman" w:hAnsi="Times New Roman" w:cs="Times New Roman"/>
          <w:sz w:val="24"/>
          <w:szCs w:val="24"/>
        </w:rPr>
        <w:t>page counts to reflect size variation by converting all pages into</w:t>
      </w:r>
      <w:r w:rsidR="00452821" w:rsidRPr="00514F3B">
        <w:rPr>
          <w:rFonts w:ascii="Times New Roman" w:hAnsi="Times New Roman" w:cs="Times New Roman"/>
          <w:sz w:val="24"/>
          <w:szCs w:val="24"/>
        </w:rPr>
        <w:t xml:space="preserve"> </w:t>
      </w:r>
      <w:r w:rsidR="00452821" w:rsidRPr="00514F3B">
        <w:rPr>
          <w:rFonts w:ascii="Times New Roman" w:hAnsi="Times New Roman" w:cs="Times New Roman"/>
          <w:i/>
          <w:sz w:val="24"/>
          <w:szCs w:val="24"/>
        </w:rPr>
        <w:t>American Economic Review (</w:t>
      </w:r>
      <w:r w:rsidR="00EC19FB" w:rsidRPr="00514F3B">
        <w:rPr>
          <w:rFonts w:ascii="Times New Roman" w:hAnsi="Times New Roman" w:cs="Times New Roman"/>
          <w:i/>
          <w:sz w:val="24"/>
          <w:szCs w:val="24"/>
        </w:rPr>
        <w:t>AER</w:t>
      </w:r>
      <w:r w:rsidR="00452821" w:rsidRPr="00514F3B">
        <w:rPr>
          <w:rFonts w:ascii="Times New Roman" w:hAnsi="Times New Roman" w:cs="Times New Roman"/>
          <w:i/>
          <w:sz w:val="24"/>
          <w:szCs w:val="24"/>
        </w:rPr>
        <w:t>)</w:t>
      </w:r>
      <w:r w:rsidR="00EC19FB" w:rsidRPr="00514F3B">
        <w:rPr>
          <w:rFonts w:ascii="Times New Roman" w:hAnsi="Times New Roman" w:cs="Times New Roman"/>
          <w:sz w:val="24"/>
          <w:szCs w:val="24"/>
        </w:rPr>
        <w:t xml:space="preserve"> equivalents.</w:t>
      </w:r>
      <w:r w:rsidR="009145D7" w:rsidRPr="00514F3B">
        <w:rPr>
          <w:rStyle w:val="FootnoteReference"/>
          <w:rFonts w:ascii="Times New Roman" w:hAnsi="Times New Roman" w:cs="Times New Roman"/>
          <w:sz w:val="24"/>
          <w:szCs w:val="24"/>
        </w:rPr>
        <w:footnoteReference w:id="11"/>
      </w:r>
      <w:r w:rsidR="00EC19FB" w:rsidRPr="00514F3B">
        <w:rPr>
          <w:rFonts w:ascii="Times New Roman" w:hAnsi="Times New Roman" w:cs="Times New Roman"/>
          <w:sz w:val="24"/>
          <w:szCs w:val="24"/>
        </w:rPr>
        <w:t xml:space="preserve">  </w:t>
      </w:r>
      <w:r w:rsidR="00294DCF" w:rsidRPr="00514F3B">
        <w:rPr>
          <w:rFonts w:ascii="Times New Roman" w:hAnsi="Times New Roman" w:cs="Times New Roman"/>
          <w:sz w:val="24"/>
          <w:szCs w:val="24"/>
        </w:rPr>
        <w:t>Hence, we have two measures of output that we shall use throughout this paper:  share adjusted papers and share and size adjusted pages</w:t>
      </w:r>
      <w:r w:rsidR="009145D7" w:rsidRPr="00514F3B">
        <w:rPr>
          <w:rFonts w:ascii="Times New Roman" w:hAnsi="Times New Roman" w:cs="Times New Roman"/>
          <w:sz w:val="24"/>
          <w:szCs w:val="24"/>
        </w:rPr>
        <w:t>.</w:t>
      </w:r>
      <w:r w:rsidR="009145D7" w:rsidRPr="00514F3B">
        <w:rPr>
          <w:rStyle w:val="FootnoteReference"/>
          <w:rFonts w:ascii="Times New Roman" w:hAnsi="Times New Roman" w:cs="Times New Roman"/>
          <w:sz w:val="24"/>
          <w:szCs w:val="24"/>
        </w:rPr>
        <w:footnoteReference w:id="12"/>
      </w:r>
    </w:p>
    <w:p w:rsidR="00515172"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C19FB" w:rsidRPr="00514F3B">
        <w:rPr>
          <w:rFonts w:ascii="Times New Roman" w:hAnsi="Times New Roman" w:cs="Times New Roman"/>
          <w:sz w:val="24"/>
          <w:szCs w:val="24"/>
        </w:rPr>
        <w:t xml:space="preserve">We do not intend to suggest which </w:t>
      </w:r>
      <w:r w:rsidR="00294DCF" w:rsidRPr="00514F3B">
        <w:rPr>
          <w:rFonts w:ascii="Times New Roman" w:hAnsi="Times New Roman" w:cs="Times New Roman"/>
          <w:sz w:val="24"/>
          <w:szCs w:val="24"/>
        </w:rPr>
        <w:t xml:space="preserve">journal weighting </w:t>
      </w:r>
      <w:r w:rsidR="00EC19FB" w:rsidRPr="00514F3B">
        <w:rPr>
          <w:rFonts w:ascii="Times New Roman" w:hAnsi="Times New Roman" w:cs="Times New Roman"/>
          <w:sz w:val="24"/>
          <w:szCs w:val="24"/>
        </w:rPr>
        <w:t>scheme</w:t>
      </w:r>
      <w:r w:rsidR="00294DCF" w:rsidRPr="00514F3B">
        <w:rPr>
          <w:rFonts w:ascii="Times New Roman" w:hAnsi="Times New Roman" w:cs="Times New Roman"/>
          <w:sz w:val="24"/>
          <w:szCs w:val="24"/>
        </w:rPr>
        <w:t xml:space="preserve"> (JWS)</w:t>
      </w:r>
      <w:r w:rsidR="00EC19FB" w:rsidRPr="00514F3B">
        <w:rPr>
          <w:rFonts w:ascii="Times New Roman" w:hAnsi="Times New Roman" w:cs="Times New Roman"/>
          <w:sz w:val="24"/>
          <w:szCs w:val="24"/>
        </w:rPr>
        <w:t xml:space="preserve"> is best, but instead will use a large number of currently available </w:t>
      </w:r>
      <w:r w:rsidR="003E1F5E" w:rsidRPr="00514F3B">
        <w:rPr>
          <w:rFonts w:ascii="Times New Roman" w:hAnsi="Times New Roman" w:cs="Times New Roman"/>
          <w:sz w:val="24"/>
          <w:szCs w:val="24"/>
        </w:rPr>
        <w:t xml:space="preserve">measures to see if output changes are primarily due to quantity or quality factors, and also to see if the results differ across competing </w:t>
      </w:r>
      <w:r w:rsidR="00C1108B" w:rsidRPr="00514F3B">
        <w:rPr>
          <w:rFonts w:ascii="Times New Roman" w:hAnsi="Times New Roman" w:cs="Times New Roman"/>
          <w:sz w:val="24"/>
          <w:szCs w:val="24"/>
        </w:rPr>
        <w:t xml:space="preserve">measures.  </w:t>
      </w:r>
      <w:r w:rsidR="003E1F5E" w:rsidRPr="00514F3B">
        <w:rPr>
          <w:rFonts w:ascii="Times New Roman" w:hAnsi="Times New Roman" w:cs="Times New Roman"/>
          <w:sz w:val="24"/>
          <w:szCs w:val="24"/>
        </w:rPr>
        <w:t xml:space="preserve"> </w:t>
      </w:r>
      <w:r w:rsidR="00EC19FB" w:rsidRPr="00514F3B">
        <w:rPr>
          <w:rFonts w:ascii="Times New Roman" w:hAnsi="Times New Roman" w:cs="Times New Roman"/>
          <w:sz w:val="24"/>
          <w:szCs w:val="24"/>
        </w:rPr>
        <w:t xml:space="preserve"> </w:t>
      </w:r>
      <w:r w:rsidR="00C1108B" w:rsidRPr="00514F3B">
        <w:rPr>
          <w:rFonts w:ascii="Times New Roman" w:hAnsi="Times New Roman" w:cs="Times New Roman"/>
          <w:sz w:val="24"/>
          <w:szCs w:val="24"/>
        </w:rPr>
        <w:t>Since the</w:t>
      </w:r>
      <w:r w:rsidR="00294DCF" w:rsidRPr="00514F3B">
        <w:rPr>
          <w:rFonts w:ascii="Times New Roman" w:hAnsi="Times New Roman" w:cs="Times New Roman"/>
          <w:sz w:val="24"/>
          <w:szCs w:val="24"/>
        </w:rPr>
        <w:t xml:space="preserve"> JWS </w:t>
      </w:r>
      <w:r w:rsidR="00C1108B" w:rsidRPr="00514F3B">
        <w:rPr>
          <w:rFonts w:ascii="Times New Roman" w:hAnsi="Times New Roman" w:cs="Times New Roman"/>
          <w:sz w:val="24"/>
          <w:szCs w:val="24"/>
        </w:rPr>
        <w:t xml:space="preserve">selection process is arbitrary, we employed twenty-two schemes </w:t>
      </w:r>
      <w:r w:rsidR="00C1108B" w:rsidRPr="00514F3B">
        <w:rPr>
          <w:rFonts w:ascii="Times New Roman" w:hAnsi="Times New Roman" w:cs="Times New Roman"/>
          <w:sz w:val="24"/>
          <w:szCs w:val="24"/>
        </w:rPr>
        <w:lastRenderedPageBreak/>
        <w:t xml:space="preserve">in an attempt to capture a wide range </w:t>
      </w:r>
      <w:r w:rsidR="00A94F47" w:rsidRPr="00514F3B">
        <w:rPr>
          <w:rFonts w:ascii="Times New Roman" w:hAnsi="Times New Roman" w:cs="Times New Roman"/>
          <w:sz w:val="24"/>
          <w:szCs w:val="24"/>
        </w:rPr>
        <w:t>of factors</w:t>
      </w:r>
      <w:r w:rsidR="000137D0" w:rsidRPr="00514F3B">
        <w:rPr>
          <w:rFonts w:ascii="Times New Roman" w:hAnsi="Times New Roman" w:cs="Times New Roman"/>
          <w:sz w:val="24"/>
          <w:szCs w:val="24"/>
        </w:rPr>
        <w:t xml:space="preserve"> (see Appendix </w:t>
      </w:r>
      <w:r w:rsidR="00763287" w:rsidRPr="00514F3B">
        <w:rPr>
          <w:rFonts w:ascii="Times New Roman" w:hAnsi="Times New Roman" w:cs="Times New Roman"/>
          <w:sz w:val="24"/>
          <w:szCs w:val="24"/>
        </w:rPr>
        <w:t>1</w:t>
      </w:r>
      <w:r w:rsidR="000137D0" w:rsidRPr="00514F3B">
        <w:rPr>
          <w:rFonts w:ascii="Times New Roman" w:hAnsi="Times New Roman" w:cs="Times New Roman"/>
          <w:sz w:val="24"/>
          <w:szCs w:val="24"/>
        </w:rPr>
        <w:t xml:space="preserve"> for a complete list and a brief outline of</w:t>
      </w:r>
      <w:r w:rsidR="001B38AD" w:rsidRPr="00514F3B">
        <w:rPr>
          <w:rFonts w:ascii="Times New Roman" w:hAnsi="Times New Roman" w:cs="Times New Roman"/>
          <w:sz w:val="24"/>
          <w:szCs w:val="24"/>
        </w:rPr>
        <w:t xml:space="preserve"> associated </w:t>
      </w:r>
      <w:r w:rsidR="000137D0" w:rsidRPr="00514F3B">
        <w:rPr>
          <w:rFonts w:ascii="Times New Roman" w:hAnsi="Times New Roman" w:cs="Times New Roman"/>
          <w:sz w:val="24"/>
          <w:szCs w:val="24"/>
        </w:rPr>
        <w:t>characteristics)</w:t>
      </w:r>
      <w:r w:rsidR="00C1108B" w:rsidRPr="00514F3B">
        <w:rPr>
          <w:rFonts w:ascii="Times New Roman" w:hAnsi="Times New Roman" w:cs="Times New Roman"/>
          <w:sz w:val="24"/>
          <w:szCs w:val="24"/>
        </w:rPr>
        <w:t xml:space="preserve">.  For example, we selected schemes </w:t>
      </w:r>
      <w:r w:rsidR="000137D0" w:rsidRPr="00514F3B">
        <w:rPr>
          <w:rFonts w:ascii="Times New Roman" w:hAnsi="Times New Roman" w:cs="Times New Roman"/>
          <w:sz w:val="24"/>
          <w:szCs w:val="24"/>
        </w:rPr>
        <w:t xml:space="preserve">based on </w:t>
      </w:r>
      <w:r w:rsidR="00C1108B" w:rsidRPr="00514F3B">
        <w:rPr>
          <w:rFonts w:ascii="Times New Roman" w:hAnsi="Times New Roman" w:cs="Times New Roman"/>
          <w:sz w:val="24"/>
          <w:szCs w:val="24"/>
        </w:rPr>
        <w:t>the ISI</w:t>
      </w:r>
      <w:r w:rsidR="00AA5989" w:rsidRPr="00514F3B">
        <w:rPr>
          <w:rFonts w:ascii="Times New Roman" w:hAnsi="Times New Roman" w:cs="Times New Roman"/>
          <w:sz w:val="24"/>
          <w:szCs w:val="24"/>
        </w:rPr>
        <w:t xml:space="preserve">, </w:t>
      </w:r>
      <w:r w:rsidR="00C1108B" w:rsidRPr="00514F3B">
        <w:rPr>
          <w:rFonts w:ascii="Times New Roman" w:hAnsi="Times New Roman" w:cs="Times New Roman"/>
          <w:sz w:val="24"/>
          <w:szCs w:val="24"/>
        </w:rPr>
        <w:t xml:space="preserve">Scopus and </w:t>
      </w:r>
      <w:r w:rsidR="001B6B0D" w:rsidRPr="00514F3B">
        <w:rPr>
          <w:rFonts w:ascii="Times New Roman" w:hAnsi="Times New Roman" w:cs="Times New Roman"/>
          <w:sz w:val="24"/>
          <w:szCs w:val="24"/>
        </w:rPr>
        <w:t>R</w:t>
      </w:r>
      <w:r w:rsidR="00C1108B" w:rsidRPr="00514F3B">
        <w:rPr>
          <w:rFonts w:ascii="Times New Roman" w:hAnsi="Times New Roman" w:cs="Times New Roman"/>
          <w:sz w:val="24"/>
          <w:szCs w:val="24"/>
        </w:rPr>
        <w:t xml:space="preserve">ePEc </w:t>
      </w:r>
      <w:r w:rsidR="000137D0" w:rsidRPr="00514F3B">
        <w:rPr>
          <w:rFonts w:ascii="Times New Roman" w:hAnsi="Times New Roman" w:cs="Times New Roman"/>
          <w:sz w:val="24"/>
          <w:szCs w:val="24"/>
        </w:rPr>
        <w:t>databases.</w:t>
      </w:r>
      <w:r w:rsidR="001B6B0D" w:rsidRPr="00514F3B">
        <w:rPr>
          <w:rFonts w:ascii="Times New Roman" w:hAnsi="Times New Roman" w:cs="Times New Roman"/>
          <w:sz w:val="24"/>
          <w:szCs w:val="24"/>
        </w:rPr>
        <w:t xml:space="preserve"> </w:t>
      </w:r>
      <w:r w:rsidR="000137D0" w:rsidRPr="00514F3B">
        <w:rPr>
          <w:rFonts w:ascii="Times New Roman" w:hAnsi="Times New Roman" w:cs="Times New Roman"/>
          <w:sz w:val="24"/>
          <w:szCs w:val="24"/>
        </w:rPr>
        <w:t xml:space="preserve"> We also selected schemes (using one of the three aforementioned databases) that are primarily based on simple impact factors (that rely heavily on the work of </w:t>
      </w:r>
      <w:r w:rsidR="001264B9" w:rsidRPr="00514F3B">
        <w:rPr>
          <w:rFonts w:ascii="Times New Roman" w:hAnsi="Times New Roman" w:cs="Times New Roman"/>
          <w:sz w:val="24"/>
          <w:szCs w:val="24"/>
        </w:rPr>
        <w:t>Garfield</w:t>
      </w:r>
      <w:r w:rsidR="000137D0" w:rsidRPr="00514F3B">
        <w:rPr>
          <w:rFonts w:ascii="Times New Roman" w:hAnsi="Times New Roman" w:cs="Times New Roman"/>
          <w:sz w:val="24"/>
          <w:szCs w:val="24"/>
        </w:rPr>
        <w:t xml:space="preserve">, 1972) and others based in large part on the recursive adjustment approach </w:t>
      </w:r>
      <w:r w:rsidR="001264B9" w:rsidRPr="00514F3B">
        <w:rPr>
          <w:rFonts w:ascii="Times New Roman" w:hAnsi="Times New Roman" w:cs="Times New Roman"/>
          <w:sz w:val="24"/>
          <w:szCs w:val="24"/>
        </w:rPr>
        <w:t xml:space="preserve">initially used in the journal ranking literature by </w:t>
      </w:r>
      <w:r w:rsidR="000137D0" w:rsidRPr="00514F3B">
        <w:rPr>
          <w:rFonts w:ascii="Times New Roman" w:hAnsi="Times New Roman" w:cs="Times New Roman"/>
          <w:sz w:val="24"/>
          <w:szCs w:val="24"/>
        </w:rPr>
        <w:t xml:space="preserve">Liebowitz and Palmer (1984).  </w:t>
      </w:r>
      <w:r w:rsidR="00D626D1" w:rsidRPr="00514F3B">
        <w:rPr>
          <w:rFonts w:ascii="Times New Roman" w:hAnsi="Times New Roman" w:cs="Times New Roman"/>
          <w:sz w:val="24"/>
          <w:szCs w:val="24"/>
        </w:rPr>
        <w:t xml:space="preserve">It should also be noted that we also utilized </w:t>
      </w:r>
      <w:r w:rsidR="00294DCF" w:rsidRPr="00514F3B">
        <w:rPr>
          <w:rFonts w:ascii="Times New Roman" w:hAnsi="Times New Roman" w:cs="Times New Roman"/>
          <w:sz w:val="24"/>
          <w:szCs w:val="24"/>
        </w:rPr>
        <w:t>four</w:t>
      </w:r>
      <w:r w:rsidR="00D626D1" w:rsidRPr="00514F3B">
        <w:rPr>
          <w:rFonts w:ascii="Times New Roman" w:hAnsi="Times New Roman" w:cs="Times New Roman"/>
          <w:sz w:val="24"/>
          <w:szCs w:val="24"/>
        </w:rPr>
        <w:t xml:space="preserve"> perception-based schemes and a base-line measure that grants equal weight to all journals and all articles and pages therein.</w:t>
      </w:r>
    </w:p>
    <w:p w:rsidR="003E5413" w:rsidRPr="00056099" w:rsidRDefault="003E5413" w:rsidP="00514F3B">
      <w:pPr>
        <w:tabs>
          <w:tab w:val="left" w:pos="426"/>
        </w:tabs>
        <w:jc w:val="both"/>
        <w:rPr>
          <w:rFonts w:ascii="Times New Roman" w:hAnsi="Times New Roman" w:cs="Times New Roman"/>
          <w:b/>
          <w:sz w:val="16"/>
          <w:szCs w:val="16"/>
        </w:rPr>
      </w:pPr>
    </w:p>
    <w:p w:rsidR="000A36F3" w:rsidRPr="00514F3B" w:rsidRDefault="008E4CC0" w:rsidP="00514F3B">
      <w:pPr>
        <w:tabs>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3. </w:t>
      </w:r>
      <w:r w:rsidR="000A36F3" w:rsidRPr="00514F3B">
        <w:rPr>
          <w:rFonts w:ascii="Times New Roman" w:hAnsi="Times New Roman" w:cs="Times New Roman"/>
          <w:b/>
          <w:sz w:val="24"/>
          <w:szCs w:val="24"/>
        </w:rPr>
        <w:t>Results</w:t>
      </w:r>
    </w:p>
    <w:p w:rsidR="005302CD" w:rsidRDefault="005302CD" w:rsidP="00514F3B">
      <w:pPr>
        <w:tabs>
          <w:tab w:val="left" w:pos="426"/>
        </w:tabs>
        <w:jc w:val="both"/>
        <w:rPr>
          <w:rFonts w:ascii="Times New Roman" w:hAnsi="Times New Roman" w:cs="Times New Roman"/>
          <w:sz w:val="24"/>
          <w:szCs w:val="24"/>
        </w:rPr>
      </w:pPr>
      <w:r w:rsidRPr="00514F3B">
        <w:rPr>
          <w:rFonts w:ascii="Times New Roman" w:hAnsi="Times New Roman" w:cs="Times New Roman"/>
          <w:sz w:val="24"/>
          <w:szCs w:val="24"/>
        </w:rPr>
        <w:t xml:space="preserve">Let us now explore </w:t>
      </w:r>
      <w:r w:rsidR="006A3D93" w:rsidRPr="00514F3B">
        <w:rPr>
          <w:rFonts w:ascii="Times New Roman" w:hAnsi="Times New Roman" w:cs="Times New Roman"/>
          <w:sz w:val="24"/>
          <w:szCs w:val="24"/>
        </w:rPr>
        <w:t xml:space="preserve">unadjusted </w:t>
      </w:r>
      <w:r w:rsidR="007B077A" w:rsidRPr="00514F3B">
        <w:rPr>
          <w:rFonts w:ascii="Times New Roman" w:hAnsi="Times New Roman" w:cs="Times New Roman"/>
          <w:sz w:val="24"/>
          <w:szCs w:val="24"/>
        </w:rPr>
        <w:t xml:space="preserve">research </w:t>
      </w:r>
      <w:r w:rsidRPr="00514F3B">
        <w:rPr>
          <w:rFonts w:ascii="Times New Roman" w:hAnsi="Times New Roman" w:cs="Times New Roman"/>
          <w:sz w:val="24"/>
          <w:szCs w:val="24"/>
        </w:rPr>
        <w:t>output changes over our three time periods (B</w:t>
      </w:r>
      <w:r w:rsidR="00C86538" w:rsidRPr="00514F3B">
        <w:rPr>
          <w:rFonts w:ascii="Times New Roman" w:hAnsi="Times New Roman" w:cs="Times New Roman"/>
          <w:sz w:val="24"/>
          <w:szCs w:val="24"/>
        </w:rPr>
        <w:t>ASE</w:t>
      </w:r>
      <w:r w:rsidR="007B077A" w:rsidRPr="00514F3B">
        <w:rPr>
          <w:rFonts w:ascii="Times New Roman" w:hAnsi="Times New Roman" w:cs="Times New Roman"/>
          <w:sz w:val="24"/>
          <w:szCs w:val="24"/>
        </w:rPr>
        <w:t xml:space="preserve"> (1994-1999)</w:t>
      </w:r>
      <w:r w:rsidRPr="00514F3B">
        <w:rPr>
          <w:rFonts w:ascii="Times New Roman" w:hAnsi="Times New Roman" w:cs="Times New Roman"/>
          <w:sz w:val="24"/>
          <w:szCs w:val="24"/>
        </w:rPr>
        <w:t>, PBRF1</w:t>
      </w:r>
      <w:r w:rsidR="007B077A" w:rsidRPr="00514F3B">
        <w:rPr>
          <w:rFonts w:ascii="Times New Roman" w:hAnsi="Times New Roman" w:cs="Times New Roman"/>
          <w:sz w:val="24"/>
          <w:szCs w:val="24"/>
        </w:rPr>
        <w:t xml:space="preserve"> (2000-2005)</w:t>
      </w:r>
      <w:r w:rsidRPr="00514F3B">
        <w:rPr>
          <w:rFonts w:ascii="Times New Roman" w:hAnsi="Times New Roman" w:cs="Times New Roman"/>
          <w:sz w:val="24"/>
          <w:szCs w:val="24"/>
        </w:rPr>
        <w:t xml:space="preserve"> and PBRF2</w:t>
      </w:r>
      <w:r w:rsidR="007B077A" w:rsidRPr="00514F3B">
        <w:rPr>
          <w:rFonts w:ascii="Times New Roman" w:hAnsi="Times New Roman" w:cs="Times New Roman"/>
          <w:sz w:val="24"/>
          <w:szCs w:val="24"/>
        </w:rPr>
        <w:t xml:space="preserve"> (2006-</w:t>
      </w:r>
      <w:r w:rsidR="00A95617" w:rsidRPr="00514F3B">
        <w:rPr>
          <w:rFonts w:ascii="Times New Roman" w:hAnsi="Times New Roman" w:cs="Times New Roman"/>
          <w:sz w:val="24"/>
          <w:szCs w:val="24"/>
        </w:rPr>
        <w:t>2</w:t>
      </w:r>
      <w:r w:rsidR="007B077A" w:rsidRPr="00514F3B">
        <w:rPr>
          <w:rFonts w:ascii="Times New Roman" w:hAnsi="Times New Roman" w:cs="Times New Roman"/>
          <w:sz w:val="24"/>
          <w:szCs w:val="24"/>
        </w:rPr>
        <w:t>011</w:t>
      </w:r>
      <w:r w:rsidRPr="00514F3B">
        <w:rPr>
          <w:rFonts w:ascii="Times New Roman" w:hAnsi="Times New Roman" w:cs="Times New Roman"/>
          <w:sz w:val="24"/>
          <w:szCs w:val="24"/>
        </w:rPr>
        <w:t xml:space="preserve">).  From Table </w:t>
      </w:r>
      <w:r w:rsidR="000922B3" w:rsidRPr="00514F3B">
        <w:rPr>
          <w:rFonts w:ascii="Times New Roman" w:hAnsi="Times New Roman" w:cs="Times New Roman"/>
          <w:sz w:val="24"/>
          <w:szCs w:val="24"/>
        </w:rPr>
        <w:t>1</w:t>
      </w:r>
      <w:r w:rsidRPr="00514F3B">
        <w:rPr>
          <w:rFonts w:ascii="Times New Roman" w:hAnsi="Times New Roman" w:cs="Times New Roman"/>
          <w:sz w:val="24"/>
          <w:szCs w:val="24"/>
        </w:rPr>
        <w:t xml:space="preserve"> it can be seen that </w:t>
      </w:r>
      <w:r w:rsidR="006A3D93" w:rsidRPr="00514F3B">
        <w:rPr>
          <w:rFonts w:ascii="Times New Roman" w:hAnsi="Times New Roman" w:cs="Times New Roman"/>
          <w:sz w:val="24"/>
          <w:szCs w:val="24"/>
        </w:rPr>
        <w:t xml:space="preserve">Unadjusted </w:t>
      </w:r>
      <w:r w:rsidRPr="00514F3B">
        <w:rPr>
          <w:rFonts w:ascii="Times New Roman" w:hAnsi="Times New Roman" w:cs="Times New Roman"/>
          <w:sz w:val="24"/>
          <w:szCs w:val="24"/>
        </w:rPr>
        <w:t>Papers/Capita</w:t>
      </w:r>
      <w:r w:rsidR="005A6C4B" w:rsidRPr="00514F3B">
        <w:rPr>
          <w:rFonts w:ascii="Times New Roman" w:hAnsi="Times New Roman" w:cs="Times New Roman"/>
          <w:sz w:val="24"/>
          <w:szCs w:val="24"/>
        </w:rPr>
        <w:t xml:space="preserve"> increased </w:t>
      </w:r>
      <w:r w:rsidR="00C86538" w:rsidRPr="00514F3B">
        <w:rPr>
          <w:rFonts w:ascii="Times New Roman" w:hAnsi="Times New Roman" w:cs="Times New Roman"/>
          <w:sz w:val="24"/>
          <w:szCs w:val="24"/>
        </w:rPr>
        <w:t>by 78 percent from BASE to PBRF2</w:t>
      </w:r>
      <w:r w:rsidR="00E44392" w:rsidRPr="00514F3B">
        <w:rPr>
          <w:rFonts w:ascii="Times New Roman" w:hAnsi="Times New Roman" w:cs="Times New Roman"/>
          <w:sz w:val="24"/>
          <w:szCs w:val="24"/>
        </w:rPr>
        <w:t xml:space="preserve">.  </w:t>
      </w:r>
      <w:r w:rsidR="005A6C4B" w:rsidRPr="00514F3B">
        <w:rPr>
          <w:rFonts w:ascii="Times New Roman" w:hAnsi="Times New Roman" w:cs="Times New Roman"/>
          <w:sz w:val="24"/>
          <w:szCs w:val="24"/>
        </w:rPr>
        <w:t xml:space="preserve">The increase in share adjusted papers is somewhat </w:t>
      </w:r>
      <w:r w:rsidR="00C86538" w:rsidRPr="00514F3B">
        <w:rPr>
          <w:rFonts w:ascii="Times New Roman" w:hAnsi="Times New Roman" w:cs="Times New Roman"/>
          <w:sz w:val="24"/>
          <w:szCs w:val="24"/>
        </w:rPr>
        <w:t>lower at 32 percent</w:t>
      </w:r>
      <w:r w:rsidR="00E44392" w:rsidRPr="00514F3B">
        <w:rPr>
          <w:rFonts w:ascii="Times New Roman" w:hAnsi="Times New Roman" w:cs="Times New Roman"/>
          <w:sz w:val="24"/>
          <w:szCs w:val="24"/>
        </w:rPr>
        <w:t xml:space="preserve"> </w:t>
      </w:r>
      <w:r w:rsidR="005A6C4B" w:rsidRPr="00514F3B">
        <w:rPr>
          <w:rFonts w:ascii="Times New Roman" w:hAnsi="Times New Roman" w:cs="Times New Roman"/>
          <w:sz w:val="24"/>
          <w:szCs w:val="24"/>
        </w:rPr>
        <w:t xml:space="preserve">indicating an increase in the number of authors per paper.  This is undoubtedly due, in part, to discipline wide trends, but may also be attributable to research management strategies to shift more staff from the non-active to </w:t>
      </w:r>
      <w:r w:rsidR="006C3014" w:rsidRPr="00514F3B">
        <w:rPr>
          <w:rFonts w:ascii="Times New Roman" w:hAnsi="Times New Roman" w:cs="Times New Roman"/>
          <w:sz w:val="24"/>
          <w:szCs w:val="24"/>
        </w:rPr>
        <w:t xml:space="preserve">the </w:t>
      </w:r>
      <w:r w:rsidR="005A6C4B" w:rsidRPr="00514F3B">
        <w:rPr>
          <w:rFonts w:ascii="Times New Roman" w:hAnsi="Times New Roman" w:cs="Times New Roman"/>
          <w:sz w:val="24"/>
          <w:szCs w:val="24"/>
        </w:rPr>
        <w:t>research active group</w:t>
      </w:r>
      <w:r w:rsidR="006C3014" w:rsidRPr="00514F3B">
        <w:rPr>
          <w:rFonts w:ascii="Times New Roman" w:hAnsi="Times New Roman" w:cs="Times New Roman"/>
          <w:sz w:val="24"/>
          <w:szCs w:val="24"/>
        </w:rPr>
        <w:t xml:space="preserve"> (Hodder and Hodder, 2010).</w:t>
      </w:r>
      <w:r w:rsidR="008404B6" w:rsidRPr="00514F3B">
        <w:rPr>
          <w:rFonts w:ascii="Times New Roman" w:hAnsi="Times New Roman" w:cs="Times New Roman"/>
          <w:sz w:val="24"/>
          <w:szCs w:val="24"/>
        </w:rPr>
        <w:t xml:space="preserve">  Finally, from Table </w:t>
      </w:r>
      <w:r w:rsidR="000922B3" w:rsidRPr="00514F3B">
        <w:rPr>
          <w:rFonts w:ascii="Times New Roman" w:hAnsi="Times New Roman" w:cs="Times New Roman"/>
          <w:sz w:val="24"/>
          <w:szCs w:val="24"/>
        </w:rPr>
        <w:t>1</w:t>
      </w:r>
      <w:r w:rsidR="008404B6" w:rsidRPr="00514F3B">
        <w:rPr>
          <w:rFonts w:ascii="Times New Roman" w:hAnsi="Times New Roman" w:cs="Times New Roman"/>
          <w:sz w:val="24"/>
          <w:szCs w:val="24"/>
        </w:rPr>
        <w:t xml:space="preserve">, note that </w:t>
      </w:r>
      <w:r w:rsidR="00F87713" w:rsidRPr="00514F3B">
        <w:rPr>
          <w:rFonts w:ascii="Times New Roman" w:hAnsi="Times New Roman" w:cs="Times New Roman"/>
          <w:sz w:val="24"/>
          <w:szCs w:val="24"/>
        </w:rPr>
        <w:t>un-weighted</w:t>
      </w:r>
      <w:r w:rsidR="006A3D93" w:rsidRPr="00514F3B">
        <w:rPr>
          <w:rFonts w:ascii="Times New Roman" w:hAnsi="Times New Roman" w:cs="Times New Roman"/>
          <w:sz w:val="24"/>
          <w:szCs w:val="24"/>
        </w:rPr>
        <w:t>, but</w:t>
      </w:r>
      <w:r w:rsidR="00F87713" w:rsidRPr="00514F3B">
        <w:rPr>
          <w:rFonts w:ascii="Times New Roman" w:hAnsi="Times New Roman" w:cs="Times New Roman"/>
          <w:sz w:val="24"/>
          <w:szCs w:val="24"/>
        </w:rPr>
        <w:t xml:space="preserve"> </w:t>
      </w:r>
      <w:r w:rsidR="008404B6" w:rsidRPr="00514F3B">
        <w:rPr>
          <w:rFonts w:ascii="Times New Roman" w:hAnsi="Times New Roman" w:cs="Times New Roman"/>
          <w:sz w:val="24"/>
          <w:szCs w:val="24"/>
        </w:rPr>
        <w:t>share and size adjusted page output per capita increased by over 6</w:t>
      </w:r>
      <w:r w:rsidR="00C86538" w:rsidRPr="00514F3B">
        <w:rPr>
          <w:rFonts w:ascii="Times New Roman" w:hAnsi="Times New Roman" w:cs="Times New Roman"/>
          <w:sz w:val="24"/>
          <w:szCs w:val="24"/>
        </w:rPr>
        <w:t xml:space="preserve">3 percent </w:t>
      </w:r>
      <w:r w:rsidR="008404B6" w:rsidRPr="00514F3B">
        <w:rPr>
          <w:rFonts w:ascii="Times New Roman" w:hAnsi="Times New Roman" w:cs="Times New Roman"/>
          <w:sz w:val="24"/>
          <w:szCs w:val="24"/>
        </w:rPr>
        <w:t>from the B</w:t>
      </w:r>
      <w:r w:rsidR="00C86538" w:rsidRPr="00514F3B">
        <w:rPr>
          <w:rFonts w:ascii="Times New Roman" w:hAnsi="Times New Roman" w:cs="Times New Roman"/>
          <w:sz w:val="24"/>
          <w:szCs w:val="24"/>
        </w:rPr>
        <w:t>ASE</w:t>
      </w:r>
      <w:r w:rsidR="008404B6" w:rsidRPr="00514F3B">
        <w:rPr>
          <w:rFonts w:ascii="Times New Roman" w:hAnsi="Times New Roman" w:cs="Times New Roman"/>
          <w:sz w:val="24"/>
          <w:szCs w:val="24"/>
        </w:rPr>
        <w:t xml:space="preserve"> period to PBRF2</w:t>
      </w:r>
      <w:r w:rsidR="004D563A" w:rsidRPr="00514F3B">
        <w:rPr>
          <w:rFonts w:ascii="Times New Roman" w:hAnsi="Times New Roman" w:cs="Times New Roman"/>
          <w:sz w:val="24"/>
          <w:szCs w:val="24"/>
        </w:rPr>
        <w:t xml:space="preserve">. </w:t>
      </w:r>
      <w:r w:rsidR="00214A69" w:rsidRPr="00514F3B">
        <w:rPr>
          <w:rFonts w:ascii="Times New Roman" w:hAnsi="Times New Roman" w:cs="Times New Roman"/>
          <w:sz w:val="24"/>
          <w:szCs w:val="24"/>
        </w:rPr>
        <w:t xml:space="preserve"> In summary, it is clear that from a productivity perspective, albeit with all paper and page output deemed to be of equal value, the PBRF programme </w:t>
      </w:r>
      <w:r w:rsidR="006A3D93" w:rsidRPr="00514F3B">
        <w:rPr>
          <w:rFonts w:ascii="Times New Roman" w:hAnsi="Times New Roman" w:cs="Times New Roman"/>
          <w:sz w:val="24"/>
          <w:szCs w:val="24"/>
        </w:rPr>
        <w:t xml:space="preserve">appears to have been a </w:t>
      </w:r>
      <w:r w:rsidR="00214A69" w:rsidRPr="00514F3B">
        <w:rPr>
          <w:rFonts w:ascii="Times New Roman" w:hAnsi="Times New Roman" w:cs="Times New Roman"/>
          <w:sz w:val="24"/>
          <w:szCs w:val="24"/>
        </w:rPr>
        <w:t xml:space="preserve">success.  </w:t>
      </w:r>
      <w:r w:rsidR="008404B6" w:rsidRPr="00514F3B">
        <w:rPr>
          <w:rFonts w:ascii="Times New Roman" w:hAnsi="Times New Roman" w:cs="Times New Roman"/>
          <w:sz w:val="24"/>
          <w:szCs w:val="24"/>
        </w:rPr>
        <w:t xml:space="preserve"> </w:t>
      </w:r>
      <w:r w:rsidR="003C1276" w:rsidRPr="00514F3B">
        <w:rPr>
          <w:rFonts w:ascii="Times New Roman" w:hAnsi="Times New Roman" w:cs="Times New Roman"/>
          <w:sz w:val="24"/>
          <w:szCs w:val="24"/>
        </w:rPr>
        <w:t>However, not everything else is</w:t>
      </w:r>
      <w:r w:rsidR="004D14E2" w:rsidRPr="00514F3B">
        <w:rPr>
          <w:rFonts w:ascii="Times New Roman" w:hAnsi="Times New Roman" w:cs="Times New Roman"/>
          <w:sz w:val="24"/>
          <w:szCs w:val="24"/>
        </w:rPr>
        <w:t xml:space="preserve"> </w:t>
      </w:r>
      <w:r w:rsidR="003C1276" w:rsidRPr="00514F3B">
        <w:rPr>
          <w:rFonts w:ascii="Times New Roman" w:hAnsi="Times New Roman" w:cs="Times New Roman"/>
          <w:sz w:val="24"/>
          <w:szCs w:val="24"/>
        </w:rPr>
        <w:t>equal in the publication realm, and to address this issue we shall now employ the</w:t>
      </w:r>
      <w:r w:rsidR="006A3D93" w:rsidRPr="00514F3B">
        <w:rPr>
          <w:rFonts w:ascii="Times New Roman" w:hAnsi="Times New Roman" w:cs="Times New Roman"/>
          <w:sz w:val="24"/>
          <w:szCs w:val="24"/>
        </w:rPr>
        <w:t xml:space="preserve"> previously </w:t>
      </w:r>
      <w:r w:rsidR="00EF459C" w:rsidRPr="00514F3B">
        <w:rPr>
          <w:rFonts w:ascii="Times New Roman" w:hAnsi="Times New Roman" w:cs="Times New Roman"/>
          <w:sz w:val="24"/>
          <w:szCs w:val="24"/>
        </w:rPr>
        <w:t xml:space="preserve">referenced </w:t>
      </w:r>
      <w:r w:rsidR="003C1276" w:rsidRPr="00514F3B">
        <w:rPr>
          <w:rFonts w:ascii="Times New Roman" w:hAnsi="Times New Roman" w:cs="Times New Roman"/>
          <w:sz w:val="24"/>
          <w:szCs w:val="24"/>
        </w:rPr>
        <w:t>22 journal weighting schemes (JWS)</w:t>
      </w:r>
      <w:r w:rsidR="006A3D93" w:rsidRPr="00514F3B">
        <w:rPr>
          <w:rFonts w:ascii="Times New Roman" w:hAnsi="Times New Roman" w:cs="Times New Roman"/>
          <w:sz w:val="24"/>
          <w:szCs w:val="24"/>
        </w:rPr>
        <w:t xml:space="preserve">. </w:t>
      </w:r>
      <w:r w:rsidR="003C1276" w:rsidRPr="00514F3B">
        <w:rPr>
          <w:rFonts w:ascii="Times New Roman" w:hAnsi="Times New Roman" w:cs="Times New Roman"/>
          <w:sz w:val="24"/>
          <w:szCs w:val="24"/>
        </w:rPr>
        <w:t xml:space="preserve"> </w:t>
      </w:r>
    </w:p>
    <w:p w:rsidR="00AB4D6D" w:rsidRPr="00056099" w:rsidRDefault="00AB4D6D" w:rsidP="00514F3B">
      <w:pPr>
        <w:tabs>
          <w:tab w:val="left" w:pos="426"/>
        </w:tabs>
        <w:jc w:val="both"/>
        <w:rPr>
          <w:rFonts w:ascii="Times New Roman" w:hAnsi="Times New Roman" w:cs="Times New Roman"/>
          <w:sz w:val="16"/>
          <w:szCs w:val="16"/>
        </w:rPr>
      </w:pPr>
    </w:p>
    <w:tbl>
      <w:tblPr>
        <w:tblW w:w="8648" w:type="dxa"/>
        <w:jc w:val="center"/>
        <w:tblInd w:w="-785" w:type="dxa"/>
        <w:tblLook w:val="04A0"/>
      </w:tblPr>
      <w:tblGrid>
        <w:gridCol w:w="1654"/>
        <w:gridCol w:w="1559"/>
        <w:gridCol w:w="1701"/>
        <w:gridCol w:w="142"/>
        <w:gridCol w:w="1642"/>
        <w:gridCol w:w="1950"/>
      </w:tblGrid>
      <w:tr w:rsidR="003B123F" w:rsidRPr="00AB4D6D" w:rsidTr="00FF1968">
        <w:trPr>
          <w:trHeight w:val="315"/>
          <w:jc w:val="center"/>
        </w:trPr>
        <w:tc>
          <w:tcPr>
            <w:tcW w:w="8648" w:type="dxa"/>
            <w:gridSpan w:val="6"/>
            <w:tcBorders>
              <w:top w:val="nil"/>
              <w:left w:val="nil"/>
              <w:right w:val="nil"/>
            </w:tcBorders>
            <w:shd w:val="clear" w:color="auto" w:fill="auto"/>
            <w:noWrap/>
            <w:vAlign w:val="bottom"/>
            <w:hideMark/>
          </w:tcPr>
          <w:p w:rsidR="00AB4D6D" w:rsidRDefault="003B123F" w:rsidP="00AB4D6D">
            <w:pPr>
              <w:tabs>
                <w:tab w:val="left" w:pos="426"/>
              </w:tabs>
              <w:spacing w:after="0" w:line="240" w:lineRule="auto"/>
              <w:jc w:val="center"/>
              <w:rPr>
                <w:rFonts w:ascii="Times New Roman" w:eastAsia="Times New Roman" w:hAnsi="Times New Roman" w:cs="Times New Roman"/>
                <w:b/>
                <w:bCs/>
                <w:color w:val="000000"/>
                <w:lang w:val="en-NZ" w:eastAsia="zh-CN"/>
              </w:rPr>
            </w:pPr>
            <w:r w:rsidRPr="00AB4D6D">
              <w:rPr>
                <w:rFonts w:ascii="Times New Roman" w:eastAsia="Times New Roman" w:hAnsi="Times New Roman" w:cs="Times New Roman"/>
                <w:b/>
                <w:bCs/>
                <w:color w:val="000000"/>
                <w:lang w:val="en-NZ" w:eastAsia="zh-CN"/>
              </w:rPr>
              <w:t xml:space="preserve">Table 1: Ratio </w:t>
            </w:r>
            <w:r w:rsidR="00AB4D6D">
              <w:rPr>
                <w:rFonts w:ascii="Times New Roman" w:eastAsia="Times New Roman" w:hAnsi="Times New Roman" w:cs="Times New Roman"/>
                <w:b/>
                <w:bCs/>
                <w:color w:val="000000"/>
                <w:lang w:val="en-NZ" w:eastAsia="zh-CN"/>
              </w:rPr>
              <w:t>of Output Between Time Periods</w:t>
            </w:r>
          </w:p>
          <w:p w:rsidR="003B123F" w:rsidRPr="00AB4D6D" w:rsidRDefault="003B123F" w:rsidP="00AB4D6D">
            <w:pPr>
              <w:tabs>
                <w:tab w:val="left" w:pos="426"/>
              </w:tabs>
              <w:spacing w:after="0" w:line="240" w:lineRule="auto"/>
              <w:jc w:val="center"/>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Various Categories</w:t>
            </w:r>
          </w:p>
          <w:p w:rsidR="00AB4D6D" w:rsidRPr="00AB4D6D" w:rsidRDefault="00AB4D6D" w:rsidP="00AB4D6D">
            <w:pPr>
              <w:tabs>
                <w:tab w:val="left" w:pos="426"/>
              </w:tabs>
              <w:spacing w:after="0" w:line="240" w:lineRule="auto"/>
              <w:jc w:val="center"/>
              <w:rPr>
                <w:rFonts w:ascii="Times New Roman" w:eastAsia="Times New Roman" w:hAnsi="Times New Roman" w:cs="Times New Roman"/>
                <w:b/>
                <w:bCs/>
                <w:color w:val="000000"/>
                <w:sz w:val="10"/>
                <w:szCs w:val="10"/>
                <w:lang w:val="en-NZ" w:eastAsia="zh-CN"/>
              </w:rPr>
            </w:pPr>
          </w:p>
        </w:tc>
      </w:tr>
      <w:tr w:rsidR="003B123F" w:rsidRPr="00AB4D6D" w:rsidTr="00FF1968">
        <w:trPr>
          <w:trHeight w:val="525"/>
          <w:jc w:val="center"/>
        </w:trPr>
        <w:tc>
          <w:tcPr>
            <w:tcW w:w="1654" w:type="dxa"/>
            <w:tcBorders>
              <w:top w:val="single" w:sz="4" w:space="0" w:color="auto"/>
              <w:left w:val="nil"/>
              <w:bottom w:val="single" w:sz="4" w:space="0" w:color="auto"/>
              <w:right w:val="nil"/>
            </w:tcBorders>
            <w:shd w:val="clear" w:color="auto" w:fill="auto"/>
            <w:noWrap/>
            <w:vAlign w:val="bottom"/>
            <w:hideMark/>
          </w:tcPr>
          <w:p w:rsidR="003B123F" w:rsidRPr="00AB4D6D" w:rsidRDefault="003B123F" w:rsidP="00514F3B">
            <w:pPr>
              <w:tabs>
                <w:tab w:val="left" w:pos="426"/>
              </w:tabs>
              <w:spacing w:after="0" w:line="240" w:lineRule="auto"/>
              <w:jc w:val="both"/>
              <w:rPr>
                <w:rFonts w:ascii="Times New Roman" w:eastAsia="Times New Roman" w:hAnsi="Times New Roman" w:cs="Times New Roman"/>
                <w:lang w:val="en-NZ" w:eastAsia="zh-CN"/>
              </w:rPr>
            </w:pPr>
          </w:p>
        </w:tc>
        <w:tc>
          <w:tcPr>
            <w:tcW w:w="1559" w:type="dxa"/>
            <w:tcBorders>
              <w:top w:val="single" w:sz="4" w:space="0" w:color="auto"/>
              <w:left w:val="nil"/>
              <w:bottom w:val="single" w:sz="4" w:space="0" w:color="auto"/>
              <w:right w:val="nil"/>
            </w:tcBorders>
            <w:shd w:val="clear" w:color="auto" w:fill="auto"/>
            <w:vAlign w:val="bottom"/>
            <w:hideMark/>
          </w:tcPr>
          <w:p w:rsidR="00AB4D6D" w:rsidRDefault="00FF1968"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Number</w:t>
            </w:r>
            <w:r w:rsidR="003B123F" w:rsidRPr="00AB4D6D">
              <w:rPr>
                <w:rFonts w:ascii="Times New Roman" w:eastAsia="Times New Roman" w:hAnsi="Times New Roman" w:cs="Times New Roman"/>
                <w:bCs/>
                <w:lang w:val="en-NZ" w:eastAsia="zh-CN"/>
              </w:rPr>
              <w:t xml:space="preserve"> </w:t>
            </w:r>
          </w:p>
          <w:p w:rsidR="00FF1968" w:rsidRPr="00AB4D6D" w:rsidRDefault="003B123F"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of</w:t>
            </w:r>
          </w:p>
          <w:p w:rsidR="003B123F" w:rsidRPr="00AB4D6D" w:rsidRDefault="003B123F"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Papers</w:t>
            </w:r>
          </w:p>
        </w:tc>
        <w:tc>
          <w:tcPr>
            <w:tcW w:w="1701" w:type="dxa"/>
            <w:tcBorders>
              <w:top w:val="single" w:sz="4" w:space="0" w:color="auto"/>
              <w:left w:val="nil"/>
              <w:bottom w:val="single" w:sz="4" w:space="0" w:color="auto"/>
              <w:right w:val="nil"/>
            </w:tcBorders>
            <w:shd w:val="clear" w:color="auto" w:fill="auto"/>
            <w:vAlign w:val="bottom"/>
            <w:hideMark/>
          </w:tcPr>
          <w:p w:rsidR="00AB4D6D" w:rsidRDefault="00FF1968"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 xml:space="preserve">Papers </w:t>
            </w:r>
          </w:p>
          <w:p w:rsidR="003B123F" w:rsidRPr="00AB4D6D" w:rsidRDefault="00FF1968"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Per</w:t>
            </w:r>
            <w:r w:rsidR="003B123F" w:rsidRPr="00AB4D6D">
              <w:rPr>
                <w:rFonts w:ascii="Times New Roman" w:eastAsia="Times New Roman" w:hAnsi="Times New Roman" w:cs="Times New Roman"/>
                <w:bCs/>
                <w:lang w:val="en-NZ" w:eastAsia="zh-CN"/>
              </w:rPr>
              <w:br/>
              <w:t>Capita</w:t>
            </w:r>
          </w:p>
        </w:tc>
        <w:tc>
          <w:tcPr>
            <w:tcW w:w="1784" w:type="dxa"/>
            <w:gridSpan w:val="2"/>
            <w:tcBorders>
              <w:top w:val="single" w:sz="4" w:space="0" w:color="auto"/>
              <w:left w:val="nil"/>
              <w:bottom w:val="single" w:sz="4" w:space="0" w:color="auto"/>
              <w:right w:val="nil"/>
            </w:tcBorders>
            <w:shd w:val="clear" w:color="auto" w:fill="auto"/>
            <w:vAlign w:val="bottom"/>
            <w:hideMark/>
          </w:tcPr>
          <w:p w:rsidR="00AB4D6D" w:rsidRDefault="00FF1968"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 xml:space="preserve">Share </w:t>
            </w:r>
          </w:p>
          <w:p w:rsidR="003B123F" w:rsidRPr="00AB4D6D" w:rsidRDefault="00FF1968" w:rsidP="00FF1968">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Adj</w:t>
            </w:r>
            <w:r w:rsidR="00B22944" w:rsidRPr="00AB4D6D">
              <w:rPr>
                <w:rFonts w:ascii="Times New Roman" w:eastAsia="Times New Roman" w:hAnsi="Times New Roman" w:cs="Times New Roman"/>
                <w:bCs/>
                <w:lang w:val="en-NZ" w:eastAsia="zh-CN"/>
              </w:rPr>
              <w:t>usted</w:t>
            </w:r>
            <w:r w:rsidRPr="00AB4D6D">
              <w:rPr>
                <w:rFonts w:ascii="Times New Roman" w:eastAsia="Times New Roman" w:hAnsi="Times New Roman" w:cs="Times New Roman"/>
                <w:bCs/>
                <w:lang w:val="en-NZ" w:eastAsia="zh-CN"/>
              </w:rPr>
              <w:t xml:space="preserve"> Papers Per </w:t>
            </w:r>
            <w:r w:rsidR="003B123F" w:rsidRPr="00AB4D6D">
              <w:rPr>
                <w:rFonts w:ascii="Times New Roman" w:eastAsia="Times New Roman" w:hAnsi="Times New Roman" w:cs="Times New Roman"/>
                <w:bCs/>
                <w:lang w:val="en-NZ" w:eastAsia="zh-CN"/>
              </w:rPr>
              <w:t>Capita</w:t>
            </w:r>
          </w:p>
        </w:tc>
        <w:tc>
          <w:tcPr>
            <w:tcW w:w="1950" w:type="dxa"/>
            <w:tcBorders>
              <w:top w:val="single" w:sz="4" w:space="0" w:color="auto"/>
              <w:left w:val="nil"/>
              <w:bottom w:val="single" w:sz="4" w:space="0" w:color="auto"/>
              <w:right w:val="nil"/>
            </w:tcBorders>
            <w:shd w:val="clear" w:color="auto" w:fill="auto"/>
            <w:vAlign w:val="bottom"/>
            <w:hideMark/>
          </w:tcPr>
          <w:p w:rsidR="003B123F" w:rsidRPr="00AB4D6D" w:rsidRDefault="003B123F" w:rsidP="00C44785">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 xml:space="preserve">Size </w:t>
            </w:r>
            <w:r w:rsidR="00FF1968" w:rsidRPr="00AB4D6D">
              <w:rPr>
                <w:rFonts w:ascii="Times New Roman" w:eastAsia="Times New Roman" w:hAnsi="Times New Roman" w:cs="Times New Roman"/>
                <w:bCs/>
                <w:lang w:val="en-NZ" w:eastAsia="zh-CN"/>
              </w:rPr>
              <w:t>and Share Adj</w:t>
            </w:r>
            <w:r w:rsidR="00B22944" w:rsidRPr="00AB4D6D">
              <w:rPr>
                <w:rFonts w:ascii="Times New Roman" w:eastAsia="Times New Roman" w:hAnsi="Times New Roman" w:cs="Times New Roman"/>
                <w:bCs/>
                <w:lang w:val="en-NZ" w:eastAsia="zh-CN"/>
              </w:rPr>
              <w:t>usted</w:t>
            </w:r>
            <w:r w:rsidR="00FF1968" w:rsidRPr="00AB4D6D">
              <w:rPr>
                <w:rFonts w:ascii="Times New Roman" w:eastAsia="Times New Roman" w:hAnsi="Times New Roman" w:cs="Times New Roman"/>
                <w:bCs/>
                <w:lang w:val="en-NZ" w:eastAsia="zh-CN"/>
              </w:rPr>
              <w:t xml:space="preserve"> Pa</w:t>
            </w:r>
            <w:r w:rsidR="00C44785">
              <w:rPr>
                <w:rFonts w:ascii="Times New Roman" w:eastAsia="Times New Roman" w:hAnsi="Times New Roman" w:cs="Times New Roman"/>
                <w:bCs/>
                <w:lang w:val="en-NZ" w:eastAsia="zh-CN"/>
              </w:rPr>
              <w:t>ges</w:t>
            </w:r>
            <w:r w:rsidR="00FF1968" w:rsidRPr="00AB4D6D">
              <w:rPr>
                <w:rFonts w:ascii="Times New Roman" w:eastAsia="Times New Roman" w:hAnsi="Times New Roman" w:cs="Times New Roman"/>
                <w:bCs/>
                <w:lang w:val="en-NZ" w:eastAsia="zh-CN"/>
              </w:rPr>
              <w:t xml:space="preserve"> Per</w:t>
            </w:r>
            <w:r w:rsidRPr="00AB4D6D">
              <w:rPr>
                <w:rFonts w:ascii="Times New Roman" w:eastAsia="Times New Roman" w:hAnsi="Times New Roman" w:cs="Times New Roman"/>
                <w:bCs/>
                <w:lang w:val="en-NZ" w:eastAsia="zh-CN"/>
              </w:rPr>
              <w:t xml:space="preserve"> Capita</w:t>
            </w:r>
          </w:p>
        </w:tc>
      </w:tr>
      <w:tr w:rsidR="003B123F" w:rsidRPr="00AB4D6D" w:rsidTr="00AB4D6D">
        <w:trPr>
          <w:trHeight w:val="300"/>
          <w:jc w:val="center"/>
        </w:trPr>
        <w:tc>
          <w:tcPr>
            <w:tcW w:w="1654" w:type="dxa"/>
            <w:tcBorders>
              <w:top w:val="nil"/>
              <w:left w:val="nil"/>
              <w:bottom w:val="nil"/>
              <w:right w:val="nil"/>
            </w:tcBorders>
            <w:shd w:val="clear" w:color="auto" w:fill="auto"/>
            <w:noWrap/>
            <w:vAlign w:val="bottom"/>
            <w:hideMark/>
          </w:tcPr>
          <w:p w:rsidR="003B123F" w:rsidRPr="00AB4D6D" w:rsidRDefault="003B123F" w:rsidP="00514F3B">
            <w:pPr>
              <w:tabs>
                <w:tab w:val="left" w:pos="426"/>
              </w:tabs>
              <w:spacing w:after="0" w:line="240" w:lineRule="auto"/>
              <w:jc w:val="both"/>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06-11: 94-99</w:t>
            </w:r>
          </w:p>
        </w:tc>
        <w:tc>
          <w:tcPr>
            <w:tcW w:w="1559"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2.08</w:t>
            </w:r>
          </w:p>
        </w:tc>
        <w:tc>
          <w:tcPr>
            <w:tcW w:w="1843" w:type="dxa"/>
            <w:gridSpan w:val="2"/>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1.78</w:t>
            </w:r>
          </w:p>
        </w:tc>
        <w:tc>
          <w:tcPr>
            <w:tcW w:w="1642" w:type="dxa"/>
            <w:tcBorders>
              <w:top w:val="nil"/>
              <w:left w:val="nil"/>
              <w:bottom w:val="nil"/>
              <w:right w:val="nil"/>
            </w:tcBorders>
            <w:shd w:val="clear" w:color="auto" w:fill="auto"/>
            <w:noWrap/>
            <w:vAlign w:val="bottom"/>
            <w:hideMark/>
          </w:tcPr>
          <w:p w:rsidR="003B123F" w:rsidRPr="00AB4D6D" w:rsidRDefault="003B123F" w:rsidP="008E4CC0">
            <w:pPr>
              <w:tabs>
                <w:tab w:val="left" w:pos="331"/>
              </w:tabs>
              <w:spacing w:after="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1.32</w:t>
            </w:r>
          </w:p>
        </w:tc>
        <w:tc>
          <w:tcPr>
            <w:tcW w:w="1950"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1.63</w:t>
            </w:r>
          </w:p>
        </w:tc>
      </w:tr>
      <w:tr w:rsidR="003B123F" w:rsidRPr="00AB4D6D" w:rsidTr="00AB4D6D">
        <w:trPr>
          <w:trHeight w:val="300"/>
          <w:jc w:val="center"/>
        </w:trPr>
        <w:tc>
          <w:tcPr>
            <w:tcW w:w="1654" w:type="dxa"/>
            <w:tcBorders>
              <w:top w:val="nil"/>
              <w:left w:val="nil"/>
              <w:bottom w:val="nil"/>
              <w:right w:val="nil"/>
            </w:tcBorders>
            <w:shd w:val="clear" w:color="auto" w:fill="auto"/>
            <w:noWrap/>
            <w:vAlign w:val="bottom"/>
            <w:hideMark/>
          </w:tcPr>
          <w:p w:rsidR="003B123F" w:rsidRPr="00AB4D6D" w:rsidRDefault="003B123F"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06-11: 00-05</w:t>
            </w:r>
          </w:p>
        </w:tc>
        <w:tc>
          <w:tcPr>
            <w:tcW w:w="1559"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1.40</w:t>
            </w:r>
          </w:p>
        </w:tc>
        <w:tc>
          <w:tcPr>
            <w:tcW w:w="1843" w:type="dxa"/>
            <w:gridSpan w:val="2"/>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1.41</w:t>
            </w:r>
          </w:p>
        </w:tc>
        <w:tc>
          <w:tcPr>
            <w:tcW w:w="1642" w:type="dxa"/>
            <w:tcBorders>
              <w:top w:val="nil"/>
              <w:left w:val="nil"/>
              <w:bottom w:val="nil"/>
              <w:right w:val="nil"/>
            </w:tcBorders>
            <w:shd w:val="clear" w:color="auto" w:fill="auto"/>
            <w:noWrap/>
            <w:vAlign w:val="bottom"/>
            <w:hideMark/>
          </w:tcPr>
          <w:p w:rsidR="003B123F" w:rsidRPr="00F84825" w:rsidRDefault="00F84825" w:rsidP="00F84825">
            <w:pPr>
              <w:tabs>
                <w:tab w:val="left" w:pos="331"/>
              </w:tabs>
              <w:spacing w:after="0" w:line="240" w:lineRule="auto"/>
              <w:ind w:right="523"/>
              <w:jc w:val="right"/>
              <w:rPr>
                <w:rFonts w:ascii="Times New Roman" w:eastAsia="Times New Roman" w:hAnsi="Times New Roman" w:cs="Times New Roman"/>
                <w:color w:val="000000"/>
                <w:highlight w:val="yellow"/>
                <w:lang w:val="en-NZ" w:eastAsia="zh-CN"/>
              </w:rPr>
            </w:pPr>
            <w:r w:rsidRPr="00F84825">
              <w:rPr>
                <w:rFonts w:ascii="Times New Roman" w:eastAsia="Times New Roman" w:hAnsi="Times New Roman" w:cs="Times New Roman"/>
                <w:color w:val="000000"/>
                <w:highlight w:val="yellow"/>
                <w:lang w:val="en-NZ" w:eastAsia="zh-CN"/>
              </w:rPr>
              <w:t>1.17</w:t>
            </w:r>
          </w:p>
        </w:tc>
        <w:tc>
          <w:tcPr>
            <w:tcW w:w="1950" w:type="dxa"/>
            <w:tcBorders>
              <w:top w:val="nil"/>
              <w:left w:val="nil"/>
              <w:bottom w:val="nil"/>
              <w:right w:val="nil"/>
            </w:tcBorders>
            <w:shd w:val="clear" w:color="auto" w:fill="auto"/>
            <w:noWrap/>
            <w:vAlign w:val="bottom"/>
            <w:hideMark/>
          </w:tcPr>
          <w:p w:rsidR="003B123F" w:rsidRPr="00F84825" w:rsidRDefault="00F84825" w:rsidP="00F84825">
            <w:pPr>
              <w:tabs>
                <w:tab w:val="left" w:pos="426"/>
              </w:tabs>
              <w:spacing w:after="0" w:line="240" w:lineRule="auto"/>
              <w:ind w:right="523"/>
              <w:jc w:val="right"/>
              <w:rPr>
                <w:rFonts w:ascii="Times New Roman" w:eastAsia="Times New Roman" w:hAnsi="Times New Roman" w:cs="Times New Roman"/>
                <w:color w:val="000000"/>
                <w:highlight w:val="yellow"/>
                <w:lang w:val="en-NZ" w:eastAsia="zh-CN"/>
              </w:rPr>
            </w:pPr>
            <w:r w:rsidRPr="00F84825">
              <w:rPr>
                <w:rFonts w:ascii="Times New Roman" w:eastAsia="Times New Roman" w:hAnsi="Times New Roman" w:cs="Times New Roman"/>
                <w:color w:val="000000"/>
                <w:highlight w:val="yellow"/>
                <w:lang w:val="en-NZ" w:eastAsia="zh-CN"/>
              </w:rPr>
              <w:t>1.23</w:t>
            </w:r>
          </w:p>
        </w:tc>
      </w:tr>
      <w:tr w:rsidR="003B123F" w:rsidRPr="00AB4D6D" w:rsidTr="00AB4D6D">
        <w:trPr>
          <w:trHeight w:val="300"/>
          <w:jc w:val="center"/>
        </w:trPr>
        <w:tc>
          <w:tcPr>
            <w:tcW w:w="1654" w:type="dxa"/>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jc w:val="both"/>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00-05: 94-99</w:t>
            </w:r>
          </w:p>
        </w:tc>
        <w:tc>
          <w:tcPr>
            <w:tcW w:w="1559" w:type="dxa"/>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1.48</w:t>
            </w:r>
          </w:p>
        </w:tc>
        <w:tc>
          <w:tcPr>
            <w:tcW w:w="1843" w:type="dxa"/>
            <w:gridSpan w:val="2"/>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ind w:right="523"/>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1.26</w:t>
            </w:r>
          </w:p>
        </w:tc>
        <w:tc>
          <w:tcPr>
            <w:tcW w:w="1642" w:type="dxa"/>
            <w:tcBorders>
              <w:top w:val="nil"/>
              <w:left w:val="nil"/>
              <w:bottom w:val="single" w:sz="4" w:space="0" w:color="auto"/>
              <w:right w:val="nil"/>
            </w:tcBorders>
            <w:shd w:val="clear" w:color="auto" w:fill="auto"/>
            <w:noWrap/>
            <w:vAlign w:val="bottom"/>
            <w:hideMark/>
          </w:tcPr>
          <w:p w:rsidR="003B123F" w:rsidRPr="00F84825" w:rsidRDefault="00F84825" w:rsidP="00056099">
            <w:pPr>
              <w:tabs>
                <w:tab w:val="left" w:pos="331"/>
              </w:tabs>
              <w:spacing w:after="60" w:line="240" w:lineRule="auto"/>
              <w:ind w:right="523"/>
              <w:jc w:val="right"/>
              <w:rPr>
                <w:rFonts w:ascii="Times New Roman" w:eastAsia="Times New Roman" w:hAnsi="Times New Roman" w:cs="Times New Roman"/>
                <w:color w:val="000000"/>
                <w:highlight w:val="yellow"/>
                <w:lang w:val="en-NZ" w:eastAsia="zh-CN"/>
              </w:rPr>
            </w:pPr>
            <w:r w:rsidRPr="00F84825">
              <w:rPr>
                <w:rFonts w:ascii="Times New Roman" w:eastAsia="Times New Roman" w:hAnsi="Times New Roman" w:cs="Times New Roman"/>
                <w:color w:val="000000"/>
                <w:highlight w:val="yellow"/>
                <w:lang w:val="en-NZ" w:eastAsia="zh-CN"/>
              </w:rPr>
              <w:t>1.13</w:t>
            </w:r>
          </w:p>
        </w:tc>
        <w:tc>
          <w:tcPr>
            <w:tcW w:w="1950" w:type="dxa"/>
            <w:tcBorders>
              <w:top w:val="nil"/>
              <w:left w:val="nil"/>
              <w:bottom w:val="single" w:sz="4" w:space="0" w:color="auto"/>
              <w:right w:val="nil"/>
            </w:tcBorders>
            <w:shd w:val="clear" w:color="auto" w:fill="auto"/>
            <w:noWrap/>
            <w:vAlign w:val="bottom"/>
            <w:hideMark/>
          </w:tcPr>
          <w:p w:rsidR="003B123F" w:rsidRPr="00F84825" w:rsidRDefault="00F84825" w:rsidP="00F84825">
            <w:pPr>
              <w:tabs>
                <w:tab w:val="left" w:pos="426"/>
              </w:tabs>
              <w:spacing w:after="60" w:line="240" w:lineRule="auto"/>
              <w:ind w:right="523"/>
              <w:jc w:val="right"/>
              <w:rPr>
                <w:rFonts w:ascii="Times New Roman" w:eastAsia="Times New Roman" w:hAnsi="Times New Roman" w:cs="Times New Roman"/>
                <w:color w:val="000000"/>
                <w:highlight w:val="yellow"/>
                <w:lang w:val="en-NZ" w:eastAsia="zh-CN"/>
              </w:rPr>
            </w:pPr>
            <w:r w:rsidRPr="00F84825">
              <w:rPr>
                <w:rFonts w:ascii="Times New Roman" w:eastAsia="Times New Roman" w:hAnsi="Times New Roman" w:cs="Times New Roman"/>
                <w:color w:val="000000"/>
                <w:highlight w:val="yellow"/>
                <w:lang w:val="en-NZ" w:eastAsia="zh-CN"/>
              </w:rPr>
              <w:t>1.32</w:t>
            </w:r>
          </w:p>
        </w:tc>
      </w:tr>
    </w:tbl>
    <w:p w:rsidR="003E5413" w:rsidRPr="008E4CC0" w:rsidRDefault="003E5413" w:rsidP="00514F3B">
      <w:pPr>
        <w:tabs>
          <w:tab w:val="left" w:pos="426"/>
        </w:tabs>
        <w:jc w:val="both"/>
        <w:rPr>
          <w:rFonts w:ascii="Times New Roman" w:hAnsi="Times New Roman" w:cs="Times New Roman"/>
          <w:sz w:val="20"/>
          <w:szCs w:val="20"/>
        </w:rPr>
      </w:pPr>
    </w:p>
    <w:tbl>
      <w:tblPr>
        <w:tblW w:w="8561" w:type="dxa"/>
        <w:jc w:val="center"/>
        <w:tblInd w:w="-88" w:type="dxa"/>
        <w:tblLook w:val="04A0"/>
      </w:tblPr>
      <w:tblGrid>
        <w:gridCol w:w="1741"/>
        <w:gridCol w:w="1660"/>
        <w:gridCol w:w="2020"/>
        <w:gridCol w:w="1620"/>
        <w:gridCol w:w="1520"/>
      </w:tblGrid>
      <w:tr w:rsidR="003B123F" w:rsidRPr="00514F3B" w:rsidTr="00AB4D6D">
        <w:trPr>
          <w:trHeight w:val="375"/>
          <w:jc w:val="center"/>
        </w:trPr>
        <w:tc>
          <w:tcPr>
            <w:tcW w:w="8561" w:type="dxa"/>
            <w:gridSpan w:val="5"/>
            <w:tcBorders>
              <w:top w:val="nil"/>
              <w:left w:val="nil"/>
              <w:right w:val="nil"/>
            </w:tcBorders>
            <w:shd w:val="clear" w:color="auto" w:fill="auto"/>
            <w:noWrap/>
            <w:vAlign w:val="bottom"/>
            <w:hideMark/>
          </w:tcPr>
          <w:p w:rsidR="009652C6" w:rsidRPr="00AB4D6D" w:rsidRDefault="003B123F" w:rsidP="00AB4D6D">
            <w:pPr>
              <w:tabs>
                <w:tab w:val="left" w:pos="426"/>
              </w:tabs>
              <w:spacing w:after="0" w:line="240" w:lineRule="auto"/>
              <w:jc w:val="center"/>
              <w:rPr>
                <w:rFonts w:ascii="Times New Roman" w:eastAsia="Times New Roman" w:hAnsi="Times New Roman" w:cs="Times New Roman"/>
                <w:b/>
                <w:bCs/>
                <w:color w:val="000000"/>
                <w:lang w:val="en-NZ" w:eastAsia="zh-CN"/>
              </w:rPr>
            </w:pPr>
            <w:r w:rsidRPr="00AB4D6D">
              <w:rPr>
                <w:rFonts w:ascii="Times New Roman" w:eastAsia="Times New Roman" w:hAnsi="Times New Roman" w:cs="Times New Roman"/>
                <w:b/>
                <w:bCs/>
                <w:color w:val="000000"/>
                <w:lang w:val="en-NZ" w:eastAsia="zh-CN"/>
              </w:rPr>
              <w:t>Table 2.  Ratio of Standardized Scores Between Various Time Periods</w:t>
            </w:r>
          </w:p>
          <w:p w:rsidR="003B123F" w:rsidRDefault="009652C6" w:rsidP="00AB4D6D">
            <w:pPr>
              <w:tabs>
                <w:tab w:val="left" w:pos="426"/>
              </w:tabs>
              <w:spacing w:after="0" w:line="240" w:lineRule="auto"/>
              <w:jc w:val="center"/>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Simple Average, 22 Journal Weighting Schemes</w:t>
            </w:r>
          </w:p>
          <w:p w:rsidR="00AB4D6D" w:rsidRPr="00AB4D6D" w:rsidRDefault="00AB4D6D" w:rsidP="00AB4D6D">
            <w:pPr>
              <w:tabs>
                <w:tab w:val="left" w:pos="426"/>
              </w:tabs>
              <w:spacing w:after="0" w:line="240" w:lineRule="auto"/>
              <w:jc w:val="center"/>
              <w:rPr>
                <w:rFonts w:ascii="Times New Roman" w:eastAsia="Times New Roman" w:hAnsi="Times New Roman" w:cs="Times New Roman"/>
                <w:bCs/>
                <w:color w:val="000000"/>
                <w:sz w:val="10"/>
                <w:szCs w:val="10"/>
                <w:lang w:val="en-NZ" w:eastAsia="zh-CN"/>
              </w:rPr>
            </w:pPr>
          </w:p>
        </w:tc>
      </w:tr>
      <w:tr w:rsidR="003B123F" w:rsidRPr="00514F3B" w:rsidTr="00AB4D6D">
        <w:trPr>
          <w:trHeight w:val="735"/>
          <w:jc w:val="center"/>
        </w:trPr>
        <w:tc>
          <w:tcPr>
            <w:tcW w:w="1741" w:type="dxa"/>
            <w:tcBorders>
              <w:top w:val="single" w:sz="4" w:space="0" w:color="auto"/>
              <w:left w:val="nil"/>
              <w:bottom w:val="single" w:sz="4" w:space="0" w:color="auto"/>
              <w:right w:val="nil"/>
            </w:tcBorders>
            <w:shd w:val="clear" w:color="auto" w:fill="auto"/>
            <w:vAlign w:val="bottom"/>
            <w:hideMark/>
          </w:tcPr>
          <w:p w:rsidR="003B123F" w:rsidRPr="00AB4D6D" w:rsidRDefault="003B123F" w:rsidP="00514F3B">
            <w:pPr>
              <w:tabs>
                <w:tab w:val="left" w:pos="426"/>
              </w:tabs>
              <w:spacing w:after="0" w:line="240" w:lineRule="auto"/>
              <w:jc w:val="both"/>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Time Periods</w:t>
            </w:r>
          </w:p>
        </w:tc>
        <w:tc>
          <w:tcPr>
            <w:tcW w:w="1660" w:type="dxa"/>
            <w:tcBorders>
              <w:top w:val="single" w:sz="4" w:space="0" w:color="auto"/>
              <w:left w:val="nil"/>
              <w:bottom w:val="single" w:sz="4" w:space="0" w:color="auto"/>
              <w:right w:val="nil"/>
            </w:tcBorders>
            <w:shd w:val="clear" w:color="auto" w:fill="auto"/>
            <w:vAlign w:val="bottom"/>
            <w:hideMark/>
          </w:tcPr>
          <w:p w:rsidR="00AB4D6D" w:rsidRDefault="003B123F" w:rsidP="00AB4D6D">
            <w:pPr>
              <w:tabs>
                <w:tab w:val="left" w:pos="426"/>
              </w:tabs>
              <w:spacing w:after="0" w:line="240" w:lineRule="auto"/>
              <w:jc w:val="center"/>
              <w:rPr>
                <w:rFonts w:ascii="Times New Roman" w:eastAsia="Times New Roman" w:hAnsi="Times New Roman" w:cs="Times New Roman"/>
                <w:bCs/>
                <w:lang w:val="en-NZ" w:eastAsia="zh-CN"/>
              </w:rPr>
            </w:pPr>
            <w:r w:rsidRPr="00AB4D6D">
              <w:rPr>
                <w:rFonts w:ascii="Times New Roman" w:eastAsia="Times New Roman" w:hAnsi="Times New Roman" w:cs="Times New Roman"/>
                <w:bCs/>
                <w:lang w:val="en-NZ" w:eastAsia="zh-CN"/>
              </w:rPr>
              <w:t>Adjust</w:t>
            </w:r>
            <w:r w:rsidR="00AB4D6D">
              <w:rPr>
                <w:rFonts w:ascii="Times New Roman" w:eastAsia="Times New Roman" w:hAnsi="Times New Roman" w:cs="Times New Roman"/>
                <w:bCs/>
                <w:lang w:val="en-NZ" w:eastAsia="zh-CN"/>
              </w:rPr>
              <w:t>ed</w:t>
            </w:r>
          </w:p>
          <w:p w:rsid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Papers</w:t>
            </w:r>
          </w:p>
          <w:p w:rsidR="003B123F" w:rsidRP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Per </w:t>
            </w:r>
            <w:r w:rsidR="003B123F" w:rsidRPr="00AB4D6D">
              <w:rPr>
                <w:rFonts w:ascii="Times New Roman" w:eastAsia="Times New Roman" w:hAnsi="Times New Roman" w:cs="Times New Roman"/>
                <w:bCs/>
                <w:lang w:val="en-NZ" w:eastAsia="zh-CN"/>
              </w:rPr>
              <w:t>Capita</w:t>
            </w:r>
          </w:p>
        </w:tc>
        <w:tc>
          <w:tcPr>
            <w:tcW w:w="2020" w:type="dxa"/>
            <w:tcBorders>
              <w:top w:val="single" w:sz="4" w:space="0" w:color="auto"/>
              <w:left w:val="nil"/>
              <w:bottom w:val="single" w:sz="4" w:space="0" w:color="auto"/>
              <w:right w:val="nil"/>
            </w:tcBorders>
            <w:shd w:val="clear" w:color="auto" w:fill="auto"/>
            <w:vAlign w:val="bottom"/>
            <w:hideMark/>
          </w:tcPr>
          <w:p w:rsid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Adjusted </w:t>
            </w:r>
          </w:p>
          <w:p w:rsid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Pages </w:t>
            </w:r>
          </w:p>
          <w:p w:rsidR="003B123F" w:rsidRP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Per </w:t>
            </w:r>
            <w:r w:rsidR="003B123F" w:rsidRPr="00AB4D6D">
              <w:rPr>
                <w:rFonts w:ascii="Times New Roman" w:eastAsia="Times New Roman" w:hAnsi="Times New Roman" w:cs="Times New Roman"/>
                <w:bCs/>
                <w:lang w:val="en-NZ" w:eastAsia="zh-CN"/>
              </w:rPr>
              <w:t>Capita</w:t>
            </w:r>
          </w:p>
        </w:tc>
        <w:tc>
          <w:tcPr>
            <w:tcW w:w="1620" w:type="dxa"/>
            <w:tcBorders>
              <w:top w:val="single" w:sz="4" w:space="0" w:color="auto"/>
              <w:left w:val="nil"/>
              <w:bottom w:val="single" w:sz="4" w:space="0" w:color="auto"/>
              <w:right w:val="nil"/>
            </w:tcBorders>
            <w:shd w:val="clear" w:color="auto" w:fill="auto"/>
            <w:vAlign w:val="bottom"/>
            <w:hideMark/>
          </w:tcPr>
          <w:p w:rsid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Score</w:t>
            </w:r>
          </w:p>
          <w:p w:rsidR="003B123F" w:rsidRP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 Per </w:t>
            </w:r>
            <w:r w:rsidR="003B123F" w:rsidRPr="00AB4D6D">
              <w:rPr>
                <w:rFonts w:ascii="Times New Roman" w:eastAsia="Times New Roman" w:hAnsi="Times New Roman" w:cs="Times New Roman"/>
                <w:bCs/>
                <w:lang w:val="en-NZ" w:eastAsia="zh-CN"/>
              </w:rPr>
              <w:t>Adjusted Paper</w:t>
            </w:r>
          </w:p>
        </w:tc>
        <w:tc>
          <w:tcPr>
            <w:tcW w:w="1520" w:type="dxa"/>
            <w:tcBorders>
              <w:top w:val="single" w:sz="4" w:space="0" w:color="auto"/>
              <w:left w:val="nil"/>
              <w:bottom w:val="single" w:sz="4" w:space="0" w:color="auto"/>
              <w:right w:val="nil"/>
            </w:tcBorders>
            <w:shd w:val="clear" w:color="auto" w:fill="auto"/>
            <w:vAlign w:val="bottom"/>
            <w:hideMark/>
          </w:tcPr>
          <w:p w:rsid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Score </w:t>
            </w:r>
          </w:p>
          <w:p w:rsidR="003B123F" w:rsidRPr="00AB4D6D" w:rsidRDefault="00AB4D6D" w:rsidP="00AB4D6D">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Per </w:t>
            </w:r>
            <w:r w:rsidR="003B123F" w:rsidRPr="00AB4D6D">
              <w:rPr>
                <w:rFonts w:ascii="Times New Roman" w:eastAsia="Times New Roman" w:hAnsi="Times New Roman" w:cs="Times New Roman"/>
                <w:bCs/>
                <w:lang w:val="en-NZ" w:eastAsia="zh-CN"/>
              </w:rPr>
              <w:t>Adjusted Page</w:t>
            </w:r>
          </w:p>
        </w:tc>
      </w:tr>
      <w:tr w:rsidR="003B123F" w:rsidRPr="00514F3B" w:rsidTr="00AB4D6D">
        <w:trPr>
          <w:trHeight w:val="300"/>
          <w:jc w:val="center"/>
        </w:trPr>
        <w:tc>
          <w:tcPr>
            <w:tcW w:w="1741" w:type="dxa"/>
            <w:tcBorders>
              <w:top w:val="nil"/>
              <w:left w:val="nil"/>
              <w:bottom w:val="nil"/>
              <w:right w:val="nil"/>
            </w:tcBorders>
            <w:shd w:val="clear" w:color="auto" w:fill="auto"/>
            <w:noWrap/>
            <w:vAlign w:val="bottom"/>
            <w:hideMark/>
          </w:tcPr>
          <w:p w:rsidR="003B123F" w:rsidRPr="00AB4D6D" w:rsidRDefault="00AB4D6D" w:rsidP="00514F3B">
            <w:pPr>
              <w:tabs>
                <w:tab w:val="left" w:pos="426"/>
              </w:tabs>
              <w:spacing w:after="0" w:line="240" w:lineRule="auto"/>
              <w:jc w:val="both"/>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06-11: </w:t>
            </w:r>
            <w:r w:rsidR="003B123F" w:rsidRPr="00AB4D6D">
              <w:rPr>
                <w:rFonts w:ascii="Times New Roman" w:eastAsia="Times New Roman" w:hAnsi="Times New Roman" w:cs="Times New Roman"/>
                <w:bCs/>
                <w:color w:val="000000"/>
                <w:lang w:val="en-NZ" w:eastAsia="zh-CN"/>
              </w:rPr>
              <w:t>94-99</w:t>
            </w:r>
          </w:p>
        </w:tc>
        <w:tc>
          <w:tcPr>
            <w:tcW w:w="1660"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109.27</w:t>
            </w:r>
          </w:p>
        </w:tc>
        <w:tc>
          <w:tcPr>
            <w:tcW w:w="2020"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584"/>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131.72</w:t>
            </w:r>
          </w:p>
        </w:tc>
        <w:tc>
          <w:tcPr>
            <w:tcW w:w="1620"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82.68</w:t>
            </w:r>
          </w:p>
        </w:tc>
        <w:tc>
          <w:tcPr>
            <w:tcW w:w="1520" w:type="dxa"/>
            <w:tcBorders>
              <w:top w:val="nil"/>
              <w:left w:val="nil"/>
              <w:bottom w:val="nil"/>
              <w:right w:val="nil"/>
            </w:tcBorders>
            <w:shd w:val="clear" w:color="auto" w:fill="auto"/>
            <w:noWrap/>
            <w:vAlign w:val="bottom"/>
            <w:hideMark/>
          </w:tcPr>
          <w:p w:rsidR="003B123F" w:rsidRPr="00AB4D6D" w:rsidRDefault="003B123F" w:rsidP="008E4CC0">
            <w:pPr>
              <w:tabs>
                <w:tab w:val="left" w:pos="426"/>
              </w:tabs>
              <w:spacing w:after="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81.02</w:t>
            </w:r>
          </w:p>
        </w:tc>
      </w:tr>
      <w:tr w:rsidR="003B123F" w:rsidRPr="00514F3B" w:rsidTr="00AB4D6D">
        <w:trPr>
          <w:trHeight w:val="300"/>
          <w:jc w:val="center"/>
        </w:trPr>
        <w:tc>
          <w:tcPr>
            <w:tcW w:w="1741" w:type="dxa"/>
            <w:tcBorders>
              <w:top w:val="nil"/>
              <w:left w:val="nil"/>
              <w:right w:val="nil"/>
            </w:tcBorders>
            <w:shd w:val="clear" w:color="auto" w:fill="auto"/>
            <w:noWrap/>
            <w:vAlign w:val="bottom"/>
            <w:hideMark/>
          </w:tcPr>
          <w:p w:rsidR="003B123F" w:rsidRPr="00AB4D6D" w:rsidRDefault="00AB4D6D" w:rsidP="00514F3B">
            <w:pPr>
              <w:tabs>
                <w:tab w:val="left" w:pos="426"/>
              </w:tabs>
              <w:spacing w:after="0" w:line="240" w:lineRule="auto"/>
              <w:jc w:val="both"/>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06-11: </w:t>
            </w:r>
            <w:r w:rsidR="003B123F" w:rsidRPr="00AB4D6D">
              <w:rPr>
                <w:rFonts w:ascii="Times New Roman" w:eastAsia="Times New Roman" w:hAnsi="Times New Roman" w:cs="Times New Roman"/>
                <w:bCs/>
                <w:color w:val="000000"/>
                <w:lang w:val="en-NZ" w:eastAsia="zh-CN"/>
              </w:rPr>
              <w:t>00-05</w:t>
            </w:r>
          </w:p>
        </w:tc>
        <w:tc>
          <w:tcPr>
            <w:tcW w:w="1660" w:type="dxa"/>
            <w:tcBorders>
              <w:top w:val="nil"/>
              <w:left w:val="nil"/>
              <w:right w:val="nil"/>
            </w:tcBorders>
            <w:shd w:val="clear" w:color="auto" w:fill="auto"/>
            <w:noWrap/>
            <w:vAlign w:val="bottom"/>
            <w:hideMark/>
          </w:tcPr>
          <w:p w:rsidR="003B123F" w:rsidRPr="00AB4D6D" w:rsidRDefault="003B123F" w:rsidP="008E4CC0">
            <w:pPr>
              <w:tabs>
                <w:tab w:val="left" w:pos="426"/>
              </w:tabs>
              <w:spacing w:after="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95.08</w:t>
            </w:r>
          </w:p>
        </w:tc>
        <w:tc>
          <w:tcPr>
            <w:tcW w:w="2020" w:type="dxa"/>
            <w:tcBorders>
              <w:top w:val="nil"/>
              <w:left w:val="nil"/>
              <w:right w:val="nil"/>
            </w:tcBorders>
            <w:shd w:val="clear" w:color="auto" w:fill="auto"/>
            <w:noWrap/>
            <w:vAlign w:val="bottom"/>
            <w:hideMark/>
          </w:tcPr>
          <w:p w:rsidR="003B123F" w:rsidRPr="00AB4D6D" w:rsidRDefault="003B123F" w:rsidP="008E4CC0">
            <w:pPr>
              <w:tabs>
                <w:tab w:val="left" w:pos="426"/>
              </w:tabs>
              <w:spacing w:after="0" w:line="240" w:lineRule="auto"/>
              <w:ind w:right="584"/>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113.83</w:t>
            </w:r>
          </w:p>
        </w:tc>
        <w:tc>
          <w:tcPr>
            <w:tcW w:w="1620" w:type="dxa"/>
            <w:tcBorders>
              <w:top w:val="nil"/>
              <w:left w:val="nil"/>
              <w:right w:val="nil"/>
            </w:tcBorders>
            <w:shd w:val="clear" w:color="auto" w:fill="auto"/>
            <w:noWrap/>
            <w:vAlign w:val="bottom"/>
            <w:hideMark/>
          </w:tcPr>
          <w:p w:rsidR="003B123F" w:rsidRPr="00AB4D6D" w:rsidRDefault="003B123F" w:rsidP="008E4CC0">
            <w:pPr>
              <w:tabs>
                <w:tab w:val="left" w:pos="426"/>
              </w:tabs>
              <w:spacing w:after="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83.91</w:t>
            </w:r>
          </w:p>
        </w:tc>
        <w:tc>
          <w:tcPr>
            <w:tcW w:w="1520" w:type="dxa"/>
            <w:tcBorders>
              <w:top w:val="nil"/>
              <w:left w:val="nil"/>
              <w:right w:val="nil"/>
            </w:tcBorders>
            <w:shd w:val="clear" w:color="auto" w:fill="auto"/>
            <w:noWrap/>
            <w:vAlign w:val="bottom"/>
            <w:hideMark/>
          </w:tcPr>
          <w:p w:rsidR="003B123F" w:rsidRPr="00AB4D6D" w:rsidRDefault="003B123F" w:rsidP="008E4CC0">
            <w:pPr>
              <w:tabs>
                <w:tab w:val="left" w:pos="426"/>
              </w:tabs>
              <w:spacing w:after="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85.79</w:t>
            </w:r>
          </w:p>
        </w:tc>
      </w:tr>
      <w:tr w:rsidR="003B123F" w:rsidRPr="00514F3B" w:rsidTr="00AB4D6D">
        <w:trPr>
          <w:trHeight w:val="300"/>
          <w:jc w:val="center"/>
        </w:trPr>
        <w:tc>
          <w:tcPr>
            <w:tcW w:w="1741" w:type="dxa"/>
            <w:tcBorders>
              <w:top w:val="nil"/>
              <w:left w:val="nil"/>
              <w:bottom w:val="single" w:sz="4" w:space="0" w:color="auto"/>
              <w:right w:val="nil"/>
            </w:tcBorders>
            <w:shd w:val="clear" w:color="auto" w:fill="auto"/>
            <w:noWrap/>
            <w:vAlign w:val="bottom"/>
            <w:hideMark/>
          </w:tcPr>
          <w:p w:rsidR="003B123F" w:rsidRPr="00AB4D6D" w:rsidRDefault="00AB4D6D" w:rsidP="00056099">
            <w:pPr>
              <w:tabs>
                <w:tab w:val="left" w:pos="426"/>
              </w:tabs>
              <w:spacing w:after="60" w:line="240" w:lineRule="auto"/>
              <w:jc w:val="both"/>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00-05: </w:t>
            </w:r>
            <w:r w:rsidR="003B123F" w:rsidRPr="00AB4D6D">
              <w:rPr>
                <w:rFonts w:ascii="Times New Roman" w:eastAsia="Times New Roman" w:hAnsi="Times New Roman" w:cs="Times New Roman"/>
                <w:bCs/>
                <w:color w:val="000000"/>
                <w:lang w:val="en-NZ" w:eastAsia="zh-CN"/>
              </w:rPr>
              <w:t>94-99</w:t>
            </w:r>
          </w:p>
        </w:tc>
        <w:tc>
          <w:tcPr>
            <w:tcW w:w="1660" w:type="dxa"/>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114.54</w:t>
            </w:r>
          </w:p>
        </w:tc>
        <w:tc>
          <w:tcPr>
            <w:tcW w:w="2020" w:type="dxa"/>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ind w:right="584"/>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114.98</w:t>
            </w:r>
          </w:p>
        </w:tc>
        <w:tc>
          <w:tcPr>
            <w:tcW w:w="1620" w:type="dxa"/>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98.20</w:t>
            </w:r>
          </w:p>
        </w:tc>
        <w:tc>
          <w:tcPr>
            <w:tcW w:w="1520" w:type="dxa"/>
            <w:tcBorders>
              <w:top w:val="nil"/>
              <w:left w:val="nil"/>
              <w:bottom w:val="single" w:sz="4" w:space="0" w:color="auto"/>
              <w:right w:val="nil"/>
            </w:tcBorders>
            <w:shd w:val="clear" w:color="auto" w:fill="auto"/>
            <w:noWrap/>
            <w:vAlign w:val="bottom"/>
            <w:hideMark/>
          </w:tcPr>
          <w:p w:rsidR="003B123F" w:rsidRPr="00AB4D6D" w:rsidRDefault="003B123F" w:rsidP="00056099">
            <w:pPr>
              <w:tabs>
                <w:tab w:val="left" w:pos="426"/>
              </w:tabs>
              <w:spacing w:after="60" w:line="240" w:lineRule="auto"/>
              <w:ind w:right="407"/>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93.84</w:t>
            </w:r>
          </w:p>
        </w:tc>
      </w:tr>
    </w:tbl>
    <w:p w:rsidR="003B123F" w:rsidRPr="00514F3B" w:rsidRDefault="003B123F" w:rsidP="00514F3B">
      <w:pPr>
        <w:tabs>
          <w:tab w:val="left" w:pos="426"/>
        </w:tabs>
        <w:jc w:val="both"/>
        <w:rPr>
          <w:rFonts w:ascii="Times New Roman" w:hAnsi="Times New Roman" w:cs="Times New Roman"/>
          <w:sz w:val="24"/>
          <w:szCs w:val="24"/>
        </w:rPr>
      </w:pPr>
    </w:p>
    <w:p w:rsidR="001B38AD"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DE6B83" w:rsidRPr="00514F3B">
        <w:rPr>
          <w:rFonts w:ascii="Times New Roman" w:hAnsi="Times New Roman" w:cs="Times New Roman"/>
          <w:sz w:val="24"/>
          <w:szCs w:val="24"/>
        </w:rPr>
        <w:t xml:space="preserve">In constructing Table </w:t>
      </w:r>
      <w:r w:rsidR="000922B3" w:rsidRPr="00514F3B">
        <w:rPr>
          <w:rFonts w:ascii="Times New Roman" w:hAnsi="Times New Roman" w:cs="Times New Roman"/>
          <w:sz w:val="24"/>
          <w:szCs w:val="24"/>
        </w:rPr>
        <w:t>2</w:t>
      </w:r>
      <w:r w:rsidR="00DE6B83" w:rsidRPr="00514F3B">
        <w:rPr>
          <w:rFonts w:ascii="Times New Roman" w:hAnsi="Times New Roman" w:cs="Times New Roman"/>
          <w:sz w:val="24"/>
          <w:szCs w:val="24"/>
        </w:rPr>
        <w:t xml:space="preserve">, the BASE period scores for all 22 </w:t>
      </w:r>
      <w:r w:rsidR="006A3D93" w:rsidRPr="00514F3B">
        <w:rPr>
          <w:rFonts w:ascii="Times New Roman" w:hAnsi="Times New Roman" w:cs="Times New Roman"/>
          <w:sz w:val="24"/>
          <w:szCs w:val="24"/>
        </w:rPr>
        <w:t xml:space="preserve">JWS </w:t>
      </w:r>
      <w:r w:rsidR="00DE6B83" w:rsidRPr="00514F3B">
        <w:rPr>
          <w:rFonts w:ascii="Times New Roman" w:hAnsi="Times New Roman" w:cs="Times New Roman"/>
          <w:sz w:val="24"/>
          <w:szCs w:val="24"/>
        </w:rPr>
        <w:t xml:space="preserve">have been set at 100.0, and the output for other time periods adjusted accordingly.   The results presented in Table </w:t>
      </w:r>
      <w:r w:rsidR="000922B3" w:rsidRPr="00514F3B">
        <w:rPr>
          <w:rFonts w:ascii="Times New Roman" w:hAnsi="Times New Roman" w:cs="Times New Roman"/>
          <w:sz w:val="24"/>
          <w:szCs w:val="24"/>
        </w:rPr>
        <w:t>2</w:t>
      </w:r>
      <w:r w:rsidR="00DE6B83" w:rsidRPr="00514F3B">
        <w:rPr>
          <w:rFonts w:ascii="Times New Roman" w:hAnsi="Times New Roman" w:cs="Times New Roman"/>
          <w:sz w:val="24"/>
          <w:szCs w:val="24"/>
        </w:rPr>
        <w:t xml:space="preserve"> are the </w:t>
      </w:r>
      <w:r w:rsidR="00F87713" w:rsidRPr="00514F3B">
        <w:rPr>
          <w:rFonts w:ascii="Times New Roman" w:hAnsi="Times New Roman" w:cs="Times New Roman"/>
          <w:sz w:val="24"/>
          <w:szCs w:val="24"/>
        </w:rPr>
        <w:t>av</w:t>
      </w:r>
      <w:r w:rsidR="00074458" w:rsidRPr="00514F3B">
        <w:rPr>
          <w:rFonts w:ascii="Times New Roman" w:hAnsi="Times New Roman" w:cs="Times New Roman"/>
          <w:sz w:val="24"/>
          <w:szCs w:val="24"/>
        </w:rPr>
        <w:t>erage</w:t>
      </w:r>
      <w:r w:rsidR="00F87713" w:rsidRPr="00514F3B">
        <w:rPr>
          <w:rFonts w:ascii="Times New Roman" w:hAnsi="Times New Roman" w:cs="Times New Roman"/>
          <w:sz w:val="24"/>
          <w:szCs w:val="24"/>
        </w:rPr>
        <w:t xml:space="preserve"> scores</w:t>
      </w:r>
      <w:r w:rsidR="00074458" w:rsidRPr="00514F3B">
        <w:rPr>
          <w:rFonts w:ascii="Times New Roman" w:hAnsi="Times New Roman" w:cs="Times New Roman"/>
          <w:sz w:val="24"/>
          <w:szCs w:val="24"/>
        </w:rPr>
        <w:t xml:space="preserve"> across all </w:t>
      </w:r>
      <w:r w:rsidR="00522786" w:rsidRPr="00514F3B">
        <w:rPr>
          <w:rFonts w:ascii="Times New Roman" w:hAnsi="Times New Roman" w:cs="Times New Roman"/>
          <w:sz w:val="24"/>
          <w:szCs w:val="24"/>
        </w:rPr>
        <w:t xml:space="preserve">22 </w:t>
      </w:r>
      <w:r w:rsidR="00074458" w:rsidRPr="00514F3B">
        <w:rPr>
          <w:rFonts w:ascii="Times New Roman" w:hAnsi="Times New Roman" w:cs="Times New Roman"/>
          <w:sz w:val="24"/>
          <w:szCs w:val="24"/>
        </w:rPr>
        <w:t>schemes.  First, note that on average, the number of share adjusted weighted papers</w:t>
      </w:r>
      <w:r w:rsidR="005C7222" w:rsidRPr="00514F3B">
        <w:rPr>
          <w:rFonts w:ascii="Times New Roman" w:hAnsi="Times New Roman" w:cs="Times New Roman"/>
          <w:sz w:val="24"/>
          <w:szCs w:val="24"/>
        </w:rPr>
        <w:t xml:space="preserve"> (henceforth </w:t>
      </w:r>
      <w:r w:rsidR="005C7222" w:rsidRPr="00514F3B">
        <w:rPr>
          <w:rFonts w:ascii="Times New Roman" w:hAnsi="Times New Roman" w:cs="Times New Roman"/>
          <w:b/>
          <w:sz w:val="24"/>
          <w:szCs w:val="24"/>
        </w:rPr>
        <w:t>Adjusted Papers</w:t>
      </w:r>
      <w:r w:rsidR="005C7222" w:rsidRPr="00514F3B">
        <w:rPr>
          <w:rFonts w:ascii="Times New Roman" w:hAnsi="Times New Roman" w:cs="Times New Roman"/>
          <w:sz w:val="24"/>
          <w:szCs w:val="24"/>
        </w:rPr>
        <w:t>)</w:t>
      </w:r>
      <w:r w:rsidR="00074458" w:rsidRPr="00514F3B">
        <w:rPr>
          <w:rFonts w:ascii="Times New Roman" w:hAnsi="Times New Roman" w:cs="Times New Roman"/>
          <w:sz w:val="24"/>
          <w:szCs w:val="24"/>
        </w:rPr>
        <w:t xml:space="preserve"> per capita</w:t>
      </w:r>
      <w:r w:rsidR="005C7222" w:rsidRPr="00514F3B">
        <w:rPr>
          <w:rFonts w:ascii="Times New Roman" w:hAnsi="Times New Roman" w:cs="Times New Roman"/>
          <w:sz w:val="24"/>
          <w:szCs w:val="24"/>
        </w:rPr>
        <w:t xml:space="preserve"> </w:t>
      </w:r>
      <w:r w:rsidR="00074458" w:rsidRPr="00514F3B">
        <w:rPr>
          <w:rFonts w:ascii="Times New Roman" w:hAnsi="Times New Roman" w:cs="Times New Roman"/>
          <w:sz w:val="24"/>
          <w:szCs w:val="24"/>
        </w:rPr>
        <w:t xml:space="preserve">increased by </w:t>
      </w:r>
      <w:r w:rsidR="007D0134" w:rsidRPr="00514F3B">
        <w:rPr>
          <w:rFonts w:ascii="Times New Roman" w:hAnsi="Times New Roman" w:cs="Times New Roman"/>
          <w:sz w:val="24"/>
          <w:szCs w:val="24"/>
        </w:rPr>
        <w:t>9</w:t>
      </w:r>
      <w:r w:rsidR="00130A14" w:rsidRPr="00514F3B">
        <w:rPr>
          <w:rFonts w:ascii="Times New Roman" w:hAnsi="Times New Roman" w:cs="Times New Roman"/>
          <w:sz w:val="24"/>
          <w:szCs w:val="24"/>
        </w:rPr>
        <w:t xml:space="preserve"> percent</w:t>
      </w:r>
      <w:r w:rsidR="00074458" w:rsidRPr="00514F3B">
        <w:rPr>
          <w:rFonts w:ascii="Times New Roman" w:hAnsi="Times New Roman" w:cs="Times New Roman"/>
          <w:sz w:val="24"/>
          <w:szCs w:val="24"/>
        </w:rPr>
        <w:t xml:space="preserve"> in PBRF2 relative to the BASE period.   This is in comparison to a </w:t>
      </w:r>
      <w:r w:rsidR="006A3D93" w:rsidRPr="00514F3B">
        <w:rPr>
          <w:rFonts w:ascii="Times New Roman" w:hAnsi="Times New Roman" w:cs="Times New Roman"/>
          <w:sz w:val="24"/>
          <w:szCs w:val="24"/>
        </w:rPr>
        <w:t>32</w:t>
      </w:r>
      <w:r w:rsidR="00074458" w:rsidRPr="00514F3B">
        <w:rPr>
          <w:rFonts w:ascii="Times New Roman" w:hAnsi="Times New Roman" w:cs="Times New Roman"/>
          <w:sz w:val="24"/>
          <w:szCs w:val="24"/>
        </w:rPr>
        <w:t xml:space="preserve"> percent increase in un-weighted</w:t>
      </w:r>
      <w:r w:rsidR="000C5CB1" w:rsidRPr="00514F3B">
        <w:rPr>
          <w:rFonts w:ascii="Times New Roman" w:hAnsi="Times New Roman" w:cs="Times New Roman"/>
          <w:sz w:val="24"/>
          <w:szCs w:val="24"/>
        </w:rPr>
        <w:t>, but</w:t>
      </w:r>
      <w:r w:rsidR="00074458" w:rsidRPr="00514F3B">
        <w:rPr>
          <w:rFonts w:ascii="Times New Roman" w:hAnsi="Times New Roman" w:cs="Times New Roman"/>
          <w:sz w:val="24"/>
          <w:szCs w:val="24"/>
        </w:rPr>
        <w:t xml:space="preserve"> share adjusted papers per capita.  The corresponding numbers for share and size adjusted </w:t>
      </w:r>
      <w:r w:rsidR="005C7222" w:rsidRPr="00514F3B">
        <w:rPr>
          <w:rFonts w:ascii="Times New Roman" w:hAnsi="Times New Roman" w:cs="Times New Roman"/>
          <w:sz w:val="24"/>
          <w:szCs w:val="24"/>
        </w:rPr>
        <w:t xml:space="preserve">weighted </w:t>
      </w:r>
      <w:r w:rsidR="00074458" w:rsidRPr="00514F3B">
        <w:rPr>
          <w:rFonts w:ascii="Times New Roman" w:hAnsi="Times New Roman" w:cs="Times New Roman"/>
          <w:sz w:val="24"/>
          <w:szCs w:val="24"/>
        </w:rPr>
        <w:t>pages</w:t>
      </w:r>
      <w:r w:rsidR="005C7222" w:rsidRPr="00514F3B">
        <w:rPr>
          <w:rFonts w:ascii="Times New Roman" w:hAnsi="Times New Roman" w:cs="Times New Roman"/>
          <w:sz w:val="24"/>
          <w:szCs w:val="24"/>
        </w:rPr>
        <w:t xml:space="preserve"> (henceforth </w:t>
      </w:r>
      <w:r w:rsidR="005C7222" w:rsidRPr="00514F3B">
        <w:rPr>
          <w:rFonts w:ascii="Times New Roman" w:hAnsi="Times New Roman" w:cs="Times New Roman"/>
          <w:b/>
          <w:sz w:val="24"/>
          <w:szCs w:val="24"/>
        </w:rPr>
        <w:t>Adjusted Pages</w:t>
      </w:r>
      <w:r w:rsidR="005C7222" w:rsidRPr="00514F3B">
        <w:rPr>
          <w:rFonts w:ascii="Times New Roman" w:hAnsi="Times New Roman" w:cs="Times New Roman"/>
          <w:sz w:val="24"/>
          <w:szCs w:val="24"/>
        </w:rPr>
        <w:t>) and un-weighted</w:t>
      </w:r>
      <w:r w:rsidR="007F0122" w:rsidRPr="00514F3B">
        <w:rPr>
          <w:rFonts w:ascii="Times New Roman" w:hAnsi="Times New Roman" w:cs="Times New Roman"/>
          <w:sz w:val="24"/>
          <w:szCs w:val="24"/>
        </w:rPr>
        <w:t>,</w:t>
      </w:r>
      <w:r w:rsidR="005C7222" w:rsidRPr="00514F3B">
        <w:rPr>
          <w:rFonts w:ascii="Times New Roman" w:hAnsi="Times New Roman" w:cs="Times New Roman"/>
          <w:sz w:val="24"/>
          <w:szCs w:val="24"/>
        </w:rPr>
        <w:t xml:space="preserve"> share and size adjusted pages</w:t>
      </w:r>
      <w:r w:rsidR="00074458" w:rsidRPr="00514F3B">
        <w:rPr>
          <w:rFonts w:ascii="Times New Roman" w:hAnsi="Times New Roman" w:cs="Times New Roman"/>
          <w:sz w:val="24"/>
          <w:szCs w:val="24"/>
        </w:rPr>
        <w:t xml:space="preserve"> are 3</w:t>
      </w:r>
      <w:r w:rsidR="000C5CB1" w:rsidRPr="00514F3B">
        <w:rPr>
          <w:rFonts w:ascii="Times New Roman" w:hAnsi="Times New Roman" w:cs="Times New Roman"/>
          <w:sz w:val="24"/>
          <w:szCs w:val="24"/>
        </w:rPr>
        <w:t>2</w:t>
      </w:r>
      <w:r w:rsidR="00130A14" w:rsidRPr="00514F3B">
        <w:rPr>
          <w:rFonts w:ascii="Times New Roman" w:hAnsi="Times New Roman" w:cs="Times New Roman"/>
          <w:sz w:val="24"/>
          <w:szCs w:val="24"/>
        </w:rPr>
        <w:t xml:space="preserve"> </w:t>
      </w:r>
      <w:r w:rsidR="00074458" w:rsidRPr="00514F3B">
        <w:rPr>
          <w:rFonts w:ascii="Times New Roman" w:hAnsi="Times New Roman" w:cs="Times New Roman"/>
          <w:sz w:val="24"/>
          <w:szCs w:val="24"/>
        </w:rPr>
        <w:t>and 6</w:t>
      </w:r>
      <w:r w:rsidR="000C5CB1" w:rsidRPr="00514F3B">
        <w:rPr>
          <w:rFonts w:ascii="Times New Roman" w:hAnsi="Times New Roman" w:cs="Times New Roman"/>
          <w:sz w:val="24"/>
          <w:szCs w:val="24"/>
        </w:rPr>
        <w:t>3</w:t>
      </w:r>
      <w:r w:rsidR="00130A14" w:rsidRPr="00514F3B">
        <w:rPr>
          <w:rFonts w:ascii="Times New Roman" w:hAnsi="Times New Roman" w:cs="Times New Roman"/>
          <w:sz w:val="24"/>
          <w:szCs w:val="24"/>
        </w:rPr>
        <w:t xml:space="preserve"> percent</w:t>
      </w:r>
      <w:r w:rsidR="005C7222" w:rsidRPr="00514F3B">
        <w:rPr>
          <w:rFonts w:ascii="Times New Roman" w:hAnsi="Times New Roman" w:cs="Times New Roman"/>
          <w:sz w:val="24"/>
          <w:szCs w:val="24"/>
        </w:rPr>
        <w:t xml:space="preserve">, respectively.  </w:t>
      </w:r>
      <w:r w:rsidR="00522786" w:rsidRPr="00514F3B">
        <w:rPr>
          <w:rFonts w:ascii="Times New Roman" w:hAnsi="Times New Roman" w:cs="Times New Roman"/>
          <w:sz w:val="24"/>
          <w:szCs w:val="24"/>
        </w:rPr>
        <w:t xml:space="preserve">This suggests that </w:t>
      </w:r>
      <w:r w:rsidR="00074458" w:rsidRPr="00514F3B">
        <w:rPr>
          <w:rFonts w:ascii="Times New Roman" w:hAnsi="Times New Roman" w:cs="Times New Roman"/>
          <w:sz w:val="24"/>
          <w:szCs w:val="24"/>
        </w:rPr>
        <w:t xml:space="preserve">much of the increase in output per capita between BASE and PBRF2 </w:t>
      </w:r>
      <w:r w:rsidR="00B43901" w:rsidRPr="00514F3B">
        <w:rPr>
          <w:rFonts w:ascii="Times New Roman" w:hAnsi="Times New Roman" w:cs="Times New Roman"/>
          <w:sz w:val="24"/>
          <w:szCs w:val="24"/>
        </w:rPr>
        <w:t xml:space="preserve">is due to </w:t>
      </w:r>
      <w:r w:rsidR="00BC3143" w:rsidRPr="00514F3B">
        <w:rPr>
          <w:rFonts w:ascii="Times New Roman" w:hAnsi="Times New Roman" w:cs="Times New Roman"/>
          <w:sz w:val="24"/>
          <w:szCs w:val="24"/>
        </w:rPr>
        <w:t xml:space="preserve">a shift </w:t>
      </w:r>
      <w:r w:rsidR="00B43901" w:rsidRPr="00514F3B">
        <w:rPr>
          <w:rFonts w:ascii="Times New Roman" w:hAnsi="Times New Roman" w:cs="Times New Roman"/>
          <w:sz w:val="24"/>
          <w:szCs w:val="24"/>
        </w:rPr>
        <w:t>towards lower quality journals.</w:t>
      </w:r>
      <w:r w:rsidR="00214A69" w:rsidRPr="00514F3B">
        <w:rPr>
          <w:rFonts w:ascii="Times New Roman" w:hAnsi="Times New Roman" w:cs="Times New Roman"/>
          <w:sz w:val="24"/>
          <w:szCs w:val="24"/>
        </w:rPr>
        <w:t xml:space="preserve">  Nevertheless, productivity</w:t>
      </w:r>
      <w:r w:rsidR="00522786" w:rsidRPr="00514F3B">
        <w:rPr>
          <w:rFonts w:ascii="Times New Roman" w:hAnsi="Times New Roman" w:cs="Times New Roman"/>
          <w:sz w:val="24"/>
          <w:szCs w:val="24"/>
        </w:rPr>
        <w:t xml:space="preserve">, as measured in either </w:t>
      </w:r>
      <w:r w:rsidR="005C7222" w:rsidRPr="00514F3B">
        <w:rPr>
          <w:rFonts w:ascii="Times New Roman" w:hAnsi="Times New Roman" w:cs="Times New Roman"/>
          <w:b/>
          <w:sz w:val="24"/>
          <w:szCs w:val="24"/>
        </w:rPr>
        <w:t xml:space="preserve">Adjusted </w:t>
      </w:r>
      <w:r w:rsidR="00522786" w:rsidRPr="00514F3B">
        <w:rPr>
          <w:rFonts w:ascii="Times New Roman" w:hAnsi="Times New Roman" w:cs="Times New Roman"/>
          <w:b/>
          <w:sz w:val="24"/>
          <w:szCs w:val="24"/>
        </w:rPr>
        <w:t>Paper</w:t>
      </w:r>
      <w:r w:rsidR="005C7222" w:rsidRPr="00514F3B">
        <w:rPr>
          <w:rFonts w:ascii="Times New Roman" w:hAnsi="Times New Roman" w:cs="Times New Roman"/>
          <w:b/>
          <w:sz w:val="24"/>
          <w:szCs w:val="24"/>
        </w:rPr>
        <w:t>s</w:t>
      </w:r>
      <w:r w:rsidR="00522786" w:rsidRPr="00514F3B">
        <w:rPr>
          <w:rFonts w:ascii="Times New Roman" w:hAnsi="Times New Roman" w:cs="Times New Roman"/>
          <w:sz w:val="24"/>
          <w:szCs w:val="24"/>
        </w:rPr>
        <w:t xml:space="preserve"> or </w:t>
      </w:r>
      <w:r w:rsidR="005C7222" w:rsidRPr="00514F3B">
        <w:rPr>
          <w:rFonts w:ascii="Times New Roman" w:hAnsi="Times New Roman" w:cs="Times New Roman"/>
          <w:b/>
          <w:sz w:val="24"/>
          <w:szCs w:val="24"/>
        </w:rPr>
        <w:t xml:space="preserve">Adjusted </w:t>
      </w:r>
      <w:r w:rsidR="00522786" w:rsidRPr="00514F3B">
        <w:rPr>
          <w:rFonts w:ascii="Times New Roman" w:hAnsi="Times New Roman" w:cs="Times New Roman"/>
          <w:b/>
          <w:sz w:val="24"/>
          <w:szCs w:val="24"/>
        </w:rPr>
        <w:t>Page</w:t>
      </w:r>
      <w:r w:rsidR="005C7222" w:rsidRPr="00514F3B">
        <w:rPr>
          <w:rFonts w:ascii="Times New Roman" w:hAnsi="Times New Roman" w:cs="Times New Roman"/>
          <w:b/>
          <w:sz w:val="24"/>
          <w:szCs w:val="24"/>
        </w:rPr>
        <w:t>s</w:t>
      </w:r>
      <w:r w:rsidR="00522786" w:rsidRPr="00514F3B">
        <w:rPr>
          <w:rFonts w:ascii="Times New Roman" w:hAnsi="Times New Roman" w:cs="Times New Roman"/>
          <w:sz w:val="24"/>
          <w:szCs w:val="24"/>
        </w:rPr>
        <w:t xml:space="preserve"> terms, </w:t>
      </w:r>
      <w:r w:rsidR="00214A69" w:rsidRPr="00514F3B">
        <w:rPr>
          <w:rFonts w:ascii="Times New Roman" w:hAnsi="Times New Roman" w:cs="Times New Roman"/>
          <w:sz w:val="24"/>
          <w:szCs w:val="24"/>
        </w:rPr>
        <w:t xml:space="preserve">has increased over </w:t>
      </w:r>
      <w:r w:rsidR="00385EBD" w:rsidRPr="00514F3B">
        <w:rPr>
          <w:rFonts w:ascii="Times New Roman" w:hAnsi="Times New Roman" w:cs="Times New Roman"/>
          <w:sz w:val="24"/>
          <w:szCs w:val="24"/>
        </w:rPr>
        <w:t xml:space="preserve">the life of the PBRF, allowing one to argue </w:t>
      </w:r>
      <w:r w:rsidR="00214A69" w:rsidRPr="00514F3B">
        <w:rPr>
          <w:rFonts w:ascii="Times New Roman" w:hAnsi="Times New Roman" w:cs="Times New Roman"/>
          <w:sz w:val="24"/>
          <w:szCs w:val="24"/>
        </w:rPr>
        <w:t>that the PBRF scheme has been a success</w:t>
      </w:r>
      <w:r w:rsidR="007F0122" w:rsidRPr="00514F3B">
        <w:rPr>
          <w:rFonts w:ascii="Times New Roman" w:hAnsi="Times New Roman" w:cs="Times New Roman"/>
          <w:sz w:val="24"/>
          <w:szCs w:val="24"/>
        </w:rPr>
        <w:t xml:space="preserve"> from an economic </w:t>
      </w:r>
      <w:r w:rsidR="008B3FAD" w:rsidRPr="00514F3B">
        <w:rPr>
          <w:rFonts w:ascii="Times New Roman" w:hAnsi="Times New Roman" w:cs="Times New Roman"/>
          <w:sz w:val="24"/>
          <w:szCs w:val="24"/>
        </w:rPr>
        <w:t xml:space="preserve">efficiency </w:t>
      </w:r>
      <w:r w:rsidR="007F0122" w:rsidRPr="00514F3B">
        <w:rPr>
          <w:rFonts w:ascii="Times New Roman" w:hAnsi="Times New Roman" w:cs="Times New Roman"/>
          <w:sz w:val="24"/>
          <w:szCs w:val="24"/>
        </w:rPr>
        <w:t>perspective</w:t>
      </w:r>
      <w:r w:rsidR="00214A69" w:rsidRPr="00514F3B">
        <w:rPr>
          <w:rFonts w:ascii="Times New Roman" w:hAnsi="Times New Roman" w:cs="Times New Roman"/>
          <w:sz w:val="24"/>
          <w:szCs w:val="24"/>
        </w:rPr>
        <w:t xml:space="preserve">.  However, the official objective </w:t>
      </w:r>
      <w:r w:rsidR="008B3FAD" w:rsidRPr="00514F3B">
        <w:rPr>
          <w:rFonts w:ascii="Times New Roman" w:hAnsi="Times New Roman" w:cs="Times New Roman"/>
          <w:sz w:val="24"/>
          <w:szCs w:val="24"/>
        </w:rPr>
        <w:t xml:space="preserve">of the PBRF </w:t>
      </w:r>
      <w:r w:rsidR="00214A69" w:rsidRPr="00514F3B">
        <w:rPr>
          <w:rFonts w:ascii="Times New Roman" w:hAnsi="Times New Roman" w:cs="Times New Roman"/>
          <w:sz w:val="24"/>
          <w:szCs w:val="24"/>
        </w:rPr>
        <w:t xml:space="preserve">is not </w:t>
      </w:r>
      <w:r w:rsidR="0054784A" w:rsidRPr="00514F3B">
        <w:rPr>
          <w:rFonts w:ascii="Times New Roman" w:hAnsi="Times New Roman" w:cs="Times New Roman"/>
          <w:sz w:val="24"/>
          <w:szCs w:val="24"/>
        </w:rPr>
        <w:t xml:space="preserve">to improve </w:t>
      </w:r>
      <w:r w:rsidR="00214A69" w:rsidRPr="00514F3B">
        <w:rPr>
          <w:rFonts w:ascii="Times New Roman" w:hAnsi="Times New Roman" w:cs="Times New Roman"/>
          <w:sz w:val="24"/>
          <w:szCs w:val="24"/>
        </w:rPr>
        <w:t>productivity, but</w:t>
      </w:r>
      <w:r w:rsidR="0054784A" w:rsidRPr="00514F3B">
        <w:rPr>
          <w:rFonts w:ascii="Times New Roman" w:hAnsi="Times New Roman" w:cs="Times New Roman"/>
          <w:sz w:val="24"/>
          <w:szCs w:val="24"/>
        </w:rPr>
        <w:t xml:space="preserve"> to </w:t>
      </w:r>
      <w:r w:rsidR="00214A69" w:rsidRPr="00514F3B">
        <w:rPr>
          <w:rFonts w:ascii="Times New Roman" w:hAnsi="Times New Roman" w:cs="Times New Roman"/>
          <w:sz w:val="24"/>
          <w:szCs w:val="24"/>
        </w:rPr>
        <w:t xml:space="preserve">increase the quality of research.  Let us now turn our attention to this issue.   </w:t>
      </w:r>
    </w:p>
    <w:p w:rsidR="00DA4E6F"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2218E2" w:rsidRPr="00514F3B">
        <w:rPr>
          <w:rFonts w:ascii="Times New Roman" w:hAnsi="Times New Roman" w:cs="Times New Roman"/>
          <w:sz w:val="24"/>
          <w:szCs w:val="24"/>
        </w:rPr>
        <w:t xml:space="preserve">To measure quality, we now shift our yard stick from output per capita to </w:t>
      </w:r>
      <w:r w:rsidR="005E7772" w:rsidRPr="00514F3B">
        <w:rPr>
          <w:rFonts w:ascii="Times New Roman" w:hAnsi="Times New Roman" w:cs="Times New Roman"/>
          <w:sz w:val="24"/>
          <w:szCs w:val="24"/>
        </w:rPr>
        <w:t xml:space="preserve">score </w:t>
      </w:r>
      <w:r w:rsidR="002218E2" w:rsidRPr="00514F3B">
        <w:rPr>
          <w:rFonts w:ascii="Times New Roman" w:hAnsi="Times New Roman" w:cs="Times New Roman"/>
          <w:sz w:val="24"/>
          <w:szCs w:val="24"/>
        </w:rPr>
        <w:t xml:space="preserve">per </w:t>
      </w:r>
      <w:r w:rsidR="00DA4E6F" w:rsidRPr="00514F3B">
        <w:rPr>
          <w:rFonts w:ascii="Times New Roman" w:hAnsi="Times New Roman" w:cs="Times New Roman"/>
          <w:sz w:val="24"/>
          <w:szCs w:val="24"/>
        </w:rPr>
        <w:t xml:space="preserve">paper and per page.  Once again, refer to Table </w:t>
      </w:r>
      <w:r w:rsidR="000922B3" w:rsidRPr="00514F3B">
        <w:rPr>
          <w:rFonts w:ascii="Times New Roman" w:hAnsi="Times New Roman" w:cs="Times New Roman"/>
          <w:sz w:val="24"/>
          <w:szCs w:val="24"/>
        </w:rPr>
        <w:t>2</w:t>
      </w:r>
      <w:r w:rsidR="00DA4E6F" w:rsidRPr="00514F3B">
        <w:rPr>
          <w:rFonts w:ascii="Times New Roman" w:hAnsi="Times New Roman" w:cs="Times New Roman"/>
          <w:sz w:val="24"/>
          <w:szCs w:val="24"/>
        </w:rPr>
        <w:t xml:space="preserve">.  Note that the average score per </w:t>
      </w:r>
      <w:r w:rsidR="007F0122" w:rsidRPr="00514F3B">
        <w:rPr>
          <w:rFonts w:ascii="Times New Roman" w:hAnsi="Times New Roman" w:cs="Times New Roman"/>
          <w:b/>
          <w:sz w:val="24"/>
          <w:szCs w:val="24"/>
        </w:rPr>
        <w:t>Adjusted Paper</w:t>
      </w:r>
      <w:r w:rsidR="00DA4E6F" w:rsidRPr="00514F3B">
        <w:rPr>
          <w:rFonts w:ascii="Times New Roman" w:hAnsi="Times New Roman" w:cs="Times New Roman"/>
          <w:sz w:val="24"/>
          <w:szCs w:val="24"/>
        </w:rPr>
        <w:t xml:space="preserve"> in period PBRF2 is only 8</w:t>
      </w:r>
      <w:r w:rsidR="005B711C" w:rsidRPr="00514F3B">
        <w:rPr>
          <w:rFonts w:ascii="Times New Roman" w:hAnsi="Times New Roman" w:cs="Times New Roman"/>
          <w:sz w:val="24"/>
          <w:szCs w:val="24"/>
        </w:rPr>
        <w:t>3</w:t>
      </w:r>
      <w:r w:rsidR="00130A14" w:rsidRPr="00514F3B">
        <w:rPr>
          <w:rFonts w:ascii="Times New Roman" w:hAnsi="Times New Roman" w:cs="Times New Roman"/>
          <w:sz w:val="24"/>
          <w:szCs w:val="24"/>
        </w:rPr>
        <w:t xml:space="preserve"> percent</w:t>
      </w:r>
      <w:r w:rsidR="00DA4E6F" w:rsidRPr="00514F3B">
        <w:rPr>
          <w:rFonts w:ascii="Times New Roman" w:hAnsi="Times New Roman" w:cs="Times New Roman"/>
          <w:sz w:val="24"/>
          <w:szCs w:val="24"/>
        </w:rPr>
        <w:t xml:space="preserve"> of that prevailing in the BASE period.  </w:t>
      </w:r>
      <w:r w:rsidR="003F6819" w:rsidRPr="00514F3B">
        <w:rPr>
          <w:rFonts w:ascii="Times New Roman" w:hAnsi="Times New Roman" w:cs="Times New Roman"/>
          <w:sz w:val="24"/>
          <w:szCs w:val="24"/>
        </w:rPr>
        <w:t xml:space="preserve"> Interestingly, the rate of decline in average score per </w:t>
      </w:r>
      <w:r w:rsidR="007F0122" w:rsidRPr="00514F3B">
        <w:rPr>
          <w:rFonts w:ascii="Times New Roman" w:hAnsi="Times New Roman" w:cs="Times New Roman"/>
          <w:b/>
          <w:sz w:val="24"/>
          <w:szCs w:val="24"/>
        </w:rPr>
        <w:t>Adjusted Page</w:t>
      </w:r>
      <w:r w:rsidR="007F0122" w:rsidRPr="00514F3B">
        <w:rPr>
          <w:rFonts w:ascii="Times New Roman" w:hAnsi="Times New Roman" w:cs="Times New Roman"/>
          <w:sz w:val="24"/>
          <w:szCs w:val="24"/>
        </w:rPr>
        <w:t xml:space="preserve"> </w:t>
      </w:r>
      <w:r w:rsidR="003F6819" w:rsidRPr="00514F3B">
        <w:rPr>
          <w:rFonts w:ascii="Times New Roman" w:hAnsi="Times New Roman" w:cs="Times New Roman"/>
          <w:sz w:val="24"/>
          <w:szCs w:val="24"/>
        </w:rPr>
        <w:t>is even greater: from 100 in BASE, to 8</w:t>
      </w:r>
      <w:r w:rsidR="005B711C" w:rsidRPr="00514F3B">
        <w:rPr>
          <w:rFonts w:ascii="Times New Roman" w:hAnsi="Times New Roman" w:cs="Times New Roman"/>
          <w:sz w:val="24"/>
          <w:szCs w:val="24"/>
        </w:rPr>
        <w:t>1</w:t>
      </w:r>
      <w:r w:rsidR="00130A14" w:rsidRPr="00514F3B">
        <w:rPr>
          <w:rFonts w:ascii="Times New Roman" w:hAnsi="Times New Roman" w:cs="Times New Roman"/>
          <w:sz w:val="24"/>
          <w:szCs w:val="24"/>
        </w:rPr>
        <w:t xml:space="preserve"> </w:t>
      </w:r>
      <w:r w:rsidR="003F6819" w:rsidRPr="00514F3B">
        <w:rPr>
          <w:rFonts w:ascii="Times New Roman" w:hAnsi="Times New Roman" w:cs="Times New Roman"/>
          <w:sz w:val="24"/>
          <w:szCs w:val="24"/>
        </w:rPr>
        <w:t xml:space="preserve">in PBRF2.  In other words, the score associated with the average </w:t>
      </w:r>
      <w:r w:rsidR="007F0122" w:rsidRPr="00514F3B">
        <w:rPr>
          <w:rFonts w:ascii="Times New Roman" w:hAnsi="Times New Roman" w:cs="Times New Roman"/>
          <w:b/>
          <w:sz w:val="24"/>
          <w:szCs w:val="24"/>
        </w:rPr>
        <w:t>Adjusted Page</w:t>
      </w:r>
      <w:r w:rsidR="007F0122" w:rsidRPr="00514F3B">
        <w:rPr>
          <w:rFonts w:ascii="Times New Roman" w:hAnsi="Times New Roman" w:cs="Times New Roman"/>
          <w:sz w:val="24"/>
          <w:szCs w:val="24"/>
        </w:rPr>
        <w:t xml:space="preserve"> d</w:t>
      </w:r>
      <w:r w:rsidR="003F6819" w:rsidRPr="00514F3B">
        <w:rPr>
          <w:rFonts w:ascii="Times New Roman" w:hAnsi="Times New Roman" w:cs="Times New Roman"/>
          <w:sz w:val="24"/>
          <w:szCs w:val="24"/>
        </w:rPr>
        <w:t>eclined by 1</w:t>
      </w:r>
      <w:r w:rsidR="005B711C" w:rsidRPr="00514F3B">
        <w:rPr>
          <w:rFonts w:ascii="Times New Roman" w:hAnsi="Times New Roman" w:cs="Times New Roman"/>
          <w:sz w:val="24"/>
          <w:szCs w:val="24"/>
        </w:rPr>
        <w:t>9</w:t>
      </w:r>
      <w:r w:rsidR="00130A14" w:rsidRPr="00514F3B">
        <w:rPr>
          <w:rFonts w:ascii="Times New Roman" w:hAnsi="Times New Roman" w:cs="Times New Roman"/>
          <w:sz w:val="24"/>
          <w:szCs w:val="24"/>
        </w:rPr>
        <w:t xml:space="preserve"> percent</w:t>
      </w:r>
      <w:r w:rsidR="003F6819" w:rsidRPr="00514F3B">
        <w:rPr>
          <w:rFonts w:ascii="Times New Roman" w:hAnsi="Times New Roman" w:cs="Times New Roman"/>
          <w:sz w:val="24"/>
          <w:szCs w:val="24"/>
        </w:rPr>
        <w:t xml:space="preserve"> </w:t>
      </w:r>
      <w:r w:rsidR="00130A14" w:rsidRPr="00514F3B">
        <w:rPr>
          <w:rFonts w:ascii="Times New Roman" w:hAnsi="Times New Roman" w:cs="Times New Roman"/>
          <w:sz w:val="24"/>
          <w:szCs w:val="24"/>
        </w:rPr>
        <w:t xml:space="preserve">between BASE and PBRF2.  </w:t>
      </w:r>
      <w:r w:rsidR="009D23DE" w:rsidRPr="00514F3B">
        <w:rPr>
          <w:rFonts w:ascii="Times New Roman" w:hAnsi="Times New Roman" w:cs="Times New Roman"/>
          <w:sz w:val="24"/>
          <w:szCs w:val="24"/>
        </w:rPr>
        <w:t xml:space="preserve">Therefore, our aggregate results suggest that the PBRF scheme has not raised quality, but has encouraged </w:t>
      </w:r>
      <w:r w:rsidR="002E08A6" w:rsidRPr="00514F3B">
        <w:rPr>
          <w:rFonts w:ascii="Times New Roman" w:hAnsi="Times New Roman" w:cs="Times New Roman"/>
          <w:sz w:val="24"/>
          <w:szCs w:val="24"/>
        </w:rPr>
        <w:t xml:space="preserve">the publication of research </w:t>
      </w:r>
      <w:r w:rsidR="00AA77AC" w:rsidRPr="00514F3B">
        <w:rPr>
          <w:rFonts w:ascii="Times New Roman" w:hAnsi="Times New Roman" w:cs="Times New Roman"/>
          <w:sz w:val="24"/>
          <w:szCs w:val="24"/>
        </w:rPr>
        <w:t>in lesser ranked journals.</w:t>
      </w:r>
      <w:r w:rsidR="002E08A6" w:rsidRPr="00514F3B">
        <w:rPr>
          <w:rFonts w:ascii="Times New Roman" w:hAnsi="Times New Roman" w:cs="Times New Roman"/>
          <w:sz w:val="24"/>
          <w:szCs w:val="24"/>
        </w:rPr>
        <w:t xml:space="preserve">   This may have resulted from the increased productivity of staff </w:t>
      </w:r>
      <w:r w:rsidR="009872E5" w:rsidRPr="00514F3B">
        <w:rPr>
          <w:rFonts w:ascii="Times New Roman" w:hAnsi="Times New Roman" w:cs="Times New Roman"/>
          <w:sz w:val="24"/>
          <w:szCs w:val="24"/>
        </w:rPr>
        <w:t>who</w:t>
      </w:r>
      <w:r w:rsidR="002E08A6" w:rsidRPr="00514F3B">
        <w:rPr>
          <w:rFonts w:ascii="Times New Roman" w:hAnsi="Times New Roman" w:cs="Times New Roman"/>
          <w:sz w:val="24"/>
          <w:szCs w:val="24"/>
        </w:rPr>
        <w:t xml:space="preserve"> typically </w:t>
      </w:r>
      <w:proofErr w:type="gramStart"/>
      <w:r w:rsidR="002E08A6" w:rsidRPr="00514F3B">
        <w:rPr>
          <w:rFonts w:ascii="Times New Roman" w:hAnsi="Times New Roman" w:cs="Times New Roman"/>
          <w:sz w:val="24"/>
          <w:szCs w:val="24"/>
        </w:rPr>
        <w:t>publish</w:t>
      </w:r>
      <w:proofErr w:type="gramEnd"/>
      <w:r w:rsidR="002E08A6" w:rsidRPr="00514F3B">
        <w:rPr>
          <w:rFonts w:ascii="Times New Roman" w:hAnsi="Times New Roman" w:cs="Times New Roman"/>
          <w:sz w:val="24"/>
          <w:szCs w:val="24"/>
        </w:rPr>
        <w:t xml:space="preserve"> in lower ranked journals, even though individual academics are encouraged to publish in better journals.  Alternatively, for some academics increasing the qua</w:t>
      </w:r>
      <w:r w:rsidR="00C455A6" w:rsidRPr="00514F3B">
        <w:rPr>
          <w:rFonts w:ascii="Times New Roman" w:hAnsi="Times New Roman" w:cs="Times New Roman"/>
          <w:sz w:val="24"/>
          <w:szCs w:val="24"/>
        </w:rPr>
        <w:t>ntity</w:t>
      </w:r>
      <w:r w:rsidR="002E08A6" w:rsidRPr="00514F3B">
        <w:rPr>
          <w:rFonts w:ascii="Times New Roman" w:hAnsi="Times New Roman" w:cs="Times New Roman"/>
          <w:sz w:val="24"/>
          <w:szCs w:val="24"/>
        </w:rPr>
        <w:t xml:space="preserve"> of research output may have been an easier road to success than the pursuit of quality</w:t>
      </w:r>
      <w:r w:rsidR="004D07CB" w:rsidRPr="00514F3B">
        <w:rPr>
          <w:rFonts w:ascii="Times New Roman" w:hAnsi="Times New Roman" w:cs="Times New Roman"/>
          <w:sz w:val="24"/>
          <w:szCs w:val="24"/>
        </w:rPr>
        <w:t>.</w:t>
      </w:r>
      <w:r w:rsidR="00AA77AC" w:rsidRPr="00514F3B">
        <w:rPr>
          <w:rFonts w:ascii="Times New Roman" w:hAnsi="Times New Roman" w:cs="Times New Roman"/>
          <w:sz w:val="24"/>
          <w:szCs w:val="24"/>
        </w:rPr>
        <w:t xml:space="preserve"> </w:t>
      </w:r>
    </w:p>
    <w:p w:rsidR="003E5413" w:rsidRPr="00056099" w:rsidRDefault="003E5413" w:rsidP="00514F3B">
      <w:pPr>
        <w:tabs>
          <w:tab w:val="left" w:pos="426"/>
        </w:tabs>
        <w:jc w:val="both"/>
        <w:rPr>
          <w:rFonts w:ascii="Times New Roman" w:hAnsi="Times New Roman" w:cs="Times New Roman"/>
          <w:sz w:val="16"/>
          <w:szCs w:val="16"/>
        </w:rPr>
      </w:pPr>
    </w:p>
    <w:tbl>
      <w:tblPr>
        <w:tblW w:w="8798" w:type="dxa"/>
        <w:jc w:val="center"/>
        <w:tblInd w:w="-165" w:type="dxa"/>
        <w:tblLook w:val="04A0"/>
      </w:tblPr>
      <w:tblGrid>
        <w:gridCol w:w="1710"/>
        <w:gridCol w:w="1715"/>
        <w:gridCol w:w="1630"/>
        <w:gridCol w:w="1886"/>
        <w:gridCol w:w="1857"/>
      </w:tblGrid>
      <w:tr w:rsidR="00CF3FD3" w:rsidRPr="00AB4D6D" w:rsidTr="00355FD7">
        <w:trPr>
          <w:trHeight w:val="315"/>
          <w:jc w:val="center"/>
        </w:trPr>
        <w:tc>
          <w:tcPr>
            <w:tcW w:w="8798" w:type="dxa"/>
            <w:gridSpan w:val="5"/>
            <w:tcBorders>
              <w:top w:val="nil"/>
              <w:left w:val="nil"/>
              <w:bottom w:val="nil"/>
              <w:right w:val="nil"/>
            </w:tcBorders>
            <w:shd w:val="clear" w:color="auto" w:fill="auto"/>
            <w:noWrap/>
            <w:vAlign w:val="bottom"/>
            <w:hideMark/>
          </w:tcPr>
          <w:p w:rsidR="00CF3FD3" w:rsidRDefault="00CF3FD3" w:rsidP="00AB4D6D">
            <w:pPr>
              <w:tabs>
                <w:tab w:val="left" w:pos="426"/>
              </w:tabs>
              <w:spacing w:after="0" w:line="240" w:lineRule="auto"/>
              <w:jc w:val="center"/>
              <w:rPr>
                <w:rFonts w:ascii="Times New Roman" w:eastAsia="Times New Roman" w:hAnsi="Times New Roman" w:cs="Times New Roman"/>
                <w:b/>
                <w:bCs/>
                <w:color w:val="000000"/>
                <w:lang w:val="en-NZ" w:eastAsia="zh-CN"/>
              </w:rPr>
            </w:pPr>
            <w:r w:rsidRPr="00AB4D6D">
              <w:rPr>
                <w:rFonts w:ascii="Times New Roman" w:eastAsia="Times New Roman" w:hAnsi="Times New Roman" w:cs="Times New Roman"/>
                <w:b/>
                <w:bCs/>
                <w:color w:val="000000"/>
                <w:lang w:val="en-NZ" w:eastAsia="zh-CN"/>
              </w:rPr>
              <w:t>Table 3.  Increases/Decreases in Scores Between Various Time Periods</w:t>
            </w:r>
          </w:p>
          <w:p w:rsidR="00355FD7" w:rsidRPr="00355FD7" w:rsidRDefault="00355FD7" w:rsidP="00AB4D6D">
            <w:pPr>
              <w:tabs>
                <w:tab w:val="left" w:pos="426"/>
              </w:tabs>
              <w:spacing w:after="0" w:line="240" w:lineRule="auto"/>
              <w:jc w:val="center"/>
              <w:rPr>
                <w:rFonts w:ascii="Times New Roman" w:eastAsia="Times New Roman" w:hAnsi="Times New Roman" w:cs="Times New Roman"/>
                <w:b/>
                <w:bCs/>
                <w:color w:val="000000"/>
                <w:sz w:val="10"/>
                <w:szCs w:val="10"/>
                <w:lang w:val="en-NZ" w:eastAsia="zh-CN"/>
              </w:rPr>
            </w:pPr>
          </w:p>
        </w:tc>
      </w:tr>
      <w:tr w:rsidR="00CF3FD3" w:rsidRPr="00AB4D6D" w:rsidTr="00355FD7">
        <w:trPr>
          <w:trHeight w:val="315"/>
          <w:jc w:val="center"/>
        </w:trPr>
        <w:tc>
          <w:tcPr>
            <w:tcW w:w="8798" w:type="dxa"/>
            <w:gridSpan w:val="5"/>
            <w:tcBorders>
              <w:top w:val="nil"/>
              <w:left w:val="nil"/>
              <w:bottom w:val="single" w:sz="4" w:space="0" w:color="auto"/>
              <w:right w:val="nil"/>
            </w:tcBorders>
            <w:shd w:val="clear" w:color="auto" w:fill="auto"/>
            <w:noWrap/>
            <w:vAlign w:val="bottom"/>
            <w:hideMark/>
          </w:tcPr>
          <w:p w:rsidR="00CF3FD3" w:rsidRDefault="00CF3FD3" w:rsidP="00AB4D6D">
            <w:pPr>
              <w:tabs>
                <w:tab w:val="left" w:pos="426"/>
              </w:tabs>
              <w:spacing w:after="0" w:line="240" w:lineRule="auto"/>
              <w:jc w:val="center"/>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A. Change in Score from 94-99 to 06-11 for 22 Journal Weighting Schemes</w:t>
            </w:r>
          </w:p>
          <w:p w:rsidR="00355FD7" w:rsidRPr="00355FD7" w:rsidRDefault="00355FD7" w:rsidP="00AB4D6D">
            <w:pPr>
              <w:tabs>
                <w:tab w:val="left" w:pos="426"/>
              </w:tabs>
              <w:spacing w:after="0" w:line="240" w:lineRule="auto"/>
              <w:jc w:val="center"/>
              <w:rPr>
                <w:rFonts w:ascii="Times New Roman" w:eastAsia="Times New Roman" w:hAnsi="Times New Roman" w:cs="Times New Roman"/>
                <w:bCs/>
                <w:color w:val="000000"/>
                <w:sz w:val="6"/>
                <w:szCs w:val="6"/>
                <w:lang w:val="en-NZ" w:eastAsia="zh-CN"/>
              </w:rPr>
            </w:pPr>
          </w:p>
        </w:tc>
      </w:tr>
      <w:tr w:rsidR="00CF3FD3" w:rsidRPr="00AB4D6D" w:rsidTr="00355FD7">
        <w:trPr>
          <w:trHeight w:val="680"/>
          <w:jc w:val="center"/>
        </w:trPr>
        <w:tc>
          <w:tcPr>
            <w:tcW w:w="1710" w:type="dxa"/>
            <w:tcBorders>
              <w:top w:val="single" w:sz="4" w:space="0" w:color="auto"/>
              <w:left w:val="nil"/>
              <w:bottom w:val="single" w:sz="4" w:space="0" w:color="auto"/>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715" w:type="dxa"/>
            <w:tcBorders>
              <w:top w:val="single" w:sz="4" w:space="0" w:color="auto"/>
              <w:left w:val="nil"/>
              <w:bottom w:val="single" w:sz="4" w:space="0" w:color="auto"/>
              <w:right w:val="nil"/>
            </w:tcBorders>
            <w:shd w:val="clear" w:color="auto" w:fill="auto"/>
            <w:vAlign w:val="bottom"/>
            <w:hideMark/>
          </w:tcPr>
          <w:p w:rsidR="00355FD7" w:rsidRDefault="00CF3FD3" w:rsidP="00355FD7">
            <w:pPr>
              <w:tabs>
                <w:tab w:val="left" w:pos="426"/>
              </w:tabs>
              <w:spacing w:after="0" w:line="240" w:lineRule="auto"/>
              <w:jc w:val="center"/>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Adjusted Paper</w:t>
            </w:r>
          </w:p>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Per </w:t>
            </w:r>
            <w:r w:rsidR="00CF3FD3" w:rsidRPr="00AB4D6D">
              <w:rPr>
                <w:rFonts w:ascii="Times New Roman" w:eastAsia="Times New Roman" w:hAnsi="Times New Roman" w:cs="Times New Roman"/>
                <w:bCs/>
                <w:color w:val="000000"/>
                <w:lang w:val="en-NZ" w:eastAsia="zh-CN"/>
              </w:rPr>
              <w:t>Capita</w:t>
            </w:r>
          </w:p>
        </w:tc>
        <w:tc>
          <w:tcPr>
            <w:tcW w:w="1630" w:type="dxa"/>
            <w:tcBorders>
              <w:top w:val="single" w:sz="4" w:space="0" w:color="auto"/>
              <w:left w:val="nil"/>
              <w:bottom w:val="single" w:sz="4" w:space="0" w:color="auto"/>
              <w:right w:val="nil"/>
            </w:tcBorders>
            <w:shd w:val="clear" w:color="auto" w:fill="auto"/>
            <w:vAlign w:val="bottom"/>
            <w:hideMark/>
          </w:tcPr>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Adjusted Page</w:t>
            </w:r>
            <w:r w:rsidR="00CF3FD3" w:rsidRPr="00AB4D6D">
              <w:rPr>
                <w:rFonts w:ascii="Times New Roman" w:eastAsia="Times New Roman" w:hAnsi="Times New Roman" w:cs="Times New Roman"/>
                <w:bCs/>
                <w:color w:val="000000"/>
                <w:lang w:val="en-NZ" w:eastAsia="zh-CN"/>
              </w:rPr>
              <w:t xml:space="preserve"> </w:t>
            </w:r>
            <w:r>
              <w:rPr>
                <w:rFonts w:ascii="Times New Roman" w:eastAsia="Times New Roman" w:hAnsi="Times New Roman" w:cs="Times New Roman"/>
                <w:bCs/>
                <w:color w:val="000000"/>
                <w:lang w:val="en-NZ" w:eastAsia="zh-CN"/>
              </w:rPr>
              <w:t xml:space="preserve">Per </w:t>
            </w:r>
            <w:r w:rsidR="00CF3FD3" w:rsidRPr="00AB4D6D">
              <w:rPr>
                <w:rFonts w:ascii="Times New Roman" w:eastAsia="Times New Roman" w:hAnsi="Times New Roman" w:cs="Times New Roman"/>
                <w:bCs/>
                <w:color w:val="000000"/>
                <w:lang w:val="en-NZ" w:eastAsia="zh-CN"/>
              </w:rPr>
              <w:t>Capita</w:t>
            </w:r>
          </w:p>
        </w:tc>
        <w:tc>
          <w:tcPr>
            <w:tcW w:w="1886" w:type="dxa"/>
            <w:tcBorders>
              <w:top w:val="single" w:sz="4" w:space="0" w:color="auto"/>
              <w:left w:val="nil"/>
              <w:bottom w:val="single" w:sz="4" w:space="0" w:color="auto"/>
              <w:right w:val="nil"/>
            </w:tcBorders>
            <w:shd w:val="clear" w:color="auto" w:fill="auto"/>
            <w:vAlign w:val="bottom"/>
            <w:hideMark/>
          </w:tcPr>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Score Per </w:t>
            </w:r>
            <w:r w:rsidR="00CF3FD3" w:rsidRPr="00AB4D6D">
              <w:rPr>
                <w:rFonts w:ascii="Times New Roman" w:eastAsia="Times New Roman" w:hAnsi="Times New Roman" w:cs="Times New Roman"/>
                <w:bCs/>
                <w:color w:val="000000"/>
                <w:lang w:val="en-NZ" w:eastAsia="zh-CN"/>
              </w:rPr>
              <w:t>Adjusted Paper</w:t>
            </w:r>
          </w:p>
        </w:tc>
        <w:tc>
          <w:tcPr>
            <w:tcW w:w="1857" w:type="dxa"/>
            <w:tcBorders>
              <w:top w:val="single" w:sz="4" w:space="0" w:color="auto"/>
              <w:left w:val="nil"/>
              <w:bottom w:val="single" w:sz="4" w:space="0" w:color="auto"/>
              <w:right w:val="nil"/>
            </w:tcBorders>
            <w:shd w:val="clear" w:color="auto" w:fill="auto"/>
            <w:vAlign w:val="bottom"/>
            <w:hideMark/>
          </w:tcPr>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Score Per </w:t>
            </w:r>
            <w:r w:rsidR="00CF3FD3" w:rsidRPr="00AB4D6D">
              <w:rPr>
                <w:rFonts w:ascii="Times New Roman" w:eastAsia="Times New Roman" w:hAnsi="Times New Roman" w:cs="Times New Roman"/>
                <w:bCs/>
                <w:color w:val="000000"/>
                <w:lang w:val="en-NZ" w:eastAsia="zh-CN"/>
              </w:rPr>
              <w:t>Adjusted Page</w:t>
            </w:r>
          </w:p>
        </w:tc>
      </w:tr>
      <w:tr w:rsidR="00CF3FD3" w:rsidRPr="00AB4D6D" w:rsidTr="00355FD7">
        <w:trPr>
          <w:trHeight w:val="300"/>
          <w:jc w:val="center"/>
        </w:trPr>
        <w:tc>
          <w:tcPr>
            <w:tcW w:w="1710" w:type="dxa"/>
            <w:tcBorders>
              <w:top w:val="nil"/>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Decline</w:t>
            </w:r>
          </w:p>
        </w:tc>
        <w:tc>
          <w:tcPr>
            <w:tcW w:w="1715"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6</w:t>
            </w:r>
          </w:p>
        </w:tc>
        <w:tc>
          <w:tcPr>
            <w:tcW w:w="1630"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w:t>
            </w:r>
          </w:p>
        </w:tc>
        <w:tc>
          <w:tcPr>
            <w:tcW w:w="1886"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20</w:t>
            </w:r>
          </w:p>
        </w:tc>
        <w:tc>
          <w:tcPr>
            <w:tcW w:w="1857"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20</w:t>
            </w:r>
          </w:p>
        </w:tc>
      </w:tr>
      <w:tr w:rsidR="00CF3FD3" w:rsidRPr="00AB4D6D" w:rsidTr="00355FD7">
        <w:trPr>
          <w:trHeight w:val="300"/>
          <w:jc w:val="center"/>
        </w:trPr>
        <w:tc>
          <w:tcPr>
            <w:tcW w:w="1710" w:type="dxa"/>
            <w:tcBorders>
              <w:top w:val="nil"/>
              <w:left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No Change</w:t>
            </w:r>
          </w:p>
        </w:tc>
        <w:tc>
          <w:tcPr>
            <w:tcW w:w="1715"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0</w:t>
            </w:r>
          </w:p>
        </w:tc>
        <w:tc>
          <w:tcPr>
            <w:tcW w:w="1630"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0</w:t>
            </w:r>
          </w:p>
        </w:tc>
        <w:tc>
          <w:tcPr>
            <w:tcW w:w="1886"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c>
          <w:tcPr>
            <w:tcW w:w="1857"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r>
      <w:tr w:rsidR="00CF3FD3" w:rsidRPr="00AB4D6D" w:rsidTr="00355FD7">
        <w:trPr>
          <w:trHeight w:val="300"/>
          <w:jc w:val="center"/>
        </w:trPr>
        <w:tc>
          <w:tcPr>
            <w:tcW w:w="1710"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Rise</w:t>
            </w:r>
          </w:p>
        </w:tc>
        <w:tc>
          <w:tcPr>
            <w:tcW w:w="1715"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16</w:t>
            </w:r>
          </w:p>
        </w:tc>
        <w:tc>
          <w:tcPr>
            <w:tcW w:w="1630"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20</w:t>
            </w:r>
          </w:p>
        </w:tc>
        <w:tc>
          <w:tcPr>
            <w:tcW w:w="1886"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c>
          <w:tcPr>
            <w:tcW w:w="1857"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r>
      <w:tr w:rsidR="00CF3FD3" w:rsidRPr="00AB4D6D" w:rsidTr="00355FD7">
        <w:trPr>
          <w:trHeight w:val="300"/>
          <w:jc w:val="center"/>
        </w:trPr>
        <w:tc>
          <w:tcPr>
            <w:tcW w:w="1710" w:type="dxa"/>
            <w:tcBorders>
              <w:top w:val="single" w:sz="4" w:space="0" w:color="auto"/>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715" w:type="dxa"/>
            <w:tcBorders>
              <w:top w:val="single" w:sz="4" w:space="0" w:color="auto"/>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630" w:type="dxa"/>
            <w:tcBorders>
              <w:top w:val="single" w:sz="4" w:space="0" w:color="auto"/>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886" w:type="dxa"/>
            <w:tcBorders>
              <w:top w:val="single" w:sz="4" w:space="0" w:color="auto"/>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857" w:type="dxa"/>
            <w:tcBorders>
              <w:top w:val="single" w:sz="4" w:space="0" w:color="auto"/>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r>
      <w:tr w:rsidR="00CF3FD3" w:rsidRPr="00AB4D6D" w:rsidTr="00355FD7">
        <w:trPr>
          <w:trHeight w:val="315"/>
          <w:jc w:val="center"/>
        </w:trPr>
        <w:tc>
          <w:tcPr>
            <w:tcW w:w="8798" w:type="dxa"/>
            <w:gridSpan w:val="5"/>
            <w:tcBorders>
              <w:top w:val="nil"/>
              <w:left w:val="nil"/>
              <w:bottom w:val="single" w:sz="4" w:space="0" w:color="auto"/>
              <w:right w:val="nil"/>
            </w:tcBorders>
            <w:shd w:val="clear" w:color="auto" w:fill="auto"/>
            <w:noWrap/>
            <w:vAlign w:val="bottom"/>
            <w:hideMark/>
          </w:tcPr>
          <w:p w:rsidR="00CF3FD3" w:rsidRDefault="00CF3FD3" w:rsidP="00355FD7">
            <w:pPr>
              <w:tabs>
                <w:tab w:val="left" w:pos="426"/>
              </w:tabs>
              <w:spacing w:after="0" w:line="240" w:lineRule="auto"/>
              <w:jc w:val="center"/>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B. Change in Score from 00-05 to 06-11 for 22 Journal Weighting Schemes</w:t>
            </w:r>
          </w:p>
          <w:p w:rsidR="00355FD7" w:rsidRPr="00355FD7" w:rsidRDefault="00355FD7" w:rsidP="00355FD7">
            <w:pPr>
              <w:tabs>
                <w:tab w:val="left" w:pos="426"/>
              </w:tabs>
              <w:spacing w:after="0" w:line="240" w:lineRule="auto"/>
              <w:jc w:val="center"/>
              <w:rPr>
                <w:rFonts w:ascii="Times New Roman" w:eastAsia="Times New Roman" w:hAnsi="Times New Roman" w:cs="Times New Roman"/>
                <w:bCs/>
                <w:color w:val="000000"/>
                <w:sz w:val="6"/>
                <w:szCs w:val="6"/>
                <w:lang w:val="en-NZ" w:eastAsia="zh-CN"/>
              </w:rPr>
            </w:pPr>
          </w:p>
        </w:tc>
      </w:tr>
      <w:tr w:rsidR="00CF3FD3" w:rsidRPr="00AB4D6D" w:rsidTr="00355FD7">
        <w:trPr>
          <w:trHeight w:val="680"/>
          <w:jc w:val="center"/>
        </w:trPr>
        <w:tc>
          <w:tcPr>
            <w:tcW w:w="1710" w:type="dxa"/>
            <w:tcBorders>
              <w:top w:val="single" w:sz="4" w:space="0" w:color="auto"/>
              <w:left w:val="nil"/>
              <w:bottom w:val="single" w:sz="4" w:space="0" w:color="auto"/>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715" w:type="dxa"/>
            <w:tcBorders>
              <w:top w:val="single" w:sz="4" w:space="0" w:color="auto"/>
              <w:left w:val="nil"/>
              <w:bottom w:val="single" w:sz="4" w:space="0" w:color="auto"/>
              <w:right w:val="nil"/>
            </w:tcBorders>
            <w:shd w:val="clear" w:color="auto" w:fill="auto"/>
            <w:vAlign w:val="bottom"/>
            <w:hideMark/>
          </w:tcPr>
          <w:p w:rsidR="00355FD7"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Adjusted Paper</w:t>
            </w:r>
          </w:p>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Per </w:t>
            </w:r>
            <w:r w:rsidRPr="00AB4D6D">
              <w:rPr>
                <w:rFonts w:ascii="Times New Roman" w:eastAsia="Times New Roman" w:hAnsi="Times New Roman" w:cs="Times New Roman"/>
                <w:bCs/>
                <w:color w:val="000000"/>
                <w:lang w:val="en-NZ" w:eastAsia="zh-CN"/>
              </w:rPr>
              <w:t>Capita</w:t>
            </w:r>
          </w:p>
        </w:tc>
        <w:tc>
          <w:tcPr>
            <w:tcW w:w="1630" w:type="dxa"/>
            <w:tcBorders>
              <w:top w:val="single" w:sz="4" w:space="0" w:color="auto"/>
              <w:left w:val="nil"/>
              <w:bottom w:val="single" w:sz="4" w:space="0" w:color="auto"/>
              <w:right w:val="nil"/>
            </w:tcBorders>
            <w:shd w:val="clear" w:color="auto" w:fill="auto"/>
            <w:vAlign w:val="bottom"/>
            <w:hideMark/>
          </w:tcPr>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Adjusted Page</w:t>
            </w:r>
            <w:r w:rsidRPr="00AB4D6D">
              <w:rPr>
                <w:rFonts w:ascii="Times New Roman" w:eastAsia="Times New Roman" w:hAnsi="Times New Roman" w:cs="Times New Roman"/>
                <w:bCs/>
                <w:color w:val="000000"/>
                <w:lang w:val="en-NZ" w:eastAsia="zh-CN"/>
              </w:rPr>
              <w:t xml:space="preserve"> </w:t>
            </w:r>
            <w:r>
              <w:rPr>
                <w:rFonts w:ascii="Times New Roman" w:eastAsia="Times New Roman" w:hAnsi="Times New Roman" w:cs="Times New Roman"/>
                <w:bCs/>
                <w:color w:val="000000"/>
                <w:lang w:val="en-NZ" w:eastAsia="zh-CN"/>
              </w:rPr>
              <w:t xml:space="preserve">Per </w:t>
            </w:r>
            <w:r w:rsidRPr="00AB4D6D">
              <w:rPr>
                <w:rFonts w:ascii="Times New Roman" w:eastAsia="Times New Roman" w:hAnsi="Times New Roman" w:cs="Times New Roman"/>
                <w:bCs/>
                <w:color w:val="000000"/>
                <w:lang w:val="en-NZ" w:eastAsia="zh-CN"/>
              </w:rPr>
              <w:t>Capita</w:t>
            </w:r>
          </w:p>
        </w:tc>
        <w:tc>
          <w:tcPr>
            <w:tcW w:w="1886" w:type="dxa"/>
            <w:tcBorders>
              <w:top w:val="single" w:sz="4" w:space="0" w:color="auto"/>
              <w:left w:val="nil"/>
              <w:bottom w:val="single" w:sz="4" w:space="0" w:color="auto"/>
              <w:right w:val="nil"/>
            </w:tcBorders>
            <w:shd w:val="clear" w:color="auto" w:fill="auto"/>
            <w:vAlign w:val="bottom"/>
            <w:hideMark/>
          </w:tcPr>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Score Per </w:t>
            </w:r>
            <w:r w:rsidRPr="00AB4D6D">
              <w:rPr>
                <w:rFonts w:ascii="Times New Roman" w:eastAsia="Times New Roman" w:hAnsi="Times New Roman" w:cs="Times New Roman"/>
                <w:bCs/>
                <w:color w:val="000000"/>
                <w:lang w:val="en-NZ" w:eastAsia="zh-CN"/>
              </w:rPr>
              <w:t>Adjusted Paper</w:t>
            </w:r>
          </w:p>
        </w:tc>
        <w:tc>
          <w:tcPr>
            <w:tcW w:w="1857" w:type="dxa"/>
            <w:tcBorders>
              <w:top w:val="single" w:sz="4" w:space="0" w:color="auto"/>
              <w:left w:val="nil"/>
              <w:bottom w:val="single" w:sz="4" w:space="0" w:color="auto"/>
              <w:right w:val="nil"/>
            </w:tcBorders>
            <w:shd w:val="clear" w:color="auto" w:fill="auto"/>
            <w:vAlign w:val="bottom"/>
            <w:hideMark/>
          </w:tcPr>
          <w:p w:rsidR="00CF3FD3" w:rsidRPr="00AB4D6D" w:rsidRDefault="00355FD7" w:rsidP="00355FD7">
            <w:pPr>
              <w:tabs>
                <w:tab w:val="left" w:pos="426"/>
              </w:tabs>
              <w:spacing w:after="0" w:line="240" w:lineRule="auto"/>
              <w:jc w:val="center"/>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 xml:space="preserve">Score Per </w:t>
            </w:r>
            <w:r w:rsidRPr="00AB4D6D">
              <w:rPr>
                <w:rFonts w:ascii="Times New Roman" w:eastAsia="Times New Roman" w:hAnsi="Times New Roman" w:cs="Times New Roman"/>
                <w:bCs/>
                <w:color w:val="000000"/>
                <w:lang w:val="en-NZ" w:eastAsia="zh-CN"/>
              </w:rPr>
              <w:t>Adjusted Page</w:t>
            </w:r>
          </w:p>
        </w:tc>
      </w:tr>
      <w:tr w:rsidR="00CF3FD3" w:rsidRPr="00AB4D6D" w:rsidTr="00355FD7">
        <w:trPr>
          <w:trHeight w:val="300"/>
          <w:jc w:val="center"/>
        </w:trPr>
        <w:tc>
          <w:tcPr>
            <w:tcW w:w="1710" w:type="dxa"/>
            <w:tcBorders>
              <w:top w:val="nil"/>
              <w:left w:val="nil"/>
              <w:bottom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Decline</w:t>
            </w:r>
          </w:p>
        </w:tc>
        <w:tc>
          <w:tcPr>
            <w:tcW w:w="1715"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c>
          <w:tcPr>
            <w:tcW w:w="1630"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25"/>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w:t>
            </w:r>
          </w:p>
        </w:tc>
        <w:tc>
          <w:tcPr>
            <w:tcW w:w="1886"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68"/>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12</w:t>
            </w:r>
          </w:p>
        </w:tc>
        <w:tc>
          <w:tcPr>
            <w:tcW w:w="1857" w:type="dxa"/>
            <w:tcBorders>
              <w:top w:val="nil"/>
              <w:left w:val="nil"/>
              <w:bottom w:val="nil"/>
              <w:right w:val="nil"/>
            </w:tcBorders>
            <w:shd w:val="clear" w:color="auto" w:fill="auto"/>
            <w:noWrap/>
            <w:vAlign w:val="bottom"/>
            <w:hideMark/>
          </w:tcPr>
          <w:p w:rsidR="00CF3FD3" w:rsidRPr="00AB4D6D" w:rsidRDefault="00CF3FD3" w:rsidP="008E4CC0">
            <w:pPr>
              <w:tabs>
                <w:tab w:val="left" w:pos="426"/>
              </w:tabs>
              <w:spacing w:after="0" w:line="240" w:lineRule="auto"/>
              <w:ind w:right="582"/>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19</w:t>
            </w:r>
          </w:p>
        </w:tc>
      </w:tr>
      <w:tr w:rsidR="00CF3FD3" w:rsidRPr="00AB4D6D" w:rsidTr="00355FD7">
        <w:trPr>
          <w:trHeight w:val="300"/>
          <w:jc w:val="center"/>
        </w:trPr>
        <w:tc>
          <w:tcPr>
            <w:tcW w:w="1710" w:type="dxa"/>
            <w:tcBorders>
              <w:top w:val="nil"/>
              <w:left w:val="nil"/>
              <w:right w:val="nil"/>
            </w:tcBorders>
            <w:shd w:val="clear" w:color="auto" w:fill="auto"/>
            <w:noWrap/>
            <w:vAlign w:val="bottom"/>
            <w:hideMark/>
          </w:tcPr>
          <w:p w:rsidR="00CF3FD3" w:rsidRPr="00AB4D6D" w:rsidRDefault="00CF3FD3"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No Change</w:t>
            </w:r>
          </w:p>
        </w:tc>
        <w:tc>
          <w:tcPr>
            <w:tcW w:w="1715"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0</w:t>
            </w:r>
          </w:p>
        </w:tc>
        <w:tc>
          <w:tcPr>
            <w:tcW w:w="1630"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25"/>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0</w:t>
            </w:r>
          </w:p>
        </w:tc>
        <w:tc>
          <w:tcPr>
            <w:tcW w:w="1886"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68"/>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c>
          <w:tcPr>
            <w:tcW w:w="1857" w:type="dxa"/>
            <w:tcBorders>
              <w:top w:val="nil"/>
              <w:left w:val="nil"/>
              <w:right w:val="nil"/>
            </w:tcBorders>
            <w:shd w:val="clear" w:color="auto" w:fill="auto"/>
            <w:noWrap/>
            <w:vAlign w:val="bottom"/>
            <w:hideMark/>
          </w:tcPr>
          <w:p w:rsidR="00CF3FD3" w:rsidRPr="00AB4D6D" w:rsidRDefault="00CF3FD3" w:rsidP="008E4CC0">
            <w:pPr>
              <w:tabs>
                <w:tab w:val="left" w:pos="426"/>
              </w:tabs>
              <w:spacing w:after="0" w:line="240" w:lineRule="auto"/>
              <w:ind w:right="582"/>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1</w:t>
            </w:r>
          </w:p>
        </w:tc>
      </w:tr>
      <w:tr w:rsidR="00CF3FD3" w:rsidRPr="00AB4D6D" w:rsidTr="00355FD7">
        <w:trPr>
          <w:trHeight w:val="300"/>
          <w:jc w:val="center"/>
        </w:trPr>
        <w:tc>
          <w:tcPr>
            <w:tcW w:w="1710"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jc w:val="both"/>
              <w:rPr>
                <w:rFonts w:ascii="Times New Roman" w:eastAsia="Times New Roman" w:hAnsi="Times New Roman" w:cs="Times New Roman"/>
                <w:bCs/>
                <w:color w:val="000000"/>
                <w:lang w:val="en-NZ" w:eastAsia="zh-CN"/>
              </w:rPr>
            </w:pPr>
            <w:r w:rsidRPr="00AB4D6D">
              <w:rPr>
                <w:rFonts w:ascii="Times New Roman" w:eastAsia="Times New Roman" w:hAnsi="Times New Roman" w:cs="Times New Roman"/>
                <w:bCs/>
                <w:color w:val="000000"/>
                <w:lang w:val="en-NZ" w:eastAsia="zh-CN"/>
              </w:rPr>
              <w:t>Rise</w:t>
            </w:r>
          </w:p>
        </w:tc>
        <w:tc>
          <w:tcPr>
            <w:tcW w:w="1715"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96"/>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21</w:t>
            </w:r>
          </w:p>
        </w:tc>
        <w:tc>
          <w:tcPr>
            <w:tcW w:w="1630"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25"/>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20</w:t>
            </w:r>
          </w:p>
        </w:tc>
        <w:tc>
          <w:tcPr>
            <w:tcW w:w="1886"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68"/>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9</w:t>
            </w:r>
          </w:p>
        </w:tc>
        <w:tc>
          <w:tcPr>
            <w:tcW w:w="1857" w:type="dxa"/>
            <w:tcBorders>
              <w:top w:val="nil"/>
              <w:left w:val="nil"/>
              <w:bottom w:val="single" w:sz="4" w:space="0" w:color="auto"/>
              <w:right w:val="nil"/>
            </w:tcBorders>
            <w:shd w:val="clear" w:color="auto" w:fill="auto"/>
            <w:noWrap/>
            <w:vAlign w:val="bottom"/>
            <w:hideMark/>
          </w:tcPr>
          <w:p w:rsidR="00CF3FD3" w:rsidRPr="00AB4D6D" w:rsidRDefault="00CF3FD3" w:rsidP="00056099">
            <w:pPr>
              <w:tabs>
                <w:tab w:val="left" w:pos="426"/>
              </w:tabs>
              <w:spacing w:after="60" w:line="240" w:lineRule="auto"/>
              <w:ind w:right="582"/>
              <w:jc w:val="right"/>
              <w:rPr>
                <w:rFonts w:ascii="Times New Roman" w:eastAsia="Times New Roman" w:hAnsi="Times New Roman" w:cs="Times New Roman"/>
                <w:color w:val="000000"/>
                <w:lang w:val="en-NZ" w:eastAsia="zh-CN"/>
              </w:rPr>
            </w:pPr>
            <w:r w:rsidRPr="00AB4D6D">
              <w:rPr>
                <w:rFonts w:ascii="Times New Roman" w:eastAsia="Times New Roman" w:hAnsi="Times New Roman" w:cs="Times New Roman"/>
                <w:color w:val="000000"/>
                <w:lang w:val="en-NZ" w:eastAsia="zh-CN"/>
              </w:rPr>
              <w:t>2</w:t>
            </w:r>
          </w:p>
        </w:tc>
      </w:tr>
    </w:tbl>
    <w:p w:rsidR="00CF3FD3" w:rsidRPr="00AB4D6D" w:rsidRDefault="00CF3FD3" w:rsidP="00514F3B">
      <w:pPr>
        <w:tabs>
          <w:tab w:val="left" w:pos="426"/>
        </w:tabs>
        <w:jc w:val="both"/>
        <w:rPr>
          <w:rFonts w:ascii="Times New Roman" w:hAnsi="Times New Roman" w:cs="Times New Roman"/>
        </w:rPr>
      </w:pPr>
    </w:p>
    <w:p w:rsidR="002218E2"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2218E2" w:rsidRPr="00514F3B">
        <w:rPr>
          <w:rFonts w:ascii="Times New Roman" w:hAnsi="Times New Roman" w:cs="Times New Roman"/>
          <w:sz w:val="24"/>
          <w:szCs w:val="24"/>
        </w:rPr>
        <w:t xml:space="preserve">The above analysis has been based on the average scores over 22 JWS.  Therefore, it is reasonable to ask if our results are dependent on the type of weighting scheme employed in the analysis.  As shown in Table </w:t>
      </w:r>
      <w:r w:rsidR="000922B3" w:rsidRPr="00514F3B">
        <w:rPr>
          <w:rFonts w:ascii="Times New Roman" w:hAnsi="Times New Roman" w:cs="Times New Roman"/>
          <w:sz w:val="24"/>
          <w:szCs w:val="24"/>
        </w:rPr>
        <w:t>3</w:t>
      </w:r>
      <w:r w:rsidR="002218E2" w:rsidRPr="00514F3B">
        <w:rPr>
          <w:rFonts w:ascii="Times New Roman" w:hAnsi="Times New Roman" w:cs="Times New Roman"/>
          <w:sz w:val="24"/>
          <w:szCs w:val="24"/>
        </w:rPr>
        <w:t>,</w:t>
      </w:r>
      <w:r w:rsidR="000C5CB1" w:rsidRPr="00514F3B">
        <w:rPr>
          <w:rStyle w:val="FootnoteReference"/>
          <w:rFonts w:ascii="Times New Roman" w:hAnsi="Times New Roman" w:cs="Times New Roman"/>
          <w:sz w:val="24"/>
          <w:szCs w:val="24"/>
        </w:rPr>
        <w:footnoteReference w:id="13"/>
      </w:r>
      <w:r w:rsidR="002218E2" w:rsidRPr="00514F3B">
        <w:rPr>
          <w:rFonts w:ascii="Times New Roman" w:hAnsi="Times New Roman" w:cs="Times New Roman"/>
          <w:sz w:val="24"/>
          <w:szCs w:val="24"/>
        </w:rPr>
        <w:t xml:space="preserve"> this does not appear to be the case.  From a productivity perspective, most, but not all JWS moved in the same direction for both </w:t>
      </w:r>
      <w:r w:rsidR="007F0122" w:rsidRPr="00514F3B">
        <w:rPr>
          <w:rFonts w:ascii="Times New Roman" w:hAnsi="Times New Roman" w:cs="Times New Roman"/>
          <w:b/>
          <w:sz w:val="24"/>
          <w:szCs w:val="24"/>
        </w:rPr>
        <w:t xml:space="preserve">Adjusted </w:t>
      </w:r>
      <w:r w:rsidR="002218E2" w:rsidRPr="00514F3B">
        <w:rPr>
          <w:rFonts w:ascii="Times New Roman" w:hAnsi="Times New Roman" w:cs="Times New Roman"/>
          <w:b/>
          <w:sz w:val="24"/>
          <w:szCs w:val="24"/>
        </w:rPr>
        <w:t>Paper</w:t>
      </w:r>
      <w:r w:rsidR="002218E2" w:rsidRPr="00514F3B">
        <w:rPr>
          <w:rFonts w:ascii="Times New Roman" w:hAnsi="Times New Roman" w:cs="Times New Roman"/>
          <w:sz w:val="24"/>
          <w:szCs w:val="24"/>
        </w:rPr>
        <w:t xml:space="preserve"> and </w:t>
      </w:r>
      <w:r w:rsidR="007F0122" w:rsidRPr="00514F3B">
        <w:rPr>
          <w:rFonts w:ascii="Times New Roman" w:hAnsi="Times New Roman" w:cs="Times New Roman"/>
          <w:b/>
          <w:sz w:val="24"/>
          <w:szCs w:val="24"/>
        </w:rPr>
        <w:t xml:space="preserve">Adjusted </w:t>
      </w:r>
      <w:r w:rsidR="002218E2" w:rsidRPr="00514F3B">
        <w:rPr>
          <w:rFonts w:ascii="Times New Roman" w:hAnsi="Times New Roman" w:cs="Times New Roman"/>
          <w:b/>
          <w:sz w:val="24"/>
          <w:szCs w:val="24"/>
        </w:rPr>
        <w:t>Page</w:t>
      </w:r>
      <w:r w:rsidR="002218E2" w:rsidRPr="00514F3B">
        <w:rPr>
          <w:rFonts w:ascii="Times New Roman" w:hAnsi="Times New Roman" w:cs="Times New Roman"/>
          <w:sz w:val="24"/>
          <w:szCs w:val="24"/>
        </w:rPr>
        <w:t xml:space="preserve"> measures.  More specifically, 16 of 22 schemes are associated with an increase in </w:t>
      </w:r>
      <w:r w:rsidR="007F0122" w:rsidRPr="00514F3B">
        <w:rPr>
          <w:rFonts w:ascii="Times New Roman" w:hAnsi="Times New Roman" w:cs="Times New Roman"/>
          <w:b/>
          <w:sz w:val="24"/>
          <w:szCs w:val="24"/>
        </w:rPr>
        <w:t xml:space="preserve">Adjusted </w:t>
      </w:r>
      <w:r w:rsidR="002218E2" w:rsidRPr="00514F3B">
        <w:rPr>
          <w:rFonts w:ascii="Times New Roman" w:hAnsi="Times New Roman" w:cs="Times New Roman"/>
          <w:b/>
          <w:sz w:val="24"/>
          <w:szCs w:val="24"/>
        </w:rPr>
        <w:t>Paper</w:t>
      </w:r>
      <w:r w:rsidR="002218E2" w:rsidRPr="00514F3B">
        <w:rPr>
          <w:rFonts w:ascii="Times New Roman" w:hAnsi="Times New Roman" w:cs="Times New Roman"/>
          <w:sz w:val="24"/>
          <w:szCs w:val="24"/>
        </w:rPr>
        <w:t xml:space="preserve"> productivity</w:t>
      </w:r>
      <w:r w:rsidR="00511240" w:rsidRPr="00514F3B">
        <w:rPr>
          <w:rFonts w:ascii="Times New Roman" w:hAnsi="Times New Roman" w:cs="Times New Roman"/>
          <w:sz w:val="24"/>
          <w:szCs w:val="24"/>
        </w:rPr>
        <w:t xml:space="preserve"> between the 1994-1999 and 2006- 2011 periods.  The</w:t>
      </w:r>
      <w:r w:rsidR="002218E2" w:rsidRPr="00514F3B">
        <w:rPr>
          <w:rFonts w:ascii="Times New Roman" w:hAnsi="Times New Roman" w:cs="Times New Roman"/>
          <w:sz w:val="24"/>
          <w:szCs w:val="24"/>
        </w:rPr>
        <w:t xml:space="preserve"> corresponding figure for</w:t>
      </w:r>
      <w:r w:rsidR="00C33F0F" w:rsidRPr="00514F3B">
        <w:rPr>
          <w:rFonts w:ascii="Times New Roman" w:hAnsi="Times New Roman" w:cs="Times New Roman"/>
          <w:sz w:val="24"/>
          <w:szCs w:val="24"/>
        </w:rPr>
        <w:t xml:space="preserve"> </w:t>
      </w:r>
      <w:r w:rsidR="00C33F0F" w:rsidRPr="00514F3B">
        <w:rPr>
          <w:rFonts w:ascii="Times New Roman" w:hAnsi="Times New Roman" w:cs="Times New Roman"/>
          <w:b/>
          <w:sz w:val="24"/>
          <w:szCs w:val="24"/>
        </w:rPr>
        <w:t>Adjusted</w:t>
      </w:r>
      <w:r w:rsidR="002218E2" w:rsidRPr="00514F3B">
        <w:rPr>
          <w:rFonts w:ascii="Times New Roman" w:hAnsi="Times New Roman" w:cs="Times New Roman"/>
          <w:b/>
          <w:sz w:val="24"/>
          <w:szCs w:val="24"/>
        </w:rPr>
        <w:t xml:space="preserve"> Page</w:t>
      </w:r>
      <w:r w:rsidR="002218E2" w:rsidRPr="00514F3B">
        <w:rPr>
          <w:rFonts w:ascii="Times New Roman" w:hAnsi="Times New Roman" w:cs="Times New Roman"/>
          <w:sz w:val="24"/>
          <w:szCs w:val="24"/>
        </w:rPr>
        <w:t xml:space="preserve"> productivity is </w:t>
      </w:r>
      <w:r w:rsidR="005B711C" w:rsidRPr="00514F3B">
        <w:rPr>
          <w:rFonts w:ascii="Times New Roman" w:hAnsi="Times New Roman" w:cs="Times New Roman"/>
          <w:sz w:val="24"/>
          <w:szCs w:val="24"/>
        </w:rPr>
        <w:t>20</w:t>
      </w:r>
      <w:r w:rsidR="002218E2" w:rsidRPr="00514F3B">
        <w:rPr>
          <w:rFonts w:ascii="Times New Roman" w:hAnsi="Times New Roman" w:cs="Times New Roman"/>
          <w:sz w:val="24"/>
          <w:szCs w:val="24"/>
        </w:rPr>
        <w:t xml:space="preserve"> of 2</w:t>
      </w:r>
      <w:r w:rsidR="00511240" w:rsidRPr="00514F3B">
        <w:rPr>
          <w:rFonts w:ascii="Times New Roman" w:hAnsi="Times New Roman" w:cs="Times New Roman"/>
          <w:sz w:val="24"/>
          <w:szCs w:val="24"/>
        </w:rPr>
        <w:t xml:space="preserve">2.  </w:t>
      </w:r>
      <w:r w:rsidR="002218E2" w:rsidRPr="00514F3B">
        <w:rPr>
          <w:rFonts w:ascii="Times New Roman" w:hAnsi="Times New Roman" w:cs="Times New Roman"/>
          <w:sz w:val="24"/>
          <w:szCs w:val="24"/>
        </w:rPr>
        <w:t>Note that the change from PBRF1 to PBRF2</w:t>
      </w:r>
      <w:r w:rsidR="009A2987" w:rsidRPr="00514F3B">
        <w:rPr>
          <w:rFonts w:ascii="Times New Roman" w:hAnsi="Times New Roman" w:cs="Times New Roman"/>
          <w:sz w:val="24"/>
          <w:szCs w:val="24"/>
        </w:rPr>
        <w:t xml:space="preserve"> suggests that productivity has continued to increase over time: the corresponding estimates are 21 of 22 and 20 of 22 for </w:t>
      </w:r>
      <w:r w:rsidR="00C33F0F" w:rsidRPr="00514F3B">
        <w:rPr>
          <w:rFonts w:ascii="Times New Roman" w:hAnsi="Times New Roman" w:cs="Times New Roman"/>
          <w:b/>
          <w:sz w:val="24"/>
          <w:szCs w:val="24"/>
        </w:rPr>
        <w:t xml:space="preserve">Adjusted </w:t>
      </w:r>
      <w:r w:rsidR="009A2987" w:rsidRPr="00514F3B">
        <w:rPr>
          <w:rFonts w:ascii="Times New Roman" w:hAnsi="Times New Roman" w:cs="Times New Roman"/>
          <w:b/>
          <w:sz w:val="24"/>
          <w:szCs w:val="24"/>
        </w:rPr>
        <w:t>Paper</w:t>
      </w:r>
      <w:r w:rsidR="009A2987" w:rsidRPr="00514F3B">
        <w:rPr>
          <w:rFonts w:ascii="Times New Roman" w:hAnsi="Times New Roman" w:cs="Times New Roman"/>
          <w:sz w:val="24"/>
          <w:szCs w:val="24"/>
        </w:rPr>
        <w:t xml:space="preserve"> and </w:t>
      </w:r>
      <w:r w:rsidR="00C33F0F" w:rsidRPr="00514F3B">
        <w:rPr>
          <w:rFonts w:ascii="Times New Roman" w:hAnsi="Times New Roman" w:cs="Times New Roman"/>
          <w:b/>
          <w:sz w:val="24"/>
          <w:szCs w:val="24"/>
        </w:rPr>
        <w:t xml:space="preserve">Adjusted </w:t>
      </w:r>
      <w:r w:rsidR="009A2987" w:rsidRPr="00514F3B">
        <w:rPr>
          <w:rFonts w:ascii="Times New Roman" w:hAnsi="Times New Roman" w:cs="Times New Roman"/>
          <w:b/>
          <w:sz w:val="24"/>
          <w:szCs w:val="24"/>
        </w:rPr>
        <w:t>Page</w:t>
      </w:r>
      <w:r w:rsidR="009A2987" w:rsidRPr="00514F3B">
        <w:rPr>
          <w:rFonts w:ascii="Times New Roman" w:hAnsi="Times New Roman" w:cs="Times New Roman"/>
          <w:sz w:val="24"/>
          <w:szCs w:val="24"/>
        </w:rPr>
        <w:t xml:space="preserve"> estimates, respectively.  </w:t>
      </w:r>
      <w:r w:rsidR="00511240" w:rsidRPr="00514F3B">
        <w:rPr>
          <w:rFonts w:ascii="Times New Roman" w:hAnsi="Times New Roman" w:cs="Times New Roman"/>
          <w:sz w:val="24"/>
          <w:szCs w:val="24"/>
        </w:rPr>
        <w:t>In summary, most, but not all JWS lead to the conclusion that productivity has increased during PBRF1 and, especially PBRF2, relative to the preceding six year period (BASE).</w:t>
      </w:r>
    </w:p>
    <w:p w:rsidR="00BD24C2"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BD24C2" w:rsidRPr="00514F3B">
        <w:rPr>
          <w:rFonts w:ascii="Times New Roman" w:hAnsi="Times New Roman" w:cs="Times New Roman"/>
          <w:sz w:val="24"/>
          <w:szCs w:val="24"/>
        </w:rPr>
        <w:t xml:space="preserve">Let us now look at what the disaggregated results imply about the quality issue.  Once again, refer to Table </w:t>
      </w:r>
      <w:r w:rsidR="000922B3" w:rsidRPr="00514F3B">
        <w:rPr>
          <w:rFonts w:ascii="Times New Roman" w:hAnsi="Times New Roman" w:cs="Times New Roman"/>
          <w:sz w:val="24"/>
          <w:szCs w:val="24"/>
        </w:rPr>
        <w:t>3</w:t>
      </w:r>
      <w:r w:rsidR="00BD24C2" w:rsidRPr="00514F3B">
        <w:rPr>
          <w:rFonts w:ascii="Times New Roman" w:hAnsi="Times New Roman" w:cs="Times New Roman"/>
          <w:sz w:val="24"/>
          <w:szCs w:val="24"/>
        </w:rPr>
        <w:t>.  Before proceeding, note that our EQUAL scheme will, by definition</w:t>
      </w:r>
      <w:r w:rsidR="00022689" w:rsidRPr="00514F3B">
        <w:rPr>
          <w:rFonts w:ascii="Times New Roman" w:hAnsi="Times New Roman" w:cs="Times New Roman"/>
          <w:sz w:val="24"/>
          <w:szCs w:val="24"/>
        </w:rPr>
        <w:t>, i</w:t>
      </w:r>
      <w:r w:rsidR="00BD24C2" w:rsidRPr="00514F3B">
        <w:rPr>
          <w:rFonts w:ascii="Times New Roman" w:hAnsi="Times New Roman" w:cs="Times New Roman"/>
          <w:sz w:val="24"/>
          <w:szCs w:val="24"/>
        </w:rPr>
        <w:t>ndicate no change in quality over time.  The results are strongly supportive of the view that the PBRF scheme has failed to achieve its stated objective.  In fact, 20 of 21 schemes</w:t>
      </w:r>
      <w:r w:rsidR="005B711C" w:rsidRPr="00514F3B">
        <w:rPr>
          <w:rFonts w:ascii="Times New Roman" w:hAnsi="Times New Roman" w:cs="Times New Roman"/>
          <w:sz w:val="24"/>
          <w:szCs w:val="24"/>
        </w:rPr>
        <w:t xml:space="preserve"> (excluding EQUAL)</w:t>
      </w:r>
      <w:r w:rsidR="00BD24C2" w:rsidRPr="00514F3B">
        <w:rPr>
          <w:rFonts w:ascii="Times New Roman" w:hAnsi="Times New Roman" w:cs="Times New Roman"/>
          <w:sz w:val="24"/>
          <w:szCs w:val="24"/>
        </w:rPr>
        <w:t xml:space="preserve"> </w:t>
      </w:r>
      <w:r w:rsidR="00580812" w:rsidRPr="00514F3B">
        <w:rPr>
          <w:rFonts w:ascii="Times New Roman" w:hAnsi="Times New Roman" w:cs="Times New Roman"/>
          <w:sz w:val="24"/>
          <w:szCs w:val="24"/>
        </w:rPr>
        <w:t xml:space="preserve">exhibited </w:t>
      </w:r>
      <w:r w:rsidR="00BD24C2" w:rsidRPr="00514F3B">
        <w:rPr>
          <w:rFonts w:ascii="Times New Roman" w:hAnsi="Times New Roman" w:cs="Times New Roman"/>
          <w:sz w:val="24"/>
          <w:szCs w:val="24"/>
        </w:rPr>
        <w:t xml:space="preserve">a decline in </w:t>
      </w:r>
      <w:r w:rsidR="00C33F0F" w:rsidRPr="00514F3B">
        <w:rPr>
          <w:rFonts w:ascii="Times New Roman" w:hAnsi="Times New Roman" w:cs="Times New Roman"/>
          <w:b/>
          <w:sz w:val="24"/>
          <w:szCs w:val="24"/>
        </w:rPr>
        <w:t xml:space="preserve">Adjusted </w:t>
      </w:r>
      <w:r w:rsidR="00BD24C2" w:rsidRPr="00514F3B">
        <w:rPr>
          <w:rFonts w:ascii="Times New Roman" w:hAnsi="Times New Roman" w:cs="Times New Roman"/>
          <w:b/>
          <w:sz w:val="24"/>
          <w:szCs w:val="24"/>
        </w:rPr>
        <w:t>Paper</w:t>
      </w:r>
      <w:r w:rsidR="00BD24C2" w:rsidRPr="00514F3B">
        <w:rPr>
          <w:rFonts w:ascii="Times New Roman" w:hAnsi="Times New Roman" w:cs="Times New Roman"/>
          <w:sz w:val="24"/>
          <w:szCs w:val="24"/>
        </w:rPr>
        <w:t xml:space="preserve"> </w:t>
      </w:r>
      <w:r w:rsidR="005B711C" w:rsidRPr="00514F3B">
        <w:rPr>
          <w:rFonts w:ascii="Times New Roman" w:hAnsi="Times New Roman" w:cs="Times New Roman"/>
          <w:sz w:val="24"/>
          <w:szCs w:val="24"/>
        </w:rPr>
        <w:t xml:space="preserve">and </w:t>
      </w:r>
      <w:r w:rsidR="005B711C" w:rsidRPr="00514F3B">
        <w:rPr>
          <w:rFonts w:ascii="Times New Roman" w:hAnsi="Times New Roman" w:cs="Times New Roman"/>
          <w:b/>
          <w:sz w:val="24"/>
          <w:szCs w:val="24"/>
        </w:rPr>
        <w:t>Adjusted Page</w:t>
      </w:r>
      <w:r w:rsidR="005B711C" w:rsidRPr="00514F3B">
        <w:rPr>
          <w:rFonts w:ascii="Times New Roman" w:hAnsi="Times New Roman" w:cs="Times New Roman"/>
          <w:sz w:val="24"/>
          <w:szCs w:val="24"/>
        </w:rPr>
        <w:t xml:space="preserve"> </w:t>
      </w:r>
      <w:r w:rsidR="00BD24C2" w:rsidRPr="00514F3B">
        <w:rPr>
          <w:rFonts w:ascii="Times New Roman" w:hAnsi="Times New Roman" w:cs="Times New Roman"/>
          <w:sz w:val="24"/>
          <w:szCs w:val="24"/>
        </w:rPr>
        <w:t>quality over the BASE-PBRF2 period</w:t>
      </w:r>
      <w:r w:rsidR="005B711C" w:rsidRPr="00514F3B">
        <w:rPr>
          <w:rFonts w:ascii="Times New Roman" w:hAnsi="Times New Roman" w:cs="Times New Roman"/>
          <w:sz w:val="24"/>
          <w:szCs w:val="24"/>
        </w:rPr>
        <w:t>.</w:t>
      </w:r>
      <w:r w:rsidR="00E9228D" w:rsidRPr="00514F3B">
        <w:rPr>
          <w:rFonts w:ascii="Times New Roman" w:hAnsi="Times New Roman" w:cs="Times New Roman"/>
          <w:sz w:val="24"/>
          <w:szCs w:val="24"/>
        </w:rPr>
        <w:t xml:space="preserve"> </w:t>
      </w:r>
      <w:r w:rsidR="005B711C" w:rsidRPr="00514F3B">
        <w:rPr>
          <w:rFonts w:ascii="Times New Roman" w:hAnsi="Times New Roman" w:cs="Times New Roman"/>
          <w:sz w:val="24"/>
          <w:szCs w:val="24"/>
        </w:rPr>
        <w:t xml:space="preserve"> </w:t>
      </w:r>
      <w:r w:rsidR="001A3972" w:rsidRPr="00514F3B">
        <w:rPr>
          <w:rFonts w:ascii="Times New Roman" w:hAnsi="Times New Roman" w:cs="Times New Roman"/>
          <w:sz w:val="24"/>
          <w:szCs w:val="24"/>
        </w:rPr>
        <w:t>Hence, the JWS selection process does not appear to be of great importance: virtually</w:t>
      </w:r>
      <w:r w:rsidR="00AA77AC" w:rsidRPr="00514F3B">
        <w:rPr>
          <w:rFonts w:ascii="Times New Roman" w:hAnsi="Times New Roman" w:cs="Times New Roman"/>
          <w:sz w:val="24"/>
          <w:szCs w:val="24"/>
        </w:rPr>
        <w:t xml:space="preserve"> all</w:t>
      </w:r>
      <w:r w:rsidR="001A3972" w:rsidRPr="00514F3B">
        <w:rPr>
          <w:rFonts w:ascii="Times New Roman" w:hAnsi="Times New Roman" w:cs="Times New Roman"/>
          <w:sz w:val="24"/>
          <w:szCs w:val="24"/>
        </w:rPr>
        <w:t xml:space="preserve"> </w:t>
      </w:r>
      <w:proofErr w:type="gramStart"/>
      <w:r w:rsidR="001A3972" w:rsidRPr="00514F3B">
        <w:rPr>
          <w:rFonts w:ascii="Times New Roman" w:hAnsi="Times New Roman" w:cs="Times New Roman"/>
          <w:sz w:val="24"/>
          <w:szCs w:val="24"/>
        </w:rPr>
        <w:t>journal</w:t>
      </w:r>
      <w:proofErr w:type="gramEnd"/>
      <w:r w:rsidR="00022689" w:rsidRPr="00514F3B">
        <w:rPr>
          <w:rFonts w:ascii="Times New Roman" w:hAnsi="Times New Roman" w:cs="Times New Roman"/>
          <w:sz w:val="24"/>
          <w:szCs w:val="24"/>
        </w:rPr>
        <w:t xml:space="preserve"> </w:t>
      </w:r>
      <w:r w:rsidR="001A3972" w:rsidRPr="00514F3B">
        <w:rPr>
          <w:rFonts w:ascii="Times New Roman" w:hAnsi="Times New Roman" w:cs="Times New Roman"/>
          <w:sz w:val="24"/>
          <w:szCs w:val="24"/>
        </w:rPr>
        <w:t xml:space="preserve">weighting schemes lead to the same result: productivity has improved and quality has declined for both </w:t>
      </w:r>
      <w:r w:rsidR="00E2365F" w:rsidRPr="00514F3B">
        <w:rPr>
          <w:rFonts w:ascii="Times New Roman" w:hAnsi="Times New Roman" w:cs="Times New Roman"/>
          <w:b/>
          <w:sz w:val="24"/>
          <w:szCs w:val="24"/>
        </w:rPr>
        <w:t xml:space="preserve">Adjusted </w:t>
      </w:r>
      <w:r w:rsidR="001A3972" w:rsidRPr="00514F3B">
        <w:rPr>
          <w:rFonts w:ascii="Times New Roman" w:hAnsi="Times New Roman" w:cs="Times New Roman"/>
          <w:b/>
          <w:sz w:val="24"/>
          <w:szCs w:val="24"/>
        </w:rPr>
        <w:t>Paper</w:t>
      </w:r>
      <w:r w:rsidR="001A3972" w:rsidRPr="00514F3B">
        <w:rPr>
          <w:rFonts w:ascii="Times New Roman" w:hAnsi="Times New Roman" w:cs="Times New Roman"/>
          <w:sz w:val="24"/>
          <w:szCs w:val="24"/>
        </w:rPr>
        <w:t xml:space="preserve"> and</w:t>
      </w:r>
      <w:r w:rsidR="00E2365F" w:rsidRPr="00514F3B">
        <w:rPr>
          <w:rFonts w:ascii="Times New Roman" w:hAnsi="Times New Roman" w:cs="Times New Roman"/>
          <w:sz w:val="24"/>
          <w:szCs w:val="24"/>
        </w:rPr>
        <w:t xml:space="preserve"> </w:t>
      </w:r>
      <w:r w:rsidR="00E2365F" w:rsidRPr="00514F3B">
        <w:rPr>
          <w:rFonts w:ascii="Times New Roman" w:hAnsi="Times New Roman" w:cs="Times New Roman"/>
          <w:b/>
          <w:sz w:val="24"/>
          <w:szCs w:val="24"/>
        </w:rPr>
        <w:t>Adjusted</w:t>
      </w:r>
      <w:r w:rsidR="001A3972" w:rsidRPr="00514F3B">
        <w:rPr>
          <w:rFonts w:ascii="Times New Roman" w:hAnsi="Times New Roman" w:cs="Times New Roman"/>
          <w:b/>
          <w:sz w:val="24"/>
          <w:szCs w:val="24"/>
        </w:rPr>
        <w:t xml:space="preserve"> Page</w:t>
      </w:r>
      <w:r w:rsidR="001A3972" w:rsidRPr="00514F3B">
        <w:rPr>
          <w:rFonts w:ascii="Times New Roman" w:hAnsi="Times New Roman" w:cs="Times New Roman"/>
          <w:sz w:val="24"/>
          <w:szCs w:val="24"/>
        </w:rPr>
        <w:t xml:space="preserve"> indicators under the PBRF regime.</w:t>
      </w:r>
    </w:p>
    <w:p w:rsidR="00196135"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1A3972" w:rsidRPr="00514F3B">
        <w:rPr>
          <w:rFonts w:ascii="Times New Roman" w:hAnsi="Times New Roman" w:cs="Times New Roman"/>
          <w:sz w:val="24"/>
          <w:szCs w:val="24"/>
        </w:rPr>
        <w:t>However, reference to Appendix 2</w:t>
      </w:r>
      <w:r w:rsidR="000C5CB1" w:rsidRPr="00514F3B">
        <w:rPr>
          <w:rFonts w:ascii="Times New Roman" w:hAnsi="Times New Roman" w:cs="Times New Roman"/>
          <w:sz w:val="24"/>
          <w:szCs w:val="24"/>
        </w:rPr>
        <w:t>B</w:t>
      </w:r>
      <w:r w:rsidR="001A3972" w:rsidRPr="00514F3B">
        <w:rPr>
          <w:rFonts w:ascii="Times New Roman" w:hAnsi="Times New Roman" w:cs="Times New Roman"/>
          <w:sz w:val="24"/>
          <w:szCs w:val="24"/>
        </w:rPr>
        <w:t xml:space="preserve"> does shed some light on the importance of the JWS selection process with respect to the productivity and quality issue.  </w:t>
      </w:r>
      <w:r w:rsidR="008D3F8B" w:rsidRPr="00514F3B">
        <w:rPr>
          <w:rFonts w:ascii="Times New Roman" w:hAnsi="Times New Roman" w:cs="Times New Roman"/>
          <w:sz w:val="24"/>
          <w:szCs w:val="24"/>
        </w:rPr>
        <w:t>Although admittedly arbitrary, we have grouped twenty of our twenty-two journal weighting schemes into three broad categories: those based in large part on recursive citation adjustment processes wherein the value of a citation depends upon the citing journal; those based in large part on simple impact factors, albeit</w:t>
      </w:r>
      <w:r w:rsidR="00AA77AC" w:rsidRPr="00514F3B">
        <w:rPr>
          <w:rFonts w:ascii="Times New Roman" w:hAnsi="Times New Roman" w:cs="Times New Roman"/>
          <w:sz w:val="24"/>
          <w:szCs w:val="24"/>
        </w:rPr>
        <w:t>,</w:t>
      </w:r>
      <w:r w:rsidR="008D3F8B" w:rsidRPr="00514F3B">
        <w:rPr>
          <w:rFonts w:ascii="Times New Roman" w:hAnsi="Times New Roman" w:cs="Times New Roman"/>
          <w:sz w:val="24"/>
          <w:szCs w:val="24"/>
        </w:rPr>
        <w:t xml:space="preserve"> sometimes with adjustments to reflect sub-discipline citing habits, etc.., and schemes based on the perceptions of </w:t>
      </w:r>
      <w:r w:rsidR="00FF1968">
        <w:rPr>
          <w:rFonts w:ascii="Times New Roman" w:hAnsi="Times New Roman" w:cs="Times New Roman"/>
          <w:sz w:val="24"/>
          <w:szCs w:val="24"/>
        </w:rPr>
        <w:t>‘</w:t>
      </w:r>
      <w:r w:rsidR="008D3F8B" w:rsidRPr="00514F3B">
        <w:rPr>
          <w:rFonts w:ascii="Times New Roman" w:hAnsi="Times New Roman" w:cs="Times New Roman"/>
          <w:sz w:val="24"/>
          <w:szCs w:val="24"/>
        </w:rPr>
        <w:t>experts</w:t>
      </w:r>
      <w:r w:rsidR="00FF1968">
        <w:rPr>
          <w:rFonts w:ascii="Times New Roman" w:hAnsi="Times New Roman" w:cs="Times New Roman"/>
          <w:sz w:val="24"/>
          <w:szCs w:val="24"/>
        </w:rPr>
        <w:t>’</w:t>
      </w:r>
      <w:r w:rsidR="008D3F8B" w:rsidRPr="00514F3B">
        <w:rPr>
          <w:rFonts w:ascii="Times New Roman" w:hAnsi="Times New Roman" w:cs="Times New Roman"/>
          <w:sz w:val="24"/>
          <w:szCs w:val="24"/>
        </w:rPr>
        <w:t xml:space="preserve">.  For purposes of discussion, we denote the groups as Recursive, Impact Factor and Perception Schemes.  Based on Recursive Schemes, productivity drops slightly when based on </w:t>
      </w:r>
      <w:r w:rsidR="00E2365F" w:rsidRPr="00514F3B">
        <w:rPr>
          <w:rFonts w:ascii="Times New Roman" w:hAnsi="Times New Roman" w:cs="Times New Roman"/>
          <w:b/>
          <w:sz w:val="24"/>
          <w:szCs w:val="24"/>
        </w:rPr>
        <w:t xml:space="preserve">Adjusted </w:t>
      </w:r>
      <w:r w:rsidR="008D3F8B" w:rsidRPr="00514F3B">
        <w:rPr>
          <w:rFonts w:ascii="Times New Roman" w:hAnsi="Times New Roman" w:cs="Times New Roman"/>
          <w:b/>
          <w:sz w:val="24"/>
          <w:szCs w:val="24"/>
        </w:rPr>
        <w:t>Papers</w:t>
      </w:r>
      <w:r w:rsidR="008D3F8B" w:rsidRPr="00514F3B">
        <w:rPr>
          <w:rFonts w:ascii="Times New Roman" w:hAnsi="Times New Roman" w:cs="Times New Roman"/>
          <w:sz w:val="24"/>
          <w:szCs w:val="24"/>
        </w:rPr>
        <w:t xml:space="preserve"> but rises</w:t>
      </w:r>
      <w:r w:rsidR="00EC3AC7" w:rsidRPr="00514F3B">
        <w:rPr>
          <w:rFonts w:ascii="Times New Roman" w:hAnsi="Times New Roman" w:cs="Times New Roman"/>
          <w:sz w:val="24"/>
          <w:szCs w:val="24"/>
        </w:rPr>
        <w:t xml:space="preserve"> by 15</w:t>
      </w:r>
      <w:r w:rsidR="00130A14" w:rsidRPr="00514F3B">
        <w:rPr>
          <w:rFonts w:ascii="Times New Roman" w:hAnsi="Times New Roman" w:cs="Times New Roman"/>
          <w:sz w:val="24"/>
          <w:szCs w:val="24"/>
        </w:rPr>
        <w:t xml:space="preserve"> percent</w:t>
      </w:r>
      <w:r w:rsidR="00EC3AC7" w:rsidRPr="00514F3B">
        <w:rPr>
          <w:rFonts w:ascii="Times New Roman" w:hAnsi="Times New Roman" w:cs="Times New Roman"/>
          <w:sz w:val="24"/>
          <w:szCs w:val="24"/>
        </w:rPr>
        <w:t xml:space="preserve"> for</w:t>
      </w:r>
      <w:r w:rsidR="00E2365F" w:rsidRPr="00514F3B">
        <w:rPr>
          <w:rFonts w:ascii="Times New Roman" w:hAnsi="Times New Roman" w:cs="Times New Roman"/>
          <w:sz w:val="24"/>
          <w:szCs w:val="24"/>
        </w:rPr>
        <w:t xml:space="preserve"> </w:t>
      </w:r>
      <w:r w:rsidR="00E2365F" w:rsidRPr="00514F3B">
        <w:rPr>
          <w:rFonts w:ascii="Times New Roman" w:hAnsi="Times New Roman" w:cs="Times New Roman"/>
          <w:b/>
          <w:sz w:val="24"/>
          <w:szCs w:val="24"/>
        </w:rPr>
        <w:t>Adjusted</w:t>
      </w:r>
      <w:r w:rsidR="00EC3AC7" w:rsidRPr="00514F3B">
        <w:rPr>
          <w:rFonts w:ascii="Times New Roman" w:hAnsi="Times New Roman" w:cs="Times New Roman"/>
          <w:b/>
          <w:sz w:val="24"/>
          <w:szCs w:val="24"/>
        </w:rPr>
        <w:t xml:space="preserve"> Pages</w:t>
      </w:r>
      <w:r w:rsidR="00EC3AC7" w:rsidRPr="00514F3B">
        <w:rPr>
          <w:rFonts w:ascii="Times New Roman" w:hAnsi="Times New Roman" w:cs="Times New Roman"/>
          <w:sz w:val="24"/>
          <w:szCs w:val="24"/>
        </w:rPr>
        <w:t xml:space="preserve"> over the BASE to PBRF2 period.  However, the quality scores for both </w:t>
      </w:r>
      <w:r w:rsidR="00E2365F" w:rsidRPr="00514F3B">
        <w:rPr>
          <w:rFonts w:ascii="Times New Roman" w:hAnsi="Times New Roman" w:cs="Times New Roman"/>
          <w:b/>
          <w:sz w:val="24"/>
          <w:szCs w:val="24"/>
        </w:rPr>
        <w:t xml:space="preserve">Adjusted </w:t>
      </w:r>
      <w:r w:rsidR="00EC3AC7" w:rsidRPr="00514F3B">
        <w:rPr>
          <w:rFonts w:ascii="Times New Roman" w:hAnsi="Times New Roman" w:cs="Times New Roman"/>
          <w:b/>
          <w:sz w:val="24"/>
          <w:szCs w:val="24"/>
        </w:rPr>
        <w:t>Papers</w:t>
      </w:r>
      <w:r w:rsidR="00EC3AC7" w:rsidRPr="00514F3B">
        <w:rPr>
          <w:rFonts w:ascii="Times New Roman" w:hAnsi="Times New Roman" w:cs="Times New Roman"/>
          <w:sz w:val="24"/>
          <w:szCs w:val="24"/>
        </w:rPr>
        <w:t xml:space="preserve"> and </w:t>
      </w:r>
      <w:r w:rsidR="00E2365F" w:rsidRPr="00514F3B">
        <w:rPr>
          <w:rFonts w:ascii="Times New Roman" w:hAnsi="Times New Roman" w:cs="Times New Roman"/>
          <w:b/>
          <w:sz w:val="24"/>
          <w:szCs w:val="24"/>
        </w:rPr>
        <w:t xml:space="preserve">Adjusted </w:t>
      </w:r>
      <w:r w:rsidR="00EC3AC7" w:rsidRPr="00514F3B">
        <w:rPr>
          <w:rFonts w:ascii="Times New Roman" w:hAnsi="Times New Roman" w:cs="Times New Roman"/>
          <w:b/>
          <w:sz w:val="24"/>
          <w:szCs w:val="24"/>
        </w:rPr>
        <w:t>Pages</w:t>
      </w:r>
      <w:r w:rsidR="00EC3AC7" w:rsidRPr="00514F3B">
        <w:rPr>
          <w:rFonts w:ascii="Times New Roman" w:hAnsi="Times New Roman" w:cs="Times New Roman"/>
          <w:sz w:val="24"/>
          <w:szCs w:val="24"/>
        </w:rPr>
        <w:t xml:space="preserve"> decline </w:t>
      </w:r>
      <w:r w:rsidR="005B711C" w:rsidRPr="00514F3B">
        <w:rPr>
          <w:rFonts w:ascii="Times New Roman" w:hAnsi="Times New Roman" w:cs="Times New Roman"/>
          <w:sz w:val="24"/>
          <w:szCs w:val="24"/>
        </w:rPr>
        <w:t xml:space="preserve">by 27 and 29 percent, respectively.  </w:t>
      </w:r>
      <w:r w:rsidR="00EC3AC7" w:rsidRPr="00514F3B">
        <w:rPr>
          <w:rFonts w:ascii="Times New Roman" w:hAnsi="Times New Roman" w:cs="Times New Roman"/>
          <w:sz w:val="24"/>
          <w:szCs w:val="24"/>
        </w:rPr>
        <w:t xml:space="preserve">  </w:t>
      </w:r>
      <w:r w:rsidR="007E3FF1" w:rsidRPr="00514F3B">
        <w:rPr>
          <w:rFonts w:ascii="Times New Roman" w:hAnsi="Times New Roman" w:cs="Times New Roman"/>
          <w:sz w:val="24"/>
          <w:szCs w:val="24"/>
        </w:rPr>
        <w:t xml:space="preserve">On the other hand, the Impact Factor schemes yield quite different results:  the PBRF scheme would be judged to have led to a major increase in productivity, with the average increase being 23 percent and 52 percent for </w:t>
      </w:r>
      <w:r w:rsidR="007E3FF1" w:rsidRPr="00514F3B">
        <w:rPr>
          <w:rFonts w:ascii="Times New Roman" w:hAnsi="Times New Roman" w:cs="Times New Roman"/>
          <w:b/>
          <w:sz w:val="24"/>
          <w:szCs w:val="24"/>
        </w:rPr>
        <w:t>Adjusted Papers</w:t>
      </w:r>
      <w:r w:rsidR="007E3FF1" w:rsidRPr="00514F3B">
        <w:rPr>
          <w:rFonts w:ascii="Times New Roman" w:hAnsi="Times New Roman" w:cs="Times New Roman"/>
          <w:sz w:val="24"/>
          <w:szCs w:val="24"/>
        </w:rPr>
        <w:t xml:space="preserve"> and </w:t>
      </w:r>
      <w:r w:rsidR="007E3FF1" w:rsidRPr="00514F3B">
        <w:rPr>
          <w:rFonts w:ascii="Times New Roman" w:hAnsi="Times New Roman" w:cs="Times New Roman"/>
          <w:b/>
          <w:sz w:val="24"/>
          <w:szCs w:val="24"/>
        </w:rPr>
        <w:t>Adjusted Pages</w:t>
      </w:r>
      <w:r w:rsidR="007E3FF1" w:rsidRPr="00514F3B">
        <w:rPr>
          <w:rFonts w:ascii="Times New Roman" w:hAnsi="Times New Roman" w:cs="Times New Roman"/>
          <w:sz w:val="24"/>
          <w:szCs w:val="24"/>
        </w:rPr>
        <w:t xml:space="preserve">, respectively.  </w:t>
      </w:r>
      <w:r w:rsidR="00EC3AC7" w:rsidRPr="00514F3B">
        <w:rPr>
          <w:rFonts w:ascii="Times New Roman" w:hAnsi="Times New Roman" w:cs="Times New Roman"/>
          <w:sz w:val="24"/>
          <w:szCs w:val="24"/>
        </w:rPr>
        <w:t xml:space="preserve">On average, quality scores </w:t>
      </w:r>
      <w:r w:rsidR="00196135" w:rsidRPr="00514F3B">
        <w:rPr>
          <w:rFonts w:ascii="Times New Roman" w:hAnsi="Times New Roman" w:cs="Times New Roman"/>
          <w:sz w:val="24"/>
          <w:szCs w:val="24"/>
        </w:rPr>
        <w:t xml:space="preserve">based on Impact Factor Schemes </w:t>
      </w:r>
      <w:r w:rsidR="00EC3AC7" w:rsidRPr="00514F3B">
        <w:rPr>
          <w:rFonts w:ascii="Times New Roman" w:hAnsi="Times New Roman" w:cs="Times New Roman"/>
          <w:sz w:val="24"/>
          <w:szCs w:val="24"/>
        </w:rPr>
        <w:t>also decrease over time, but much more modestly than under the Recursive Schemes</w:t>
      </w:r>
      <w:r w:rsidR="00196135" w:rsidRPr="00514F3B">
        <w:rPr>
          <w:rFonts w:ascii="Times New Roman" w:hAnsi="Times New Roman" w:cs="Times New Roman"/>
          <w:sz w:val="24"/>
          <w:szCs w:val="24"/>
        </w:rPr>
        <w:t xml:space="preserve">.  </w:t>
      </w:r>
    </w:p>
    <w:p w:rsidR="00022689" w:rsidRDefault="00514F3B" w:rsidP="00514F3B">
      <w:pPr>
        <w:tabs>
          <w:tab w:val="left" w:pos="426"/>
        </w:tabs>
        <w:jc w:val="both"/>
        <w:rPr>
          <w:rFonts w:ascii="Times New Roman" w:hAnsi="Times New Roman" w:cs="Times New Roman"/>
          <w:b/>
          <w:sz w:val="24"/>
          <w:szCs w:val="24"/>
        </w:rPr>
      </w:pPr>
      <w:r>
        <w:rPr>
          <w:rFonts w:ascii="Times New Roman" w:hAnsi="Times New Roman" w:cs="Times New Roman"/>
          <w:sz w:val="24"/>
          <w:szCs w:val="24"/>
        </w:rPr>
        <w:tab/>
      </w:r>
      <w:r w:rsidR="00267418" w:rsidRPr="00514F3B">
        <w:rPr>
          <w:rFonts w:ascii="Times New Roman" w:hAnsi="Times New Roman" w:cs="Times New Roman"/>
          <w:sz w:val="24"/>
          <w:szCs w:val="24"/>
        </w:rPr>
        <w:t>Our third category, Perception Schemes, yields, on average, results that are roughly mid-point between those associated with the Recursive and Impact Factor Schemes: productivity increases by roughly 15</w:t>
      </w:r>
      <w:r w:rsidR="00130A14" w:rsidRPr="00514F3B">
        <w:rPr>
          <w:rFonts w:ascii="Times New Roman" w:hAnsi="Times New Roman" w:cs="Times New Roman"/>
          <w:sz w:val="24"/>
          <w:szCs w:val="24"/>
        </w:rPr>
        <w:t xml:space="preserve"> percent </w:t>
      </w:r>
      <w:r w:rsidR="00267418" w:rsidRPr="00514F3B">
        <w:rPr>
          <w:rFonts w:ascii="Times New Roman" w:hAnsi="Times New Roman" w:cs="Times New Roman"/>
          <w:sz w:val="24"/>
          <w:szCs w:val="24"/>
        </w:rPr>
        <w:t>and 38</w:t>
      </w:r>
      <w:r w:rsidR="00130A14" w:rsidRPr="00514F3B">
        <w:rPr>
          <w:rFonts w:ascii="Times New Roman" w:hAnsi="Times New Roman" w:cs="Times New Roman"/>
          <w:sz w:val="24"/>
          <w:szCs w:val="24"/>
        </w:rPr>
        <w:t xml:space="preserve"> percent</w:t>
      </w:r>
      <w:r w:rsidR="00B87C2A" w:rsidRPr="00514F3B">
        <w:rPr>
          <w:rFonts w:ascii="Times New Roman" w:hAnsi="Times New Roman" w:cs="Times New Roman"/>
          <w:sz w:val="24"/>
          <w:szCs w:val="24"/>
        </w:rPr>
        <w:t xml:space="preserve"> for </w:t>
      </w:r>
      <w:r w:rsidR="00E2365F" w:rsidRPr="00514F3B">
        <w:rPr>
          <w:rFonts w:ascii="Times New Roman" w:hAnsi="Times New Roman" w:cs="Times New Roman"/>
          <w:b/>
          <w:sz w:val="24"/>
          <w:szCs w:val="24"/>
        </w:rPr>
        <w:t xml:space="preserve">Adjusted </w:t>
      </w:r>
      <w:r w:rsidR="00B87C2A" w:rsidRPr="00514F3B">
        <w:rPr>
          <w:rFonts w:ascii="Times New Roman" w:hAnsi="Times New Roman" w:cs="Times New Roman"/>
          <w:b/>
          <w:sz w:val="24"/>
          <w:szCs w:val="24"/>
        </w:rPr>
        <w:t>Papers</w:t>
      </w:r>
      <w:r w:rsidR="00B87C2A" w:rsidRPr="00514F3B">
        <w:rPr>
          <w:rFonts w:ascii="Times New Roman" w:hAnsi="Times New Roman" w:cs="Times New Roman"/>
          <w:sz w:val="24"/>
          <w:szCs w:val="24"/>
        </w:rPr>
        <w:t xml:space="preserve"> and </w:t>
      </w:r>
      <w:r w:rsidR="00E2365F" w:rsidRPr="00514F3B">
        <w:rPr>
          <w:rFonts w:ascii="Times New Roman" w:hAnsi="Times New Roman" w:cs="Times New Roman"/>
          <w:b/>
          <w:sz w:val="24"/>
          <w:szCs w:val="24"/>
        </w:rPr>
        <w:t xml:space="preserve">Adjusted </w:t>
      </w:r>
      <w:r w:rsidR="00B87C2A" w:rsidRPr="00514F3B">
        <w:rPr>
          <w:rFonts w:ascii="Times New Roman" w:hAnsi="Times New Roman" w:cs="Times New Roman"/>
          <w:b/>
          <w:sz w:val="24"/>
          <w:szCs w:val="24"/>
        </w:rPr>
        <w:t>Pages</w:t>
      </w:r>
      <w:r w:rsidR="00B87C2A" w:rsidRPr="00514F3B">
        <w:rPr>
          <w:rFonts w:ascii="Times New Roman" w:hAnsi="Times New Roman" w:cs="Times New Roman"/>
          <w:sz w:val="24"/>
          <w:szCs w:val="24"/>
        </w:rPr>
        <w:t xml:space="preserve">, </w:t>
      </w:r>
      <w:r w:rsidR="00B87C2A" w:rsidRPr="00514F3B">
        <w:rPr>
          <w:rFonts w:ascii="Times New Roman" w:hAnsi="Times New Roman" w:cs="Times New Roman"/>
          <w:sz w:val="24"/>
          <w:szCs w:val="24"/>
        </w:rPr>
        <w:lastRenderedPageBreak/>
        <w:t>respectively between 1994-1999 (BASE) and 2006-2011 (PBRF2).  Corresponding figures for quality are -1</w:t>
      </w:r>
      <w:r w:rsidR="005B711C" w:rsidRPr="00514F3B">
        <w:rPr>
          <w:rFonts w:ascii="Times New Roman" w:hAnsi="Times New Roman" w:cs="Times New Roman"/>
          <w:sz w:val="24"/>
          <w:szCs w:val="24"/>
        </w:rPr>
        <w:t>3</w:t>
      </w:r>
      <w:r w:rsidR="00B87C2A" w:rsidRPr="00514F3B">
        <w:rPr>
          <w:rFonts w:ascii="Times New Roman" w:hAnsi="Times New Roman" w:cs="Times New Roman"/>
          <w:sz w:val="24"/>
          <w:szCs w:val="24"/>
        </w:rPr>
        <w:t xml:space="preserve"> and -1</w:t>
      </w:r>
      <w:r w:rsidR="005B711C" w:rsidRPr="00514F3B">
        <w:rPr>
          <w:rFonts w:ascii="Times New Roman" w:hAnsi="Times New Roman" w:cs="Times New Roman"/>
          <w:sz w:val="24"/>
          <w:szCs w:val="24"/>
        </w:rPr>
        <w:t>5</w:t>
      </w:r>
      <w:r w:rsidR="00130A14" w:rsidRPr="00514F3B">
        <w:rPr>
          <w:rFonts w:ascii="Times New Roman" w:hAnsi="Times New Roman" w:cs="Times New Roman"/>
          <w:sz w:val="24"/>
          <w:szCs w:val="24"/>
        </w:rPr>
        <w:t xml:space="preserve"> percent</w:t>
      </w:r>
      <w:r w:rsidR="00B87C2A" w:rsidRPr="00514F3B">
        <w:rPr>
          <w:rFonts w:ascii="Times New Roman" w:hAnsi="Times New Roman" w:cs="Times New Roman"/>
          <w:sz w:val="24"/>
          <w:szCs w:val="24"/>
        </w:rPr>
        <w:t xml:space="preserve">.  </w:t>
      </w:r>
      <w:r w:rsidR="009B2431" w:rsidRPr="00514F3B">
        <w:rPr>
          <w:rFonts w:ascii="Times New Roman" w:hAnsi="Times New Roman" w:cs="Times New Roman"/>
          <w:sz w:val="24"/>
          <w:szCs w:val="24"/>
        </w:rPr>
        <w:t xml:space="preserve">It should be noted that three </w:t>
      </w:r>
      <w:r w:rsidR="00B87C2A" w:rsidRPr="00514F3B">
        <w:rPr>
          <w:rFonts w:ascii="Times New Roman" w:hAnsi="Times New Roman" w:cs="Times New Roman"/>
          <w:sz w:val="24"/>
          <w:szCs w:val="24"/>
        </w:rPr>
        <w:t xml:space="preserve">members of the Perception </w:t>
      </w:r>
      <w:r w:rsidR="004D39FB" w:rsidRPr="00514F3B">
        <w:rPr>
          <w:rFonts w:ascii="Times New Roman" w:hAnsi="Times New Roman" w:cs="Times New Roman"/>
          <w:sz w:val="24"/>
          <w:szCs w:val="24"/>
        </w:rPr>
        <w:t>S</w:t>
      </w:r>
      <w:r w:rsidR="00B87C2A" w:rsidRPr="00514F3B">
        <w:rPr>
          <w:rFonts w:ascii="Times New Roman" w:hAnsi="Times New Roman" w:cs="Times New Roman"/>
          <w:sz w:val="24"/>
          <w:szCs w:val="24"/>
        </w:rPr>
        <w:t xml:space="preserve">et (ESA, ERA and ABCD10) are </w:t>
      </w:r>
      <w:r w:rsidR="009B2431" w:rsidRPr="00514F3B">
        <w:rPr>
          <w:rFonts w:ascii="Times New Roman" w:hAnsi="Times New Roman" w:cs="Times New Roman"/>
          <w:sz w:val="24"/>
          <w:szCs w:val="24"/>
        </w:rPr>
        <w:t xml:space="preserve">Australian based.  </w:t>
      </w:r>
      <w:r w:rsidR="000865AF" w:rsidRPr="00514F3B">
        <w:rPr>
          <w:rFonts w:ascii="Times New Roman" w:hAnsi="Times New Roman" w:cs="Times New Roman"/>
          <w:sz w:val="24"/>
          <w:szCs w:val="24"/>
        </w:rPr>
        <w:t xml:space="preserve">Given the close ties between Australia and New Zealand, these schemes are the best proxies available for </w:t>
      </w:r>
      <w:r w:rsidR="009B2431" w:rsidRPr="00514F3B">
        <w:rPr>
          <w:rFonts w:ascii="Times New Roman" w:hAnsi="Times New Roman" w:cs="Times New Roman"/>
          <w:sz w:val="24"/>
          <w:szCs w:val="24"/>
        </w:rPr>
        <w:t xml:space="preserve">reflecting the importance of </w:t>
      </w:r>
      <w:r w:rsidR="000865AF" w:rsidRPr="00514F3B">
        <w:rPr>
          <w:rFonts w:ascii="Times New Roman" w:hAnsi="Times New Roman" w:cs="Times New Roman"/>
          <w:sz w:val="24"/>
          <w:szCs w:val="24"/>
        </w:rPr>
        <w:t>regional and national issues</w:t>
      </w:r>
      <w:r w:rsidR="000865AF" w:rsidRPr="00514F3B">
        <w:rPr>
          <w:rFonts w:ascii="Times New Roman" w:hAnsi="Times New Roman" w:cs="Times New Roman"/>
          <w:b/>
          <w:sz w:val="24"/>
          <w:szCs w:val="24"/>
        </w:rPr>
        <w:t xml:space="preserve">.  </w:t>
      </w:r>
    </w:p>
    <w:p w:rsidR="003E5413" w:rsidRPr="00056099" w:rsidRDefault="003E5413" w:rsidP="00514F3B">
      <w:pPr>
        <w:tabs>
          <w:tab w:val="left" w:pos="426"/>
        </w:tabs>
        <w:jc w:val="both"/>
        <w:rPr>
          <w:rFonts w:ascii="Times New Roman" w:hAnsi="Times New Roman" w:cs="Times New Roman"/>
          <w:b/>
          <w:sz w:val="12"/>
          <w:szCs w:val="12"/>
        </w:rPr>
      </w:pPr>
    </w:p>
    <w:p w:rsidR="000A36F3" w:rsidRPr="00514F3B" w:rsidRDefault="008E4CC0" w:rsidP="00514F3B">
      <w:pPr>
        <w:tabs>
          <w:tab w:val="left" w:pos="426"/>
        </w:tabs>
        <w:jc w:val="both"/>
        <w:rPr>
          <w:rFonts w:ascii="Times New Roman" w:hAnsi="Times New Roman" w:cs="Times New Roman"/>
          <w:b/>
          <w:sz w:val="24"/>
          <w:szCs w:val="24"/>
        </w:rPr>
      </w:pPr>
      <w:r>
        <w:rPr>
          <w:rFonts w:ascii="Times New Roman" w:hAnsi="Times New Roman" w:cs="Times New Roman"/>
          <w:b/>
          <w:sz w:val="24"/>
          <w:szCs w:val="24"/>
        </w:rPr>
        <w:t xml:space="preserve">4. </w:t>
      </w:r>
      <w:r w:rsidR="000A36F3" w:rsidRPr="00514F3B">
        <w:rPr>
          <w:rFonts w:ascii="Times New Roman" w:hAnsi="Times New Roman" w:cs="Times New Roman"/>
          <w:b/>
          <w:sz w:val="24"/>
          <w:szCs w:val="24"/>
        </w:rPr>
        <w:t>Policy Implications</w:t>
      </w:r>
      <w:r w:rsidR="006F1F4B" w:rsidRPr="00514F3B">
        <w:rPr>
          <w:rFonts w:ascii="Times New Roman" w:hAnsi="Times New Roman" w:cs="Times New Roman"/>
          <w:b/>
          <w:sz w:val="24"/>
          <w:szCs w:val="24"/>
        </w:rPr>
        <w:t xml:space="preserve"> and Conclusion</w:t>
      </w:r>
      <w:r w:rsidR="00514F3B">
        <w:rPr>
          <w:rFonts w:ascii="Times New Roman" w:hAnsi="Times New Roman" w:cs="Times New Roman"/>
          <w:b/>
          <w:sz w:val="24"/>
          <w:szCs w:val="24"/>
        </w:rPr>
        <w:t>s</w:t>
      </w:r>
    </w:p>
    <w:p w:rsidR="00995222" w:rsidRPr="00514F3B" w:rsidRDefault="006F1F4B" w:rsidP="00514F3B">
      <w:pPr>
        <w:tabs>
          <w:tab w:val="left" w:pos="426"/>
        </w:tabs>
        <w:jc w:val="both"/>
        <w:rPr>
          <w:rFonts w:ascii="Times New Roman" w:hAnsi="Times New Roman" w:cs="Times New Roman"/>
          <w:sz w:val="24"/>
          <w:szCs w:val="24"/>
        </w:rPr>
      </w:pPr>
      <w:r w:rsidRPr="00514F3B">
        <w:rPr>
          <w:rFonts w:ascii="Times New Roman" w:hAnsi="Times New Roman" w:cs="Times New Roman"/>
          <w:sz w:val="24"/>
          <w:szCs w:val="24"/>
        </w:rPr>
        <w:t>Our findings suggest that the PBRF</w:t>
      </w:r>
      <w:r w:rsidR="00031EA3" w:rsidRPr="00514F3B">
        <w:rPr>
          <w:rFonts w:ascii="Times New Roman" w:hAnsi="Times New Roman" w:cs="Times New Roman"/>
          <w:sz w:val="24"/>
          <w:szCs w:val="24"/>
        </w:rPr>
        <w:t>’</w:t>
      </w:r>
      <w:r w:rsidRPr="00514F3B">
        <w:rPr>
          <w:rFonts w:ascii="Times New Roman" w:hAnsi="Times New Roman" w:cs="Times New Roman"/>
          <w:sz w:val="24"/>
          <w:szCs w:val="24"/>
        </w:rPr>
        <w:t xml:space="preserve">s stated objective </w:t>
      </w:r>
      <w:r w:rsidR="00AA77AC" w:rsidRPr="00514F3B">
        <w:rPr>
          <w:rFonts w:ascii="Times New Roman" w:hAnsi="Times New Roman" w:cs="Times New Roman"/>
          <w:sz w:val="24"/>
          <w:szCs w:val="24"/>
        </w:rPr>
        <w:t xml:space="preserve">of increasing </w:t>
      </w:r>
      <w:r w:rsidR="00F250EE" w:rsidRPr="00514F3B">
        <w:rPr>
          <w:rFonts w:ascii="Times New Roman" w:hAnsi="Times New Roman" w:cs="Times New Roman"/>
          <w:sz w:val="24"/>
          <w:szCs w:val="24"/>
        </w:rPr>
        <w:t xml:space="preserve">research quality has not been achieved.  </w:t>
      </w:r>
      <w:r w:rsidRPr="00514F3B">
        <w:rPr>
          <w:rFonts w:ascii="Times New Roman" w:hAnsi="Times New Roman" w:cs="Times New Roman"/>
          <w:sz w:val="24"/>
          <w:szCs w:val="24"/>
        </w:rPr>
        <w:t>On the other hand, productivity</w:t>
      </w:r>
      <w:r w:rsidR="00F250EE" w:rsidRPr="00514F3B">
        <w:rPr>
          <w:rFonts w:ascii="Times New Roman" w:hAnsi="Times New Roman" w:cs="Times New Roman"/>
          <w:sz w:val="24"/>
          <w:szCs w:val="24"/>
        </w:rPr>
        <w:t xml:space="preserve">, or output per capita, </w:t>
      </w:r>
      <w:r w:rsidRPr="00514F3B">
        <w:rPr>
          <w:rFonts w:ascii="Times New Roman" w:hAnsi="Times New Roman" w:cs="Times New Roman"/>
          <w:sz w:val="24"/>
          <w:szCs w:val="24"/>
        </w:rPr>
        <w:t xml:space="preserve">has </w:t>
      </w:r>
      <w:r w:rsidR="00F250EE" w:rsidRPr="00514F3B">
        <w:rPr>
          <w:rFonts w:ascii="Times New Roman" w:hAnsi="Times New Roman" w:cs="Times New Roman"/>
          <w:sz w:val="24"/>
          <w:szCs w:val="24"/>
        </w:rPr>
        <w:t xml:space="preserve">improved </w:t>
      </w:r>
      <w:r w:rsidRPr="00514F3B">
        <w:rPr>
          <w:rFonts w:ascii="Times New Roman" w:hAnsi="Times New Roman" w:cs="Times New Roman"/>
          <w:sz w:val="24"/>
          <w:szCs w:val="24"/>
        </w:rPr>
        <w:t>from both a</w:t>
      </w:r>
      <w:r w:rsidR="00E2365F" w:rsidRPr="00514F3B">
        <w:rPr>
          <w:rFonts w:ascii="Times New Roman" w:hAnsi="Times New Roman" w:cs="Times New Roman"/>
          <w:sz w:val="24"/>
          <w:szCs w:val="24"/>
        </w:rPr>
        <w:t xml:space="preserve">n </w:t>
      </w:r>
      <w:r w:rsidR="00E2365F" w:rsidRPr="00514F3B">
        <w:rPr>
          <w:rFonts w:ascii="Times New Roman" w:hAnsi="Times New Roman" w:cs="Times New Roman"/>
          <w:b/>
          <w:sz w:val="24"/>
          <w:szCs w:val="24"/>
        </w:rPr>
        <w:t xml:space="preserve">Adjusted </w:t>
      </w:r>
      <w:r w:rsidRPr="00514F3B">
        <w:rPr>
          <w:rFonts w:ascii="Times New Roman" w:hAnsi="Times New Roman" w:cs="Times New Roman"/>
          <w:b/>
          <w:sz w:val="24"/>
          <w:szCs w:val="24"/>
        </w:rPr>
        <w:t xml:space="preserve">Paper </w:t>
      </w:r>
      <w:r w:rsidRPr="00514F3B">
        <w:rPr>
          <w:rFonts w:ascii="Times New Roman" w:hAnsi="Times New Roman" w:cs="Times New Roman"/>
          <w:sz w:val="24"/>
          <w:szCs w:val="24"/>
        </w:rPr>
        <w:t xml:space="preserve">and </w:t>
      </w:r>
      <w:r w:rsidR="00E2365F" w:rsidRPr="00514F3B">
        <w:rPr>
          <w:rFonts w:ascii="Times New Roman" w:hAnsi="Times New Roman" w:cs="Times New Roman"/>
          <w:b/>
          <w:sz w:val="24"/>
          <w:szCs w:val="24"/>
        </w:rPr>
        <w:t xml:space="preserve">Adjusted </w:t>
      </w:r>
      <w:r w:rsidRPr="00514F3B">
        <w:rPr>
          <w:rFonts w:ascii="Times New Roman" w:hAnsi="Times New Roman" w:cs="Times New Roman"/>
          <w:b/>
          <w:sz w:val="24"/>
          <w:szCs w:val="24"/>
        </w:rPr>
        <w:t>Page</w:t>
      </w:r>
      <w:r w:rsidRPr="00514F3B">
        <w:rPr>
          <w:rFonts w:ascii="Times New Roman" w:hAnsi="Times New Roman" w:cs="Times New Roman"/>
          <w:sz w:val="24"/>
          <w:szCs w:val="24"/>
        </w:rPr>
        <w:t xml:space="preserve"> perspective</w:t>
      </w:r>
      <w:r w:rsidR="001F7160" w:rsidRPr="00514F3B">
        <w:rPr>
          <w:rFonts w:ascii="Times New Roman" w:hAnsi="Times New Roman" w:cs="Times New Roman"/>
          <w:sz w:val="24"/>
          <w:szCs w:val="24"/>
        </w:rPr>
        <w:t>,</w:t>
      </w:r>
      <w:r w:rsidR="00995222" w:rsidRPr="00514F3B">
        <w:rPr>
          <w:rFonts w:ascii="Times New Roman" w:hAnsi="Times New Roman" w:cs="Times New Roman"/>
          <w:sz w:val="24"/>
          <w:szCs w:val="24"/>
        </w:rPr>
        <w:t xml:space="preserve"> as the increase in quantity has more than compensated for the decline in quality</w:t>
      </w:r>
      <w:r w:rsidRPr="00514F3B">
        <w:rPr>
          <w:rFonts w:ascii="Times New Roman" w:hAnsi="Times New Roman" w:cs="Times New Roman"/>
          <w:sz w:val="24"/>
          <w:szCs w:val="24"/>
        </w:rPr>
        <w:t xml:space="preserve">.  </w:t>
      </w:r>
      <w:r w:rsidR="00995222" w:rsidRPr="00514F3B">
        <w:rPr>
          <w:rFonts w:ascii="Times New Roman" w:hAnsi="Times New Roman" w:cs="Times New Roman"/>
          <w:sz w:val="24"/>
          <w:szCs w:val="24"/>
        </w:rPr>
        <w:t>It is important to note that we</w:t>
      </w:r>
      <w:r w:rsidRPr="00514F3B">
        <w:rPr>
          <w:rFonts w:ascii="Times New Roman" w:hAnsi="Times New Roman" w:cs="Times New Roman"/>
          <w:sz w:val="24"/>
          <w:szCs w:val="24"/>
        </w:rPr>
        <w:t xml:space="preserve"> found these results to</w:t>
      </w:r>
      <w:r w:rsidR="00995222" w:rsidRPr="00514F3B">
        <w:rPr>
          <w:rFonts w:ascii="Times New Roman" w:hAnsi="Times New Roman" w:cs="Times New Roman"/>
          <w:sz w:val="24"/>
          <w:szCs w:val="24"/>
        </w:rPr>
        <w:t xml:space="preserve"> be </w:t>
      </w:r>
      <w:r w:rsidR="005E7772" w:rsidRPr="00514F3B">
        <w:rPr>
          <w:rFonts w:ascii="Times New Roman" w:hAnsi="Times New Roman" w:cs="Times New Roman"/>
          <w:sz w:val="24"/>
          <w:szCs w:val="24"/>
        </w:rPr>
        <w:t xml:space="preserve">relatively </w:t>
      </w:r>
      <w:r w:rsidR="00995222" w:rsidRPr="00514F3B">
        <w:rPr>
          <w:rFonts w:ascii="Times New Roman" w:hAnsi="Times New Roman" w:cs="Times New Roman"/>
          <w:sz w:val="24"/>
          <w:szCs w:val="24"/>
        </w:rPr>
        <w:t xml:space="preserve">stable </w:t>
      </w:r>
      <w:r w:rsidRPr="00514F3B">
        <w:rPr>
          <w:rFonts w:ascii="Times New Roman" w:hAnsi="Times New Roman" w:cs="Times New Roman"/>
          <w:sz w:val="24"/>
          <w:szCs w:val="24"/>
        </w:rPr>
        <w:t xml:space="preserve">across </w:t>
      </w:r>
      <w:r w:rsidR="00452821" w:rsidRPr="00514F3B">
        <w:rPr>
          <w:rFonts w:ascii="Times New Roman" w:hAnsi="Times New Roman" w:cs="Times New Roman"/>
          <w:sz w:val="24"/>
          <w:szCs w:val="24"/>
        </w:rPr>
        <w:t xml:space="preserve">the </w:t>
      </w:r>
      <w:r w:rsidRPr="00514F3B">
        <w:rPr>
          <w:rFonts w:ascii="Times New Roman" w:hAnsi="Times New Roman" w:cs="Times New Roman"/>
          <w:sz w:val="24"/>
          <w:szCs w:val="24"/>
        </w:rPr>
        <w:t xml:space="preserve">22 </w:t>
      </w:r>
      <w:r w:rsidR="00F250EE" w:rsidRPr="00514F3B">
        <w:rPr>
          <w:rFonts w:ascii="Times New Roman" w:hAnsi="Times New Roman" w:cs="Times New Roman"/>
          <w:sz w:val="24"/>
          <w:szCs w:val="24"/>
        </w:rPr>
        <w:t>journal weighting schemes</w:t>
      </w:r>
      <w:r w:rsidR="00031EA3" w:rsidRPr="00514F3B">
        <w:rPr>
          <w:rFonts w:ascii="Times New Roman" w:hAnsi="Times New Roman" w:cs="Times New Roman"/>
          <w:sz w:val="24"/>
          <w:szCs w:val="24"/>
        </w:rPr>
        <w:t xml:space="preserve"> employed</w:t>
      </w:r>
      <w:r w:rsidRPr="00514F3B">
        <w:rPr>
          <w:rFonts w:ascii="Times New Roman" w:hAnsi="Times New Roman" w:cs="Times New Roman"/>
          <w:sz w:val="24"/>
          <w:szCs w:val="24"/>
        </w:rPr>
        <w:t xml:space="preserve"> in our analysis</w:t>
      </w:r>
      <w:r w:rsidR="00995222" w:rsidRPr="00514F3B">
        <w:rPr>
          <w:rFonts w:ascii="Times New Roman" w:hAnsi="Times New Roman" w:cs="Times New Roman"/>
          <w:sz w:val="24"/>
          <w:szCs w:val="24"/>
        </w:rPr>
        <w:t xml:space="preserve">.  </w:t>
      </w:r>
    </w:p>
    <w:p w:rsidR="00995222"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95222" w:rsidRPr="00514F3B">
        <w:rPr>
          <w:rFonts w:ascii="Times New Roman" w:hAnsi="Times New Roman" w:cs="Times New Roman"/>
          <w:sz w:val="24"/>
          <w:szCs w:val="24"/>
        </w:rPr>
        <w:t xml:space="preserve">At this point we digress somewhat and address the following questions: why and how did productivity increase and quality decline </w:t>
      </w:r>
      <w:r w:rsidR="00F250EE" w:rsidRPr="00514F3B">
        <w:rPr>
          <w:rFonts w:ascii="Times New Roman" w:hAnsi="Times New Roman" w:cs="Times New Roman"/>
          <w:sz w:val="24"/>
          <w:szCs w:val="24"/>
        </w:rPr>
        <w:t xml:space="preserve">during the PBRF regime.  </w:t>
      </w:r>
      <w:r w:rsidR="00995222" w:rsidRPr="00514F3B">
        <w:rPr>
          <w:rFonts w:ascii="Times New Roman" w:hAnsi="Times New Roman" w:cs="Times New Roman"/>
          <w:sz w:val="24"/>
          <w:szCs w:val="24"/>
        </w:rPr>
        <w:t xml:space="preserve">The </w:t>
      </w:r>
      <w:r w:rsidR="00FF1968">
        <w:rPr>
          <w:rFonts w:ascii="Times New Roman" w:hAnsi="Times New Roman" w:cs="Times New Roman"/>
          <w:sz w:val="24"/>
          <w:szCs w:val="24"/>
        </w:rPr>
        <w:t>‘</w:t>
      </w:r>
      <w:r w:rsidR="00995222" w:rsidRPr="00514F3B">
        <w:rPr>
          <w:rFonts w:ascii="Times New Roman" w:hAnsi="Times New Roman" w:cs="Times New Roman"/>
          <w:sz w:val="24"/>
          <w:szCs w:val="24"/>
        </w:rPr>
        <w:t>why</w:t>
      </w:r>
      <w:r w:rsidR="00FF1968">
        <w:rPr>
          <w:rFonts w:ascii="Times New Roman" w:hAnsi="Times New Roman" w:cs="Times New Roman"/>
          <w:sz w:val="24"/>
          <w:szCs w:val="24"/>
        </w:rPr>
        <w:t>’</w:t>
      </w:r>
      <w:r w:rsidR="00995222" w:rsidRPr="00514F3B">
        <w:rPr>
          <w:rFonts w:ascii="Times New Roman" w:hAnsi="Times New Roman" w:cs="Times New Roman"/>
          <w:sz w:val="24"/>
          <w:szCs w:val="24"/>
        </w:rPr>
        <w:t xml:space="preserve"> is subject to speculation, but it appears as if research managers </w:t>
      </w:r>
      <w:r w:rsidR="005E7772" w:rsidRPr="00514F3B">
        <w:rPr>
          <w:rFonts w:ascii="Times New Roman" w:hAnsi="Times New Roman" w:cs="Times New Roman"/>
          <w:sz w:val="24"/>
          <w:szCs w:val="24"/>
        </w:rPr>
        <w:t xml:space="preserve">and individual researchers </w:t>
      </w:r>
      <w:r w:rsidR="00995222" w:rsidRPr="00514F3B">
        <w:rPr>
          <w:rFonts w:ascii="Times New Roman" w:hAnsi="Times New Roman" w:cs="Times New Roman"/>
          <w:sz w:val="24"/>
          <w:szCs w:val="24"/>
        </w:rPr>
        <w:t xml:space="preserve">were able to obtain enough information about the </w:t>
      </w:r>
      <w:r w:rsidR="00B06267" w:rsidRPr="00514F3B">
        <w:rPr>
          <w:rFonts w:ascii="Times New Roman" w:hAnsi="Times New Roman" w:cs="Times New Roman"/>
          <w:sz w:val="24"/>
          <w:szCs w:val="24"/>
        </w:rPr>
        <w:t xml:space="preserve">black-box used by the discipline assessment panel to realize that, at the very least, if everything else was equal, quantity mattered.  Hence, previously inactive staff were encouraged to produce some </w:t>
      </w:r>
      <w:r w:rsidR="00B06267" w:rsidRPr="00056099">
        <w:rPr>
          <w:rFonts w:ascii="Times New Roman" w:hAnsi="Times New Roman" w:cs="Times New Roman"/>
          <w:i/>
          <w:sz w:val="24"/>
          <w:szCs w:val="24"/>
        </w:rPr>
        <w:t>EconLit</w:t>
      </w:r>
      <w:r w:rsidR="00B06267" w:rsidRPr="00514F3B">
        <w:rPr>
          <w:rFonts w:ascii="Times New Roman" w:hAnsi="Times New Roman" w:cs="Times New Roman"/>
          <w:sz w:val="24"/>
          <w:szCs w:val="24"/>
        </w:rPr>
        <w:t xml:space="preserve"> recognized output</w:t>
      </w:r>
      <w:r w:rsidR="00F250EE" w:rsidRPr="00514F3B">
        <w:rPr>
          <w:rFonts w:ascii="Times New Roman" w:hAnsi="Times New Roman" w:cs="Times New Roman"/>
          <w:sz w:val="24"/>
          <w:szCs w:val="24"/>
        </w:rPr>
        <w:t>,</w:t>
      </w:r>
      <w:r w:rsidR="00B06267" w:rsidRPr="00514F3B">
        <w:rPr>
          <w:rFonts w:ascii="Times New Roman" w:hAnsi="Times New Roman" w:cs="Times New Roman"/>
          <w:sz w:val="24"/>
          <w:szCs w:val="24"/>
        </w:rPr>
        <w:t xml:space="preserve"> since even a small amount of output was deemed to be sufficient to move such individuals from </w:t>
      </w:r>
      <w:r w:rsidR="004E674F" w:rsidRPr="00514F3B">
        <w:rPr>
          <w:rFonts w:ascii="Times New Roman" w:hAnsi="Times New Roman" w:cs="Times New Roman"/>
          <w:sz w:val="24"/>
          <w:szCs w:val="24"/>
        </w:rPr>
        <w:t>an</w:t>
      </w:r>
      <w:r w:rsidR="00B06267" w:rsidRPr="00514F3B">
        <w:rPr>
          <w:rFonts w:ascii="Times New Roman" w:hAnsi="Times New Roman" w:cs="Times New Roman"/>
          <w:sz w:val="24"/>
          <w:szCs w:val="24"/>
        </w:rPr>
        <w:t xml:space="preserve"> R to </w:t>
      </w:r>
      <w:r w:rsidR="004E674F" w:rsidRPr="00514F3B">
        <w:rPr>
          <w:rFonts w:ascii="Times New Roman" w:hAnsi="Times New Roman" w:cs="Times New Roman"/>
          <w:sz w:val="24"/>
          <w:szCs w:val="24"/>
        </w:rPr>
        <w:t xml:space="preserve">a </w:t>
      </w:r>
      <w:r w:rsidR="00B06267" w:rsidRPr="00514F3B">
        <w:rPr>
          <w:rFonts w:ascii="Times New Roman" w:hAnsi="Times New Roman" w:cs="Times New Roman"/>
          <w:sz w:val="24"/>
          <w:szCs w:val="24"/>
        </w:rPr>
        <w:t>C</w:t>
      </w:r>
      <w:r w:rsidR="004E674F" w:rsidRPr="00514F3B">
        <w:rPr>
          <w:rFonts w:ascii="Times New Roman" w:hAnsi="Times New Roman" w:cs="Times New Roman"/>
          <w:sz w:val="24"/>
          <w:szCs w:val="24"/>
        </w:rPr>
        <w:t xml:space="preserve">, </w:t>
      </w:r>
      <w:r w:rsidR="00B06267" w:rsidRPr="00514F3B">
        <w:rPr>
          <w:rFonts w:ascii="Times New Roman" w:hAnsi="Times New Roman" w:cs="Times New Roman"/>
          <w:sz w:val="24"/>
          <w:szCs w:val="24"/>
        </w:rPr>
        <w:t xml:space="preserve">resulting in an increase in the unit’s per capita score. </w:t>
      </w:r>
      <w:r w:rsidR="00C455A6" w:rsidRPr="00514F3B">
        <w:rPr>
          <w:rFonts w:ascii="Times New Roman" w:hAnsi="Times New Roman" w:cs="Times New Roman"/>
          <w:sz w:val="24"/>
          <w:szCs w:val="24"/>
        </w:rPr>
        <w:t xml:space="preserve">  In the 2006 evaluation 65.34% of eligible staff in Economics were rated in the C, </w:t>
      </w:r>
      <w:proofErr w:type="gramStart"/>
      <w:r w:rsidR="00C455A6" w:rsidRPr="00514F3B">
        <w:rPr>
          <w:rFonts w:ascii="Times New Roman" w:hAnsi="Times New Roman" w:cs="Times New Roman"/>
          <w:sz w:val="24"/>
          <w:szCs w:val="24"/>
        </w:rPr>
        <w:t>C(</w:t>
      </w:r>
      <w:proofErr w:type="gramEnd"/>
      <w:r w:rsidR="00C455A6" w:rsidRPr="00514F3B">
        <w:rPr>
          <w:rFonts w:ascii="Times New Roman" w:hAnsi="Times New Roman" w:cs="Times New Roman"/>
          <w:sz w:val="24"/>
          <w:szCs w:val="24"/>
        </w:rPr>
        <w:t xml:space="preserve">NE), R or R(NE) categories. </w:t>
      </w:r>
      <w:r w:rsidR="00205B73" w:rsidRPr="00514F3B">
        <w:rPr>
          <w:rStyle w:val="FootnoteReference"/>
          <w:rFonts w:ascii="Times New Roman" w:hAnsi="Times New Roman" w:cs="Times New Roman"/>
          <w:sz w:val="24"/>
          <w:szCs w:val="24"/>
        </w:rPr>
        <w:footnoteReference w:id="14"/>
      </w:r>
      <w:r w:rsidR="00C455A6" w:rsidRPr="00514F3B">
        <w:rPr>
          <w:rFonts w:ascii="Times New Roman" w:hAnsi="Times New Roman" w:cs="Times New Roman"/>
          <w:sz w:val="24"/>
          <w:szCs w:val="24"/>
        </w:rPr>
        <w:t xml:space="preserve">  In contrast only 6.9% of staff </w:t>
      </w:r>
      <w:r w:rsidR="00205B73" w:rsidRPr="00514F3B">
        <w:rPr>
          <w:rFonts w:ascii="Times New Roman" w:hAnsi="Times New Roman" w:cs="Times New Roman"/>
          <w:sz w:val="24"/>
          <w:szCs w:val="24"/>
        </w:rPr>
        <w:t xml:space="preserve">received an </w:t>
      </w:r>
      <w:r w:rsidR="00C455A6" w:rsidRPr="00514F3B">
        <w:rPr>
          <w:rFonts w:ascii="Times New Roman" w:hAnsi="Times New Roman" w:cs="Times New Roman"/>
          <w:sz w:val="24"/>
          <w:szCs w:val="24"/>
        </w:rPr>
        <w:t xml:space="preserve">A while 38.35 were rated B.   Many of those who received a low rank in 2006 would have had few or no journal publications.   For these academics the best strategy for achieving an increased rank in 2012 was to increase the number of publications in relatively low-ranked journals rather than attempting a major increase in the quality of research, or publications in high quality journals.   Even for staff at higher ranks, maintaining or increasing research productivity at the </w:t>
      </w:r>
      <w:r w:rsidR="00C4234A" w:rsidRPr="00514F3B">
        <w:rPr>
          <w:rFonts w:ascii="Times New Roman" w:hAnsi="Times New Roman" w:cs="Times New Roman"/>
          <w:sz w:val="24"/>
          <w:szCs w:val="24"/>
        </w:rPr>
        <w:t xml:space="preserve">prior </w:t>
      </w:r>
      <w:r w:rsidR="00C455A6" w:rsidRPr="00514F3B">
        <w:rPr>
          <w:rFonts w:ascii="Times New Roman" w:hAnsi="Times New Roman" w:cs="Times New Roman"/>
          <w:sz w:val="24"/>
          <w:szCs w:val="24"/>
        </w:rPr>
        <w:t xml:space="preserve">quality level may have been a less risky strategy than aiming for a significant increase in the quality of research.  </w:t>
      </w:r>
      <w:r w:rsidR="00B06267" w:rsidRPr="00514F3B">
        <w:rPr>
          <w:rFonts w:ascii="Times New Roman" w:hAnsi="Times New Roman" w:cs="Times New Roman"/>
          <w:sz w:val="24"/>
          <w:szCs w:val="24"/>
        </w:rPr>
        <w:t xml:space="preserve"> </w:t>
      </w:r>
      <w:r w:rsidR="00F250EE" w:rsidRPr="00514F3B">
        <w:rPr>
          <w:rFonts w:ascii="Times New Roman" w:hAnsi="Times New Roman" w:cs="Times New Roman"/>
          <w:sz w:val="24"/>
          <w:szCs w:val="24"/>
        </w:rPr>
        <w:t xml:space="preserve">It is also </w:t>
      </w:r>
      <w:r w:rsidR="00B06267" w:rsidRPr="00514F3B">
        <w:rPr>
          <w:rFonts w:ascii="Times New Roman" w:hAnsi="Times New Roman" w:cs="Times New Roman"/>
          <w:sz w:val="24"/>
          <w:szCs w:val="24"/>
        </w:rPr>
        <w:t>possible that research managers recognized that</w:t>
      </w:r>
      <w:r w:rsidR="00F250EE" w:rsidRPr="00514F3B">
        <w:rPr>
          <w:rFonts w:ascii="Times New Roman" w:hAnsi="Times New Roman" w:cs="Times New Roman"/>
          <w:sz w:val="24"/>
          <w:szCs w:val="24"/>
        </w:rPr>
        <w:t xml:space="preserve"> some</w:t>
      </w:r>
      <w:r w:rsidR="00B06267" w:rsidRPr="00514F3B">
        <w:rPr>
          <w:rFonts w:ascii="Times New Roman" w:hAnsi="Times New Roman" w:cs="Times New Roman"/>
          <w:sz w:val="24"/>
          <w:szCs w:val="24"/>
        </w:rPr>
        <w:t xml:space="preserve"> previous</w:t>
      </w:r>
      <w:r w:rsidR="00F250EE" w:rsidRPr="00514F3B">
        <w:rPr>
          <w:rFonts w:ascii="Times New Roman" w:hAnsi="Times New Roman" w:cs="Times New Roman"/>
          <w:sz w:val="24"/>
          <w:szCs w:val="24"/>
        </w:rPr>
        <w:t>ly</w:t>
      </w:r>
      <w:r w:rsidR="00B06267" w:rsidRPr="00514F3B">
        <w:rPr>
          <w:rFonts w:ascii="Times New Roman" w:hAnsi="Times New Roman" w:cs="Times New Roman"/>
          <w:sz w:val="24"/>
          <w:szCs w:val="24"/>
        </w:rPr>
        <w:t xml:space="preserve"> research</w:t>
      </w:r>
      <w:r w:rsidR="00C4234A" w:rsidRPr="00514F3B">
        <w:rPr>
          <w:rFonts w:ascii="Times New Roman" w:hAnsi="Times New Roman" w:cs="Times New Roman"/>
          <w:sz w:val="24"/>
          <w:szCs w:val="24"/>
        </w:rPr>
        <w:t xml:space="preserve">- </w:t>
      </w:r>
      <w:r w:rsidR="00B06267" w:rsidRPr="00514F3B">
        <w:rPr>
          <w:rFonts w:ascii="Times New Roman" w:hAnsi="Times New Roman" w:cs="Times New Roman"/>
          <w:sz w:val="24"/>
          <w:szCs w:val="24"/>
        </w:rPr>
        <w:t xml:space="preserve">inactive staff were not likely to change their ways, and that some of these people </w:t>
      </w:r>
      <w:r w:rsidR="00F250EE" w:rsidRPr="00514F3B">
        <w:rPr>
          <w:rFonts w:ascii="Times New Roman" w:hAnsi="Times New Roman" w:cs="Times New Roman"/>
          <w:sz w:val="24"/>
          <w:szCs w:val="24"/>
        </w:rPr>
        <w:t xml:space="preserve">should </w:t>
      </w:r>
      <w:r w:rsidR="00B06267" w:rsidRPr="00514F3B">
        <w:rPr>
          <w:rFonts w:ascii="Times New Roman" w:hAnsi="Times New Roman" w:cs="Times New Roman"/>
          <w:sz w:val="24"/>
          <w:szCs w:val="24"/>
        </w:rPr>
        <w:t xml:space="preserve">be encouraged to depart or be reclassified to non- assessed positions (read: teaching fellows and the like).  Once again, </w:t>
      </w:r>
      <w:r w:rsidR="00F250EE" w:rsidRPr="00514F3B">
        <w:rPr>
          <w:rFonts w:ascii="Times New Roman" w:hAnsi="Times New Roman" w:cs="Times New Roman"/>
          <w:sz w:val="24"/>
          <w:szCs w:val="24"/>
        </w:rPr>
        <w:t xml:space="preserve">this action </w:t>
      </w:r>
      <w:r w:rsidR="00031EA3" w:rsidRPr="00514F3B">
        <w:rPr>
          <w:rFonts w:ascii="Times New Roman" w:hAnsi="Times New Roman" w:cs="Times New Roman"/>
          <w:sz w:val="24"/>
          <w:szCs w:val="24"/>
        </w:rPr>
        <w:t xml:space="preserve">leads to an improvement in </w:t>
      </w:r>
      <w:r w:rsidR="00B06267" w:rsidRPr="00514F3B">
        <w:rPr>
          <w:rFonts w:ascii="Times New Roman" w:hAnsi="Times New Roman" w:cs="Times New Roman"/>
          <w:sz w:val="24"/>
          <w:szCs w:val="24"/>
        </w:rPr>
        <w:t>per capita scores</w:t>
      </w:r>
      <w:r w:rsidR="005E7772" w:rsidRPr="00514F3B">
        <w:rPr>
          <w:rFonts w:ascii="Times New Roman" w:hAnsi="Times New Roman" w:cs="Times New Roman"/>
          <w:sz w:val="24"/>
          <w:szCs w:val="24"/>
        </w:rPr>
        <w:t xml:space="preserve">.  </w:t>
      </w:r>
    </w:p>
    <w:p w:rsidR="009232E6"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9232E6" w:rsidRPr="00514F3B">
        <w:rPr>
          <w:rFonts w:ascii="Times New Roman" w:hAnsi="Times New Roman" w:cs="Times New Roman"/>
          <w:sz w:val="24"/>
          <w:szCs w:val="24"/>
        </w:rPr>
        <w:t xml:space="preserve">Let us now </w:t>
      </w:r>
      <w:r w:rsidR="0006640A" w:rsidRPr="00514F3B">
        <w:rPr>
          <w:rFonts w:ascii="Times New Roman" w:hAnsi="Times New Roman" w:cs="Times New Roman"/>
          <w:sz w:val="24"/>
          <w:szCs w:val="24"/>
        </w:rPr>
        <w:t xml:space="preserve">look at the actual </w:t>
      </w:r>
      <w:r w:rsidR="009232E6" w:rsidRPr="00514F3B">
        <w:rPr>
          <w:rFonts w:ascii="Times New Roman" w:hAnsi="Times New Roman" w:cs="Times New Roman"/>
          <w:sz w:val="24"/>
          <w:szCs w:val="24"/>
        </w:rPr>
        <w:t>changes in staffing patterns over the 2000</w:t>
      </w:r>
      <w:r w:rsidR="00576848" w:rsidRPr="00514F3B">
        <w:rPr>
          <w:rFonts w:ascii="Times New Roman" w:hAnsi="Times New Roman" w:cs="Times New Roman"/>
          <w:sz w:val="24"/>
          <w:szCs w:val="24"/>
        </w:rPr>
        <w:t xml:space="preserve">, 2006 and </w:t>
      </w:r>
      <w:r w:rsidR="009232E6" w:rsidRPr="00514F3B">
        <w:rPr>
          <w:rFonts w:ascii="Times New Roman" w:hAnsi="Times New Roman" w:cs="Times New Roman"/>
          <w:sz w:val="24"/>
          <w:szCs w:val="24"/>
        </w:rPr>
        <w:t>2012 period</w:t>
      </w:r>
      <w:r w:rsidR="00576848" w:rsidRPr="00514F3B">
        <w:rPr>
          <w:rFonts w:ascii="Times New Roman" w:hAnsi="Times New Roman" w:cs="Times New Roman"/>
          <w:sz w:val="24"/>
          <w:szCs w:val="24"/>
        </w:rPr>
        <w:t>s</w:t>
      </w:r>
      <w:r w:rsidR="009232E6" w:rsidRPr="00514F3B">
        <w:rPr>
          <w:rFonts w:ascii="Times New Roman" w:hAnsi="Times New Roman" w:cs="Times New Roman"/>
          <w:sz w:val="24"/>
          <w:szCs w:val="24"/>
        </w:rPr>
        <w:t xml:space="preserve"> to see if they align with the</w:t>
      </w:r>
      <w:r w:rsidR="0006640A" w:rsidRPr="00514F3B">
        <w:rPr>
          <w:rFonts w:ascii="Times New Roman" w:hAnsi="Times New Roman" w:cs="Times New Roman"/>
          <w:sz w:val="24"/>
          <w:szCs w:val="24"/>
        </w:rPr>
        <w:t xml:space="preserve"> above mentioned </w:t>
      </w:r>
      <w:r w:rsidR="00576848" w:rsidRPr="00514F3B">
        <w:rPr>
          <w:rFonts w:ascii="Times New Roman" w:hAnsi="Times New Roman" w:cs="Times New Roman"/>
          <w:sz w:val="24"/>
          <w:szCs w:val="24"/>
        </w:rPr>
        <w:t xml:space="preserve">score enhancing </w:t>
      </w:r>
      <w:r w:rsidR="009232E6" w:rsidRPr="00514F3B">
        <w:rPr>
          <w:rFonts w:ascii="Times New Roman" w:hAnsi="Times New Roman" w:cs="Times New Roman"/>
          <w:sz w:val="24"/>
          <w:szCs w:val="24"/>
        </w:rPr>
        <w:t xml:space="preserve">strategies.  From Table 4, it is clear that the rank composition of the staff changed rather substantially over time, especially at the high (Professor) end.  In fact, the percentage of Professors doubled from </w:t>
      </w:r>
      <w:r w:rsidR="009232E6" w:rsidRPr="00514F3B">
        <w:rPr>
          <w:rFonts w:ascii="Times New Roman" w:hAnsi="Times New Roman" w:cs="Times New Roman"/>
          <w:sz w:val="24"/>
          <w:szCs w:val="24"/>
        </w:rPr>
        <w:lastRenderedPageBreak/>
        <w:t>2000 to 2012 (11 to 2</w:t>
      </w:r>
      <w:r w:rsidR="001F7160" w:rsidRPr="00514F3B">
        <w:rPr>
          <w:rFonts w:ascii="Times New Roman" w:hAnsi="Times New Roman" w:cs="Times New Roman"/>
          <w:sz w:val="24"/>
          <w:szCs w:val="24"/>
        </w:rPr>
        <w:t>2</w:t>
      </w:r>
      <w:r w:rsidR="002043CF" w:rsidRPr="00514F3B">
        <w:rPr>
          <w:rFonts w:ascii="Times New Roman" w:hAnsi="Times New Roman" w:cs="Times New Roman"/>
          <w:sz w:val="24"/>
          <w:szCs w:val="24"/>
        </w:rPr>
        <w:t xml:space="preserve"> percent</w:t>
      </w:r>
      <w:r w:rsidR="009232E6" w:rsidRPr="00514F3B">
        <w:rPr>
          <w:rFonts w:ascii="Times New Roman" w:hAnsi="Times New Roman" w:cs="Times New Roman"/>
          <w:sz w:val="24"/>
          <w:szCs w:val="24"/>
        </w:rPr>
        <w:t>), and the percentage of Associate Professors also increased, albeit,</w:t>
      </w:r>
      <w:r w:rsidR="001F7160" w:rsidRPr="00514F3B">
        <w:rPr>
          <w:rFonts w:ascii="Times New Roman" w:hAnsi="Times New Roman" w:cs="Times New Roman"/>
          <w:sz w:val="24"/>
          <w:szCs w:val="24"/>
        </w:rPr>
        <w:t xml:space="preserve"> at a more modest rate (from 16 </w:t>
      </w:r>
      <w:r w:rsidR="009232E6" w:rsidRPr="00514F3B">
        <w:rPr>
          <w:rFonts w:ascii="Times New Roman" w:hAnsi="Times New Roman" w:cs="Times New Roman"/>
          <w:sz w:val="24"/>
          <w:szCs w:val="24"/>
        </w:rPr>
        <w:t>to 19</w:t>
      </w:r>
      <w:r w:rsidR="002043CF" w:rsidRPr="00514F3B">
        <w:rPr>
          <w:rFonts w:ascii="Times New Roman" w:hAnsi="Times New Roman" w:cs="Times New Roman"/>
          <w:sz w:val="24"/>
          <w:szCs w:val="24"/>
        </w:rPr>
        <w:t xml:space="preserve"> percent</w:t>
      </w:r>
      <w:r w:rsidR="009232E6" w:rsidRPr="00514F3B">
        <w:rPr>
          <w:rFonts w:ascii="Times New Roman" w:hAnsi="Times New Roman" w:cs="Times New Roman"/>
          <w:sz w:val="24"/>
          <w:szCs w:val="24"/>
        </w:rPr>
        <w:t xml:space="preserve">).  At the other end of the spectrum, the proportion of Senior Lecturers and Lecturers declined from </w:t>
      </w:r>
      <w:r w:rsidR="005638F8" w:rsidRPr="00514F3B">
        <w:rPr>
          <w:rFonts w:ascii="Times New Roman" w:hAnsi="Times New Roman" w:cs="Times New Roman"/>
          <w:sz w:val="24"/>
          <w:szCs w:val="24"/>
        </w:rPr>
        <w:t>50</w:t>
      </w:r>
      <w:r w:rsidR="009232E6" w:rsidRPr="00514F3B">
        <w:rPr>
          <w:rFonts w:ascii="Times New Roman" w:hAnsi="Times New Roman" w:cs="Times New Roman"/>
          <w:sz w:val="24"/>
          <w:szCs w:val="24"/>
        </w:rPr>
        <w:t xml:space="preserve"> and 23 percent to 40 and 19 percent, respectively.  </w:t>
      </w:r>
      <w:r w:rsidR="00576848" w:rsidRPr="00514F3B">
        <w:rPr>
          <w:rFonts w:ascii="Times New Roman" w:hAnsi="Times New Roman" w:cs="Times New Roman"/>
          <w:sz w:val="24"/>
          <w:szCs w:val="24"/>
        </w:rPr>
        <w:t xml:space="preserve">Given that higher ranked </w:t>
      </w:r>
      <w:r w:rsidR="0006640A" w:rsidRPr="00514F3B">
        <w:rPr>
          <w:rFonts w:ascii="Times New Roman" w:hAnsi="Times New Roman" w:cs="Times New Roman"/>
          <w:sz w:val="24"/>
          <w:szCs w:val="24"/>
        </w:rPr>
        <w:t xml:space="preserve">academics </w:t>
      </w:r>
      <w:r w:rsidR="00576848" w:rsidRPr="00514F3B">
        <w:rPr>
          <w:rFonts w:ascii="Times New Roman" w:hAnsi="Times New Roman" w:cs="Times New Roman"/>
          <w:sz w:val="24"/>
          <w:szCs w:val="24"/>
        </w:rPr>
        <w:t xml:space="preserve">are expected to be more productive than lower ranked staff, this change </w:t>
      </w:r>
      <w:r w:rsidR="006437CB" w:rsidRPr="00514F3B">
        <w:rPr>
          <w:rFonts w:ascii="Times New Roman" w:hAnsi="Times New Roman" w:cs="Times New Roman"/>
          <w:sz w:val="24"/>
          <w:szCs w:val="24"/>
        </w:rPr>
        <w:t xml:space="preserve">should result in </w:t>
      </w:r>
      <w:r w:rsidR="00576848" w:rsidRPr="00514F3B">
        <w:rPr>
          <w:rFonts w:ascii="Times New Roman" w:hAnsi="Times New Roman" w:cs="Times New Roman"/>
          <w:sz w:val="24"/>
          <w:szCs w:val="24"/>
        </w:rPr>
        <w:t>increased output per capita (everything else constant).</w:t>
      </w:r>
      <w:r w:rsidR="00C2322F" w:rsidRPr="00514F3B">
        <w:rPr>
          <w:rFonts w:ascii="Times New Roman" w:hAnsi="Times New Roman" w:cs="Times New Roman"/>
          <w:sz w:val="24"/>
          <w:szCs w:val="24"/>
        </w:rPr>
        <w:t xml:space="preserve"> </w:t>
      </w:r>
      <w:r w:rsidR="00576848" w:rsidRPr="00514F3B">
        <w:rPr>
          <w:rFonts w:ascii="Times New Roman" w:hAnsi="Times New Roman" w:cs="Times New Roman"/>
          <w:sz w:val="24"/>
          <w:szCs w:val="24"/>
        </w:rPr>
        <w:t xml:space="preserve">  </w:t>
      </w:r>
      <w:r w:rsidR="006437CB" w:rsidRPr="00514F3B">
        <w:rPr>
          <w:rFonts w:ascii="Times New Roman" w:hAnsi="Times New Roman" w:cs="Times New Roman"/>
          <w:sz w:val="24"/>
          <w:szCs w:val="24"/>
        </w:rPr>
        <w:t xml:space="preserve">Although it is not clear why </w:t>
      </w:r>
      <w:r w:rsidR="0006640A" w:rsidRPr="00514F3B">
        <w:rPr>
          <w:rFonts w:ascii="Times New Roman" w:hAnsi="Times New Roman" w:cs="Times New Roman"/>
          <w:sz w:val="24"/>
          <w:szCs w:val="24"/>
        </w:rPr>
        <w:t xml:space="preserve">the resulting </w:t>
      </w:r>
      <w:r w:rsidR="006437CB" w:rsidRPr="00514F3B">
        <w:rPr>
          <w:rFonts w:ascii="Times New Roman" w:hAnsi="Times New Roman" w:cs="Times New Roman"/>
          <w:sz w:val="24"/>
          <w:szCs w:val="24"/>
        </w:rPr>
        <w:t xml:space="preserve">increase in per capita </w:t>
      </w:r>
      <w:r w:rsidR="00DF207B" w:rsidRPr="00514F3B">
        <w:rPr>
          <w:rFonts w:ascii="Times New Roman" w:hAnsi="Times New Roman" w:cs="Times New Roman"/>
          <w:sz w:val="24"/>
          <w:szCs w:val="24"/>
        </w:rPr>
        <w:t xml:space="preserve">research </w:t>
      </w:r>
      <w:r w:rsidR="006437CB" w:rsidRPr="00514F3B">
        <w:rPr>
          <w:rFonts w:ascii="Times New Roman" w:hAnsi="Times New Roman" w:cs="Times New Roman"/>
          <w:sz w:val="24"/>
          <w:szCs w:val="24"/>
        </w:rPr>
        <w:t xml:space="preserve">output </w:t>
      </w:r>
      <w:r w:rsidR="00FA37AF" w:rsidRPr="00514F3B">
        <w:rPr>
          <w:rFonts w:ascii="Times New Roman" w:hAnsi="Times New Roman" w:cs="Times New Roman"/>
          <w:sz w:val="24"/>
          <w:szCs w:val="24"/>
        </w:rPr>
        <w:t xml:space="preserve">favoured </w:t>
      </w:r>
      <w:r w:rsidR="006F5A02" w:rsidRPr="00514F3B">
        <w:rPr>
          <w:rFonts w:ascii="Times New Roman" w:hAnsi="Times New Roman" w:cs="Times New Roman"/>
          <w:sz w:val="24"/>
          <w:szCs w:val="24"/>
        </w:rPr>
        <w:t xml:space="preserve">quantity over quality, </w:t>
      </w:r>
      <w:r w:rsidR="00403D54" w:rsidRPr="00514F3B">
        <w:rPr>
          <w:rFonts w:ascii="Times New Roman" w:hAnsi="Times New Roman" w:cs="Times New Roman"/>
          <w:sz w:val="24"/>
          <w:szCs w:val="24"/>
        </w:rPr>
        <w:t xml:space="preserve">it is reasonable to suggest that hiring and promotion committees  </w:t>
      </w:r>
      <w:r w:rsidR="0006640A" w:rsidRPr="00514F3B">
        <w:rPr>
          <w:rFonts w:ascii="Times New Roman" w:hAnsi="Times New Roman" w:cs="Times New Roman"/>
          <w:sz w:val="24"/>
          <w:szCs w:val="24"/>
        </w:rPr>
        <w:t xml:space="preserve">perceived </w:t>
      </w:r>
      <w:r w:rsidR="00403D54" w:rsidRPr="00514F3B">
        <w:rPr>
          <w:rFonts w:ascii="Times New Roman" w:hAnsi="Times New Roman" w:cs="Times New Roman"/>
          <w:sz w:val="24"/>
          <w:szCs w:val="24"/>
        </w:rPr>
        <w:t xml:space="preserve">the PBRF reward system to be one that rewarded high quantity/good quality producers over low quantity/high quality producers.  </w:t>
      </w:r>
      <w:r w:rsidR="009232E6" w:rsidRPr="00514F3B">
        <w:rPr>
          <w:rFonts w:ascii="Times New Roman" w:hAnsi="Times New Roman" w:cs="Times New Roman"/>
          <w:sz w:val="24"/>
          <w:szCs w:val="24"/>
        </w:rPr>
        <w:t>We also suggested that one of the easiest ways for research administrators to increase absolute scores</w:t>
      </w:r>
      <w:r w:rsidR="00C2322F" w:rsidRPr="00514F3B">
        <w:rPr>
          <w:rFonts w:ascii="Times New Roman" w:hAnsi="Times New Roman" w:cs="Times New Roman"/>
          <w:sz w:val="24"/>
          <w:szCs w:val="24"/>
        </w:rPr>
        <w:t xml:space="preserve"> was </w:t>
      </w:r>
      <w:r w:rsidR="009232E6" w:rsidRPr="00514F3B">
        <w:rPr>
          <w:rFonts w:ascii="Times New Roman" w:hAnsi="Times New Roman" w:cs="Times New Roman"/>
          <w:sz w:val="24"/>
          <w:szCs w:val="24"/>
        </w:rPr>
        <w:t>to move non-producers to the active researcher category (</w:t>
      </w:r>
      <w:r w:rsidR="00FA37AF" w:rsidRPr="00514F3B">
        <w:rPr>
          <w:rFonts w:ascii="Times New Roman" w:hAnsi="Times New Roman" w:cs="Times New Roman"/>
          <w:sz w:val="24"/>
          <w:szCs w:val="24"/>
        </w:rPr>
        <w:t xml:space="preserve">expected to change letter grades from </w:t>
      </w:r>
      <w:r w:rsidR="009232E6" w:rsidRPr="00514F3B">
        <w:rPr>
          <w:rFonts w:ascii="Times New Roman" w:hAnsi="Times New Roman" w:cs="Times New Roman"/>
          <w:sz w:val="24"/>
          <w:szCs w:val="24"/>
        </w:rPr>
        <w:t xml:space="preserve">R (not research active) to C (acceptable).  According to our databases, the proportion of academic staff that can be defined as research active (those individuals publishing </w:t>
      </w:r>
      <w:r w:rsidR="00C0096A" w:rsidRPr="00514F3B">
        <w:rPr>
          <w:rFonts w:ascii="Times New Roman" w:hAnsi="Times New Roman" w:cs="Times New Roman"/>
          <w:sz w:val="24"/>
          <w:szCs w:val="24"/>
        </w:rPr>
        <w:t xml:space="preserve">at least one </w:t>
      </w:r>
      <w:r w:rsidR="009232E6" w:rsidRPr="00514F3B">
        <w:rPr>
          <w:rFonts w:ascii="Times New Roman" w:hAnsi="Times New Roman" w:cs="Times New Roman"/>
          <w:sz w:val="24"/>
          <w:szCs w:val="24"/>
        </w:rPr>
        <w:t>paper, in whole or in part, over a six year period in a</w:t>
      </w:r>
      <w:r w:rsidR="00403D54" w:rsidRPr="00514F3B">
        <w:rPr>
          <w:rFonts w:ascii="Times New Roman" w:hAnsi="Times New Roman" w:cs="Times New Roman"/>
          <w:sz w:val="24"/>
          <w:szCs w:val="24"/>
        </w:rPr>
        <w:t>n</w:t>
      </w:r>
      <w:r w:rsidR="009232E6" w:rsidRPr="00514F3B">
        <w:rPr>
          <w:rFonts w:ascii="Times New Roman" w:hAnsi="Times New Roman" w:cs="Times New Roman"/>
          <w:sz w:val="24"/>
          <w:szCs w:val="24"/>
        </w:rPr>
        <w:t xml:space="preserve"> </w:t>
      </w:r>
      <w:r w:rsidR="009232E6" w:rsidRPr="00056099">
        <w:rPr>
          <w:rFonts w:ascii="Times New Roman" w:hAnsi="Times New Roman" w:cs="Times New Roman"/>
          <w:i/>
          <w:sz w:val="24"/>
          <w:szCs w:val="24"/>
        </w:rPr>
        <w:t>EconLit</w:t>
      </w:r>
      <w:r w:rsidR="009232E6" w:rsidRPr="00514F3B">
        <w:rPr>
          <w:rFonts w:ascii="Times New Roman" w:hAnsi="Times New Roman" w:cs="Times New Roman"/>
          <w:sz w:val="24"/>
          <w:szCs w:val="24"/>
        </w:rPr>
        <w:t xml:space="preserve"> l</w:t>
      </w:r>
      <w:r w:rsidR="00C2322F" w:rsidRPr="00514F3B">
        <w:rPr>
          <w:rFonts w:ascii="Times New Roman" w:hAnsi="Times New Roman" w:cs="Times New Roman"/>
          <w:sz w:val="24"/>
          <w:szCs w:val="24"/>
        </w:rPr>
        <w:t>isted journal) increased from 7</w:t>
      </w:r>
      <w:r w:rsidR="00FC4796" w:rsidRPr="00514F3B">
        <w:rPr>
          <w:rFonts w:ascii="Times New Roman" w:hAnsi="Times New Roman" w:cs="Times New Roman"/>
          <w:sz w:val="24"/>
          <w:szCs w:val="24"/>
        </w:rPr>
        <w:t>1</w:t>
      </w:r>
      <w:r w:rsidR="002043CF" w:rsidRPr="00514F3B">
        <w:rPr>
          <w:rFonts w:ascii="Times New Roman" w:hAnsi="Times New Roman" w:cs="Times New Roman"/>
          <w:sz w:val="24"/>
          <w:szCs w:val="24"/>
        </w:rPr>
        <w:t xml:space="preserve"> percent</w:t>
      </w:r>
      <w:r w:rsidR="009232E6" w:rsidRPr="00514F3B">
        <w:rPr>
          <w:rFonts w:ascii="Times New Roman" w:hAnsi="Times New Roman" w:cs="Times New Roman"/>
          <w:sz w:val="24"/>
          <w:szCs w:val="24"/>
        </w:rPr>
        <w:t xml:space="preserve"> in BASE (1994- 1999) to 7</w:t>
      </w:r>
      <w:r w:rsidR="00C2322F" w:rsidRPr="00514F3B">
        <w:rPr>
          <w:rFonts w:ascii="Times New Roman" w:hAnsi="Times New Roman" w:cs="Times New Roman"/>
          <w:sz w:val="24"/>
          <w:szCs w:val="24"/>
        </w:rPr>
        <w:t>9</w:t>
      </w:r>
      <w:r w:rsidR="002043CF" w:rsidRPr="00514F3B">
        <w:rPr>
          <w:rFonts w:ascii="Times New Roman" w:hAnsi="Times New Roman" w:cs="Times New Roman"/>
          <w:sz w:val="24"/>
          <w:szCs w:val="24"/>
        </w:rPr>
        <w:t xml:space="preserve"> percent</w:t>
      </w:r>
      <w:r w:rsidR="009232E6" w:rsidRPr="00514F3B">
        <w:rPr>
          <w:rFonts w:ascii="Times New Roman" w:hAnsi="Times New Roman" w:cs="Times New Roman"/>
          <w:sz w:val="24"/>
          <w:szCs w:val="24"/>
        </w:rPr>
        <w:t xml:space="preserve"> in PBRF1 (2000- 2005) and 8</w:t>
      </w:r>
      <w:r w:rsidR="00C4234A" w:rsidRPr="00514F3B">
        <w:rPr>
          <w:rFonts w:ascii="Times New Roman" w:hAnsi="Times New Roman" w:cs="Times New Roman"/>
          <w:sz w:val="24"/>
          <w:szCs w:val="24"/>
        </w:rPr>
        <w:t>3</w:t>
      </w:r>
      <w:r w:rsidR="002043CF" w:rsidRPr="00514F3B">
        <w:rPr>
          <w:rFonts w:ascii="Times New Roman" w:hAnsi="Times New Roman" w:cs="Times New Roman"/>
          <w:sz w:val="24"/>
          <w:szCs w:val="24"/>
        </w:rPr>
        <w:t xml:space="preserve"> percent</w:t>
      </w:r>
      <w:r w:rsidR="009232E6" w:rsidRPr="00514F3B">
        <w:rPr>
          <w:rFonts w:ascii="Times New Roman" w:hAnsi="Times New Roman" w:cs="Times New Roman"/>
          <w:sz w:val="24"/>
          <w:szCs w:val="24"/>
        </w:rPr>
        <w:t xml:space="preserve"> in PBRF2 (2006-2011</w:t>
      </w:r>
      <w:r w:rsidR="00056099">
        <w:rPr>
          <w:rFonts w:ascii="Times New Roman" w:hAnsi="Times New Roman" w:cs="Times New Roman"/>
          <w:sz w:val="24"/>
          <w:szCs w:val="24"/>
        </w:rPr>
        <w:t>).</w:t>
      </w:r>
    </w:p>
    <w:p w:rsidR="003E5413" w:rsidRPr="00056099" w:rsidRDefault="003E5413" w:rsidP="00514F3B">
      <w:pPr>
        <w:tabs>
          <w:tab w:val="left" w:pos="426"/>
        </w:tabs>
        <w:jc w:val="both"/>
        <w:rPr>
          <w:rFonts w:ascii="Times New Roman" w:hAnsi="Times New Roman" w:cs="Times New Roman"/>
          <w:sz w:val="16"/>
          <w:szCs w:val="16"/>
        </w:rPr>
      </w:pPr>
    </w:p>
    <w:tbl>
      <w:tblPr>
        <w:tblW w:w="8775" w:type="dxa"/>
        <w:jc w:val="center"/>
        <w:tblInd w:w="-1377" w:type="dxa"/>
        <w:tblLook w:val="04A0"/>
      </w:tblPr>
      <w:tblGrid>
        <w:gridCol w:w="282"/>
        <w:gridCol w:w="2569"/>
        <w:gridCol w:w="1843"/>
        <w:gridCol w:w="2070"/>
        <w:gridCol w:w="2011"/>
      </w:tblGrid>
      <w:tr w:rsidR="00E9228D" w:rsidRPr="00514F3B" w:rsidTr="00355FD7">
        <w:trPr>
          <w:gridBefore w:val="1"/>
          <w:wBefore w:w="282" w:type="dxa"/>
          <w:trHeight w:val="315"/>
          <w:jc w:val="center"/>
        </w:trPr>
        <w:tc>
          <w:tcPr>
            <w:tcW w:w="8493" w:type="dxa"/>
            <w:gridSpan w:val="4"/>
            <w:tcBorders>
              <w:top w:val="nil"/>
              <w:left w:val="nil"/>
              <w:bottom w:val="nil"/>
              <w:right w:val="nil"/>
            </w:tcBorders>
            <w:shd w:val="clear" w:color="auto" w:fill="auto"/>
            <w:noWrap/>
            <w:vAlign w:val="bottom"/>
            <w:hideMark/>
          </w:tcPr>
          <w:p w:rsidR="00E9228D" w:rsidRPr="00355FD7" w:rsidRDefault="00E9228D" w:rsidP="00355FD7">
            <w:pPr>
              <w:tabs>
                <w:tab w:val="left" w:pos="426"/>
              </w:tabs>
              <w:spacing w:after="0" w:line="240" w:lineRule="auto"/>
              <w:jc w:val="center"/>
              <w:rPr>
                <w:rFonts w:ascii="Times New Roman" w:eastAsia="Times New Roman" w:hAnsi="Times New Roman" w:cs="Times New Roman"/>
                <w:b/>
                <w:bCs/>
                <w:color w:val="000000"/>
                <w:lang w:val="en-NZ" w:eastAsia="zh-CN"/>
              </w:rPr>
            </w:pPr>
            <w:r w:rsidRPr="00355FD7">
              <w:rPr>
                <w:rFonts w:ascii="Times New Roman" w:eastAsia="Times New Roman" w:hAnsi="Times New Roman" w:cs="Times New Roman"/>
                <w:b/>
                <w:bCs/>
                <w:color w:val="000000"/>
                <w:lang w:val="en-NZ" w:eastAsia="zh-CN"/>
              </w:rPr>
              <w:t>Table 4.  Economists, New Zealand Universities, Percent by Rank</w:t>
            </w:r>
          </w:p>
          <w:p w:rsidR="00355FD7" w:rsidRPr="00355FD7" w:rsidRDefault="00355FD7" w:rsidP="00355FD7">
            <w:pPr>
              <w:tabs>
                <w:tab w:val="left" w:pos="426"/>
              </w:tabs>
              <w:spacing w:after="0" w:line="240" w:lineRule="auto"/>
              <w:jc w:val="center"/>
              <w:rPr>
                <w:rFonts w:ascii="Times New Roman" w:eastAsia="Times New Roman" w:hAnsi="Times New Roman" w:cs="Times New Roman"/>
                <w:b/>
                <w:bCs/>
                <w:color w:val="000000"/>
                <w:sz w:val="10"/>
                <w:szCs w:val="10"/>
                <w:lang w:val="en-NZ" w:eastAsia="zh-CN"/>
              </w:rPr>
            </w:pPr>
          </w:p>
        </w:tc>
      </w:tr>
      <w:tr w:rsidR="00355FD7" w:rsidRPr="00514F3B" w:rsidTr="00355FD7">
        <w:trPr>
          <w:trHeight w:val="300"/>
          <w:jc w:val="center"/>
        </w:trPr>
        <w:tc>
          <w:tcPr>
            <w:tcW w:w="2851" w:type="dxa"/>
            <w:gridSpan w:val="2"/>
            <w:tcBorders>
              <w:top w:val="single" w:sz="4" w:space="0" w:color="auto"/>
              <w:left w:val="nil"/>
              <w:right w:val="nil"/>
            </w:tcBorders>
            <w:shd w:val="clear" w:color="auto" w:fill="auto"/>
            <w:noWrap/>
            <w:vAlign w:val="bottom"/>
            <w:hideMark/>
          </w:tcPr>
          <w:p w:rsidR="00355FD7" w:rsidRPr="00355FD7" w:rsidRDefault="00355FD7" w:rsidP="00514F3B">
            <w:pPr>
              <w:tabs>
                <w:tab w:val="left" w:pos="426"/>
              </w:tabs>
              <w:spacing w:after="0" w:line="240" w:lineRule="auto"/>
              <w:jc w:val="both"/>
              <w:rPr>
                <w:rFonts w:ascii="Times New Roman" w:eastAsia="Times New Roman" w:hAnsi="Times New Roman" w:cs="Times New Roman"/>
                <w:bCs/>
                <w:color w:val="000000"/>
                <w:lang w:val="en-NZ" w:eastAsia="zh-CN"/>
              </w:rPr>
            </w:pPr>
          </w:p>
        </w:tc>
        <w:tc>
          <w:tcPr>
            <w:tcW w:w="1843" w:type="dxa"/>
            <w:tcBorders>
              <w:top w:val="single" w:sz="4" w:space="0" w:color="auto"/>
              <w:left w:val="nil"/>
              <w:right w:val="nil"/>
            </w:tcBorders>
            <w:shd w:val="clear" w:color="auto" w:fill="auto"/>
            <w:noWrap/>
            <w:vAlign w:val="bottom"/>
            <w:hideMark/>
          </w:tcPr>
          <w:p w:rsidR="00355FD7" w:rsidRPr="00355FD7" w:rsidRDefault="00355FD7" w:rsidP="00514F3B">
            <w:pPr>
              <w:tabs>
                <w:tab w:val="left" w:pos="426"/>
              </w:tabs>
              <w:spacing w:after="0" w:line="240" w:lineRule="auto"/>
              <w:jc w:val="both"/>
              <w:rPr>
                <w:rFonts w:ascii="Times New Roman" w:eastAsia="Times New Roman" w:hAnsi="Times New Roman" w:cs="Times New Roman"/>
                <w:bCs/>
                <w:color w:val="000000"/>
                <w:lang w:val="en-NZ" w:eastAsia="zh-CN"/>
              </w:rPr>
            </w:pPr>
          </w:p>
        </w:tc>
        <w:tc>
          <w:tcPr>
            <w:tcW w:w="2070" w:type="dxa"/>
            <w:tcBorders>
              <w:top w:val="single" w:sz="4" w:space="0" w:color="auto"/>
              <w:left w:val="nil"/>
              <w:right w:val="nil"/>
            </w:tcBorders>
            <w:shd w:val="clear" w:color="auto" w:fill="auto"/>
            <w:noWrap/>
            <w:vAlign w:val="bottom"/>
            <w:hideMark/>
          </w:tcPr>
          <w:p w:rsidR="00355FD7" w:rsidRPr="00355FD7" w:rsidRDefault="00355FD7" w:rsidP="00514F3B">
            <w:pPr>
              <w:tabs>
                <w:tab w:val="left" w:pos="426"/>
              </w:tabs>
              <w:spacing w:after="0" w:line="240" w:lineRule="auto"/>
              <w:jc w:val="both"/>
              <w:rPr>
                <w:rFonts w:ascii="Times New Roman" w:eastAsia="Times New Roman" w:hAnsi="Times New Roman" w:cs="Times New Roman"/>
                <w:bCs/>
                <w:color w:val="000000"/>
                <w:lang w:val="en-NZ" w:eastAsia="zh-CN"/>
              </w:rPr>
            </w:pPr>
            <w:r>
              <w:rPr>
                <w:rFonts w:ascii="Times New Roman" w:eastAsia="Times New Roman" w:hAnsi="Times New Roman" w:cs="Times New Roman"/>
                <w:bCs/>
                <w:color w:val="000000"/>
                <w:lang w:val="en-NZ" w:eastAsia="zh-CN"/>
              </w:rPr>
              <w:t>Year</w:t>
            </w:r>
          </w:p>
        </w:tc>
        <w:tc>
          <w:tcPr>
            <w:tcW w:w="2011" w:type="dxa"/>
            <w:tcBorders>
              <w:top w:val="single" w:sz="4" w:space="0" w:color="auto"/>
              <w:left w:val="nil"/>
              <w:right w:val="nil"/>
            </w:tcBorders>
            <w:shd w:val="clear" w:color="auto" w:fill="auto"/>
            <w:noWrap/>
            <w:vAlign w:val="bottom"/>
            <w:hideMark/>
          </w:tcPr>
          <w:p w:rsidR="00355FD7" w:rsidRPr="00355FD7" w:rsidRDefault="00355FD7" w:rsidP="00514F3B">
            <w:pPr>
              <w:tabs>
                <w:tab w:val="left" w:pos="426"/>
              </w:tabs>
              <w:spacing w:after="0" w:line="240" w:lineRule="auto"/>
              <w:jc w:val="both"/>
              <w:rPr>
                <w:rFonts w:ascii="Times New Roman" w:eastAsia="Times New Roman" w:hAnsi="Times New Roman" w:cs="Times New Roman"/>
                <w:bCs/>
                <w:color w:val="000000"/>
                <w:lang w:val="en-NZ" w:eastAsia="zh-CN"/>
              </w:rPr>
            </w:pPr>
          </w:p>
        </w:tc>
      </w:tr>
      <w:tr w:rsidR="00E9228D" w:rsidRPr="00514F3B" w:rsidTr="00355FD7">
        <w:trPr>
          <w:trHeight w:val="300"/>
          <w:jc w:val="center"/>
        </w:trPr>
        <w:tc>
          <w:tcPr>
            <w:tcW w:w="2851" w:type="dxa"/>
            <w:gridSpan w:val="2"/>
            <w:tcBorders>
              <w:left w:val="nil"/>
              <w:bottom w:val="single" w:sz="4" w:space="0" w:color="auto"/>
              <w:right w:val="nil"/>
            </w:tcBorders>
            <w:shd w:val="clear" w:color="auto" w:fill="auto"/>
            <w:noWrap/>
            <w:vAlign w:val="bottom"/>
            <w:hideMark/>
          </w:tcPr>
          <w:p w:rsidR="00E9228D" w:rsidRPr="00355FD7" w:rsidRDefault="00E9228D"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Rank</w:t>
            </w:r>
          </w:p>
        </w:tc>
        <w:tc>
          <w:tcPr>
            <w:tcW w:w="1843" w:type="dxa"/>
            <w:tcBorders>
              <w:left w:val="nil"/>
              <w:bottom w:val="single" w:sz="4" w:space="0" w:color="auto"/>
              <w:right w:val="nil"/>
            </w:tcBorders>
            <w:shd w:val="clear" w:color="auto" w:fill="auto"/>
            <w:noWrap/>
            <w:vAlign w:val="bottom"/>
            <w:hideMark/>
          </w:tcPr>
          <w:p w:rsidR="00E9228D" w:rsidRPr="00355FD7" w:rsidRDefault="00E9228D"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2000</w:t>
            </w:r>
          </w:p>
        </w:tc>
        <w:tc>
          <w:tcPr>
            <w:tcW w:w="2070" w:type="dxa"/>
            <w:tcBorders>
              <w:left w:val="nil"/>
              <w:bottom w:val="single" w:sz="4" w:space="0" w:color="auto"/>
              <w:right w:val="nil"/>
            </w:tcBorders>
            <w:shd w:val="clear" w:color="auto" w:fill="auto"/>
            <w:noWrap/>
            <w:vAlign w:val="bottom"/>
            <w:hideMark/>
          </w:tcPr>
          <w:p w:rsidR="00E9228D" w:rsidRPr="00355FD7" w:rsidRDefault="00E9228D"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2006</w:t>
            </w:r>
          </w:p>
        </w:tc>
        <w:tc>
          <w:tcPr>
            <w:tcW w:w="2011" w:type="dxa"/>
            <w:tcBorders>
              <w:left w:val="nil"/>
              <w:bottom w:val="single" w:sz="4" w:space="0" w:color="auto"/>
              <w:right w:val="nil"/>
            </w:tcBorders>
            <w:shd w:val="clear" w:color="auto" w:fill="auto"/>
            <w:noWrap/>
            <w:vAlign w:val="bottom"/>
            <w:hideMark/>
          </w:tcPr>
          <w:p w:rsidR="00E9228D" w:rsidRPr="00355FD7" w:rsidRDefault="00E9228D"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2012</w:t>
            </w:r>
          </w:p>
        </w:tc>
      </w:tr>
      <w:tr w:rsidR="00E9228D" w:rsidRPr="00514F3B" w:rsidTr="00355FD7">
        <w:trPr>
          <w:trHeight w:val="300"/>
          <w:jc w:val="center"/>
        </w:trPr>
        <w:tc>
          <w:tcPr>
            <w:tcW w:w="2851" w:type="dxa"/>
            <w:gridSpan w:val="2"/>
            <w:tcBorders>
              <w:top w:val="nil"/>
              <w:left w:val="nil"/>
              <w:bottom w:val="nil"/>
              <w:right w:val="nil"/>
            </w:tcBorders>
            <w:shd w:val="clear" w:color="auto" w:fill="auto"/>
            <w:noWrap/>
            <w:vAlign w:val="bottom"/>
            <w:hideMark/>
          </w:tcPr>
          <w:p w:rsidR="00E9228D" w:rsidRPr="00355FD7" w:rsidRDefault="00E9228D" w:rsidP="00056099">
            <w:pPr>
              <w:tabs>
                <w:tab w:val="left" w:pos="426"/>
              </w:tabs>
              <w:spacing w:before="60"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Professor</w:t>
            </w:r>
          </w:p>
        </w:tc>
        <w:tc>
          <w:tcPr>
            <w:tcW w:w="1843" w:type="dxa"/>
            <w:tcBorders>
              <w:top w:val="nil"/>
              <w:left w:val="nil"/>
              <w:bottom w:val="nil"/>
              <w:right w:val="nil"/>
            </w:tcBorders>
            <w:shd w:val="clear" w:color="auto" w:fill="auto"/>
            <w:noWrap/>
            <w:vAlign w:val="bottom"/>
            <w:hideMark/>
          </w:tcPr>
          <w:p w:rsidR="00E9228D" w:rsidRPr="00355FD7" w:rsidRDefault="00E9228D" w:rsidP="00056099">
            <w:pPr>
              <w:spacing w:before="60" w:after="0" w:line="240" w:lineRule="auto"/>
              <w:ind w:left="-391" w:right="1168"/>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11.1</w:t>
            </w:r>
          </w:p>
        </w:tc>
        <w:tc>
          <w:tcPr>
            <w:tcW w:w="2070" w:type="dxa"/>
            <w:tcBorders>
              <w:top w:val="nil"/>
              <w:left w:val="nil"/>
              <w:bottom w:val="nil"/>
              <w:right w:val="nil"/>
            </w:tcBorders>
            <w:shd w:val="clear" w:color="auto" w:fill="auto"/>
            <w:noWrap/>
            <w:vAlign w:val="bottom"/>
            <w:hideMark/>
          </w:tcPr>
          <w:p w:rsidR="00E9228D" w:rsidRPr="00355FD7" w:rsidRDefault="00E9228D" w:rsidP="00056099">
            <w:pPr>
              <w:spacing w:before="60" w:after="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18.2</w:t>
            </w:r>
          </w:p>
        </w:tc>
        <w:tc>
          <w:tcPr>
            <w:tcW w:w="2011" w:type="dxa"/>
            <w:tcBorders>
              <w:top w:val="nil"/>
              <w:left w:val="nil"/>
              <w:bottom w:val="nil"/>
              <w:right w:val="nil"/>
            </w:tcBorders>
            <w:shd w:val="clear" w:color="auto" w:fill="auto"/>
            <w:noWrap/>
            <w:vAlign w:val="bottom"/>
            <w:hideMark/>
          </w:tcPr>
          <w:p w:rsidR="00E9228D" w:rsidRPr="00355FD7" w:rsidRDefault="00E9228D" w:rsidP="00056099">
            <w:pPr>
              <w:spacing w:before="60" w:after="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21.9</w:t>
            </w:r>
          </w:p>
        </w:tc>
      </w:tr>
      <w:tr w:rsidR="00E9228D" w:rsidRPr="00514F3B" w:rsidTr="00355FD7">
        <w:trPr>
          <w:trHeight w:val="300"/>
          <w:jc w:val="center"/>
        </w:trPr>
        <w:tc>
          <w:tcPr>
            <w:tcW w:w="2851" w:type="dxa"/>
            <w:gridSpan w:val="2"/>
            <w:tcBorders>
              <w:top w:val="nil"/>
              <w:left w:val="nil"/>
              <w:bottom w:val="nil"/>
              <w:right w:val="nil"/>
            </w:tcBorders>
            <w:shd w:val="clear" w:color="auto" w:fill="auto"/>
            <w:noWrap/>
            <w:vAlign w:val="bottom"/>
            <w:hideMark/>
          </w:tcPr>
          <w:p w:rsidR="00E9228D" w:rsidRPr="00355FD7" w:rsidRDefault="00E9228D"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Associate Professor</w:t>
            </w:r>
          </w:p>
        </w:tc>
        <w:tc>
          <w:tcPr>
            <w:tcW w:w="1843" w:type="dxa"/>
            <w:tcBorders>
              <w:top w:val="nil"/>
              <w:left w:val="nil"/>
              <w:bottom w:val="nil"/>
              <w:right w:val="nil"/>
            </w:tcBorders>
            <w:shd w:val="clear" w:color="auto" w:fill="auto"/>
            <w:noWrap/>
            <w:vAlign w:val="bottom"/>
            <w:hideMark/>
          </w:tcPr>
          <w:p w:rsidR="00E9228D" w:rsidRPr="00355FD7" w:rsidRDefault="00E9228D" w:rsidP="008E4CC0">
            <w:pPr>
              <w:spacing w:after="0" w:line="240" w:lineRule="auto"/>
              <w:ind w:left="-391" w:right="1168"/>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16.2</w:t>
            </w:r>
          </w:p>
        </w:tc>
        <w:tc>
          <w:tcPr>
            <w:tcW w:w="2070" w:type="dxa"/>
            <w:tcBorders>
              <w:top w:val="nil"/>
              <w:left w:val="nil"/>
              <w:bottom w:val="nil"/>
              <w:right w:val="nil"/>
            </w:tcBorders>
            <w:shd w:val="clear" w:color="auto" w:fill="auto"/>
            <w:noWrap/>
            <w:vAlign w:val="bottom"/>
            <w:hideMark/>
          </w:tcPr>
          <w:p w:rsidR="00E9228D" w:rsidRPr="00355FD7" w:rsidRDefault="00E9228D" w:rsidP="008E4CC0">
            <w:pPr>
              <w:spacing w:after="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14.6</w:t>
            </w:r>
          </w:p>
        </w:tc>
        <w:tc>
          <w:tcPr>
            <w:tcW w:w="2011" w:type="dxa"/>
            <w:tcBorders>
              <w:top w:val="nil"/>
              <w:left w:val="nil"/>
              <w:bottom w:val="nil"/>
              <w:right w:val="nil"/>
            </w:tcBorders>
            <w:shd w:val="clear" w:color="auto" w:fill="auto"/>
            <w:noWrap/>
            <w:vAlign w:val="bottom"/>
            <w:hideMark/>
          </w:tcPr>
          <w:p w:rsidR="00E9228D" w:rsidRPr="00355FD7" w:rsidRDefault="00E9228D" w:rsidP="008E4CC0">
            <w:pPr>
              <w:spacing w:after="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19.0</w:t>
            </w:r>
          </w:p>
        </w:tc>
      </w:tr>
      <w:tr w:rsidR="00E9228D" w:rsidRPr="00514F3B" w:rsidTr="00355FD7">
        <w:trPr>
          <w:trHeight w:val="300"/>
          <w:jc w:val="center"/>
        </w:trPr>
        <w:tc>
          <w:tcPr>
            <w:tcW w:w="2851" w:type="dxa"/>
            <w:gridSpan w:val="2"/>
            <w:tcBorders>
              <w:top w:val="nil"/>
              <w:left w:val="nil"/>
              <w:right w:val="nil"/>
            </w:tcBorders>
            <w:shd w:val="clear" w:color="auto" w:fill="auto"/>
            <w:noWrap/>
            <w:vAlign w:val="bottom"/>
            <w:hideMark/>
          </w:tcPr>
          <w:p w:rsidR="00E9228D" w:rsidRPr="00355FD7" w:rsidRDefault="00E9228D"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Senior Lecturer</w:t>
            </w:r>
          </w:p>
        </w:tc>
        <w:tc>
          <w:tcPr>
            <w:tcW w:w="1843" w:type="dxa"/>
            <w:tcBorders>
              <w:top w:val="nil"/>
              <w:left w:val="nil"/>
              <w:right w:val="nil"/>
            </w:tcBorders>
            <w:shd w:val="clear" w:color="auto" w:fill="auto"/>
            <w:noWrap/>
            <w:vAlign w:val="bottom"/>
            <w:hideMark/>
          </w:tcPr>
          <w:p w:rsidR="00E9228D" w:rsidRPr="00355FD7" w:rsidRDefault="00E9228D" w:rsidP="008E4CC0">
            <w:pPr>
              <w:spacing w:after="0" w:line="240" w:lineRule="auto"/>
              <w:ind w:left="-391" w:right="1168"/>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49.6</w:t>
            </w:r>
          </w:p>
        </w:tc>
        <w:tc>
          <w:tcPr>
            <w:tcW w:w="2070" w:type="dxa"/>
            <w:tcBorders>
              <w:top w:val="nil"/>
              <w:left w:val="nil"/>
              <w:right w:val="nil"/>
            </w:tcBorders>
            <w:shd w:val="clear" w:color="auto" w:fill="auto"/>
            <w:noWrap/>
            <w:vAlign w:val="bottom"/>
            <w:hideMark/>
          </w:tcPr>
          <w:p w:rsidR="00E9228D" w:rsidRPr="00355FD7" w:rsidRDefault="00E9228D" w:rsidP="008E4CC0">
            <w:pPr>
              <w:spacing w:after="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45.3</w:t>
            </w:r>
          </w:p>
        </w:tc>
        <w:tc>
          <w:tcPr>
            <w:tcW w:w="2011" w:type="dxa"/>
            <w:tcBorders>
              <w:top w:val="nil"/>
              <w:left w:val="nil"/>
              <w:right w:val="nil"/>
            </w:tcBorders>
            <w:shd w:val="clear" w:color="auto" w:fill="auto"/>
            <w:noWrap/>
            <w:vAlign w:val="bottom"/>
            <w:hideMark/>
          </w:tcPr>
          <w:p w:rsidR="00E9228D" w:rsidRPr="00355FD7" w:rsidRDefault="00E9228D" w:rsidP="008E4CC0">
            <w:pPr>
              <w:spacing w:after="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40.1</w:t>
            </w:r>
          </w:p>
        </w:tc>
      </w:tr>
      <w:tr w:rsidR="00E9228D" w:rsidRPr="00514F3B" w:rsidTr="00355FD7">
        <w:trPr>
          <w:trHeight w:val="300"/>
          <w:jc w:val="center"/>
        </w:trPr>
        <w:tc>
          <w:tcPr>
            <w:tcW w:w="2851" w:type="dxa"/>
            <w:gridSpan w:val="2"/>
            <w:tcBorders>
              <w:top w:val="nil"/>
              <w:left w:val="nil"/>
              <w:bottom w:val="single" w:sz="4" w:space="0" w:color="auto"/>
              <w:right w:val="nil"/>
            </w:tcBorders>
            <w:shd w:val="clear" w:color="auto" w:fill="auto"/>
            <w:noWrap/>
            <w:vAlign w:val="bottom"/>
            <w:hideMark/>
          </w:tcPr>
          <w:p w:rsidR="00E9228D" w:rsidRPr="00355FD7" w:rsidRDefault="00E9228D" w:rsidP="00056099">
            <w:pPr>
              <w:tabs>
                <w:tab w:val="left" w:pos="426"/>
              </w:tabs>
              <w:spacing w:after="60" w:line="240" w:lineRule="auto"/>
              <w:jc w:val="both"/>
              <w:rPr>
                <w:rFonts w:ascii="Times New Roman" w:eastAsia="Times New Roman" w:hAnsi="Times New Roman" w:cs="Times New Roman"/>
                <w:bCs/>
                <w:color w:val="000000"/>
                <w:lang w:val="en-NZ" w:eastAsia="zh-CN"/>
              </w:rPr>
            </w:pPr>
            <w:r w:rsidRPr="00355FD7">
              <w:rPr>
                <w:rFonts w:ascii="Times New Roman" w:eastAsia="Times New Roman" w:hAnsi="Times New Roman" w:cs="Times New Roman"/>
                <w:bCs/>
                <w:color w:val="000000"/>
                <w:lang w:val="en-NZ" w:eastAsia="zh-CN"/>
              </w:rPr>
              <w:t>Lecturer</w:t>
            </w:r>
          </w:p>
        </w:tc>
        <w:tc>
          <w:tcPr>
            <w:tcW w:w="1843" w:type="dxa"/>
            <w:tcBorders>
              <w:top w:val="nil"/>
              <w:left w:val="nil"/>
              <w:bottom w:val="single" w:sz="4" w:space="0" w:color="auto"/>
              <w:right w:val="nil"/>
            </w:tcBorders>
            <w:shd w:val="clear" w:color="auto" w:fill="auto"/>
            <w:noWrap/>
            <w:vAlign w:val="bottom"/>
            <w:hideMark/>
          </w:tcPr>
          <w:p w:rsidR="00E9228D" w:rsidRPr="00355FD7" w:rsidRDefault="00E9228D" w:rsidP="00056099">
            <w:pPr>
              <w:spacing w:after="60" w:line="240" w:lineRule="auto"/>
              <w:ind w:left="-391" w:right="1168"/>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23.1</w:t>
            </w:r>
          </w:p>
        </w:tc>
        <w:tc>
          <w:tcPr>
            <w:tcW w:w="2070" w:type="dxa"/>
            <w:tcBorders>
              <w:top w:val="nil"/>
              <w:left w:val="nil"/>
              <w:bottom w:val="single" w:sz="4" w:space="0" w:color="auto"/>
              <w:right w:val="nil"/>
            </w:tcBorders>
            <w:shd w:val="clear" w:color="auto" w:fill="auto"/>
            <w:noWrap/>
            <w:vAlign w:val="bottom"/>
            <w:hideMark/>
          </w:tcPr>
          <w:p w:rsidR="00E9228D" w:rsidRPr="00355FD7" w:rsidRDefault="00E9228D" w:rsidP="00056099">
            <w:pPr>
              <w:spacing w:after="6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21.9</w:t>
            </w:r>
          </w:p>
        </w:tc>
        <w:tc>
          <w:tcPr>
            <w:tcW w:w="2011" w:type="dxa"/>
            <w:tcBorders>
              <w:top w:val="nil"/>
              <w:left w:val="nil"/>
              <w:bottom w:val="single" w:sz="4" w:space="0" w:color="auto"/>
              <w:right w:val="nil"/>
            </w:tcBorders>
            <w:shd w:val="clear" w:color="auto" w:fill="auto"/>
            <w:noWrap/>
            <w:vAlign w:val="bottom"/>
            <w:hideMark/>
          </w:tcPr>
          <w:p w:rsidR="00E9228D" w:rsidRPr="00355FD7" w:rsidRDefault="00E9228D" w:rsidP="00056099">
            <w:pPr>
              <w:spacing w:after="60" w:line="240" w:lineRule="auto"/>
              <w:ind w:left="-391" w:right="1395"/>
              <w:jc w:val="right"/>
              <w:rPr>
                <w:rFonts w:ascii="Times New Roman" w:eastAsia="Times New Roman" w:hAnsi="Times New Roman" w:cs="Times New Roman"/>
                <w:color w:val="000000"/>
                <w:lang w:val="en-NZ" w:eastAsia="zh-CN"/>
              </w:rPr>
            </w:pPr>
            <w:r w:rsidRPr="00355FD7">
              <w:rPr>
                <w:rFonts w:ascii="Times New Roman" w:eastAsia="Times New Roman" w:hAnsi="Times New Roman" w:cs="Times New Roman"/>
                <w:color w:val="000000"/>
                <w:lang w:val="en-NZ" w:eastAsia="zh-CN"/>
              </w:rPr>
              <w:t>19.0</w:t>
            </w:r>
          </w:p>
        </w:tc>
      </w:tr>
    </w:tbl>
    <w:p w:rsidR="00E9228D" w:rsidRPr="00056099" w:rsidRDefault="00E9228D" w:rsidP="00514F3B">
      <w:pPr>
        <w:tabs>
          <w:tab w:val="left" w:pos="426"/>
        </w:tabs>
        <w:jc w:val="both"/>
        <w:rPr>
          <w:rFonts w:ascii="Times New Roman" w:hAnsi="Times New Roman" w:cs="Times New Roman"/>
          <w:sz w:val="16"/>
          <w:szCs w:val="16"/>
        </w:rPr>
      </w:pPr>
    </w:p>
    <w:p w:rsidR="003E5413" w:rsidRPr="00514F3B" w:rsidRDefault="003E5413" w:rsidP="00514F3B">
      <w:pPr>
        <w:tabs>
          <w:tab w:val="left" w:pos="426"/>
        </w:tabs>
        <w:jc w:val="both"/>
        <w:rPr>
          <w:rFonts w:ascii="Times New Roman" w:hAnsi="Times New Roman" w:cs="Times New Roman"/>
          <w:sz w:val="24"/>
          <w:szCs w:val="24"/>
        </w:rPr>
      </w:pPr>
    </w:p>
    <w:p w:rsidR="00E61793" w:rsidRPr="00514F3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403D54" w:rsidRPr="00514F3B">
        <w:rPr>
          <w:rFonts w:ascii="Times New Roman" w:hAnsi="Times New Roman" w:cs="Times New Roman"/>
          <w:sz w:val="24"/>
          <w:szCs w:val="24"/>
        </w:rPr>
        <w:t>In our opinion, t</w:t>
      </w:r>
      <w:r w:rsidR="00083A6B" w:rsidRPr="00514F3B">
        <w:rPr>
          <w:rFonts w:ascii="Times New Roman" w:hAnsi="Times New Roman" w:cs="Times New Roman"/>
          <w:sz w:val="24"/>
          <w:szCs w:val="24"/>
        </w:rPr>
        <w:t xml:space="preserve">he above noted outcomes are consistent with the design characteristics of the PBRF.  </w:t>
      </w:r>
      <w:r w:rsidR="00006294" w:rsidRPr="00514F3B">
        <w:rPr>
          <w:rFonts w:ascii="Times New Roman" w:hAnsi="Times New Roman" w:cs="Times New Roman"/>
          <w:sz w:val="24"/>
          <w:szCs w:val="24"/>
        </w:rPr>
        <w:t xml:space="preserve">The scheme </w:t>
      </w:r>
      <w:r w:rsidR="00E55C6A" w:rsidRPr="00514F3B">
        <w:rPr>
          <w:rFonts w:ascii="Times New Roman" w:hAnsi="Times New Roman" w:cs="Times New Roman"/>
          <w:sz w:val="24"/>
          <w:szCs w:val="24"/>
        </w:rPr>
        <w:t xml:space="preserve">is based on a productivity framework:  the unit of account is </w:t>
      </w:r>
      <w:r w:rsidR="00DF207B" w:rsidRPr="00514F3B">
        <w:rPr>
          <w:rFonts w:ascii="Times New Roman" w:hAnsi="Times New Roman" w:cs="Times New Roman"/>
          <w:sz w:val="24"/>
          <w:szCs w:val="24"/>
        </w:rPr>
        <w:t xml:space="preserve">research </w:t>
      </w:r>
      <w:r w:rsidR="00E55C6A" w:rsidRPr="00514F3B">
        <w:rPr>
          <w:rFonts w:ascii="Times New Roman" w:hAnsi="Times New Roman" w:cs="Times New Roman"/>
          <w:sz w:val="24"/>
          <w:szCs w:val="24"/>
        </w:rPr>
        <w:t xml:space="preserve">output per capita.  Therefore, even if </w:t>
      </w:r>
      <w:r w:rsidR="0006640A" w:rsidRPr="00514F3B">
        <w:rPr>
          <w:rFonts w:ascii="Times New Roman" w:hAnsi="Times New Roman" w:cs="Times New Roman"/>
          <w:sz w:val="24"/>
          <w:szCs w:val="24"/>
        </w:rPr>
        <w:t>the discipline assessment groups favour quality (however defined) over quantity</w:t>
      </w:r>
      <w:r w:rsidR="00E55C6A" w:rsidRPr="00514F3B">
        <w:rPr>
          <w:rFonts w:ascii="Times New Roman" w:hAnsi="Times New Roman" w:cs="Times New Roman"/>
          <w:sz w:val="24"/>
          <w:szCs w:val="24"/>
        </w:rPr>
        <w:t xml:space="preserve">, it is reasonable to expect that if everything else is equal, increased quantity will result in a higher score.  This seems to be the </w:t>
      </w:r>
      <w:r w:rsidR="0006640A" w:rsidRPr="00514F3B">
        <w:rPr>
          <w:rFonts w:ascii="Times New Roman" w:hAnsi="Times New Roman" w:cs="Times New Roman"/>
          <w:sz w:val="24"/>
          <w:szCs w:val="24"/>
        </w:rPr>
        <w:t xml:space="preserve">prevailing </w:t>
      </w:r>
      <w:r w:rsidR="00E55C6A" w:rsidRPr="00514F3B">
        <w:rPr>
          <w:rFonts w:ascii="Times New Roman" w:hAnsi="Times New Roman" w:cs="Times New Roman"/>
          <w:sz w:val="24"/>
          <w:szCs w:val="24"/>
        </w:rPr>
        <w:t xml:space="preserve">view of how the peer review </w:t>
      </w:r>
      <w:r w:rsidR="00FF1968">
        <w:rPr>
          <w:rFonts w:ascii="Times New Roman" w:hAnsi="Times New Roman" w:cs="Times New Roman"/>
          <w:sz w:val="24"/>
          <w:szCs w:val="24"/>
        </w:rPr>
        <w:t>‘</w:t>
      </w:r>
      <w:r w:rsidR="00E55C6A" w:rsidRPr="00514F3B">
        <w:rPr>
          <w:rFonts w:ascii="Times New Roman" w:hAnsi="Times New Roman" w:cs="Times New Roman"/>
          <w:sz w:val="24"/>
          <w:szCs w:val="24"/>
        </w:rPr>
        <w:t>black box</w:t>
      </w:r>
      <w:r w:rsidR="00FF1968">
        <w:rPr>
          <w:rFonts w:ascii="Times New Roman" w:hAnsi="Times New Roman" w:cs="Times New Roman"/>
          <w:sz w:val="24"/>
          <w:szCs w:val="24"/>
        </w:rPr>
        <w:t>’</w:t>
      </w:r>
      <w:r w:rsidR="00E55C6A" w:rsidRPr="00514F3B">
        <w:rPr>
          <w:rFonts w:ascii="Times New Roman" w:hAnsi="Times New Roman" w:cs="Times New Roman"/>
          <w:sz w:val="24"/>
          <w:szCs w:val="24"/>
        </w:rPr>
        <w:t xml:space="preserve"> operates.  It has led research managers </w:t>
      </w:r>
      <w:r w:rsidR="0006640A" w:rsidRPr="00514F3B">
        <w:rPr>
          <w:rFonts w:ascii="Times New Roman" w:hAnsi="Times New Roman" w:cs="Times New Roman"/>
          <w:sz w:val="24"/>
          <w:szCs w:val="24"/>
        </w:rPr>
        <w:t xml:space="preserve">to </w:t>
      </w:r>
      <w:r w:rsidR="00E55C6A" w:rsidRPr="00514F3B">
        <w:rPr>
          <w:rFonts w:ascii="Times New Roman" w:hAnsi="Times New Roman" w:cs="Times New Roman"/>
          <w:sz w:val="24"/>
          <w:szCs w:val="24"/>
        </w:rPr>
        <w:t>chang</w:t>
      </w:r>
      <w:r w:rsidR="0006640A" w:rsidRPr="00514F3B">
        <w:rPr>
          <w:rFonts w:ascii="Times New Roman" w:hAnsi="Times New Roman" w:cs="Times New Roman"/>
          <w:sz w:val="24"/>
          <w:szCs w:val="24"/>
        </w:rPr>
        <w:t>e</w:t>
      </w:r>
      <w:r w:rsidR="00E55C6A" w:rsidRPr="00514F3B">
        <w:rPr>
          <w:rFonts w:ascii="Times New Roman" w:hAnsi="Times New Roman" w:cs="Times New Roman"/>
          <w:sz w:val="24"/>
          <w:szCs w:val="24"/>
        </w:rPr>
        <w:t xml:space="preserve"> the composition of their work force to employ more </w:t>
      </w:r>
      <w:r w:rsidR="0006640A" w:rsidRPr="00514F3B">
        <w:rPr>
          <w:rFonts w:ascii="Times New Roman" w:hAnsi="Times New Roman" w:cs="Times New Roman"/>
          <w:sz w:val="24"/>
          <w:szCs w:val="24"/>
        </w:rPr>
        <w:t xml:space="preserve">PBRF-friendly </w:t>
      </w:r>
      <w:r w:rsidR="00E55C6A" w:rsidRPr="00514F3B">
        <w:rPr>
          <w:rFonts w:ascii="Times New Roman" w:hAnsi="Times New Roman" w:cs="Times New Roman"/>
          <w:sz w:val="24"/>
          <w:szCs w:val="24"/>
        </w:rPr>
        <w:t>researchers, and has also le</w:t>
      </w:r>
      <w:r w:rsidR="00C4234A" w:rsidRPr="00514F3B">
        <w:rPr>
          <w:rFonts w:ascii="Times New Roman" w:hAnsi="Times New Roman" w:cs="Times New Roman"/>
          <w:sz w:val="24"/>
          <w:szCs w:val="24"/>
        </w:rPr>
        <w:t>d</w:t>
      </w:r>
      <w:r w:rsidR="00E55C6A" w:rsidRPr="00514F3B">
        <w:rPr>
          <w:rFonts w:ascii="Times New Roman" w:hAnsi="Times New Roman" w:cs="Times New Roman"/>
          <w:sz w:val="24"/>
          <w:szCs w:val="24"/>
        </w:rPr>
        <w:t xml:space="preserve"> to efforts to improve the productivity of previously low or non-producers on the premise that some output is better than no output, and that some resea</w:t>
      </w:r>
      <w:r w:rsidR="00B9139A" w:rsidRPr="00514F3B">
        <w:rPr>
          <w:rFonts w:ascii="Times New Roman" w:hAnsi="Times New Roman" w:cs="Times New Roman"/>
          <w:sz w:val="24"/>
          <w:szCs w:val="24"/>
        </w:rPr>
        <w:t>r</w:t>
      </w:r>
      <w:r w:rsidR="00E55C6A" w:rsidRPr="00514F3B">
        <w:rPr>
          <w:rFonts w:ascii="Times New Roman" w:hAnsi="Times New Roman" w:cs="Times New Roman"/>
          <w:sz w:val="24"/>
          <w:szCs w:val="24"/>
        </w:rPr>
        <w:t>ch output invariably leads to</w:t>
      </w:r>
      <w:r w:rsidR="0006640A" w:rsidRPr="00514F3B">
        <w:rPr>
          <w:rFonts w:ascii="Times New Roman" w:hAnsi="Times New Roman" w:cs="Times New Roman"/>
          <w:sz w:val="24"/>
          <w:szCs w:val="24"/>
        </w:rPr>
        <w:t xml:space="preserve"> a movement away from the dreaded R classification.  </w:t>
      </w:r>
      <w:r w:rsidR="00E55C6A" w:rsidRPr="00514F3B">
        <w:rPr>
          <w:rFonts w:ascii="Times New Roman" w:hAnsi="Times New Roman" w:cs="Times New Roman"/>
          <w:sz w:val="24"/>
          <w:szCs w:val="24"/>
        </w:rPr>
        <w:t xml:space="preserve">  </w:t>
      </w:r>
    </w:p>
    <w:p w:rsidR="00083A6B" w:rsidRDefault="00514F3B" w:rsidP="00514F3B">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E61793" w:rsidRPr="00514F3B">
        <w:rPr>
          <w:rFonts w:ascii="Times New Roman" w:hAnsi="Times New Roman" w:cs="Times New Roman"/>
          <w:sz w:val="24"/>
          <w:szCs w:val="24"/>
        </w:rPr>
        <w:t>In conclusion, our findings suggest that the PBRF scheme has failed to achieve its intended effect (increased quality)</w:t>
      </w:r>
      <w:r w:rsidR="006F6D51" w:rsidRPr="00514F3B">
        <w:rPr>
          <w:rFonts w:ascii="Times New Roman" w:hAnsi="Times New Roman" w:cs="Times New Roman"/>
          <w:sz w:val="24"/>
          <w:szCs w:val="24"/>
        </w:rPr>
        <w:t>; however, it has generated</w:t>
      </w:r>
      <w:r w:rsidR="00C4234A" w:rsidRPr="00514F3B">
        <w:rPr>
          <w:rFonts w:ascii="Times New Roman" w:hAnsi="Times New Roman" w:cs="Times New Roman"/>
          <w:sz w:val="24"/>
          <w:szCs w:val="24"/>
        </w:rPr>
        <w:t xml:space="preserve"> a socially worthwhile </w:t>
      </w:r>
      <w:r w:rsidR="00E61793" w:rsidRPr="00514F3B">
        <w:rPr>
          <w:rFonts w:ascii="Times New Roman" w:hAnsi="Times New Roman" w:cs="Times New Roman"/>
          <w:sz w:val="24"/>
          <w:szCs w:val="24"/>
        </w:rPr>
        <w:lastRenderedPageBreak/>
        <w:t>unintended effect (increased productivity)</w:t>
      </w:r>
      <w:r w:rsidR="00C4234A" w:rsidRPr="00514F3B">
        <w:rPr>
          <w:rFonts w:ascii="Times New Roman" w:hAnsi="Times New Roman" w:cs="Times New Roman"/>
          <w:sz w:val="24"/>
          <w:szCs w:val="24"/>
        </w:rPr>
        <w:t>.</w:t>
      </w:r>
      <w:r w:rsidR="00181D4D" w:rsidRPr="00514F3B">
        <w:rPr>
          <w:rStyle w:val="FootnoteReference"/>
          <w:rFonts w:ascii="Times New Roman" w:hAnsi="Times New Roman" w:cs="Times New Roman"/>
          <w:sz w:val="24"/>
          <w:szCs w:val="24"/>
        </w:rPr>
        <w:footnoteReference w:id="15"/>
      </w:r>
      <w:r w:rsidR="00E61793" w:rsidRPr="00514F3B">
        <w:rPr>
          <w:rFonts w:ascii="Times New Roman" w:hAnsi="Times New Roman" w:cs="Times New Roman"/>
          <w:sz w:val="24"/>
          <w:szCs w:val="24"/>
        </w:rPr>
        <w:t xml:space="preserve"> </w:t>
      </w:r>
      <w:r w:rsidR="00BA49CD" w:rsidRPr="00514F3B">
        <w:rPr>
          <w:rFonts w:ascii="Times New Roman" w:hAnsi="Times New Roman" w:cs="Times New Roman"/>
          <w:sz w:val="24"/>
          <w:szCs w:val="24"/>
        </w:rPr>
        <w:t xml:space="preserve"> It should be noted that our results are derived from </w:t>
      </w:r>
      <w:r w:rsidR="00FE5BA2" w:rsidRPr="00514F3B">
        <w:rPr>
          <w:rFonts w:ascii="Times New Roman" w:hAnsi="Times New Roman" w:cs="Times New Roman"/>
          <w:sz w:val="24"/>
          <w:szCs w:val="24"/>
        </w:rPr>
        <w:t xml:space="preserve">a </w:t>
      </w:r>
      <w:r w:rsidR="00A94F47" w:rsidRPr="00514F3B">
        <w:rPr>
          <w:rFonts w:ascii="Times New Roman" w:hAnsi="Times New Roman" w:cs="Times New Roman"/>
          <w:sz w:val="24"/>
          <w:szCs w:val="24"/>
        </w:rPr>
        <w:t>comprehensive</w:t>
      </w:r>
      <w:r w:rsidR="00BA49CD" w:rsidRPr="00514F3B">
        <w:rPr>
          <w:rFonts w:ascii="Times New Roman" w:hAnsi="Times New Roman" w:cs="Times New Roman"/>
          <w:sz w:val="24"/>
          <w:szCs w:val="24"/>
        </w:rPr>
        <w:t xml:space="preserve"> database</w:t>
      </w:r>
      <w:r w:rsidR="00E9228D" w:rsidRPr="00514F3B">
        <w:rPr>
          <w:rFonts w:ascii="Times New Roman" w:hAnsi="Times New Roman" w:cs="Times New Roman"/>
          <w:sz w:val="24"/>
          <w:szCs w:val="24"/>
        </w:rPr>
        <w:t xml:space="preserve"> – 100 </w:t>
      </w:r>
      <w:r w:rsidR="002043CF" w:rsidRPr="00514F3B">
        <w:rPr>
          <w:rFonts w:ascii="Times New Roman" w:hAnsi="Times New Roman" w:cs="Times New Roman"/>
          <w:sz w:val="24"/>
          <w:szCs w:val="24"/>
        </w:rPr>
        <w:t>percent</w:t>
      </w:r>
      <w:r w:rsidR="00BA49CD" w:rsidRPr="00514F3B">
        <w:rPr>
          <w:rFonts w:ascii="Times New Roman" w:hAnsi="Times New Roman" w:cs="Times New Roman"/>
          <w:sz w:val="24"/>
          <w:szCs w:val="24"/>
        </w:rPr>
        <w:t xml:space="preserve"> coverage of academic staff at the three census dates and</w:t>
      </w:r>
      <w:r w:rsidR="00181D4D" w:rsidRPr="00514F3B">
        <w:rPr>
          <w:rFonts w:ascii="Times New Roman" w:hAnsi="Times New Roman" w:cs="Times New Roman"/>
          <w:sz w:val="24"/>
          <w:szCs w:val="24"/>
        </w:rPr>
        <w:t xml:space="preserve">, for each researcher, </w:t>
      </w:r>
      <w:r w:rsidR="00BA49CD" w:rsidRPr="00514F3B">
        <w:rPr>
          <w:rFonts w:ascii="Times New Roman" w:hAnsi="Times New Roman" w:cs="Times New Roman"/>
          <w:sz w:val="24"/>
          <w:szCs w:val="24"/>
        </w:rPr>
        <w:t xml:space="preserve">an assessment of all publications in </w:t>
      </w:r>
      <w:r w:rsidR="00BA49CD" w:rsidRPr="00056099">
        <w:rPr>
          <w:rFonts w:ascii="Times New Roman" w:hAnsi="Times New Roman" w:cs="Times New Roman"/>
          <w:i/>
          <w:sz w:val="24"/>
          <w:szCs w:val="24"/>
        </w:rPr>
        <w:t xml:space="preserve">EconLit </w:t>
      </w:r>
      <w:r w:rsidR="00BA49CD" w:rsidRPr="00514F3B">
        <w:rPr>
          <w:rFonts w:ascii="Times New Roman" w:hAnsi="Times New Roman" w:cs="Times New Roman"/>
          <w:sz w:val="24"/>
          <w:szCs w:val="24"/>
        </w:rPr>
        <w:t>listed journals</w:t>
      </w:r>
      <w:r w:rsidR="00C2322F" w:rsidRPr="00514F3B">
        <w:rPr>
          <w:rFonts w:ascii="Times New Roman" w:hAnsi="Times New Roman" w:cs="Times New Roman"/>
          <w:sz w:val="24"/>
          <w:szCs w:val="24"/>
        </w:rPr>
        <w:t xml:space="preserve">.  </w:t>
      </w:r>
      <w:r w:rsidR="00181D4D" w:rsidRPr="00514F3B">
        <w:rPr>
          <w:rFonts w:ascii="Times New Roman" w:hAnsi="Times New Roman" w:cs="Times New Roman"/>
          <w:sz w:val="24"/>
          <w:szCs w:val="24"/>
        </w:rPr>
        <w:t>H</w:t>
      </w:r>
      <w:r w:rsidR="00E61793" w:rsidRPr="00514F3B">
        <w:rPr>
          <w:rFonts w:ascii="Times New Roman" w:hAnsi="Times New Roman" w:cs="Times New Roman"/>
          <w:sz w:val="24"/>
          <w:szCs w:val="24"/>
        </w:rPr>
        <w:t>owever, we must qualify our findings</w:t>
      </w:r>
      <w:r w:rsidR="00181D4D" w:rsidRPr="00514F3B">
        <w:rPr>
          <w:rFonts w:ascii="Times New Roman" w:hAnsi="Times New Roman" w:cs="Times New Roman"/>
          <w:sz w:val="24"/>
          <w:szCs w:val="24"/>
        </w:rPr>
        <w:t xml:space="preserve"> in </w:t>
      </w:r>
      <w:r w:rsidR="00C2322F" w:rsidRPr="00514F3B">
        <w:rPr>
          <w:rFonts w:ascii="Times New Roman" w:hAnsi="Times New Roman" w:cs="Times New Roman"/>
          <w:sz w:val="24"/>
          <w:szCs w:val="24"/>
        </w:rPr>
        <w:t>three</w:t>
      </w:r>
      <w:r w:rsidR="00181D4D" w:rsidRPr="00514F3B">
        <w:rPr>
          <w:rFonts w:ascii="Times New Roman" w:hAnsi="Times New Roman" w:cs="Times New Roman"/>
          <w:sz w:val="24"/>
          <w:szCs w:val="24"/>
        </w:rPr>
        <w:t xml:space="preserve"> ways.   First, our work has undoubtedly been aided by the fact that New Zealand is a small country with only eight university-based economics departments.  </w:t>
      </w:r>
      <w:r w:rsidR="00E61793" w:rsidRPr="00514F3B">
        <w:rPr>
          <w:rFonts w:ascii="Times New Roman" w:hAnsi="Times New Roman" w:cs="Times New Roman"/>
          <w:sz w:val="24"/>
          <w:szCs w:val="24"/>
        </w:rPr>
        <w:t xml:space="preserve">  Second, </w:t>
      </w:r>
      <w:r w:rsidR="00181FF9" w:rsidRPr="00514F3B">
        <w:rPr>
          <w:rFonts w:ascii="Times New Roman" w:hAnsi="Times New Roman" w:cs="Times New Roman"/>
          <w:sz w:val="24"/>
          <w:szCs w:val="24"/>
        </w:rPr>
        <w:t>our work has addressed only one of forty-</w:t>
      </w:r>
      <w:r w:rsidR="0023680D" w:rsidRPr="00514F3B">
        <w:rPr>
          <w:rFonts w:ascii="Times New Roman" w:hAnsi="Times New Roman" w:cs="Times New Roman"/>
          <w:sz w:val="24"/>
          <w:szCs w:val="24"/>
        </w:rPr>
        <w:t>two</w:t>
      </w:r>
      <w:r w:rsidR="00181FF9" w:rsidRPr="00514F3B">
        <w:rPr>
          <w:rFonts w:ascii="Times New Roman" w:hAnsi="Times New Roman" w:cs="Times New Roman"/>
          <w:sz w:val="24"/>
          <w:szCs w:val="24"/>
        </w:rPr>
        <w:t xml:space="preserve"> discipline groups covered by PBRF, and it is </w:t>
      </w:r>
      <w:r w:rsidR="00FA37AF" w:rsidRPr="00514F3B">
        <w:rPr>
          <w:rFonts w:ascii="Times New Roman" w:hAnsi="Times New Roman" w:cs="Times New Roman"/>
          <w:sz w:val="24"/>
          <w:szCs w:val="24"/>
        </w:rPr>
        <w:t xml:space="preserve">possible </w:t>
      </w:r>
      <w:r w:rsidR="00181FF9" w:rsidRPr="00514F3B">
        <w:rPr>
          <w:rFonts w:ascii="Times New Roman" w:hAnsi="Times New Roman" w:cs="Times New Roman"/>
          <w:sz w:val="24"/>
          <w:szCs w:val="24"/>
        </w:rPr>
        <w:t xml:space="preserve">that economics may not be representative of all or even most disciplines.  </w:t>
      </w:r>
      <w:r w:rsidR="00E96C29" w:rsidRPr="00514F3B">
        <w:rPr>
          <w:rFonts w:ascii="Times New Roman" w:hAnsi="Times New Roman" w:cs="Times New Roman"/>
          <w:sz w:val="24"/>
          <w:szCs w:val="24"/>
        </w:rPr>
        <w:t xml:space="preserve">Finally, </w:t>
      </w:r>
      <w:r w:rsidR="00181FF9" w:rsidRPr="00514F3B">
        <w:rPr>
          <w:rFonts w:ascii="Times New Roman" w:hAnsi="Times New Roman" w:cs="Times New Roman"/>
          <w:sz w:val="24"/>
          <w:szCs w:val="24"/>
        </w:rPr>
        <w:t xml:space="preserve">our results </w:t>
      </w:r>
      <w:r w:rsidR="000854A4" w:rsidRPr="00514F3B">
        <w:rPr>
          <w:rFonts w:ascii="Times New Roman" w:hAnsi="Times New Roman" w:cs="Times New Roman"/>
          <w:sz w:val="24"/>
          <w:szCs w:val="24"/>
        </w:rPr>
        <w:t>are obviously scheme</w:t>
      </w:r>
      <w:r w:rsidR="00C4234A" w:rsidRPr="00514F3B">
        <w:rPr>
          <w:rFonts w:ascii="Times New Roman" w:hAnsi="Times New Roman" w:cs="Times New Roman"/>
          <w:sz w:val="24"/>
          <w:szCs w:val="24"/>
        </w:rPr>
        <w:t>-</w:t>
      </w:r>
      <w:r w:rsidR="000854A4" w:rsidRPr="00514F3B">
        <w:rPr>
          <w:rFonts w:ascii="Times New Roman" w:hAnsi="Times New Roman" w:cs="Times New Roman"/>
          <w:sz w:val="24"/>
          <w:szCs w:val="24"/>
        </w:rPr>
        <w:t xml:space="preserve">specific, and should not be interpreted to imply that research assessment schemes, in general, are biased against quality improvements.  </w:t>
      </w:r>
    </w:p>
    <w:p w:rsidR="003E5413" w:rsidRPr="00514F3B" w:rsidRDefault="003E5413" w:rsidP="00514F3B">
      <w:pPr>
        <w:tabs>
          <w:tab w:val="left" w:pos="426"/>
        </w:tabs>
        <w:jc w:val="both"/>
        <w:rPr>
          <w:rFonts w:ascii="Times New Roman" w:hAnsi="Times New Roman" w:cs="Times New Roman"/>
          <w:sz w:val="24"/>
          <w:szCs w:val="24"/>
        </w:rPr>
      </w:pPr>
    </w:p>
    <w:p w:rsidR="000A36F3" w:rsidRPr="00514F3B" w:rsidRDefault="00C87B17" w:rsidP="00514F3B">
      <w:pPr>
        <w:tabs>
          <w:tab w:val="left" w:pos="426"/>
        </w:tabs>
        <w:jc w:val="both"/>
        <w:rPr>
          <w:rFonts w:ascii="Times New Roman" w:hAnsi="Times New Roman" w:cs="Times New Roman"/>
          <w:b/>
          <w:sz w:val="24"/>
          <w:szCs w:val="24"/>
        </w:rPr>
      </w:pPr>
      <w:r w:rsidRPr="00514F3B">
        <w:rPr>
          <w:rFonts w:ascii="Times New Roman" w:hAnsi="Times New Roman" w:cs="Times New Roman"/>
          <w:b/>
          <w:sz w:val="24"/>
          <w:szCs w:val="24"/>
        </w:rPr>
        <w:t>References</w:t>
      </w:r>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Abelson, P. (2009).  </w:t>
      </w:r>
      <w:proofErr w:type="gramStart"/>
      <w:r w:rsidRPr="00514F3B">
        <w:rPr>
          <w:rFonts w:ascii="Times New Roman" w:hAnsi="Times New Roman" w:cs="Times New Roman"/>
        </w:rPr>
        <w:t>The Ranking of Economics Journals by the Economic Society of Australia.</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Economic Paper</w:t>
      </w:r>
      <w:r w:rsidR="004A631E" w:rsidRPr="00514F3B">
        <w:rPr>
          <w:rFonts w:ascii="Times New Roman" w:hAnsi="Times New Roman" w:cs="Times New Roman"/>
          <w:i/>
        </w:rPr>
        <w:t>s</w:t>
      </w:r>
      <w:r w:rsidRPr="00514F3B">
        <w:rPr>
          <w:rFonts w:ascii="Times New Roman" w:hAnsi="Times New Roman" w:cs="Times New Roman"/>
          <w:i/>
        </w:rPr>
        <w:t>.</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28(2): 176- 180.</w:t>
      </w:r>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Adams, J.  (2008). Strategic Review of the Performance-Based Research Fund: The Assessment Process. Evidence Ltd, Leeds, UK.</w:t>
      </w:r>
    </w:p>
    <w:p w:rsidR="009D7434" w:rsidRPr="00514F3B" w:rsidRDefault="009D7434"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Anderson, D.L</w:t>
      </w:r>
      <w:r w:rsidR="00530C5E" w:rsidRPr="00514F3B">
        <w:rPr>
          <w:rFonts w:ascii="Times New Roman" w:hAnsi="Times New Roman" w:cs="Times New Roman"/>
        </w:rPr>
        <w:t>, Smart, W.,</w:t>
      </w:r>
      <w:r w:rsidRPr="00514F3B">
        <w:rPr>
          <w:rFonts w:ascii="Times New Roman" w:hAnsi="Times New Roman" w:cs="Times New Roman"/>
        </w:rPr>
        <w:t xml:space="preserve"> and Tressler, J. (2013).  Evaluating Research- Peer Review Team Assessment and Journal based Bibliographic Measures: New Zealand PBRF Research Output Scores in 2006.  </w:t>
      </w:r>
      <w:r w:rsidRPr="00514F3B">
        <w:rPr>
          <w:rFonts w:ascii="Times New Roman" w:hAnsi="Times New Roman" w:cs="Times New Roman"/>
          <w:i/>
        </w:rPr>
        <w:t>New Zealand Economic Papers</w:t>
      </w:r>
      <w:r w:rsidRPr="00514F3B">
        <w:rPr>
          <w:rFonts w:ascii="Times New Roman" w:hAnsi="Times New Roman" w:cs="Times New Roman"/>
        </w:rPr>
        <w:t>, forthcoming.</w:t>
      </w:r>
    </w:p>
    <w:p w:rsidR="004A631E"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Anderson, D.L. and Tressler, J. (201</w:t>
      </w:r>
      <w:r w:rsidR="004A631E" w:rsidRPr="00514F3B">
        <w:rPr>
          <w:rFonts w:ascii="Times New Roman" w:hAnsi="Times New Roman" w:cs="Times New Roman"/>
        </w:rPr>
        <w:t>3</w:t>
      </w:r>
      <w:r w:rsidRPr="00514F3B">
        <w:rPr>
          <w:rFonts w:ascii="Times New Roman" w:hAnsi="Times New Roman" w:cs="Times New Roman"/>
        </w:rPr>
        <w:t>).</w:t>
      </w:r>
      <w:proofErr w:type="gramEnd"/>
      <w:r w:rsidRPr="00514F3B">
        <w:rPr>
          <w:rFonts w:ascii="Times New Roman" w:hAnsi="Times New Roman" w:cs="Times New Roman"/>
        </w:rPr>
        <w:t xml:space="preserve">  The Relevance of the ‘h’ and ‘g’ Index to Economics in the Context of a Nation- wide Research Evaluation Scheme: The New Zealand Case.  </w:t>
      </w:r>
      <w:r w:rsidR="004A631E" w:rsidRPr="00514F3B">
        <w:rPr>
          <w:rFonts w:ascii="Times New Roman" w:hAnsi="Times New Roman" w:cs="Times New Roman"/>
        </w:rPr>
        <w:t xml:space="preserve"> </w:t>
      </w:r>
      <w:r w:rsidR="004A631E" w:rsidRPr="00514F3B">
        <w:rPr>
          <w:rFonts w:ascii="Times New Roman" w:hAnsi="Times New Roman" w:cs="Times New Roman"/>
          <w:i/>
        </w:rPr>
        <w:t>Economic Papers</w:t>
      </w:r>
      <w:r w:rsidR="004A631E" w:rsidRPr="00514F3B">
        <w:rPr>
          <w:rFonts w:ascii="Times New Roman" w:hAnsi="Times New Roman" w:cs="Times New Roman"/>
        </w:rPr>
        <w:t>, forthcoming.</w:t>
      </w:r>
      <w:r w:rsidRPr="00514F3B">
        <w:rPr>
          <w:rFonts w:ascii="Times New Roman" w:hAnsi="Times New Roman" w:cs="Times New Roman"/>
        </w:rPr>
        <w:t xml:space="preserve"> </w:t>
      </w:r>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Bakker, L, Boston, J., Campbell, L., and Smyth, R. (2006), </w:t>
      </w:r>
      <w:proofErr w:type="gramStart"/>
      <w:r w:rsidRPr="00514F3B">
        <w:rPr>
          <w:rFonts w:ascii="Times New Roman" w:hAnsi="Times New Roman" w:cs="Times New Roman"/>
        </w:rPr>
        <w:t>eds</w:t>
      </w:r>
      <w:proofErr w:type="gramEnd"/>
      <w:r w:rsidRPr="00514F3B">
        <w:rPr>
          <w:rFonts w:ascii="Times New Roman" w:hAnsi="Times New Roman" w:cs="Times New Roman"/>
        </w:rPr>
        <w:t xml:space="preserve">.   Evaluating the Performance-based Research Fund: Framing the Debate.   </w:t>
      </w:r>
      <w:proofErr w:type="gramStart"/>
      <w:r w:rsidRPr="00514F3B">
        <w:rPr>
          <w:rFonts w:ascii="Times New Roman" w:hAnsi="Times New Roman" w:cs="Times New Roman"/>
        </w:rPr>
        <w:t>Institute of Policy Studies, Wellington, New Zealand.</w:t>
      </w:r>
      <w:proofErr w:type="gramEnd"/>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Bauwens, L. (1998).   </w:t>
      </w:r>
      <w:proofErr w:type="gramStart"/>
      <w:r w:rsidRPr="00514F3B">
        <w:rPr>
          <w:rFonts w:ascii="Times New Roman" w:hAnsi="Times New Roman" w:cs="Times New Roman"/>
        </w:rPr>
        <w:t>A New Method to Rank University Research and Researchers in Economics in Belgium.</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Unpublished paper, CORE, Universite Catholique de Louvain, Louvain, Belgium.</w:t>
      </w:r>
      <w:proofErr w:type="gramEnd"/>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Beed, C. and Beed, C. (1996).</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Measuring the quality of academic journals: the case of economics.</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Journal of Post Keynesian Economics.</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18(3): 369-396. </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Boston, J., Mischewski, B. and Smyth, R. (2005).</w:t>
      </w:r>
      <w:proofErr w:type="gramEnd"/>
      <w:r w:rsidRPr="00514F3B">
        <w:rPr>
          <w:rFonts w:ascii="Times New Roman" w:hAnsi="Times New Roman" w:cs="Times New Roman"/>
        </w:rPr>
        <w:t xml:space="preserve">   Performance-Based Research Fund- Implications </w:t>
      </w:r>
      <w:proofErr w:type="gramStart"/>
      <w:r w:rsidRPr="00514F3B">
        <w:rPr>
          <w:rFonts w:ascii="Times New Roman" w:hAnsi="Times New Roman" w:cs="Times New Roman"/>
        </w:rPr>
        <w:t>For</w:t>
      </w:r>
      <w:proofErr w:type="gramEnd"/>
      <w:r w:rsidRPr="00514F3B">
        <w:rPr>
          <w:rFonts w:ascii="Times New Roman" w:hAnsi="Times New Roman" w:cs="Times New Roman"/>
        </w:rPr>
        <w:t xml:space="preserve"> Research In The Social Sciences and Social Policy.  </w:t>
      </w:r>
      <w:proofErr w:type="gramStart"/>
      <w:r w:rsidRPr="00514F3B">
        <w:rPr>
          <w:rFonts w:ascii="Times New Roman" w:hAnsi="Times New Roman" w:cs="Times New Roman"/>
          <w:i/>
        </w:rPr>
        <w:t>Social Policy Journal of New Zealand.</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Issue 24: 55-84.</w:t>
      </w:r>
    </w:p>
    <w:p w:rsidR="00C455A6" w:rsidRPr="00514F3B" w:rsidRDefault="00C455A6"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Cinlar, N. and J. Dowse (2008).  </w:t>
      </w:r>
      <w:proofErr w:type="gramStart"/>
      <w:r w:rsidRPr="00514F3B">
        <w:rPr>
          <w:rFonts w:ascii="Times New Roman" w:hAnsi="Times New Roman" w:cs="Times New Roman"/>
        </w:rPr>
        <w:t>Staffing and Performance Trends in Research Subject Areas.</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New Zealand Tertiary Education Commission</w:t>
      </w:r>
      <w:r w:rsidR="00071E1B" w:rsidRPr="00514F3B">
        <w:rPr>
          <w:rFonts w:ascii="Times New Roman" w:hAnsi="Times New Roman" w:cs="Times New Roman"/>
        </w:rPr>
        <w:t>, Wellington, New Zealand</w:t>
      </w:r>
      <w:r w:rsidRPr="00514F3B">
        <w:rPr>
          <w:rFonts w:ascii="Times New Roman" w:hAnsi="Times New Roman" w:cs="Times New Roman"/>
        </w:rPr>
        <w:t>.</w:t>
      </w:r>
      <w:proofErr w:type="gramEnd"/>
    </w:p>
    <w:p w:rsidR="0041554C" w:rsidRPr="00514F3B" w:rsidRDefault="0041554C" w:rsidP="00514F3B">
      <w:pPr>
        <w:tabs>
          <w:tab w:val="left" w:pos="426"/>
        </w:tabs>
        <w:spacing w:line="240" w:lineRule="auto"/>
        <w:ind w:left="426" w:hanging="426"/>
        <w:jc w:val="both"/>
        <w:rPr>
          <w:rFonts w:ascii="Times New Roman" w:hAnsi="Times New Roman" w:cs="Times New Roman"/>
          <w:lang w:val="fr-FR"/>
        </w:rPr>
      </w:pPr>
      <w:proofErr w:type="gramStart"/>
      <w:r w:rsidRPr="00514F3B">
        <w:rPr>
          <w:rFonts w:ascii="Times New Roman" w:hAnsi="Times New Roman" w:cs="Times New Roman"/>
        </w:rPr>
        <w:t>Combes, P.P. and Linnemer, L. (2010).</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Inferring Missing Citations: A Quantitative Multi-Criteria Ranking of all Journals in Economics.</w:t>
      </w:r>
      <w:proofErr w:type="gramEnd"/>
      <w:r w:rsidRPr="00514F3B">
        <w:rPr>
          <w:rFonts w:ascii="Times New Roman" w:hAnsi="Times New Roman" w:cs="Times New Roman"/>
        </w:rPr>
        <w:t xml:space="preserve">   </w:t>
      </w:r>
      <w:r w:rsidRPr="00514F3B">
        <w:rPr>
          <w:rFonts w:ascii="Times New Roman" w:hAnsi="Times New Roman" w:cs="Times New Roman"/>
          <w:lang w:val="fr-FR"/>
        </w:rPr>
        <w:t>Groupement de Rechereche en Economie Quantitative d’Aix Marseille (GREQAMJ), document de Travail, no 2010-28.</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lastRenderedPageBreak/>
        <w:t>Coupe, T. (2003).</w:t>
      </w:r>
      <w:proofErr w:type="gramEnd"/>
      <w:r w:rsidRPr="00514F3B">
        <w:rPr>
          <w:rFonts w:ascii="Times New Roman" w:hAnsi="Times New Roman" w:cs="Times New Roman"/>
        </w:rPr>
        <w:t xml:space="preserve">   Revealed Performances: Worldwide Rankings of Economists and Economics Departments, 1990-2000.  </w:t>
      </w:r>
      <w:proofErr w:type="gramStart"/>
      <w:r w:rsidRPr="00514F3B">
        <w:rPr>
          <w:rFonts w:ascii="Times New Roman" w:hAnsi="Times New Roman" w:cs="Times New Roman"/>
          <w:i/>
        </w:rPr>
        <w:t>Journal of the European Economic Association.</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1(6): 1309-1345.</w:t>
      </w:r>
    </w:p>
    <w:p w:rsidR="00EC548F" w:rsidRPr="00514F3B" w:rsidRDefault="00EC548F"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Cupples, J. and Pawson, E. (2012).</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Giving an account of oneself:  The PBRF and the neoliberal university.</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New Zealand Geographer</w:t>
      </w:r>
      <w:r w:rsidRPr="00514F3B">
        <w:rPr>
          <w:rFonts w:ascii="Times New Roman" w:hAnsi="Times New Roman" w:cs="Times New Roman"/>
        </w:rPr>
        <w:t>.</w:t>
      </w:r>
      <w:proofErr w:type="gramEnd"/>
      <w:r w:rsidRPr="00514F3B">
        <w:rPr>
          <w:rFonts w:ascii="Times New Roman" w:hAnsi="Times New Roman" w:cs="Times New Roman"/>
        </w:rPr>
        <w:t xml:space="preserve">  68: 14-23.</w:t>
      </w:r>
    </w:p>
    <w:p w:rsidR="0041554C" w:rsidRPr="00514F3B" w:rsidRDefault="0041554C" w:rsidP="008E4CC0">
      <w:pPr>
        <w:tabs>
          <w:tab w:val="left" w:pos="426"/>
        </w:tabs>
        <w:spacing w:line="240" w:lineRule="auto"/>
        <w:ind w:left="426" w:hanging="426"/>
        <w:rPr>
          <w:rFonts w:ascii="Times New Roman" w:hAnsi="Times New Roman" w:cs="Times New Roman"/>
        </w:rPr>
      </w:pPr>
      <w:r w:rsidRPr="00514F3B">
        <w:rPr>
          <w:rFonts w:ascii="Times New Roman" w:hAnsi="Times New Roman" w:cs="Times New Roman"/>
        </w:rPr>
        <w:t xml:space="preserve">Duncan, G. (2007).  What’s wrong with the PBRF?  </w:t>
      </w:r>
      <w:proofErr w:type="gramStart"/>
      <w:r w:rsidRPr="00514F3B">
        <w:rPr>
          <w:rFonts w:ascii="Times New Roman" w:hAnsi="Times New Roman" w:cs="Times New Roman"/>
          <w:i/>
        </w:rPr>
        <w:t>Politics of Happines.</w:t>
      </w:r>
      <w:proofErr w:type="gramEnd"/>
      <w:r w:rsidRPr="00514F3B">
        <w:rPr>
          <w:rFonts w:ascii="Times New Roman" w:hAnsi="Times New Roman" w:cs="Times New Roman"/>
        </w:rPr>
        <w:t xml:space="preserve"> </w:t>
      </w:r>
      <w:hyperlink r:id="rId10" w:history="1">
        <w:r w:rsidRPr="00514F3B">
          <w:rPr>
            <w:rStyle w:val="Hyperlink"/>
            <w:rFonts w:ascii="Times New Roman" w:hAnsi="Times New Roman" w:cs="Times New Roman"/>
          </w:rPr>
          <w:t>http://grantduncan.blogspot.com</w:t>
        </w:r>
      </w:hyperlink>
      <w:r w:rsidRPr="00514F3B">
        <w:rPr>
          <w:rFonts w:ascii="Times New Roman" w:hAnsi="Times New Roman" w:cs="Times New Roman"/>
        </w:rPr>
        <w:t>, 16 August.</w:t>
      </w:r>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Garfield, E. (1972).  </w:t>
      </w:r>
      <w:proofErr w:type="gramStart"/>
      <w:r w:rsidRPr="00514F3B">
        <w:rPr>
          <w:rFonts w:ascii="Times New Roman" w:hAnsi="Times New Roman" w:cs="Times New Roman"/>
        </w:rPr>
        <w:t>Citation Analysis as a Tool in Journal Evaluation.</w:t>
      </w:r>
      <w:proofErr w:type="gramEnd"/>
      <w:r w:rsidRPr="00514F3B">
        <w:rPr>
          <w:rFonts w:ascii="Times New Roman" w:hAnsi="Times New Roman" w:cs="Times New Roman"/>
        </w:rPr>
        <w:t xml:space="preserve">   </w:t>
      </w:r>
      <w:r w:rsidRPr="00514F3B">
        <w:rPr>
          <w:rFonts w:ascii="Times New Roman" w:hAnsi="Times New Roman" w:cs="Times New Roman"/>
          <w:i/>
        </w:rPr>
        <w:t>Science</w:t>
      </w:r>
      <w:r w:rsidRPr="00514F3B">
        <w:rPr>
          <w:rFonts w:ascii="Times New Roman" w:hAnsi="Times New Roman" w:cs="Times New Roman"/>
        </w:rPr>
        <w:t>, 178(4060): 471-479.</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Gibson, J., Anderson, D.L. and Tressler, J. (2008).</w:t>
      </w:r>
      <w:proofErr w:type="gramEnd"/>
      <w:r w:rsidRPr="00514F3B">
        <w:rPr>
          <w:rFonts w:ascii="Times New Roman" w:hAnsi="Times New Roman" w:cs="Times New Roman"/>
        </w:rPr>
        <w:t xml:space="preserve">  Do Research Assessment Exercises Raise the Returns to Publication Quality?  </w:t>
      </w:r>
      <w:proofErr w:type="gramStart"/>
      <w:r w:rsidRPr="00514F3B">
        <w:rPr>
          <w:rFonts w:ascii="Times New Roman" w:hAnsi="Times New Roman" w:cs="Times New Roman"/>
        </w:rPr>
        <w:t>Evidence from the New Zealand Market for Academic Economists.</w:t>
      </w:r>
      <w:proofErr w:type="gramEnd"/>
      <w:r w:rsidRPr="00514F3B">
        <w:rPr>
          <w:rFonts w:ascii="Times New Roman" w:hAnsi="Times New Roman" w:cs="Times New Roman"/>
        </w:rPr>
        <w:t xml:space="preserve">  Working Paper 08/11, University of Waikato, Hamilton, New Zealand</w:t>
      </w:r>
      <w:proofErr w:type="gramStart"/>
      <w:r w:rsidRPr="00514F3B">
        <w:rPr>
          <w:rFonts w:ascii="Times New Roman" w:hAnsi="Times New Roman" w:cs="Times New Roman"/>
        </w:rPr>
        <w:t>,  www.RePEc.org</w:t>
      </w:r>
      <w:proofErr w:type="gramEnd"/>
      <w:r w:rsidRPr="00514F3B">
        <w:rPr>
          <w:rFonts w:ascii="Times New Roman" w:hAnsi="Times New Roman" w:cs="Times New Roman"/>
        </w:rPr>
        <w:t>.</w:t>
      </w:r>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Gibson, J. (2000).  </w:t>
      </w:r>
      <w:proofErr w:type="gramStart"/>
      <w:r w:rsidRPr="00514F3B">
        <w:rPr>
          <w:rFonts w:ascii="Times New Roman" w:hAnsi="Times New Roman" w:cs="Times New Roman"/>
        </w:rPr>
        <w:t>Research Productivity in New Zealand University Economics Departments; Comment and Update.</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New Zealand Economic Papers.</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34(1): 73-88.</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Goldfinch, S. (2003).</w:t>
      </w:r>
      <w:proofErr w:type="gramEnd"/>
      <w:r w:rsidRPr="00514F3B">
        <w:rPr>
          <w:rFonts w:ascii="Times New Roman" w:hAnsi="Times New Roman" w:cs="Times New Roman"/>
        </w:rPr>
        <w:t xml:space="preserve">  Investing in Excellence?  The Performance-based Research </w:t>
      </w:r>
      <w:proofErr w:type="gramStart"/>
      <w:r w:rsidRPr="00514F3B">
        <w:rPr>
          <w:rFonts w:ascii="Times New Roman" w:hAnsi="Times New Roman" w:cs="Times New Roman"/>
        </w:rPr>
        <w:t>Fund  And</w:t>
      </w:r>
      <w:proofErr w:type="gramEnd"/>
      <w:r w:rsidRPr="00514F3B">
        <w:rPr>
          <w:rFonts w:ascii="Times New Roman" w:hAnsi="Times New Roman" w:cs="Times New Roman"/>
        </w:rPr>
        <w:t xml:space="preserve"> Its Implications For Political Science Departments in New Zealand.  </w:t>
      </w:r>
      <w:proofErr w:type="gramStart"/>
      <w:r w:rsidRPr="00514F3B">
        <w:rPr>
          <w:rFonts w:ascii="Times New Roman" w:hAnsi="Times New Roman" w:cs="Times New Roman"/>
          <w:i/>
        </w:rPr>
        <w:t>Political Science</w:t>
      </w:r>
      <w:r w:rsidRPr="00514F3B">
        <w:rPr>
          <w:rFonts w:ascii="Times New Roman" w:hAnsi="Times New Roman" w:cs="Times New Roman"/>
        </w:rPr>
        <w:t>.</w:t>
      </w:r>
      <w:proofErr w:type="gramEnd"/>
      <w:r w:rsidRPr="00514F3B">
        <w:rPr>
          <w:rFonts w:ascii="Times New Roman" w:hAnsi="Times New Roman" w:cs="Times New Roman"/>
        </w:rPr>
        <w:t xml:space="preserve">   55(1): </w:t>
      </w:r>
      <w:r w:rsidR="008E4CC0">
        <w:rPr>
          <w:rFonts w:ascii="Times New Roman" w:hAnsi="Times New Roman" w:cs="Times New Roman"/>
        </w:rPr>
        <w:br/>
      </w:r>
      <w:r w:rsidRPr="00514F3B">
        <w:rPr>
          <w:rFonts w:ascii="Times New Roman" w:hAnsi="Times New Roman" w:cs="Times New Roman"/>
        </w:rPr>
        <w:t>39-53.</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Hazledine, T. and Kurniawan, C. (2005).</w:t>
      </w:r>
      <w:proofErr w:type="gramEnd"/>
      <w:r w:rsidRPr="00514F3B">
        <w:rPr>
          <w:rFonts w:ascii="Times New Roman" w:hAnsi="Times New Roman" w:cs="Times New Roman"/>
        </w:rPr>
        <w:t xml:space="preserve">  Efficiency of New Zealand Universities and the Impact of the Performance Based Research Fund.   </w:t>
      </w:r>
      <w:proofErr w:type="gramStart"/>
      <w:r w:rsidRPr="00514F3B">
        <w:rPr>
          <w:rFonts w:ascii="Times New Roman" w:hAnsi="Times New Roman" w:cs="Times New Roman"/>
          <w:i/>
        </w:rPr>
        <w:t>New Zealand Economic Papers.</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39(2): 153-179. </w:t>
      </w:r>
    </w:p>
    <w:p w:rsidR="005E4DBC" w:rsidRPr="00514F3B" w:rsidRDefault="005E4DB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Hodder, A.P.W. and Hodder, C. (2010).</w:t>
      </w:r>
      <w:proofErr w:type="gramEnd"/>
      <w:r w:rsidRPr="00514F3B">
        <w:rPr>
          <w:rFonts w:ascii="Times New Roman" w:hAnsi="Times New Roman" w:cs="Times New Roman"/>
        </w:rPr>
        <w:t xml:space="preserve">  Research Culture and New Zealand’s performance-based research fund: some insights from bibliographic compilations of research outputs.  </w:t>
      </w:r>
      <w:proofErr w:type="gramStart"/>
      <w:r w:rsidRPr="00514F3B">
        <w:rPr>
          <w:rFonts w:ascii="Times New Roman" w:hAnsi="Times New Roman" w:cs="Times New Roman"/>
          <w:i/>
        </w:rPr>
        <w:t>Scientometrics</w:t>
      </w:r>
      <w:r w:rsidRPr="00514F3B">
        <w:rPr>
          <w:rFonts w:ascii="Times New Roman" w:hAnsi="Times New Roman" w:cs="Times New Roman"/>
        </w:rPr>
        <w:t>.</w:t>
      </w:r>
      <w:proofErr w:type="gramEnd"/>
      <w:r w:rsidRPr="00514F3B">
        <w:rPr>
          <w:rFonts w:ascii="Times New Roman" w:hAnsi="Times New Roman" w:cs="Times New Roman"/>
        </w:rPr>
        <w:t xml:space="preserve">  84: 887-901.</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Kalaitzidakis, P., Mamuneas, T. and Stengos, T. (2011).</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An Updated Ranking of Academic Journals in Economics.</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Canadian Journal of Economics.</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44(4): 1525-1538. </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Kalaitzidakis, P., Mamuneas, T. and Stengos, T. (2010).</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An Updated Ranking of Academic Journals in Economics.</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Working Paper 9/2010, Economics Department, University of Guelph, Guelph, Canada.</w:t>
      </w:r>
      <w:proofErr w:type="gramEnd"/>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Kalaitzidakis, P., Mamuneas, T. and Stengos, T. (2003).</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Ranking of Academic Journals and Institutions in Economics.</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Journal of the European Economic Association.</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1(6): 1346-1366.</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Kodrzycki, Y. and Yu, P. (2006).</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New Approaches to Ranking Economics Journals</w:t>
      </w:r>
      <w:r w:rsidRPr="00514F3B">
        <w:rPr>
          <w:rFonts w:ascii="Times New Roman" w:hAnsi="Times New Roman" w:cs="Times New Roman"/>
          <w:i/>
        </w:rPr>
        <w:t>.</w:t>
      </w:r>
      <w:proofErr w:type="gramEnd"/>
      <w:r w:rsidRPr="00514F3B">
        <w:rPr>
          <w:rFonts w:ascii="Times New Roman" w:hAnsi="Times New Roman" w:cs="Times New Roman"/>
          <w:i/>
        </w:rPr>
        <w:t xml:space="preserve">   B.E. Journal of Economic Analysis and Policy: Contributions to Economic </w:t>
      </w:r>
      <w:r w:rsidR="00071E1B" w:rsidRPr="00514F3B">
        <w:rPr>
          <w:rFonts w:ascii="Times New Roman" w:hAnsi="Times New Roman" w:cs="Times New Roman"/>
          <w:i/>
        </w:rPr>
        <w:t>A</w:t>
      </w:r>
      <w:r w:rsidRPr="00514F3B">
        <w:rPr>
          <w:rFonts w:ascii="Times New Roman" w:hAnsi="Times New Roman" w:cs="Times New Roman"/>
          <w:i/>
        </w:rPr>
        <w:t xml:space="preserve">nalysis and Policy.  </w:t>
      </w:r>
      <w:r w:rsidRPr="00514F3B">
        <w:rPr>
          <w:rFonts w:ascii="Times New Roman" w:hAnsi="Times New Roman" w:cs="Times New Roman"/>
        </w:rPr>
        <w:t xml:space="preserve"> 5(1): Article 24.</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Laband, D. and Piette, M. (1994).</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The Relative Impact of Economics Journals.</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Journal of Economic Literature</w:t>
      </w:r>
      <w:r w:rsidRPr="00514F3B">
        <w:rPr>
          <w:rFonts w:ascii="Times New Roman" w:hAnsi="Times New Roman" w:cs="Times New Roman"/>
        </w:rPr>
        <w:t>.</w:t>
      </w:r>
      <w:proofErr w:type="gramEnd"/>
      <w:r w:rsidRPr="00514F3B">
        <w:rPr>
          <w:rFonts w:ascii="Times New Roman" w:hAnsi="Times New Roman" w:cs="Times New Roman"/>
        </w:rPr>
        <w:t xml:space="preserve">   3(2): 640-666.</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Liebowitz, S.J. and Palmer, J.P. (1984).</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Assessing the Relative Impact of Economics Journals.</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Journal of Economic Literature.</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22(1): 77-88.</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Macri, J and Sinha, D. (2006).</w:t>
      </w:r>
      <w:proofErr w:type="gramEnd"/>
      <w:r w:rsidRPr="00514F3B">
        <w:rPr>
          <w:rFonts w:ascii="Times New Roman" w:hAnsi="Times New Roman" w:cs="Times New Roman"/>
        </w:rPr>
        <w:t xml:space="preserve">   Rankings Methodology for International Comparisons of Institutions and Individuals: An Application to Economics in Australia and New Zealand.   </w:t>
      </w:r>
      <w:proofErr w:type="gramStart"/>
      <w:r w:rsidRPr="00514F3B">
        <w:rPr>
          <w:rFonts w:ascii="Times New Roman" w:hAnsi="Times New Roman" w:cs="Times New Roman"/>
          <w:i/>
        </w:rPr>
        <w:t>Journal of Economic Survey.</w:t>
      </w:r>
      <w:proofErr w:type="gramEnd"/>
      <w:r w:rsidRPr="00514F3B">
        <w:rPr>
          <w:rFonts w:ascii="Times New Roman" w:hAnsi="Times New Roman" w:cs="Times New Roman"/>
        </w:rPr>
        <w:t xml:space="preserve"> 20(1): 111-156.</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Mason, P., Steagall, J. and Fabritius, M. (1997).</w:t>
      </w:r>
      <w:proofErr w:type="gramEnd"/>
      <w:r w:rsidRPr="00514F3B">
        <w:rPr>
          <w:rFonts w:ascii="Times New Roman" w:hAnsi="Times New Roman" w:cs="Times New Roman"/>
        </w:rPr>
        <w:t xml:space="preserve">  Economics Journal Rankings by Type of School: Perceptions versus Citations.   </w:t>
      </w:r>
      <w:proofErr w:type="gramStart"/>
      <w:r w:rsidRPr="00514F3B">
        <w:rPr>
          <w:rFonts w:ascii="Times New Roman" w:hAnsi="Times New Roman" w:cs="Times New Roman"/>
          <w:i/>
        </w:rPr>
        <w:t>Quarterly Journal of Business and Economics.</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36(1): 69-79.</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lastRenderedPageBreak/>
        <w:t>Mathews, M.R. and Sangster, A. (2009).</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Exporting the RAE: adoption of similar practices in Australia and New Zealand.</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Asian Review of Accounting.</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17(2): 115-135.</w:t>
      </w:r>
    </w:p>
    <w:p w:rsidR="00D709FA" w:rsidRPr="00514F3B" w:rsidRDefault="00D709FA"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Middleton, S. (2009).  Becoming PBRF-ABLE: Research Assessment and Education in New Zealand.  In</w:t>
      </w:r>
      <w:r w:rsidR="00F84697" w:rsidRPr="00514F3B">
        <w:rPr>
          <w:rFonts w:ascii="Times New Roman" w:hAnsi="Times New Roman" w:cs="Times New Roman"/>
        </w:rPr>
        <w:t xml:space="preserve">: </w:t>
      </w:r>
      <w:r w:rsidRPr="00514F3B">
        <w:rPr>
          <w:rFonts w:ascii="Times New Roman" w:hAnsi="Times New Roman" w:cs="Times New Roman"/>
        </w:rPr>
        <w:t xml:space="preserve"> Besley</w:t>
      </w:r>
      <w:r w:rsidR="00F84697" w:rsidRPr="00514F3B">
        <w:rPr>
          <w:rFonts w:ascii="Times New Roman" w:hAnsi="Times New Roman" w:cs="Times New Roman"/>
        </w:rPr>
        <w:t xml:space="preserve">, T., </w:t>
      </w:r>
      <w:proofErr w:type="gramStart"/>
      <w:r w:rsidR="00F84697" w:rsidRPr="00514F3B">
        <w:rPr>
          <w:rFonts w:ascii="Times New Roman" w:hAnsi="Times New Roman" w:cs="Times New Roman"/>
        </w:rPr>
        <w:t>ed</w:t>
      </w:r>
      <w:proofErr w:type="gramEnd"/>
      <w:r w:rsidR="00F84697" w:rsidRPr="00514F3B">
        <w:rPr>
          <w:rFonts w:ascii="Times New Roman" w:hAnsi="Times New Roman" w:cs="Times New Roman"/>
        </w:rPr>
        <w:t xml:space="preserve">.  </w:t>
      </w:r>
      <w:proofErr w:type="gramStart"/>
      <w:r w:rsidRPr="00514F3B">
        <w:rPr>
          <w:rFonts w:ascii="Times New Roman" w:hAnsi="Times New Roman" w:cs="Times New Roman"/>
        </w:rPr>
        <w:t>Assessing the Quality of Education</w:t>
      </w:r>
      <w:r w:rsidR="00F84697" w:rsidRPr="00514F3B">
        <w:rPr>
          <w:rFonts w:ascii="Times New Roman" w:hAnsi="Times New Roman" w:cs="Times New Roman"/>
        </w:rPr>
        <w:t>al Research in Higher Education: International Perspectives.</w:t>
      </w:r>
      <w:proofErr w:type="gramEnd"/>
      <w:r w:rsidR="00F84697" w:rsidRPr="00514F3B">
        <w:rPr>
          <w:rFonts w:ascii="Times New Roman" w:hAnsi="Times New Roman" w:cs="Times New Roman"/>
        </w:rPr>
        <w:t xml:space="preserve">  Sense Publishers, Rotterdam, pp. 193-208.</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OECD (2010).</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Performance-based Funding for Public Research in Tertiary Education Institutions.</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Workshop Proceedings.</w:t>
      </w:r>
      <w:proofErr w:type="gramEnd"/>
      <w:r w:rsidRPr="00514F3B">
        <w:rPr>
          <w:rFonts w:ascii="Times New Roman" w:hAnsi="Times New Roman" w:cs="Times New Roman"/>
        </w:rPr>
        <w:t xml:space="preserve">  OECD Publishing, </w:t>
      </w:r>
      <w:hyperlink r:id="rId11" w:history="1">
        <w:r w:rsidRPr="00514F3B">
          <w:rPr>
            <w:rStyle w:val="Hyperlink"/>
            <w:rFonts w:ascii="Times New Roman" w:hAnsi="Times New Roman" w:cs="Times New Roman"/>
          </w:rPr>
          <w:t>http://dx.doi.org/10.1787/9789264094611-en</w:t>
        </w:r>
      </w:hyperlink>
      <w:r w:rsidRPr="00514F3B">
        <w:rPr>
          <w:rFonts w:ascii="Times New Roman" w:hAnsi="Times New Roman" w:cs="Times New Roman"/>
        </w:rPr>
        <w:t xml:space="preserve">. </w:t>
      </w:r>
    </w:p>
    <w:p w:rsidR="0041554C" w:rsidRPr="00514F3B" w:rsidRDefault="0041554C"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Smart, W. (2009</w:t>
      </w:r>
      <w:r w:rsidR="00C455A6" w:rsidRPr="00514F3B">
        <w:rPr>
          <w:rFonts w:ascii="Times New Roman" w:hAnsi="Times New Roman" w:cs="Times New Roman"/>
        </w:rPr>
        <w:t>a</w:t>
      </w:r>
      <w:r w:rsidRPr="00514F3B">
        <w:rPr>
          <w:rFonts w:ascii="Times New Roman" w:hAnsi="Times New Roman" w:cs="Times New Roman"/>
        </w:rPr>
        <w:t xml:space="preserve">).  </w:t>
      </w:r>
      <w:proofErr w:type="gramStart"/>
      <w:r w:rsidRPr="00514F3B">
        <w:rPr>
          <w:rFonts w:ascii="Times New Roman" w:hAnsi="Times New Roman" w:cs="Times New Roman"/>
        </w:rPr>
        <w:t xml:space="preserve">The Impact </w:t>
      </w:r>
      <w:r w:rsidR="00FD50CA" w:rsidRPr="00514F3B">
        <w:rPr>
          <w:rFonts w:ascii="Times New Roman" w:hAnsi="Times New Roman" w:cs="Times New Roman"/>
        </w:rPr>
        <w:t>of</w:t>
      </w:r>
      <w:r w:rsidRPr="00514F3B">
        <w:rPr>
          <w:rFonts w:ascii="Times New Roman" w:hAnsi="Times New Roman" w:cs="Times New Roman"/>
        </w:rPr>
        <w:t xml:space="preserve"> </w:t>
      </w:r>
      <w:r w:rsidR="00FD50CA" w:rsidRPr="00514F3B">
        <w:rPr>
          <w:rFonts w:ascii="Times New Roman" w:hAnsi="Times New Roman" w:cs="Times New Roman"/>
        </w:rPr>
        <w:t>the</w:t>
      </w:r>
      <w:r w:rsidRPr="00514F3B">
        <w:rPr>
          <w:rFonts w:ascii="Times New Roman" w:hAnsi="Times New Roman" w:cs="Times New Roman"/>
        </w:rPr>
        <w:t xml:space="preserve"> Performance-Based Research Fund </w:t>
      </w:r>
      <w:r w:rsidR="00FD50CA" w:rsidRPr="00514F3B">
        <w:rPr>
          <w:rFonts w:ascii="Times New Roman" w:hAnsi="Times New Roman" w:cs="Times New Roman"/>
        </w:rPr>
        <w:t>on</w:t>
      </w:r>
      <w:r w:rsidRPr="00514F3B">
        <w:rPr>
          <w:rFonts w:ascii="Times New Roman" w:hAnsi="Times New Roman" w:cs="Times New Roman"/>
        </w:rPr>
        <w:t xml:space="preserve"> </w:t>
      </w:r>
      <w:r w:rsidR="00FD50CA" w:rsidRPr="00514F3B">
        <w:rPr>
          <w:rFonts w:ascii="Times New Roman" w:hAnsi="Times New Roman" w:cs="Times New Roman"/>
        </w:rPr>
        <w:t>the</w:t>
      </w:r>
      <w:r w:rsidRPr="00514F3B">
        <w:rPr>
          <w:rFonts w:ascii="Times New Roman" w:hAnsi="Times New Roman" w:cs="Times New Roman"/>
        </w:rPr>
        <w:t xml:space="preserve"> Research Productivity of New Zealand Universities.</w:t>
      </w:r>
      <w:proofErr w:type="gramEnd"/>
      <w:r w:rsidRPr="00514F3B">
        <w:rPr>
          <w:rFonts w:ascii="Times New Roman" w:hAnsi="Times New Roman" w:cs="Times New Roman"/>
        </w:rPr>
        <w:t xml:space="preserve">   </w:t>
      </w:r>
      <w:proofErr w:type="gramStart"/>
      <w:r w:rsidRPr="00514F3B">
        <w:rPr>
          <w:rFonts w:ascii="Times New Roman" w:hAnsi="Times New Roman" w:cs="Times New Roman"/>
          <w:i/>
        </w:rPr>
        <w:t>Social Policy Journal of New Zealand.</w:t>
      </w:r>
      <w:proofErr w:type="gramEnd"/>
      <w:r w:rsidRPr="00514F3B">
        <w:rPr>
          <w:rFonts w:ascii="Times New Roman" w:hAnsi="Times New Roman" w:cs="Times New Roman"/>
          <w:i/>
        </w:rPr>
        <w:t xml:space="preserve">  </w:t>
      </w:r>
      <w:r w:rsidRPr="00514F3B">
        <w:rPr>
          <w:rFonts w:ascii="Times New Roman" w:hAnsi="Times New Roman" w:cs="Times New Roman"/>
        </w:rPr>
        <w:t xml:space="preserve"> Issue 34: 1-18.</w:t>
      </w:r>
    </w:p>
    <w:p w:rsidR="00C455A6" w:rsidRPr="00514F3B" w:rsidRDefault="00C455A6"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 xml:space="preserve">Smart, W. (2009b).  </w:t>
      </w:r>
      <w:proofErr w:type="gramStart"/>
      <w:r w:rsidRPr="00514F3B">
        <w:rPr>
          <w:rFonts w:ascii="Times New Roman" w:hAnsi="Times New Roman" w:cs="Times New Roman"/>
        </w:rPr>
        <w:t>Promoting Quality Research.</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Tertiary Sector Performance Analysis and Reporting, Strategy and System Performance, New Zealand Ministry of Education</w:t>
      </w:r>
      <w:r w:rsidR="00071E1B" w:rsidRPr="00514F3B">
        <w:rPr>
          <w:rFonts w:ascii="Times New Roman" w:hAnsi="Times New Roman" w:cs="Times New Roman"/>
        </w:rPr>
        <w:t>, Wellington, New Zealand.</w:t>
      </w:r>
      <w:proofErr w:type="gramEnd"/>
    </w:p>
    <w:p w:rsidR="00C455A6" w:rsidRPr="00514F3B" w:rsidRDefault="00C455A6"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Smart W. (2008a).</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Research Par Excellence.</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Tertiary Sector Performance Analysis and Reporting, Strategy and System Performance, New Zealand Ministry of Education</w:t>
      </w:r>
      <w:r w:rsidR="00071E1B" w:rsidRPr="00514F3B">
        <w:rPr>
          <w:rFonts w:ascii="Times New Roman" w:hAnsi="Times New Roman" w:cs="Times New Roman"/>
        </w:rPr>
        <w:t>, Wellington, New Zealand</w:t>
      </w:r>
      <w:r w:rsidRPr="00514F3B">
        <w:rPr>
          <w:rFonts w:ascii="Times New Roman" w:hAnsi="Times New Roman" w:cs="Times New Roman"/>
        </w:rPr>
        <w:t>.</w:t>
      </w:r>
      <w:proofErr w:type="gramEnd"/>
    </w:p>
    <w:p w:rsidR="00C455A6" w:rsidRPr="00514F3B" w:rsidRDefault="00C455A6"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Smart W, (2008b).</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Quality vs Impact.</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Tertiary Sector Performance Analysis and Reporting, Strategy and System Performance, New Zealand Ministry of Education</w:t>
      </w:r>
      <w:r w:rsidR="00071E1B" w:rsidRPr="00514F3B">
        <w:rPr>
          <w:rFonts w:ascii="Times New Roman" w:hAnsi="Times New Roman" w:cs="Times New Roman"/>
        </w:rPr>
        <w:t>, Wellington, New Zealand</w:t>
      </w:r>
      <w:r w:rsidRPr="00514F3B">
        <w:rPr>
          <w:rFonts w:ascii="Times New Roman" w:hAnsi="Times New Roman" w:cs="Times New Roman"/>
        </w:rPr>
        <w:t>.</w:t>
      </w:r>
      <w:proofErr w:type="gramEnd"/>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TEC (2011).</w:t>
      </w:r>
      <w:proofErr w:type="gramEnd"/>
      <w:r w:rsidRPr="00514F3B">
        <w:rPr>
          <w:rFonts w:ascii="Times New Roman" w:hAnsi="Times New Roman" w:cs="Times New Roman"/>
        </w:rPr>
        <w:t xml:space="preserve">  Performance Based Research Fund: Quality Evaluation Guidelines.   </w:t>
      </w:r>
      <w:proofErr w:type="gramStart"/>
      <w:r w:rsidRPr="00514F3B">
        <w:rPr>
          <w:rFonts w:ascii="Times New Roman" w:hAnsi="Times New Roman" w:cs="Times New Roman"/>
        </w:rPr>
        <w:t>Tertiary Education Commission.</w:t>
      </w:r>
      <w:proofErr w:type="gramEnd"/>
      <w:r w:rsidRPr="00514F3B">
        <w:rPr>
          <w:rFonts w:ascii="Times New Roman" w:hAnsi="Times New Roman" w:cs="Times New Roman"/>
        </w:rPr>
        <w:t xml:space="preserve">   Wellington, New Zealand.</w:t>
      </w:r>
    </w:p>
    <w:p w:rsidR="00BE049B" w:rsidRPr="00514F3B" w:rsidRDefault="00BE049B"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TEC (2003).</w:t>
      </w:r>
      <w:proofErr w:type="gramEnd"/>
      <w:r w:rsidRPr="00514F3B">
        <w:rPr>
          <w:rFonts w:ascii="Times New Roman" w:hAnsi="Times New Roman" w:cs="Times New Roman"/>
        </w:rPr>
        <w:t xml:space="preserve">  </w:t>
      </w:r>
      <w:r w:rsidR="00EC548F" w:rsidRPr="00514F3B">
        <w:rPr>
          <w:rFonts w:ascii="Times New Roman" w:hAnsi="Times New Roman" w:cs="Times New Roman"/>
        </w:rPr>
        <w:t xml:space="preserve">Performance-Based Research Fund: A guide for 2003. </w:t>
      </w:r>
      <w:proofErr w:type="gramStart"/>
      <w:r w:rsidR="00EC548F" w:rsidRPr="00514F3B">
        <w:rPr>
          <w:rFonts w:ascii="Times New Roman" w:hAnsi="Times New Roman" w:cs="Times New Roman"/>
        </w:rPr>
        <w:t>Tertiary Education Commission, Wellington, New Zealand</w:t>
      </w:r>
      <w:r w:rsidRPr="00514F3B">
        <w:rPr>
          <w:rFonts w:ascii="Times New Roman" w:hAnsi="Times New Roman" w:cs="Times New Roman"/>
        </w:rPr>
        <w:t>.</w:t>
      </w:r>
      <w:proofErr w:type="gramEnd"/>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TEC (2002).</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Investing in Excellence: The Report of the Performance-Based Research Fund Working Group.</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Tertiary Education Commission.</w:t>
      </w:r>
      <w:proofErr w:type="gramEnd"/>
      <w:r w:rsidRPr="00514F3B">
        <w:rPr>
          <w:rFonts w:ascii="Times New Roman" w:hAnsi="Times New Roman" w:cs="Times New Roman"/>
        </w:rPr>
        <w:t xml:space="preserve">  Wellington, New Zealand. </w:t>
      </w:r>
    </w:p>
    <w:p w:rsidR="0041554C" w:rsidRPr="00514F3B" w:rsidRDefault="0041554C" w:rsidP="00514F3B">
      <w:pPr>
        <w:tabs>
          <w:tab w:val="left" w:pos="426"/>
        </w:tabs>
        <w:spacing w:line="240" w:lineRule="auto"/>
        <w:ind w:left="426" w:hanging="426"/>
        <w:jc w:val="both"/>
        <w:rPr>
          <w:rFonts w:ascii="Times New Roman" w:hAnsi="Times New Roman" w:cs="Times New Roman"/>
        </w:rPr>
      </w:pPr>
      <w:proofErr w:type="gramStart"/>
      <w:r w:rsidRPr="00514F3B">
        <w:rPr>
          <w:rFonts w:ascii="Times New Roman" w:hAnsi="Times New Roman" w:cs="Times New Roman"/>
        </w:rPr>
        <w:t>Tressler, J and Anderson, D.L. (2012).</w:t>
      </w:r>
      <w:proofErr w:type="gramEnd"/>
      <w:r w:rsidRPr="00514F3B">
        <w:rPr>
          <w:rFonts w:ascii="Times New Roman" w:hAnsi="Times New Roman" w:cs="Times New Roman"/>
        </w:rPr>
        <w:t xml:space="preserve">   </w:t>
      </w:r>
      <w:proofErr w:type="gramStart"/>
      <w:r w:rsidRPr="00514F3B">
        <w:rPr>
          <w:rFonts w:ascii="Times New Roman" w:hAnsi="Times New Roman" w:cs="Times New Roman"/>
        </w:rPr>
        <w:t>Using Citations to Measure Research Output in New Zealand Economics Departments: The Problem of ‘Long and Variable’ Lags.</w:t>
      </w:r>
      <w:proofErr w:type="gramEnd"/>
      <w:r w:rsidRPr="00514F3B">
        <w:rPr>
          <w:rFonts w:ascii="Times New Roman" w:hAnsi="Times New Roman" w:cs="Times New Roman"/>
        </w:rPr>
        <w:t xml:space="preserve">    </w:t>
      </w:r>
      <w:r w:rsidRPr="00514F3B">
        <w:rPr>
          <w:rFonts w:ascii="Times New Roman" w:hAnsi="Times New Roman" w:cs="Times New Roman"/>
          <w:i/>
        </w:rPr>
        <w:t xml:space="preserve">Agenda: A Journal of Policy Analysis and Reform.  </w:t>
      </w:r>
      <w:r w:rsidRPr="00514F3B">
        <w:rPr>
          <w:rFonts w:ascii="Times New Roman" w:hAnsi="Times New Roman" w:cs="Times New Roman"/>
        </w:rPr>
        <w:t xml:space="preserve"> 19(1): 17-37.</w:t>
      </w:r>
    </w:p>
    <w:p w:rsidR="00EC548F" w:rsidRPr="00514F3B" w:rsidRDefault="00EC548F" w:rsidP="00514F3B">
      <w:pPr>
        <w:tabs>
          <w:tab w:val="left" w:pos="426"/>
        </w:tabs>
        <w:spacing w:line="240" w:lineRule="auto"/>
        <w:ind w:left="426" w:hanging="426"/>
        <w:jc w:val="both"/>
        <w:rPr>
          <w:rFonts w:ascii="Times New Roman" w:hAnsi="Times New Roman" w:cs="Times New Roman"/>
        </w:rPr>
      </w:pPr>
      <w:r w:rsidRPr="00514F3B">
        <w:rPr>
          <w:rFonts w:ascii="Times New Roman" w:hAnsi="Times New Roman" w:cs="Times New Roman"/>
        </w:rPr>
        <w:t>Waitere, H.J., Wright, J., Tremaine, M., Brown, S., and Pause, C.J. (2011).  Choosing whether to resist or reinforce the new managerialism: the impact of performance-based research funding on academic identity</w:t>
      </w:r>
      <w:r w:rsidRPr="00514F3B">
        <w:rPr>
          <w:rFonts w:ascii="Times New Roman" w:hAnsi="Times New Roman" w:cs="Times New Roman"/>
          <w:i/>
        </w:rPr>
        <w:t xml:space="preserve">.  </w:t>
      </w:r>
      <w:proofErr w:type="gramStart"/>
      <w:r w:rsidRPr="00514F3B">
        <w:rPr>
          <w:rFonts w:ascii="Times New Roman" w:hAnsi="Times New Roman" w:cs="Times New Roman"/>
          <w:i/>
        </w:rPr>
        <w:t xml:space="preserve">Higher Education Research and </w:t>
      </w:r>
      <w:r w:rsidR="007E3FF1" w:rsidRPr="00514F3B">
        <w:rPr>
          <w:rFonts w:ascii="Times New Roman" w:hAnsi="Times New Roman" w:cs="Times New Roman"/>
          <w:i/>
        </w:rPr>
        <w:t>Development</w:t>
      </w:r>
      <w:r w:rsidRPr="00514F3B">
        <w:rPr>
          <w:rFonts w:ascii="Times New Roman" w:hAnsi="Times New Roman" w:cs="Times New Roman"/>
        </w:rPr>
        <w:t>.</w:t>
      </w:r>
      <w:proofErr w:type="gramEnd"/>
      <w:r w:rsidRPr="00514F3B">
        <w:rPr>
          <w:rFonts w:ascii="Times New Roman" w:hAnsi="Times New Roman" w:cs="Times New Roman"/>
        </w:rPr>
        <w:t xml:space="preserve">  30(2): 205-217.</w:t>
      </w:r>
    </w:p>
    <w:p w:rsidR="0041554C" w:rsidRPr="00514F3B" w:rsidRDefault="0041554C" w:rsidP="00514F3B">
      <w:pPr>
        <w:tabs>
          <w:tab w:val="left" w:pos="426"/>
        </w:tabs>
        <w:jc w:val="both"/>
        <w:rPr>
          <w:rFonts w:ascii="Times New Roman" w:hAnsi="Times New Roman" w:cs="Times New Roman"/>
          <w:sz w:val="24"/>
          <w:szCs w:val="24"/>
        </w:rPr>
      </w:pPr>
    </w:p>
    <w:p w:rsidR="00355FD7" w:rsidRDefault="00355FD7">
      <w:pPr>
        <w:rPr>
          <w:rFonts w:ascii="Times New Roman" w:hAnsi="Times New Roman" w:cs="Times New Roman"/>
          <w:b/>
          <w:sz w:val="24"/>
          <w:szCs w:val="24"/>
        </w:rPr>
      </w:pPr>
      <w:r>
        <w:rPr>
          <w:rFonts w:ascii="Times New Roman" w:hAnsi="Times New Roman" w:cs="Times New Roman"/>
          <w:b/>
          <w:sz w:val="24"/>
          <w:szCs w:val="24"/>
        </w:rPr>
        <w:br w:type="page"/>
      </w:r>
    </w:p>
    <w:p w:rsidR="00355FD7" w:rsidRDefault="00355FD7" w:rsidP="00355FD7">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1</w:t>
      </w:r>
    </w:p>
    <w:p w:rsidR="008E4CC0" w:rsidRDefault="008E4CC0" w:rsidP="00355FD7">
      <w:pPr>
        <w:tabs>
          <w:tab w:val="left" w:pos="426"/>
        </w:tabs>
        <w:spacing w:after="0" w:line="240" w:lineRule="auto"/>
        <w:jc w:val="center"/>
        <w:rPr>
          <w:rFonts w:ascii="Times New Roman" w:hAnsi="Times New Roman" w:cs="Times New Roman"/>
          <w:b/>
          <w:sz w:val="24"/>
          <w:szCs w:val="24"/>
        </w:rPr>
      </w:pPr>
    </w:p>
    <w:p w:rsidR="00D23766" w:rsidRDefault="00D23766" w:rsidP="00355FD7">
      <w:pPr>
        <w:tabs>
          <w:tab w:val="left" w:pos="426"/>
        </w:tabs>
        <w:spacing w:after="0" w:line="240" w:lineRule="auto"/>
        <w:jc w:val="center"/>
        <w:rPr>
          <w:rFonts w:ascii="Times New Roman" w:hAnsi="Times New Roman" w:cs="Times New Roman"/>
          <w:b/>
          <w:sz w:val="24"/>
          <w:szCs w:val="24"/>
        </w:rPr>
      </w:pPr>
      <w:r w:rsidRPr="00514F3B">
        <w:rPr>
          <w:rFonts w:ascii="Times New Roman" w:hAnsi="Times New Roman" w:cs="Times New Roman"/>
          <w:b/>
          <w:sz w:val="24"/>
          <w:szCs w:val="24"/>
        </w:rPr>
        <w:t>Description of Journal Weighting Schemes</w:t>
      </w:r>
    </w:p>
    <w:p w:rsidR="00355FD7" w:rsidRPr="00514F3B" w:rsidRDefault="00355FD7" w:rsidP="00355FD7">
      <w:pPr>
        <w:tabs>
          <w:tab w:val="left" w:pos="426"/>
        </w:tabs>
        <w:spacing w:after="0" w:line="240" w:lineRule="auto"/>
        <w:jc w:val="center"/>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LP84.  </w:t>
      </w:r>
      <w:r w:rsidRPr="00514F3B">
        <w:rPr>
          <w:rFonts w:ascii="Times New Roman" w:hAnsi="Times New Roman" w:cs="Times New Roman"/>
          <w:sz w:val="24"/>
          <w:szCs w:val="24"/>
        </w:rPr>
        <w:t>Source: Liebowitz and Palmer (1984.  Database: ISI.  Time Period: 1980 cites to articles published 1975-1979.  Number of Journals: 108.  Methodology: Recursive Adjustment.</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LP94</w:t>
      </w:r>
      <w:r w:rsidRPr="00514F3B">
        <w:rPr>
          <w:rFonts w:ascii="Times New Roman" w:hAnsi="Times New Roman" w:cs="Times New Roman"/>
          <w:sz w:val="24"/>
          <w:szCs w:val="24"/>
        </w:rPr>
        <w:t>.  Source: Laband and Piette (1994).  Database: ISI. Time period: 1990 cites to articles published 1985-1989.  Number of Journals: 130.  Methodology: Recursive Adjustment.</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KMS2003.  </w:t>
      </w:r>
      <w:r w:rsidRPr="00514F3B">
        <w:rPr>
          <w:rFonts w:ascii="Times New Roman" w:hAnsi="Times New Roman" w:cs="Times New Roman"/>
          <w:sz w:val="24"/>
          <w:szCs w:val="24"/>
        </w:rPr>
        <w:t xml:space="preserve">Source: Kalaitzidakis, Mamuneas and Stengos (2003).  Database: ISI.  Time Period: 1998 cites to articles published 1994-1998.  Number of Journals: 143.  Methodology: Recursive Adjustment.  </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KMS2010.  </w:t>
      </w:r>
      <w:r w:rsidRPr="00514F3B">
        <w:rPr>
          <w:rFonts w:ascii="Times New Roman" w:hAnsi="Times New Roman" w:cs="Times New Roman"/>
          <w:sz w:val="24"/>
          <w:szCs w:val="24"/>
        </w:rPr>
        <w:t xml:space="preserve"> Source:  Kalaitzidakis, Mamuneas and Stengos (2010).  This working paper, with journal rankings, but minus absolute scores, was ultimately published, under the same title, in 2011 in the </w:t>
      </w:r>
      <w:r w:rsidRPr="00514F3B">
        <w:rPr>
          <w:rFonts w:ascii="Times New Roman" w:hAnsi="Times New Roman" w:cs="Times New Roman"/>
          <w:i/>
          <w:sz w:val="24"/>
          <w:szCs w:val="24"/>
        </w:rPr>
        <w:t xml:space="preserve">Canadian Journal of Economics </w:t>
      </w:r>
      <w:r w:rsidRPr="00514F3B">
        <w:rPr>
          <w:rFonts w:ascii="Times New Roman" w:hAnsi="Times New Roman" w:cs="Times New Roman"/>
          <w:sz w:val="24"/>
          <w:szCs w:val="24"/>
        </w:rPr>
        <w:t>44(4): 1525-1538.  Database: ISI. Time Period: average of citation counts to selected journals for preceding 10 years, starting in 2003 and continuing to 2008.  Number of Journals: 209.  Methodology: Recursive Adjustment.</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KYEI.  </w:t>
      </w:r>
      <w:r w:rsidRPr="00514F3B">
        <w:rPr>
          <w:rFonts w:ascii="Times New Roman" w:hAnsi="Times New Roman" w:cs="Times New Roman"/>
          <w:sz w:val="24"/>
          <w:szCs w:val="24"/>
        </w:rPr>
        <w:t>Source:  Kodrzycki and Yu (2006).   Database: ISI.  Time Period: 2003 ISI citation data for papers published over the period 1996- 2003.  Number of Journals: 181.  Methodology: Recursive Adjustment with modification for sub-discipline reference intensity.</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KYOI.  </w:t>
      </w:r>
      <w:r w:rsidRPr="00514F3B">
        <w:rPr>
          <w:rFonts w:ascii="Times New Roman" w:hAnsi="Times New Roman" w:cs="Times New Roman"/>
          <w:sz w:val="24"/>
          <w:szCs w:val="24"/>
        </w:rPr>
        <w:t xml:space="preserve">Source: same as for KYEI above.  Description same as for KYEI with one exception: citations collected from all Social Science journals in the ISI database to selected economics journals.  </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KYPI.  </w:t>
      </w:r>
      <w:r w:rsidRPr="00514F3B">
        <w:rPr>
          <w:rFonts w:ascii="Times New Roman" w:hAnsi="Times New Roman" w:cs="Times New Roman"/>
          <w:sz w:val="24"/>
          <w:szCs w:val="24"/>
        </w:rPr>
        <w:t xml:space="preserve">Source: same as for KYEI above.  Description same as for KYEI with one exception: citations counts restricted to those from an arbitrarily defined set of policy journals. </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CLd.  </w:t>
      </w:r>
      <w:r w:rsidRPr="00514F3B">
        <w:rPr>
          <w:rFonts w:ascii="Times New Roman" w:hAnsi="Times New Roman" w:cs="Times New Roman"/>
          <w:sz w:val="24"/>
          <w:szCs w:val="24"/>
        </w:rPr>
        <w:t>Source: Combes and Linnemer (2010).   Database: ISI, Google Scholar and EconLit.  Time Period:  2005, 2006 and 2007 for articles published in the preceding 5 years.  Number of Journals: 1168.  Methodology:  Various- including simple impact factors, field of specialization normalized indexes and h-index.  Under the CLd scheme, all 1168 journals are assigned to six groups with weights ranking from 100 to 3.125.</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CLm.  </w:t>
      </w:r>
      <w:r w:rsidRPr="00514F3B">
        <w:rPr>
          <w:rFonts w:ascii="Times New Roman" w:hAnsi="Times New Roman" w:cs="Times New Roman"/>
          <w:sz w:val="24"/>
          <w:szCs w:val="24"/>
        </w:rPr>
        <w:t>Source: same as CLd above.  CLm differs from CLd in that journal values are adjusted to reflect a medium degree of convexity.</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CLh.  </w:t>
      </w:r>
      <w:r w:rsidRPr="00514F3B">
        <w:rPr>
          <w:rFonts w:ascii="Times New Roman" w:hAnsi="Times New Roman" w:cs="Times New Roman"/>
          <w:sz w:val="24"/>
          <w:szCs w:val="24"/>
        </w:rPr>
        <w:t>Source:</w:t>
      </w:r>
      <w:r w:rsidRPr="00514F3B">
        <w:rPr>
          <w:rFonts w:ascii="Times New Roman" w:hAnsi="Times New Roman" w:cs="Times New Roman"/>
          <w:b/>
          <w:sz w:val="24"/>
          <w:szCs w:val="24"/>
        </w:rPr>
        <w:t xml:space="preserve"> </w:t>
      </w:r>
      <w:r w:rsidRPr="00514F3B">
        <w:rPr>
          <w:rFonts w:ascii="Times New Roman" w:hAnsi="Times New Roman" w:cs="Times New Roman"/>
          <w:sz w:val="24"/>
          <w:szCs w:val="24"/>
        </w:rPr>
        <w:t>same as CLd above.  CLh differs from CLd in that journal values are adjusted to reflect a high degree of convexity.</w:t>
      </w:r>
    </w:p>
    <w:p w:rsidR="00355FD7" w:rsidRDefault="00355FD7" w:rsidP="008E4CC0">
      <w:pPr>
        <w:spacing w:after="240"/>
        <w:ind w:left="567" w:hanging="567"/>
        <w:rPr>
          <w:rFonts w:ascii="Times New Roman" w:hAnsi="Times New Roman" w:cs="Times New Roman"/>
          <w:b/>
          <w:sz w:val="24"/>
          <w:szCs w:val="24"/>
        </w:rPr>
      </w:pPr>
      <w:r>
        <w:rPr>
          <w:rFonts w:ascii="Times New Roman" w:hAnsi="Times New Roman" w:cs="Times New Roman"/>
          <w:b/>
          <w:sz w:val="24"/>
          <w:szCs w:val="24"/>
        </w:rPr>
        <w:br w:type="page"/>
      </w:r>
    </w:p>
    <w:p w:rsidR="00D23766" w:rsidRPr="00355FD7" w:rsidRDefault="00D23766" w:rsidP="008E4CC0">
      <w:pPr>
        <w:pStyle w:val="ListParagraph"/>
        <w:spacing w:after="240" w:line="240" w:lineRule="auto"/>
        <w:ind w:left="567" w:hanging="567"/>
        <w:jc w:val="both"/>
        <w:rPr>
          <w:rFonts w:ascii="Times New Roman" w:hAnsi="Times New Roman" w:cs="Times New Roman"/>
          <w:b/>
          <w:sz w:val="2"/>
          <w:szCs w:val="2"/>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Gibson.  </w:t>
      </w:r>
      <w:r w:rsidRPr="00514F3B">
        <w:rPr>
          <w:rFonts w:ascii="Times New Roman" w:hAnsi="Times New Roman" w:cs="Times New Roman"/>
          <w:sz w:val="24"/>
          <w:szCs w:val="24"/>
        </w:rPr>
        <w:t xml:space="preserve">Source:  Gibson (2000).   Database:  author constructed, primarily from </w:t>
      </w:r>
      <w:r w:rsidRPr="00D219EE">
        <w:rPr>
          <w:rFonts w:ascii="Times New Roman" w:hAnsi="Times New Roman" w:cs="Times New Roman"/>
          <w:i/>
          <w:sz w:val="24"/>
          <w:szCs w:val="24"/>
        </w:rPr>
        <w:t>EconLit</w:t>
      </w:r>
      <w:r w:rsidRPr="00514F3B">
        <w:rPr>
          <w:rFonts w:ascii="Times New Roman" w:hAnsi="Times New Roman" w:cs="Times New Roman"/>
          <w:sz w:val="24"/>
          <w:szCs w:val="24"/>
        </w:rPr>
        <w:t xml:space="preserve">.  Time Period:  </w:t>
      </w:r>
      <w:proofErr w:type="spellStart"/>
      <w:r w:rsidRPr="00514F3B">
        <w:rPr>
          <w:rFonts w:ascii="Times New Roman" w:hAnsi="Times New Roman" w:cs="Times New Roman"/>
          <w:sz w:val="24"/>
          <w:szCs w:val="24"/>
        </w:rPr>
        <w:t>i</w:t>
      </w:r>
      <w:proofErr w:type="spellEnd"/>
      <w:r w:rsidRPr="00514F3B">
        <w:rPr>
          <w:rFonts w:ascii="Times New Roman" w:hAnsi="Times New Roman" w:cs="Times New Roman"/>
          <w:sz w:val="24"/>
          <w:szCs w:val="24"/>
        </w:rPr>
        <w:t xml:space="preserve">) 1996- 1998; and ii) life-time EconLit publications of selected researchers.  Number of Journals: explicit weights for 71 journals; all other </w:t>
      </w:r>
      <w:r w:rsidRPr="00D219EE">
        <w:rPr>
          <w:rFonts w:ascii="Times New Roman" w:hAnsi="Times New Roman" w:cs="Times New Roman"/>
          <w:i/>
          <w:sz w:val="24"/>
          <w:szCs w:val="24"/>
        </w:rPr>
        <w:t>EconLit</w:t>
      </w:r>
      <w:r w:rsidRPr="00514F3B">
        <w:rPr>
          <w:rFonts w:ascii="Times New Roman" w:hAnsi="Times New Roman" w:cs="Times New Roman"/>
          <w:sz w:val="24"/>
          <w:szCs w:val="24"/>
        </w:rPr>
        <w:t xml:space="preserve"> listed journals received an equal, non-zero equal to 1/20</w:t>
      </w:r>
      <w:r w:rsidRPr="00514F3B">
        <w:rPr>
          <w:rFonts w:ascii="Times New Roman" w:hAnsi="Times New Roman" w:cs="Times New Roman"/>
          <w:sz w:val="24"/>
          <w:szCs w:val="24"/>
          <w:vertAlign w:val="superscript"/>
        </w:rPr>
        <w:t>th</w:t>
      </w:r>
      <w:r w:rsidRPr="00514F3B">
        <w:rPr>
          <w:rFonts w:ascii="Times New Roman" w:hAnsi="Times New Roman" w:cs="Times New Roman"/>
          <w:sz w:val="24"/>
          <w:szCs w:val="24"/>
        </w:rPr>
        <w:t xml:space="preserve"> of top journals.  Methodology: Econometric (Ordered Logit).  </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rPr>
          <w:rFonts w:ascii="Times New Roman" w:hAnsi="Times New Roman" w:cs="Times New Roman"/>
          <w:b/>
          <w:sz w:val="24"/>
          <w:szCs w:val="24"/>
        </w:rPr>
      </w:pPr>
      <w:r w:rsidRPr="00514F3B">
        <w:rPr>
          <w:rFonts w:ascii="Times New Roman" w:hAnsi="Times New Roman" w:cs="Times New Roman"/>
          <w:b/>
          <w:sz w:val="24"/>
          <w:szCs w:val="24"/>
        </w:rPr>
        <w:t xml:space="preserve">CoupeIF.  </w:t>
      </w:r>
      <w:r w:rsidRPr="00514F3B">
        <w:rPr>
          <w:rFonts w:ascii="Times New Roman" w:hAnsi="Times New Roman" w:cs="Times New Roman"/>
          <w:sz w:val="24"/>
          <w:szCs w:val="24"/>
        </w:rPr>
        <w:t>Coupe (2003).   Comple</w:t>
      </w:r>
      <w:r w:rsidR="00D219EE">
        <w:rPr>
          <w:rFonts w:ascii="Times New Roman" w:hAnsi="Times New Roman" w:cs="Times New Roman"/>
          <w:sz w:val="24"/>
          <w:szCs w:val="24"/>
        </w:rPr>
        <w:t xml:space="preserve">te set of weights obtained from: </w:t>
      </w:r>
      <w:r w:rsidRPr="00514F3B">
        <w:rPr>
          <w:rFonts w:ascii="Times New Roman" w:hAnsi="Times New Roman" w:cs="Times New Roman"/>
          <w:sz w:val="24"/>
          <w:szCs w:val="24"/>
        </w:rPr>
        <w:t>http//homepages.ulb.ac.be/~tcoupe/update/journals.html (downloaded on 20 August 2007).  Database: ISI.  Time Period: 1994- 2000.  Number of Journals: 273.  Methodology: Simple Impact Factor (average of 2 year Impact Factors from 1994 to 2000).</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lang w:val="nl-NL"/>
        </w:rPr>
        <w:t xml:space="preserve">Bauwens.  </w:t>
      </w:r>
      <w:r w:rsidRPr="00514F3B">
        <w:rPr>
          <w:rFonts w:ascii="Times New Roman" w:hAnsi="Times New Roman" w:cs="Times New Roman"/>
          <w:sz w:val="24"/>
          <w:szCs w:val="24"/>
          <w:lang w:val="nl-NL"/>
        </w:rPr>
        <w:t xml:space="preserve">Bauwens (1998).   Database:  EconLit and ISI.  </w:t>
      </w:r>
      <w:r w:rsidRPr="00514F3B">
        <w:rPr>
          <w:rFonts w:ascii="Times New Roman" w:hAnsi="Times New Roman" w:cs="Times New Roman"/>
          <w:sz w:val="24"/>
          <w:szCs w:val="24"/>
        </w:rPr>
        <w:t>Time Period: 1996.  Number of Journals: 617.  Methodology: Simple Impact Factor- average of short-term (2 Year) and long-term (life-time of journal).</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Scopus SJR.  </w:t>
      </w:r>
      <w:r w:rsidRPr="00514F3B">
        <w:rPr>
          <w:rFonts w:ascii="Times New Roman" w:hAnsi="Times New Roman" w:cs="Times New Roman"/>
          <w:sz w:val="24"/>
          <w:szCs w:val="24"/>
        </w:rPr>
        <w:t xml:space="preserve">Source: Scopus/Economics, Econometrics and Finance Journal List, SJR- SCImago Journal Rank, www-scopus-com.  Downloaded 17-19 October 2012.  Database: Scopus.  Number of Journals: +/- 950 (Economics </w:t>
      </w:r>
      <w:r w:rsidR="00F8058E">
        <w:rPr>
          <w:rFonts w:ascii="Times New Roman" w:hAnsi="Times New Roman" w:cs="Times New Roman"/>
          <w:sz w:val="24"/>
          <w:szCs w:val="24"/>
        </w:rPr>
        <w:t>and</w:t>
      </w:r>
      <w:r w:rsidRPr="00514F3B">
        <w:rPr>
          <w:rFonts w:ascii="Times New Roman" w:hAnsi="Times New Roman" w:cs="Times New Roman"/>
          <w:sz w:val="24"/>
          <w:szCs w:val="24"/>
        </w:rPr>
        <w:t xml:space="preserve"> Finance).  Methodology:  Impact Factor, with adjustment for importance of citing journal.</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Scopus SNID.  </w:t>
      </w:r>
      <w:r w:rsidRPr="00514F3B">
        <w:rPr>
          <w:rFonts w:ascii="Times New Roman" w:hAnsi="Times New Roman" w:cs="Times New Roman"/>
          <w:sz w:val="24"/>
          <w:szCs w:val="24"/>
        </w:rPr>
        <w:t>Source: same as Scopus SJR above. SNID- Source Normalized Impact per Paper.  Database: Scopus.  Number of Journals: +/- 950 (Economics and Finance).  Methodology: Impact Factor, with adjustment for reference intensity across and within disciplinary groups.</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RePEcsif.  </w:t>
      </w:r>
      <w:r w:rsidRPr="00514F3B">
        <w:rPr>
          <w:rFonts w:ascii="Times New Roman" w:hAnsi="Times New Roman" w:cs="Times New Roman"/>
          <w:sz w:val="24"/>
          <w:szCs w:val="24"/>
        </w:rPr>
        <w:t xml:space="preserve">Source: Research Papers in Economics (RePEc), IDEAS/RePEc Simple Impact Factors for Journals, </w:t>
      </w:r>
      <w:hyperlink r:id="rId12" w:history="1">
        <w:r w:rsidRPr="00514F3B">
          <w:rPr>
            <w:rStyle w:val="Hyperlink"/>
            <w:rFonts w:ascii="Times New Roman" w:hAnsi="Times New Roman" w:cs="Times New Roman"/>
            <w:sz w:val="24"/>
            <w:szCs w:val="24"/>
          </w:rPr>
          <w:t>www.ideas.repec.org/top/top.journals.simple.html</w:t>
        </w:r>
      </w:hyperlink>
      <w:r w:rsidRPr="00514F3B">
        <w:rPr>
          <w:rFonts w:ascii="Times New Roman" w:hAnsi="Times New Roman" w:cs="Times New Roman"/>
          <w:sz w:val="24"/>
          <w:szCs w:val="24"/>
        </w:rPr>
        <w:t>, downloaded on 6 May 2012.  Database: ISI.  Time Period: life time of journal.  Number of Journals: 984.  Methodology: Simple Impact Factor.</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JCRIF11.  </w:t>
      </w:r>
      <w:r w:rsidRPr="00514F3B">
        <w:rPr>
          <w:rFonts w:ascii="Times New Roman" w:hAnsi="Times New Roman" w:cs="Times New Roman"/>
          <w:sz w:val="24"/>
          <w:szCs w:val="24"/>
        </w:rPr>
        <w:t>Source: ISI Web of Knowledge, Journal Citation Reports (2011), Impact Factor (2 Year).  Downloaded on 8 October 2012. Database: ISI.  Time Period: 2010 cites to articles published 2008-2009.  Number of Journals: 321.  Methodology: Simple Impact Factor.</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MSF.  </w:t>
      </w:r>
      <w:r w:rsidRPr="00514F3B">
        <w:rPr>
          <w:rFonts w:ascii="Times New Roman" w:hAnsi="Times New Roman" w:cs="Times New Roman"/>
          <w:sz w:val="24"/>
          <w:szCs w:val="24"/>
        </w:rPr>
        <w:t>Source: Mason, Steagall and Fabritius (1997).   Database: Author conducted survey.  Time Period: 1992- 1993.  Number of Journals: 142.  Methodology: Perceptions of respondents.</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rPr>
          <w:rFonts w:ascii="Times New Roman" w:hAnsi="Times New Roman" w:cs="Times New Roman"/>
          <w:b/>
          <w:sz w:val="24"/>
          <w:szCs w:val="24"/>
        </w:rPr>
      </w:pPr>
      <w:r w:rsidRPr="00514F3B">
        <w:rPr>
          <w:rFonts w:ascii="Times New Roman" w:hAnsi="Times New Roman" w:cs="Times New Roman"/>
          <w:b/>
          <w:sz w:val="24"/>
          <w:szCs w:val="24"/>
        </w:rPr>
        <w:t xml:space="preserve">ESA.  </w:t>
      </w:r>
      <w:r w:rsidRPr="00514F3B">
        <w:rPr>
          <w:rFonts w:ascii="Times New Roman" w:hAnsi="Times New Roman" w:cs="Times New Roman"/>
          <w:sz w:val="24"/>
          <w:szCs w:val="24"/>
        </w:rPr>
        <w:t>Source: Abelson (2009).   For itemized rankings, see:  http://www.ecosoc.org.au/cc/publications/. (Valid at time article published).  Database: Survey conducted by the Economic Society of Australia.  Time Period: 2007.  Number of Journals: 890.  Methodology: Perceptions of respondents.</w:t>
      </w:r>
    </w:p>
    <w:p w:rsidR="00355FD7" w:rsidRDefault="00355FD7" w:rsidP="008E4CC0">
      <w:pPr>
        <w:spacing w:after="240"/>
        <w:ind w:left="567" w:hanging="567"/>
        <w:rPr>
          <w:rFonts w:ascii="Times New Roman" w:hAnsi="Times New Roman" w:cs="Times New Roman"/>
          <w:b/>
          <w:sz w:val="24"/>
          <w:szCs w:val="24"/>
        </w:rPr>
      </w:pPr>
      <w:r>
        <w:rPr>
          <w:rFonts w:ascii="Times New Roman" w:hAnsi="Times New Roman" w:cs="Times New Roman"/>
          <w:b/>
          <w:sz w:val="24"/>
          <w:szCs w:val="24"/>
        </w:rPr>
        <w:br w:type="page"/>
      </w:r>
    </w:p>
    <w:p w:rsidR="00D23766" w:rsidRPr="00355FD7" w:rsidRDefault="00D23766" w:rsidP="008E4CC0">
      <w:pPr>
        <w:pStyle w:val="ListParagraph"/>
        <w:spacing w:after="240" w:line="240" w:lineRule="auto"/>
        <w:ind w:left="567" w:hanging="567"/>
        <w:jc w:val="both"/>
        <w:rPr>
          <w:rFonts w:ascii="Times New Roman" w:hAnsi="Times New Roman" w:cs="Times New Roman"/>
          <w:b/>
          <w:sz w:val="2"/>
          <w:szCs w:val="2"/>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ERA.  </w:t>
      </w:r>
      <w:r w:rsidRPr="00514F3B">
        <w:rPr>
          <w:rFonts w:ascii="Times New Roman" w:hAnsi="Times New Roman" w:cs="Times New Roman"/>
          <w:sz w:val="24"/>
          <w:szCs w:val="24"/>
        </w:rPr>
        <w:t xml:space="preserve">Source:  Excellence for Research in Australia, 2010 Final Journal Rankings, </w:t>
      </w:r>
      <w:hyperlink r:id="rId13" w:history="1">
        <w:r w:rsidRPr="00514F3B">
          <w:rPr>
            <w:rStyle w:val="Hyperlink"/>
            <w:rFonts w:ascii="Times New Roman" w:hAnsi="Times New Roman" w:cs="Times New Roman"/>
            <w:sz w:val="24"/>
            <w:szCs w:val="24"/>
          </w:rPr>
          <w:t>www.arc.gov.au/era</w:t>
        </w:r>
      </w:hyperlink>
      <w:r w:rsidRPr="00514F3B">
        <w:rPr>
          <w:rFonts w:ascii="Times New Roman" w:hAnsi="Times New Roman" w:cs="Times New Roman"/>
          <w:sz w:val="24"/>
          <w:szCs w:val="24"/>
        </w:rPr>
        <w:t xml:space="preserve">. For a more user friendly presentation journal rankings, see John Lamp, Deakin University: </w:t>
      </w:r>
      <w:hyperlink r:id="rId14" w:history="1">
        <w:r w:rsidRPr="00514F3B">
          <w:rPr>
            <w:rStyle w:val="Hyperlink"/>
            <w:rFonts w:ascii="Times New Roman" w:hAnsi="Times New Roman" w:cs="Times New Roman"/>
            <w:sz w:val="24"/>
            <w:szCs w:val="24"/>
          </w:rPr>
          <w:t>http://lamp.infosys.deakin.edu.au/era</w:t>
        </w:r>
      </w:hyperlink>
      <w:r w:rsidRPr="00514F3B">
        <w:rPr>
          <w:rFonts w:ascii="Times New Roman" w:hAnsi="Times New Roman" w:cs="Times New Roman"/>
          <w:sz w:val="24"/>
          <w:szCs w:val="24"/>
        </w:rPr>
        <w:t xml:space="preserve">.  Downloaded on 9 March 2010.  Database:  Unknown.  Time Period:  2010.  Number of Journals:  640 (Economics).  Methodology: Perceptions of Committee Members (supported by submissions also based on perceptions). </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ABDC10.  </w:t>
      </w:r>
      <w:r w:rsidRPr="00514F3B">
        <w:rPr>
          <w:rFonts w:ascii="Times New Roman" w:hAnsi="Times New Roman" w:cs="Times New Roman"/>
          <w:sz w:val="24"/>
          <w:szCs w:val="24"/>
        </w:rPr>
        <w:t xml:space="preserve">Source: Australian Business Deans Council Journal Quality List (2010).  </w:t>
      </w:r>
      <w:hyperlink r:id="rId15" w:history="1">
        <w:r w:rsidRPr="00514F3B">
          <w:rPr>
            <w:rStyle w:val="Hyperlink"/>
            <w:rFonts w:ascii="Times New Roman" w:hAnsi="Times New Roman" w:cs="Times New Roman"/>
            <w:sz w:val="24"/>
            <w:szCs w:val="24"/>
          </w:rPr>
          <w:t>www.abdc.edu.au</w:t>
        </w:r>
      </w:hyperlink>
      <w:r w:rsidRPr="00514F3B">
        <w:rPr>
          <w:rFonts w:ascii="Times New Roman" w:hAnsi="Times New Roman" w:cs="Times New Roman"/>
          <w:sz w:val="24"/>
          <w:szCs w:val="24"/>
        </w:rPr>
        <w:t>, downloaded on 12 October 2012.  Database:  Unknown.  Time Period: 2010.  Number of Journals: 907 (Economics).  Methodology: Perceptions of Committee Members (supported by submissions, also based on perceptions).</w:t>
      </w:r>
    </w:p>
    <w:p w:rsidR="00D23766" w:rsidRPr="00514F3B" w:rsidRDefault="00D23766" w:rsidP="008E4CC0">
      <w:pPr>
        <w:pStyle w:val="ListParagraph"/>
        <w:spacing w:after="240" w:line="240" w:lineRule="auto"/>
        <w:ind w:left="567" w:hanging="567"/>
        <w:jc w:val="both"/>
        <w:rPr>
          <w:rFonts w:ascii="Times New Roman" w:hAnsi="Times New Roman" w:cs="Times New Roman"/>
          <w:b/>
          <w:sz w:val="24"/>
          <w:szCs w:val="24"/>
        </w:rPr>
      </w:pPr>
    </w:p>
    <w:p w:rsidR="00D23766" w:rsidRPr="00514F3B" w:rsidRDefault="00D23766" w:rsidP="008E4CC0">
      <w:pPr>
        <w:pStyle w:val="ListParagraph"/>
        <w:numPr>
          <w:ilvl w:val="0"/>
          <w:numId w:val="1"/>
        </w:numPr>
        <w:spacing w:after="240" w:line="240" w:lineRule="auto"/>
        <w:ind w:left="567" w:hanging="567"/>
        <w:jc w:val="both"/>
        <w:rPr>
          <w:rFonts w:ascii="Times New Roman" w:hAnsi="Times New Roman" w:cs="Times New Roman"/>
          <w:b/>
          <w:sz w:val="24"/>
          <w:szCs w:val="24"/>
        </w:rPr>
      </w:pPr>
      <w:r w:rsidRPr="00514F3B">
        <w:rPr>
          <w:rFonts w:ascii="Times New Roman" w:hAnsi="Times New Roman" w:cs="Times New Roman"/>
          <w:b/>
          <w:sz w:val="24"/>
          <w:szCs w:val="24"/>
        </w:rPr>
        <w:t xml:space="preserve">EQUAL.  </w:t>
      </w:r>
      <w:r w:rsidRPr="00514F3B">
        <w:rPr>
          <w:rFonts w:ascii="Times New Roman" w:hAnsi="Times New Roman" w:cs="Times New Roman"/>
          <w:sz w:val="24"/>
          <w:szCs w:val="24"/>
        </w:rPr>
        <w:t xml:space="preserve">All journals listed in </w:t>
      </w:r>
      <w:r w:rsidRPr="00355FD7">
        <w:rPr>
          <w:rFonts w:ascii="Times New Roman" w:hAnsi="Times New Roman" w:cs="Times New Roman"/>
          <w:i/>
          <w:sz w:val="24"/>
          <w:szCs w:val="24"/>
        </w:rPr>
        <w:t>EconLit</w:t>
      </w:r>
      <w:r w:rsidRPr="00514F3B">
        <w:rPr>
          <w:rFonts w:ascii="Times New Roman" w:hAnsi="Times New Roman" w:cs="Times New Roman"/>
          <w:sz w:val="24"/>
          <w:szCs w:val="24"/>
        </w:rPr>
        <w:t xml:space="preserve"> (as at 17 July 2012), and articles and pages therein, are deemed to be of equal value.  Number of Journals: +/- 1300.</w:t>
      </w:r>
    </w:p>
    <w:p w:rsidR="00D23766" w:rsidRPr="00514F3B" w:rsidRDefault="00D23766" w:rsidP="008E4CC0">
      <w:pPr>
        <w:pStyle w:val="ListParagraph"/>
        <w:ind w:left="567" w:hanging="567"/>
        <w:jc w:val="both"/>
        <w:rPr>
          <w:rFonts w:ascii="Times New Roman" w:hAnsi="Times New Roman" w:cs="Times New Roman"/>
          <w:b/>
          <w:sz w:val="24"/>
          <w:szCs w:val="24"/>
        </w:rPr>
      </w:pPr>
    </w:p>
    <w:p w:rsidR="00C87B17" w:rsidRPr="00514F3B" w:rsidRDefault="00C87B17" w:rsidP="00514F3B">
      <w:pPr>
        <w:tabs>
          <w:tab w:val="left" w:pos="426"/>
        </w:tabs>
        <w:jc w:val="both"/>
        <w:rPr>
          <w:rFonts w:ascii="Times New Roman" w:hAnsi="Times New Roman" w:cs="Times New Roman"/>
          <w:sz w:val="24"/>
          <w:szCs w:val="24"/>
        </w:rPr>
      </w:pPr>
      <w:r w:rsidRPr="00514F3B">
        <w:rPr>
          <w:rFonts w:ascii="Times New Roman" w:hAnsi="Times New Roman" w:cs="Times New Roman"/>
          <w:sz w:val="24"/>
          <w:szCs w:val="24"/>
        </w:rPr>
        <w:br w:type="page"/>
      </w:r>
    </w:p>
    <w:tbl>
      <w:tblPr>
        <w:tblW w:w="8520" w:type="dxa"/>
        <w:jc w:val="center"/>
        <w:tblInd w:w="93" w:type="dxa"/>
        <w:tblLook w:val="04A0"/>
      </w:tblPr>
      <w:tblGrid>
        <w:gridCol w:w="2120"/>
        <w:gridCol w:w="1740"/>
        <w:gridCol w:w="1680"/>
        <w:gridCol w:w="1500"/>
        <w:gridCol w:w="1480"/>
      </w:tblGrid>
      <w:tr w:rsidR="004A01DE" w:rsidRPr="00514F3B" w:rsidTr="008A1B84">
        <w:trPr>
          <w:trHeight w:val="315"/>
          <w:jc w:val="center"/>
        </w:trPr>
        <w:tc>
          <w:tcPr>
            <w:tcW w:w="8520" w:type="dxa"/>
            <w:gridSpan w:val="5"/>
            <w:tcBorders>
              <w:top w:val="nil"/>
              <w:left w:val="nil"/>
              <w:bottom w:val="single" w:sz="4" w:space="0" w:color="auto"/>
              <w:right w:val="nil"/>
            </w:tcBorders>
            <w:shd w:val="clear" w:color="auto" w:fill="auto"/>
            <w:noWrap/>
            <w:vAlign w:val="bottom"/>
            <w:hideMark/>
          </w:tcPr>
          <w:p w:rsidR="00355FD7" w:rsidRDefault="004A01DE" w:rsidP="008A1B84">
            <w:pPr>
              <w:tabs>
                <w:tab w:val="left" w:pos="426"/>
              </w:tabs>
              <w:spacing w:after="0" w:line="240" w:lineRule="auto"/>
              <w:jc w:val="center"/>
              <w:rPr>
                <w:rFonts w:ascii="Times New Roman" w:eastAsia="Times New Roman" w:hAnsi="Times New Roman" w:cs="Times New Roman"/>
                <w:b/>
                <w:bCs/>
                <w:color w:val="000000"/>
                <w:sz w:val="24"/>
                <w:szCs w:val="24"/>
                <w:lang w:val="en-NZ" w:eastAsia="zh-CN"/>
              </w:rPr>
            </w:pPr>
            <w:r w:rsidRPr="00514F3B">
              <w:rPr>
                <w:rFonts w:ascii="Times New Roman" w:eastAsia="Times New Roman" w:hAnsi="Times New Roman" w:cs="Times New Roman"/>
                <w:b/>
                <w:bCs/>
                <w:color w:val="000000"/>
                <w:sz w:val="24"/>
                <w:szCs w:val="24"/>
                <w:lang w:val="en-NZ" w:eastAsia="zh-CN"/>
              </w:rPr>
              <w:lastRenderedPageBreak/>
              <w:t>Appendix 2A</w:t>
            </w:r>
          </w:p>
          <w:p w:rsidR="008A1B84" w:rsidRPr="00D219EE" w:rsidRDefault="008A1B84" w:rsidP="008A1B84">
            <w:pPr>
              <w:tabs>
                <w:tab w:val="left" w:pos="426"/>
              </w:tabs>
              <w:spacing w:after="0" w:line="240" w:lineRule="auto"/>
              <w:jc w:val="center"/>
              <w:rPr>
                <w:rFonts w:ascii="Times New Roman" w:eastAsia="Times New Roman" w:hAnsi="Times New Roman" w:cs="Times New Roman"/>
                <w:b/>
                <w:bCs/>
                <w:color w:val="000000"/>
                <w:sz w:val="12"/>
                <w:szCs w:val="12"/>
                <w:lang w:val="en-NZ" w:eastAsia="zh-CN"/>
              </w:rPr>
            </w:pPr>
          </w:p>
          <w:p w:rsidR="004A01DE" w:rsidRPr="00514F3B" w:rsidRDefault="004A01DE" w:rsidP="008A1B84">
            <w:pPr>
              <w:tabs>
                <w:tab w:val="left" w:pos="426"/>
              </w:tabs>
              <w:spacing w:after="0" w:line="240" w:lineRule="auto"/>
              <w:jc w:val="center"/>
              <w:rPr>
                <w:rFonts w:ascii="Times New Roman" w:eastAsia="Times New Roman" w:hAnsi="Times New Roman" w:cs="Times New Roman"/>
                <w:b/>
                <w:bCs/>
                <w:color w:val="000000"/>
                <w:sz w:val="24"/>
                <w:szCs w:val="24"/>
                <w:lang w:val="en-NZ" w:eastAsia="zh-CN"/>
              </w:rPr>
            </w:pPr>
            <w:r w:rsidRPr="00514F3B">
              <w:rPr>
                <w:rFonts w:ascii="Times New Roman" w:eastAsia="Times New Roman" w:hAnsi="Times New Roman" w:cs="Times New Roman"/>
                <w:b/>
                <w:bCs/>
                <w:color w:val="000000"/>
                <w:sz w:val="24"/>
                <w:szCs w:val="24"/>
                <w:lang w:val="en-NZ" w:eastAsia="zh-CN"/>
              </w:rPr>
              <w:t>Comparison of Standardized Scores, 06-11 relative to 94-99</w:t>
            </w:r>
          </w:p>
          <w:p w:rsidR="004A01DE" w:rsidRPr="008A1B84" w:rsidRDefault="004A01DE" w:rsidP="008A1B84">
            <w:pPr>
              <w:tabs>
                <w:tab w:val="left" w:pos="426"/>
              </w:tabs>
              <w:spacing w:after="0" w:line="240" w:lineRule="auto"/>
              <w:jc w:val="center"/>
              <w:rPr>
                <w:rFonts w:ascii="Times New Roman" w:eastAsia="Times New Roman" w:hAnsi="Times New Roman" w:cs="Times New Roman"/>
                <w:bCs/>
                <w:color w:val="000000"/>
                <w:sz w:val="24"/>
                <w:szCs w:val="24"/>
                <w:lang w:val="en-NZ" w:eastAsia="zh-CN"/>
              </w:rPr>
            </w:pPr>
            <w:r w:rsidRPr="008A1B84">
              <w:rPr>
                <w:rFonts w:ascii="Times New Roman" w:eastAsia="Times New Roman" w:hAnsi="Times New Roman" w:cs="Times New Roman"/>
                <w:bCs/>
                <w:color w:val="000000"/>
                <w:sz w:val="24"/>
                <w:szCs w:val="24"/>
                <w:lang w:val="en-NZ" w:eastAsia="zh-CN"/>
              </w:rPr>
              <w:t>(94-99 Scores Set to 100.0)</w:t>
            </w:r>
          </w:p>
          <w:p w:rsidR="008A1B84" w:rsidRPr="008A1B84" w:rsidRDefault="008A1B84" w:rsidP="008A1B84">
            <w:pPr>
              <w:tabs>
                <w:tab w:val="left" w:pos="426"/>
              </w:tabs>
              <w:spacing w:after="0" w:line="240" w:lineRule="auto"/>
              <w:jc w:val="center"/>
              <w:rPr>
                <w:rFonts w:ascii="Times New Roman" w:eastAsia="Times New Roman" w:hAnsi="Times New Roman" w:cs="Times New Roman"/>
                <w:b/>
                <w:bCs/>
                <w:color w:val="000000"/>
                <w:sz w:val="10"/>
                <w:szCs w:val="10"/>
                <w:lang w:val="en-NZ" w:eastAsia="zh-CN"/>
              </w:rPr>
            </w:pPr>
          </w:p>
        </w:tc>
      </w:tr>
      <w:tr w:rsidR="00C44785" w:rsidRPr="00514F3B" w:rsidTr="008A1B84">
        <w:trPr>
          <w:trHeight w:val="300"/>
          <w:jc w:val="center"/>
        </w:trPr>
        <w:tc>
          <w:tcPr>
            <w:tcW w:w="2120" w:type="dxa"/>
            <w:tcBorders>
              <w:top w:val="single" w:sz="4" w:space="0" w:color="auto"/>
              <w:left w:val="nil"/>
              <w:bottom w:val="nil"/>
              <w:right w:val="nil"/>
            </w:tcBorders>
            <w:shd w:val="clear" w:color="auto" w:fill="auto"/>
            <w:vAlign w:val="bottom"/>
          </w:tcPr>
          <w:p w:rsidR="00C44785" w:rsidRPr="00C44785" w:rsidRDefault="00C44785" w:rsidP="00CB0B68">
            <w:pPr>
              <w:spacing w:after="0" w:line="240" w:lineRule="auto"/>
              <w:rPr>
                <w:rFonts w:asciiTheme="majorBidi" w:eastAsia="Times New Roman" w:hAnsiTheme="majorBidi" w:cstheme="majorBidi"/>
                <w:lang w:val="en-NZ" w:eastAsia="zh-CN"/>
              </w:rPr>
            </w:pPr>
            <w:r w:rsidRPr="00C44785">
              <w:rPr>
                <w:rFonts w:asciiTheme="majorBidi" w:eastAsia="Times New Roman" w:hAnsiTheme="majorBidi" w:cstheme="majorBidi"/>
                <w:lang w:val="en-NZ" w:eastAsia="zh-CN"/>
              </w:rPr>
              <w:t>Journal Weighting Scheme</w:t>
            </w:r>
          </w:p>
        </w:tc>
        <w:tc>
          <w:tcPr>
            <w:tcW w:w="1740" w:type="dxa"/>
            <w:tcBorders>
              <w:top w:val="single" w:sz="4" w:space="0" w:color="auto"/>
              <w:left w:val="nil"/>
              <w:bottom w:val="nil"/>
              <w:right w:val="nil"/>
            </w:tcBorders>
            <w:shd w:val="clear" w:color="auto" w:fill="auto"/>
            <w:noWrap/>
            <w:vAlign w:val="bottom"/>
          </w:tcPr>
          <w:p w:rsidR="00C44785" w:rsidRPr="00C44785" w:rsidRDefault="00C44785" w:rsidP="00CB0B68">
            <w:pPr>
              <w:spacing w:after="0" w:line="240" w:lineRule="auto"/>
              <w:jc w:val="center"/>
              <w:rPr>
                <w:rFonts w:asciiTheme="majorBidi" w:eastAsia="Times New Roman" w:hAnsiTheme="majorBidi" w:cstheme="majorBidi"/>
                <w:lang w:val="en-NZ" w:eastAsia="zh-CN"/>
              </w:rPr>
            </w:pPr>
            <w:r w:rsidRPr="00C44785">
              <w:rPr>
                <w:rFonts w:asciiTheme="majorBidi" w:eastAsia="Times New Roman" w:hAnsiTheme="majorBidi" w:cstheme="majorBidi"/>
                <w:lang w:val="en-NZ" w:eastAsia="zh-CN"/>
              </w:rPr>
              <w:t>Adjusted Papers/ Capita</w:t>
            </w:r>
          </w:p>
        </w:tc>
        <w:tc>
          <w:tcPr>
            <w:tcW w:w="1680" w:type="dxa"/>
            <w:tcBorders>
              <w:top w:val="single" w:sz="4" w:space="0" w:color="auto"/>
              <w:left w:val="nil"/>
              <w:bottom w:val="nil"/>
              <w:right w:val="nil"/>
            </w:tcBorders>
            <w:shd w:val="clear" w:color="auto" w:fill="auto"/>
            <w:noWrap/>
            <w:vAlign w:val="bottom"/>
          </w:tcPr>
          <w:p w:rsidR="00C44785" w:rsidRPr="00C44785" w:rsidRDefault="00C44785" w:rsidP="00CB0B68">
            <w:pPr>
              <w:spacing w:after="0" w:line="240" w:lineRule="auto"/>
              <w:jc w:val="center"/>
              <w:rPr>
                <w:rFonts w:asciiTheme="majorBidi" w:eastAsia="Times New Roman" w:hAnsiTheme="majorBidi" w:cstheme="majorBidi"/>
                <w:lang w:val="en-NZ" w:eastAsia="zh-CN"/>
              </w:rPr>
            </w:pPr>
            <w:r w:rsidRPr="00C44785">
              <w:rPr>
                <w:rFonts w:asciiTheme="majorBidi" w:eastAsia="Times New Roman" w:hAnsiTheme="majorBidi" w:cstheme="majorBidi"/>
                <w:lang w:val="en-NZ" w:eastAsia="zh-CN"/>
              </w:rPr>
              <w:t>Adjusted Pages/ Capita</w:t>
            </w:r>
          </w:p>
        </w:tc>
        <w:tc>
          <w:tcPr>
            <w:tcW w:w="1500" w:type="dxa"/>
            <w:tcBorders>
              <w:top w:val="single" w:sz="4" w:space="0" w:color="auto"/>
              <w:left w:val="nil"/>
              <w:bottom w:val="nil"/>
              <w:right w:val="nil"/>
            </w:tcBorders>
            <w:shd w:val="clear" w:color="auto" w:fill="auto"/>
            <w:noWrap/>
            <w:vAlign w:val="bottom"/>
          </w:tcPr>
          <w:p w:rsidR="00C44785" w:rsidRPr="00C44785" w:rsidRDefault="00C44785" w:rsidP="00CB0B68">
            <w:pPr>
              <w:spacing w:after="0" w:line="240" w:lineRule="auto"/>
              <w:jc w:val="center"/>
              <w:rPr>
                <w:rFonts w:asciiTheme="majorBidi" w:eastAsia="Times New Roman" w:hAnsiTheme="majorBidi" w:cstheme="majorBidi"/>
                <w:lang w:val="en-NZ" w:eastAsia="zh-CN"/>
              </w:rPr>
            </w:pPr>
            <w:r w:rsidRPr="00C44785">
              <w:rPr>
                <w:rFonts w:asciiTheme="majorBidi" w:eastAsia="Times New Roman" w:hAnsiTheme="majorBidi" w:cstheme="majorBidi"/>
                <w:lang w:val="en-NZ" w:eastAsia="zh-CN"/>
              </w:rPr>
              <w:t xml:space="preserve"> Score/ Adjusted Paper</w:t>
            </w:r>
          </w:p>
        </w:tc>
        <w:tc>
          <w:tcPr>
            <w:tcW w:w="1480" w:type="dxa"/>
            <w:tcBorders>
              <w:top w:val="single" w:sz="4" w:space="0" w:color="auto"/>
              <w:left w:val="nil"/>
              <w:bottom w:val="nil"/>
              <w:right w:val="nil"/>
            </w:tcBorders>
            <w:shd w:val="clear" w:color="auto" w:fill="auto"/>
            <w:noWrap/>
            <w:vAlign w:val="bottom"/>
          </w:tcPr>
          <w:p w:rsidR="00C44785" w:rsidRPr="00C44785" w:rsidRDefault="00C44785" w:rsidP="00CB0B68">
            <w:pPr>
              <w:spacing w:after="0" w:line="240" w:lineRule="auto"/>
              <w:jc w:val="center"/>
              <w:rPr>
                <w:rFonts w:asciiTheme="majorBidi" w:eastAsia="Times New Roman" w:hAnsiTheme="majorBidi" w:cstheme="majorBidi"/>
                <w:lang w:val="en-NZ" w:eastAsia="zh-CN"/>
              </w:rPr>
            </w:pPr>
            <w:r w:rsidRPr="00C44785">
              <w:rPr>
                <w:rFonts w:asciiTheme="majorBidi" w:eastAsia="Times New Roman" w:hAnsiTheme="majorBidi" w:cstheme="majorBidi"/>
                <w:lang w:val="en-NZ" w:eastAsia="zh-CN"/>
              </w:rPr>
              <w:t>Score/ Adjusted Page</w:t>
            </w:r>
          </w:p>
        </w:tc>
      </w:tr>
      <w:tr w:rsidR="004A01DE" w:rsidRPr="00514F3B" w:rsidTr="008A1B84">
        <w:trPr>
          <w:trHeight w:val="300"/>
          <w:jc w:val="center"/>
        </w:trPr>
        <w:tc>
          <w:tcPr>
            <w:tcW w:w="2120" w:type="dxa"/>
            <w:tcBorders>
              <w:top w:val="single" w:sz="4" w:space="0" w:color="auto"/>
              <w:left w:val="nil"/>
              <w:bottom w:val="nil"/>
              <w:right w:val="nil"/>
            </w:tcBorders>
            <w:shd w:val="clear" w:color="auto" w:fill="auto"/>
            <w:vAlign w:val="bottom"/>
            <w:hideMark/>
          </w:tcPr>
          <w:p w:rsidR="004A01DE" w:rsidRPr="008A1B84" w:rsidRDefault="004A01DE" w:rsidP="008E4CC0">
            <w:pPr>
              <w:tabs>
                <w:tab w:val="left" w:pos="426"/>
              </w:tabs>
              <w:spacing w:before="100"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LP84</w:t>
            </w:r>
          </w:p>
        </w:tc>
        <w:tc>
          <w:tcPr>
            <w:tcW w:w="1740" w:type="dxa"/>
            <w:tcBorders>
              <w:top w:val="single" w:sz="4" w:space="0" w:color="auto"/>
              <w:left w:val="nil"/>
              <w:bottom w:val="nil"/>
              <w:right w:val="nil"/>
            </w:tcBorders>
            <w:shd w:val="clear" w:color="auto" w:fill="auto"/>
            <w:noWrap/>
            <w:vAlign w:val="bottom"/>
            <w:hideMark/>
          </w:tcPr>
          <w:p w:rsidR="004A01DE" w:rsidRPr="008A1B84" w:rsidRDefault="004A01DE" w:rsidP="008E4CC0">
            <w:pPr>
              <w:tabs>
                <w:tab w:val="left" w:pos="426"/>
              </w:tabs>
              <w:spacing w:before="100"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82.36</w:t>
            </w:r>
          </w:p>
        </w:tc>
        <w:tc>
          <w:tcPr>
            <w:tcW w:w="1680" w:type="dxa"/>
            <w:tcBorders>
              <w:top w:val="single" w:sz="4" w:space="0" w:color="auto"/>
              <w:left w:val="nil"/>
              <w:bottom w:val="nil"/>
              <w:right w:val="nil"/>
            </w:tcBorders>
            <w:shd w:val="clear" w:color="auto" w:fill="auto"/>
            <w:noWrap/>
            <w:vAlign w:val="bottom"/>
            <w:hideMark/>
          </w:tcPr>
          <w:p w:rsidR="004A01DE" w:rsidRPr="008A1B84" w:rsidRDefault="004A01DE" w:rsidP="008E4CC0">
            <w:pPr>
              <w:tabs>
                <w:tab w:val="left" w:pos="426"/>
              </w:tabs>
              <w:spacing w:before="100"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104.71</w:t>
            </w:r>
          </w:p>
        </w:tc>
        <w:tc>
          <w:tcPr>
            <w:tcW w:w="1500" w:type="dxa"/>
            <w:tcBorders>
              <w:top w:val="single" w:sz="4" w:space="0" w:color="auto"/>
              <w:left w:val="nil"/>
              <w:bottom w:val="nil"/>
              <w:right w:val="nil"/>
            </w:tcBorders>
            <w:shd w:val="clear" w:color="auto" w:fill="auto"/>
            <w:noWrap/>
            <w:vAlign w:val="bottom"/>
            <w:hideMark/>
          </w:tcPr>
          <w:p w:rsidR="004A01DE" w:rsidRPr="008A1B84" w:rsidRDefault="004A01DE" w:rsidP="008E4CC0">
            <w:pPr>
              <w:tabs>
                <w:tab w:val="left" w:pos="426"/>
              </w:tabs>
              <w:spacing w:before="100"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62.31</w:t>
            </w:r>
          </w:p>
        </w:tc>
        <w:tc>
          <w:tcPr>
            <w:tcW w:w="1480" w:type="dxa"/>
            <w:tcBorders>
              <w:top w:val="single" w:sz="4" w:space="0" w:color="auto"/>
              <w:left w:val="nil"/>
              <w:bottom w:val="nil"/>
              <w:right w:val="nil"/>
            </w:tcBorders>
            <w:shd w:val="clear" w:color="auto" w:fill="auto"/>
            <w:noWrap/>
            <w:vAlign w:val="bottom"/>
            <w:hideMark/>
          </w:tcPr>
          <w:p w:rsidR="004A01DE" w:rsidRPr="008A1B84" w:rsidRDefault="004A01DE" w:rsidP="008E4CC0">
            <w:pPr>
              <w:tabs>
                <w:tab w:val="left" w:pos="426"/>
              </w:tabs>
              <w:spacing w:before="100"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64.44</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LP94</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68.75</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73.81</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52.00</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45.33</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KMS2003</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77.25</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82.97</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58.48</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50.93</w:t>
            </w:r>
          </w:p>
        </w:tc>
      </w:tr>
      <w:tr w:rsidR="004A01DE" w:rsidRPr="00514F3B" w:rsidTr="004A01DE">
        <w:trPr>
          <w:trHeight w:val="300"/>
          <w:jc w:val="center"/>
        </w:trPr>
        <w:tc>
          <w:tcPr>
            <w:tcW w:w="212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KMS2010</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86.54</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104.27</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65.38</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64.10</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KYEI</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101.70</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125.33</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77.02</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77.14</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KYOI</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102.72</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126.46</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77.82</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77.80</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KYPI</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115.34</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143.08</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87.32</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88.01</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CLd</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114.57</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138.98</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86.68</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85.37</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CLm</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116.82</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138.26</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88.40</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84.93</w:t>
            </w:r>
          </w:p>
        </w:tc>
      </w:tr>
      <w:tr w:rsidR="004A01DE" w:rsidRPr="00514F3B" w:rsidTr="004A01DE">
        <w:trPr>
          <w:trHeight w:val="300"/>
          <w:jc w:val="center"/>
        </w:trPr>
        <w:tc>
          <w:tcPr>
            <w:tcW w:w="212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color w:val="000000"/>
                <w:lang w:val="en-NZ" w:eastAsia="zh-CN"/>
              </w:rPr>
            </w:pPr>
            <w:r w:rsidRPr="008A1B84">
              <w:rPr>
                <w:rFonts w:ascii="Times New Roman" w:eastAsia="Times New Roman" w:hAnsi="Times New Roman" w:cs="Times New Roman"/>
                <w:bCs/>
                <w:color w:val="000000"/>
                <w:lang w:val="en-NZ" w:eastAsia="zh-CN"/>
              </w:rPr>
              <w:t>CLh</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96.43</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111.35</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72.96</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68.43</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Gibson</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110.27</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122.34</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81.42</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76.28</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CoupeIF</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112.07</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136.87</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86.51</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84.17</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Bauwens</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117.63</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141.07</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88.84</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86.49</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Scopus SJR</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123.74</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150.67</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94.04</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92.60</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Scopus SNID</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129.68</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159.83</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97.54</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98.47</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RePEcsif</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122.40</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156.08</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92.47</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95.90</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JCRIF11</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135.26</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165.02</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103.38</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101.97</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MSF</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98.53</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118.68</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74.20</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72.68</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ESA</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122.14</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147.22</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92.53</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90.40</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ERA</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124.91</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150.32</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94.56</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92.27</w:t>
            </w:r>
          </w:p>
        </w:tc>
      </w:tr>
      <w:tr w:rsidR="004A01DE" w:rsidRPr="00514F3B" w:rsidTr="004A01DE">
        <w:trPr>
          <w:trHeight w:val="300"/>
          <w:jc w:val="center"/>
        </w:trPr>
        <w:tc>
          <w:tcPr>
            <w:tcW w:w="2120" w:type="dxa"/>
            <w:tcBorders>
              <w:top w:val="nil"/>
              <w:left w:val="nil"/>
              <w:bottom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ABDC10</w:t>
            </w:r>
          </w:p>
        </w:tc>
        <w:tc>
          <w:tcPr>
            <w:tcW w:w="174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112.39</w:t>
            </w:r>
          </w:p>
        </w:tc>
        <w:tc>
          <w:tcPr>
            <w:tcW w:w="16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137.83</w:t>
            </w:r>
          </w:p>
        </w:tc>
        <w:tc>
          <w:tcPr>
            <w:tcW w:w="150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85.08</w:t>
            </w:r>
          </w:p>
        </w:tc>
        <w:tc>
          <w:tcPr>
            <w:tcW w:w="1480" w:type="dxa"/>
            <w:tcBorders>
              <w:top w:val="nil"/>
              <w:left w:val="nil"/>
              <w:bottom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84.76</w:t>
            </w:r>
          </w:p>
        </w:tc>
      </w:tr>
      <w:tr w:rsidR="004A01DE" w:rsidRPr="00514F3B" w:rsidTr="008A1B84">
        <w:trPr>
          <w:trHeight w:val="300"/>
          <w:jc w:val="center"/>
        </w:trPr>
        <w:tc>
          <w:tcPr>
            <w:tcW w:w="2120" w:type="dxa"/>
            <w:tcBorders>
              <w:top w:val="nil"/>
              <w:left w:val="nil"/>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lang w:val="en-NZ" w:eastAsia="zh-CN"/>
              </w:rPr>
            </w:pPr>
            <w:r w:rsidRPr="008A1B84">
              <w:rPr>
                <w:rFonts w:ascii="Times New Roman" w:eastAsia="Times New Roman" w:hAnsi="Times New Roman" w:cs="Times New Roman"/>
                <w:bCs/>
                <w:lang w:val="en-NZ" w:eastAsia="zh-CN"/>
              </w:rPr>
              <w:t>EQUAL</w:t>
            </w:r>
          </w:p>
        </w:tc>
        <w:tc>
          <w:tcPr>
            <w:tcW w:w="1740" w:type="dxa"/>
            <w:tcBorders>
              <w:top w:val="nil"/>
              <w:left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132.37</w:t>
            </w:r>
          </w:p>
        </w:tc>
        <w:tc>
          <w:tcPr>
            <w:tcW w:w="1680" w:type="dxa"/>
            <w:tcBorders>
              <w:top w:val="nil"/>
              <w:left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162.76</w:t>
            </w:r>
          </w:p>
        </w:tc>
        <w:tc>
          <w:tcPr>
            <w:tcW w:w="1500" w:type="dxa"/>
            <w:tcBorders>
              <w:top w:val="nil"/>
              <w:left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100.00</w:t>
            </w:r>
          </w:p>
        </w:tc>
        <w:tc>
          <w:tcPr>
            <w:tcW w:w="1480" w:type="dxa"/>
            <w:tcBorders>
              <w:top w:val="nil"/>
              <w:left w:val="nil"/>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100.00</w:t>
            </w:r>
          </w:p>
        </w:tc>
      </w:tr>
      <w:tr w:rsidR="004A01DE" w:rsidRPr="00514F3B" w:rsidTr="008A1B84">
        <w:trPr>
          <w:trHeight w:val="300"/>
          <w:jc w:val="center"/>
        </w:trPr>
        <w:tc>
          <w:tcPr>
            <w:tcW w:w="2120" w:type="dxa"/>
            <w:tcBorders>
              <w:top w:val="nil"/>
              <w:left w:val="nil"/>
              <w:bottom w:val="single" w:sz="4" w:space="0" w:color="auto"/>
              <w:right w:val="nil"/>
            </w:tcBorders>
            <w:shd w:val="clear" w:color="auto" w:fill="auto"/>
            <w:vAlign w:val="bottom"/>
            <w:hideMark/>
          </w:tcPr>
          <w:p w:rsidR="004A01DE" w:rsidRPr="008A1B84" w:rsidRDefault="004A01DE" w:rsidP="008E4CC0">
            <w:pPr>
              <w:tabs>
                <w:tab w:val="left" w:pos="426"/>
              </w:tabs>
              <w:spacing w:after="0" w:line="360" w:lineRule="auto"/>
              <w:jc w:val="both"/>
              <w:rPr>
                <w:rFonts w:ascii="Times New Roman" w:eastAsia="Times New Roman" w:hAnsi="Times New Roman" w:cs="Times New Roman"/>
                <w:bCs/>
                <w:i/>
                <w:iCs/>
                <w:lang w:val="en-NZ" w:eastAsia="zh-CN"/>
              </w:rPr>
            </w:pPr>
            <w:r w:rsidRPr="008A1B84">
              <w:rPr>
                <w:rFonts w:ascii="Times New Roman" w:eastAsia="Times New Roman" w:hAnsi="Times New Roman" w:cs="Times New Roman"/>
                <w:bCs/>
                <w:i/>
                <w:iCs/>
                <w:lang w:val="en-NZ" w:eastAsia="zh-CN"/>
              </w:rPr>
              <w:t>Average</w:t>
            </w:r>
          </w:p>
        </w:tc>
        <w:tc>
          <w:tcPr>
            <w:tcW w:w="1740" w:type="dxa"/>
            <w:tcBorders>
              <w:top w:val="nil"/>
              <w:left w:val="nil"/>
              <w:bottom w:val="single" w:sz="4" w:space="0" w:color="auto"/>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109.27</w:t>
            </w:r>
          </w:p>
        </w:tc>
        <w:tc>
          <w:tcPr>
            <w:tcW w:w="1680" w:type="dxa"/>
            <w:tcBorders>
              <w:top w:val="nil"/>
              <w:left w:val="nil"/>
              <w:bottom w:val="single" w:sz="4" w:space="0" w:color="auto"/>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131.72</w:t>
            </w:r>
          </w:p>
        </w:tc>
        <w:tc>
          <w:tcPr>
            <w:tcW w:w="1500" w:type="dxa"/>
            <w:tcBorders>
              <w:top w:val="nil"/>
              <w:left w:val="nil"/>
              <w:bottom w:val="single" w:sz="4" w:space="0" w:color="auto"/>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82.68</w:t>
            </w:r>
          </w:p>
        </w:tc>
        <w:tc>
          <w:tcPr>
            <w:tcW w:w="1480" w:type="dxa"/>
            <w:tcBorders>
              <w:top w:val="nil"/>
              <w:left w:val="nil"/>
              <w:bottom w:val="single" w:sz="4" w:space="0" w:color="auto"/>
              <w:right w:val="nil"/>
            </w:tcBorders>
            <w:shd w:val="clear" w:color="auto" w:fill="auto"/>
            <w:noWrap/>
            <w:vAlign w:val="bottom"/>
            <w:hideMark/>
          </w:tcPr>
          <w:p w:rsidR="004A01DE" w:rsidRPr="008A1B84" w:rsidRDefault="004A01DE" w:rsidP="008E4CC0">
            <w:pPr>
              <w:tabs>
                <w:tab w:val="left" w:pos="426"/>
              </w:tabs>
              <w:spacing w:after="0" w:line="360" w:lineRule="auto"/>
              <w:ind w:right="46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81.02</w:t>
            </w:r>
          </w:p>
        </w:tc>
      </w:tr>
    </w:tbl>
    <w:p w:rsidR="004A01DE" w:rsidRPr="00514F3B" w:rsidRDefault="004A01DE" w:rsidP="00514F3B">
      <w:pPr>
        <w:tabs>
          <w:tab w:val="left" w:pos="426"/>
        </w:tabs>
        <w:jc w:val="both"/>
        <w:rPr>
          <w:rFonts w:ascii="Times New Roman" w:hAnsi="Times New Roman" w:cs="Times New Roman"/>
          <w:b/>
          <w:sz w:val="24"/>
          <w:szCs w:val="24"/>
        </w:rPr>
      </w:pPr>
    </w:p>
    <w:p w:rsidR="004A01DE" w:rsidRPr="00514F3B" w:rsidRDefault="004A01DE" w:rsidP="00514F3B">
      <w:pPr>
        <w:tabs>
          <w:tab w:val="left" w:pos="426"/>
        </w:tabs>
        <w:jc w:val="both"/>
        <w:rPr>
          <w:rFonts w:ascii="Times New Roman" w:hAnsi="Times New Roman" w:cs="Times New Roman"/>
          <w:b/>
          <w:sz w:val="24"/>
          <w:szCs w:val="24"/>
        </w:rPr>
      </w:pPr>
    </w:p>
    <w:p w:rsidR="004A01DE" w:rsidRPr="00514F3B" w:rsidRDefault="004A01DE" w:rsidP="00514F3B">
      <w:pPr>
        <w:tabs>
          <w:tab w:val="left" w:pos="426"/>
        </w:tabs>
        <w:jc w:val="both"/>
        <w:rPr>
          <w:rFonts w:ascii="Times New Roman" w:hAnsi="Times New Roman" w:cs="Times New Roman"/>
          <w:sz w:val="24"/>
          <w:szCs w:val="24"/>
        </w:rPr>
      </w:pPr>
      <w:r w:rsidRPr="00514F3B">
        <w:rPr>
          <w:rFonts w:ascii="Times New Roman" w:hAnsi="Times New Roman" w:cs="Times New Roman"/>
          <w:sz w:val="24"/>
          <w:szCs w:val="24"/>
        </w:rPr>
        <w:br w:type="page"/>
      </w:r>
    </w:p>
    <w:tbl>
      <w:tblPr>
        <w:tblW w:w="7380" w:type="dxa"/>
        <w:jc w:val="center"/>
        <w:tblInd w:w="93" w:type="dxa"/>
        <w:tblLook w:val="04A0"/>
      </w:tblPr>
      <w:tblGrid>
        <w:gridCol w:w="1600"/>
        <w:gridCol w:w="1520"/>
        <w:gridCol w:w="1360"/>
        <w:gridCol w:w="1420"/>
        <w:gridCol w:w="1480"/>
      </w:tblGrid>
      <w:tr w:rsidR="004A01DE" w:rsidRPr="008A1B84" w:rsidTr="00C66FB2">
        <w:trPr>
          <w:trHeight w:val="315"/>
          <w:jc w:val="center"/>
        </w:trPr>
        <w:tc>
          <w:tcPr>
            <w:tcW w:w="7380" w:type="dxa"/>
            <w:gridSpan w:val="5"/>
            <w:tcBorders>
              <w:top w:val="nil"/>
              <w:left w:val="nil"/>
              <w:bottom w:val="nil"/>
              <w:right w:val="nil"/>
            </w:tcBorders>
            <w:shd w:val="clear" w:color="auto" w:fill="auto"/>
            <w:noWrap/>
            <w:vAlign w:val="bottom"/>
            <w:hideMark/>
          </w:tcPr>
          <w:p w:rsidR="00D219EE" w:rsidRPr="00D219EE" w:rsidRDefault="004A01DE" w:rsidP="00D219EE">
            <w:pPr>
              <w:tabs>
                <w:tab w:val="left" w:pos="426"/>
              </w:tabs>
              <w:spacing w:after="0" w:line="240" w:lineRule="auto"/>
              <w:jc w:val="center"/>
              <w:rPr>
                <w:rFonts w:ascii="Times New Roman" w:eastAsia="Times New Roman" w:hAnsi="Times New Roman" w:cs="Times New Roman"/>
                <w:b/>
                <w:bCs/>
                <w:color w:val="000000"/>
                <w:lang w:val="en-NZ" w:eastAsia="zh-CN"/>
              </w:rPr>
            </w:pPr>
            <w:r w:rsidRPr="00D219EE">
              <w:rPr>
                <w:rFonts w:ascii="Times New Roman" w:eastAsia="Times New Roman" w:hAnsi="Times New Roman" w:cs="Times New Roman"/>
                <w:b/>
                <w:bCs/>
                <w:color w:val="000000"/>
                <w:lang w:val="en-NZ" w:eastAsia="zh-CN"/>
              </w:rPr>
              <w:lastRenderedPageBreak/>
              <w:t>Appendix 2B</w:t>
            </w:r>
          </w:p>
          <w:p w:rsidR="00D219EE" w:rsidRPr="00D219EE" w:rsidRDefault="00D219EE" w:rsidP="00D219EE">
            <w:pPr>
              <w:tabs>
                <w:tab w:val="left" w:pos="426"/>
              </w:tabs>
              <w:spacing w:after="0" w:line="240" w:lineRule="auto"/>
              <w:jc w:val="center"/>
              <w:rPr>
                <w:rFonts w:ascii="Times New Roman" w:eastAsia="Times New Roman" w:hAnsi="Times New Roman" w:cs="Times New Roman"/>
                <w:b/>
                <w:bCs/>
                <w:color w:val="000000"/>
                <w:sz w:val="10"/>
                <w:szCs w:val="10"/>
                <w:lang w:val="en-NZ" w:eastAsia="zh-CN"/>
              </w:rPr>
            </w:pPr>
          </w:p>
          <w:p w:rsidR="00D219EE" w:rsidRPr="00D219EE" w:rsidRDefault="004A01DE" w:rsidP="00D219EE">
            <w:pPr>
              <w:tabs>
                <w:tab w:val="left" w:pos="426"/>
              </w:tabs>
              <w:spacing w:after="0" w:line="240" w:lineRule="auto"/>
              <w:jc w:val="center"/>
              <w:rPr>
                <w:rFonts w:ascii="Times New Roman" w:eastAsia="Times New Roman" w:hAnsi="Times New Roman" w:cs="Times New Roman"/>
                <w:b/>
                <w:bCs/>
                <w:color w:val="000000"/>
                <w:lang w:val="en-NZ" w:eastAsia="zh-CN"/>
              </w:rPr>
            </w:pPr>
            <w:r w:rsidRPr="00D219EE">
              <w:rPr>
                <w:rFonts w:ascii="Times New Roman" w:eastAsia="Times New Roman" w:hAnsi="Times New Roman" w:cs="Times New Roman"/>
                <w:b/>
                <w:bCs/>
                <w:color w:val="000000"/>
                <w:lang w:val="en-NZ" w:eastAsia="zh-CN"/>
              </w:rPr>
              <w:t>Average Score by Methodological Grouping</w:t>
            </w:r>
            <w:r w:rsidR="00D219EE" w:rsidRPr="00D219EE">
              <w:rPr>
                <w:rFonts w:ascii="Times New Roman" w:eastAsia="Times New Roman" w:hAnsi="Times New Roman" w:cs="Times New Roman"/>
                <w:b/>
                <w:bCs/>
                <w:color w:val="000000"/>
                <w:lang w:val="en-NZ" w:eastAsia="zh-CN"/>
              </w:rPr>
              <w:t xml:space="preserve"> </w:t>
            </w:r>
          </w:p>
          <w:p w:rsidR="00D219EE" w:rsidRPr="00D219EE" w:rsidRDefault="00D219EE" w:rsidP="00D219EE">
            <w:pPr>
              <w:tabs>
                <w:tab w:val="left" w:pos="426"/>
              </w:tabs>
              <w:spacing w:after="0" w:line="240" w:lineRule="auto"/>
              <w:jc w:val="center"/>
              <w:rPr>
                <w:rFonts w:ascii="Times New Roman" w:eastAsia="Times New Roman" w:hAnsi="Times New Roman" w:cs="Times New Roman"/>
                <w:b/>
                <w:bCs/>
                <w:color w:val="000000"/>
                <w:lang w:val="en-NZ" w:eastAsia="zh-CN"/>
              </w:rPr>
            </w:pPr>
          </w:p>
          <w:p w:rsidR="004A01DE" w:rsidRPr="00D219EE" w:rsidRDefault="00D219EE" w:rsidP="00D219EE">
            <w:pPr>
              <w:tabs>
                <w:tab w:val="left" w:pos="426"/>
              </w:tabs>
              <w:spacing w:after="0" w:line="240" w:lineRule="auto"/>
              <w:rPr>
                <w:rFonts w:ascii="Times New Roman" w:eastAsia="Times New Roman" w:hAnsi="Times New Roman" w:cs="Times New Roman"/>
                <w:b/>
                <w:bCs/>
                <w:color w:val="000000"/>
                <w:lang w:val="en-NZ" w:eastAsia="zh-CN"/>
              </w:rPr>
            </w:pPr>
            <w:r w:rsidRPr="00D219EE">
              <w:rPr>
                <w:rFonts w:ascii="Times New Roman" w:eastAsia="Times New Roman" w:hAnsi="Times New Roman" w:cs="Times New Roman"/>
                <w:b/>
                <w:bCs/>
                <w:color w:val="000000"/>
                <w:lang w:val="en-NZ" w:eastAsia="zh-CN"/>
              </w:rPr>
              <w:t>RAS Category: Recursive Adjustment</w:t>
            </w:r>
          </w:p>
          <w:p w:rsidR="00D219EE" w:rsidRPr="00D219EE" w:rsidRDefault="00D219EE" w:rsidP="00D219EE">
            <w:pPr>
              <w:tabs>
                <w:tab w:val="left" w:pos="426"/>
              </w:tabs>
              <w:spacing w:after="0" w:line="240" w:lineRule="auto"/>
              <w:jc w:val="center"/>
              <w:rPr>
                <w:rFonts w:ascii="Times New Roman" w:eastAsia="Times New Roman" w:hAnsi="Times New Roman" w:cs="Times New Roman"/>
                <w:b/>
                <w:bCs/>
                <w:color w:val="000000"/>
                <w:sz w:val="10"/>
                <w:szCs w:val="10"/>
                <w:lang w:val="en-NZ" w:eastAsia="zh-CN"/>
              </w:rPr>
            </w:pPr>
          </w:p>
        </w:tc>
      </w:tr>
      <w:tr w:rsidR="004A01DE" w:rsidRPr="008A1B84" w:rsidTr="00C66FB2">
        <w:trPr>
          <w:trHeight w:val="780"/>
          <w:jc w:val="center"/>
        </w:trPr>
        <w:tc>
          <w:tcPr>
            <w:tcW w:w="1600" w:type="dxa"/>
            <w:tcBorders>
              <w:top w:val="single" w:sz="4" w:space="0" w:color="auto"/>
              <w:left w:val="nil"/>
              <w:bottom w:val="single" w:sz="4" w:space="0" w:color="auto"/>
              <w:right w:val="nil"/>
            </w:tcBorders>
            <w:shd w:val="clear" w:color="auto" w:fill="auto"/>
            <w:vAlign w:val="bottom"/>
            <w:hideMark/>
          </w:tcPr>
          <w:p w:rsidR="004A01DE" w:rsidRPr="00D219EE" w:rsidRDefault="004A01DE" w:rsidP="00D219EE">
            <w:pPr>
              <w:tabs>
                <w:tab w:val="left" w:pos="426"/>
              </w:tabs>
              <w:spacing w:after="0" w:line="240" w:lineRule="auto"/>
              <w:jc w:val="center"/>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Journal Weighting Scheme</w:t>
            </w:r>
          </w:p>
        </w:tc>
        <w:tc>
          <w:tcPr>
            <w:tcW w:w="1520" w:type="dxa"/>
            <w:tcBorders>
              <w:top w:val="single" w:sz="4" w:space="0" w:color="auto"/>
              <w:left w:val="nil"/>
              <w:bottom w:val="single" w:sz="4" w:space="0" w:color="auto"/>
              <w:right w:val="nil"/>
            </w:tcBorders>
            <w:shd w:val="clear" w:color="auto" w:fill="auto"/>
            <w:vAlign w:val="bottom"/>
            <w:hideMark/>
          </w:tcPr>
          <w:p w:rsidR="004A01DE" w:rsidRPr="00D219EE" w:rsidRDefault="004A01DE" w:rsidP="00D219EE">
            <w:pPr>
              <w:tabs>
                <w:tab w:val="left" w:pos="426"/>
              </w:tabs>
              <w:spacing w:after="0" w:line="240" w:lineRule="auto"/>
              <w:jc w:val="center"/>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Adjusted Papers</w:t>
            </w:r>
            <w:r w:rsidR="00D219EE" w:rsidRPr="00D219EE">
              <w:rPr>
                <w:rFonts w:ascii="Times New Roman" w:eastAsia="Times New Roman" w:hAnsi="Times New Roman" w:cs="Times New Roman"/>
                <w:bCs/>
                <w:lang w:val="en-NZ" w:eastAsia="zh-CN"/>
              </w:rPr>
              <w:t xml:space="preserve"> Per </w:t>
            </w:r>
            <w:r w:rsidRPr="00D219EE">
              <w:rPr>
                <w:rFonts w:ascii="Times New Roman" w:eastAsia="Times New Roman" w:hAnsi="Times New Roman" w:cs="Times New Roman"/>
                <w:bCs/>
                <w:lang w:val="en-NZ" w:eastAsia="zh-CN"/>
              </w:rPr>
              <w:t>Capita</w:t>
            </w:r>
          </w:p>
        </w:tc>
        <w:tc>
          <w:tcPr>
            <w:tcW w:w="136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Adjusted Pages Per</w:t>
            </w:r>
            <w:r w:rsidR="004A01DE" w:rsidRPr="00D219EE">
              <w:rPr>
                <w:rFonts w:ascii="Times New Roman" w:eastAsia="Times New Roman" w:hAnsi="Times New Roman" w:cs="Times New Roman"/>
                <w:bCs/>
                <w:lang w:val="en-NZ" w:eastAsia="zh-CN"/>
              </w:rPr>
              <w:t xml:space="preserve"> Capita</w:t>
            </w:r>
          </w:p>
        </w:tc>
        <w:tc>
          <w:tcPr>
            <w:tcW w:w="142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 xml:space="preserve">Score  Per </w:t>
            </w:r>
            <w:r w:rsidR="004A01DE" w:rsidRPr="00D219EE">
              <w:rPr>
                <w:rFonts w:ascii="Times New Roman" w:eastAsia="Times New Roman" w:hAnsi="Times New Roman" w:cs="Times New Roman"/>
                <w:bCs/>
                <w:lang w:val="en-NZ" w:eastAsia="zh-CN"/>
              </w:rPr>
              <w:t>Adjusted Paper</w:t>
            </w:r>
          </w:p>
        </w:tc>
        <w:tc>
          <w:tcPr>
            <w:tcW w:w="148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 xml:space="preserve">Score Per </w:t>
            </w:r>
            <w:r w:rsidR="004A01DE" w:rsidRPr="00D219EE">
              <w:rPr>
                <w:rFonts w:ascii="Times New Roman" w:eastAsia="Times New Roman" w:hAnsi="Times New Roman" w:cs="Times New Roman"/>
                <w:bCs/>
                <w:lang w:val="en-NZ" w:eastAsia="zh-CN"/>
              </w:rPr>
              <w:t>Adjusted Page</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LP84</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82.36</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104.71</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62.31</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64.44</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LP94</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68.75</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73.81</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52.00</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45.33</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KMS2003</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77.25</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82.97</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58.48</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50.93</w:t>
            </w:r>
          </w:p>
        </w:tc>
      </w:tr>
      <w:tr w:rsidR="004A01DE" w:rsidRPr="008A1B84" w:rsidTr="00C66FB2">
        <w:trPr>
          <w:trHeight w:val="300"/>
          <w:jc w:val="center"/>
        </w:trPr>
        <w:tc>
          <w:tcPr>
            <w:tcW w:w="1600" w:type="dxa"/>
            <w:tcBorders>
              <w:top w:val="nil"/>
              <w:left w:val="nil"/>
              <w:bottom w:val="nil"/>
              <w:right w:val="nil"/>
            </w:tcBorders>
            <w:shd w:val="clear" w:color="auto" w:fill="auto"/>
            <w:noWrap/>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KMS2010</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86.54</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104.27</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65.38</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64.10</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KYEI</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101.70</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125.33</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77.02</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77.14</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KYOI</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102.72</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126.46</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77.82</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77.80</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KYPI</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115.34</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143.08</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87.32</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88.01</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CLd</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114.57</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138.98</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86.68</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85.37</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CLm</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116.82</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138.26</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88.40</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84.93</w:t>
            </w:r>
          </w:p>
        </w:tc>
      </w:tr>
      <w:tr w:rsidR="004A01DE" w:rsidRPr="008A1B84" w:rsidTr="00C66FB2">
        <w:trPr>
          <w:trHeight w:val="300"/>
          <w:jc w:val="center"/>
        </w:trPr>
        <w:tc>
          <w:tcPr>
            <w:tcW w:w="1600" w:type="dxa"/>
            <w:tcBorders>
              <w:top w:val="nil"/>
              <w:left w:val="nil"/>
              <w:bottom w:val="nil"/>
              <w:right w:val="nil"/>
            </w:tcBorders>
            <w:shd w:val="clear" w:color="auto" w:fill="auto"/>
            <w:noWrap/>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color w:val="000000"/>
                <w:lang w:val="en-NZ" w:eastAsia="zh-CN"/>
              </w:rPr>
            </w:pPr>
            <w:r w:rsidRPr="00D219EE">
              <w:rPr>
                <w:rFonts w:ascii="Times New Roman" w:eastAsia="Times New Roman" w:hAnsi="Times New Roman" w:cs="Times New Roman"/>
                <w:bCs/>
                <w:color w:val="000000"/>
                <w:lang w:val="en-NZ" w:eastAsia="zh-CN"/>
              </w:rPr>
              <w:t>CLh</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96.43</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111.35</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72.96</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68.43</w:t>
            </w:r>
          </w:p>
        </w:tc>
      </w:tr>
      <w:tr w:rsidR="004A01DE" w:rsidRPr="008A1B84" w:rsidTr="00C66FB2">
        <w:trPr>
          <w:trHeight w:val="300"/>
          <w:jc w:val="center"/>
        </w:trPr>
        <w:tc>
          <w:tcPr>
            <w:tcW w:w="1600" w:type="dxa"/>
            <w:tcBorders>
              <w:top w:val="nil"/>
              <w:left w:val="nil"/>
              <w:bottom w:val="single" w:sz="4" w:space="0" w:color="auto"/>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i/>
                <w:iCs/>
                <w:lang w:val="en-NZ" w:eastAsia="zh-CN"/>
              </w:rPr>
            </w:pPr>
            <w:r w:rsidRPr="00D219EE">
              <w:rPr>
                <w:rFonts w:ascii="Times New Roman" w:eastAsia="Times New Roman" w:hAnsi="Times New Roman" w:cs="Times New Roman"/>
                <w:bCs/>
                <w:i/>
                <w:iCs/>
                <w:lang w:val="en-NZ" w:eastAsia="zh-CN"/>
              </w:rPr>
              <w:t>Average</w:t>
            </w:r>
          </w:p>
        </w:tc>
        <w:tc>
          <w:tcPr>
            <w:tcW w:w="1520" w:type="dxa"/>
            <w:tcBorders>
              <w:top w:val="nil"/>
              <w:left w:val="nil"/>
              <w:bottom w:val="single" w:sz="4" w:space="0" w:color="auto"/>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96.25</w:t>
            </w:r>
          </w:p>
        </w:tc>
        <w:tc>
          <w:tcPr>
            <w:tcW w:w="1360" w:type="dxa"/>
            <w:tcBorders>
              <w:top w:val="nil"/>
              <w:left w:val="nil"/>
              <w:bottom w:val="single" w:sz="4" w:space="0" w:color="auto"/>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114.92</w:t>
            </w:r>
          </w:p>
        </w:tc>
        <w:tc>
          <w:tcPr>
            <w:tcW w:w="1420" w:type="dxa"/>
            <w:tcBorders>
              <w:top w:val="nil"/>
              <w:left w:val="nil"/>
              <w:bottom w:val="single" w:sz="4" w:space="0" w:color="auto"/>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72.84</w:t>
            </w:r>
          </w:p>
        </w:tc>
        <w:tc>
          <w:tcPr>
            <w:tcW w:w="1480" w:type="dxa"/>
            <w:tcBorders>
              <w:top w:val="nil"/>
              <w:left w:val="nil"/>
              <w:bottom w:val="single" w:sz="4" w:space="0" w:color="auto"/>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70.65</w:t>
            </w:r>
          </w:p>
        </w:tc>
      </w:tr>
      <w:tr w:rsidR="004A01DE" w:rsidRPr="008A1B84" w:rsidTr="00C66FB2">
        <w:trPr>
          <w:trHeight w:val="300"/>
          <w:jc w:val="center"/>
        </w:trPr>
        <w:tc>
          <w:tcPr>
            <w:tcW w:w="1600" w:type="dxa"/>
            <w:tcBorders>
              <w:top w:val="nil"/>
              <w:left w:val="nil"/>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520" w:type="dxa"/>
            <w:tcBorders>
              <w:top w:val="nil"/>
              <w:left w:val="nil"/>
              <w:right w:val="nil"/>
            </w:tcBorders>
            <w:shd w:val="clear" w:color="auto" w:fill="auto"/>
            <w:noWrap/>
            <w:vAlign w:val="bottom"/>
            <w:hideMark/>
          </w:tcPr>
          <w:p w:rsidR="004A01DE"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p w:rsidR="008E4CC0" w:rsidRPr="008A1B84" w:rsidRDefault="008E4CC0"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360" w:type="dxa"/>
            <w:tcBorders>
              <w:top w:val="nil"/>
              <w:left w:val="nil"/>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20" w:type="dxa"/>
            <w:tcBorders>
              <w:top w:val="nil"/>
              <w:left w:val="nil"/>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80" w:type="dxa"/>
            <w:tcBorders>
              <w:top w:val="nil"/>
              <w:left w:val="nil"/>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r>
      <w:tr w:rsidR="004A01DE" w:rsidRPr="008A1B84" w:rsidTr="00C66FB2">
        <w:trPr>
          <w:trHeight w:val="300"/>
          <w:jc w:val="center"/>
        </w:trPr>
        <w:tc>
          <w:tcPr>
            <w:tcW w:w="3120" w:type="dxa"/>
            <w:gridSpan w:val="2"/>
            <w:tcBorders>
              <w:top w:val="nil"/>
              <w:left w:val="nil"/>
              <w:bottom w:val="single" w:sz="4" w:space="0" w:color="auto"/>
              <w:right w:val="nil"/>
            </w:tcBorders>
            <w:shd w:val="clear" w:color="auto" w:fill="auto"/>
            <w:noWrap/>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
                <w:bCs/>
                <w:color w:val="000000"/>
                <w:lang w:val="en-NZ" w:eastAsia="zh-CN"/>
              </w:rPr>
            </w:pPr>
            <w:r w:rsidRPr="00D219EE">
              <w:rPr>
                <w:rFonts w:ascii="Times New Roman" w:eastAsia="Times New Roman" w:hAnsi="Times New Roman" w:cs="Times New Roman"/>
                <w:b/>
                <w:bCs/>
                <w:color w:val="000000"/>
                <w:lang w:val="en-NZ" w:eastAsia="zh-CN"/>
              </w:rPr>
              <w:t>RAS Category: Impact Factor</w:t>
            </w:r>
          </w:p>
          <w:p w:rsidR="00D219EE" w:rsidRPr="00D219EE" w:rsidRDefault="00D219EE" w:rsidP="00514F3B">
            <w:pPr>
              <w:tabs>
                <w:tab w:val="left" w:pos="426"/>
              </w:tabs>
              <w:spacing w:after="0" w:line="240" w:lineRule="auto"/>
              <w:jc w:val="both"/>
              <w:rPr>
                <w:rFonts w:ascii="Times New Roman" w:eastAsia="Times New Roman" w:hAnsi="Times New Roman" w:cs="Times New Roman"/>
                <w:b/>
                <w:bCs/>
                <w:color w:val="000000"/>
                <w:sz w:val="10"/>
                <w:szCs w:val="10"/>
                <w:lang w:val="en-NZ" w:eastAsia="zh-CN"/>
              </w:rPr>
            </w:pPr>
          </w:p>
        </w:tc>
        <w:tc>
          <w:tcPr>
            <w:tcW w:w="1360" w:type="dxa"/>
            <w:tcBorders>
              <w:top w:val="nil"/>
              <w:left w:val="nil"/>
              <w:bottom w:val="single" w:sz="4" w:space="0" w:color="auto"/>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20" w:type="dxa"/>
            <w:tcBorders>
              <w:top w:val="nil"/>
              <w:left w:val="nil"/>
              <w:bottom w:val="single" w:sz="4" w:space="0" w:color="auto"/>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80" w:type="dxa"/>
            <w:tcBorders>
              <w:top w:val="nil"/>
              <w:left w:val="nil"/>
              <w:bottom w:val="single" w:sz="4" w:space="0" w:color="auto"/>
              <w:right w:val="nil"/>
            </w:tcBorders>
            <w:shd w:val="clear" w:color="auto" w:fill="auto"/>
            <w:noWrap/>
            <w:vAlign w:val="bottom"/>
            <w:hideMark/>
          </w:tcPr>
          <w:p w:rsidR="004A01DE" w:rsidRPr="008A1B84" w:rsidRDefault="004A01DE" w:rsidP="00514F3B">
            <w:pPr>
              <w:tabs>
                <w:tab w:val="left" w:pos="426"/>
              </w:tabs>
              <w:spacing w:after="0" w:line="240" w:lineRule="auto"/>
              <w:jc w:val="both"/>
              <w:rPr>
                <w:rFonts w:ascii="Times New Roman" w:eastAsia="Times New Roman" w:hAnsi="Times New Roman" w:cs="Times New Roman"/>
                <w:color w:val="000000"/>
                <w:lang w:val="en-NZ" w:eastAsia="zh-CN"/>
              </w:rPr>
            </w:pPr>
          </w:p>
        </w:tc>
      </w:tr>
      <w:tr w:rsidR="004A01DE" w:rsidRPr="008A1B84" w:rsidTr="00C66FB2">
        <w:trPr>
          <w:trHeight w:val="780"/>
          <w:jc w:val="center"/>
        </w:trPr>
        <w:tc>
          <w:tcPr>
            <w:tcW w:w="1600" w:type="dxa"/>
            <w:tcBorders>
              <w:top w:val="single" w:sz="4" w:space="0" w:color="auto"/>
              <w:left w:val="nil"/>
              <w:bottom w:val="single" w:sz="4" w:space="0" w:color="auto"/>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Journal Weighting Scheme</w:t>
            </w:r>
          </w:p>
        </w:tc>
        <w:tc>
          <w:tcPr>
            <w:tcW w:w="152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Adjusted Papers Per </w:t>
            </w:r>
            <w:r w:rsidR="004A01DE" w:rsidRPr="00D219EE">
              <w:rPr>
                <w:rFonts w:ascii="Times New Roman" w:eastAsia="Times New Roman" w:hAnsi="Times New Roman" w:cs="Times New Roman"/>
                <w:bCs/>
                <w:lang w:val="en-NZ" w:eastAsia="zh-CN"/>
              </w:rPr>
              <w:t>Capita</w:t>
            </w:r>
          </w:p>
        </w:tc>
        <w:tc>
          <w:tcPr>
            <w:tcW w:w="136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Adjusted Pages Per </w:t>
            </w:r>
            <w:r w:rsidR="004A01DE" w:rsidRPr="00D219EE">
              <w:rPr>
                <w:rFonts w:ascii="Times New Roman" w:eastAsia="Times New Roman" w:hAnsi="Times New Roman" w:cs="Times New Roman"/>
                <w:bCs/>
                <w:lang w:val="en-NZ" w:eastAsia="zh-CN"/>
              </w:rPr>
              <w:t>Capita</w:t>
            </w:r>
          </w:p>
        </w:tc>
        <w:tc>
          <w:tcPr>
            <w:tcW w:w="142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Score Per </w:t>
            </w:r>
            <w:r w:rsidR="004A01DE" w:rsidRPr="00D219EE">
              <w:rPr>
                <w:rFonts w:ascii="Times New Roman" w:eastAsia="Times New Roman" w:hAnsi="Times New Roman" w:cs="Times New Roman"/>
                <w:bCs/>
                <w:lang w:val="en-NZ" w:eastAsia="zh-CN"/>
              </w:rPr>
              <w:t>Adjusted Paper</w:t>
            </w:r>
          </w:p>
        </w:tc>
        <w:tc>
          <w:tcPr>
            <w:tcW w:w="1480" w:type="dxa"/>
            <w:tcBorders>
              <w:top w:val="single" w:sz="4" w:space="0" w:color="auto"/>
              <w:left w:val="nil"/>
              <w:bottom w:val="single" w:sz="4" w:space="0" w:color="auto"/>
              <w:right w:val="nil"/>
            </w:tcBorders>
            <w:shd w:val="clear" w:color="auto" w:fill="auto"/>
            <w:vAlign w:val="bottom"/>
            <w:hideMark/>
          </w:tcPr>
          <w:p w:rsidR="004A01DE"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Score  Per </w:t>
            </w:r>
            <w:r w:rsidR="004A01DE" w:rsidRPr="00D219EE">
              <w:rPr>
                <w:rFonts w:ascii="Times New Roman" w:eastAsia="Times New Roman" w:hAnsi="Times New Roman" w:cs="Times New Roman"/>
                <w:bCs/>
                <w:lang w:val="en-NZ" w:eastAsia="zh-CN"/>
              </w:rPr>
              <w:t>Adjusted Page</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CoupeIF</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112.07</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136.87</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86.51</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84.17</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Bauwens</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117.63</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141.07</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88.84</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86.49</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Scopus SJR</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123.74</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150.67</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94.04</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92.60</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Scopus SNID</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129.68</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159.83</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97.54</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98.47</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RePEcsif</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122.40</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156.08</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92.47</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95.90</w:t>
            </w:r>
          </w:p>
        </w:tc>
      </w:tr>
      <w:tr w:rsidR="004A01DE" w:rsidRPr="008A1B84" w:rsidTr="00C66FB2">
        <w:trPr>
          <w:trHeight w:val="300"/>
          <w:jc w:val="center"/>
        </w:trPr>
        <w:tc>
          <w:tcPr>
            <w:tcW w:w="1600" w:type="dxa"/>
            <w:tcBorders>
              <w:top w:val="nil"/>
              <w:left w:val="nil"/>
              <w:bottom w:val="nil"/>
              <w:right w:val="nil"/>
            </w:tcBorders>
            <w:shd w:val="clear" w:color="auto" w:fill="auto"/>
            <w:vAlign w:val="bottom"/>
            <w:hideMark/>
          </w:tcPr>
          <w:p w:rsidR="004A01DE" w:rsidRPr="00D219EE" w:rsidRDefault="004A01DE"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JCRIF11</w:t>
            </w:r>
          </w:p>
        </w:tc>
        <w:tc>
          <w:tcPr>
            <w:tcW w:w="15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135.26</w:t>
            </w:r>
          </w:p>
        </w:tc>
        <w:tc>
          <w:tcPr>
            <w:tcW w:w="136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165.02</w:t>
            </w:r>
          </w:p>
        </w:tc>
        <w:tc>
          <w:tcPr>
            <w:tcW w:w="142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103.38</w:t>
            </w:r>
          </w:p>
        </w:tc>
        <w:tc>
          <w:tcPr>
            <w:tcW w:w="1480" w:type="dxa"/>
            <w:tcBorders>
              <w:top w:val="nil"/>
              <w:left w:val="nil"/>
              <w:bottom w:val="nil"/>
              <w:right w:val="nil"/>
            </w:tcBorders>
            <w:shd w:val="clear" w:color="auto" w:fill="auto"/>
            <w:noWrap/>
            <w:vAlign w:val="bottom"/>
            <w:hideMark/>
          </w:tcPr>
          <w:p w:rsidR="004A01DE" w:rsidRPr="008A1B84" w:rsidRDefault="004A01DE"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101.97</w:t>
            </w:r>
          </w:p>
        </w:tc>
      </w:tr>
      <w:tr w:rsidR="00C66FB2" w:rsidRPr="008A1B84" w:rsidTr="00C66FB2">
        <w:trPr>
          <w:trHeight w:val="300"/>
          <w:jc w:val="center"/>
        </w:trPr>
        <w:tc>
          <w:tcPr>
            <w:tcW w:w="1600" w:type="dxa"/>
            <w:tcBorders>
              <w:top w:val="nil"/>
              <w:left w:val="nil"/>
              <w:bottom w:val="single" w:sz="4" w:space="0" w:color="auto"/>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i/>
                <w:iCs/>
                <w:lang w:val="en-NZ" w:eastAsia="zh-CN"/>
              </w:rPr>
            </w:pPr>
            <w:r w:rsidRPr="00D219EE">
              <w:rPr>
                <w:rFonts w:ascii="Times New Roman" w:eastAsia="Times New Roman" w:hAnsi="Times New Roman" w:cs="Times New Roman"/>
                <w:bCs/>
                <w:i/>
                <w:iCs/>
                <w:lang w:val="en-NZ" w:eastAsia="zh-CN"/>
              </w:rPr>
              <w:t>Average</w:t>
            </w:r>
          </w:p>
        </w:tc>
        <w:tc>
          <w:tcPr>
            <w:tcW w:w="152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123.46</w:t>
            </w:r>
          </w:p>
        </w:tc>
        <w:tc>
          <w:tcPr>
            <w:tcW w:w="136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151.59</w:t>
            </w:r>
          </w:p>
        </w:tc>
        <w:tc>
          <w:tcPr>
            <w:tcW w:w="142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93.80</w:t>
            </w:r>
          </w:p>
        </w:tc>
        <w:tc>
          <w:tcPr>
            <w:tcW w:w="148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93.27</w:t>
            </w:r>
          </w:p>
        </w:tc>
      </w:tr>
      <w:tr w:rsidR="00C66FB2" w:rsidRPr="008A1B84" w:rsidTr="00C66FB2">
        <w:trPr>
          <w:trHeight w:val="300"/>
          <w:jc w:val="center"/>
        </w:trPr>
        <w:tc>
          <w:tcPr>
            <w:tcW w:w="1600" w:type="dxa"/>
            <w:tcBorders>
              <w:top w:val="nil"/>
              <w:left w:val="nil"/>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520" w:type="dxa"/>
            <w:tcBorders>
              <w:top w:val="nil"/>
              <w:left w:val="nil"/>
              <w:right w:val="nil"/>
            </w:tcBorders>
            <w:shd w:val="clear" w:color="auto" w:fill="auto"/>
            <w:noWrap/>
            <w:vAlign w:val="bottom"/>
            <w:hideMark/>
          </w:tcPr>
          <w:p w:rsidR="00C66FB2"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p w:rsidR="008E4CC0" w:rsidRPr="008A1B84" w:rsidRDefault="008E4CC0"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360" w:type="dxa"/>
            <w:tcBorders>
              <w:top w:val="nil"/>
              <w:left w:val="nil"/>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20" w:type="dxa"/>
            <w:tcBorders>
              <w:top w:val="nil"/>
              <w:left w:val="nil"/>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80" w:type="dxa"/>
            <w:tcBorders>
              <w:top w:val="nil"/>
              <w:left w:val="nil"/>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r>
      <w:tr w:rsidR="00C66FB2" w:rsidRPr="008A1B84" w:rsidTr="00C66FB2">
        <w:trPr>
          <w:trHeight w:val="300"/>
          <w:jc w:val="center"/>
        </w:trPr>
        <w:tc>
          <w:tcPr>
            <w:tcW w:w="3120" w:type="dxa"/>
            <w:gridSpan w:val="2"/>
            <w:tcBorders>
              <w:top w:val="nil"/>
              <w:left w:val="nil"/>
              <w:bottom w:val="single" w:sz="4" w:space="0" w:color="auto"/>
              <w:right w:val="nil"/>
            </w:tcBorders>
            <w:shd w:val="clear" w:color="auto" w:fill="auto"/>
            <w:noWrap/>
            <w:vAlign w:val="bottom"/>
            <w:hideMark/>
          </w:tcPr>
          <w:p w:rsidR="00C66FB2" w:rsidRDefault="00C66FB2" w:rsidP="00514F3B">
            <w:pPr>
              <w:tabs>
                <w:tab w:val="left" w:pos="426"/>
              </w:tabs>
              <w:spacing w:after="0" w:line="240" w:lineRule="auto"/>
              <w:jc w:val="both"/>
              <w:rPr>
                <w:rFonts w:ascii="Times New Roman" w:eastAsia="Times New Roman" w:hAnsi="Times New Roman" w:cs="Times New Roman"/>
                <w:b/>
                <w:bCs/>
                <w:color w:val="000000"/>
                <w:lang w:val="en-NZ" w:eastAsia="zh-CN"/>
              </w:rPr>
            </w:pPr>
            <w:r w:rsidRPr="008A1B84">
              <w:rPr>
                <w:rFonts w:ascii="Times New Roman" w:eastAsia="Times New Roman" w:hAnsi="Times New Roman" w:cs="Times New Roman"/>
                <w:b/>
                <w:bCs/>
                <w:color w:val="000000"/>
                <w:lang w:val="en-NZ" w:eastAsia="zh-CN"/>
              </w:rPr>
              <w:t xml:space="preserve">RAS Category: Perception </w:t>
            </w:r>
          </w:p>
          <w:p w:rsidR="00D219EE" w:rsidRPr="00D219EE" w:rsidRDefault="00D219EE" w:rsidP="00514F3B">
            <w:pPr>
              <w:tabs>
                <w:tab w:val="left" w:pos="426"/>
              </w:tabs>
              <w:spacing w:after="0" w:line="240" w:lineRule="auto"/>
              <w:jc w:val="both"/>
              <w:rPr>
                <w:rFonts w:ascii="Times New Roman" w:eastAsia="Times New Roman" w:hAnsi="Times New Roman" w:cs="Times New Roman"/>
                <w:b/>
                <w:bCs/>
                <w:color w:val="000000"/>
                <w:sz w:val="10"/>
                <w:szCs w:val="10"/>
                <w:lang w:val="en-NZ" w:eastAsia="zh-CN"/>
              </w:rPr>
            </w:pPr>
          </w:p>
        </w:tc>
        <w:tc>
          <w:tcPr>
            <w:tcW w:w="1360" w:type="dxa"/>
            <w:tcBorders>
              <w:top w:val="nil"/>
              <w:left w:val="nil"/>
              <w:bottom w:val="single" w:sz="4" w:space="0" w:color="auto"/>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20" w:type="dxa"/>
            <w:tcBorders>
              <w:top w:val="nil"/>
              <w:left w:val="nil"/>
              <w:bottom w:val="single" w:sz="4" w:space="0" w:color="auto"/>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c>
          <w:tcPr>
            <w:tcW w:w="1480" w:type="dxa"/>
            <w:tcBorders>
              <w:top w:val="nil"/>
              <w:left w:val="nil"/>
              <w:bottom w:val="single" w:sz="4" w:space="0" w:color="auto"/>
              <w:right w:val="nil"/>
            </w:tcBorders>
            <w:shd w:val="clear" w:color="auto" w:fill="auto"/>
            <w:noWrap/>
            <w:vAlign w:val="bottom"/>
            <w:hideMark/>
          </w:tcPr>
          <w:p w:rsidR="00C66FB2" w:rsidRPr="008A1B84" w:rsidRDefault="00C66FB2" w:rsidP="00514F3B">
            <w:pPr>
              <w:tabs>
                <w:tab w:val="left" w:pos="426"/>
              </w:tabs>
              <w:spacing w:after="0" w:line="240" w:lineRule="auto"/>
              <w:jc w:val="both"/>
              <w:rPr>
                <w:rFonts w:ascii="Times New Roman" w:eastAsia="Times New Roman" w:hAnsi="Times New Roman" w:cs="Times New Roman"/>
                <w:color w:val="000000"/>
                <w:lang w:val="en-NZ" w:eastAsia="zh-CN"/>
              </w:rPr>
            </w:pPr>
          </w:p>
        </w:tc>
      </w:tr>
      <w:tr w:rsidR="00C66FB2" w:rsidRPr="008A1B84" w:rsidTr="00C66FB2">
        <w:trPr>
          <w:trHeight w:val="780"/>
          <w:jc w:val="center"/>
        </w:trPr>
        <w:tc>
          <w:tcPr>
            <w:tcW w:w="1600" w:type="dxa"/>
            <w:tcBorders>
              <w:top w:val="single" w:sz="4" w:space="0" w:color="auto"/>
              <w:left w:val="nil"/>
              <w:bottom w:val="single" w:sz="4" w:space="0" w:color="auto"/>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Journal Weighting Scheme</w:t>
            </w:r>
          </w:p>
        </w:tc>
        <w:tc>
          <w:tcPr>
            <w:tcW w:w="1520" w:type="dxa"/>
            <w:tcBorders>
              <w:top w:val="single" w:sz="4" w:space="0" w:color="auto"/>
              <w:left w:val="nil"/>
              <w:bottom w:val="single" w:sz="4" w:space="0" w:color="auto"/>
              <w:right w:val="nil"/>
            </w:tcBorders>
            <w:shd w:val="clear" w:color="auto" w:fill="auto"/>
            <w:vAlign w:val="bottom"/>
            <w:hideMark/>
          </w:tcPr>
          <w:p w:rsidR="00C66FB2"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Adjusted Papers Per </w:t>
            </w:r>
            <w:r w:rsidR="00C66FB2" w:rsidRPr="00D219EE">
              <w:rPr>
                <w:rFonts w:ascii="Times New Roman" w:eastAsia="Times New Roman" w:hAnsi="Times New Roman" w:cs="Times New Roman"/>
                <w:bCs/>
                <w:lang w:val="en-NZ" w:eastAsia="zh-CN"/>
              </w:rPr>
              <w:t>Capita</w:t>
            </w:r>
          </w:p>
        </w:tc>
        <w:tc>
          <w:tcPr>
            <w:tcW w:w="1360" w:type="dxa"/>
            <w:tcBorders>
              <w:top w:val="single" w:sz="4" w:space="0" w:color="auto"/>
              <w:left w:val="nil"/>
              <w:bottom w:val="single" w:sz="4" w:space="0" w:color="auto"/>
              <w:right w:val="nil"/>
            </w:tcBorders>
            <w:shd w:val="clear" w:color="auto" w:fill="auto"/>
            <w:vAlign w:val="bottom"/>
            <w:hideMark/>
          </w:tcPr>
          <w:p w:rsidR="00C66FB2"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Adjusted Pages Per </w:t>
            </w:r>
            <w:r w:rsidR="00C66FB2" w:rsidRPr="00D219EE">
              <w:rPr>
                <w:rFonts w:ascii="Times New Roman" w:eastAsia="Times New Roman" w:hAnsi="Times New Roman" w:cs="Times New Roman"/>
                <w:bCs/>
                <w:lang w:val="en-NZ" w:eastAsia="zh-CN"/>
              </w:rPr>
              <w:t>Capita</w:t>
            </w:r>
          </w:p>
        </w:tc>
        <w:tc>
          <w:tcPr>
            <w:tcW w:w="1420" w:type="dxa"/>
            <w:tcBorders>
              <w:top w:val="single" w:sz="4" w:space="0" w:color="auto"/>
              <w:left w:val="nil"/>
              <w:bottom w:val="single" w:sz="4" w:space="0" w:color="auto"/>
              <w:right w:val="nil"/>
            </w:tcBorders>
            <w:shd w:val="clear" w:color="auto" w:fill="auto"/>
            <w:vAlign w:val="bottom"/>
            <w:hideMark/>
          </w:tcPr>
          <w:p w:rsidR="00C66FB2"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Score Per </w:t>
            </w:r>
            <w:r w:rsidR="00C66FB2" w:rsidRPr="00D219EE">
              <w:rPr>
                <w:rFonts w:ascii="Times New Roman" w:eastAsia="Times New Roman" w:hAnsi="Times New Roman" w:cs="Times New Roman"/>
                <w:bCs/>
                <w:lang w:val="en-NZ" w:eastAsia="zh-CN"/>
              </w:rPr>
              <w:t>Adjusted Paper</w:t>
            </w:r>
          </w:p>
        </w:tc>
        <w:tc>
          <w:tcPr>
            <w:tcW w:w="1480" w:type="dxa"/>
            <w:tcBorders>
              <w:top w:val="single" w:sz="4" w:space="0" w:color="auto"/>
              <w:left w:val="nil"/>
              <w:bottom w:val="single" w:sz="4" w:space="0" w:color="auto"/>
              <w:right w:val="nil"/>
            </w:tcBorders>
            <w:shd w:val="clear" w:color="auto" w:fill="auto"/>
            <w:vAlign w:val="bottom"/>
            <w:hideMark/>
          </w:tcPr>
          <w:p w:rsidR="00C66FB2" w:rsidRPr="00D219EE" w:rsidRDefault="00D219EE" w:rsidP="00D219EE">
            <w:pPr>
              <w:tabs>
                <w:tab w:val="left" w:pos="426"/>
              </w:tabs>
              <w:spacing w:after="0" w:line="240" w:lineRule="auto"/>
              <w:jc w:val="center"/>
              <w:rPr>
                <w:rFonts w:ascii="Times New Roman" w:eastAsia="Times New Roman" w:hAnsi="Times New Roman" w:cs="Times New Roman"/>
                <w:bCs/>
                <w:lang w:val="en-NZ" w:eastAsia="zh-CN"/>
              </w:rPr>
            </w:pPr>
            <w:r>
              <w:rPr>
                <w:rFonts w:ascii="Times New Roman" w:eastAsia="Times New Roman" w:hAnsi="Times New Roman" w:cs="Times New Roman"/>
                <w:bCs/>
                <w:lang w:val="en-NZ" w:eastAsia="zh-CN"/>
              </w:rPr>
              <w:t xml:space="preserve">Score Per </w:t>
            </w:r>
            <w:r w:rsidR="00C66FB2" w:rsidRPr="00D219EE">
              <w:rPr>
                <w:rFonts w:ascii="Times New Roman" w:eastAsia="Times New Roman" w:hAnsi="Times New Roman" w:cs="Times New Roman"/>
                <w:bCs/>
                <w:lang w:val="en-NZ" w:eastAsia="zh-CN"/>
              </w:rPr>
              <w:t>Adjusted Page</w:t>
            </w:r>
          </w:p>
        </w:tc>
      </w:tr>
      <w:tr w:rsidR="00C66FB2" w:rsidRPr="008A1B84" w:rsidTr="00C66FB2">
        <w:trPr>
          <w:trHeight w:val="300"/>
          <w:jc w:val="center"/>
        </w:trPr>
        <w:tc>
          <w:tcPr>
            <w:tcW w:w="1600" w:type="dxa"/>
            <w:tcBorders>
              <w:top w:val="nil"/>
              <w:left w:val="nil"/>
              <w:bottom w:val="nil"/>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MSF</w:t>
            </w:r>
          </w:p>
        </w:tc>
        <w:tc>
          <w:tcPr>
            <w:tcW w:w="152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98.53</w:t>
            </w:r>
          </w:p>
        </w:tc>
        <w:tc>
          <w:tcPr>
            <w:tcW w:w="136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118.68</w:t>
            </w:r>
          </w:p>
        </w:tc>
        <w:tc>
          <w:tcPr>
            <w:tcW w:w="142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74.20</w:t>
            </w:r>
          </w:p>
        </w:tc>
        <w:tc>
          <w:tcPr>
            <w:tcW w:w="148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72.68</w:t>
            </w:r>
          </w:p>
        </w:tc>
      </w:tr>
      <w:tr w:rsidR="00C66FB2" w:rsidRPr="008A1B84" w:rsidTr="00C66FB2">
        <w:trPr>
          <w:trHeight w:val="300"/>
          <w:jc w:val="center"/>
        </w:trPr>
        <w:tc>
          <w:tcPr>
            <w:tcW w:w="1600" w:type="dxa"/>
            <w:tcBorders>
              <w:top w:val="nil"/>
              <w:left w:val="nil"/>
              <w:bottom w:val="nil"/>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ESA</w:t>
            </w:r>
          </w:p>
        </w:tc>
        <w:tc>
          <w:tcPr>
            <w:tcW w:w="152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122.14</w:t>
            </w:r>
          </w:p>
        </w:tc>
        <w:tc>
          <w:tcPr>
            <w:tcW w:w="136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147.22</w:t>
            </w:r>
          </w:p>
        </w:tc>
        <w:tc>
          <w:tcPr>
            <w:tcW w:w="142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92.53</w:t>
            </w:r>
          </w:p>
        </w:tc>
        <w:tc>
          <w:tcPr>
            <w:tcW w:w="148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90.40</w:t>
            </w:r>
          </w:p>
        </w:tc>
      </w:tr>
      <w:tr w:rsidR="00C66FB2" w:rsidRPr="008A1B84" w:rsidTr="00C66FB2">
        <w:trPr>
          <w:trHeight w:val="300"/>
          <w:jc w:val="center"/>
        </w:trPr>
        <w:tc>
          <w:tcPr>
            <w:tcW w:w="1600" w:type="dxa"/>
            <w:tcBorders>
              <w:top w:val="nil"/>
              <w:left w:val="nil"/>
              <w:bottom w:val="nil"/>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ERA</w:t>
            </w:r>
          </w:p>
        </w:tc>
        <w:tc>
          <w:tcPr>
            <w:tcW w:w="152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124.91</w:t>
            </w:r>
          </w:p>
        </w:tc>
        <w:tc>
          <w:tcPr>
            <w:tcW w:w="136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150.32</w:t>
            </w:r>
          </w:p>
        </w:tc>
        <w:tc>
          <w:tcPr>
            <w:tcW w:w="142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94.56</w:t>
            </w:r>
          </w:p>
        </w:tc>
        <w:tc>
          <w:tcPr>
            <w:tcW w:w="1480" w:type="dxa"/>
            <w:tcBorders>
              <w:top w:val="nil"/>
              <w:left w:val="nil"/>
              <w:bottom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92.27</w:t>
            </w:r>
          </w:p>
        </w:tc>
      </w:tr>
      <w:tr w:rsidR="00C66FB2" w:rsidRPr="008A1B84" w:rsidTr="00D219EE">
        <w:trPr>
          <w:trHeight w:val="300"/>
          <w:jc w:val="center"/>
        </w:trPr>
        <w:tc>
          <w:tcPr>
            <w:tcW w:w="1600" w:type="dxa"/>
            <w:tcBorders>
              <w:top w:val="nil"/>
              <w:left w:val="nil"/>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lang w:val="en-NZ" w:eastAsia="zh-CN"/>
              </w:rPr>
            </w:pPr>
            <w:r w:rsidRPr="00D219EE">
              <w:rPr>
                <w:rFonts w:ascii="Times New Roman" w:eastAsia="Times New Roman" w:hAnsi="Times New Roman" w:cs="Times New Roman"/>
                <w:bCs/>
                <w:lang w:val="en-NZ" w:eastAsia="zh-CN"/>
              </w:rPr>
              <w:t>ABDC10</w:t>
            </w:r>
          </w:p>
        </w:tc>
        <w:tc>
          <w:tcPr>
            <w:tcW w:w="1520" w:type="dxa"/>
            <w:tcBorders>
              <w:top w:val="nil"/>
              <w:left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112.39</w:t>
            </w:r>
          </w:p>
        </w:tc>
        <w:tc>
          <w:tcPr>
            <w:tcW w:w="1360" w:type="dxa"/>
            <w:tcBorders>
              <w:top w:val="nil"/>
              <w:left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137.83</w:t>
            </w:r>
          </w:p>
        </w:tc>
        <w:tc>
          <w:tcPr>
            <w:tcW w:w="1420" w:type="dxa"/>
            <w:tcBorders>
              <w:top w:val="nil"/>
              <w:left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85.08</w:t>
            </w:r>
          </w:p>
        </w:tc>
        <w:tc>
          <w:tcPr>
            <w:tcW w:w="1480" w:type="dxa"/>
            <w:tcBorders>
              <w:top w:val="nil"/>
              <w:left w:val="nil"/>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color w:val="000000"/>
                <w:lang w:val="en-NZ" w:eastAsia="zh-CN"/>
              </w:rPr>
            </w:pPr>
            <w:r w:rsidRPr="008A1B84">
              <w:rPr>
                <w:rFonts w:ascii="Times New Roman" w:eastAsia="Times New Roman" w:hAnsi="Times New Roman" w:cs="Times New Roman"/>
                <w:color w:val="000000"/>
                <w:lang w:val="en-NZ" w:eastAsia="zh-CN"/>
              </w:rPr>
              <w:t>84.76</w:t>
            </w:r>
          </w:p>
        </w:tc>
      </w:tr>
      <w:tr w:rsidR="00C66FB2" w:rsidRPr="008A1B84" w:rsidTr="00D219EE">
        <w:trPr>
          <w:trHeight w:val="300"/>
          <w:jc w:val="center"/>
        </w:trPr>
        <w:tc>
          <w:tcPr>
            <w:tcW w:w="1600" w:type="dxa"/>
            <w:tcBorders>
              <w:top w:val="nil"/>
              <w:left w:val="nil"/>
              <w:bottom w:val="single" w:sz="4" w:space="0" w:color="auto"/>
              <w:right w:val="nil"/>
            </w:tcBorders>
            <w:shd w:val="clear" w:color="auto" w:fill="auto"/>
            <w:vAlign w:val="bottom"/>
            <w:hideMark/>
          </w:tcPr>
          <w:p w:rsidR="00C66FB2" w:rsidRPr="00D219EE" w:rsidRDefault="00C66FB2" w:rsidP="00514F3B">
            <w:pPr>
              <w:tabs>
                <w:tab w:val="left" w:pos="426"/>
              </w:tabs>
              <w:spacing w:after="0" w:line="240" w:lineRule="auto"/>
              <w:jc w:val="both"/>
              <w:rPr>
                <w:rFonts w:ascii="Times New Roman" w:eastAsia="Times New Roman" w:hAnsi="Times New Roman" w:cs="Times New Roman"/>
                <w:bCs/>
                <w:i/>
                <w:iCs/>
                <w:lang w:val="en-NZ" w:eastAsia="zh-CN"/>
              </w:rPr>
            </w:pPr>
            <w:r w:rsidRPr="00D219EE">
              <w:rPr>
                <w:rFonts w:ascii="Times New Roman" w:eastAsia="Times New Roman" w:hAnsi="Times New Roman" w:cs="Times New Roman"/>
                <w:bCs/>
                <w:i/>
                <w:iCs/>
                <w:lang w:val="en-NZ" w:eastAsia="zh-CN"/>
              </w:rPr>
              <w:t>Average</w:t>
            </w:r>
          </w:p>
        </w:tc>
        <w:tc>
          <w:tcPr>
            <w:tcW w:w="152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114.49</w:t>
            </w:r>
          </w:p>
        </w:tc>
        <w:tc>
          <w:tcPr>
            <w:tcW w:w="136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138.51</w:t>
            </w:r>
          </w:p>
        </w:tc>
        <w:tc>
          <w:tcPr>
            <w:tcW w:w="142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86.59</w:t>
            </w:r>
          </w:p>
        </w:tc>
        <w:tc>
          <w:tcPr>
            <w:tcW w:w="1480" w:type="dxa"/>
            <w:tcBorders>
              <w:top w:val="nil"/>
              <w:left w:val="nil"/>
              <w:bottom w:val="single" w:sz="4" w:space="0" w:color="auto"/>
              <w:right w:val="nil"/>
            </w:tcBorders>
            <w:shd w:val="clear" w:color="auto" w:fill="auto"/>
            <w:noWrap/>
            <w:vAlign w:val="bottom"/>
            <w:hideMark/>
          </w:tcPr>
          <w:p w:rsidR="00C66FB2" w:rsidRPr="008A1B84" w:rsidRDefault="00C66FB2" w:rsidP="00D219EE">
            <w:pPr>
              <w:tabs>
                <w:tab w:val="left" w:pos="426"/>
              </w:tabs>
              <w:spacing w:after="0" w:line="240" w:lineRule="auto"/>
              <w:ind w:right="291"/>
              <w:jc w:val="right"/>
              <w:rPr>
                <w:rFonts w:ascii="Times New Roman" w:eastAsia="Times New Roman" w:hAnsi="Times New Roman" w:cs="Times New Roman"/>
                <w:i/>
                <w:iCs/>
                <w:color w:val="000000"/>
                <w:lang w:val="en-NZ" w:eastAsia="zh-CN"/>
              </w:rPr>
            </w:pPr>
            <w:r w:rsidRPr="008A1B84">
              <w:rPr>
                <w:rFonts w:ascii="Times New Roman" w:eastAsia="Times New Roman" w:hAnsi="Times New Roman" w:cs="Times New Roman"/>
                <w:i/>
                <w:iCs/>
                <w:color w:val="000000"/>
                <w:lang w:val="en-NZ" w:eastAsia="zh-CN"/>
              </w:rPr>
              <w:t>85.03</w:t>
            </w:r>
          </w:p>
        </w:tc>
      </w:tr>
    </w:tbl>
    <w:p w:rsidR="004A01DE" w:rsidRPr="008A1B84" w:rsidRDefault="004A01DE" w:rsidP="00514F3B">
      <w:pPr>
        <w:tabs>
          <w:tab w:val="left" w:pos="426"/>
        </w:tabs>
        <w:jc w:val="both"/>
        <w:rPr>
          <w:rFonts w:ascii="Times New Roman" w:hAnsi="Times New Roman" w:cs="Times New Roman"/>
        </w:rPr>
      </w:pPr>
    </w:p>
    <w:sectPr w:rsidR="004A01DE" w:rsidRPr="008A1B84" w:rsidSect="008E4CC0">
      <w:footerReference w:type="default" r:id="rId16"/>
      <w:pgSz w:w="11907" w:h="16839"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5EF" w:rsidRDefault="000245EF" w:rsidP="002E78B6">
      <w:pPr>
        <w:spacing w:after="0" w:line="240" w:lineRule="auto"/>
      </w:pPr>
      <w:r>
        <w:separator/>
      </w:r>
    </w:p>
  </w:endnote>
  <w:endnote w:type="continuationSeparator" w:id="0">
    <w:p w:rsidR="000245EF" w:rsidRDefault="000245EF" w:rsidP="002E7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699508"/>
      <w:docPartObj>
        <w:docPartGallery w:val="Page Numbers (Bottom of Page)"/>
        <w:docPartUnique/>
      </w:docPartObj>
    </w:sdtPr>
    <w:sdtEndPr>
      <w:rPr>
        <w:noProof/>
      </w:rPr>
    </w:sdtEndPr>
    <w:sdtContent>
      <w:p w:rsidR="00514F3B" w:rsidRDefault="000972EB">
        <w:pPr>
          <w:pStyle w:val="Footer"/>
          <w:jc w:val="center"/>
        </w:pPr>
        <w:r>
          <w:fldChar w:fldCharType="begin"/>
        </w:r>
        <w:r w:rsidR="00F71A32">
          <w:instrText xml:space="preserve"> PAGE   \* MERGEFORMAT </w:instrText>
        </w:r>
        <w:r>
          <w:fldChar w:fldCharType="separate"/>
        </w:r>
        <w:r w:rsidR="00B717F0">
          <w:rPr>
            <w:noProof/>
          </w:rPr>
          <w:t>2</w:t>
        </w:r>
        <w:r>
          <w:rPr>
            <w:noProof/>
          </w:rPr>
          <w:fldChar w:fldCharType="end"/>
        </w:r>
      </w:p>
    </w:sdtContent>
  </w:sdt>
  <w:p w:rsidR="00514F3B" w:rsidRDefault="00514F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5EF" w:rsidRDefault="000245EF" w:rsidP="002E78B6">
      <w:pPr>
        <w:spacing w:after="0" w:line="240" w:lineRule="auto"/>
      </w:pPr>
      <w:r>
        <w:separator/>
      </w:r>
    </w:p>
  </w:footnote>
  <w:footnote w:type="continuationSeparator" w:id="0">
    <w:p w:rsidR="000245EF" w:rsidRDefault="000245EF" w:rsidP="002E78B6">
      <w:pPr>
        <w:spacing w:after="0" w:line="240" w:lineRule="auto"/>
      </w:pPr>
      <w:r>
        <w:continuationSeparator/>
      </w:r>
    </w:p>
  </w:footnote>
  <w:footnote w:id="1">
    <w:p w:rsidR="00514F3B" w:rsidRDefault="00514F3B" w:rsidP="00514F3B">
      <w:pPr>
        <w:pStyle w:val="FootnoteText"/>
        <w:ind w:left="284" w:hanging="284"/>
        <w:jc w:val="both"/>
        <w:rPr>
          <w:rFonts w:ascii="Times New Roman" w:hAnsi="Times New Roman" w:cs="Times New Roman"/>
          <w:sz w:val="22"/>
          <w:szCs w:val="22"/>
        </w:rPr>
      </w:pPr>
      <w:r w:rsidRPr="00514F3B">
        <w:rPr>
          <w:rStyle w:val="FootnoteReference"/>
          <w:rFonts w:ascii="Times New Roman" w:hAnsi="Times New Roman" w:cs="Times New Roman"/>
          <w:sz w:val="22"/>
          <w:szCs w:val="22"/>
        </w:rPr>
        <w:footnoteRef/>
      </w:r>
      <w:r w:rsidRPr="00514F3B">
        <w:rPr>
          <w:rFonts w:ascii="Times New Roman" w:hAnsi="Times New Roman" w:cs="Times New Roman"/>
          <w:sz w:val="22"/>
          <w:szCs w:val="22"/>
        </w:rPr>
        <w:t xml:space="preserve"> </w:t>
      </w:r>
      <w:r>
        <w:rPr>
          <w:rFonts w:ascii="Times New Roman" w:hAnsi="Times New Roman" w:cs="Times New Roman"/>
          <w:sz w:val="22"/>
          <w:szCs w:val="22"/>
        </w:rPr>
        <w:tab/>
      </w:r>
      <w:r w:rsidRPr="00514F3B">
        <w:rPr>
          <w:rFonts w:ascii="Times New Roman" w:hAnsi="Times New Roman" w:cs="Times New Roman"/>
          <w:sz w:val="22"/>
          <w:szCs w:val="22"/>
        </w:rPr>
        <w:t xml:space="preserve">The current version is known as the Research Excellence Framework (REF).  </w:t>
      </w:r>
    </w:p>
    <w:p w:rsidR="00056099" w:rsidRDefault="00056099" w:rsidP="00514F3B">
      <w:pPr>
        <w:pStyle w:val="FootnoteText"/>
        <w:ind w:left="284" w:hanging="284"/>
        <w:jc w:val="both"/>
        <w:rPr>
          <w:rFonts w:ascii="Times New Roman" w:hAnsi="Times New Roman" w:cs="Times New Roman"/>
          <w:sz w:val="22"/>
          <w:szCs w:val="22"/>
        </w:rPr>
      </w:pPr>
    </w:p>
    <w:p w:rsidR="00056099" w:rsidRPr="00514F3B" w:rsidRDefault="00056099" w:rsidP="00514F3B">
      <w:pPr>
        <w:pStyle w:val="FootnoteText"/>
        <w:ind w:left="284" w:hanging="284"/>
        <w:jc w:val="both"/>
        <w:rPr>
          <w:rFonts w:ascii="Times New Roman" w:hAnsi="Times New Roman" w:cs="Times New Roman"/>
          <w:sz w:val="22"/>
          <w:szCs w:val="22"/>
        </w:rPr>
      </w:pPr>
    </w:p>
  </w:footnote>
  <w:footnote w:id="2">
    <w:p w:rsidR="00514F3B" w:rsidRDefault="00514F3B" w:rsidP="00514F3B">
      <w:pPr>
        <w:pStyle w:val="FootnoteText"/>
        <w:ind w:left="284" w:hanging="284"/>
        <w:jc w:val="both"/>
        <w:rPr>
          <w:rFonts w:ascii="Times New Roman" w:hAnsi="Times New Roman" w:cs="Times New Roman"/>
          <w:sz w:val="22"/>
          <w:szCs w:val="22"/>
        </w:rPr>
      </w:pPr>
      <w:r w:rsidRPr="00514F3B">
        <w:rPr>
          <w:rStyle w:val="FootnoteReference"/>
          <w:rFonts w:ascii="Times New Roman" w:hAnsi="Times New Roman" w:cs="Times New Roman"/>
          <w:sz w:val="22"/>
          <w:szCs w:val="22"/>
        </w:rPr>
        <w:footnoteRef/>
      </w:r>
      <w:r w:rsidRPr="00514F3B">
        <w:rPr>
          <w:rFonts w:ascii="Times New Roman" w:hAnsi="Times New Roman" w:cs="Times New Roman"/>
          <w:sz w:val="22"/>
          <w:szCs w:val="22"/>
        </w:rPr>
        <w:t xml:space="preserve"> </w:t>
      </w:r>
      <w:r>
        <w:rPr>
          <w:rFonts w:ascii="Times New Roman" w:hAnsi="Times New Roman" w:cs="Times New Roman"/>
          <w:sz w:val="22"/>
          <w:szCs w:val="22"/>
        </w:rPr>
        <w:tab/>
      </w:r>
      <w:r w:rsidRPr="00514F3B">
        <w:rPr>
          <w:rFonts w:ascii="Times New Roman" w:hAnsi="Times New Roman" w:cs="Times New Roman"/>
          <w:sz w:val="22"/>
          <w:szCs w:val="22"/>
        </w:rPr>
        <w:t xml:space="preserve">References to desired improvements in research quality can be found in virtually all government documents outlining the scheme.  For example: </w:t>
      </w:r>
      <w:r w:rsidR="00FF1968">
        <w:rPr>
          <w:rFonts w:ascii="Times New Roman" w:hAnsi="Times New Roman" w:cs="Times New Roman"/>
          <w:sz w:val="22"/>
          <w:szCs w:val="22"/>
        </w:rPr>
        <w:t>‘</w:t>
      </w:r>
      <w:r w:rsidRPr="00514F3B">
        <w:rPr>
          <w:rFonts w:ascii="Times New Roman" w:hAnsi="Times New Roman" w:cs="Times New Roman"/>
          <w:sz w:val="22"/>
          <w:szCs w:val="22"/>
        </w:rPr>
        <w:t>Cabinet has agreed that a Performance- Based Research Fund should be established to: increase the average quality of research</w:t>
      </w:r>
      <w:r w:rsidR="00FF1968">
        <w:rPr>
          <w:rFonts w:ascii="Times New Roman" w:hAnsi="Times New Roman" w:cs="Times New Roman"/>
          <w:sz w:val="22"/>
          <w:szCs w:val="22"/>
        </w:rPr>
        <w:t>’</w:t>
      </w:r>
      <w:r w:rsidRPr="00514F3B">
        <w:rPr>
          <w:rFonts w:ascii="Times New Roman" w:hAnsi="Times New Roman" w:cs="Times New Roman"/>
          <w:sz w:val="22"/>
          <w:szCs w:val="22"/>
        </w:rPr>
        <w:t xml:space="preserve">, (TEC, 2002, p.7); </w:t>
      </w:r>
      <w:r w:rsidR="00FF1968">
        <w:rPr>
          <w:rFonts w:ascii="Times New Roman" w:hAnsi="Times New Roman" w:cs="Times New Roman"/>
          <w:sz w:val="22"/>
          <w:szCs w:val="22"/>
        </w:rPr>
        <w:t>‘</w:t>
      </w:r>
      <w:proofErr w:type="gramStart"/>
      <w:r w:rsidRPr="00514F3B">
        <w:rPr>
          <w:rFonts w:ascii="Times New Roman" w:hAnsi="Times New Roman" w:cs="Times New Roman"/>
          <w:sz w:val="22"/>
          <w:szCs w:val="22"/>
        </w:rPr>
        <w:t>..primarily</w:t>
      </w:r>
      <w:proofErr w:type="gramEnd"/>
      <w:r w:rsidRPr="00514F3B">
        <w:rPr>
          <w:rFonts w:ascii="Times New Roman" w:hAnsi="Times New Roman" w:cs="Times New Roman"/>
          <w:sz w:val="22"/>
          <w:szCs w:val="22"/>
        </w:rPr>
        <w:t xml:space="preserve"> about quality, not quantity</w:t>
      </w:r>
      <w:r w:rsidR="00FF1968">
        <w:rPr>
          <w:rFonts w:ascii="Times New Roman" w:hAnsi="Times New Roman" w:cs="Times New Roman"/>
          <w:sz w:val="22"/>
          <w:szCs w:val="22"/>
        </w:rPr>
        <w:t>’</w:t>
      </w:r>
      <w:r w:rsidRPr="00514F3B">
        <w:rPr>
          <w:rFonts w:ascii="Times New Roman" w:hAnsi="Times New Roman" w:cs="Times New Roman"/>
          <w:sz w:val="22"/>
          <w:szCs w:val="22"/>
        </w:rPr>
        <w:t xml:space="preserve">, TEC, 2011, p.104; and </w:t>
      </w:r>
      <w:r w:rsidR="00FF1968">
        <w:rPr>
          <w:rFonts w:ascii="Times New Roman" w:hAnsi="Times New Roman" w:cs="Times New Roman"/>
          <w:sz w:val="22"/>
          <w:szCs w:val="22"/>
        </w:rPr>
        <w:t>‘</w:t>
      </w:r>
      <w:r w:rsidRPr="00514F3B">
        <w:rPr>
          <w:rFonts w:ascii="Times New Roman" w:hAnsi="Times New Roman" w:cs="Times New Roman"/>
          <w:sz w:val="22"/>
          <w:szCs w:val="22"/>
        </w:rPr>
        <w:t xml:space="preserve">.. </w:t>
      </w:r>
      <w:proofErr w:type="gramStart"/>
      <w:r w:rsidRPr="00514F3B">
        <w:rPr>
          <w:rFonts w:ascii="Times New Roman" w:hAnsi="Times New Roman" w:cs="Times New Roman"/>
          <w:sz w:val="22"/>
          <w:szCs w:val="22"/>
        </w:rPr>
        <w:t>encourage</w:t>
      </w:r>
      <w:proofErr w:type="gramEnd"/>
      <w:r w:rsidRPr="00514F3B">
        <w:rPr>
          <w:rFonts w:ascii="Times New Roman" w:hAnsi="Times New Roman" w:cs="Times New Roman"/>
          <w:sz w:val="22"/>
          <w:szCs w:val="22"/>
        </w:rPr>
        <w:t xml:space="preserve"> and reward research excellence</w:t>
      </w:r>
      <w:r w:rsidR="00FF1968">
        <w:rPr>
          <w:rFonts w:ascii="Times New Roman" w:hAnsi="Times New Roman" w:cs="Times New Roman"/>
          <w:sz w:val="22"/>
          <w:szCs w:val="22"/>
        </w:rPr>
        <w:t>’</w:t>
      </w:r>
      <w:r w:rsidRPr="00514F3B">
        <w:rPr>
          <w:rFonts w:ascii="Times New Roman" w:hAnsi="Times New Roman" w:cs="Times New Roman"/>
          <w:sz w:val="22"/>
          <w:szCs w:val="22"/>
        </w:rPr>
        <w:t xml:space="preserve">, TEC, 2003, p. vii..    </w:t>
      </w:r>
    </w:p>
    <w:p w:rsidR="00056099" w:rsidRPr="00514F3B" w:rsidRDefault="00056099" w:rsidP="00514F3B">
      <w:pPr>
        <w:pStyle w:val="FootnoteText"/>
        <w:ind w:left="284" w:hanging="284"/>
        <w:jc w:val="both"/>
        <w:rPr>
          <w:rFonts w:ascii="Times New Roman" w:hAnsi="Times New Roman" w:cs="Times New Roman"/>
          <w:sz w:val="22"/>
          <w:szCs w:val="22"/>
        </w:rPr>
      </w:pPr>
    </w:p>
  </w:footnote>
  <w:footnote w:id="3">
    <w:p w:rsidR="00514F3B" w:rsidRPr="00514F3B" w:rsidRDefault="00514F3B" w:rsidP="00514F3B">
      <w:pPr>
        <w:pStyle w:val="FootnoteText"/>
        <w:ind w:left="284" w:hanging="284"/>
        <w:jc w:val="both"/>
        <w:rPr>
          <w:rFonts w:ascii="Times New Roman" w:hAnsi="Times New Roman" w:cs="Times New Roman"/>
          <w:sz w:val="22"/>
          <w:szCs w:val="22"/>
        </w:rPr>
      </w:pPr>
      <w:r w:rsidRPr="00514F3B">
        <w:rPr>
          <w:rStyle w:val="FootnoteReference"/>
          <w:rFonts w:ascii="Times New Roman" w:hAnsi="Times New Roman" w:cs="Times New Roman"/>
          <w:sz w:val="22"/>
          <w:szCs w:val="22"/>
        </w:rPr>
        <w:footnoteRef/>
      </w:r>
      <w:r w:rsidRPr="00514F3B">
        <w:rPr>
          <w:rFonts w:ascii="Times New Roman" w:hAnsi="Times New Roman" w:cs="Times New Roman"/>
          <w:sz w:val="22"/>
          <w:szCs w:val="22"/>
        </w:rPr>
        <w:t xml:space="preserve"> </w:t>
      </w:r>
      <w:r>
        <w:rPr>
          <w:rFonts w:ascii="Times New Roman" w:hAnsi="Times New Roman" w:cs="Times New Roman"/>
          <w:sz w:val="22"/>
          <w:szCs w:val="22"/>
        </w:rPr>
        <w:tab/>
      </w:r>
      <w:r w:rsidRPr="00514F3B">
        <w:rPr>
          <w:rFonts w:ascii="Times New Roman" w:hAnsi="Times New Roman" w:cs="Times New Roman"/>
          <w:sz w:val="22"/>
          <w:szCs w:val="22"/>
        </w:rPr>
        <w:t>For a more extensive discussion of the current version of the scheme, see TEC, 2011.  Reviews and comments on the 2003 and 2006 versions of the PBRF can be found in Adams, 2008</w:t>
      </w:r>
      <w:proofErr w:type="gramStart"/>
      <w:r w:rsidRPr="00514F3B">
        <w:rPr>
          <w:rFonts w:ascii="Times New Roman" w:hAnsi="Times New Roman" w:cs="Times New Roman"/>
          <w:sz w:val="22"/>
          <w:szCs w:val="22"/>
        </w:rPr>
        <w:t>;  Mathews</w:t>
      </w:r>
      <w:proofErr w:type="gramEnd"/>
      <w:r w:rsidRPr="00514F3B">
        <w:rPr>
          <w:rFonts w:ascii="Times New Roman" w:hAnsi="Times New Roman" w:cs="Times New Roman"/>
          <w:sz w:val="22"/>
          <w:szCs w:val="22"/>
        </w:rPr>
        <w:t xml:space="preserve"> and Sangster, 2009; Goldfinch, 2003; Boston, Mischewski and Smyth (2005); and in Bakker, Boston, Campbell and Smyth (2006).</w:t>
      </w:r>
    </w:p>
  </w:footnote>
  <w:footnote w:id="4">
    <w:p w:rsidR="00514F3B" w:rsidRPr="00AF53EA"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The remaining 40 percent of PBRF funding is allocated as follows: 25 percent based on research degree completions, and 15 percent on external research funds attained.  </w:t>
      </w:r>
    </w:p>
  </w:footnote>
  <w:footnote w:id="5">
    <w:p w:rsidR="00514F3B"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PBRF terminology is not consistent here.  When RO, CRE and PE scores are combined the result is referred to as a </w:t>
      </w:r>
      <w:r w:rsidR="00FF1968">
        <w:rPr>
          <w:rFonts w:ascii="Times New Roman" w:hAnsi="Times New Roman" w:cs="Times New Roman"/>
          <w:sz w:val="22"/>
          <w:szCs w:val="22"/>
        </w:rPr>
        <w:t>‘</w:t>
      </w:r>
      <w:r w:rsidRPr="00AF53EA">
        <w:rPr>
          <w:rFonts w:ascii="Times New Roman" w:hAnsi="Times New Roman" w:cs="Times New Roman"/>
          <w:sz w:val="22"/>
          <w:szCs w:val="22"/>
        </w:rPr>
        <w:t>Quality Evaluation</w:t>
      </w:r>
      <w:r w:rsidR="00FF1968">
        <w:rPr>
          <w:rFonts w:ascii="Times New Roman" w:hAnsi="Times New Roman" w:cs="Times New Roman"/>
          <w:sz w:val="22"/>
          <w:szCs w:val="22"/>
        </w:rPr>
        <w:t>’</w:t>
      </w:r>
      <w:r w:rsidRPr="00AF53EA">
        <w:rPr>
          <w:rFonts w:ascii="Times New Roman" w:hAnsi="Times New Roman" w:cs="Times New Roman"/>
          <w:sz w:val="22"/>
          <w:szCs w:val="22"/>
        </w:rPr>
        <w:t xml:space="preserve"> (QE) </w:t>
      </w:r>
      <w:proofErr w:type="gramStart"/>
      <w:r w:rsidRPr="00AF53EA">
        <w:rPr>
          <w:rFonts w:ascii="Times New Roman" w:hAnsi="Times New Roman" w:cs="Times New Roman"/>
          <w:sz w:val="22"/>
          <w:szCs w:val="22"/>
        </w:rPr>
        <w:t>score</w:t>
      </w:r>
      <w:proofErr w:type="gramEnd"/>
      <w:r w:rsidRPr="00AF53EA">
        <w:rPr>
          <w:rFonts w:ascii="Times New Roman" w:hAnsi="Times New Roman" w:cs="Times New Roman"/>
          <w:sz w:val="22"/>
          <w:szCs w:val="22"/>
        </w:rPr>
        <w:t>, even though this is an assessment of overall research output or contribution.</w:t>
      </w:r>
    </w:p>
    <w:p w:rsidR="00056099" w:rsidRPr="00AF53EA" w:rsidRDefault="00056099" w:rsidP="00AF53EA">
      <w:pPr>
        <w:pStyle w:val="FootnoteText"/>
        <w:ind w:left="284" w:hanging="284"/>
        <w:jc w:val="both"/>
        <w:rPr>
          <w:rFonts w:ascii="Times New Roman" w:hAnsi="Times New Roman" w:cs="Times New Roman"/>
          <w:sz w:val="22"/>
          <w:szCs w:val="22"/>
        </w:rPr>
      </w:pPr>
    </w:p>
  </w:footnote>
  <w:footnote w:id="6">
    <w:p w:rsidR="00514F3B" w:rsidRPr="00AF53EA"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In a related paper Smart (2009b) uses PBRF Quality Evaluation (QE) </w:t>
      </w:r>
      <w:proofErr w:type="gramStart"/>
      <w:r w:rsidRPr="00AF53EA">
        <w:rPr>
          <w:rFonts w:ascii="Times New Roman" w:hAnsi="Times New Roman" w:cs="Times New Roman"/>
          <w:sz w:val="22"/>
          <w:szCs w:val="22"/>
        </w:rPr>
        <w:t>scores  to</w:t>
      </w:r>
      <w:proofErr w:type="gramEnd"/>
      <w:r w:rsidRPr="00AF53EA">
        <w:rPr>
          <w:rFonts w:ascii="Times New Roman" w:hAnsi="Times New Roman" w:cs="Times New Roman"/>
          <w:sz w:val="22"/>
          <w:szCs w:val="22"/>
        </w:rPr>
        <w:t xml:space="preserve"> consider the relationship between research quality and the probability of promotion for all those participating in the 2003 and 2006 rounds.</w:t>
      </w:r>
    </w:p>
  </w:footnote>
  <w:footnote w:id="7">
    <w:p w:rsidR="00514F3B"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In fact, virtually all articles in the rankings literature in economics focus on refereed papers to the exclusion of all other forms for research, largely for pragmatic reasons (data availability) and for a belief that such output is of primary importance in tenure, promotion and hiring decisions.</w:t>
      </w:r>
    </w:p>
    <w:p w:rsidR="00056099" w:rsidRPr="00AF53EA" w:rsidRDefault="00056099" w:rsidP="00AF53EA">
      <w:pPr>
        <w:pStyle w:val="FootnoteText"/>
        <w:ind w:left="284" w:hanging="284"/>
        <w:jc w:val="both"/>
        <w:rPr>
          <w:rFonts w:ascii="Times New Roman" w:hAnsi="Times New Roman" w:cs="Times New Roman"/>
          <w:sz w:val="22"/>
          <w:szCs w:val="22"/>
        </w:rPr>
      </w:pPr>
    </w:p>
  </w:footnote>
  <w:footnote w:id="8">
    <w:p w:rsidR="00514F3B" w:rsidRPr="00AF53EA"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For a critique of this assumption, see Beed and Beed (1996).   </w:t>
      </w:r>
    </w:p>
  </w:footnote>
  <w:footnote w:id="9">
    <w:p w:rsidR="00514F3B"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In another study, based on ISI data, Anderson and Tressler (2013) found that over a six year period 52 percent of New Zealand economists received a ‘g’ and ’h’ score of zero, and 92 and 89 percent received </w:t>
      </w:r>
      <w:r w:rsidR="00FF1968">
        <w:rPr>
          <w:rFonts w:ascii="Times New Roman" w:hAnsi="Times New Roman" w:cs="Times New Roman"/>
          <w:sz w:val="22"/>
          <w:szCs w:val="22"/>
        </w:rPr>
        <w:t>‘</w:t>
      </w:r>
      <w:r w:rsidRPr="00AF53EA">
        <w:rPr>
          <w:rFonts w:ascii="Times New Roman" w:hAnsi="Times New Roman" w:cs="Times New Roman"/>
          <w:sz w:val="22"/>
          <w:szCs w:val="22"/>
        </w:rPr>
        <w:t>h</w:t>
      </w:r>
      <w:r w:rsidR="00FF1968">
        <w:rPr>
          <w:rFonts w:ascii="Times New Roman" w:hAnsi="Times New Roman" w:cs="Times New Roman"/>
          <w:sz w:val="22"/>
          <w:szCs w:val="22"/>
        </w:rPr>
        <w:t>’</w:t>
      </w:r>
      <w:r w:rsidRPr="00AF53EA">
        <w:rPr>
          <w:rFonts w:ascii="Times New Roman" w:hAnsi="Times New Roman" w:cs="Times New Roman"/>
          <w:sz w:val="22"/>
          <w:szCs w:val="22"/>
        </w:rPr>
        <w:t xml:space="preserve"> and </w:t>
      </w:r>
      <w:r w:rsidR="00FF1968">
        <w:rPr>
          <w:rFonts w:ascii="Times New Roman" w:hAnsi="Times New Roman" w:cs="Times New Roman"/>
          <w:sz w:val="22"/>
          <w:szCs w:val="22"/>
        </w:rPr>
        <w:t>‘</w:t>
      </w:r>
      <w:r w:rsidRPr="00AF53EA">
        <w:rPr>
          <w:rFonts w:ascii="Times New Roman" w:hAnsi="Times New Roman" w:cs="Times New Roman"/>
          <w:sz w:val="22"/>
          <w:szCs w:val="22"/>
        </w:rPr>
        <w:t>g</w:t>
      </w:r>
      <w:r w:rsidR="00FF1968">
        <w:rPr>
          <w:rFonts w:ascii="Times New Roman" w:hAnsi="Times New Roman" w:cs="Times New Roman"/>
          <w:sz w:val="22"/>
          <w:szCs w:val="22"/>
        </w:rPr>
        <w:t>’</w:t>
      </w:r>
      <w:r w:rsidRPr="00AF53EA">
        <w:rPr>
          <w:rFonts w:ascii="Times New Roman" w:hAnsi="Times New Roman" w:cs="Times New Roman"/>
          <w:sz w:val="22"/>
          <w:szCs w:val="22"/>
        </w:rPr>
        <w:t xml:space="preserve"> scores of two or less, respectively.    It is our view that these results fail to differentiate in a meaningful way between low and high producers.</w:t>
      </w:r>
    </w:p>
    <w:p w:rsidR="00056099" w:rsidRPr="00AF53EA" w:rsidRDefault="00056099" w:rsidP="00AF53EA">
      <w:pPr>
        <w:pStyle w:val="FootnoteText"/>
        <w:ind w:left="284" w:hanging="284"/>
        <w:jc w:val="both"/>
        <w:rPr>
          <w:rFonts w:ascii="Times New Roman" w:hAnsi="Times New Roman" w:cs="Times New Roman"/>
          <w:sz w:val="22"/>
          <w:szCs w:val="22"/>
        </w:rPr>
      </w:pPr>
    </w:p>
  </w:footnote>
  <w:footnote w:id="10">
    <w:p w:rsidR="00514F3B"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For purposes of this study, we have ignored the 2003 PBRF round.  Although the official scheme was not announced until late 2002, it was common knowledge from 1999 onwards that the government intended to move towards some form of research evaluation.  Hence, it is possible that some academics adjusted their behaviour accordingly.  However, the general view is that most academics were taken by surprise when the PBRF was announced (for example, see Hazledine and Kurniawan, 2005, p.173).  Nevertheless, we have chosen to adopt a conservative approach and create a dataset that precedes any possible behavioural change.</w:t>
      </w:r>
    </w:p>
    <w:p w:rsidR="00056099" w:rsidRPr="00AF53EA" w:rsidRDefault="00056099" w:rsidP="00AF53EA">
      <w:pPr>
        <w:pStyle w:val="FootnoteText"/>
        <w:ind w:left="284" w:hanging="284"/>
        <w:jc w:val="both"/>
        <w:rPr>
          <w:rFonts w:ascii="Times New Roman" w:hAnsi="Times New Roman" w:cs="Times New Roman"/>
          <w:sz w:val="22"/>
          <w:szCs w:val="22"/>
        </w:rPr>
      </w:pPr>
    </w:p>
  </w:footnote>
  <w:footnote w:id="11">
    <w:p w:rsidR="00056099"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We wish to thank Joseph Macri and the late Dependra Sinha for providing us page conversion factors for approximately 500 journals.  For all other journals, we used 0.72 as ratio of page size in </w:t>
      </w:r>
      <w:r w:rsidR="00FF1968">
        <w:rPr>
          <w:rFonts w:ascii="Times New Roman" w:hAnsi="Times New Roman" w:cs="Times New Roman"/>
          <w:sz w:val="22"/>
          <w:szCs w:val="22"/>
        </w:rPr>
        <w:t>‘</w:t>
      </w:r>
      <w:r w:rsidRPr="00AF53EA">
        <w:rPr>
          <w:rFonts w:ascii="Times New Roman" w:hAnsi="Times New Roman" w:cs="Times New Roman"/>
          <w:sz w:val="22"/>
          <w:szCs w:val="22"/>
        </w:rPr>
        <w:t>other</w:t>
      </w:r>
      <w:r w:rsidR="00FF1968">
        <w:rPr>
          <w:rFonts w:ascii="Times New Roman" w:hAnsi="Times New Roman" w:cs="Times New Roman"/>
          <w:sz w:val="22"/>
          <w:szCs w:val="22"/>
        </w:rPr>
        <w:t>’</w:t>
      </w:r>
      <w:r w:rsidRPr="00AF53EA">
        <w:rPr>
          <w:rFonts w:ascii="Times New Roman" w:hAnsi="Times New Roman" w:cs="Times New Roman"/>
          <w:sz w:val="22"/>
          <w:szCs w:val="22"/>
        </w:rPr>
        <w:t xml:space="preserve"> journals to an average </w:t>
      </w:r>
      <w:r w:rsidRPr="00AF53EA">
        <w:rPr>
          <w:rFonts w:ascii="Times New Roman" w:hAnsi="Times New Roman" w:cs="Times New Roman"/>
          <w:i/>
          <w:sz w:val="22"/>
          <w:szCs w:val="22"/>
        </w:rPr>
        <w:t>AER</w:t>
      </w:r>
      <w:r w:rsidRPr="00AF53EA">
        <w:rPr>
          <w:rFonts w:ascii="Times New Roman" w:hAnsi="Times New Roman" w:cs="Times New Roman"/>
          <w:sz w:val="22"/>
          <w:szCs w:val="22"/>
        </w:rPr>
        <w:t xml:space="preserve"> page.  Gibson (2000) provides justification for this estimate.</w:t>
      </w:r>
    </w:p>
    <w:p w:rsidR="00514F3B" w:rsidRPr="00AF53EA" w:rsidRDefault="00514F3B" w:rsidP="00AF53EA">
      <w:pPr>
        <w:pStyle w:val="FootnoteText"/>
        <w:ind w:left="284" w:hanging="284"/>
        <w:jc w:val="both"/>
        <w:rPr>
          <w:rFonts w:ascii="Times New Roman" w:hAnsi="Times New Roman" w:cs="Times New Roman"/>
          <w:sz w:val="22"/>
          <w:szCs w:val="22"/>
        </w:rPr>
      </w:pPr>
      <w:r w:rsidRPr="00AF53EA">
        <w:rPr>
          <w:rFonts w:ascii="Times New Roman" w:hAnsi="Times New Roman" w:cs="Times New Roman"/>
          <w:sz w:val="22"/>
          <w:szCs w:val="22"/>
        </w:rPr>
        <w:t xml:space="preserve">  </w:t>
      </w:r>
    </w:p>
  </w:footnote>
  <w:footnote w:id="12">
    <w:p w:rsidR="00514F3B" w:rsidRPr="00AF53EA"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For a review of the conventional literature with respect to research measurement in economics, see Macri and Sinha (2006). </w:t>
      </w:r>
    </w:p>
  </w:footnote>
  <w:footnote w:id="13">
    <w:p w:rsidR="00514F3B" w:rsidRPr="00AF53EA" w:rsidRDefault="00514F3B" w:rsidP="00AF53EA">
      <w:pPr>
        <w:pStyle w:val="FootnoteText"/>
        <w:ind w:left="284" w:hanging="284"/>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See Appendix 2A for supporting information.</w:t>
      </w:r>
    </w:p>
  </w:footnote>
  <w:footnote w:id="14">
    <w:p w:rsidR="00514F3B" w:rsidRPr="00AF53EA" w:rsidRDefault="00514F3B" w:rsidP="00AF53EA">
      <w:pPr>
        <w:pStyle w:val="FootnoteText"/>
        <w:ind w:left="284" w:hanging="284"/>
        <w:jc w:val="both"/>
        <w:rPr>
          <w:rFonts w:ascii="Times New Roman" w:hAnsi="Times New Roman" w:cs="Times New Roman"/>
          <w:sz w:val="22"/>
          <w:szCs w:val="22"/>
        </w:rPr>
      </w:pPr>
      <w:r w:rsidRPr="00AF53EA">
        <w:rPr>
          <w:rStyle w:val="FootnoteReference"/>
          <w:rFonts w:ascii="Times New Roman" w:hAnsi="Times New Roman" w:cs="Times New Roman"/>
          <w:sz w:val="22"/>
          <w:szCs w:val="22"/>
        </w:rPr>
        <w:footnoteRef/>
      </w:r>
      <w:r w:rsidRPr="00AF53EA">
        <w:rPr>
          <w:rFonts w:ascii="Times New Roman" w:hAnsi="Times New Roman" w:cs="Times New Roman"/>
          <w:sz w:val="22"/>
          <w:szCs w:val="22"/>
        </w:rPr>
        <w:t xml:space="preserve"> </w:t>
      </w:r>
      <w:r w:rsidR="00AF53EA">
        <w:rPr>
          <w:rFonts w:ascii="Times New Roman" w:hAnsi="Times New Roman" w:cs="Times New Roman"/>
          <w:sz w:val="22"/>
          <w:szCs w:val="22"/>
        </w:rPr>
        <w:tab/>
      </w:r>
      <w:r w:rsidRPr="00AF53EA">
        <w:rPr>
          <w:rFonts w:ascii="Times New Roman" w:hAnsi="Times New Roman" w:cs="Times New Roman"/>
          <w:sz w:val="22"/>
          <w:szCs w:val="22"/>
        </w:rPr>
        <w:t xml:space="preserve">For the 2006 PBRF round, a new category for each of the C and R grades was added to reflect the fact that it was difficult for new and emerging scholars to compete successfully under the PBRF guidelines.  The new categories were labeled as </w:t>
      </w:r>
      <w:proofErr w:type="gramStart"/>
      <w:r w:rsidRPr="00AF53EA">
        <w:rPr>
          <w:rFonts w:ascii="Times New Roman" w:hAnsi="Times New Roman" w:cs="Times New Roman"/>
          <w:sz w:val="22"/>
          <w:szCs w:val="22"/>
        </w:rPr>
        <w:t>C(</w:t>
      </w:r>
      <w:proofErr w:type="gramEnd"/>
      <w:r w:rsidRPr="00AF53EA">
        <w:rPr>
          <w:rFonts w:ascii="Times New Roman" w:hAnsi="Times New Roman" w:cs="Times New Roman"/>
          <w:sz w:val="22"/>
          <w:szCs w:val="22"/>
        </w:rPr>
        <w:t xml:space="preserve">NE) and R(NE), with NE standing for </w:t>
      </w:r>
      <w:r w:rsidR="00FF1968">
        <w:rPr>
          <w:rFonts w:ascii="Times New Roman" w:hAnsi="Times New Roman" w:cs="Times New Roman"/>
          <w:sz w:val="22"/>
          <w:szCs w:val="22"/>
        </w:rPr>
        <w:t>‘</w:t>
      </w:r>
      <w:r w:rsidRPr="00AF53EA">
        <w:rPr>
          <w:rFonts w:ascii="Times New Roman" w:hAnsi="Times New Roman" w:cs="Times New Roman"/>
          <w:sz w:val="22"/>
          <w:szCs w:val="22"/>
        </w:rPr>
        <w:t>new and emerging</w:t>
      </w:r>
      <w:r w:rsidR="00FF1968">
        <w:rPr>
          <w:rFonts w:ascii="Times New Roman" w:hAnsi="Times New Roman" w:cs="Times New Roman"/>
          <w:sz w:val="22"/>
          <w:szCs w:val="22"/>
        </w:rPr>
        <w:t>’</w:t>
      </w:r>
      <w:r w:rsidRPr="00AF53EA">
        <w:rPr>
          <w:rFonts w:ascii="Times New Roman" w:hAnsi="Times New Roman" w:cs="Times New Roman"/>
          <w:sz w:val="22"/>
          <w:szCs w:val="22"/>
        </w:rPr>
        <w:t>.</w:t>
      </w:r>
    </w:p>
    <w:p w:rsidR="00514F3B" w:rsidRDefault="00514F3B">
      <w:pPr>
        <w:pStyle w:val="FootnoteText"/>
      </w:pPr>
    </w:p>
  </w:footnote>
  <w:footnote w:id="15">
    <w:p w:rsidR="00514F3B" w:rsidRPr="00355FD7" w:rsidRDefault="00514F3B" w:rsidP="00355FD7">
      <w:pPr>
        <w:pStyle w:val="FootnoteText"/>
        <w:ind w:left="284" w:hanging="284"/>
        <w:jc w:val="both"/>
        <w:rPr>
          <w:rFonts w:ascii="Times New Roman" w:hAnsi="Times New Roman" w:cs="Times New Roman"/>
          <w:sz w:val="22"/>
          <w:szCs w:val="22"/>
        </w:rPr>
      </w:pPr>
      <w:r w:rsidRPr="00355FD7">
        <w:rPr>
          <w:rStyle w:val="FootnoteReference"/>
          <w:rFonts w:ascii="Times New Roman" w:hAnsi="Times New Roman" w:cs="Times New Roman"/>
          <w:sz w:val="22"/>
          <w:szCs w:val="22"/>
        </w:rPr>
        <w:footnoteRef/>
      </w:r>
      <w:r w:rsidRPr="00355FD7">
        <w:rPr>
          <w:rFonts w:ascii="Times New Roman" w:hAnsi="Times New Roman" w:cs="Times New Roman"/>
          <w:sz w:val="22"/>
          <w:szCs w:val="22"/>
        </w:rPr>
        <w:t xml:space="preserve"> </w:t>
      </w:r>
      <w:r w:rsidR="00355FD7">
        <w:rPr>
          <w:rFonts w:ascii="Times New Roman" w:hAnsi="Times New Roman" w:cs="Times New Roman"/>
          <w:sz w:val="22"/>
          <w:szCs w:val="22"/>
        </w:rPr>
        <w:tab/>
      </w:r>
      <w:r w:rsidRPr="00355FD7">
        <w:rPr>
          <w:rFonts w:ascii="Times New Roman" w:hAnsi="Times New Roman" w:cs="Times New Roman"/>
          <w:sz w:val="22"/>
          <w:szCs w:val="22"/>
        </w:rPr>
        <w:t xml:space="preserve">However, concerns have been expressed about possible negative impacts of the PBRF on teaching, collegiality and working conditions.  For example, see Cupples and Pawson (2012): Waitere, Wright, Tremaine, Brown and Pause (2011); Middleton (2009); and Duncan (2007).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55D93"/>
    <w:multiLevelType w:val="hybridMultilevel"/>
    <w:tmpl w:val="8CA668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30BE"/>
    <w:rsid w:val="00006294"/>
    <w:rsid w:val="000137D0"/>
    <w:rsid w:val="00022689"/>
    <w:rsid w:val="000245EF"/>
    <w:rsid w:val="00025BF1"/>
    <w:rsid w:val="00031EA3"/>
    <w:rsid w:val="00034E77"/>
    <w:rsid w:val="00036DD6"/>
    <w:rsid w:val="00042ED7"/>
    <w:rsid w:val="00056099"/>
    <w:rsid w:val="0006640A"/>
    <w:rsid w:val="00071E1B"/>
    <w:rsid w:val="00074458"/>
    <w:rsid w:val="00082D7A"/>
    <w:rsid w:val="00083A6B"/>
    <w:rsid w:val="000854A4"/>
    <w:rsid w:val="000865AF"/>
    <w:rsid w:val="00087A55"/>
    <w:rsid w:val="00087FFC"/>
    <w:rsid w:val="0009036B"/>
    <w:rsid w:val="000922B3"/>
    <w:rsid w:val="000972EB"/>
    <w:rsid w:val="000A36F3"/>
    <w:rsid w:val="000A4743"/>
    <w:rsid w:val="000A5253"/>
    <w:rsid w:val="000B13F3"/>
    <w:rsid w:val="000C48FE"/>
    <w:rsid w:val="000C5CB1"/>
    <w:rsid w:val="000D5AEC"/>
    <w:rsid w:val="000D7837"/>
    <w:rsid w:val="000E5146"/>
    <w:rsid w:val="000F40B3"/>
    <w:rsid w:val="001025C0"/>
    <w:rsid w:val="001031C9"/>
    <w:rsid w:val="00110218"/>
    <w:rsid w:val="00125D22"/>
    <w:rsid w:val="0012609A"/>
    <w:rsid w:val="001264B9"/>
    <w:rsid w:val="00130A14"/>
    <w:rsid w:val="0013269C"/>
    <w:rsid w:val="0013629C"/>
    <w:rsid w:val="001413C1"/>
    <w:rsid w:val="00156B87"/>
    <w:rsid w:val="00164D6F"/>
    <w:rsid w:val="00165457"/>
    <w:rsid w:val="001678F3"/>
    <w:rsid w:val="0017031F"/>
    <w:rsid w:val="00181D4D"/>
    <w:rsid w:val="00181FF9"/>
    <w:rsid w:val="00186DE9"/>
    <w:rsid w:val="00193C99"/>
    <w:rsid w:val="00196135"/>
    <w:rsid w:val="001A2A75"/>
    <w:rsid w:val="001A3972"/>
    <w:rsid w:val="001B38AD"/>
    <w:rsid w:val="001B6B0D"/>
    <w:rsid w:val="001C0B29"/>
    <w:rsid w:val="001C2097"/>
    <w:rsid w:val="001C488D"/>
    <w:rsid w:val="001C59E5"/>
    <w:rsid w:val="001C7741"/>
    <w:rsid w:val="001D6A7C"/>
    <w:rsid w:val="001E1B60"/>
    <w:rsid w:val="001F2016"/>
    <w:rsid w:val="001F2ABE"/>
    <w:rsid w:val="001F7160"/>
    <w:rsid w:val="002043CF"/>
    <w:rsid w:val="002058BD"/>
    <w:rsid w:val="00205B73"/>
    <w:rsid w:val="00214A69"/>
    <w:rsid w:val="0022187B"/>
    <w:rsid w:val="002218E2"/>
    <w:rsid w:val="00225F2E"/>
    <w:rsid w:val="00226C47"/>
    <w:rsid w:val="002325C5"/>
    <w:rsid w:val="00232999"/>
    <w:rsid w:val="00235B39"/>
    <w:rsid w:val="0023680D"/>
    <w:rsid w:val="00244084"/>
    <w:rsid w:val="00255C99"/>
    <w:rsid w:val="0026108D"/>
    <w:rsid w:val="00261289"/>
    <w:rsid w:val="002614F8"/>
    <w:rsid w:val="00263679"/>
    <w:rsid w:val="002639D0"/>
    <w:rsid w:val="00267418"/>
    <w:rsid w:val="00272A7D"/>
    <w:rsid w:val="002765A5"/>
    <w:rsid w:val="002866B8"/>
    <w:rsid w:val="00294DCF"/>
    <w:rsid w:val="00297BCF"/>
    <w:rsid w:val="002A2C6F"/>
    <w:rsid w:val="002A32B6"/>
    <w:rsid w:val="002B602D"/>
    <w:rsid w:val="002C3EEF"/>
    <w:rsid w:val="002C56D5"/>
    <w:rsid w:val="002C62E5"/>
    <w:rsid w:val="002C6A2C"/>
    <w:rsid w:val="002E08A6"/>
    <w:rsid w:val="002E5DB7"/>
    <w:rsid w:val="002E78B6"/>
    <w:rsid w:val="00330BF5"/>
    <w:rsid w:val="00341B3B"/>
    <w:rsid w:val="0034557D"/>
    <w:rsid w:val="00346F83"/>
    <w:rsid w:val="00347818"/>
    <w:rsid w:val="00350CC5"/>
    <w:rsid w:val="003545F7"/>
    <w:rsid w:val="00355FD7"/>
    <w:rsid w:val="00385EBD"/>
    <w:rsid w:val="0038793F"/>
    <w:rsid w:val="003A1286"/>
    <w:rsid w:val="003A1526"/>
    <w:rsid w:val="003B123F"/>
    <w:rsid w:val="003C1276"/>
    <w:rsid w:val="003C5B2E"/>
    <w:rsid w:val="003C5E88"/>
    <w:rsid w:val="003D2D0A"/>
    <w:rsid w:val="003D6900"/>
    <w:rsid w:val="003E1F5E"/>
    <w:rsid w:val="003E2B57"/>
    <w:rsid w:val="003E3799"/>
    <w:rsid w:val="003E5413"/>
    <w:rsid w:val="003F4C80"/>
    <w:rsid w:val="003F5934"/>
    <w:rsid w:val="003F6819"/>
    <w:rsid w:val="003F719A"/>
    <w:rsid w:val="00400B2C"/>
    <w:rsid w:val="00403D54"/>
    <w:rsid w:val="004059EA"/>
    <w:rsid w:val="00410537"/>
    <w:rsid w:val="00413D75"/>
    <w:rsid w:val="0041449A"/>
    <w:rsid w:val="0041554C"/>
    <w:rsid w:val="00421623"/>
    <w:rsid w:val="00436FD4"/>
    <w:rsid w:val="00443597"/>
    <w:rsid w:val="00446A8A"/>
    <w:rsid w:val="004471EF"/>
    <w:rsid w:val="00451568"/>
    <w:rsid w:val="00452821"/>
    <w:rsid w:val="00486C1A"/>
    <w:rsid w:val="0048743D"/>
    <w:rsid w:val="00496732"/>
    <w:rsid w:val="00496744"/>
    <w:rsid w:val="004A01DE"/>
    <w:rsid w:val="004A0C3D"/>
    <w:rsid w:val="004A328A"/>
    <w:rsid w:val="004A631E"/>
    <w:rsid w:val="004D07CB"/>
    <w:rsid w:val="004D14E2"/>
    <w:rsid w:val="004D3354"/>
    <w:rsid w:val="004D39FB"/>
    <w:rsid w:val="004D563A"/>
    <w:rsid w:val="004E674F"/>
    <w:rsid w:val="00504195"/>
    <w:rsid w:val="00511240"/>
    <w:rsid w:val="00513A13"/>
    <w:rsid w:val="00514F3B"/>
    <w:rsid w:val="00515172"/>
    <w:rsid w:val="00522786"/>
    <w:rsid w:val="005302CD"/>
    <w:rsid w:val="00530C5E"/>
    <w:rsid w:val="0053717B"/>
    <w:rsid w:val="00545151"/>
    <w:rsid w:val="005451D0"/>
    <w:rsid w:val="0054784A"/>
    <w:rsid w:val="00560F59"/>
    <w:rsid w:val="005638F8"/>
    <w:rsid w:val="00563A48"/>
    <w:rsid w:val="00573421"/>
    <w:rsid w:val="00576848"/>
    <w:rsid w:val="00580812"/>
    <w:rsid w:val="00581212"/>
    <w:rsid w:val="005857DF"/>
    <w:rsid w:val="0059038B"/>
    <w:rsid w:val="00591183"/>
    <w:rsid w:val="00593F92"/>
    <w:rsid w:val="005963A4"/>
    <w:rsid w:val="005A6C4B"/>
    <w:rsid w:val="005A7916"/>
    <w:rsid w:val="005B711C"/>
    <w:rsid w:val="005C21AF"/>
    <w:rsid w:val="005C26D3"/>
    <w:rsid w:val="005C7222"/>
    <w:rsid w:val="005D3ADA"/>
    <w:rsid w:val="005D4D37"/>
    <w:rsid w:val="005E0C27"/>
    <w:rsid w:val="005E3933"/>
    <w:rsid w:val="005E4DBC"/>
    <w:rsid w:val="005E6344"/>
    <w:rsid w:val="005E70BD"/>
    <w:rsid w:val="005E7772"/>
    <w:rsid w:val="005F5B0B"/>
    <w:rsid w:val="0060312D"/>
    <w:rsid w:val="00606FB3"/>
    <w:rsid w:val="00637475"/>
    <w:rsid w:val="00641389"/>
    <w:rsid w:val="00642A60"/>
    <w:rsid w:val="00643481"/>
    <w:rsid w:val="006437CB"/>
    <w:rsid w:val="006564C9"/>
    <w:rsid w:val="00690D88"/>
    <w:rsid w:val="006969A3"/>
    <w:rsid w:val="006A3D93"/>
    <w:rsid w:val="006A4D8B"/>
    <w:rsid w:val="006B326A"/>
    <w:rsid w:val="006C3014"/>
    <w:rsid w:val="006C519E"/>
    <w:rsid w:val="006D00A8"/>
    <w:rsid w:val="006D212B"/>
    <w:rsid w:val="006D45BF"/>
    <w:rsid w:val="006F1212"/>
    <w:rsid w:val="006F1F4B"/>
    <w:rsid w:val="006F372C"/>
    <w:rsid w:val="006F5A02"/>
    <w:rsid w:val="006F6D51"/>
    <w:rsid w:val="007029D3"/>
    <w:rsid w:val="00706C99"/>
    <w:rsid w:val="0071692C"/>
    <w:rsid w:val="00742B6C"/>
    <w:rsid w:val="00744240"/>
    <w:rsid w:val="00744BA1"/>
    <w:rsid w:val="00745931"/>
    <w:rsid w:val="00757E5F"/>
    <w:rsid w:val="00761EF1"/>
    <w:rsid w:val="00763287"/>
    <w:rsid w:val="00764AFD"/>
    <w:rsid w:val="0077218B"/>
    <w:rsid w:val="00785405"/>
    <w:rsid w:val="00792141"/>
    <w:rsid w:val="00797943"/>
    <w:rsid w:val="007A4AC1"/>
    <w:rsid w:val="007B077A"/>
    <w:rsid w:val="007B287B"/>
    <w:rsid w:val="007B315A"/>
    <w:rsid w:val="007C53A9"/>
    <w:rsid w:val="007D0134"/>
    <w:rsid w:val="007D76C4"/>
    <w:rsid w:val="007E3FF1"/>
    <w:rsid w:val="007F0122"/>
    <w:rsid w:val="007F1325"/>
    <w:rsid w:val="007F1F25"/>
    <w:rsid w:val="008057CD"/>
    <w:rsid w:val="008102B4"/>
    <w:rsid w:val="008151B6"/>
    <w:rsid w:val="00823CA4"/>
    <w:rsid w:val="0082476B"/>
    <w:rsid w:val="00833BBB"/>
    <w:rsid w:val="008404B6"/>
    <w:rsid w:val="008462DB"/>
    <w:rsid w:val="00846C87"/>
    <w:rsid w:val="008624C3"/>
    <w:rsid w:val="00864B77"/>
    <w:rsid w:val="00866D16"/>
    <w:rsid w:val="00871402"/>
    <w:rsid w:val="008A105F"/>
    <w:rsid w:val="008A1B84"/>
    <w:rsid w:val="008B3FAD"/>
    <w:rsid w:val="008D3F8B"/>
    <w:rsid w:val="008E288E"/>
    <w:rsid w:val="008E2CCD"/>
    <w:rsid w:val="008E4CC0"/>
    <w:rsid w:val="008F49CE"/>
    <w:rsid w:val="009052B0"/>
    <w:rsid w:val="009071A1"/>
    <w:rsid w:val="009145D7"/>
    <w:rsid w:val="009232E6"/>
    <w:rsid w:val="00942032"/>
    <w:rsid w:val="009437F8"/>
    <w:rsid w:val="00945949"/>
    <w:rsid w:val="00952A36"/>
    <w:rsid w:val="009652C6"/>
    <w:rsid w:val="00965E2C"/>
    <w:rsid w:val="00977744"/>
    <w:rsid w:val="009872E5"/>
    <w:rsid w:val="009930BE"/>
    <w:rsid w:val="00995222"/>
    <w:rsid w:val="009A2987"/>
    <w:rsid w:val="009B120D"/>
    <w:rsid w:val="009B2431"/>
    <w:rsid w:val="009B2D24"/>
    <w:rsid w:val="009B7C9F"/>
    <w:rsid w:val="009D23DE"/>
    <w:rsid w:val="009D5C25"/>
    <w:rsid w:val="009D7434"/>
    <w:rsid w:val="009E39D7"/>
    <w:rsid w:val="009F26A7"/>
    <w:rsid w:val="009F3B92"/>
    <w:rsid w:val="00A03D91"/>
    <w:rsid w:val="00A052B3"/>
    <w:rsid w:val="00A15A15"/>
    <w:rsid w:val="00A20F4F"/>
    <w:rsid w:val="00A34CF7"/>
    <w:rsid w:val="00A41014"/>
    <w:rsid w:val="00A45334"/>
    <w:rsid w:val="00A57068"/>
    <w:rsid w:val="00A61E43"/>
    <w:rsid w:val="00A6420C"/>
    <w:rsid w:val="00A720A9"/>
    <w:rsid w:val="00A839FD"/>
    <w:rsid w:val="00A917E4"/>
    <w:rsid w:val="00A921BE"/>
    <w:rsid w:val="00A922AC"/>
    <w:rsid w:val="00A92408"/>
    <w:rsid w:val="00A9387B"/>
    <w:rsid w:val="00A94AD4"/>
    <w:rsid w:val="00A94F47"/>
    <w:rsid w:val="00A953C8"/>
    <w:rsid w:val="00A95617"/>
    <w:rsid w:val="00A968E0"/>
    <w:rsid w:val="00AA1D57"/>
    <w:rsid w:val="00AA5989"/>
    <w:rsid w:val="00AA7049"/>
    <w:rsid w:val="00AA77AC"/>
    <w:rsid w:val="00AB3818"/>
    <w:rsid w:val="00AB4D6D"/>
    <w:rsid w:val="00AB5CD6"/>
    <w:rsid w:val="00AC7E3E"/>
    <w:rsid w:val="00AD3B6D"/>
    <w:rsid w:val="00AE4F9B"/>
    <w:rsid w:val="00AF178E"/>
    <w:rsid w:val="00AF2BDA"/>
    <w:rsid w:val="00AF33BC"/>
    <w:rsid w:val="00AF53EA"/>
    <w:rsid w:val="00B01F74"/>
    <w:rsid w:val="00B05718"/>
    <w:rsid w:val="00B06267"/>
    <w:rsid w:val="00B10CB2"/>
    <w:rsid w:val="00B16E88"/>
    <w:rsid w:val="00B21A4F"/>
    <w:rsid w:val="00B22944"/>
    <w:rsid w:val="00B32BCC"/>
    <w:rsid w:val="00B336AE"/>
    <w:rsid w:val="00B43901"/>
    <w:rsid w:val="00B510FE"/>
    <w:rsid w:val="00B537A1"/>
    <w:rsid w:val="00B53D46"/>
    <w:rsid w:val="00B61F0C"/>
    <w:rsid w:val="00B717F0"/>
    <w:rsid w:val="00B72E04"/>
    <w:rsid w:val="00B85EE1"/>
    <w:rsid w:val="00B8665E"/>
    <w:rsid w:val="00B87C2A"/>
    <w:rsid w:val="00B90030"/>
    <w:rsid w:val="00B9139A"/>
    <w:rsid w:val="00B96D22"/>
    <w:rsid w:val="00BA1767"/>
    <w:rsid w:val="00BA1C16"/>
    <w:rsid w:val="00BA49CD"/>
    <w:rsid w:val="00BB06D4"/>
    <w:rsid w:val="00BB6D42"/>
    <w:rsid w:val="00BC1A74"/>
    <w:rsid w:val="00BC3143"/>
    <w:rsid w:val="00BC3DCC"/>
    <w:rsid w:val="00BC4087"/>
    <w:rsid w:val="00BD24C2"/>
    <w:rsid w:val="00BD6F2C"/>
    <w:rsid w:val="00BE049B"/>
    <w:rsid w:val="00BE1477"/>
    <w:rsid w:val="00BE1575"/>
    <w:rsid w:val="00BE1B1D"/>
    <w:rsid w:val="00BF4265"/>
    <w:rsid w:val="00BF5513"/>
    <w:rsid w:val="00C0096A"/>
    <w:rsid w:val="00C05F27"/>
    <w:rsid w:val="00C1108B"/>
    <w:rsid w:val="00C1202B"/>
    <w:rsid w:val="00C155BE"/>
    <w:rsid w:val="00C2322F"/>
    <w:rsid w:val="00C24F3E"/>
    <w:rsid w:val="00C25D67"/>
    <w:rsid w:val="00C33F0F"/>
    <w:rsid w:val="00C4234A"/>
    <w:rsid w:val="00C44785"/>
    <w:rsid w:val="00C455A6"/>
    <w:rsid w:val="00C66319"/>
    <w:rsid w:val="00C66FB2"/>
    <w:rsid w:val="00C711C3"/>
    <w:rsid w:val="00C86538"/>
    <w:rsid w:val="00C87B17"/>
    <w:rsid w:val="00CA1403"/>
    <w:rsid w:val="00CA26CA"/>
    <w:rsid w:val="00CA6E22"/>
    <w:rsid w:val="00CB25A0"/>
    <w:rsid w:val="00CB6002"/>
    <w:rsid w:val="00CC1C64"/>
    <w:rsid w:val="00CC440B"/>
    <w:rsid w:val="00CC7A09"/>
    <w:rsid w:val="00CE6160"/>
    <w:rsid w:val="00CE64D6"/>
    <w:rsid w:val="00CF00AA"/>
    <w:rsid w:val="00CF3FD3"/>
    <w:rsid w:val="00D06829"/>
    <w:rsid w:val="00D127E4"/>
    <w:rsid w:val="00D219EE"/>
    <w:rsid w:val="00D23766"/>
    <w:rsid w:val="00D275C1"/>
    <w:rsid w:val="00D43B80"/>
    <w:rsid w:val="00D44AB3"/>
    <w:rsid w:val="00D47F01"/>
    <w:rsid w:val="00D626D1"/>
    <w:rsid w:val="00D661C0"/>
    <w:rsid w:val="00D66246"/>
    <w:rsid w:val="00D709FA"/>
    <w:rsid w:val="00D81041"/>
    <w:rsid w:val="00D9559A"/>
    <w:rsid w:val="00DA4E6F"/>
    <w:rsid w:val="00DA55CD"/>
    <w:rsid w:val="00DB6D9C"/>
    <w:rsid w:val="00DD1E92"/>
    <w:rsid w:val="00DE6B83"/>
    <w:rsid w:val="00DF0941"/>
    <w:rsid w:val="00DF207B"/>
    <w:rsid w:val="00E00C98"/>
    <w:rsid w:val="00E077E5"/>
    <w:rsid w:val="00E100A4"/>
    <w:rsid w:val="00E14473"/>
    <w:rsid w:val="00E227DF"/>
    <w:rsid w:val="00E2365F"/>
    <w:rsid w:val="00E25629"/>
    <w:rsid w:val="00E263AD"/>
    <w:rsid w:val="00E407DD"/>
    <w:rsid w:val="00E44392"/>
    <w:rsid w:val="00E527D4"/>
    <w:rsid w:val="00E55C6A"/>
    <w:rsid w:val="00E56FFC"/>
    <w:rsid w:val="00E6006B"/>
    <w:rsid w:val="00E61793"/>
    <w:rsid w:val="00E64AA5"/>
    <w:rsid w:val="00E700F7"/>
    <w:rsid w:val="00E73FC7"/>
    <w:rsid w:val="00E74675"/>
    <w:rsid w:val="00E776D3"/>
    <w:rsid w:val="00E82447"/>
    <w:rsid w:val="00E90F08"/>
    <w:rsid w:val="00E9228D"/>
    <w:rsid w:val="00E96C29"/>
    <w:rsid w:val="00EA208E"/>
    <w:rsid w:val="00EA46E0"/>
    <w:rsid w:val="00EB1EF4"/>
    <w:rsid w:val="00EB5648"/>
    <w:rsid w:val="00EC19FB"/>
    <w:rsid w:val="00EC3AC7"/>
    <w:rsid w:val="00EC548F"/>
    <w:rsid w:val="00ED1735"/>
    <w:rsid w:val="00EE1555"/>
    <w:rsid w:val="00EE2120"/>
    <w:rsid w:val="00EE300F"/>
    <w:rsid w:val="00EE3317"/>
    <w:rsid w:val="00EF459C"/>
    <w:rsid w:val="00F004E0"/>
    <w:rsid w:val="00F03614"/>
    <w:rsid w:val="00F05E02"/>
    <w:rsid w:val="00F250EE"/>
    <w:rsid w:val="00F30384"/>
    <w:rsid w:val="00F42A25"/>
    <w:rsid w:val="00F45EA4"/>
    <w:rsid w:val="00F5337C"/>
    <w:rsid w:val="00F542D8"/>
    <w:rsid w:val="00F630D2"/>
    <w:rsid w:val="00F67ECE"/>
    <w:rsid w:val="00F71A32"/>
    <w:rsid w:val="00F73242"/>
    <w:rsid w:val="00F8058E"/>
    <w:rsid w:val="00F84697"/>
    <w:rsid w:val="00F84825"/>
    <w:rsid w:val="00F85F74"/>
    <w:rsid w:val="00F87713"/>
    <w:rsid w:val="00FA1EDE"/>
    <w:rsid w:val="00FA37AF"/>
    <w:rsid w:val="00FA46FB"/>
    <w:rsid w:val="00FA60BA"/>
    <w:rsid w:val="00FB2176"/>
    <w:rsid w:val="00FB6759"/>
    <w:rsid w:val="00FC4796"/>
    <w:rsid w:val="00FD50CA"/>
    <w:rsid w:val="00FE2C25"/>
    <w:rsid w:val="00FE2EDD"/>
    <w:rsid w:val="00FE51D7"/>
    <w:rsid w:val="00FE5BA2"/>
    <w:rsid w:val="00FE6049"/>
    <w:rsid w:val="00FF1968"/>
    <w:rsid w:val="00FF30DC"/>
    <w:rsid w:val="00FF466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D0A"/>
  </w:style>
  <w:style w:type="paragraph" w:styleId="Heading4">
    <w:name w:val="heading 4"/>
    <w:basedOn w:val="Normal"/>
    <w:next w:val="Normal"/>
    <w:link w:val="Heading4Char"/>
    <w:unhideWhenUsed/>
    <w:qFormat/>
    <w:rsid w:val="00CE64D6"/>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8B6"/>
  </w:style>
  <w:style w:type="paragraph" w:styleId="Footer">
    <w:name w:val="footer"/>
    <w:basedOn w:val="Normal"/>
    <w:link w:val="FooterChar"/>
    <w:uiPriority w:val="99"/>
    <w:unhideWhenUsed/>
    <w:rsid w:val="002E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8B6"/>
  </w:style>
  <w:style w:type="paragraph" w:styleId="FootnoteText">
    <w:name w:val="footnote text"/>
    <w:basedOn w:val="Normal"/>
    <w:link w:val="FootnoteTextChar"/>
    <w:uiPriority w:val="99"/>
    <w:semiHidden/>
    <w:unhideWhenUsed/>
    <w:rsid w:val="009B24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431"/>
    <w:rPr>
      <w:sz w:val="20"/>
      <w:szCs w:val="20"/>
    </w:rPr>
  </w:style>
  <w:style w:type="character" w:styleId="FootnoteReference">
    <w:name w:val="footnote reference"/>
    <w:basedOn w:val="DefaultParagraphFont"/>
    <w:uiPriority w:val="99"/>
    <w:semiHidden/>
    <w:unhideWhenUsed/>
    <w:rsid w:val="009B2431"/>
    <w:rPr>
      <w:vertAlign w:val="superscript"/>
    </w:rPr>
  </w:style>
  <w:style w:type="paragraph" w:styleId="BalloonText">
    <w:name w:val="Balloon Text"/>
    <w:basedOn w:val="Normal"/>
    <w:link w:val="BalloonTextChar"/>
    <w:uiPriority w:val="99"/>
    <w:semiHidden/>
    <w:unhideWhenUsed/>
    <w:rsid w:val="00410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537"/>
    <w:rPr>
      <w:rFonts w:ascii="Tahoma" w:hAnsi="Tahoma" w:cs="Tahoma"/>
      <w:sz w:val="16"/>
      <w:szCs w:val="16"/>
    </w:rPr>
  </w:style>
  <w:style w:type="character" w:customStyle="1" w:styleId="Heading4Char">
    <w:name w:val="Heading 4 Char"/>
    <w:basedOn w:val="DefaultParagraphFont"/>
    <w:link w:val="Heading4"/>
    <w:rsid w:val="00CE64D6"/>
    <w:rPr>
      <w:rFonts w:ascii="Times New Roman" w:eastAsia="Batang" w:hAnsi="Times New Roman" w:cs="Times New Roman"/>
      <w:b/>
      <w:bCs/>
      <w:sz w:val="28"/>
      <w:szCs w:val="28"/>
      <w:lang w:val="en-US" w:eastAsia="ko-KR"/>
    </w:rPr>
  </w:style>
  <w:style w:type="paragraph" w:styleId="NoSpacing">
    <w:name w:val="No Spacing"/>
    <w:uiPriority w:val="1"/>
    <w:qFormat/>
    <w:rsid w:val="00CE64D6"/>
    <w:pPr>
      <w:spacing w:after="0" w:line="240" w:lineRule="auto"/>
    </w:pPr>
    <w:rPr>
      <w:lang w:val="en-US"/>
    </w:rPr>
  </w:style>
  <w:style w:type="paragraph" w:styleId="BodyText">
    <w:name w:val="Body Text"/>
    <w:basedOn w:val="Normal"/>
    <w:link w:val="BodyTextChar"/>
    <w:unhideWhenUsed/>
    <w:rsid w:val="00CE64D6"/>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CE64D6"/>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CE64D6"/>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CE64D6"/>
    <w:rPr>
      <w:rFonts w:ascii="Courier New" w:eastAsia="Times New Roman" w:hAnsi="Courier New" w:cs="Courier New"/>
      <w:sz w:val="20"/>
      <w:szCs w:val="20"/>
      <w:lang w:val="en-GB" w:eastAsia="en-GB"/>
    </w:rPr>
  </w:style>
  <w:style w:type="paragraph" w:customStyle="1" w:styleId="TitlePage">
    <w:name w:val="Title Page"/>
    <w:basedOn w:val="Normal"/>
    <w:rsid w:val="00CE64D6"/>
    <w:pPr>
      <w:widowControl w:val="0"/>
      <w:spacing w:after="0" w:line="240" w:lineRule="auto"/>
      <w:ind w:firstLine="432"/>
      <w:jc w:val="center"/>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052B0"/>
    <w:pPr>
      <w:ind w:left="720"/>
      <w:contextualSpacing/>
    </w:pPr>
  </w:style>
  <w:style w:type="character" w:styleId="Hyperlink">
    <w:name w:val="Hyperlink"/>
    <w:basedOn w:val="DefaultParagraphFont"/>
    <w:uiPriority w:val="99"/>
    <w:unhideWhenUsed/>
    <w:rsid w:val="009052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nhideWhenUsed/>
    <w:qFormat/>
    <w:rsid w:val="00CE64D6"/>
    <w:pPr>
      <w:keepNext/>
      <w:spacing w:before="240" w:after="60" w:line="240" w:lineRule="auto"/>
      <w:outlineLvl w:val="3"/>
    </w:pPr>
    <w:rPr>
      <w:rFonts w:ascii="Times New Roman" w:eastAsia="Batang" w:hAnsi="Times New Roman" w:cs="Times New Roman"/>
      <w:b/>
      <w:bCs/>
      <w:sz w:val="28"/>
      <w:szCs w:val="2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8B6"/>
  </w:style>
  <w:style w:type="paragraph" w:styleId="Footer">
    <w:name w:val="footer"/>
    <w:basedOn w:val="Normal"/>
    <w:link w:val="FooterChar"/>
    <w:uiPriority w:val="99"/>
    <w:unhideWhenUsed/>
    <w:rsid w:val="002E7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8B6"/>
  </w:style>
  <w:style w:type="paragraph" w:styleId="FootnoteText">
    <w:name w:val="footnote text"/>
    <w:basedOn w:val="Normal"/>
    <w:link w:val="FootnoteTextChar"/>
    <w:uiPriority w:val="99"/>
    <w:semiHidden/>
    <w:unhideWhenUsed/>
    <w:rsid w:val="009B24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431"/>
    <w:rPr>
      <w:sz w:val="20"/>
      <w:szCs w:val="20"/>
    </w:rPr>
  </w:style>
  <w:style w:type="character" w:styleId="FootnoteReference">
    <w:name w:val="footnote reference"/>
    <w:basedOn w:val="DefaultParagraphFont"/>
    <w:uiPriority w:val="99"/>
    <w:semiHidden/>
    <w:unhideWhenUsed/>
    <w:rsid w:val="009B2431"/>
    <w:rPr>
      <w:vertAlign w:val="superscript"/>
    </w:rPr>
  </w:style>
  <w:style w:type="paragraph" w:styleId="BalloonText">
    <w:name w:val="Balloon Text"/>
    <w:basedOn w:val="Normal"/>
    <w:link w:val="BalloonTextChar"/>
    <w:uiPriority w:val="99"/>
    <w:semiHidden/>
    <w:unhideWhenUsed/>
    <w:rsid w:val="00410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537"/>
    <w:rPr>
      <w:rFonts w:ascii="Tahoma" w:hAnsi="Tahoma" w:cs="Tahoma"/>
      <w:sz w:val="16"/>
      <w:szCs w:val="16"/>
    </w:rPr>
  </w:style>
  <w:style w:type="character" w:customStyle="1" w:styleId="Heading4Char">
    <w:name w:val="Heading 4 Char"/>
    <w:basedOn w:val="DefaultParagraphFont"/>
    <w:link w:val="Heading4"/>
    <w:rsid w:val="00CE64D6"/>
    <w:rPr>
      <w:rFonts w:ascii="Times New Roman" w:eastAsia="Batang" w:hAnsi="Times New Roman" w:cs="Times New Roman"/>
      <w:b/>
      <w:bCs/>
      <w:sz w:val="28"/>
      <w:szCs w:val="28"/>
      <w:lang w:val="en-US" w:eastAsia="ko-KR"/>
    </w:rPr>
  </w:style>
  <w:style w:type="paragraph" w:styleId="NoSpacing">
    <w:name w:val="No Spacing"/>
    <w:uiPriority w:val="1"/>
    <w:qFormat/>
    <w:rsid w:val="00CE64D6"/>
    <w:pPr>
      <w:spacing w:after="0" w:line="240" w:lineRule="auto"/>
    </w:pPr>
    <w:rPr>
      <w:lang w:val="en-US"/>
    </w:rPr>
  </w:style>
  <w:style w:type="paragraph" w:styleId="BodyText">
    <w:name w:val="Body Text"/>
    <w:basedOn w:val="Normal"/>
    <w:link w:val="BodyTextChar"/>
    <w:unhideWhenUsed/>
    <w:rsid w:val="00CE64D6"/>
    <w:pPr>
      <w:spacing w:after="120" w:line="240" w:lineRule="auto"/>
    </w:pPr>
    <w:rPr>
      <w:rFonts w:ascii="Times New Roman" w:eastAsia="Batang" w:hAnsi="Times New Roman" w:cs="Times New Roman"/>
      <w:sz w:val="24"/>
      <w:szCs w:val="24"/>
      <w:lang w:val="en-US" w:eastAsia="ko-KR"/>
    </w:rPr>
  </w:style>
  <w:style w:type="character" w:customStyle="1" w:styleId="BodyTextChar">
    <w:name w:val="Body Text Char"/>
    <w:basedOn w:val="DefaultParagraphFont"/>
    <w:link w:val="BodyText"/>
    <w:rsid w:val="00CE64D6"/>
    <w:rPr>
      <w:rFonts w:ascii="Times New Roman" w:eastAsia="Batang" w:hAnsi="Times New Roman" w:cs="Times New Roman"/>
      <w:sz w:val="24"/>
      <w:szCs w:val="24"/>
      <w:lang w:val="en-US" w:eastAsia="ko-KR"/>
    </w:rPr>
  </w:style>
  <w:style w:type="paragraph" w:styleId="PlainText">
    <w:name w:val="Plain Text"/>
    <w:basedOn w:val="Normal"/>
    <w:link w:val="PlainTextChar"/>
    <w:unhideWhenUsed/>
    <w:rsid w:val="00CE64D6"/>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CE64D6"/>
    <w:rPr>
      <w:rFonts w:ascii="Courier New" w:eastAsia="Times New Roman" w:hAnsi="Courier New" w:cs="Courier New"/>
      <w:sz w:val="20"/>
      <w:szCs w:val="20"/>
      <w:lang w:val="en-GB" w:eastAsia="en-GB"/>
    </w:rPr>
  </w:style>
  <w:style w:type="paragraph" w:customStyle="1" w:styleId="TitlePage">
    <w:name w:val="Title Page"/>
    <w:basedOn w:val="Normal"/>
    <w:rsid w:val="00CE64D6"/>
    <w:pPr>
      <w:widowControl w:val="0"/>
      <w:spacing w:after="0" w:line="240" w:lineRule="auto"/>
      <w:ind w:firstLine="432"/>
      <w:jc w:val="center"/>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052B0"/>
    <w:pPr>
      <w:ind w:left="720"/>
      <w:contextualSpacing/>
    </w:pPr>
  </w:style>
  <w:style w:type="character" w:styleId="Hyperlink">
    <w:name w:val="Hyperlink"/>
    <w:basedOn w:val="DefaultParagraphFont"/>
    <w:uiPriority w:val="99"/>
    <w:unhideWhenUsed/>
    <w:rsid w:val="009052B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631062">
      <w:bodyDiv w:val="1"/>
      <w:marLeft w:val="0"/>
      <w:marRight w:val="0"/>
      <w:marTop w:val="0"/>
      <w:marBottom w:val="0"/>
      <w:divBdr>
        <w:top w:val="none" w:sz="0" w:space="0" w:color="auto"/>
        <w:left w:val="none" w:sz="0" w:space="0" w:color="auto"/>
        <w:bottom w:val="none" w:sz="0" w:space="0" w:color="auto"/>
        <w:right w:val="none" w:sz="0" w:space="0" w:color="auto"/>
      </w:divBdr>
    </w:div>
    <w:div w:id="609779651">
      <w:bodyDiv w:val="1"/>
      <w:marLeft w:val="0"/>
      <w:marRight w:val="0"/>
      <w:marTop w:val="0"/>
      <w:marBottom w:val="0"/>
      <w:divBdr>
        <w:top w:val="none" w:sz="0" w:space="0" w:color="auto"/>
        <w:left w:val="none" w:sz="0" w:space="0" w:color="auto"/>
        <w:bottom w:val="none" w:sz="0" w:space="0" w:color="auto"/>
        <w:right w:val="none" w:sz="0" w:space="0" w:color="auto"/>
      </w:divBdr>
    </w:div>
    <w:div w:id="1260215937">
      <w:bodyDiv w:val="1"/>
      <w:marLeft w:val="0"/>
      <w:marRight w:val="0"/>
      <w:marTop w:val="0"/>
      <w:marBottom w:val="0"/>
      <w:divBdr>
        <w:top w:val="none" w:sz="0" w:space="0" w:color="auto"/>
        <w:left w:val="none" w:sz="0" w:space="0" w:color="auto"/>
        <w:bottom w:val="none" w:sz="0" w:space="0" w:color="auto"/>
        <w:right w:val="none" w:sz="0" w:space="0" w:color="auto"/>
      </w:divBdr>
    </w:div>
    <w:div w:id="1265070383">
      <w:bodyDiv w:val="1"/>
      <w:marLeft w:val="0"/>
      <w:marRight w:val="0"/>
      <w:marTop w:val="0"/>
      <w:marBottom w:val="0"/>
      <w:divBdr>
        <w:top w:val="none" w:sz="0" w:space="0" w:color="auto"/>
        <w:left w:val="none" w:sz="0" w:space="0" w:color="auto"/>
        <w:bottom w:val="none" w:sz="0" w:space="0" w:color="auto"/>
        <w:right w:val="none" w:sz="0" w:space="0" w:color="auto"/>
      </w:divBdr>
    </w:div>
    <w:div w:id="1388921196">
      <w:bodyDiv w:val="1"/>
      <w:marLeft w:val="0"/>
      <w:marRight w:val="0"/>
      <w:marTop w:val="0"/>
      <w:marBottom w:val="0"/>
      <w:divBdr>
        <w:top w:val="none" w:sz="0" w:space="0" w:color="auto"/>
        <w:left w:val="none" w:sz="0" w:space="0" w:color="auto"/>
        <w:bottom w:val="none" w:sz="0" w:space="0" w:color="auto"/>
        <w:right w:val="none" w:sz="0" w:space="0" w:color="auto"/>
      </w:divBdr>
    </w:div>
    <w:div w:id="1717778824">
      <w:bodyDiv w:val="1"/>
      <w:marLeft w:val="0"/>
      <w:marRight w:val="0"/>
      <w:marTop w:val="0"/>
      <w:marBottom w:val="0"/>
      <w:divBdr>
        <w:top w:val="none" w:sz="0" w:space="0" w:color="auto"/>
        <w:left w:val="none" w:sz="0" w:space="0" w:color="auto"/>
        <w:bottom w:val="none" w:sz="0" w:space="0" w:color="auto"/>
        <w:right w:val="none" w:sz="0" w:space="0" w:color="auto"/>
      </w:divBdr>
    </w:div>
    <w:div w:id="189242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queensu.ca" TargetMode="External"/><Relationship Id="rId13" Type="http://schemas.openxmlformats.org/officeDocument/2006/relationships/hyperlink" Target="http://www.arc.gov.au/e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eas.repec.org/top/top.journals.simpl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87/9789264094611-en" TargetMode="External"/><Relationship Id="rId5" Type="http://schemas.openxmlformats.org/officeDocument/2006/relationships/webSettings" Target="webSettings.xml"/><Relationship Id="rId15" Type="http://schemas.openxmlformats.org/officeDocument/2006/relationships/hyperlink" Target="http://www.abdc.edu.au" TargetMode="External"/><Relationship Id="rId10" Type="http://schemas.openxmlformats.org/officeDocument/2006/relationships/hyperlink" Target="http://grantduncan.blogspot.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nderson@waikato.ac.nz" TargetMode="External"/><Relationship Id="rId14" Type="http://schemas.openxmlformats.org/officeDocument/2006/relationships/hyperlink" Target="http://lamp.infosys.deakin.edu.au/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B1B7B-EA91-4889-8224-76B371C8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7115</Words>
  <Characters>40558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47578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Brian Silverstone</cp:lastModifiedBy>
  <cp:revision>3</cp:revision>
  <cp:lastPrinted>2013-08-23T04:52:00Z</cp:lastPrinted>
  <dcterms:created xsi:type="dcterms:W3CDTF">2013-08-23T04:56:00Z</dcterms:created>
  <dcterms:modified xsi:type="dcterms:W3CDTF">2013-08-23T05:00:00Z</dcterms:modified>
</cp:coreProperties>
</file>