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word/comments.xml" ContentType="application/vnd.openxmlformats-officedocument.wordprocessingml.comment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781" w:rsidRDefault="00521781" w:rsidP="00521781">
      <w:pPr>
        <w:pStyle w:val="PlainText"/>
        <w:tabs>
          <w:tab w:val="left" w:pos="284"/>
        </w:tabs>
        <w:jc w:val="center"/>
        <w:rPr>
          <w:rFonts w:ascii="Times New Roman" w:hAnsi="Times New Roman" w:cs="Times New Roman"/>
          <w:b/>
          <w:sz w:val="28"/>
        </w:rPr>
      </w:pPr>
    </w:p>
    <w:p w:rsidR="00E1572A" w:rsidRDefault="00E1572A" w:rsidP="00521781">
      <w:pPr>
        <w:pStyle w:val="PlainText"/>
        <w:tabs>
          <w:tab w:val="left" w:pos="284"/>
        </w:tabs>
        <w:jc w:val="center"/>
        <w:rPr>
          <w:rFonts w:ascii="Times New Roman" w:hAnsi="Times New Roman" w:cs="Times New Roman"/>
          <w:b/>
          <w:sz w:val="28"/>
        </w:rPr>
      </w:pPr>
    </w:p>
    <w:p w:rsidR="00E1572A" w:rsidRDefault="00E1572A" w:rsidP="00521781">
      <w:pPr>
        <w:pStyle w:val="PlainText"/>
        <w:tabs>
          <w:tab w:val="left" w:pos="284"/>
        </w:tabs>
        <w:jc w:val="center"/>
        <w:rPr>
          <w:rFonts w:ascii="Times New Roman" w:hAnsi="Times New Roman" w:cs="Times New Roman"/>
          <w:b/>
          <w:sz w:val="28"/>
        </w:rPr>
      </w:pPr>
    </w:p>
    <w:p w:rsidR="00521781" w:rsidRPr="001D3902" w:rsidRDefault="00521781" w:rsidP="00521781">
      <w:pPr>
        <w:pStyle w:val="PlainText"/>
        <w:tabs>
          <w:tab w:val="left" w:pos="284"/>
        </w:tabs>
        <w:jc w:val="center"/>
        <w:rPr>
          <w:rFonts w:ascii="Times New Roman" w:hAnsi="Times New Roman" w:cs="Times New Roman"/>
          <w:b/>
          <w:sz w:val="28"/>
        </w:rPr>
      </w:pPr>
      <w:r w:rsidRPr="001D3902">
        <w:rPr>
          <w:rFonts w:ascii="Times New Roman" w:hAnsi="Times New Roman" w:cs="Times New Roman"/>
          <w:b/>
          <w:sz w:val="28"/>
        </w:rPr>
        <w:t>UNIVERSITY OF WAIKATO</w:t>
      </w:r>
    </w:p>
    <w:p w:rsidR="00521781" w:rsidRPr="001D3902" w:rsidRDefault="00521781" w:rsidP="00521781">
      <w:pPr>
        <w:pStyle w:val="PlainText"/>
        <w:tabs>
          <w:tab w:val="left" w:pos="284"/>
        </w:tabs>
        <w:jc w:val="center"/>
        <w:rPr>
          <w:rFonts w:ascii="Times New Roman" w:hAnsi="Times New Roman" w:cs="Times New Roman"/>
          <w:b/>
          <w:sz w:val="28"/>
        </w:rPr>
      </w:pPr>
      <w:smartTag w:uri="urn:schemas-microsoft-com:office:smarttags" w:element="place">
        <w:smartTag w:uri="urn:schemas-microsoft-com:office:smarttags" w:element="City">
          <w:r w:rsidRPr="001D3902">
            <w:rPr>
              <w:rFonts w:ascii="Times New Roman" w:hAnsi="Times New Roman" w:cs="Times New Roman"/>
              <w:b/>
              <w:sz w:val="28"/>
            </w:rPr>
            <w:t>Hamilton</w:t>
          </w:r>
        </w:smartTag>
      </w:smartTag>
    </w:p>
    <w:p w:rsidR="00521781" w:rsidRPr="001D3902" w:rsidRDefault="00521781" w:rsidP="00521781">
      <w:pPr>
        <w:pStyle w:val="PlainText"/>
        <w:tabs>
          <w:tab w:val="left" w:pos="284"/>
        </w:tabs>
        <w:jc w:val="center"/>
        <w:rPr>
          <w:rFonts w:ascii="Times New Roman" w:hAnsi="Times New Roman" w:cs="Times New Roman"/>
          <w:b/>
          <w:sz w:val="28"/>
        </w:rPr>
      </w:pPr>
      <w:smartTag w:uri="urn:schemas-microsoft-com:office:smarttags" w:element="place">
        <w:smartTag w:uri="urn:schemas-microsoft-com:office:smarttags" w:element="country-region">
          <w:r w:rsidRPr="001D3902">
            <w:rPr>
              <w:rFonts w:ascii="Times New Roman" w:hAnsi="Times New Roman" w:cs="Times New Roman"/>
              <w:b/>
              <w:sz w:val="28"/>
            </w:rPr>
            <w:t>New Zealand</w:t>
          </w:r>
        </w:smartTag>
      </w:smartTag>
    </w:p>
    <w:p w:rsidR="00521781" w:rsidRPr="001D3902" w:rsidRDefault="00521781" w:rsidP="00521781">
      <w:pPr>
        <w:pStyle w:val="PlainText"/>
        <w:tabs>
          <w:tab w:val="left" w:pos="284"/>
        </w:tabs>
        <w:jc w:val="center"/>
        <w:rPr>
          <w:rFonts w:ascii="Times New Roman" w:hAnsi="Times New Roman" w:cs="Times New Roman"/>
          <w:b/>
          <w:sz w:val="14"/>
          <w:szCs w:val="14"/>
        </w:rPr>
      </w:pPr>
    </w:p>
    <w:p w:rsidR="00521781" w:rsidRPr="001D3902" w:rsidRDefault="00521781" w:rsidP="00521781">
      <w:pPr>
        <w:pStyle w:val="PlainText"/>
        <w:tabs>
          <w:tab w:val="left" w:pos="284"/>
        </w:tabs>
        <w:jc w:val="center"/>
        <w:rPr>
          <w:rFonts w:ascii="Times New Roman" w:hAnsi="Times New Roman" w:cs="Times New Roman"/>
          <w:b/>
          <w:sz w:val="14"/>
          <w:szCs w:val="14"/>
        </w:rPr>
      </w:pPr>
    </w:p>
    <w:p w:rsidR="00521781" w:rsidRPr="001D3902" w:rsidRDefault="00521781" w:rsidP="00521781">
      <w:pPr>
        <w:pStyle w:val="PlainText"/>
        <w:tabs>
          <w:tab w:val="left" w:pos="284"/>
        </w:tabs>
        <w:jc w:val="center"/>
        <w:rPr>
          <w:rFonts w:ascii="Times New Roman" w:hAnsi="Times New Roman" w:cs="Times New Roman"/>
          <w:b/>
          <w:sz w:val="28"/>
        </w:rPr>
      </w:pPr>
    </w:p>
    <w:p w:rsidR="00521781" w:rsidRPr="001D3902" w:rsidRDefault="00521781" w:rsidP="00521781">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360" w:lineRule="auto"/>
        <w:jc w:val="center"/>
        <w:rPr>
          <w:rFonts w:ascii="Times New Roman" w:hAnsi="Times New Roman" w:cs="Times New Roman"/>
          <w:b/>
        </w:rPr>
      </w:pPr>
    </w:p>
    <w:p w:rsidR="00521781" w:rsidRDefault="004F65D4" w:rsidP="00B66587">
      <w:pPr>
        <w:pStyle w:val="PlainText"/>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sz w:val="28"/>
          <w:szCs w:val="28"/>
        </w:rPr>
      </w:pPr>
      <w:r>
        <w:rPr>
          <w:rFonts w:ascii="Times New Roman" w:hAnsi="Times New Roman" w:cs="Times New Roman"/>
          <w:b/>
          <w:sz w:val="28"/>
          <w:szCs w:val="28"/>
        </w:rPr>
        <w:t>What Can Growth Rates Tell Us?</w:t>
      </w:r>
    </w:p>
    <w:p w:rsidR="00521781" w:rsidRDefault="004F65D4" w:rsidP="00B66587">
      <w:pPr>
        <w:pStyle w:val="PlainText"/>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sz w:val="28"/>
          <w:szCs w:val="28"/>
        </w:rPr>
      </w:pPr>
      <w:r>
        <w:rPr>
          <w:rFonts w:ascii="Times New Roman" w:hAnsi="Times New Roman" w:cs="Times New Roman"/>
          <w:b/>
          <w:sz w:val="28"/>
          <w:szCs w:val="28"/>
        </w:rPr>
        <w:t>A Short-Run Decomposition Method</w:t>
      </w:r>
    </w:p>
    <w:p w:rsidR="004F65D4" w:rsidRPr="001D3902" w:rsidRDefault="004F65D4" w:rsidP="00521781">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ind w:firstLine="431"/>
        <w:jc w:val="center"/>
        <w:rPr>
          <w:rFonts w:ascii="Times New Roman" w:hAnsi="Times New Roman" w:cs="Times New Roman"/>
          <w:b/>
          <w:sz w:val="28"/>
          <w:szCs w:val="28"/>
        </w:rPr>
      </w:pPr>
    </w:p>
    <w:p w:rsidR="00521781" w:rsidRPr="001D3902" w:rsidRDefault="004F65D4" w:rsidP="00521781">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ind w:firstLine="431"/>
        <w:jc w:val="center"/>
        <w:rPr>
          <w:rFonts w:ascii="Times New Roman" w:hAnsi="Times New Roman" w:cs="Times New Roman"/>
          <w:sz w:val="28"/>
        </w:rPr>
      </w:pPr>
      <w:r>
        <w:rPr>
          <w:rFonts w:ascii="Times New Roman" w:hAnsi="Times New Roman" w:cs="Times New Roman"/>
          <w:sz w:val="28"/>
        </w:rPr>
        <w:t>Steven Lim, Jason Le Vaillant and Harry X. Wu</w:t>
      </w:r>
    </w:p>
    <w:p w:rsidR="00521781" w:rsidRPr="001D3902" w:rsidRDefault="00521781" w:rsidP="00521781">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360" w:lineRule="auto"/>
        <w:jc w:val="center"/>
        <w:rPr>
          <w:rFonts w:ascii="Times New Roman" w:hAnsi="Times New Roman" w:cs="Times New Roman"/>
          <w:b/>
        </w:rPr>
      </w:pPr>
    </w:p>
    <w:p w:rsidR="00521781" w:rsidRDefault="00521781" w:rsidP="00521781">
      <w:pPr>
        <w:pStyle w:val="PlainText"/>
        <w:tabs>
          <w:tab w:val="left" w:pos="426"/>
        </w:tabs>
        <w:spacing w:before="100" w:line="360" w:lineRule="auto"/>
        <w:jc w:val="center"/>
        <w:rPr>
          <w:rFonts w:ascii="Times New Roman" w:hAnsi="Times New Roman" w:cs="Times New Roman"/>
          <w:b/>
          <w:bCs/>
          <w:sz w:val="28"/>
        </w:rPr>
      </w:pPr>
    </w:p>
    <w:p w:rsidR="00521781" w:rsidRPr="001D3902" w:rsidRDefault="00521781" w:rsidP="00521781">
      <w:pPr>
        <w:pStyle w:val="PlainText"/>
        <w:tabs>
          <w:tab w:val="left" w:pos="426"/>
        </w:tabs>
        <w:spacing w:before="100" w:line="360" w:lineRule="auto"/>
        <w:jc w:val="center"/>
        <w:rPr>
          <w:rFonts w:ascii="Times New Roman" w:hAnsi="Times New Roman" w:cs="Times New Roman"/>
          <w:b/>
          <w:bCs/>
          <w:sz w:val="28"/>
        </w:rPr>
      </w:pPr>
      <w:r w:rsidRPr="001D3902">
        <w:rPr>
          <w:rFonts w:ascii="Times New Roman" w:hAnsi="Times New Roman" w:cs="Times New Roman"/>
          <w:b/>
          <w:bCs/>
          <w:sz w:val="28"/>
        </w:rPr>
        <w:t>Department of Economics</w:t>
      </w:r>
    </w:p>
    <w:p w:rsidR="00521781" w:rsidRPr="001D3902" w:rsidRDefault="00521781" w:rsidP="00521781">
      <w:pPr>
        <w:pStyle w:val="PlainText"/>
        <w:tabs>
          <w:tab w:val="left" w:pos="426"/>
        </w:tabs>
        <w:spacing w:before="100" w:line="360" w:lineRule="auto"/>
        <w:jc w:val="center"/>
        <w:rPr>
          <w:rFonts w:ascii="Times New Roman" w:hAnsi="Times New Roman" w:cs="Times New Roman"/>
          <w:b/>
          <w:bCs/>
          <w:sz w:val="28"/>
        </w:rPr>
      </w:pPr>
      <w:r>
        <w:rPr>
          <w:rFonts w:ascii="Times New Roman" w:hAnsi="Times New Roman" w:cs="Times New Roman"/>
          <w:b/>
          <w:bCs/>
          <w:sz w:val="28"/>
        </w:rPr>
        <w:t>Working Paper in Economics 1</w:t>
      </w:r>
      <w:r w:rsidR="00AA4D5C">
        <w:rPr>
          <w:rFonts w:ascii="Times New Roman" w:hAnsi="Times New Roman" w:cs="Times New Roman"/>
          <w:b/>
          <w:bCs/>
          <w:sz w:val="28"/>
        </w:rPr>
        <w:t>4</w:t>
      </w:r>
      <w:r w:rsidRPr="001D3902">
        <w:rPr>
          <w:rFonts w:ascii="Times New Roman" w:hAnsi="Times New Roman" w:cs="Times New Roman"/>
          <w:b/>
          <w:bCs/>
          <w:sz w:val="28"/>
        </w:rPr>
        <w:t>/1</w:t>
      </w:r>
      <w:r w:rsidR="00AA4D5C">
        <w:rPr>
          <w:rFonts w:ascii="Times New Roman" w:hAnsi="Times New Roman" w:cs="Times New Roman"/>
          <w:b/>
          <w:bCs/>
          <w:sz w:val="28"/>
        </w:rPr>
        <w:t>2</w:t>
      </w:r>
    </w:p>
    <w:p w:rsidR="00521781" w:rsidRPr="001D3902" w:rsidRDefault="004F65D4" w:rsidP="00521781">
      <w:pPr>
        <w:pStyle w:val="PlainText"/>
        <w:tabs>
          <w:tab w:val="left" w:pos="426"/>
        </w:tabs>
        <w:spacing w:before="100" w:line="360" w:lineRule="auto"/>
        <w:jc w:val="center"/>
        <w:rPr>
          <w:rFonts w:ascii="Times New Roman" w:hAnsi="Times New Roman" w:cs="Times New Roman"/>
          <w:sz w:val="28"/>
        </w:rPr>
      </w:pPr>
      <w:r>
        <w:rPr>
          <w:rFonts w:ascii="Times New Roman" w:hAnsi="Times New Roman" w:cs="Times New Roman"/>
          <w:sz w:val="28"/>
        </w:rPr>
        <w:t xml:space="preserve">December </w:t>
      </w:r>
      <w:r w:rsidR="00521781" w:rsidRPr="001D3902">
        <w:rPr>
          <w:rFonts w:ascii="Times New Roman" w:hAnsi="Times New Roman" w:cs="Times New Roman"/>
          <w:sz w:val="28"/>
        </w:rPr>
        <w:t>2012</w:t>
      </w:r>
    </w:p>
    <w:p w:rsidR="00521781" w:rsidRPr="001D3902" w:rsidRDefault="00521781" w:rsidP="00521781">
      <w:pPr>
        <w:pStyle w:val="PlainText"/>
        <w:tabs>
          <w:tab w:val="left" w:pos="426"/>
        </w:tabs>
        <w:spacing w:before="100" w:line="360" w:lineRule="auto"/>
        <w:jc w:val="center"/>
        <w:rPr>
          <w:rFonts w:ascii="Times New Roman" w:hAnsi="Times New Roman" w:cs="Times New Roman"/>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20"/>
        <w:gridCol w:w="4622"/>
      </w:tblGrid>
      <w:tr w:rsidR="00521781" w:rsidRPr="00A11E10" w:rsidTr="005428E4">
        <w:tc>
          <w:tcPr>
            <w:tcW w:w="4621" w:type="dxa"/>
            <w:tcBorders>
              <w:top w:val="nil"/>
              <w:left w:val="nil"/>
              <w:bottom w:val="nil"/>
              <w:right w:val="nil"/>
            </w:tcBorders>
          </w:tcPr>
          <w:p w:rsidR="00521781" w:rsidRPr="00A11E10" w:rsidRDefault="00521781" w:rsidP="005428E4">
            <w:pPr>
              <w:pStyle w:val="CM4"/>
              <w:spacing w:line="240" w:lineRule="auto"/>
              <w:jc w:val="center"/>
              <w:rPr>
                <w:bCs/>
                <w:i/>
                <w:sz w:val="22"/>
                <w:szCs w:val="22"/>
              </w:rPr>
            </w:pPr>
            <w:r w:rsidRPr="00A11E10">
              <w:rPr>
                <w:bCs/>
                <w:i/>
                <w:sz w:val="22"/>
                <w:szCs w:val="22"/>
              </w:rPr>
              <w:t>Corresponding Author</w:t>
            </w:r>
          </w:p>
          <w:p w:rsidR="00521781" w:rsidRPr="00A11E10" w:rsidRDefault="00521781" w:rsidP="005428E4">
            <w:pPr>
              <w:pStyle w:val="CM4"/>
              <w:spacing w:line="240" w:lineRule="auto"/>
              <w:jc w:val="center"/>
              <w:rPr>
                <w:b/>
                <w:bCs/>
                <w:sz w:val="8"/>
                <w:szCs w:val="8"/>
              </w:rPr>
            </w:pPr>
          </w:p>
          <w:p w:rsidR="00521781" w:rsidRPr="001D3902" w:rsidRDefault="004F65D4" w:rsidP="005428E4">
            <w:pPr>
              <w:pStyle w:val="CM4"/>
              <w:spacing w:line="240" w:lineRule="auto"/>
              <w:jc w:val="center"/>
            </w:pPr>
            <w:r>
              <w:rPr>
                <w:b/>
                <w:bCs/>
              </w:rPr>
              <w:t>Steven Lim</w:t>
            </w:r>
          </w:p>
          <w:p w:rsidR="00521781" w:rsidRPr="004C084F" w:rsidRDefault="00521781" w:rsidP="005428E4">
            <w:pPr>
              <w:pStyle w:val="CM23"/>
              <w:spacing w:after="0"/>
              <w:jc w:val="center"/>
              <w:rPr>
                <w:sz w:val="6"/>
                <w:szCs w:val="6"/>
              </w:rPr>
            </w:pPr>
          </w:p>
          <w:p w:rsidR="00521781" w:rsidRPr="001D3902" w:rsidRDefault="00521781" w:rsidP="005428E4">
            <w:pPr>
              <w:pStyle w:val="CM23"/>
              <w:spacing w:after="0"/>
              <w:jc w:val="center"/>
            </w:pPr>
            <w:r w:rsidRPr="001D3902">
              <w:t>Economics Department</w:t>
            </w:r>
          </w:p>
          <w:p w:rsidR="00521781" w:rsidRPr="001D3902" w:rsidRDefault="00521781" w:rsidP="005428E4">
            <w:pPr>
              <w:pStyle w:val="CM23"/>
              <w:spacing w:after="0"/>
              <w:jc w:val="center"/>
            </w:pPr>
            <w:r w:rsidRPr="001D3902">
              <w:t>University of Waikato</w:t>
            </w:r>
          </w:p>
          <w:p w:rsidR="00521781" w:rsidRPr="001D3902" w:rsidRDefault="00521781" w:rsidP="005428E4">
            <w:pPr>
              <w:pStyle w:val="CM23"/>
              <w:spacing w:after="0"/>
              <w:jc w:val="center"/>
            </w:pPr>
            <w:r w:rsidRPr="001D3902">
              <w:t>Private Bag 3105</w:t>
            </w:r>
          </w:p>
          <w:p w:rsidR="00521781" w:rsidRDefault="00521781" w:rsidP="005428E4">
            <w:pPr>
              <w:pStyle w:val="CM23"/>
              <w:spacing w:after="0"/>
              <w:jc w:val="center"/>
            </w:pPr>
            <w:r>
              <w:t>Hamilton</w:t>
            </w:r>
            <w:r w:rsidR="00A60BBF">
              <w:t>, 3240</w:t>
            </w:r>
          </w:p>
          <w:p w:rsidR="004F65D4" w:rsidRDefault="004F65D4" w:rsidP="005428E4">
            <w:pPr>
              <w:pStyle w:val="CM23"/>
              <w:spacing w:after="0"/>
              <w:jc w:val="center"/>
            </w:pPr>
            <w:r>
              <w:t>New Zealand</w:t>
            </w:r>
          </w:p>
          <w:p w:rsidR="00521781" w:rsidRPr="004F65D4" w:rsidRDefault="004976A0" w:rsidP="005428E4">
            <w:pPr>
              <w:pStyle w:val="CM23"/>
              <w:overflowPunct w:val="0"/>
              <w:spacing w:after="0"/>
              <w:jc w:val="center"/>
              <w:textAlignment w:val="baseline"/>
              <w:rPr>
                <w:i/>
              </w:rPr>
            </w:pPr>
            <w:r w:rsidRPr="004976A0">
              <w:rPr>
                <w:i/>
              </w:rPr>
              <w:t xml:space="preserve">and </w:t>
            </w:r>
          </w:p>
          <w:p w:rsidR="00E14A56" w:rsidRDefault="004976A0">
            <w:pPr>
              <w:jc w:val="center"/>
            </w:pPr>
            <w:proofErr w:type="spellStart"/>
            <w:r w:rsidRPr="004976A0">
              <w:rPr>
                <w:szCs w:val="24"/>
              </w:rPr>
              <w:t>Senshu</w:t>
            </w:r>
            <w:proofErr w:type="spellEnd"/>
            <w:r w:rsidRPr="004976A0">
              <w:rPr>
                <w:szCs w:val="24"/>
              </w:rPr>
              <w:t xml:space="preserve"> University</w:t>
            </w:r>
            <w:r w:rsidR="004F65D4">
              <w:rPr>
                <w:szCs w:val="24"/>
              </w:rPr>
              <w:t>, Japan</w:t>
            </w:r>
          </w:p>
          <w:p w:rsidR="00521781" w:rsidRPr="00A11E10" w:rsidRDefault="00521781" w:rsidP="005428E4">
            <w:pPr>
              <w:pStyle w:val="Default"/>
              <w:rPr>
                <w:sz w:val="12"/>
                <w:szCs w:val="12"/>
              </w:rPr>
            </w:pPr>
          </w:p>
          <w:p w:rsidR="00521781" w:rsidRPr="00A11E10" w:rsidRDefault="004F65D4" w:rsidP="005428E4">
            <w:pPr>
              <w:pStyle w:val="CM3"/>
              <w:jc w:val="center"/>
              <w:rPr>
                <w:bCs/>
              </w:rPr>
            </w:pPr>
            <w:r>
              <w:rPr>
                <w:bCs/>
              </w:rPr>
              <w:t>Email: slim</w:t>
            </w:r>
            <w:r w:rsidR="00521781" w:rsidRPr="00A11E10">
              <w:rPr>
                <w:bCs/>
              </w:rPr>
              <w:t>@waikato.ac.nz</w:t>
            </w:r>
          </w:p>
          <w:p w:rsidR="00521781" w:rsidRPr="00A11E10" w:rsidRDefault="00521781" w:rsidP="005428E4">
            <w:pPr>
              <w:pStyle w:val="NoSpacing"/>
              <w:jc w:val="center"/>
              <w:rPr>
                <w:rFonts w:ascii="Times New Roman" w:hAnsi="Times New Roman" w:cs="Times New Roman"/>
                <w:sz w:val="28"/>
              </w:rPr>
            </w:pPr>
          </w:p>
        </w:tc>
        <w:tc>
          <w:tcPr>
            <w:tcW w:w="4622" w:type="dxa"/>
            <w:tcBorders>
              <w:top w:val="nil"/>
              <w:left w:val="nil"/>
              <w:bottom w:val="nil"/>
              <w:right w:val="nil"/>
            </w:tcBorders>
          </w:tcPr>
          <w:p w:rsidR="004F65D4" w:rsidRDefault="004F65D4" w:rsidP="005428E4">
            <w:pPr>
              <w:pStyle w:val="TitlePage"/>
              <w:widowControl/>
              <w:ind w:hanging="42"/>
              <w:rPr>
                <w:b/>
              </w:rPr>
            </w:pPr>
          </w:p>
          <w:p w:rsidR="00521781" w:rsidRDefault="004F65D4" w:rsidP="004C084F">
            <w:pPr>
              <w:pStyle w:val="TitlePage"/>
              <w:widowControl/>
              <w:spacing w:before="100"/>
              <w:ind w:hanging="40"/>
              <w:rPr>
                <w:b/>
              </w:rPr>
            </w:pPr>
            <w:r>
              <w:rPr>
                <w:b/>
              </w:rPr>
              <w:t>Jason Le Vaillant</w:t>
            </w:r>
          </w:p>
          <w:p w:rsidR="004F65D4" w:rsidRPr="004C084F" w:rsidRDefault="004F65D4" w:rsidP="005428E4">
            <w:pPr>
              <w:pStyle w:val="TitlePage"/>
              <w:widowControl/>
              <w:ind w:hanging="42"/>
              <w:rPr>
                <w:b/>
                <w:sz w:val="6"/>
                <w:szCs w:val="6"/>
              </w:rPr>
            </w:pPr>
          </w:p>
          <w:p w:rsidR="00521781" w:rsidRPr="001D3902" w:rsidRDefault="004F65D4" w:rsidP="005428E4">
            <w:pPr>
              <w:pStyle w:val="TitlePage"/>
              <w:widowControl/>
              <w:ind w:hanging="42"/>
            </w:pPr>
            <w:r>
              <w:t>Ministry of Economic Development</w:t>
            </w:r>
          </w:p>
          <w:p w:rsidR="005F09C8" w:rsidRDefault="005F09C8" w:rsidP="005428E4">
            <w:pPr>
              <w:pStyle w:val="TitlePage"/>
              <w:widowControl/>
              <w:ind w:hanging="42"/>
            </w:pPr>
            <w:r>
              <w:t>P O Box 1473</w:t>
            </w:r>
          </w:p>
          <w:p w:rsidR="00521781" w:rsidRPr="001D3902" w:rsidRDefault="00077427" w:rsidP="005428E4">
            <w:pPr>
              <w:pStyle w:val="TitlePage"/>
              <w:widowControl/>
              <w:ind w:hanging="42"/>
            </w:pPr>
            <w:r>
              <w:t>Wellington</w:t>
            </w:r>
            <w:r w:rsidR="005F09C8">
              <w:t>, 6011</w:t>
            </w:r>
          </w:p>
          <w:p w:rsidR="00521781" w:rsidRPr="00A11E10" w:rsidRDefault="00077427" w:rsidP="005428E4">
            <w:pPr>
              <w:pStyle w:val="TitlePage"/>
              <w:widowControl/>
              <w:ind w:hanging="42"/>
              <w:rPr>
                <w:b/>
                <w:bCs/>
              </w:rPr>
            </w:pPr>
            <w:r>
              <w:t>New Zealand</w:t>
            </w:r>
          </w:p>
          <w:p w:rsidR="00521781" w:rsidRPr="00A11E10" w:rsidRDefault="00521781" w:rsidP="005428E4">
            <w:pPr>
              <w:pStyle w:val="NoSpacing"/>
              <w:jc w:val="center"/>
              <w:rPr>
                <w:rFonts w:ascii="Times New Roman" w:hAnsi="Times New Roman" w:cs="Times New Roman"/>
                <w:sz w:val="12"/>
                <w:szCs w:val="12"/>
              </w:rPr>
            </w:pPr>
          </w:p>
          <w:p w:rsidR="00E14A56" w:rsidRDefault="00521781">
            <w:pPr>
              <w:pStyle w:val="NoSpacing"/>
              <w:jc w:val="center"/>
              <w:rPr>
                <w:rFonts w:ascii="Times New Roman" w:eastAsia="Times New Roman" w:hAnsi="Times New Roman" w:cs="Times New Roman"/>
                <w:sz w:val="28"/>
                <w:lang w:val="en-US"/>
              </w:rPr>
            </w:pPr>
            <w:r w:rsidRPr="00A11E10">
              <w:rPr>
                <w:rFonts w:ascii="Times New Roman" w:hAnsi="Times New Roman" w:cs="Times New Roman"/>
                <w:sz w:val="24"/>
                <w:szCs w:val="24"/>
              </w:rPr>
              <w:t xml:space="preserve">Email: </w:t>
            </w:r>
            <w:r w:rsidR="00E14A56" w:rsidRPr="00E14A56">
              <w:rPr>
                <w:rFonts w:ascii="Times New Roman" w:hAnsi="Times New Roman" w:cs="Times New Roman"/>
                <w:sz w:val="24"/>
                <w:szCs w:val="24"/>
              </w:rPr>
              <w:t>jason.levaillant@med.govt.nz</w:t>
            </w:r>
          </w:p>
        </w:tc>
      </w:tr>
      <w:tr w:rsidR="00521781" w:rsidRPr="007D2331" w:rsidTr="005428E4">
        <w:tc>
          <w:tcPr>
            <w:tcW w:w="9243" w:type="dxa"/>
            <w:gridSpan w:val="2"/>
            <w:tcBorders>
              <w:top w:val="nil"/>
              <w:left w:val="nil"/>
              <w:bottom w:val="nil"/>
              <w:right w:val="nil"/>
            </w:tcBorders>
          </w:tcPr>
          <w:p w:rsidR="00521781" w:rsidRPr="00A11E10" w:rsidRDefault="00521781" w:rsidP="005428E4">
            <w:pPr>
              <w:pStyle w:val="BodyText"/>
              <w:spacing w:after="0"/>
              <w:ind w:hanging="40"/>
              <w:jc w:val="center"/>
              <w:rPr>
                <w:lang w:val="en-NZ"/>
              </w:rPr>
            </w:pPr>
          </w:p>
          <w:p w:rsidR="00521781" w:rsidRDefault="00077427" w:rsidP="005428E4">
            <w:pPr>
              <w:pStyle w:val="BodyText"/>
              <w:spacing w:after="0"/>
              <w:ind w:hanging="40"/>
              <w:jc w:val="center"/>
              <w:rPr>
                <w:b/>
                <w:lang w:val="en-NZ"/>
              </w:rPr>
            </w:pPr>
            <w:r>
              <w:rPr>
                <w:b/>
                <w:lang w:val="en-NZ"/>
              </w:rPr>
              <w:t>Harry X. Wu</w:t>
            </w:r>
          </w:p>
          <w:p w:rsidR="004C084F" w:rsidRPr="004C084F" w:rsidRDefault="004C084F" w:rsidP="005428E4">
            <w:pPr>
              <w:pStyle w:val="BodyText"/>
              <w:spacing w:after="0"/>
              <w:ind w:hanging="40"/>
              <w:jc w:val="center"/>
              <w:rPr>
                <w:b/>
                <w:sz w:val="6"/>
                <w:szCs w:val="6"/>
                <w:lang w:val="en-NZ"/>
              </w:rPr>
            </w:pPr>
          </w:p>
          <w:p w:rsidR="00521781" w:rsidRPr="00900D53" w:rsidRDefault="00900D53" w:rsidP="005428E4">
            <w:pPr>
              <w:pStyle w:val="BodyText"/>
              <w:spacing w:after="0"/>
              <w:ind w:hanging="40"/>
              <w:jc w:val="center"/>
              <w:rPr>
                <w:rFonts w:asciiTheme="majorBidi" w:hAnsiTheme="majorBidi" w:cstheme="majorBidi"/>
                <w:lang w:val="en-NZ"/>
              </w:rPr>
            </w:pPr>
            <w:r w:rsidRPr="00900D53">
              <w:rPr>
                <w:rFonts w:asciiTheme="majorBidi" w:hAnsiTheme="majorBidi" w:cstheme="majorBidi"/>
                <w:color w:val="222222"/>
                <w:shd w:val="clear" w:color="auto" w:fill="FFFFFF"/>
              </w:rPr>
              <w:t>Institute of Economic Research</w:t>
            </w:r>
          </w:p>
          <w:p w:rsidR="00077427" w:rsidRDefault="004976A0" w:rsidP="00077427">
            <w:pPr>
              <w:tabs>
                <w:tab w:val="left" w:pos="9781"/>
              </w:tabs>
              <w:spacing w:after="0"/>
              <w:ind w:left="993" w:right="1313"/>
              <w:jc w:val="center"/>
              <w:rPr>
                <w:szCs w:val="24"/>
              </w:rPr>
            </w:pPr>
            <w:proofErr w:type="spellStart"/>
            <w:r w:rsidRPr="004976A0">
              <w:rPr>
                <w:szCs w:val="24"/>
              </w:rPr>
              <w:t>Hitotsubashi</w:t>
            </w:r>
            <w:proofErr w:type="spellEnd"/>
            <w:r w:rsidRPr="004976A0">
              <w:rPr>
                <w:szCs w:val="24"/>
              </w:rPr>
              <w:t xml:space="preserve"> University</w:t>
            </w:r>
          </w:p>
          <w:p w:rsidR="00900D53" w:rsidRPr="00900D53" w:rsidRDefault="00900D53" w:rsidP="00900D53">
            <w:pPr>
              <w:tabs>
                <w:tab w:val="left" w:pos="9781"/>
              </w:tabs>
              <w:spacing w:after="0"/>
              <w:ind w:left="993" w:right="1313"/>
              <w:jc w:val="center"/>
              <w:rPr>
                <w:rFonts w:asciiTheme="majorBidi" w:hAnsiTheme="majorBidi" w:cstheme="majorBidi"/>
                <w:szCs w:val="24"/>
              </w:rPr>
            </w:pPr>
            <w:r w:rsidRPr="00900D53">
              <w:rPr>
                <w:rFonts w:asciiTheme="majorBidi" w:hAnsiTheme="majorBidi" w:cstheme="majorBidi"/>
                <w:color w:val="222222"/>
                <w:szCs w:val="24"/>
                <w:shd w:val="clear" w:color="auto" w:fill="F8F6E1"/>
              </w:rPr>
              <w:t xml:space="preserve">2-1 Naka, </w:t>
            </w:r>
            <w:proofErr w:type="spellStart"/>
            <w:r w:rsidRPr="00900D53">
              <w:rPr>
                <w:rFonts w:asciiTheme="majorBidi" w:hAnsiTheme="majorBidi" w:cstheme="majorBidi"/>
                <w:color w:val="222222"/>
                <w:szCs w:val="24"/>
                <w:shd w:val="clear" w:color="auto" w:fill="F8F6E1"/>
              </w:rPr>
              <w:t>Kunitachi</w:t>
            </w:r>
            <w:proofErr w:type="spellEnd"/>
            <w:r w:rsidRPr="00900D53">
              <w:rPr>
                <w:rFonts w:asciiTheme="majorBidi" w:hAnsiTheme="majorBidi" w:cstheme="majorBidi"/>
                <w:color w:val="222222"/>
                <w:szCs w:val="24"/>
                <w:shd w:val="clear" w:color="auto" w:fill="F8F6E1"/>
              </w:rPr>
              <w:t xml:space="preserve"> City</w:t>
            </w:r>
            <w:r w:rsidRPr="00900D53">
              <w:rPr>
                <w:rFonts w:asciiTheme="majorBidi" w:hAnsiTheme="majorBidi" w:cstheme="majorBidi"/>
                <w:color w:val="222222"/>
                <w:szCs w:val="24"/>
              </w:rPr>
              <w:br/>
            </w:r>
            <w:r w:rsidRPr="00900D53">
              <w:rPr>
                <w:rFonts w:asciiTheme="majorBidi" w:hAnsiTheme="majorBidi" w:cstheme="majorBidi"/>
                <w:color w:val="222222"/>
                <w:szCs w:val="24"/>
                <w:shd w:val="clear" w:color="auto" w:fill="F8F6E1"/>
              </w:rPr>
              <w:t>Tokyo 186-8603</w:t>
            </w:r>
          </w:p>
          <w:p w:rsidR="00521781" w:rsidRPr="00E14A56" w:rsidRDefault="0001449D" w:rsidP="005428E4">
            <w:pPr>
              <w:pStyle w:val="BodyText"/>
              <w:spacing w:after="0"/>
              <w:ind w:hanging="40"/>
              <w:jc w:val="center"/>
              <w:rPr>
                <w:lang w:val="fr-FR"/>
              </w:rPr>
            </w:pPr>
            <w:proofErr w:type="spellStart"/>
            <w:r w:rsidRPr="0001449D">
              <w:rPr>
                <w:lang w:val="fr-FR"/>
              </w:rPr>
              <w:t>Japan</w:t>
            </w:r>
            <w:proofErr w:type="spellEnd"/>
          </w:p>
          <w:p w:rsidR="00521781" w:rsidRPr="00E14A56" w:rsidRDefault="00521781" w:rsidP="005428E4">
            <w:pPr>
              <w:pStyle w:val="BodyText"/>
              <w:spacing w:after="0"/>
              <w:ind w:hanging="40"/>
              <w:jc w:val="center"/>
              <w:rPr>
                <w:sz w:val="12"/>
                <w:szCs w:val="12"/>
                <w:lang w:val="fr-FR"/>
              </w:rPr>
            </w:pPr>
          </w:p>
          <w:p w:rsidR="00521781" w:rsidRPr="00E14A56" w:rsidRDefault="0001449D" w:rsidP="005428E4">
            <w:pPr>
              <w:pStyle w:val="Heading4"/>
              <w:overflowPunct w:val="0"/>
              <w:spacing w:after="120"/>
              <w:ind w:hanging="40"/>
              <w:jc w:val="center"/>
              <w:textAlignment w:val="baseline"/>
              <w:rPr>
                <w:rFonts w:ascii="Times New Roman" w:hAnsi="Times New Roman"/>
                <w:bCs/>
                <w:lang w:val="fr-FR"/>
              </w:rPr>
            </w:pPr>
            <w:r w:rsidRPr="0001449D">
              <w:rPr>
                <w:rFonts w:ascii="Times New Roman" w:hAnsi="Times New Roman"/>
                <w:bCs/>
                <w:lang w:val="fr-FR"/>
              </w:rPr>
              <w:t>Email: harry.wu@ier.hit-u.ac.</w:t>
            </w:r>
            <w:r w:rsidR="00E14A56">
              <w:rPr>
                <w:rFonts w:ascii="Times New Roman" w:hAnsi="Times New Roman"/>
                <w:bCs/>
                <w:lang w:val="fr-FR"/>
              </w:rPr>
              <w:t>jp</w:t>
            </w:r>
          </w:p>
          <w:p w:rsidR="00521781" w:rsidRPr="00E14A56" w:rsidRDefault="00521781" w:rsidP="005428E4">
            <w:pPr>
              <w:pStyle w:val="PlainText"/>
              <w:tabs>
                <w:tab w:val="left" w:pos="284"/>
              </w:tabs>
              <w:jc w:val="center"/>
              <w:rPr>
                <w:rFonts w:ascii="Times New Roman" w:hAnsi="Times New Roman" w:cs="Times New Roman"/>
                <w:b/>
                <w:lang w:val="fr-FR"/>
              </w:rPr>
            </w:pPr>
          </w:p>
          <w:p w:rsidR="00521781" w:rsidRPr="00E14A56" w:rsidRDefault="00521781" w:rsidP="005428E4">
            <w:pPr>
              <w:pStyle w:val="NoSpacing"/>
              <w:overflowPunct w:val="0"/>
              <w:autoSpaceDE w:val="0"/>
              <w:autoSpaceDN w:val="0"/>
              <w:adjustRightInd w:val="0"/>
              <w:spacing w:after="120"/>
              <w:jc w:val="center"/>
              <w:textAlignment w:val="baseline"/>
              <w:rPr>
                <w:rFonts w:ascii="Times New Roman" w:hAnsi="Times New Roman" w:cs="Times New Roman"/>
                <w:sz w:val="28"/>
                <w:lang w:val="fr-FR"/>
              </w:rPr>
            </w:pPr>
          </w:p>
        </w:tc>
      </w:tr>
    </w:tbl>
    <w:p w:rsidR="00521781" w:rsidRPr="00E14A56" w:rsidRDefault="00521781" w:rsidP="00521781">
      <w:pPr>
        <w:pStyle w:val="NoSpacing"/>
        <w:jc w:val="center"/>
        <w:rPr>
          <w:rFonts w:ascii="Times New Roman" w:hAnsi="Times New Roman" w:cs="Times New Roman"/>
          <w:b/>
          <w:lang w:val="fr-FR"/>
        </w:rPr>
      </w:pPr>
      <w:bookmarkStart w:id="0" w:name="_GoBack"/>
      <w:bookmarkEnd w:id="0"/>
    </w:p>
    <w:p w:rsidR="00F35377" w:rsidRDefault="00F35377" w:rsidP="00521781">
      <w:pPr>
        <w:pStyle w:val="NoSpacing"/>
        <w:jc w:val="center"/>
        <w:rPr>
          <w:rFonts w:ascii="Times New Roman" w:hAnsi="Times New Roman" w:cs="Times New Roman"/>
          <w:b/>
          <w:sz w:val="24"/>
          <w:szCs w:val="24"/>
        </w:rPr>
      </w:pPr>
    </w:p>
    <w:p w:rsidR="00F35377" w:rsidRDefault="00F35377" w:rsidP="00521781">
      <w:pPr>
        <w:pStyle w:val="NoSpacing"/>
        <w:jc w:val="center"/>
        <w:rPr>
          <w:rFonts w:ascii="Times New Roman" w:hAnsi="Times New Roman" w:cs="Times New Roman"/>
          <w:b/>
          <w:sz w:val="24"/>
          <w:szCs w:val="24"/>
        </w:rPr>
      </w:pPr>
    </w:p>
    <w:p w:rsidR="00521781" w:rsidRPr="001D3902" w:rsidRDefault="00521781" w:rsidP="00521781">
      <w:pPr>
        <w:pStyle w:val="NoSpacing"/>
        <w:jc w:val="center"/>
        <w:rPr>
          <w:rFonts w:ascii="Times New Roman" w:hAnsi="Times New Roman" w:cs="Times New Roman"/>
          <w:b/>
          <w:sz w:val="24"/>
          <w:szCs w:val="24"/>
        </w:rPr>
      </w:pPr>
      <w:r w:rsidRPr="001D3902">
        <w:rPr>
          <w:rFonts w:ascii="Times New Roman" w:hAnsi="Times New Roman" w:cs="Times New Roman"/>
          <w:b/>
          <w:sz w:val="24"/>
          <w:szCs w:val="24"/>
        </w:rPr>
        <w:t>Abstract</w:t>
      </w:r>
    </w:p>
    <w:p w:rsidR="00521781" w:rsidRPr="001D3902" w:rsidRDefault="00521781" w:rsidP="00521781">
      <w:pPr>
        <w:pStyle w:val="NoSpacing"/>
        <w:rPr>
          <w:rFonts w:ascii="Times New Roman" w:hAnsi="Times New Roman" w:cs="Times New Roman"/>
          <w:b/>
        </w:rPr>
      </w:pPr>
    </w:p>
    <w:p w:rsidR="00E14A56" w:rsidRDefault="004976A0" w:rsidP="00F35377">
      <w:pPr>
        <w:overflowPunct/>
        <w:spacing w:after="0" w:line="360" w:lineRule="auto"/>
        <w:ind w:right="79"/>
        <w:jc w:val="both"/>
        <w:textAlignment w:val="auto"/>
        <w:rPr>
          <w:szCs w:val="24"/>
        </w:rPr>
      </w:pPr>
      <w:r w:rsidRPr="004976A0">
        <w:rPr>
          <w:szCs w:val="24"/>
        </w:rPr>
        <w:t>Consider time series output data for two sectors, industry and agriculture. By examining just the output data themselves, what can we say about the relative impact of institutional/policy factors, intrasectoral competition for resources, and intersectoral linkages on each sector’s growth? Currently the answer might be very little. Our aim is</w:t>
      </w:r>
      <w:r w:rsidR="00B71A06">
        <w:rPr>
          <w:szCs w:val="24"/>
        </w:rPr>
        <w:t xml:space="preserve"> to fill this gap: First, we</w:t>
      </w:r>
      <w:r w:rsidRPr="004976A0">
        <w:rPr>
          <w:szCs w:val="24"/>
        </w:rPr>
        <w:t xml:space="preserve"> explain how institutional/policy and other factors can be formally derived from a growth rate term. Second, we offer an empirical illustration of the derivation, such that just the time series output data of the two sectors </w:t>
      </w:r>
      <w:r w:rsidRPr="004976A0">
        <w:rPr>
          <w:i/>
          <w:szCs w:val="24"/>
        </w:rPr>
        <w:t>by themselves</w:t>
      </w:r>
      <w:r w:rsidRPr="004976A0">
        <w:rPr>
          <w:szCs w:val="24"/>
        </w:rPr>
        <w:t xml:space="preserve"> contain enough information to make inferences regarding the relative impacts of the institutional/policy and other factors. Thus we provide the formal decomposition of a growth rate term, allowing the relative impacts of key explanatory variables to be estimated from a highly parsimonious data set. For countries that publish limited data sets, our method extends the ability of researchers to make inferences about the impact of institutions and so on, even when data on institutions are unavailable.</w:t>
      </w:r>
    </w:p>
    <w:p w:rsidR="00E14A56" w:rsidRDefault="00E14A56">
      <w:pPr>
        <w:overflowPunct/>
        <w:spacing w:after="0"/>
        <w:ind w:right="82"/>
        <w:jc w:val="both"/>
        <w:textAlignment w:val="auto"/>
        <w:rPr>
          <w:szCs w:val="24"/>
        </w:rPr>
      </w:pPr>
    </w:p>
    <w:p w:rsidR="00521781" w:rsidRPr="008C7D19" w:rsidRDefault="004976A0" w:rsidP="00F35377">
      <w:pPr>
        <w:pStyle w:val="NoSpacing"/>
        <w:jc w:val="both"/>
        <w:rPr>
          <w:rFonts w:ascii="Times New Roman" w:hAnsi="Times New Roman" w:cs="Times New Roman"/>
          <w:b/>
        </w:rPr>
      </w:pPr>
      <w:r w:rsidRPr="004976A0">
        <w:rPr>
          <w:sz w:val="24"/>
          <w:szCs w:val="24"/>
        </w:rPr>
        <w:t xml:space="preserve">     </w:t>
      </w:r>
    </w:p>
    <w:p w:rsidR="00521781" w:rsidRPr="001D3902" w:rsidRDefault="00521781" w:rsidP="00521781">
      <w:pPr>
        <w:pStyle w:val="NoSpacing"/>
        <w:rPr>
          <w:rFonts w:ascii="Times New Roman" w:hAnsi="Times New Roman" w:cs="Times New Roman"/>
          <w:b/>
        </w:rPr>
      </w:pPr>
    </w:p>
    <w:p w:rsidR="00521781" w:rsidRPr="00826BEA" w:rsidRDefault="00521781" w:rsidP="00521781">
      <w:pPr>
        <w:pStyle w:val="NoSpacing"/>
        <w:jc w:val="center"/>
        <w:rPr>
          <w:rFonts w:ascii="Times New Roman" w:hAnsi="Times New Roman" w:cs="Times New Roman"/>
          <w:b/>
          <w:sz w:val="24"/>
          <w:szCs w:val="24"/>
        </w:rPr>
      </w:pPr>
      <w:r w:rsidRPr="00826BEA">
        <w:rPr>
          <w:rFonts w:ascii="Times New Roman" w:hAnsi="Times New Roman" w:cs="Times New Roman"/>
          <w:b/>
          <w:sz w:val="24"/>
          <w:szCs w:val="24"/>
        </w:rPr>
        <w:t>Keywords</w:t>
      </w:r>
    </w:p>
    <w:p w:rsidR="00521781" w:rsidRPr="00A60BBF" w:rsidRDefault="00521781" w:rsidP="00521781">
      <w:pPr>
        <w:pStyle w:val="NoSpacing"/>
        <w:jc w:val="center"/>
        <w:rPr>
          <w:rFonts w:ascii="Times New Roman" w:hAnsi="Times New Roman" w:cs="Times New Roman"/>
          <w:b/>
          <w:sz w:val="12"/>
          <w:szCs w:val="12"/>
        </w:rPr>
      </w:pPr>
    </w:p>
    <w:p w:rsidR="00E14A56" w:rsidRDefault="0011037E">
      <w:pPr>
        <w:pStyle w:val="NoSpacing"/>
        <w:jc w:val="center"/>
        <w:rPr>
          <w:rFonts w:ascii="Times New Roman" w:hAnsi="Times New Roman" w:cs="Times New Roman"/>
          <w:sz w:val="24"/>
          <w:szCs w:val="24"/>
        </w:rPr>
      </w:pPr>
      <w:proofErr w:type="gramStart"/>
      <w:r>
        <w:rPr>
          <w:rFonts w:ascii="Times New Roman" w:hAnsi="Times New Roman" w:cs="Times New Roman"/>
          <w:sz w:val="24"/>
          <w:szCs w:val="24"/>
        </w:rPr>
        <w:t>s</w:t>
      </w:r>
      <w:r w:rsidR="004976A0" w:rsidRPr="004976A0">
        <w:rPr>
          <w:rFonts w:ascii="Times New Roman" w:hAnsi="Times New Roman" w:cs="Times New Roman"/>
          <w:sz w:val="24"/>
          <w:szCs w:val="24"/>
        </w:rPr>
        <w:t>hort-run</w:t>
      </w:r>
      <w:proofErr w:type="gramEnd"/>
      <w:r w:rsidR="004976A0" w:rsidRPr="004976A0">
        <w:rPr>
          <w:rFonts w:ascii="Times New Roman" w:hAnsi="Times New Roman" w:cs="Times New Roman"/>
          <w:sz w:val="24"/>
          <w:szCs w:val="24"/>
        </w:rPr>
        <w:t xml:space="preserve"> growth</w:t>
      </w:r>
    </w:p>
    <w:p w:rsidR="00E14A56" w:rsidRDefault="007F1988">
      <w:pPr>
        <w:pStyle w:val="NoSpacing"/>
        <w:jc w:val="center"/>
        <w:rPr>
          <w:rFonts w:ascii="Times New Roman" w:hAnsi="Times New Roman" w:cs="Times New Roman"/>
          <w:sz w:val="24"/>
          <w:szCs w:val="24"/>
        </w:rPr>
      </w:pPr>
      <w:proofErr w:type="gramStart"/>
      <w:r>
        <w:rPr>
          <w:rFonts w:ascii="Times New Roman" w:hAnsi="Times New Roman" w:cs="Times New Roman"/>
          <w:sz w:val="24"/>
          <w:szCs w:val="24"/>
        </w:rPr>
        <w:t>growth</w:t>
      </w:r>
      <w:proofErr w:type="gramEnd"/>
      <w:r>
        <w:rPr>
          <w:rFonts w:ascii="Times New Roman" w:hAnsi="Times New Roman" w:cs="Times New Roman"/>
          <w:sz w:val="24"/>
          <w:szCs w:val="24"/>
        </w:rPr>
        <w:t xml:space="preserve"> decomposition</w:t>
      </w:r>
    </w:p>
    <w:p w:rsidR="00E14A56" w:rsidRDefault="004976A0">
      <w:pPr>
        <w:pStyle w:val="NoSpacing"/>
        <w:jc w:val="center"/>
        <w:rPr>
          <w:rFonts w:ascii="Times New Roman" w:hAnsi="Times New Roman" w:cs="Times New Roman"/>
          <w:sz w:val="24"/>
          <w:szCs w:val="24"/>
        </w:rPr>
      </w:pPr>
      <w:proofErr w:type="gramStart"/>
      <w:r w:rsidRPr="004976A0">
        <w:rPr>
          <w:rFonts w:ascii="Times New Roman" w:hAnsi="Times New Roman" w:cs="Times New Roman"/>
          <w:sz w:val="24"/>
          <w:szCs w:val="24"/>
        </w:rPr>
        <w:t>institutions</w:t>
      </w:r>
      <w:proofErr w:type="gramEnd"/>
      <w:r w:rsidR="007F1988">
        <w:rPr>
          <w:rFonts w:ascii="Times New Roman" w:hAnsi="Times New Roman" w:cs="Times New Roman"/>
          <w:sz w:val="24"/>
          <w:szCs w:val="24"/>
        </w:rPr>
        <w:t xml:space="preserve"> </w:t>
      </w:r>
      <w:r w:rsidR="0011037E">
        <w:rPr>
          <w:rFonts w:ascii="Times New Roman" w:hAnsi="Times New Roman" w:cs="Times New Roman"/>
          <w:sz w:val="24"/>
          <w:szCs w:val="24"/>
        </w:rPr>
        <w:t xml:space="preserve">and </w:t>
      </w:r>
      <w:r w:rsidRPr="004976A0">
        <w:rPr>
          <w:rFonts w:ascii="Times New Roman" w:hAnsi="Times New Roman" w:cs="Times New Roman"/>
          <w:sz w:val="24"/>
          <w:szCs w:val="24"/>
        </w:rPr>
        <w:t>policies</w:t>
      </w:r>
    </w:p>
    <w:p w:rsidR="00E14A56" w:rsidRPr="007D2331" w:rsidRDefault="004976A0">
      <w:pPr>
        <w:pStyle w:val="NoSpacing"/>
        <w:jc w:val="center"/>
        <w:rPr>
          <w:rFonts w:ascii="Times New Roman" w:hAnsi="Times New Roman" w:cs="Times New Roman"/>
          <w:b/>
          <w:sz w:val="24"/>
          <w:szCs w:val="24"/>
          <w:lang w:val="es-ES"/>
        </w:rPr>
      </w:pPr>
      <w:r w:rsidRPr="007D2331">
        <w:rPr>
          <w:rFonts w:ascii="Times New Roman" w:hAnsi="Times New Roman" w:cs="Times New Roman"/>
          <w:sz w:val="24"/>
          <w:szCs w:val="24"/>
          <w:lang w:val="es-ES"/>
        </w:rPr>
        <w:t>China</w:t>
      </w:r>
    </w:p>
    <w:p w:rsidR="00E14A56" w:rsidRPr="007D2331" w:rsidRDefault="00E14A56">
      <w:pPr>
        <w:pStyle w:val="NoSpacing"/>
        <w:jc w:val="center"/>
        <w:rPr>
          <w:rFonts w:ascii="Times New Roman" w:hAnsi="Times New Roman" w:cs="Times New Roman"/>
          <w:b/>
          <w:sz w:val="24"/>
          <w:szCs w:val="24"/>
          <w:lang w:val="es-ES"/>
        </w:rPr>
      </w:pPr>
    </w:p>
    <w:p w:rsidR="00E14A56" w:rsidRPr="007D2331" w:rsidRDefault="00E14A56">
      <w:pPr>
        <w:pStyle w:val="NoSpacing"/>
        <w:jc w:val="center"/>
        <w:rPr>
          <w:rFonts w:ascii="Times New Roman" w:hAnsi="Times New Roman" w:cs="Times New Roman"/>
          <w:b/>
          <w:sz w:val="24"/>
          <w:szCs w:val="24"/>
          <w:lang w:val="es-ES"/>
        </w:rPr>
      </w:pPr>
    </w:p>
    <w:p w:rsidR="00E14A56" w:rsidRPr="007D2331" w:rsidRDefault="00E14A56">
      <w:pPr>
        <w:pStyle w:val="NoSpacing"/>
        <w:jc w:val="center"/>
        <w:rPr>
          <w:rFonts w:ascii="Times New Roman" w:hAnsi="Times New Roman" w:cs="Times New Roman"/>
          <w:b/>
          <w:sz w:val="24"/>
          <w:szCs w:val="24"/>
          <w:lang w:val="es-ES"/>
        </w:rPr>
      </w:pPr>
    </w:p>
    <w:p w:rsidR="00A60BBF" w:rsidRDefault="007F1988">
      <w:pPr>
        <w:pStyle w:val="NoSpacing"/>
        <w:jc w:val="center"/>
        <w:rPr>
          <w:rFonts w:ascii="Times New Roman" w:hAnsi="Times New Roman" w:cs="Times New Roman"/>
          <w:b/>
          <w:sz w:val="24"/>
          <w:szCs w:val="24"/>
          <w:lang w:val="es-ES"/>
        </w:rPr>
      </w:pPr>
      <w:r w:rsidRPr="007D2331">
        <w:rPr>
          <w:rFonts w:ascii="Times New Roman" w:hAnsi="Times New Roman" w:cs="Times New Roman"/>
          <w:b/>
          <w:sz w:val="24"/>
          <w:szCs w:val="24"/>
          <w:lang w:val="es-ES"/>
        </w:rPr>
        <w:t xml:space="preserve">JEL </w:t>
      </w:r>
      <w:proofErr w:type="spellStart"/>
      <w:r w:rsidRPr="007D2331">
        <w:rPr>
          <w:rFonts w:ascii="Times New Roman" w:hAnsi="Times New Roman" w:cs="Times New Roman"/>
          <w:b/>
          <w:sz w:val="24"/>
          <w:szCs w:val="24"/>
          <w:lang w:val="es-ES"/>
        </w:rPr>
        <w:t>Codes</w:t>
      </w:r>
      <w:proofErr w:type="spellEnd"/>
    </w:p>
    <w:p w:rsidR="00F35377" w:rsidRPr="00F35377" w:rsidRDefault="00F35377">
      <w:pPr>
        <w:pStyle w:val="NoSpacing"/>
        <w:jc w:val="center"/>
        <w:rPr>
          <w:rFonts w:ascii="Times New Roman" w:hAnsi="Times New Roman" w:cs="Times New Roman"/>
          <w:b/>
          <w:sz w:val="12"/>
          <w:szCs w:val="12"/>
          <w:lang w:val="es-ES"/>
        </w:rPr>
      </w:pPr>
    </w:p>
    <w:p w:rsidR="00E14A56" w:rsidRPr="007D2331" w:rsidRDefault="0011037E">
      <w:pPr>
        <w:tabs>
          <w:tab w:val="left" w:pos="9781"/>
        </w:tabs>
        <w:spacing w:after="0"/>
        <w:ind w:right="82"/>
        <w:jc w:val="center"/>
        <w:rPr>
          <w:b/>
          <w:szCs w:val="24"/>
          <w:lang w:val="es-ES"/>
        </w:rPr>
      </w:pPr>
      <w:r w:rsidRPr="007D2331">
        <w:rPr>
          <w:szCs w:val="24"/>
          <w:lang w:val="es-ES"/>
        </w:rPr>
        <w:t>O</w:t>
      </w:r>
      <w:r w:rsidR="00900D53" w:rsidRPr="007D2331">
        <w:rPr>
          <w:szCs w:val="24"/>
          <w:lang w:val="es-ES"/>
        </w:rPr>
        <w:t>43</w:t>
      </w:r>
      <w:r w:rsidR="004976A0" w:rsidRPr="007D2331">
        <w:rPr>
          <w:szCs w:val="24"/>
          <w:lang w:val="es-ES"/>
        </w:rPr>
        <w:t>, P</w:t>
      </w:r>
      <w:r w:rsidR="00900D53" w:rsidRPr="007D2331">
        <w:rPr>
          <w:szCs w:val="24"/>
          <w:lang w:val="es-ES"/>
        </w:rPr>
        <w:t>30</w:t>
      </w:r>
      <w:r w:rsidR="004976A0" w:rsidRPr="007D2331">
        <w:rPr>
          <w:szCs w:val="24"/>
          <w:lang w:val="es-ES"/>
        </w:rPr>
        <w:t>, C</w:t>
      </w:r>
      <w:r w:rsidR="00900D53" w:rsidRPr="007D2331">
        <w:rPr>
          <w:szCs w:val="24"/>
          <w:lang w:val="es-ES"/>
        </w:rPr>
        <w:t>13</w:t>
      </w:r>
    </w:p>
    <w:p w:rsidR="001E6FF0" w:rsidRPr="007D2331" w:rsidRDefault="001E6FF0" w:rsidP="001E6FF0">
      <w:pPr>
        <w:tabs>
          <w:tab w:val="left" w:pos="9781"/>
        </w:tabs>
        <w:spacing w:before="240"/>
        <w:ind w:left="993" w:right="1313"/>
        <w:jc w:val="center"/>
        <w:rPr>
          <w:b/>
          <w:i/>
          <w:sz w:val="28"/>
          <w:szCs w:val="28"/>
          <w:vertAlign w:val="superscript"/>
          <w:lang w:val="es-ES"/>
        </w:rPr>
      </w:pPr>
    </w:p>
    <w:p w:rsidR="001E6FF0" w:rsidRDefault="004976A0" w:rsidP="0011037E">
      <w:pPr>
        <w:tabs>
          <w:tab w:val="left" w:pos="9781"/>
        </w:tabs>
        <w:spacing w:after="0"/>
        <w:ind w:right="82"/>
        <w:jc w:val="center"/>
        <w:rPr>
          <w:b/>
          <w:sz w:val="22"/>
          <w:szCs w:val="22"/>
          <w:lang w:val="en-NZ"/>
        </w:rPr>
      </w:pPr>
      <w:r w:rsidRPr="004976A0">
        <w:rPr>
          <w:b/>
          <w:sz w:val="22"/>
          <w:szCs w:val="22"/>
          <w:lang w:val="en-NZ"/>
        </w:rPr>
        <w:t>Acknowledgements</w:t>
      </w:r>
    </w:p>
    <w:p w:rsidR="006B11BF" w:rsidRPr="00F35377" w:rsidRDefault="006B11BF" w:rsidP="0011037E">
      <w:pPr>
        <w:tabs>
          <w:tab w:val="left" w:pos="9781"/>
        </w:tabs>
        <w:spacing w:after="0"/>
        <w:ind w:right="82"/>
        <w:jc w:val="center"/>
        <w:rPr>
          <w:b/>
          <w:sz w:val="12"/>
          <w:szCs w:val="12"/>
          <w:lang w:val="en-NZ"/>
        </w:rPr>
      </w:pPr>
    </w:p>
    <w:p w:rsidR="00E14A56" w:rsidRDefault="004976A0">
      <w:pPr>
        <w:tabs>
          <w:tab w:val="left" w:pos="9781"/>
        </w:tabs>
        <w:spacing w:after="0"/>
        <w:ind w:right="79"/>
        <w:jc w:val="both"/>
        <w:rPr>
          <w:b/>
        </w:rPr>
      </w:pPr>
      <w:r w:rsidRPr="004976A0">
        <w:rPr>
          <w:iCs/>
          <w:sz w:val="22"/>
          <w:szCs w:val="22"/>
          <w:lang w:val="en-NZ"/>
        </w:rPr>
        <w:t xml:space="preserve">The authors are indebted to Kym Anderson and Jang </w:t>
      </w:r>
      <w:proofErr w:type="spellStart"/>
      <w:r w:rsidRPr="004976A0">
        <w:rPr>
          <w:iCs/>
          <w:sz w:val="22"/>
          <w:szCs w:val="22"/>
          <w:lang w:val="en-NZ"/>
        </w:rPr>
        <w:t>Kyungho</w:t>
      </w:r>
      <w:proofErr w:type="spellEnd"/>
      <w:r w:rsidRPr="004976A0">
        <w:rPr>
          <w:iCs/>
          <w:sz w:val="22"/>
          <w:szCs w:val="22"/>
          <w:lang w:val="en-NZ"/>
        </w:rPr>
        <w:t xml:space="preserve">. We also thank Chiaki </w:t>
      </w:r>
      <w:proofErr w:type="spellStart"/>
      <w:r w:rsidRPr="004976A0">
        <w:rPr>
          <w:iCs/>
          <w:sz w:val="22"/>
          <w:szCs w:val="22"/>
          <w:lang w:val="en-NZ"/>
        </w:rPr>
        <w:t>Moriguchi</w:t>
      </w:r>
      <w:proofErr w:type="spellEnd"/>
      <w:r w:rsidRPr="004976A0">
        <w:rPr>
          <w:iCs/>
          <w:sz w:val="22"/>
          <w:szCs w:val="22"/>
          <w:lang w:val="en-NZ"/>
        </w:rPr>
        <w:t xml:space="preserve">, Takashi Kurosaki and other members of </w:t>
      </w:r>
      <w:proofErr w:type="spellStart"/>
      <w:r w:rsidRPr="004976A0">
        <w:rPr>
          <w:iCs/>
          <w:sz w:val="22"/>
          <w:szCs w:val="22"/>
          <w:lang w:val="en-NZ"/>
        </w:rPr>
        <w:t>Hitotsubashi</w:t>
      </w:r>
      <w:proofErr w:type="spellEnd"/>
      <w:r w:rsidRPr="004976A0">
        <w:rPr>
          <w:iCs/>
          <w:sz w:val="22"/>
          <w:szCs w:val="22"/>
          <w:lang w:val="en-NZ"/>
        </w:rPr>
        <w:t xml:space="preserve"> University’s Institute of Economic Research, as well as seminar participants at </w:t>
      </w:r>
      <w:proofErr w:type="spellStart"/>
      <w:r w:rsidRPr="004976A0">
        <w:rPr>
          <w:iCs/>
          <w:sz w:val="22"/>
          <w:szCs w:val="22"/>
          <w:lang w:val="en-NZ"/>
        </w:rPr>
        <w:t>Waseda</w:t>
      </w:r>
      <w:proofErr w:type="spellEnd"/>
      <w:r w:rsidRPr="004976A0">
        <w:rPr>
          <w:iCs/>
          <w:sz w:val="22"/>
          <w:szCs w:val="22"/>
          <w:lang w:val="en-NZ"/>
        </w:rPr>
        <w:t xml:space="preserve"> University, for their insightful comments. </w:t>
      </w:r>
      <w:r w:rsidR="008C7D19">
        <w:rPr>
          <w:b/>
        </w:rPr>
        <w:br w:type="page"/>
      </w:r>
    </w:p>
    <w:p w:rsidR="00E14A56" w:rsidRDefault="00CB7107">
      <w:pPr>
        <w:tabs>
          <w:tab w:val="left" w:pos="9781"/>
        </w:tabs>
        <w:spacing w:after="0"/>
        <w:ind w:right="82"/>
        <w:jc w:val="both"/>
        <w:rPr>
          <w:b/>
        </w:rPr>
      </w:pPr>
      <w:r>
        <w:rPr>
          <w:b/>
        </w:rPr>
        <w:lastRenderedPageBreak/>
        <w:t xml:space="preserve">1.  </w:t>
      </w:r>
      <w:r w:rsidR="002D34E7" w:rsidRPr="002D34E7">
        <w:rPr>
          <w:b/>
        </w:rPr>
        <w:t>Introduction</w:t>
      </w:r>
    </w:p>
    <w:p w:rsidR="00E14A56" w:rsidRDefault="00E14A56">
      <w:pPr>
        <w:tabs>
          <w:tab w:val="left" w:pos="9781"/>
        </w:tabs>
        <w:spacing w:after="0"/>
        <w:ind w:right="82"/>
        <w:jc w:val="both"/>
        <w:rPr>
          <w:b/>
          <w:sz w:val="12"/>
          <w:szCs w:val="12"/>
        </w:rPr>
      </w:pPr>
    </w:p>
    <w:p w:rsidR="008D3750" w:rsidRDefault="00455D6D" w:rsidP="008C7D19">
      <w:pPr>
        <w:tabs>
          <w:tab w:val="left" w:pos="9781"/>
        </w:tabs>
        <w:spacing w:after="0"/>
        <w:ind w:right="82"/>
        <w:jc w:val="both"/>
        <w:rPr>
          <w:szCs w:val="24"/>
        </w:rPr>
      </w:pPr>
      <w:r>
        <w:t>Recent discussions of economic growth have shifted from exploring long-run, mean determinants</w:t>
      </w:r>
      <w:r w:rsidR="007803A4">
        <w:t>, where capital and technology have assumed pivotal roles,</w:t>
      </w:r>
      <w:r>
        <w:t xml:space="preserve"> to investigating abrupt changes in the short-run. Pritchett (2000) notes that a single time trend fails to adequately explain the path of per capita GDP in most de</w:t>
      </w:r>
      <w:r w:rsidR="008F7379">
        <w:t>veloping countries,</w:t>
      </w:r>
      <w:r>
        <w:t xml:space="preserve"> given that </w:t>
      </w:r>
      <w:r w:rsidR="00D60B1B">
        <w:t>vari</w:t>
      </w:r>
      <w:r>
        <w:t>ability in a country’s growth rate over time may be very large. Yet economic development benefits from sustained, stable growth – the large economic growth literature that has focused on mean growth has mainly ignored growth rate volatility and therefore the factors that may undermine people’s living standards (</w:t>
      </w:r>
      <w:proofErr w:type="spellStart"/>
      <w:r>
        <w:t>Mobarak</w:t>
      </w:r>
      <w:proofErr w:type="spellEnd"/>
      <w:r>
        <w:t xml:space="preserve"> 2005). Thus, research</w:t>
      </w:r>
      <w:r>
        <w:rPr>
          <w:vertAlign w:val="superscript"/>
        </w:rPr>
        <w:t xml:space="preserve"> </w:t>
      </w:r>
      <w:r>
        <w:t>into what initiates or ends episodes of growth is likely to have high payoffs (Pritchett 2000</w:t>
      </w:r>
      <w:r w:rsidR="002C3F2D">
        <w:t>). This point is no more stark than in the reform experience of perhaps the most important developing country today – China. Even the last 20 or so years have seen far-reaching swings in China’s political and economic institutions</w:t>
      </w:r>
      <w:r w:rsidR="007803A4">
        <w:t xml:space="preserve"> that influence growth episodes</w:t>
      </w:r>
      <w:r w:rsidR="002C3F2D">
        <w:t>, as we</w:t>
      </w:r>
      <w:r w:rsidR="005D708A">
        <w:t>ll as huge transfers of labor</w:t>
      </w:r>
      <w:r w:rsidR="00150187">
        <w:t xml:space="preserve"> as</w:t>
      </w:r>
      <w:r w:rsidR="005D708A">
        <w:t xml:space="preserve"> the</w:t>
      </w:r>
      <w:r w:rsidR="00150187">
        <w:t xml:space="preserve"> rules of the game</w:t>
      </w:r>
      <w:r w:rsidR="002C3F2D">
        <w:t xml:space="preserve"> have changed. These swings have resulted in growth </w:t>
      </w:r>
      <w:r w:rsidR="009D01B1">
        <w:t>rate changes</w:t>
      </w:r>
      <w:r w:rsidR="002C3F2D">
        <w:t xml:space="preserve"> within </w:t>
      </w:r>
      <w:r w:rsidR="00150187">
        <w:t>important</w:t>
      </w:r>
      <w:r w:rsidR="00D706D6">
        <w:t xml:space="preserve"> </w:t>
      </w:r>
      <w:r w:rsidR="002C3F2D">
        <w:t xml:space="preserve">sectors </w:t>
      </w:r>
      <w:r w:rsidR="00D706D6">
        <w:t>such as industry</w:t>
      </w:r>
      <w:r w:rsidR="002C3F2D">
        <w:t>. Yet little research</w:t>
      </w:r>
      <w:r w:rsidR="00F64F3A">
        <w:t xml:space="preserve"> has been undertaken to answer</w:t>
      </w:r>
      <w:r w:rsidR="00AC4A34">
        <w:t xml:space="preserve"> key question</w:t>
      </w:r>
      <w:r w:rsidR="00F64F3A">
        <w:t>s such as</w:t>
      </w:r>
      <w:r w:rsidR="00AC4A34">
        <w:t xml:space="preserve">: </w:t>
      </w:r>
      <w:r w:rsidR="00D60B1B">
        <w:rPr>
          <w:lang w:val="af-ZA"/>
        </w:rPr>
        <w:t>H</w:t>
      </w:r>
      <w:r w:rsidR="00AC4A34" w:rsidRPr="00814FC3">
        <w:rPr>
          <w:lang w:val="af-ZA"/>
        </w:rPr>
        <w:t>as China’s industrial output</w:t>
      </w:r>
      <w:r w:rsidR="00AC4A34">
        <w:rPr>
          <w:lang w:val="af-ZA"/>
        </w:rPr>
        <w:t xml:space="preserve"> </w:t>
      </w:r>
      <w:r w:rsidR="007803A4">
        <w:rPr>
          <w:lang w:val="af-ZA"/>
        </w:rPr>
        <w:t>growth episodes</w:t>
      </w:r>
      <w:r w:rsidR="00AC4A34">
        <w:rPr>
          <w:lang w:val="af-ZA"/>
        </w:rPr>
        <w:t xml:space="preserve"> a</w:t>
      </w:r>
      <w:r w:rsidR="00AC4A34" w:rsidRPr="00814FC3">
        <w:rPr>
          <w:lang w:val="af-ZA"/>
        </w:rPr>
        <w:t xml:space="preserve">risen more from </w:t>
      </w:r>
      <w:r w:rsidR="00687060">
        <w:rPr>
          <w:lang w:val="af-ZA"/>
        </w:rPr>
        <w:t>cha</w:t>
      </w:r>
      <w:r w:rsidR="00AC4A34">
        <w:rPr>
          <w:lang w:val="af-ZA"/>
        </w:rPr>
        <w:t xml:space="preserve">nges in </w:t>
      </w:r>
      <w:r w:rsidR="00AC4A34" w:rsidRPr="00814FC3">
        <w:rPr>
          <w:lang w:val="af-ZA"/>
        </w:rPr>
        <w:t>instit</w:t>
      </w:r>
      <w:r w:rsidR="00AC4A34">
        <w:rPr>
          <w:lang w:val="af-ZA"/>
        </w:rPr>
        <w:t>utional factors,</w:t>
      </w:r>
      <w:r w:rsidR="009D01B1">
        <w:rPr>
          <w:lang w:val="af-ZA"/>
        </w:rPr>
        <w:t xml:space="preserve"> from changes in resource constraints,</w:t>
      </w:r>
      <w:r w:rsidR="00AC4A34">
        <w:rPr>
          <w:lang w:val="af-ZA"/>
        </w:rPr>
        <w:t xml:space="preserve"> or from linkages with other sectors, such as agriculture, that themselves exhibit growth volatitily</w:t>
      </w:r>
      <w:r w:rsidR="00AC4A34" w:rsidRPr="00814FC3">
        <w:rPr>
          <w:lang w:val="af-ZA"/>
        </w:rPr>
        <w:t>?</w:t>
      </w:r>
      <w:r w:rsidR="00AC4A34">
        <w:t xml:space="preserve"> </w:t>
      </w:r>
      <w:r w:rsidR="00717340">
        <w:rPr>
          <w:szCs w:val="24"/>
        </w:rPr>
        <w:t>For pol</w:t>
      </w:r>
      <w:r w:rsidR="00AC4A34">
        <w:rPr>
          <w:szCs w:val="24"/>
        </w:rPr>
        <w:t>icy purposes</w:t>
      </w:r>
      <w:r w:rsidR="00150187">
        <w:rPr>
          <w:szCs w:val="24"/>
        </w:rPr>
        <w:t xml:space="preserve"> the answer to</w:t>
      </w:r>
      <w:r w:rsidR="00E060D1">
        <w:rPr>
          <w:szCs w:val="24"/>
        </w:rPr>
        <w:t xml:space="preserve"> th</w:t>
      </w:r>
      <w:r w:rsidR="006579DC">
        <w:rPr>
          <w:szCs w:val="24"/>
        </w:rPr>
        <w:t>is</w:t>
      </w:r>
      <w:r w:rsidR="00150187">
        <w:rPr>
          <w:szCs w:val="24"/>
        </w:rPr>
        <w:t xml:space="preserve"> question</w:t>
      </w:r>
      <w:r w:rsidR="006579DC">
        <w:rPr>
          <w:szCs w:val="24"/>
        </w:rPr>
        <w:t xml:space="preserve"> is</w:t>
      </w:r>
      <w:r w:rsidR="00150187">
        <w:rPr>
          <w:szCs w:val="24"/>
        </w:rPr>
        <w:t xml:space="preserve"> </w:t>
      </w:r>
      <w:r w:rsidR="00D60B1B">
        <w:rPr>
          <w:szCs w:val="24"/>
        </w:rPr>
        <w:t>cruci</w:t>
      </w:r>
      <w:r w:rsidR="00150187">
        <w:rPr>
          <w:szCs w:val="24"/>
        </w:rPr>
        <w:t>al</w:t>
      </w:r>
      <w:r w:rsidR="00AC4A34">
        <w:rPr>
          <w:szCs w:val="24"/>
        </w:rPr>
        <w:t>,</w:t>
      </w:r>
      <w:r w:rsidR="00B45FD4">
        <w:rPr>
          <w:szCs w:val="24"/>
        </w:rPr>
        <w:t xml:space="preserve"> </w:t>
      </w:r>
      <w:r w:rsidR="00E060D1">
        <w:rPr>
          <w:szCs w:val="24"/>
        </w:rPr>
        <w:t>especial</w:t>
      </w:r>
      <w:r w:rsidR="00B45FD4">
        <w:rPr>
          <w:szCs w:val="24"/>
        </w:rPr>
        <w:t>ly</w:t>
      </w:r>
      <w:r w:rsidR="005D708A">
        <w:rPr>
          <w:szCs w:val="24"/>
        </w:rPr>
        <w:t xml:space="preserve"> if we</w:t>
      </w:r>
      <w:r w:rsidR="00503C7E">
        <w:rPr>
          <w:szCs w:val="24"/>
        </w:rPr>
        <w:t xml:space="preserve"> are to le</w:t>
      </w:r>
      <w:r w:rsidR="00150187">
        <w:rPr>
          <w:szCs w:val="24"/>
        </w:rPr>
        <w:t>arn from the Chinese experience</w:t>
      </w:r>
      <w:r w:rsidR="00717340">
        <w:rPr>
          <w:szCs w:val="24"/>
        </w:rPr>
        <w:t xml:space="preserve">. </w:t>
      </w:r>
    </w:p>
    <w:p w:rsidR="00D76932" w:rsidRDefault="00D76932" w:rsidP="008C7D19">
      <w:pPr>
        <w:tabs>
          <w:tab w:val="left" w:pos="9781"/>
        </w:tabs>
        <w:spacing w:after="0"/>
        <w:ind w:right="82"/>
        <w:jc w:val="both"/>
      </w:pPr>
    </w:p>
    <w:p w:rsidR="00744261" w:rsidRDefault="00E670BD" w:rsidP="008C7D19">
      <w:pPr>
        <w:tabs>
          <w:tab w:val="left" w:pos="9781"/>
        </w:tabs>
        <w:spacing w:after="0"/>
        <w:ind w:right="82"/>
        <w:jc w:val="both"/>
        <w:rPr>
          <w:rFonts w:eastAsia="Calibri"/>
          <w:szCs w:val="24"/>
          <w:lang w:val="en-NZ"/>
        </w:rPr>
      </w:pPr>
      <w:r>
        <w:rPr>
          <w:szCs w:val="24"/>
        </w:rPr>
        <w:t xml:space="preserve">     </w:t>
      </w:r>
      <w:r w:rsidR="004568EF">
        <w:rPr>
          <w:szCs w:val="24"/>
        </w:rPr>
        <w:t>T</w:t>
      </w:r>
      <w:r>
        <w:rPr>
          <w:szCs w:val="24"/>
        </w:rPr>
        <w:t>o a</w:t>
      </w:r>
      <w:r w:rsidR="00B45FD4">
        <w:rPr>
          <w:szCs w:val="24"/>
        </w:rPr>
        <w:t>ddress</w:t>
      </w:r>
      <w:r>
        <w:rPr>
          <w:szCs w:val="24"/>
        </w:rPr>
        <w:t xml:space="preserve"> the</w:t>
      </w:r>
      <w:r w:rsidR="003E4246">
        <w:rPr>
          <w:szCs w:val="24"/>
        </w:rPr>
        <w:t>se</w:t>
      </w:r>
      <w:r>
        <w:rPr>
          <w:szCs w:val="24"/>
        </w:rPr>
        <w:t xml:space="preserve"> question</w:t>
      </w:r>
      <w:r w:rsidR="005D708A">
        <w:rPr>
          <w:szCs w:val="24"/>
        </w:rPr>
        <w:t>s</w:t>
      </w:r>
      <w:r>
        <w:rPr>
          <w:szCs w:val="24"/>
        </w:rPr>
        <w:t xml:space="preserve"> we must turn to data. Yet a</w:t>
      </w:r>
      <w:r w:rsidR="00B45FD4">
        <w:rPr>
          <w:szCs w:val="24"/>
        </w:rPr>
        <w:t>n</w:t>
      </w:r>
      <w:r w:rsidR="00150187">
        <w:rPr>
          <w:szCs w:val="24"/>
        </w:rPr>
        <w:t xml:space="preserve"> extensive</w:t>
      </w:r>
      <w:r>
        <w:rPr>
          <w:szCs w:val="24"/>
        </w:rPr>
        <w:t xml:space="preserve"> examination of</w:t>
      </w:r>
      <w:r w:rsidR="00B45FD4">
        <w:rPr>
          <w:szCs w:val="24"/>
        </w:rPr>
        <w:t xml:space="preserve"> China’s</w:t>
      </w:r>
      <w:r w:rsidR="00150187">
        <w:rPr>
          <w:szCs w:val="24"/>
        </w:rPr>
        <w:t xml:space="preserve"> sources, such as</w:t>
      </w:r>
      <w:r>
        <w:rPr>
          <w:szCs w:val="24"/>
        </w:rPr>
        <w:t xml:space="preserve"> statistical yearbooks</w:t>
      </w:r>
      <w:r w:rsidR="00150187">
        <w:rPr>
          <w:szCs w:val="24"/>
        </w:rPr>
        <w:t>,</w:t>
      </w:r>
      <w:r>
        <w:rPr>
          <w:szCs w:val="24"/>
        </w:rPr>
        <w:t xml:space="preserve"> reveals data on </w:t>
      </w:r>
      <w:r w:rsidR="00B45FD4">
        <w:rPr>
          <w:szCs w:val="24"/>
        </w:rPr>
        <w:t xml:space="preserve">standard inputs and </w:t>
      </w:r>
      <w:r>
        <w:rPr>
          <w:szCs w:val="24"/>
        </w:rPr>
        <w:t xml:space="preserve">outputs, but nothing on </w:t>
      </w:r>
      <w:r w:rsidR="009D01B1">
        <w:rPr>
          <w:szCs w:val="24"/>
        </w:rPr>
        <w:t>the strength</w:t>
      </w:r>
      <w:r>
        <w:rPr>
          <w:szCs w:val="24"/>
        </w:rPr>
        <w:t xml:space="preserve"> of institutional </w:t>
      </w:r>
      <w:r w:rsidR="00ED5CB6">
        <w:rPr>
          <w:szCs w:val="24"/>
        </w:rPr>
        <w:t xml:space="preserve">and policy </w:t>
      </w:r>
      <w:r>
        <w:rPr>
          <w:szCs w:val="24"/>
        </w:rPr>
        <w:t>settings. Thus, researchers and policy-makers</w:t>
      </w:r>
      <w:r w:rsidR="00150187">
        <w:rPr>
          <w:szCs w:val="24"/>
        </w:rPr>
        <w:t xml:space="preserve"> on China (and similar</w:t>
      </w:r>
      <w:r w:rsidR="00B45FD4">
        <w:rPr>
          <w:szCs w:val="24"/>
        </w:rPr>
        <w:t xml:space="preserve"> developing economies</w:t>
      </w:r>
      <w:r w:rsidR="00150187">
        <w:rPr>
          <w:szCs w:val="24"/>
        </w:rPr>
        <w:t>)</w:t>
      </w:r>
      <w:r>
        <w:rPr>
          <w:szCs w:val="24"/>
        </w:rPr>
        <w:t xml:space="preserve"> face a</w:t>
      </w:r>
      <w:r w:rsidR="00B45FD4">
        <w:rPr>
          <w:szCs w:val="24"/>
        </w:rPr>
        <w:t xml:space="preserve"> common</w:t>
      </w:r>
      <w:r>
        <w:rPr>
          <w:szCs w:val="24"/>
        </w:rPr>
        <w:t xml:space="preserve"> obstacle: </w:t>
      </w:r>
      <w:r w:rsidR="004568EF">
        <w:rPr>
          <w:szCs w:val="24"/>
        </w:rPr>
        <w:t>i</w:t>
      </w:r>
      <w:r>
        <w:rPr>
          <w:szCs w:val="24"/>
        </w:rPr>
        <w:t xml:space="preserve">f institutions </w:t>
      </w:r>
      <w:r w:rsidR="006579DC">
        <w:rPr>
          <w:szCs w:val="24"/>
        </w:rPr>
        <w:t>seem</w:t>
      </w:r>
      <w:r>
        <w:rPr>
          <w:szCs w:val="24"/>
        </w:rPr>
        <w:t xml:space="preserve"> important</w:t>
      </w:r>
      <w:r w:rsidR="006579DC">
        <w:rPr>
          <w:szCs w:val="24"/>
        </w:rPr>
        <w:t xml:space="preserve"> and volatile</w:t>
      </w:r>
      <w:r>
        <w:rPr>
          <w:szCs w:val="24"/>
        </w:rPr>
        <w:t>, but data on the</w:t>
      </w:r>
      <w:r w:rsidR="00774C19">
        <w:rPr>
          <w:szCs w:val="24"/>
        </w:rPr>
        <w:t>ir impacts</w:t>
      </w:r>
      <w:r>
        <w:rPr>
          <w:szCs w:val="24"/>
        </w:rPr>
        <w:t xml:space="preserve"> cannot be</w:t>
      </w:r>
      <w:r w:rsidR="004568EF">
        <w:rPr>
          <w:szCs w:val="24"/>
        </w:rPr>
        <w:t xml:space="preserve"> readily</w:t>
      </w:r>
      <w:r w:rsidR="00150187">
        <w:rPr>
          <w:szCs w:val="24"/>
        </w:rPr>
        <w:t xml:space="preserve"> found, how can</w:t>
      </w:r>
      <w:r>
        <w:rPr>
          <w:szCs w:val="24"/>
        </w:rPr>
        <w:t xml:space="preserve"> they </w:t>
      </w:r>
      <w:r w:rsidR="005D708A">
        <w:rPr>
          <w:szCs w:val="24"/>
        </w:rPr>
        <w:t>really know</w:t>
      </w:r>
      <w:r w:rsidR="00150187">
        <w:rPr>
          <w:szCs w:val="24"/>
        </w:rPr>
        <w:t xml:space="preserve"> that</w:t>
      </w:r>
      <w:r w:rsidR="00B45FD4">
        <w:rPr>
          <w:szCs w:val="24"/>
        </w:rPr>
        <w:t xml:space="preserve"> institutions matter</w:t>
      </w:r>
      <w:r w:rsidR="00D706D6">
        <w:rPr>
          <w:szCs w:val="24"/>
        </w:rPr>
        <w:t>?</w:t>
      </w:r>
      <w:r>
        <w:rPr>
          <w:szCs w:val="24"/>
        </w:rPr>
        <w:t xml:space="preserve"> </w:t>
      </w:r>
      <w:r w:rsidR="00392F34">
        <w:rPr>
          <w:szCs w:val="24"/>
        </w:rPr>
        <w:t>Past studies in this regard have invo</w:t>
      </w:r>
      <w:r w:rsidR="000850E8">
        <w:rPr>
          <w:szCs w:val="24"/>
        </w:rPr>
        <w:t>ked additional,</w:t>
      </w:r>
      <w:r w:rsidR="00392F34">
        <w:rPr>
          <w:szCs w:val="24"/>
        </w:rPr>
        <w:t xml:space="preserve"> compl</w:t>
      </w:r>
      <w:r w:rsidR="000850E8">
        <w:rPr>
          <w:szCs w:val="24"/>
        </w:rPr>
        <w:t>ex</w:t>
      </w:r>
      <w:r w:rsidR="00392F34">
        <w:rPr>
          <w:szCs w:val="24"/>
        </w:rPr>
        <w:t xml:space="preserve"> </w:t>
      </w:r>
      <w:r w:rsidR="000850E8">
        <w:rPr>
          <w:szCs w:val="24"/>
        </w:rPr>
        <w:t>step</w:t>
      </w:r>
      <w:r w:rsidR="00392F34">
        <w:rPr>
          <w:szCs w:val="24"/>
        </w:rPr>
        <w:t xml:space="preserve">s. Kwan and Chow (1996) </w:t>
      </w:r>
      <w:r w:rsidR="000850E8">
        <w:rPr>
          <w:rFonts w:eastAsia="Calibri"/>
          <w:szCs w:val="24"/>
          <w:lang w:val="en-NZ"/>
        </w:rPr>
        <w:t>build</w:t>
      </w:r>
      <w:r w:rsidR="00392F34" w:rsidRPr="00392F34">
        <w:rPr>
          <w:rFonts w:eastAsia="Calibri"/>
          <w:szCs w:val="24"/>
          <w:lang w:val="en-NZ"/>
        </w:rPr>
        <w:t xml:space="preserve"> an econometric model</w:t>
      </w:r>
      <w:r w:rsidR="00392F34">
        <w:rPr>
          <w:szCs w:val="24"/>
        </w:rPr>
        <w:t xml:space="preserve"> </w:t>
      </w:r>
      <w:r w:rsidR="000850E8">
        <w:rPr>
          <w:rFonts w:eastAsia="Calibri"/>
          <w:szCs w:val="24"/>
        </w:rPr>
        <w:t>of</w:t>
      </w:r>
      <w:r w:rsidR="000850E8">
        <w:rPr>
          <w:rFonts w:eastAsia="Calibri"/>
          <w:szCs w:val="24"/>
          <w:lang w:val="en-NZ"/>
        </w:rPr>
        <w:t xml:space="preserve"> growth in</w:t>
      </w:r>
      <w:r w:rsidR="00392F34" w:rsidRPr="00392F34">
        <w:rPr>
          <w:rFonts w:eastAsia="Calibri"/>
          <w:szCs w:val="24"/>
          <w:lang w:val="en-NZ"/>
        </w:rPr>
        <w:t xml:space="preserve"> the Chine</w:t>
      </w:r>
      <w:r w:rsidR="000850E8">
        <w:rPr>
          <w:rFonts w:eastAsia="Calibri"/>
          <w:szCs w:val="24"/>
          <w:lang w:val="en-NZ"/>
        </w:rPr>
        <w:t>se economy to include major political</w:t>
      </w:r>
      <w:r w:rsidR="00392F34" w:rsidRPr="00392F34">
        <w:rPr>
          <w:rFonts w:eastAsia="Calibri"/>
          <w:szCs w:val="24"/>
          <w:lang w:val="en-NZ"/>
        </w:rPr>
        <w:t xml:space="preserve"> shocks</w:t>
      </w:r>
      <w:r w:rsidR="000850E8">
        <w:rPr>
          <w:rFonts w:eastAsia="Calibri"/>
          <w:szCs w:val="24"/>
          <w:lang w:val="en-NZ"/>
        </w:rPr>
        <w:t>. When t</w:t>
      </w:r>
      <w:r w:rsidR="00392F34" w:rsidRPr="00392F34">
        <w:rPr>
          <w:rFonts w:eastAsia="Calibri"/>
          <w:szCs w:val="24"/>
          <w:lang w:val="en-NZ"/>
        </w:rPr>
        <w:t>he shocks are</w:t>
      </w:r>
      <w:r w:rsidR="000850E8">
        <w:rPr>
          <w:rFonts w:eastAsia="Calibri"/>
          <w:szCs w:val="24"/>
          <w:lang w:val="en-NZ"/>
        </w:rPr>
        <w:t xml:space="preserve"> removed,</w:t>
      </w:r>
      <w:r w:rsidR="00392F34" w:rsidRPr="00392F34">
        <w:rPr>
          <w:rFonts w:eastAsia="Calibri"/>
          <w:szCs w:val="24"/>
          <w:lang w:val="en-NZ"/>
        </w:rPr>
        <w:t xml:space="preserve"> the</w:t>
      </w:r>
      <w:r w:rsidR="00392F34">
        <w:rPr>
          <w:szCs w:val="24"/>
        </w:rPr>
        <w:t xml:space="preserve"> </w:t>
      </w:r>
      <w:r w:rsidR="000850E8">
        <w:rPr>
          <w:rFonts w:eastAsia="Calibri"/>
          <w:szCs w:val="24"/>
          <w:lang w:val="en-NZ"/>
        </w:rPr>
        <w:t>hypothetical</w:t>
      </w:r>
      <w:r w:rsidR="00392F34" w:rsidRPr="00392F34">
        <w:rPr>
          <w:rFonts w:eastAsia="Calibri"/>
          <w:szCs w:val="24"/>
          <w:lang w:val="en-NZ"/>
        </w:rPr>
        <w:t xml:space="preserve"> paths</w:t>
      </w:r>
      <w:r w:rsidR="000850E8">
        <w:rPr>
          <w:rFonts w:eastAsia="Calibri"/>
          <w:szCs w:val="24"/>
          <w:lang w:val="en-NZ"/>
        </w:rPr>
        <w:t xml:space="preserve"> of the economy are derived</w:t>
      </w:r>
      <w:r w:rsidR="00392F34">
        <w:rPr>
          <w:szCs w:val="24"/>
        </w:rPr>
        <w:t xml:space="preserve"> </w:t>
      </w:r>
      <w:r w:rsidR="005D708A">
        <w:rPr>
          <w:rFonts w:eastAsia="Calibri"/>
          <w:szCs w:val="24"/>
          <w:lang w:val="en-NZ"/>
        </w:rPr>
        <w:t>from the model; comparing them</w:t>
      </w:r>
      <w:r w:rsidR="00392F34" w:rsidRPr="00392F34">
        <w:rPr>
          <w:rFonts w:eastAsia="Calibri"/>
          <w:szCs w:val="24"/>
          <w:lang w:val="en-NZ"/>
        </w:rPr>
        <w:t xml:space="preserve"> with the</w:t>
      </w:r>
      <w:r w:rsidR="005D708A">
        <w:rPr>
          <w:rFonts w:eastAsia="Calibri"/>
          <w:szCs w:val="24"/>
          <w:lang w:val="en-NZ"/>
        </w:rPr>
        <w:t xml:space="preserve"> actual</w:t>
      </w:r>
      <w:r w:rsidR="00392F34" w:rsidRPr="00392F34">
        <w:rPr>
          <w:rFonts w:eastAsia="Calibri"/>
          <w:szCs w:val="24"/>
          <w:lang w:val="en-NZ"/>
        </w:rPr>
        <w:t xml:space="preserve"> time paths</w:t>
      </w:r>
      <w:r w:rsidR="000850E8">
        <w:rPr>
          <w:rFonts w:eastAsia="Calibri"/>
          <w:szCs w:val="24"/>
          <w:lang w:val="en-NZ"/>
        </w:rPr>
        <w:t xml:space="preserve"> </w:t>
      </w:r>
      <w:r w:rsidR="00263AF2">
        <w:rPr>
          <w:rFonts w:eastAsia="Calibri"/>
          <w:szCs w:val="24"/>
          <w:lang w:val="en-NZ"/>
        </w:rPr>
        <w:t>reveals the impact of adverse political institutions</w:t>
      </w:r>
      <w:r w:rsidR="00392F34" w:rsidRPr="00392F34">
        <w:rPr>
          <w:rFonts w:eastAsia="Calibri"/>
          <w:szCs w:val="24"/>
          <w:lang w:val="en-NZ"/>
        </w:rPr>
        <w:t>.</w:t>
      </w:r>
      <w:r w:rsidR="00D1522A">
        <w:rPr>
          <w:rFonts w:eastAsia="Calibri"/>
          <w:szCs w:val="24"/>
          <w:lang w:val="en-NZ"/>
        </w:rPr>
        <w:t xml:space="preserve"> But such an approach lends itself to large, discrete shocks. In contrast, reforming developing economies may be subject to numerous, continual insti</w:t>
      </w:r>
      <w:r w:rsidR="005D708A">
        <w:rPr>
          <w:rFonts w:eastAsia="Calibri"/>
          <w:szCs w:val="24"/>
          <w:lang w:val="en-NZ"/>
        </w:rPr>
        <w:t>tutional/policy change</w:t>
      </w:r>
      <w:r w:rsidR="00290A37">
        <w:rPr>
          <w:rFonts w:eastAsia="Calibri"/>
          <w:szCs w:val="24"/>
          <w:lang w:val="en-NZ"/>
        </w:rPr>
        <w:t>s of varyin</w:t>
      </w:r>
      <w:r w:rsidR="00D1522A">
        <w:rPr>
          <w:rFonts w:eastAsia="Calibri"/>
          <w:szCs w:val="24"/>
          <w:lang w:val="en-NZ"/>
        </w:rPr>
        <w:t>g magnitude. Coping with shocks of this nature makes onerous demands on the data, especially if</w:t>
      </w:r>
      <w:r w:rsidR="00610887">
        <w:rPr>
          <w:rFonts w:eastAsia="Calibri"/>
          <w:szCs w:val="24"/>
          <w:lang w:val="en-NZ"/>
        </w:rPr>
        <w:t xml:space="preserve"> alternatively</w:t>
      </w:r>
      <w:r w:rsidR="00D1522A">
        <w:rPr>
          <w:rFonts w:eastAsia="Calibri"/>
          <w:szCs w:val="24"/>
          <w:lang w:val="en-NZ"/>
        </w:rPr>
        <w:t xml:space="preserve"> they are modelled as dummies in the regressions.</w:t>
      </w:r>
      <w:r w:rsidR="00497F1C">
        <w:rPr>
          <w:rFonts w:eastAsia="Calibri"/>
          <w:szCs w:val="24"/>
          <w:lang w:val="en-NZ"/>
        </w:rPr>
        <w:t xml:space="preserve"> Employing proxy variables may be useful, but such data are not always</w:t>
      </w:r>
      <w:r w:rsidR="00316DD3">
        <w:rPr>
          <w:rFonts w:eastAsia="Calibri"/>
          <w:szCs w:val="24"/>
          <w:lang w:val="en-NZ"/>
        </w:rPr>
        <w:t xml:space="preserve"> at hand</w:t>
      </w:r>
      <w:commentRangeStart w:id="1"/>
      <w:r w:rsidR="00316DD3">
        <w:rPr>
          <w:rFonts w:eastAsia="Calibri"/>
          <w:szCs w:val="24"/>
          <w:lang w:val="en-NZ"/>
        </w:rPr>
        <w:t>.</w:t>
      </w:r>
      <w:commentRangeEnd w:id="1"/>
      <w:r w:rsidR="00316DD3">
        <w:rPr>
          <w:rStyle w:val="CommentReference"/>
        </w:rPr>
        <w:commentReference w:id="1"/>
      </w:r>
    </w:p>
    <w:p w:rsidR="00D76932" w:rsidRPr="005D708A" w:rsidRDefault="00D76932" w:rsidP="008C7D19">
      <w:pPr>
        <w:tabs>
          <w:tab w:val="left" w:pos="9781"/>
        </w:tabs>
        <w:spacing w:after="0"/>
        <w:ind w:right="82"/>
        <w:jc w:val="both"/>
        <w:rPr>
          <w:rFonts w:eastAsia="Calibri"/>
          <w:szCs w:val="24"/>
          <w:lang w:val="en-NZ"/>
        </w:rPr>
      </w:pPr>
    </w:p>
    <w:p w:rsidR="00D84547" w:rsidRDefault="00150187" w:rsidP="008C7D19">
      <w:pPr>
        <w:tabs>
          <w:tab w:val="left" w:pos="9781"/>
        </w:tabs>
        <w:spacing w:after="0"/>
        <w:ind w:right="82"/>
        <w:jc w:val="both"/>
      </w:pPr>
      <w:r>
        <w:t xml:space="preserve">     Still,</w:t>
      </w:r>
      <w:r w:rsidR="005D708A">
        <w:t xml:space="preserve"> time series output</w:t>
      </w:r>
      <w:r w:rsidR="00B45FD4">
        <w:t xml:space="preserve"> of industry</w:t>
      </w:r>
      <w:r w:rsidR="005015FE">
        <w:t xml:space="preserve"> and agriculture</w:t>
      </w:r>
      <w:r>
        <w:t xml:space="preserve"> are readily available</w:t>
      </w:r>
      <w:r w:rsidR="00D84547">
        <w:t xml:space="preserve">. </w:t>
      </w:r>
      <w:r w:rsidR="00A11E09">
        <w:t>By exami</w:t>
      </w:r>
      <w:r w:rsidR="002D6474">
        <w:t>ning just the output data</w:t>
      </w:r>
      <w:r w:rsidR="00576CCF">
        <w:t xml:space="preserve"> themselves</w:t>
      </w:r>
      <w:r w:rsidR="009B7620">
        <w:t xml:space="preserve">, could they shed </w:t>
      </w:r>
      <w:r w:rsidR="005C19C4">
        <w:t xml:space="preserve">much </w:t>
      </w:r>
      <w:r w:rsidR="009B7620">
        <w:t>light on</w:t>
      </w:r>
      <w:r w:rsidR="00D84547">
        <w:t xml:space="preserve"> the </w:t>
      </w:r>
      <w:r w:rsidR="005865FB">
        <w:t xml:space="preserve">relative </w:t>
      </w:r>
      <w:r w:rsidR="00774C19">
        <w:t>influence</w:t>
      </w:r>
      <w:r w:rsidR="00E81104">
        <w:t xml:space="preserve"> </w:t>
      </w:r>
      <w:r w:rsidR="00576CCF">
        <w:t xml:space="preserve">of </w:t>
      </w:r>
      <w:r w:rsidR="00BE72AE">
        <w:t>institutional</w:t>
      </w:r>
      <w:r w:rsidR="00576CCF">
        <w:t xml:space="preserve"> factors, resource constraints</w:t>
      </w:r>
      <w:r w:rsidR="005C19C4">
        <w:t xml:space="preserve"> and agricultu</w:t>
      </w:r>
      <w:r w:rsidR="005015FE">
        <w:t>ral linkage</w:t>
      </w:r>
      <w:r w:rsidR="00E81104">
        <w:t>s</w:t>
      </w:r>
      <w:r w:rsidR="005C19C4">
        <w:t xml:space="preserve"> to industry’</w:t>
      </w:r>
      <w:r w:rsidR="00576CCF">
        <w:t>s growth</w:t>
      </w:r>
      <w:r w:rsidR="00ED5CB6">
        <w:t xml:space="preserve">, </w:t>
      </w:r>
      <w:r w:rsidR="005D2ABA">
        <w:t>for instance</w:t>
      </w:r>
      <w:r w:rsidR="00D84547">
        <w:t xml:space="preserve">? </w:t>
      </w:r>
      <w:r w:rsidR="005D708A">
        <w:t xml:space="preserve">We suggest a method by which this can be achieved, focusing on the </w:t>
      </w:r>
      <w:r w:rsidR="00D84547">
        <w:t>alge</w:t>
      </w:r>
      <w:r w:rsidR="006016AF">
        <w:t>braic de</w:t>
      </w:r>
      <w:r w:rsidR="00045762">
        <w:t>fini</w:t>
      </w:r>
      <w:r w:rsidR="006016AF">
        <w:t>tion of a</w:t>
      </w:r>
      <w:r w:rsidR="00D84547">
        <w:t xml:space="preserve"> </w:t>
      </w:r>
      <w:r w:rsidR="00CA7E19">
        <w:t xml:space="preserve">(short-run) </w:t>
      </w:r>
      <w:r w:rsidR="00D84547">
        <w:t>gro</w:t>
      </w:r>
      <w:r w:rsidR="0083384B">
        <w:t>wth rate itself</w:t>
      </w:r>
      <w:r w:rsidR="006016AF">
        <w:t xml:space="preserve">. </w:t>
      </w:r>
      <w:r w:rsidR="00FC7510">
        <w:t>Our aim is twofold: first, to explain</w:t>
      </w:r>
      <w:r w:rsidR="00D84547">
        <w:t xml:space="preserve"> how ins</w:t>
      </w:r>
      <w:r w:rsidR="00FC7510">
        <w:t>titutional</w:t>
      </w:r>
      <w:r w:rsidR="00A77BDB">
        <w:t>, resource</w:t>
      </w:r>
      <w:r w:rsidR="005D708A">
        <w:t xml:space="preserve"> and other factors can</w:t>
      </w:r>
      <w:r w:rsidR="00FC7510">
        <w:t xml:space="preserve"> be</w:t>
      </w:r>
      <w:r w:rsidR="0034663F">
        <w:t xml:space="preserve"> formally</w:t>
      </w:r>
      <w:r w:rsidR="005C19C4">
        <w:t xml:space="preserve"> </w:t>
      </w:r>
      <w:r w:rsidR="006579DC">
        <w:t>derived fro</w:t>
      </w:r>
      <w:r w:rsidR="005D2ABA">
        <w:t>m</w:t>
      </w:r>
      <w:r w:rsidR="005C19C4">
        <w:t xml:space="preserve"> a</w:t>
      </w:r>
      <w:r w:rsidR="00D84547">
        <w:t xml:space="preserve"> growth rate </w:t>
      </w:r>
      <w:r w:rsidR="00FC7510">
        <w:t>term</w:t>
      </w:r>
      <w:r w:rsidR="004C0E77">
        <w:t xml:space="preserve">; i.e., </w:t>
      </w:r>
      <w:r w:rsidR="005D2ABA">
        <w:t xml:space="preserve">embedded </w:t>
      </w:r>
      <w:r w:rsidR="004C0E77">
        <w:t xml:space="preserve">into a single </w:t>
      </w:r>
      <w:r w:rsidR="005D2ABA">
        <w:t>growth rate equation</w:t>
      </w:r>
      <w:r w:rsidR="00C340B9">
        <w:t>. Second, we will</w:t>
      </w:r>
      <w:r w:rsidR="00FC7510">
        <w:t xml:space="preserve"> </w:t>
      </w:r>
      <w:r w:rsidR="00D84547">
        <w:t>offer an emp</w:t>
      </w:r>
      <w:r w:rsidR="0034663F">
        <w:t>irical illustration of the embedding</w:t>
      </w:r>
      <w:r w:rsidR="00D84547">
        <w:t>, such that</w:t>
      </w:r>
      <w:r w:rsidR="00576CCF">
        <w:t xml:space="preserve"> the </w:t>
      </w:r>
      <w:r w:rsidR="002D6474">
        <w:t>output data</w:t>
      </w:r>
      <w:r w:rsidR="00D84547">
        <w:t xml:space="preserve"> of the two sectors</w:t>
      </w:r>
      <w:r w:rsidR="00BC502E">
        <w:t xml:space="preserve"> </w:t>
      </w:r>
      <w:r w:rsidR="00BC502E" w:rsidRPr="00BC502E">
        <w:rPr>
          <w:i/>
          <w:iCs/>
        </w:rPr>
        <w:t>solely</w:t>
      </w:r>
      <w:r w:rsidR="00D84547">
        <w:t xml:space="preserve"> </w:t>
      </w:r>
      <w:r w:rsidR="00D84547" w:rsidRPr="000E50A4">
        <w:rPr>
          <w:i/>
        </w:rPr>
        <w:t xml:space="preserve">by </w:t>
      </w:r>
      <w:r w:rsidR="00576CCF">
        <w:rPr>
          <w:i/>
        </w:rPr>
        <w:t>themselves</w:t>
      </w:r>
      <w:r w:rsidR="00C340B9">
        <w:t xml:space="preserve"> contain</w:t>
      </w:r>
      <w:r w:rsidR="00D84547">
        <w:t xml:space="preserve"> enough information to make inferences regarding the </w:t>
      </w:r>
      <w:r w:rsidR="003C36FA">
        <w:t xml:space="preserve">relative </w:t>
      </w:r>
      <w:r w:rsidR="00D84547">
        <w:t xml:space="preserve">impacts of the institutional </w:t>
      </w:r>
      <w:r w:rsidR="006579DC">
        <w:t>factors</w:t>
      </w:r>
      <w:r w:rsidR="00774C19">
        <w:t>, resource constraints,</w:t>
      </w:r>
      <w:r w:rsidR="006579DC">
        <w:t xml:space="preserve"> </w:t>
      </w:r>
      <w:r w:rsidR="00D84547">
        <w:t xml:space="preserve">and </w:t>
      </w:r>
      <w:r w:rsidR="006579DC">
        <w:t>intersectoral linkages</w:t>
      </w:r>
      <w:r w:rsidR="00D84547">
        <w:t xml:space="preserve">. </w:t>
      </w:r>
      <w:r w:rsidR="00E95378">
        <w:t>This point is important, given the limited data availability that researchers and policy-makers</w:t>
      </w:r>
      <w:r w:rsidR="00CC50CA">
        <w:t xml:space="preserve"> in</w:t>
      </w:r>
      <w:r w:rsidR="00A65660">
        <w:t xml:space="preserve"> developing countries</w:t>
      </w:r>
      <w:r w:rsidR="00E95378">
        <w:t xml:space="preserve"> often face.</w:t>
      </w:r>
      <w:r w:rsidR="00AA2BB4">
        <w:t xml:space="preserve"> As will become apparent, </w:t>
      </w:r>
      <w:r w:rsidR="005D2ABA">
        <w:t>our</w:t>
      </w:r>
      <w:r w:rsidR="00AA2BB4">
        <w:t xml:space="preserve"> two </w:t>
      </w:r>
      <w:r w:rsidR="005D2ABA">
        <w:t>aim</w:t>
      </w:r>
      <w:r w:rsidR="00AA2BB4">
        <w:t xml:space="preserve">s are </w:t>
      </w:r>
      <w:r w:rsidR="006579DC">
        <w:t>connect</w:t>
      </w:r>
      <w:r w:rsidR="00AA2BB4">
        <w:t xml:space="preserve">ed – the specific, formal structure of </w:t>
      </w:r>
      <w:r w:rsidR="00AA2BB4">
        <w:lastRenderedPageBreak/>
        <w:t>the growth rate term to be developed is precisely that which will facilitate the extraction of information about the rel</w:t>
      </w:r>
      <w:r w:rsidR="00BC502E">
        <w:t>ative role of institutions and so on</w:t>
      </w:r>
      <w:r w:rsidR="00AA2BB4">
        <w:t xml:space="preserve"> from a very limited data set.</w:t>
      </w:r>
    </w:p>
    <w:p w:rsidR="00D76932" w:rsidRDefault="00D76932" w:rsidP="008C7D19">
      <w:pPr>
        <w:tabs>
          <w:tab w:val="left" w:pos="9781"/>
        </w:tabs>
        <w:spacing w:after="0"/>
        <w:ind w:right="82"/>
        <w:jc w:val="both"/>
      </w:pPr>
    </w:p>
    <w:p w:rsidR="008D3750" w:rsidRDefault="00EB3439" w:rsidP="008C7D19">
      <w:pPr>
        <w:widowControl w:val="0"/>
        <w:ind w:right="82"/>
        <w:jc w:val="both"/>
        <w:rPr>
          <w:color w:val="000000"/>
          <w:szCs w:val="24"/>
        </w:rPr>
      </w:pPr>
      <w:r>
        <w:t xml:space="preserve">     </w:t>
      </w:r>
      <w:r>
        <w:rPr>
          <w:color w:val="000000"/>
          <w:szCs w:val="24"/>
        </w:rPr>
        <w:t>In this paper we use official Chinese data</w:t>
      </w:r>
      <w:r w:rsidR="007D0488">
        <w:rPr>
          <w:color w:val="000000"/>
          <w:szCs w:val="24"/>
        </w:rPr>
        <w:t xml:space="preserve"> to illustrate</w:t>
      </w:r>
      <w:r>
        <w:rPr>
          <w:color w:val="000000"/>
          <w:szCs w:val="24"/>
        </w:rPr>
        <w:t xml:space="preserve"> how</w:t>
      </w:r>
      <w:r w:rsidR="007D0488">
        <w:rPr>
          <w:color w:val="000000"/>
          <w:szCs w:val="24"/>
        </w:rPr>
        <w:t xml:space="preserve"> the informational content of limited, publicly available</w:t>
      </w:r>
      <w:r>
        <w:rPr>
          <w:color w:val="000000"/>
          <w:szCs w:val="24"/>
        </w:rPr>
        <w:t xml:space="preserve"> data can be extend</w:t>
      </w:r>
      <w:r w:rsidR="007D0488">
        <w:rPr>
          <w:color w:val="000000"/>
          <w:szCs w:val="24"/>
        </w:rPr>
        <w:t>ed</w:t>
      </w:r>
      <w:r>
        <w:rPr>
          <w:color w:val="000000"/>
          <w:szCs w:val="24"/>
        </w:rPr>
        <w:t xml:space="preserve">. We do believe that there are data manipulations in official data, but this is beyond </w:t>
      </w:r>
      <w:r w:rsidR="00F079A7">
        <w:rPr>
          <w:color w:val="000000"/>
          <w:szCs w:val="24"/>
        </w:rPr>
        <w:t>our</w:t>
      </w:r>
      <w:r w:rsidR="007D0488">
        <w:rPr>
          <w:color w:val="000000"/>
          <w:szCs w:val="24"/>
        </w:rPr>
        <w:t xml:space="preserve"> scope – the point</w:t>
      </w:r>
      <w:r>
        <w:rPr>
          <w:color w:val="000000"/>
          <w:szCs w:val="24"/>
        </w:rPr>
        <w:t xml:space="preserve"> </w:t>
      </w:r>
      <w:r w:rsidR="007D0488">
        <w:rPr>
          <w:color w:val="000000"/>
          <w:szCs w:val="24"/>
        </w:rPr>
        <w:t>is to reveal how standard data</w:t>
      </w:r>
      <w:r>
        <w:rPr>
          <w:color w:val="000000"/>
          <w:szCs w:val="24"/>
        </w:rPr>
        <w:t xml:space="preserve"> can offer more </w:t>
      </w:r>
      <w:r w:rsidR="00F079A7">
        <w:rPr>
          <w:color w:val="000000"/>
          <w:szCs w:val="24"/>
        </w:rPr>
        <w:t xml:space="preserve">empirical </w:t>
      </w:r>
      <w:r>
        <w:rPr>
          <w:color w:val="000000"/>
          <w:szCs w:val="24"/>
        </w:rPr>
        <w:t xml:space="preserve">insights than </w:t>
      </w:r>
      <w:r w:rsidR="00A20015">
        <w:rPr>
          <w:color w:val="000000"/>
          <w:szCs w:val="24"/>
        </w:rPr>
        <w:t>hitherto might have been expected</w:t>
      </w:r>
      <w:r w:rsidR="00F079A7">
        <w:rPr>
          <w:color w:val="000000"/>
          <w:szCs w:val="24"/>
        </w:rPr>
        <w:t xml:space="preserve">. </w:t>
      </w:r>
    </w:p>
    <w:p w:rsidR="00BE6BC8" w:rsidRPr="007D0488" w:rsidRDefault="00BE6BC8" w:rsidP="008C7D19">
      <w:pPr>
        <w:overflowPunct/>
        <w:spacing w:after="0"/>
        <w:ind w:right="82"/>
        <w:jc w:val="both"/>
        <w:textAlignment w:val="auto"/>
        <w:rPr>
          <w:b/>
          <w:bCs/>
        </w:rPr>
      </w:pPr>
    </w:p>
    <w:p w:rsidR="00B80FDD" w:rsidRDefault="008C3AD8" w:rsidP="008C7D19">
      <w:pPr>
        <w:tabs>
          <w:tab w:val="left" w:pos="9781"/>
        </w:tabs>
        <w:spacing w:after="0"/>
        <w:ind w:right="82"/>
        <w:jc w:val="both"/>
        <w:rPr>
          <w:b/>
        </w:rPr>
      </w:pPr>
      <w:r>
        <w:rPr>
          <w:b/>
        </w:rPr>
        <w:t xml:space="preserve">Basic </w:t>
      </w:r>
      <w:r w:rsidR="00153073">
        <w:rPr>
          <w:b/>
        </w:rPr>
        <w:t>P</w:t>
      </w:r>
      <w:r>
        <w:rPr>
          <w:b/>
        </w:rPr>
        <w:t>remises</w:t>
      </w:r>
    </w:p>
    <w:p w:rsidR="00153073" w:rsidRPr="00153073" w:rsidRDefault="00153073" w:rsidP="008C7D19">
      <w:pPr>
        <w:tabs>
          <w:tab w:val="left" w:pos="9781"/>
        </w:tabs>
        <w:spacing w:after="0"/>
        <w:ind w:right="82"/>
        <w:jc w:val="both"/>
        <w:rPr>
          <w:b/>
          <w:sz w:val="12"/>
          <w:szCs w:val="12"/>
        </w:rPr>
      </w:pPr>
    </w:p>
    <w:p w:rsidR="002D6474" w:rsidRDefault="002D6474" w:rsidP="008C7D19">
      <w:pPr>
        <w:tabs>
          <w:tab w:val="left" w:pos="9781"/>
        </w:tabs>
        <w:spacing w:after="0"/>
        <w:ind w:right="82"/>
        <w:jc w:val="both"/>
      </w:pPr>
      <w:r>
        <w:t>The key to understanding our approach is to consider the implications of a statement such as: ‘the grow</w:t>
      </w:r>
      <w:r w:rsidR="00511035">
        <w:t>th rate of industry</w:t>
      </w:r>
      <w:r w:rsidR="003A7800">
        <w:t xml:space="preserve"> is 14.4</w:t>
      </w:r>
      <w:r>
        <w:t xml:space="preserve">%’. </w:t>
      </w:r>
      <w:r w:rsidR="00123C73">
        <w:t xml:space="preserve">If </w:t>
      </w:r>
      <w:r w:rsidR="00123C73" w:rsidRPr="00123C73">
        <w:rPr>
          <w:i/>
          <w:iCs/>
        </w:rPr>
        <w:t>M</w:t>
      </w:r>
      <w:r w:rsidR="00123C73">
        <w:t xml:space="preserve"> represents</w:t>
      </w:r>
      <w:r w:rsidR="00511035">
        <w:t xml:space="preserve"> industrial</w:t>
      </w:r>
      <w:r w:rsidR="00123C73">
        <w:t xml:space="preserve"> </w:t>
      </w:r>
      <w:r w:rsidR="00511035">
        <w:t xml:space="preserve">(or </w:t>
      </w:r>
      <w:r w:rsidR="00123C73">
        <w:t>manufacturing</w:t>
      </w:r>
      <w:r w:rsidR="00511035">
        <w:t>)</w:t>
      </w:r>
      <w:r w:rsidR="00123C73">
        <w:t xml:space="preserve"> output, t</w:t>
      </w:r>
      <w:r>
        <w:t>h</w:t>
      </w:r>
      <w:r w:rsidR="00123C73">
        <w:t>e statement</w:t>
      </w:r>
      <w:r>
        <w:t xml:space="preserve"> is equivalent to the expression:</w:t>
      </w:r>
    </w:p>
    <w:p w:rsidR="002D6474" w:rsidRDefault="002D6474" w:rsidP="008C7D19">
      <w:pPr>
        <w:tabs>
          <w:tab w:val="left" w:pos="9781"/>
        </w:tabs>
        <w:spacing w:after="0"/>
        <w:ind w:right="82"/>
        <w:jc w:val="both"/>
      </w:pPr>
    </w:p>
    <w:p w:rsidR="004A57B7" w:rsidRDefault="005767FE" w:rsidP="008C7D19">
      <w:pPr>
        <w:tabs>
          <w:tab w:val="left" w:pos="-2268"/>
          <w:tab w:val="left" w:pos="426"/>
          <w:tab w:val="left" w:pos="1134"/>
          <w:tab w:val="left" w:pos="9781"/>
        </w:tabs>
        <w:spacing w:before="240" w:after="0"/>
        <w:ind w:right="82"/>
        <w:jc w:val="both"/>
        <w:rPr>
          <w:position w:val="-30"/>
          <w:sz w:val="20"/>
        </w:rPr>
      </w:pPr>
      <w:r>
        <w:rPr>
          <w:position w:val="-30"/>
          <w:sz w:val="20"/>
        </w:rPr>
        <w:t xml:space="preserve">      </w:t>
      </w:r>
      <w:r w:rsidR="003A7800" w:rsidRPr="005767FE">
        <w:rPr>
          <w:position w:val="-28"/>
          <w:sz w:val="20"/>
        </w:rPr>
        <w:object w:dxaOrig="1740" w:dyaOrig="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75pt;height:43.5pt" o:ole="">
            <v:imagedata r:id="rId8" o:title=""/>
          </v:shape>
          <o:OLEObject Type="Embed" ProgID="Equation.3" ShapeID="_x0000_i1025" DrawAspect="Content" ObjectID="_1416920886" r:id="rId9"/>
        </w:object>
      </w:r>
    </w:p>
    <w:p w:rsidR="005767FE" w:rsidRDefault="003A7800" w:rsidP="008C7D19">
      <w:pPr>
        <w:tabs>
          <w:tab w:val="left" w:pos="-2268"/>
          <w:tab w:val="left" w:pos="426"/>
          <w:tab w:val="left" w:pos="1134"/>
          <w:tab w:val="left" w:pos="9781"/>
        </w:tabs>
        <w:spacing w:before="240" w:after="0"/>
        <w:ind w:right="82"/>
        <w:jc w:val="both"/>
        <w:rPr>
          <w:position w:val="-30"/>
          <w:sz w:val="20"/>
        </w:rPr>
      </w:pPr>
      <w:r w:rsidRPr="003A7800">
        <w:rPr>
          <w:position w:val="-24"/>
          <w:sz w:val="20"/>
        </w:rPr>
        <w:object w:dxaOrig="2320" w:dyaOrig="620">
          <v:shape id="_x0000_i1026" type="#_x0000_t75" style="width:115.5pt;height:31.5pt" o:ole="">
            <v:imagedata r:id="rId10" o:title=""/>
          </v:shape>
          <o:OLEObject Type="Embed" ProgID="Equation.3" ShapeID="_x0000_i1026" DrawAspect="Content" ObjectID="_1416920887" r:id="rId11"/>
        </w:object>
      </w:r>
    </w:p>
    <w:p w:rsidR="004A57B7" w:rsidRDefault="004A57B7" w:rsidP="008C7D19">
      <w:pPr>
        <w:tabs>
          <w:tab w:val="left" w:pos="9781"/>
        </w:tabs>
        <w:spacing w:after="0"/>
        <w:ind w:right="82"/>
        <w:jc w:val="both"/>
      </w:pPr>
    </w:p>
    <w:p w:rsidR="00E14A56" w:rsidRDefault="00A60BBF">
      <w:pPr>
        <w:tabs>
          <w:tab w:val="left" w:pos="284"/>
        </w:tabs>
        <w:spacing w:after="0"/>
        <w:ind w:right="82"/>
        <w:jc w:val="both"/>
      </w:pPr>
      <w:r>
        <w:tab/>
      </w:r>
      <w:r w:rsidR="005C19C4">
        <w:t>The</w:t>
      </w:r>
      <w:r w:rsidR="005767FE">
        <w:t xml:space="preserve"> </w:t>
      </w:r>
      <w:r w:rsidR="00123C73">
        <w:t xml:space="preserve">growth rate </w:t>
      </w:r>
      <w:r w:rsidR="005767FE">
        <w:t>statement</w:t>
      </w:r>
      <w:r w:rsidR="00123C73">
        <w:t xml:space="preserve"> can thus be interpreted as a differential equation, where the coefficient on </w:t>
      </w:r>
      <w:r w:rsidR="00123C73" w:rsidRPr="00123C73">
        <w:rPr>
          <w:i/>
          <w:iCs/>
        </w:rPr>
        <w:t>M</w:t>
      </w:r>
      <w:r w:rsidR="003A7800">
        <w:t xml:space="preserve"> (the 0.144</w:t>
      </w:r>
      <w:r w:rsidR="00123C73">
        <w:t xml:space="preserve">) can be thought of as a variable that </w:t>
      </w:r>
      <w:r w:rsidR="00A6524B">
        <w:t>may</w:t>
      </w:r>
      <w:r w:rsidR="00123C73">
        <w:t xml:space="preserve"> c</w:t>
      </w:r>
      <w:r w:rsidR="005C19C4">
        <w:t>hange independently</w:t>
      </w:r>
      <w:r w:rsidR="00123C73">
        <w:t xml:space="preserve"> of </w:t>
      </w:r>
      <w:r w:rsidR="00123C73" w:rsidRPr="00123C73">
        <w:rPr>
          <w:i/>
          <w:iCs/>
        </w:rPr>
        <w:t>M</w:t>
      </w:r>
      <w:r w:rsidR="00123C73">
        <w:t xml:space="preserve">. For example, </w:t>
      </w:r>
      <w:r w:rsidR="00CA7E19">
        <w:t xml:space="preserve">exogenous </w:t>
      </w:r>
      <w:r w:rsidR="00123C73">
        <w:t xml:space="preserve">changes in political or economic institutions </w:t>
      </w:r>
      <w:r w:rsidR="0090204F">
        <w:t xml:space="preserve">may </w:t>
      </w:r>
      <w:r w:rsidR="00B51EE3">
        <w:t xml:space="preserve">alter </w:t>
      </w:r>
      <w:proofErr w:type="gramStart"/>
      <w:r w:rsidR="00B51EE3">
        <w:t>industry</w:t>
      </w:r>
      <w:r w:rsidR="0090204F">
        <w:t>’s</w:t>
      </w:r>
      <w:proofErr w:type="gramEnd"/>
      <w:r w:rsidR="0090204F">
        <w:t xml:space="preserve"> per unit</w:t>
      </w:r>
      <w:r w:rsidR="00123C73">
        <w:t xml:space="preserve"> growth rate, </w:t>
      </w:r>
      <w:r w:rsidR="00123C73" w:rsidRPr="00123C73">
        <w:rPr>
          <w:i/>
          <w:iCs/>
        </w:rPr>
        <w:t>r</w:t>
      </w:r>
      <w:r w:rsidR="00FC7E15">
        <w:t xml:space="preserve"> (to be defined later), where:</w:t>
      </w:r>
    </w:p>
    <w:p w:rsidR="000110D7" w:rsidRDefault="000110D7" w:rsidP="008C7D19">
      <w:pPr>
        <w:tabs>
          <w:tab w:val="left" w:pos="9781"/>
        </w:tabs>
        <w:spacing w:after="0"/>
        <w:ind w:right="82"/>
        <w:jc w:val="both"/>
      </w:pPr>
    </w:p>
    <w:p w:rsidR="00123C73" w:rsidRPr="000110D7" w:rsidRDefault="000110D7" w:rsidP="00D91705">
      <w:pPr>
        <w:tabs>
          <w:tab w:val="right" w:pos="9026"/>
        </w:tabs>
        <w:spacing w:after="0"/>
        <w:ind w:right="82"/>
        <w:jc w:val="both"/>
      </w:pPr>
      <w:r w:rsidRPr="005767FE">
        <w:rPr>
          <w:position w:val="-24"/>
          <w:sz w:val="20"/>
        </w:rPr>
        <w:object w:dxaOrig="1579" w:dyaOrig="620">
          <v:shape id="_x0000_i1027" type="#_x0000_t75" style="width:78pt;height:31.5pt" o:ole="">
            <v:imagedata r:id="rId12" o:title=""/>
          </v:shape>
          <o:OLEObject Type="Embed" ProgID="Equation.3" ShapeID="_x0000_i1027" DrawAspect="Content" ObjectID="_1416920888" r:id="rId13"/>
        </w:object>
      </w:r>
      <w:r>
        <w:t xml:space="preserve">                                                                                       </w:t>
      </w:r>
      <w:r w:rsidR="00A60BBF">
        <w:t xml:space="preserve">   </w:t>
      </w:r>
      <w:r>
        <w:t xml:space="preserve"> </w:t>
      </w:r>
      <w:r w:rsidR="00D91705">
        <w:tab/>
      </w:r>
      <w:r>
        <w:t xml:space="preserve">                        (</w:t>
      </w:r>
      <w:proofErr w:type="spellStart"/>
      <w:proofErr w:type="gramStart"/>
      <w:r>
        <w:t>i</w:t>
      </w:r>
      <w:proofErr w:type="spellEnd"/>
      <w:proofErr w:type="gramEnd"/>
      <w:r>
        <w:t>)</w:t>
      </w:r>
      <w:r w:rsidRPr="000110D7">
        <w:t xml:space="preserve"> </w:t>
      </w:r>
    </w:p>
    <w:p w:rsidR="00123C73" w:rsidRDefault="00123C73" w:rsidP="008C7D19">
      <w:pPr>
        <w:tabs>
          <w:tab w:val="left" w:pos="9781"/>
        </w:tabs>
        <w:spacing w:after="0"/>
        <w:ind w:right="82"/>
        <w:jc w:val="both"/>
      </w:pPr>
    </w:p>
    <w:p w:rsidR="005767FE" w:rsidRDefault="0053025B" w:rsidP="008C7D19">
      <w:pPr>
        <w:tabs>
          <w:tab w:val="left" w:pos="9781"/>
        </w:tabs>
        <w:spacing w:after="0"/>
        <w:ind w:right="82"/>
        <w:jc w:val="both"/>
      </w:pPr>
      <w:r>
        <w:t xml:space="preserve">It is the </w:t>
      </w:r>
      <w:r w:rsidR="00FC7E15">
        <w:t xml:space="preserve">formal </w:t>
      </w:r>
      <w:r>
        <w:t>construction of</w:t>
      </w:r>
      <w:r w:rsidR="00123C73">
        <w:t xml:space="preserve"> </w:t>
      </w:r>
      <w:r w:rsidR="005C19C4">
        <w:rPr>
          <w:i/>
          <w:iCs/>
        </w:rPr>
        <w:t>r</w:t>
      </w:r>
      <w:r w:rsidR="002E7D4D">
        <w:t>, in</w:t>
      </w:r>
      <w:r w:rsidR="00B51EE3">
        <w:t>corporating the</w:t>
      </w:r>
      <w:r w:rsidR="002E7D4D">
        <w:t xml:space="preserve"> broad categories of</w:t>
      </w:r>
      <w:r w:rsidR="00B51EE3">
        <w:t xml:space="preserve"> labor and non-labor institutions</w:t>
      </w:r>
      <w:r w:rsidR="00CA7E19">
        <w:t xml:space="preserve"> and policy</w:t>
      </w:r>
      <w:r w:rsidR="00B51EE3">
        <w:t>, together with intersectoral linkages,</w:t>
      </w:r>
      <w:r>
        <w:t xml:space="preserve"> that forms the basis of what follows.</w:t>
      </w:r>
    </w:p>
    <w:p w:rsidR="00D76932" w:rsidRDefault="00D76932" w:rsidP="008C7D19">
      <w:pPr>
        <w:tabs>
          <w:tab w:val="left" w:pos="9781"/>
        </w:tabs>
        <w:spacing w:after="0"/>
        <w:ind w:right="82"/>
        <w:jc w:val="both"/>
      </w:pPr>
    </w:p>
    <w:p w:rsidR="00685C63" w:rsidRDefault="00054BDB" w:rsidP="008C7D19">
      <w:pPr>
        <w:tabs>
          <w:tab w:val="left" w:pos="9781"/>
        </w:tabs>
        <w:spacing w:after="0"/>
        <w:ind w:right="82"/>
        <w:jc w:val="both"/>
      </w:pPr>
      <w:r>
        <w:t xml:space="preserve">     To inform our modeling, we seek insights from actual data and events - in our illustrative case, from China. A number of significant </w:t>
      </w:r>
      <w:r w:rsidRPr="00FA7C9A">
        <w:rPr>
          <w:i/>
          <w:iCs/>
        </w:rPr>
        <w:t>stylized facts</w:t>
      </w:r>
      <w:r>
        <w:t xml:space="preserve"> emerge from the Chinese economic literature and data. First, we note that industrial output for our sample period 1990-2007 </w:t>
      </w:r>
      <w:r w:rsidR="004A3B4B">
        <w:t>hint at</w:t>
      </w:r>
      <w:r>
        <w:t xml:space="preserve"> exponential, or more likely logistic, growth (Figure 1). The suggestion of logistic growth should come as little surprise. Aoki and Yoshikawa (2002) highlight the ubiquity of logistic growth functions, as a stylized fact, in industry as a whole and in specific industries within the sector. Growth may initially be exponential, but as economic activity consumes available resources, a physical limit to the number of firms that may exist and compete in the sector is approached, with the growth rate declining and eventually tending to zero. </w:t>
      </w:r>
    </w:p>
    <w:p w:rsidR="00D76932" w:rsidRDefault="00D76932" w:rsidP="008C7D19">
      <w:pPr>
        <w:tabs>
          <w:tab w:val="left" w:pos="9781"/>
        </w:tabs>
        <w:spacing w:after="0"/>
        <w:ind w:right="82"/>
        <w:jc w:val="both"/>
      </w:pPr>
    </w:p>
    <w:p w:rsidR="00054BDB" w:rsidRDefault="00685C63" w:rsidP="008C7D19">
      <w:pPr>
        <w:tabs>
          <w:tab w:val="left" w:pos="9781"/>
        </w:tabs>
        <w:spacing w:after="0"/>
        <w:ind w:right="82"/>
        <w:jc w:val="both"/>
      </w:pPr>
      <w:r>
        <w:t xml:space="preserve">     Employing similar logistic functions to formalize economic growth has been undertaken elsewhere in the literature</w:t>
      </w:r>
      <w:commentRangeStart w:id="2"/>
      <w:r>
        <w:t xml:space="preserve">. </w:t>
      </w:r>
      <w:commentRangeEnd w:id="2"/>
      <w:r>
        <w:rPr>
          <w:rStyle w:val="CommentReference"/>
        </w:rPr>
        <w:commentReference w:id="2"/>
      </w:r>
      <w:r>
        <w:t xml:space="preserve">Clark </w:t>
      </w:r>
      <w:r w:rsidRPr="003C4CD3">
        <w:rPr>
          <w:i/>
          <w:iCs/>
        </w:rPr>
        <w:t>et al.</w:t>
      </w:r>
      <w:r>
        <w:t xml:space="preserve"> (1993) use logistic functions to model the share of manufacturing value added in GDP over time, as do Balance </w:t>
      </w:r>
      <w:r w:rsidRPr="003C4CD3">
        <w:rPr>
          <w:i/>
          <w:iCs/>
        </w:rPr>
        <w:t>et al.</w:t>
      </w:r>
      <w:r>
        <w:t xml:space="preserve"> (1982). Day (1982) posits a neoclassical one-sector model with a production function given </w:t>
      </w:r>
      <w:proofErr w:type="gramStart"/>
      <w:r>
        <w:t>by</w:t>
      </w:r>
      <w:r w:rsidR="00933C38">
        <w:t xml:space="preserve"> </w:t>
      </w:r>
      <m:oMath>
        <w:proofErr w:type="gramEnd"/>
        <m:r>
          <w:rPr>
            <w:rFonts w:ascii="Cambria Math" w:hAnsi="Cambria Math"/>
          </w:rPr>
          <m:t>y=B</m:t>
        </m:r>
        <m:sSup>
          <m:sSupPr>
            <m:ctrlPr>
              <w:rPr>
                <w:rFonts w:ascii="Cambria Math" w:hAnsi="Cambria Math"/>
                <w:i/>
              </w:rPr>
            </m:ctrlPr>
          </m:sSupPr>
          <m:e>
            <m:r>
              <w:rPr>
                <w:rFonts w:ascii="Cambria Math" w:hAnsi="Cambria Math"/>
              </w:rPr>
              <m:t>k</m:t>
            </m:r>
          </m:e>
          <m:sup>
            <m:r>
              <w:rPr>
                <w:rFonts w:ascii="Cambria Math" w:hAnsi="Cambria Math"/>
              </w:rPr>
              <m:t>β</m:t>
            </m:r>
          </m:sup>
        </m:sSup>
        <m:sSup>
          <m:sSupPr>
            <m:ctrlPr>
              <w:rPr>
                <w:rFonts w:ascii="Cambria Math" w:hAnsi="Cambria Math"/>
                <w:i/>
              </w:rPr>
            </m:ctrlPr>
          </m:sSupPr>
          <m:e>
            <m:r>
              <w:rPr>
                <w:rFonts w:ascii="Cambria Math" w:hAnsi="Cambria Math"/>
              </w:rPr>
              <m:t>(m-k)</m:t>
            </m:r>
          </m:e>
          <m:sup>
            <m:r>
              <w:rPr>
                <w:rFonts w:ascii="Cambria Math" w:hAnsi="Cambria Math"/>
              </w:rPr>
              <m:t>γ</m:t>
            </m:r>
          </m:sup>
        </m:sSup>
      </m:oMath>
      <w:r>
        <w:t xml:space="preserve">, where </w:t>
      </w:r>
      <w:r w:rsidRPr="00F876DF">
        <w:rPr>
          <w:i/>
          <w:iCs/>
        </w:rPr>
        <w:t>y</w:t>
      </w:r>
      <w:r>
        <w:t xml:space="preserve"> is output, </w:t>
      </w:r>
      <w:r w:rsidRPr="00614E82">
        <w:rPr>
          <w:i/>
          <w:iCs/>
        </w:rPr>
        <w:t>k</w:t>
      </w:r>
      <w:r>
        <w:t xml:space="preserve"> is the capital/labor ratio and </w:t>
      </w:r>
      <w:r w:rsidRPr="00A5633E">
        <w:rPr>
          <w:i/>
          <w:iCs/>
        </w:rPr>
        <w:t>m</w:t>
      </w:r>
      <w:r>
        <w:t xml:space="preserve">, </w:t>
      </w:r>
      <w:r w:rsidRPr="00F876DF">
        <w:rPr>
          <w:i/>
          <w:iCs/>
        </w:rPr>
        <w:t>B</w:t>
      </w:r>
      <w:r>
        <w:t xml:space="preserve">, </w:t>
      </w:r>
      <w:r w:rsidRPr="00F876DF">
        <w:rPr>
          <w:i/>
          <w:iCs/>
        </w:rPr>
        <w:t>β</w:t>
      </w:r>
      <w:r>
        <w:t xml:space="preserve">  and </w:t>
      </w:r>
      <w:r w:rsidRPr="00F876DF">
        <w:rPr>
          <w:i/>
          <w:iCs/>
        </w:rPr>
        <w:t>γ</w:t>
      </w:r>
      <w:r>
        <w:t xml:space="preserve"> are parameters. It is this modelling tradition that we follow. For our empirical work, we will modify Day’s (1982) </w:t>
      </w:r>
      <w:r>
        <w:lastRenderedPageBreak/>
        <w:t xml:space="preserve">production function to give output of the industrial sector. Instead of a capital/labor ratio, we focus on a single input, labor, and will incorporate simple linkages with agriculture, given the stylized facts below.     </w:t>
      </w:r>
      <w:r w:rsidR="00054BDB">
        <w:t xml:space="preserve"> </w:t>
      </w:r>
    </w:p>
    <w:p w:rsidR="00D76932" w:rsidRDefault="00D76932" w:rsidP="008C7D19">
      <w:pPr>
        <w:pStyle w:val="ListParagraph"/>
        <w:tabs>
          <w:tab w:val="left" w:pos="9781"/>
        </w:tabs>
        <w:ind w:left="0" w:right="82"/>
        <w:jc w:val="both"/>
      </w:pPr>
    </w:p>
    <w:p w:rsidR="00054BDB" w:rsidRDefault="00054BDB" w:rsidP="008C7D19">
      <w:pPr>
        <w:pStyle w:val="ListParagraph"/>
        <w:tabs>
          <w:tab w:val="left" w:pos="9781"/>
        </w:tabs>
        <w:ind w:left="0" w:right="82"/>
        <w:jc w:val="both"/>
      </w:pPr>
    </w:p>
    <w:p w:rsidR="00E14A56" w:rsidRDefault="004976A0">
      <w:pPr>
        <w:pStyle w:val="ListParagraph"/>
        <w:tabs>
          <w:tab w:val="left" w:pos="9781"/>
        </w:tabs>
        <w:ind w:left="0" w:right="82"/>
        <w:jc w:val="center"/>
        <w:rPr>
          <w:b/>
          <w:sz w:val="22"/>
          <w:szCs w:val="22"/>
        </w:rPr>
      </w:pPr>
      <w:r w:rsidRPr="004976A0">
        <w:rPr>
          <w:b/>
          <w:sz w:val="22"/>
          <w:szCs w:val="22"/>
        </w:rPr>
        <w:t xml:space="preserve">Figure 1: Industrial </w:t>
      </w:r>
      <w:r w:rsidR="00A60BBF">
        <w:rPr>
          <w:b/>
          <w:sz w:val="22"/>
          <w:szCs w:val="22"/>
        </w:rPr>
        <w:t>V</w:t>
      </w:r>
      <w:r w:rsidRPr="004976A0">
        <w:rPr>
          <w:b/>
          <w:sz w:val="22"/>
          <w:szCs w:val="22"/>
        </w:rPr>
        <w:t xml:space="preserve">alue </w:t>
      </w:r>
      <w:r w:rsidR="00A60BBF">
        <w:rPr>
          <w:b/>
          <w:sz w:val="22"/>
          <w:szCs w:val="22"/>
        </w:rPr>
        <w:t>A</w:t>
      </w:r>
      <w:r w:rsidRPr="004976A0">
        <w:rPr>
          <w:b/>
          <w:sz w:val="22"/>
          <w:szCs w:val="22"/>
        </w:rPr>
        <w:t>dded, China, 1990-2007</w:t>
      </w:r>
    </w:p>
    <w:p w:rsidR="00D0727A" w:rsidRPr="00B0788B" w:rsidRDefault="00D0727A">
      <w:pPr>
        <w:pStyle w:val="ListParagraph"/>
        <w:tabs>
          <w:tab w:val="left" w:pos="9781"/>
        </w:tabs>
        <w:ind w:left="0" w:right="82"/>
        <w:jc w:val="center"/>
        <w:rPr>
          <w:b/>
          <w:sz w:val="6"/>
          <w:szCs w:val="6"/>
        </w:rPr>
      </w:pPr>
    </w:p>
    <w:p w:rsidR="00E14A56" w:rsidRDefault="00E14A56">
      <w:pPr>
        <w:pStyle w:val="ListParagraph"/>
        <w:tabs>
          <w:tab w:val="left" w:pos="9781"/>
        </w:tabs>
        <w:ind w:left="0" w:right="82"/>
        <w:jc w:val="center"/>
        <w:rPr>
          <w:b/>
          <w:sz w:val="8"/>
          <w:szCs w:val="8"/>
        </w:rPr>
      </w:pPr>
    </w:p>
    <w:p w:rsidR="00E14A56" w:rsidRDefault="00054BDB">
      <w:pPr>
        <w:pStyle w:val="ListParagraph"/>
        <w:tabs>
          <w:tab w:val="left" w:pos="9781"/>
        </w:tabs>
        <w:ind w:left="0" w:right="82"/>
        <w:jc w:val="center"/>
      </w:pPr>
      <w:r w:rsidRPr="00227725">
        <w:rPr>
          <w:noProof/>
          <w:lang w:val="en-NZ"/>
        </w:rPr>
        <w:drawing>
          <wp:inline distT="0" distB="0" distL="0" distR="0">
            <wp:extent cx="3460115" cy="2200275"/>
            <wp:effectExtent l="19050" t="0" r="26035"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54BDB" w:rsidRDefault="00054BDB" w:rsidP="008C7D19">
      <w:pPr>
        <w:tabs>
          <w:tab w:val="left" w:pos="9781"/>
        </w:tabs>
        <w:ind w:right="82"/>
        <w:jc w:val="both"/>
      </w:pPr>
      <w:r>
        <w:t xml:space="preserve">                          </w:t>
      </w:r>
    </w:p>
    <w:p w:rsidR="00E14A56" w:rsidRDefault="008C7D19">
      <w:pPr>
        <w:tabs>
          <w:tab w:val="left" w:pos="426"/>
          <w:tab w:val="left" w:pos="1134"/>
          <w:tab w:val="left" w:pos="1276"/>
          <w:tab w:val="left" w:pos="9781"/>
        </w:tabs>
        <w:spacing w:after="0"/>
        <w:ind w:right="82"/>
        <w:jc w:val="both"/>
      </w:pPr>
      <w:r>
        <w:tab/>
      </w:r>
      <w:r w:rsidR="00054BDB">
        <w:t xml:space="preserve">The data appear in the appendix, and are expressed in 100m </w:t>
      </w:r>
      <w:proofErr w:type="spellStart"/>
      <w:r w:rsidR="00054BDB">
        <w:t>yuan</w:t>
      </w:r>
      <w:proofErr w:type="spellEnd"/>
      <w:r w:rsidR="00054BDB">
        <w:t xml:space="preserve"> in 1978 prices.</w:t>
      </w:r>
      <w:r w:rsidR="004A3B4B">
        <w:rPr>
          <w:rStyle w:val="FootnoteReference"/>
        </w:rPr>
        <w:footnoteReference w:id="1"/>
      </w:r>
      <w:r w:rsidR="005428E4">
        <w:t xml:space="preserve"> </w:t>
      </w:r>
      <w:r w:rsidR="00054BDB">
        <w:t>Second</w:t>
      </w:r>
      <w:r w:rsidR="00D76932">
        <w:t>ly</w:t>
      </w:r>
      <w:r w:rsidR="00054BDB">
        <w:t>, the data series exhibits growth volatility. Figure 2 shows the growth rates of industry over the sample period.</w:t>
      </w:r>
    </w:p>
    <w:p w:rsidR="00E14A56" w:rsidRDefault="00E14A56">
      <w:pPr>
        <w:tabs>
          <w:tab w:val="left" w:pos="426"/>
          <w:tab w:val="left" w:pos="1134"/>
          <w:tab w:val="left" w:pos="1276"/>
          <w:tab w:val="left" w:pos="9781"/>
        </w:tabs>
        <w:spacing w:after="0"/>
        <w:ind w:right="82"/>
        <w:jc w:val="both"/>
      </w:pPr>
    </w:p>
    <w:p w:rsidR="00E14A56" w:rsidRDefault="004976A0">
      <w:pPr>
        <w:tabs>
          <w:tab w:val="left" w:pos="-2268"/>
          <w:tab w:val="left" w:pos="426"/>
          <w:tab w:val="left" w:pos="1134"/>
          <w:tab w:val="left" w:pos="9781"/>
        </w:tabs>
        <w:spacing w:before="240" w:after="0"/>
        <w:ind w:right="82"/>
        <w:jc w:val="center"/>
        <w:rPr>
          <w:b/>
          <w:sz w:val="22"/>
          <w:szCs w:val="22"/>
        </w:rPr>
      </w:pPr>
      <w:r w:rsidRPr="004976A0">
        <w:rPr>
          <w:b/>
          <w:sz w:val="22"/>
          <w:szCs w:val="22"/>
        </w:rPr>
        <w:t xml:space="preserve">Figure 2:  Annual </w:t>
      </w:r>
      <w:r w:rsidR="00A60BBF">
        <w:rPr>
          <w:b/>
          <w:sz w:val="22"/>
          <w:szCs w:val="22"/>
        </w:rPr>
        <w:t>I</w:t>
      </w:r>
      <w:r w:rsidRPr="004976A0">
        <w:rPr>
          <w:b/>
          <w:sz w:val="22"/>
          <w:szCs w:val="22"/>
        </w:rPr>
        <w:t xml:space="preserve">ndustrial </w:t>
      </w:r>
      <w:r w:rsidR="00A60BBF">
        <w:rPr>
          <w:b/>
          <w:sz w:val="22"/>
          <w:szCs w:val="22"/>
        </w:rPr>
        <w:t>G</w:t>
      </w:r>
      <w:r w:rsidRPr="004976A0">
        <w:rPr>
          <w:b/>
          <w:sz w:val="22"/>
          <w:szCs w:val="22"/>
        </w:rPr>
        <w:t xml:space="preserve">rowth </w:t>
      </w:r>
      <w:r w:rsidR="00A60BBF">
        <w:rPr>
          <w:b/>
          <w:sz w:val="22"/>
          <w:szCs w:val="22"/>
        </w:rPr>
        <w:t>R</w:t>
      </w:r>
      <w:r w:rsidRPr="004976A0">
        <w:rPr>
          <w:b/>
          <w:sz w:val="22"/>
          <w:szCs w:val="22"/>
        </w:rPr>
        <w:t>ates</w:t>
      </w:r>
      <w:r w:rsidR="00D0727A">
        <w:rPr>
          <w:b/>
          <w:sz w:val="22"/>
          <w:szCs w:val="22"/>
        </w:rPr>
        <w:t>, 1991-2007</w:t>
      </w:r>
    </w:p>
    <w:p w:rsidR="00054BDB" w:rsidRPr="00B0788B" w:rsidRDefault="00054BDB" w:rsidP="008C7D19">
      <w:pPr>
        <w:pStyle w:val="ListParagraph"/>
        <w:tabs>
          <w:tab w:val="left" w:pos="9781"/>
        </w:tabs>
        <w:ind w:left="0" w:right="82"/>
        <w:jc w:val="both"/>
        <w:rPr>
          <w:sz w:val="6"/>
          <w:szCs w:val="6"/>
        </w:rPr>
      </w:pPr>
    </w:p>
    <w:p w:rsidR="00E14A56" w:rsidRDefault="00E14A56">
      <w:pPr>
        <w:tabs>
          <w:tab w:val="left" w:pos="9781"/>
        </w:tabs>
        <w:spacing w:after="0"/>
        <w:ind w:right="82"/>
        <w:jc w:val="center"/>
      </w:pPr>
      <w:r>
        <w:rPr>
          <w:noProof/>
          <w:szCs w:val="24"/>
          <w:lang w:val="en-NZ"/>
        </w:rPr>
        <w:drawing>
          <wp:inline distT="0" distB="0" distL="0" distR="0">
            <wp:extent cx="3802380" cy="2962275"/>
            <wp:effectExtent l="19050" t="0" r="2667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60BBF" w:rsidRDefault="00A60BBF">
      <w:pPr>
        <w:overflowPunct/>
        <w:autoSpaceDE/>
        <w:autoSpaceDN/>
        <w:adjustRightInd/>
        <w:spacing w:after="0"/>
        <w:textAlignment w:val="auto"/>
      </w:pPr>
      <w:r>
        <w:br w:type="page"/>
      </w:r>
    </w:p>
    <w:p w:rsidR="00E14A56" w:rsidRDefault="00054BDB">
      <w:pPr>
        <w:spacing w:after="0"/>
        <w:ind w:right="82" w:firstLine="284"/>
        <w:jc w:val="both"/>
      </w:pPr>
      <w:r>
        <w:lastRenderedPageBreak/>
        <w:t xml:space="preserve">Lastly, </w:t>
      </w:r>
      <w:proofErr w:type="gramStart"/>
      <w:r>
        <w:t>between 1990-2007</w:t>
      </w:r>
      <w:r w:rsidR="00A862F9">
        <w:t>,</w:t>
      </w:r>
      <w:proofErr w:type="gramEnd"/>
      <w:r>
        <w:t xml:space="preserve"> the growth rate fluctuations have come from three main sources. First, </w:t>
      </w:r>
      <w:r w:rsidR="00707F6C">
        <w:t xml:space="preserve">frequent and dramatic </w:t>
      </w:r>
      <w:r>
        <w:t>changes in institutions/policies have been evident (see Wu, 2010). Among others, these include the post-1989 political purges, Deng Xiaoping’s call in 1992 for bolder reform, the 1995 campaign to control the overheating economy,</w:t>
      </w:r>
      <w:r w:rsidR="00A6524B">
        <w:t xml:space="preserve"> responses to the Asian financial crisis of 1997-98, </w:t>
      </w:r>
      <w:r>
        <w:rPr>
          <w:rFonts w:cs="IIJLJM+CGTimes"/>
          <w:color w:val="000000"/>
          <w:szCs w:val="24"/>
        </w:rPr>
        <w:t>accession to the WTO in 2002 (</w:t>
      </w:r>
      <w:proofErr w:type="spellStart"/>
      <w:r>
        <w:rPr>
          <w:rFonts w:cs="IIJLJM+CGTimes"/>
          <w:color w:val="000000"/>
          <w:szCs w:val="24"/>
        </w:rPr>
        <w:t>Zheng</w:t>
      </w:r>
      <w:proofErr w:type="spellEnd"/>
      <w:r>
        <w:rPr>
          <w:rFonts w:cs="IIJLJM+CGTimes"/>
          <w:color w:val="000000"/>
          <w:szCs w:val="24"/>
        </w:rPr>
        <w:t xml:space="preserve">, </w:t>
      </w:r>
      <w:proofErr w:type="spellStart"/>
      <w:r>
        <w:rPr>
          <w:rFonts w:cs="IIJLJM+CGTimes"/>
          <w:color w:val="000000"/>
          <w:szCs w:val="24"/>
        </w:rPr>
        <w:t>Bigsten</w:t>
      </w:r>
      <w:proofErr w:type="spellEnd"/>
      <w:r>
        <w:rPr>
          <w:rFonts w:cs="IIJLJM+CGTimes"/>
          <w:color w:val="000000"/>
          <w:szCs w:val="24"/>
        </w:rPr>
        <w:t xml:space="preserve"> and </w:t>
      </w:r>
      <w:proofErr w:type="spellStart"/>
      <w:r>
        <w:rPr>
          <w:rFonts w:cs="IIJLJM+CGTimes"/>
          <w:color w:val="000000"/>
          <w:szCs w:val="24"/>
        </w:rPr>
        <w:t>Hu</w:t>
      </w:r>
      <w:proofErr w:type="spellEnd"/>
      <w:r>
        <w:rPr>
          <w:rFonts w:cs="IIJLJM+CGTimes"/>
          <w:color w:val="000000"/>
          <w:szCs w:val="24"/>
        </w:rPr>
        <w:t xml:space="preserve">, 2007), </w:t>
      </w:r>
      <w:r w:rsidRPr="00AA3B84">
        <w:rPr>
          <w:rFonts w:cs="IIJLJM+CGTimes"/>
          <w:color w:val="000000"/>
          <w:szCs w:val="24"/>
        </w:rPr>
        <w:t>economic and administrative m</w:t>
      </w:r>
      <w:r>
        <w:rPr>
          <w:rFonts w:cs="IIJLJM+CGTimes"/>
          <w:color w:val="000000"/>
          <w:szCs w:val="24"/>
        </w:rPr>
        <w:t>easures in 2004-2006 to counter</w:t>
      </w:r>
      <w:r w:rsidRPr="00AA3B84">
        <w:rPr>
          <w:rFonts w:cs="IIJLJM+CGTimes"/>
          <w:color w:val="000000"/>
          <w:szCs w:val="24"/>
        </w:rPr>
        <w:t xml:space="preserve"> the investment boom</w:t>
      </w:r>
      <w:r w:rsidR="00F26FE5">
        <w:rPr>
          <w:rFonts w:cs="IIJLJM+CGTimes"/>
          <w:color w:val="000000"/>
          <w:szCs w:val="24"/>
        </w:rPr>
        <w:t xml:space="preserve"> (Krueger 2005)</w:t>
      </w:r>
      <w:r>
        <w:rPr>
          <w:rFonts w:cs="IIJLJM+CGTimes"/>
          <w:color w:val="000000"/>
          <w:szCs w:val="24"/>
        </w:rPr>
        <w:t>,</w:t>
      </w:r>
      <w:r>
        <w:rPr>
          <w:rFonts w:cs="IIJLJM+CGTimes"/>
          <w:color w:val="000000"/>
          <w:sz w:val="23"/>
          <w:szCs w:val="23"/>
        </w:rPr>
        <w:t xml:space="preserve"> </w:t>
      </w:r>
      <w:r>
        <w:t xml:space="preserve">and the 2007 anti-corruption drive. According to </w:t>
      </w:r>
      <w:proofErr w:type="spellStart"/>
      <w:r>
        <w:t>Klenow</w:t>
      </w:r>
      <w:proofErr w:type="spellEnd"/>
      <w:r>
        <w:t xml:space="preserve"> (2001), ‘(g</w:t>
      </w:r>
      <w:proofErr w:type="gramStart"/>
      <w:r>
        <w:t>)</w:t>
      </w:r>
      <w:proofErr w:type="spellStart"/>
      <w:r>
        <w:t>rowth</w:t>
      </w:r>
      <w:proofErr w:type="spellEnd"/>
      <w:proofErr w:type="gramEnd"/>
      <w:r>
        <w:t xml:space="preserve"> miracles are produced by dramatic improvements in policies, and growth disasters by deteriorating policies. China is a fast grower...because it has improved its institutions so much’ (p. 222).</w:t>
      </w:r>
    </w:p>
    <w:p w:rsidR="00D76932" w:rsidRDefault="00D76932" w:rsidP="008C7D19">
      <w:pPr>
        <w:tabs>
          <w:tab w:val="left" w:pos="9781"/>
        </w:tabs>
        <w:spacing w:after="0"/>
        <w:ind w:right="82"/>
        <w:jc w:val="both"/>
      </w:pPr>
    </w:p>
    <w:p w:rsidR="00D76932" w:rsidRDefault="00054BDB" w:rsidP="008C7D19">
      <w:pPr>
        <w:tabs>
          <w:tab w:val="left" w:pos="9781"/>
        </w:tabs>
        <w:spacing w:after="0"/>
        <w:ind w:right="82"/>
        <w:jc w:val="both"/>
      </w:pPr>
      <w:r>
        <w:t xml:space="preserve">     Second</w:t>
      </w:r>
      <w:r w:rsidR="00153073">
        <w:t>ly</w:t>
      </w:r>
      <w:r>
        <w:t xml:space="preserve">, while increases in capital and technology are likely to have contributed to increased industrial output over time, they are not </w:t>
      </w:r>
      <w:r w:rsidR="00E46319">
        <w:t xml:space="preserve">likely to </w:t>
      </w:r>
      <w:r>
        <w:t>responsible for the year-to-year volatility in growth rates. As Easterly and Levine (2001) point out, again as a stylized fact, ‘(g</w:t>
      </w:r>
      <w:proofErr w:type="gramStart"/>
      <w:r>
        <w:t>)</w:t>
      </w:r>
      <w:proofErr w:type="spellStart"/>
      <w:r>
        <w:t>rowth</w:t>
      </w:r>
      <w:proofErr w:type="spellEnd"/>
      <w:proofErr w:type="gramEnd"/>
      <w:r>
        <w:t xml:space="preserve"> is not persistent over time, but capital accumulation is’ – i.e., changes in the capital stock  are not closely correlated with changes in economic growth (p. 179). In China the short-run volatility has come from fluctuations in labor supply to industry, as the government has either restricted labor flows or permitted rural unemployed labor to migrate to industry</w:t>
      </w:r>
      <w:r w:rsidR="00A6524B">
        <w:t xml:space="preserve"> (i.e., via changes in institutions</w:t>
      </w:r>
      <w:r w:rsidR="00D3509C">
        <w:t xml:space="preserve"> or policy</w:t>
      </w:r>
      <w:r w:rsidR="00A6524B">
        <w:t>)</w:t>
      </w:r>
      <w:r>
        <w:t>. Kroeber (2005) suggests that the most important contributor to China’s impressive economic growth has been the shift of labor from agriculture to industry.</w:t>
      </w:r>
    </w:p>
    <w:p w:rsidR="00D76932" w:rsidRDefault="00D76932" w:rsidP="008C7D19">
      <w:pPr>
        <w:tabs>
          <w:tab w:val="left" w:pos="9781"/>
        </w:tabs>
        <w:spacing w:after="0"/>
        <w:ind w:right="82"/>
        <w:jc w:val="both"/>
      </w:pPr>
    </w:p>
    <w:p w:rsidR="00054BDB" w:rsidRDefault="00A6524B" w:rsidP="008C7D19">
      <w:pPr>
        <w:tabs>
          <w:tab w:val="left" w:pos="9781"/>
        </w:tabs>
        <w:spacing w:after="0"/>
        <w:ind w:right="82"/>
        <w:jc w:val="both"/>
      </w:pPr>
      <w:r>
        <w:t xml:space="preserve">     </w:t>
      </w:r>
      <w:r w:rsidR="00E46319">
        <w:t>Thus, in our later modeling, we will separate the impact of institutions/policy into two broad categories: non-labor and labor. Non-labo</w:t>
      </w:r>
      <w:r w:rsidR="00707F6C">
        <w:t xml:space="preserve">r institutions and </w:t>
      </w:r>
      <w:r w:rsidR="00E46319">
        <w:t>policy, for example, include those that impact on</w:t>
      </w:r>
      <w:r w:rsidR="008E78E8">
        <w:t xml:space="preserve"> incentives to reinvest profits i</w:t>
      </w:r>
      <w:r>
        <w:t>n the creation of new firms. They</w:t>
      </w:r>
      <w:r w:rsidR="008E78E8">
        <w:t xml:space="preserve"> might also affect</w:t>
      </w:r>
      <w:r w:rsidR="00E46319">
        <w:t xml:space="preserve"> capital and technology, </w:t>
      </w:r>
      <w:r w:rsidR="00672105">
        <w:t xml:space="preserve">such as </w:t>
      </w:r>
      <w:r w:rsidR="00E46319">
        <w:t>policies that facilitate ‘catch-up growth’ driven by adopting technologies and organizational innovations from overseas</w:t>
      </w:r>
      <w:r w:rsidR="008E78E8">
        <w:t>, but in our later modeling we focus on labor as the key input in production.</w:t>
      </w:r>
      <w:r w:rsidR="00E46319">
        <w:t xml:space="preserve"> </w:t>
      </w:r>
      <w:r w:rsidR="008E78E8">
        <w:t>D</w:t>
      </w:r>
      <w:r w:rsidR="00E46319">
        <w:t xml:space="preserve">ue to the </w:t>
      </w:r>
      <w:r w:rsidR="00672105">
        <w:t xml:space="preserve">singular </w:t>
      </w:r>
      <w:r w:rsidR="00E46319">
        <w:t>importance of labo</w:t>
      </w:r>
      <w:r w:rsidR="00672105">
        <w:t>r</w:t>
      </w:r>
      <w:r w:rsidR="00E46319">
        <w:t>,</w:t>
      </w:r>
      <w:r w:rsidR="00672105">
        <w:t xml:space="preserve"> we </w:t>
      </w:r>
      <w:r w:rsidR="00E46319">
        <w:t>split off institutions and policies to those</w:t>
      </w:r>
      <w:r w:rsidR="00672105">
        <w:t xml:space="preserve"> specifically</w:t>
      </w:r>
      <w:r w:rsidR="00E46319">
        <w:t xml:space="preserve"> influenc</w:t>
      </w:r>
      <w:r>
        <w:t>ing</w:t>
      </w:r>
      <w:r w:rsidR="00E46319">
        <w:t xml:space="preserve"> labor flows, such as migration regulations and so on.   </w:t>
      </w:r>
    </w:p>
    <w:p w:rsidR="00D76932" w:rsidRDefault="00D76932" w:rsidP="008C7D19">
      <w:pPr>
        <w:tabs>
          <w:tab w:val="left" w:pos="9781"/>
        </w:tabs>
        <w:spacing w:after="0"/>
        <w:ind w:right="82"/>
        <w:jc w:val="both"/>
      </w:pPr>
    </w:p>
    <w:p w:rsidR="00054BDB" w:rsidRDefault="00054BDB" w:rsidP="008C7D19">
      <w:pPr>
        <w:tabs>
          <w:tab w:val="left" w:pos="9781"/>
        </w:tabs>
        <w:spacing w:after="0"/>
        <w:ind w:right="82"/>
        <w:jc w:val="both"/>
      </w:pPr>
      <w:r>
        <w:t xml:space="preserve">     </w:t>
      </w:r>
      <w:commentRangeStart w:id="3"/>
      <w:r>
        <w:t>Third, of the two sectors, agriculture and services, that could conceivably influence volatility in industrial growth, the most important one is agriculture.</w:t>
      </w:r>
      <w:commentRangeEnd w:id="3"/>
      <w:r w:rsidR="00113C0D">
        <w:rPr>
          <w:rStyle w:val="CommentReference"/>
        </w:rPr>
        <w:commentReference w:id="3"/>
      </w:r>
      <w:r w:rsidR="00A2171D">
        <w:rPr>
          <w:rStyle w:val="FootnoteReference"/>
        </w:rPr>
        <w:footnoteReference w:id="2"/>
      </w:r>
      <w:r>
        <w:t xml:space="preserve"> This follows the standard development literature, in which agriculture either contributes to or competes with the growth of industry (e.g., see Mellor (1986))</w:t>
      </w:r>
      <w:r w:rsidR="00607BEB">
        <w:t xml:space="preserve"> or releases labor to it (</w:t>
      </w:r>
      <w:proofErr w:type="spellStart"/>
      <w:r w:rsidR="00607BEB">
        <w:t>Gollin</w:t>
      </w:r>
      <w:proofErr w:type="spellEnd"/>
      <w:r w:rsidR="00607BEB">
        <w:t xml:space="preserve"> et al. (2002))</w:t>
      </w:r>
      <w:r w:rsidR="007545E1">
        <w:t xml:space="preserve"> in relatively early stages of development as intersectoral linkages are established</w:t>
      </w:r>
      <w:r>
        <w:t>.</w:t>
      </w:r>
      <w:r w:rsidR="00607BEB">
        <w:t xml:space="preserve"> Note also that in </w:t>
      </w:r>
      <w:proofErr w:type="spellStart"/>
      <w:r w:rsidR="00607BEB">
        <w:t>Gollin</w:t>
      </w:r>
      <w:proofErr w:type="spellEnd"/>
      <w:r w:rsidR="00607BEB">
        <w:t xml:space="preserve"> et al. (2002) agricultural output is produced only by labor.</w:t>
      </w:r>
    </w:p>
    <w:p w:rsidR="00D76932" w:rsidRDefault="00D76932" w:rsidP="008C7D19">
      <w:pPr>
        <w:tabs>
          <w:tab w:val="left" w:pos="9781"/>
        </w:tabs>
        <w:spacing w:after="0"/>
        <w:ind w:right="82"/>
        <w:jc w:val="both"/>
      </w:pPr>
    </w:p>
    <w:p w:rsidR="008D3750" w:rsidRDefault="00054BDB" w:rsidP="008C7D19">
      <w:pPr>
        <w:tabs>
          <w:tab w:val="left" w:pos="9781"/>
        </w:tabs>
        <w:spacing w:after="0"/>
        <w:ind w:right="82"/>
        <w:jc w:val="both"/>
        <w:rPr>
          <w:rFonts w:eastAsia="Calibri"/>
          <w:szCs w:val="24"/>
          <w:lang w:val="en-NZ"/>
        </w:rPr>
      </w:pPr>
      <w:r>
        <w:t xml:space="preserve">     </w:t>
      </w:r>
      <w:r w:rsidR="007545E1">
        <w:t>These</w:t>
      </w:r>
      <w:r>
        <w:t xml:space="preserve"> stylized facts</w:t>
      </w:r>
      <w:r w:rsidR="007545E1">
        <w:t xml:space="preserve"> will inform our construction of a growth rate equation for</w:t>
      </w:r>
      <w:r>
        <w:t xml:space="preserve"> indust</w:t>
      </w:r>
      <w:r w:rsidR="007545E1">
        <w:t>ry</w:t>
      </w:r>
      <w:r>
        <w:t>.</w:t>
      </w:r>
      <w:r w:rsidR="007545E1">
        <w:t xml:space="preserve"> Hence, ou</w:t>
      </w:r>
      <w:r>
        <w:t>r work</w:t>
      </w:r>
      <w:r w:rsidR="00D3509C">
        <w:t xml:space="preserve"> using China as a case study</w:t>
      </w:r>
      <w:r>
        <w:t xml:space="preserve"> fits strongly within the important, emerging literature on short-run growth instability in developing countries. </w:t>
      </w:r>
      <w:r w:rsidR="00D3509C">
        <w:t>In this literature</w:t>
      </w:r>
      <w:r>
        <w:t>, growth instability has been shown to be strongly linked with changes in political leadership, particularly in autocratic countries</w:t>
      </w:r>
      <w:r w:rsidR="00D3509C">
        <w:t xml:space="preserve"> </w:t>
      </w:r>
      <w:r>
        <w:rPr>
          <w:rFonts w:eastAsia="Calibri"/>
          <w:szCs w:val="24"/>
          <w:lang w:val="en-NZ"/>
        </w:rPr>
        <w:t xml:space="preserve">(Jones and </w:t>
      </w:r>
      <w:proofErr w:type="spellStart"/>
      <w:r>
        <w:rPr>
          <w:rFonts w:eastAsia="Calibri"/>
          <w:szCs w:val="24"/>
          <w:lang w:val="en-NZ"/>
        </w:rPr>
        <w:t>Olken</w:t>
      </w:r>
      <w:proofErr w:type="spellEnd"/>
      <w:r>
        <w:rPr>
          <w:rFonts w:eastAsia="Calibri"/>
          <w:szCs w:val="24"/>
          <w:lang w:val="en-NZ"/>
        </w:rPr>
        <w:t xml:space="preserve"> 2005)</w:t>
      </w:r>
      <w:r w:rsidRPr="002D359D">
        <w:rPr>
          <w:rFonts w:eastAsia="Calibri"/>
          <w:szCs w:val="24"/>
          <w:lang w:val="en-NZ"/>
        </w:rPr>
        <w:t>.</w:t>
      </w:r>
      <w:r>
        <w:rPr>
          <w:rFonts w:eastAsia="Calibri"/>
          <w:szCs w:val="24"/>
          <w:lang w:val="en-NZ"/>
        </w:rPr>
        <w:t xml:space="preserve"> Political institutions matter (</w:t>
      </w:r>
      <w:proofErr w:type="spellStart"/>
      <w:r>
        <w:rPr>
          <w:rFonts w:eastAsia="Calibri"/>
          <w:szCs w:val="24"/>
          <w:lang w:val="en-NZ"/>
        </w:rPr>
        <w:t>Mobarak</w:t>
      </w:r>
      <w:proofErr w:type="spellEnd"/>
      <w:r>
        <w:rPr>
          <w:rFonts w:eastAsia="Calibri"/>
          <w:szCs w:val="24"/>
          <w:lang w:val="en-NZ"/>
        </w:rPr>
        <w:t xml:space="preserve"> (2005). </w:t>
      </w:r>
      <w:proofErr w:type="spellStart"/>
      <w:r>
        <w:t>Jerzmanowski</w:t>
      </w:r>
      <w:proofErr w:type="spellEnd"/>
      <w:r>
        <w:t xml:space="preserve"> (2006)</w:t>
      </w:r>
      <w:r>
        <w:rPr>
          <w:rFonts w:ascii="AdvTT5843c571" w:eastAsia="Calibri" w:hAnsi="AdvTT5843c571" w:cs="AdvTT5843c571"/>
          <w:sz w:val="20"/>
          <w:lang w:val="en-NZ"/>
        </w:rPr>
        <w:t xml:space="preserve"> </w:t>
      </w:r>
      <w:r>
        <w:rPr>
          <w:rFonts w:eastAsia="Calibri"/>
          <w:szCs w:val="24"/>
          <w:lang w:val="en-NZ"/>
        </w:rPr>
        <w:t>highlights</w:t>
      </w:r>
      <w:r w:rsidRPr="00552664">
        <w:rPr>
          <w:rFonts w:eastAsia="Calibri"/>
          <w:szCs w:val="24"/>
          <w:lang w:val="en-NZ"/>
        </w:rPr>
        <w:t xml:space="preserve"> the relationship between growth</w:t>
      </w:r>
      <w:r>
        <w:t xml:space="preserve"> </w:t>
      </w:r>
      <w:r w:rsidRPr="00552664">
        <w:rPr>
          <w:rFonts w:eastAsia="Calibri"/>
          <w:szCs w:val="24"/>
          <w:lang w:val="en-NZ"/>
        </w:rPr>
        <w:t xml:space="preserve">and </w:t>
      </w:r>
      <w:r>
        <w:rPr>
          <w:rFonts w:eastAsia="Calibri"/>
          <w:szCs w:val="24"/>
          <w:lang w:val="en-NZ"/>
        </w:rPr>
        <w:t xml:space="preserve">the </w:t>
      </w:r>
      <w:r w:rsidRPr="00552664">
        <w:rPr>
          <w:rFonts w:eastAsia="Calibri"/>
          <w:szCs w:val="24"/>
          <w:lang w:val="en-NZ"/>
        </w:rPr>
        <w:lastRenderedPageBreak/>
        <w:t xml:space="preserve">quality of </w:t>
      </w:r>
      <w:r>
        <w:rPr>
          <w:rFonts w:eastAsia="Calibri"/>
          <w:szCs w:val="24"/>
          <w:lang w:val="en-NZ"/>
        </w:rPr>
        <w:t xml:space="preserve">economic </w:t>
      </w:r>
      <w:r w:rsidRPr="00552664">
        <w:rPr>
          <w:rFonts w:eastAsia="Calibri"/>
          <w:szCs w:val="24"/>
          <w:lang w:val="en-NZ"/>
        </w:rPr>
        <w:t>i</w:t>
      </w:r>
      <w:r>
        <w:rPr>
          <w:rFonts w:eastAsia="Calibri"/>
          <w:szCs w:val="24"/>
          <w:lang w:val="en-NZ"/>
        </w:rPr>
        <w:t>nstitutions, including the rule of law and the protection of property rights. I</w:t>
      </w:r>
      <w:r w:rsidRPr="00552664">
        <w:rPr>
          <w:rFonts w:eastAsia="Calibri"/>
          <w:szCs w:val="24"/>
          <w:lang w:val="en-NZ"/>
        </w:rPr>
        <w:t>nstitutio</w:t>
      </w:r>
      <w:r>
        <w:rPr>
          <w:rFonts w:eastAsia="Calibri"/>
          <w:szCs w:val="24"/>
          <w:lang w:val="en-NZ"/>
        </w:rPr>
        <w:t>ns affect the</w:t>
      </w:r>
      <w:r>
        <w:t xml:space="preserve"> </w:t>
      </w:r>
      <w:r w:rsidRPr="00552664">
        <w:rPr>
          <w:rFonts w:eastAsia="Calibri"/>
          <w:szCs w:val="24"/>
          <w:lang w:val="en-NZ"/>
        </w:rPr>
        <w:t>interact</w:t>
      </w:r>
      <w:r>
        <w:rPr>
          <w:rFonts w:eastAsia="Calibri"/>
          <w:szCs w:val="24"/>
          <w:lang w:val="en-NZ"/>
        </w:rPr>
        <w:t>ions between economic</w:t>
      </w:r>
      <w:r w:rsidRPr="00552664">
        <w:rPr>
          <w:rFonts w:eastAsia="Calibri"/>
          <w:szCs w:val="24"/>
          <w:lang w:val="en-NZ"/>
        </w:rPr>
        <w:t xml:space="preserve"> shocks</w:t>
      </w:r>
      <w:r>
        <w:rPr>
          <w:rFonts w:eastAsia="Calibri"/>
          <w:szCs w:val="24"/>
          <w:lang w:val="en-NZ"/>
        </w:rPr>
        <w:t xml:space="preserve"> and growth rates, and the likelihood and duration of</w:t>
      </w:r>
      <w:r w:rsidRPr="00552664">
        <w:rPr>
          <w:rFonts w:eastAsia="Calibri"/>
          <w:szCs w:val="24"/>
          <w:lang w:val="en-NZ"/>
        </w:rPr>
        <w:t xml:space="preserve"> </w:t>
      </w:r>
      <w:r>
        <w:rPr>
          <w:rFonts w:eastAsia="Calibri"/>
          <w:szCs w:val="24"/>
          <w:lang w:val="en-NZ"/>
        </w:rPr>
        <w:t xml:space="preserve">high </w:t>
      </w:r>
      <w:r w:rsidRPr="00552664">
        <w:rPr>
          <w:rFonts w:eastAsia="Calibri"/>
          <w:szCs w:val="24"/>
          <w:lang w:val="en-NZ"/>
        </w:rPr>
        <w:t>growth</w:t>
      </w:r>
      <w:r>
        <w:t xml:space="preserve"> </w:t>
      </w:r>
      <w:r>
        <w:rPr>
          <w:rFonts w:eastAsia="Calibri"/>
          <w:szCs w:val="24"/>
          <w:lang w:val="en-NZ"/>
        </w:rPr>
        <w:t>episodes. A mixture of political and economic institutions may be captured by special groups, resulting in extractive, economic</w:t>
      </w:r>
      <w:r w:rsidR="00586711">
        <w:rPr>
          <w:rFonts w:eastAsia="Calibri"/>
          <w:szCs w:val="24"/>
          <w:lang w:val="en-NZ"/>
        </w:rPr>
        <w:t>ally</w:t>
      </w:r>
      <w:r>
        <w:rPr>
          <w:rFonts w:eastAsia="Calibri"/>
          <w:szCs w:val="24"/>
          <w:lang w:val="en-NZ"/>
        </w:rPr>
        <w:t xml:space="preserve"> distortionary policies that lead to growth instability and downturns (</w:t>
      </w:r>
      <w:proofErr w:type="spellStart"/>
      <w:r>
        <w:rPr>
          <w:rFonts w:eastAsia="Calibri"/>
          <w:szCs w:val="24"/>
          <w:lang w:val="en-NZ"/>
        </w:rPr>
        <w:t>Acemoglu</w:t>
      </w:r>
      <w:proofErr w:type="spellEnd"/>
      <w:r>
        <w:rPr>
          <w:rFonts w:eastAsia="Calibri"/>
          <w:szCs w:val="24"/>
          <w:lang w:val="en-NZ"/>
        </w:rPr>
        <w:t xml:space="preserve"> et al. 2003). </w:t>
      </w:r>
      <w:r>
        <w:t xml:space="preserve">Jones and </w:t>
      </w:r>
      <w:proofErr w:type="spellStart"/>
      <w:r>
        <w:t>Olken</w:t>
      </w:r>
      <w:proofErr w:type="spellEnd"/>
      <w:r>
        <w:t xml:space="preserve"> (2008) find that monetary instability influences growth collapses. More broadly,</w:t>
      </w:r>
      <w:r>
        <w:rPr>
          <w:rFonts w:eastAsia="Calibri"/>
          <w:szCs w:val="24"/>
          <w:lang w:val="en-NZ"/>
        </w:rPr>
        <w:t xml:space="preserve"> </w:t>
      </w:r>
      <w:proofErr w:type="spellStart"/>
      <w:r>
        <w:t>Hausmann</w:t>
      </w:r>
      <w:proofErr w:type="spellEnd"/>
      <w:r>
        <w:t xml:space="preserve">, Pritchett and </w:t>
      </w:r>
      <w:proofErr w:type="spellStart"/>
      <w:r>
        <w:t>Rodrik</w:t>
      </w:r>
      <w:proofErr w:type="spellEnd"/>
      <w:r>
        <w:t xml:space="preserve"> (2005) include economic reforms as a significant contributor to sustained growth accelerations. </w:t>
      </w:r>
      <w:r>
        <w:rPr>
          <w:rFonts w:eastAsia="Calibri"/>
          <w:szCs w:val="24"/>
          <w:lang w:val="en-NZ"/>
        </w:rPr>
        <w:t xml:space="preserve">The foregoing may be broadly categorized as </w:t>
      </w:r>
      <w:r w:rsidR="004976A0" w:rsidRPr="004976A0">
        <w:rPr>
          <w:rFonts w:eastAsia="Calibri"/>
          <w:szCs w:val="24"/>
          <w:lang w:val="en-NZ"/>
        </w:rPr>
        <w:t>institutional factors</w:t>
      </w:r>
      <w:r>
        <w:rPr>
          <w:rFonts w:eastAsia="Calibri"/>
          <w:szCs w:val="24"/>
          <w:lang w:val="en-NZ"/>
        </w:rPr>
        <w:t xml:space="preserve"> </w:t>
      </w:r>
      <w:r w:rsidR="00586711">
        <w:rPr>
          <w:rFonts w:eastAsia="Calibri"/>
          <w:szCs w:val="24"/>
          <w:lang w:val="en-NZ"/>
        </w:rPr>
        <w:t xml:space="preserve">(political or economic) </w:t>
      </w:r>
      <w:r>
        <w:rPr>
          <w:rFonts w:eastAsia="Calibri"/>
          <w:szCs w:val="24"/>
          <w:lang w:val="en-NZ"/>
        </w:rPr>
        <w:t>impacting on short-run growth, many of which affect incentives to produce. For our purposes we define institutions as the</w:t>
      </w:r>
      <w:r w:rsidRPr="0080663B">
        <w:rPr>
          <w:rFonts w:eastAsia="Calibri"/>
          <w:szCs w:val="24"/>
          <w:lang w:val="en-NZ"/>
        </w:rPr>
        <w:t xml:space="preserve"> rules of the game that influence the size of profit and the</w:t>
      </w:r>
      <w:r>
        <w:rPr>
          <w:rFonts w:eastAsia="Calibri"/>
          <w:szCs w:val="24"/>
          <w:lang w:val="en-NZ"/>
        </w:rPr>
        <w:t xml:space="preserve"> willingness to reinvest profit</w:t>
      </w:r>
      <w:r w:rsidRPr="0080663B">
        <w:rPr>
          <w:rFonts w:eastAsia="Calibri"/>
          <w:szCs w:val="24"/>
          <w:lang w:val="en-NZ"/>
        </w:rPr>
        <w:t xml:space="preserve">. </w:t>
      </w:r>
    </w:p>
    <w:p w:rsidR="00D76932" w:rsidRDefault="00D76932" w:rsidP="008C7D19">
      <w:pPr>
        <w:tabs>
          <w:tab w:val="left" w:pos="9781"/>
        </w:tabs>
        <w:spacing w:after="0"/>
        <w:ind w:right="82"/>
        <w:jc w:val="both"/>
        <w:rPr>
          <w:rFonts w:eastAsia="Calibri"/>
          <w:szCs w:val="24"/>
          <w:lang w:val="en-NZ"/>
        </w:rPr>
      </w:pPr>
    </w:p>
    <w:p w:rsidR="00E14A56" w:rsidRDefault="00586711">
      <w:pPr>
        <w:tabs>
          <w:tab w:val="left" w:pos="9781"/>
        </w:tabs>
        <w:spacing w:after="0"/>
        <w:ind w:right="82"/>
        <w:jc w:val="both"/>
        <w:rPr>
          <w:rFonts w:eastAsia="Calibri"/>
          <w:szCs w:val="24"/>
          <w:lang w:val="en-NZ"/>
        </w:rPr>
      </w:pPr>
      <w:r>
        <w:rPr>
          <w:rFonts w:eastAsia="Calibri"/>
          <w:szCs w:val="24"/>
          <w:lang w:val="en-NZ"/>
        </w:rPr>
        <w:t xml:space="preserve">     </w:t>
      </w:r>
      <w:commentRangeStart w:id="4"/>
      <w:r w:rsidR="00054BDB">
        <w:t xml:space="preserve">Institutional change not only affects incentives, but can release resources from one sector to another. </w:t>
      </w:r>
      <w:r w:rsidR="00054BDB">
        <w:rPr>
          <w:rFonts w:eastAsia="Calibri"/>
          <w:szCs w:val="24"/>
          <w:lang w:val="en-NZ"/>
        </w:rPr>
        <w:t xml:space="preserve">China’s stop-go economy of the 1990s illustrates this point dramatically. </w:t>
      </w:r>
      <w:r w:rsidR="00054BDB" w:rsidRPr="0003159B">
        <w:rPr>
          <w:rFonts w:eastAsia="Calibri"/>
          <w:szCs w:val="24"/>
          <w:lang w:val="en-NZ"/>
        </w:rPr>
        <w:t>Labor</w:t>
      </w:r>
      <w:r w:rsidR="00054BDB" w:rsidRPr="007645DA">
        <w:rPr>
          <w:rFonts w:eastAsia="Calibri"/>
          <w:i/>
          <w:iCs/>
          <w:szCs w:val="24"/>
          <w:lang w:val="en-NZ"/>
        </w:rPr>
        <w:t xml:space="preserve"> </w:t>
      </w:r>
      <w:r w:rsidR="00054BDB" w:rsidRPr="0003159B">
        <w:rPr>
          <w:rFonts w:eastAsia="Calibri"/>
          <w:szCs w:val="24"/>
          <w:lang w:val="en-NZ"/>
        </w:rPr>
        <w:t>supply fluctuations resulting from swings in economic or political institutions</w:t>
      </w:r>
      <w:r w:rsidR="00054BDB">
        <w:rPr>
          <w:rFonts w:eastAsia="Calibri"/>
          <w:szCs w:val="24"/>
          <w:lang w:val="en-NZ"/>
        </w:rPr>
        <w:t>,</w:t>
      </w:r>
      <w:r w:rsidR="00054BDB" w:rsidRPr="007D221D">
        <w:rPr>
          <w:rFonts w:eastAsia="Calibri"/>
          <w:i/>
          <w:iCs/>
          <w:szCs w:val="24"/>
          <w:lang w:val="en-NZ"/>
        </w:rPr>
        <w:t xml:space="preserve"> </w:t>
      </w:r>
      <w:r w:rsidR="00054BDB">
        <w:rPr>
          <w:rFonts w:eastAsia="Calibri"/>
          <w:szCs w:val="24"/>
          <w:lang w:val="en-NZ"/>
        </w:rPr>
        <w:t xml:space="preserve">because of their importance, should be included explicitly as a second broad category influencing short-run growth. This is especially relevant for developing economies, like China, that rely to a large extent on </w:t>
      </w:r>
      <w:proofErr w:type="spellStart"/>
      <w:r w:rsidR="00054BDB">
        <w:rPr>
          <w:rFonts w:eastAsia="Calibri"/>
          <w:szCs w:val="24"/>
          <w:lang w:val="en-NZ"/>
        </w:rPr>
        <w:t>labor</w:t>
      </w:r>
      <w:proofErr w:type="spellEnd"/>
      <w:r w:rsidR="00054BDB">
        <w:rPr>
          <w:rFonts w:eastAsia="Calibri"/>
          <w:szCs w:val="24"/>
          <w:lang w:val="en-NZ"/>
        </w:rPr>
        <w:t xml:space="preserve">-intensive production processes. </w:t>
      </w:r>
      <w:r w:rsidR="00D3509C">
        <w:rPr>
          <w:rFonts w:eastAsia="Calibri"/>
          <w:szCs w:val="24"/>
          <w:lang w:val="en-NZ"/>
        </w:rPr>
        <w:t>I</w:t>
      </w:r>
      <w:r w:rsidR="00054BDB">
        <w:rPr>
          <w:rFonts w:eastAsia="Calibri"/>
          <w:szCs w:val="24"/>
          <w:lang w:val="en-NZ"/>
        </w:rPr>
        <w:t xml:space="preserve">nstitutional changes such as permitting </w:t>
      </w:r>
      <w:proofErr w:type="spellStart"/>
      <w:r w:rsidR="00054BDB">
        <w:rPr>
          <w:rFonts w:eastAsia="Calibri"/>
          <w:szCs w:val="24"/>
          <w:lang w:val="en-NZ"/>
        </w:rPr>
        <w:t>labor</w:t>
      </w:r>
      <w:proofErr w:type="spellEnd"/>
      <w:r w:rsidR="00054BDB">
        <w:rPr>
          <w:rFonts w:eastAsia="Calibri"/>
          <w:szCs w:val="24"/>
          <w:lang w:val="en-NZ"/>
        </w:rPr>
        <w:t xml:space="preserve"> to migrate to industry reduce intra-sectoral competition and increase growth rates - fluctuations in </w:t>
      </w:r>
      <w:proofErr w:type="spellStart"/>
      <w:r w:rsidR="00054BDB">
        <w:rPr>
          <w:rFonts w:eastAsia="Calibri"/>
          <w:szCs w:val="24"/>
          <w:lang w:val="en-NZ"/>
        </w:rPr>
        <w:t>labor</w:t>
      </w:r>
      <w:proofErr w:type="spellEnd"/>
      <w:r w:rsidR="00054BDB">
        <w:rPr>
          <w:rFonts w:eastAsia="Calibri"/>
          <w:szCs w:val="24"/>
          <w:lang w:val="en-NZ"/>
        </w:rPr>
        <w:t xml:space="preserve"> market institutions can translate into growth rate </w:t>
      </w:r>
      <w:r w:rsidR="00A94195">
        <w:rPr>
          <w:rFonts w:eastAsia="Calibri"/>
          <w:szCs w:val="24"/>
          <w:lang w:val="en-NZ"/>
        </w:rPr>
        <w:t>changes</w:t>
      </w:r>
      <w:r w:rsidR="00054BDB">
        <w:rPr>
          <w:rFonts w:eastAsia="Calibri"/>
          <w:szCs w:val="24"/>
          <w:lang w:val="en-NZ"/>
        </w:rPr>
        <w:t xml:space="preserve">.  </w:t>
      </w:r>
      <w:commentRangeEnd w:id="4"/>
      <w:r w:rsidR="004829FA">
        <w:rPr>
          <w:rStyle w:val="CommentReference"/>
        </w:rPr>
        <w:commentReference w:id="4"/>
      </w:r>
    </w:p>
    <w:p w:rsidR="00E14A56" w:rsidRDefault="00E14A56">
      <w:pPr>
        <w:tabs>
          <w:tab w:val="left" w:pos="9781"/>
        </w:tabs>
        <w:spacing w:after="0"/>
        <w:ind w:right="82"/>
        <w:jc w:val="both"/>
        <w:rPr>
          <w:rFonts w:eastAsia="Calibri"/>
          <w:szCs w:val="24"/>
          <w:lang w:val="en-NZ"/>
        </w:rPr>
      </w:pPr>
    </w:p>
    <w:p w:rsidR="00054BDB" w:rsidRDefault="00054BDB" w:rsidP="008C7D19">
      <w:pPr>
        <w:overflowPunct/>
        <w:spacing w:after="0"/>
        <w:ind w:right="82"/>
        <w:jc w:val="both"/>
        <w:textAlignment w:val="auto"/>
        <w:rPr>
          <w:szCs w:val="24"/>
        </w:rPr>
      </w:pPr>
      <w:r>
        <w:rPr>
          <w:szCs w:val="24"/>
        </w:rPr>
        <w:t xml:space="preserve">     </w:t>
      </w:r>
      <w:proofErr w:type="spellStart"/>
      <w:r w:rsidRPr="00056904">
        <w:rPr>
          <w:szCs w:val="24"/>
        </w:rPr>
        <w:t>Mobarak</w:t>
      </w:r>
      <w:proofErr w:type="spellEnd"/>
      <w:r w:rsidRPr="00056904">
        <w:rPr>
          <w:szCs w:val="24"/>
        </w:rPr>
        <w:t xml:space="preserve"> (2005)</w:t>
      </w:r>
      <w:r>
        <w:rPr>
          <w:szCs w:val="24"/>
        </w:rPr>
        <w:t xml:space="preserve"> also</w:t>
      </w:r>
      <w:r w:rsidRPr="00056904">
        <w:rPr>
          <w:szCs w:val="24"/>
        </w:rPr>
        <w:t xml:space="preserve"> identifies a </w:t>
      </w:r>
      <w:r w:rsidRPr="008C3AD8">
        <w:rPr>
          <w:szCs w:val="24"/>
        </w:rPr>
        <w:t>sectoral shift from agriculture to manufacturing</w:t>
      </w:r>
      <w:r w:rsidRPr="00056904">
        <w:rPr>
          <w:szCs w:val="24"/>
        </w:rPr>
        <w:t xml:space="preserve"> in searching for </w:t>
      </w:r>
      <w:r w:rsidR="004976A0" w:rsidRPr="004976A0">
        <w:rPr>
          <w:i/>
          <w:szCs w:val="24"/>
        </w:rPr>
        <w:t>a priori</w:t>
      </w:r>
      <w:r w:rsidRPr="00FF44B1">
        <w:rPr>
          <w:iCs/>
          <w:szCs w:val="24"/>
        </w:rPr>
        <w:t xml:space="preserve"> </w:t>
      </w:r>
      <w:r w:rsidRPr="00056904">
        <w:rPr>
          <w:szCs w:val="24"/>
        </w:rPr>
        <w:t>d</w:t>
      </w:r>
      <w:r>
        <w:rPr>
          <w:szCs w:val="24"/>
        </w:rPr>
        <w:t>eterminants of a growth takeoff.</w:t>
      </w:r>
      <w:r w:rsidRPr="00056904">
        <w:rPr>
          <w:szCs w:val="24"/>
        </w:rPr>
        <w:t xml:space="preserve"> </w:t>
      </w:r>
      <w:r w:rsidRPr="00056904">
        <w:rPr>
          <w:rFonts w:eastAsia="Calibri"/>
          <w:szCs w:val="24"/>
          <w:lang w:val="en-NZ"/>
        </w:rPr>
        <w:t>The interactions between the sectors</w:t>
      </w:r>
      <w:r w:rsidRPr="00056904">
        <w:rPr>
          <w:szCs w:val="24"/>
        </w:rPr>
        <w:t xml:space="preserve"> introduce additional</w:t>
      </w:r>
      <w:r>
        <w:rPr>
          <w:szCs w:val="24"/>
        </w:rPr>
        <w:t xml:space="preserve"> empirical</w:t>
      </w:r>
      <w:r w:rsidRPr="00056904">
        <w:rPr>
          <w:szCs w:val="24"/>
        </w:rPr>
        <w:t xml:space="preserve"> insights, since the sectoral composition of an economy is important for economic growth rates (</w:t>
      </w:r>
      <w:proofErr w:type="spellStart"/>
      <w:r w:rsidRPr="00056904">
        <w:rPr>
          <w:szCs w:val="24"/>
        </w:rPr>
        <w:t>Echevarria</w:t>
      </w:r>
      <w:proofErr w:type="spellEnd"/>
      <w:r w:rsidRPr="00056904">
        <w:rPr>
          <w:szCs w:val="24"/>
        </w:rPr>
        <w:t xml:space="preserve"> 1997).</w:t>
      </w:r>
      <w:r>
        <w:rPr>
          <w:szCs w:val="24"/>
        </w:rPr>
        <w:t xml:space="preserve"> We treat the </w:t>
      </w:r>
      <w:r w:rsidR="004976A0" w:rsidRPr="004976A0">
        <w:rPr>
          <w:szCs w:val="24"/>
        </w:rPr>
        <w:t>interaction between agriculture and industry</w:t>
      </w:r>
      <w:r>
        <w:rPr>
          <w:szCs w:val="24"/>
        </w:rPr>
        <w:t xml:space="preserve"> as the third determinant of growth rate</w:t>
      </w:r>
      <w:r w:rsidR="00A94195">
        <w:rPr>
          <w:szCs w:val="24"/>
        </w:rPr>
        <w:t>s</w:t>
      </w:r>
      <w:r>
        <w:rPr>
          <w:szCs w:val="24"/>
        </w:rPr>
        <w:t>.</w:t>
      </w:r>
    </w:p>
    <w:p w:rsidR="00D76932" w:rsidRPr="0066012D" w:rsidRDefault="00D76932" w:rsidP="008C7D19">
      <w:pPr>
        <w:overflowPunct/>
        <w:spacing w:after="0"/>
        <w:ind w:right="82"/>
        <w:jc w:val="both"/>
        <w:textAlignment w:val="auto"/>
        <w:rPr>
          <w:rFonts w:eastAsia="Calibri"/>
          <w:szCs w:val="24"/>
          <w:lang w:val="en-NZ"/>
        </w:rPr>
      </w:pPr>
    </w:p>
    <w:p w:rsidR="00054BDB" w:rsidRDefault="00054BDB" w:rsidP="008C7D19">
      <w:pPr>
        <w:overflowPunct/>
        <w:spacing w:after="0"/>
        <w:ind w:right="82"/>
        <w:jc w:val="both"/>
        <w:textAlignment w:val="auto"/>
        <w:rPr>
          <w:szCs w:val="24"/>
        </w:rPr>
      </w:pPr>
      <w:r>
        <w:t xml:space="preserve">     Individually, the papers cited above yield important insights into the determinants of short-run growth</w:t>
      </w:r>
      <w:r>
        <w:rPr>
          <w:szCs w:val="24"/>
        </w:rPr>
        <w:t xml:space="preserve">. But collectively there is currently no framework that unifies the disparate growth determinants or allows their relative importance to be measured. As mentioned earlier, we need to ascertain how important intersectoral linkages have been in explaining the growth of industry, relative to the incentives to reinvest in industry that have been unleashed by institutional/policy changes in that sector, </w:t>
      </w:r>
      <w:r w:rsidR="00D3509C">
        <w:rPr>
          <w:szCs w:val="24"/>
        </w:rPr>
        <w:t>including</w:t>
      </w:r>
      <w:r>
        <w:rPr>
          <w:szCs w:val="24"/>
        </w:rPr>
        <w:t xml:space="preserve"> the role that intrasectoral competition for labor, labor migration and controls thereof have had. </w:t>
      </w:r>
    </w:p>
    <w:p w:rsidR="008753D7" w:rsidRDefault="008753D7" w:rsidP="008C7D19">
      <w:pPr>
        <w:overflowPunct/>
        <w:spacing w:after="0"/>
        <w:ind w:right="82"/>
        <w:jc w:val="both"/>
        <w:textAlignment w:val="auto"/>
        <w:rPr>
          <w:szCs w:val="24"/>
        </w:rPr>
      </w:pPr>
    </w:p>
    <w:p w:rsidR="00153073" w:rsidRDefault="00153073" w:rsidP="008C7D19">
      <w:pPr>
        <w:overflowPunct/>
        <w:spacing w:after="0"/>
        <w:ind w:right="82"/>
        <w:jc w:val="both"/>
        <w:textAlignment w:val="auto"/>
        <w:rPr>
          <w:szCs w:val="24"/>
        </w:rPr>
      </w:pPr>
    </w:p>
    <w:p w:rsidR="008753D7" w:rsidRDefault="00C67935" w:rsidP="008C7D19">
      <w:pPr>
        <w:overflowPunct/>
        <w:spacing w:after="0"/>
        <w:ind w:right="82"/>
        <w:jc w:val="both"/>
        <w:textAlignment w:val="auto"/>
        <w:rPr>
          <w:b/>
        </w:rPr>
      </w:pPr>
      <w:r>
        <w:rPr>
          <w:b/>
        </w:rPr>
        <w:t xml:space="preserve">2.  </w:t>
      </w:r>
      <w:r w:rsidR="008753D7">
        <w:rPr>
          <w:b/>
        </w:rPr>
        <w:t>De</w:t>
      </w:r>
      <w:r w:rsidR="00A408CA">
        <w:rPr>
          <w:b/>
        </w:rPr>
        <w:t>composing</w:t>
      </w:r>
      <w:r w:rsidR="008753D7">
        <w:rPr>
          <w:b/>
        </w:rPr>
        <w:t xml:space="preserve"> a </w:t>
      </w:r>
      <w:r w:rsidR="00153073">
        <w:rPr>
          <w:b/>
        </w:rPr>
        <w:t>Per U</w:t>
      </w:r>
      <w:r w:rsidR="008753D7">
        <w:rPr>
          <w:b/>
        </w:rPr>
        <w:t xml:space="preserve">nit </w:t>
      </w:r>
      <w:r w:rsidR="00153073">
        <w:rPr>
          <w:b/>
        </w:rPr>
        <w:t>G</w:t>
      </w:r>
      <w:r w:rsidR="008753D7">
        <w:rPr>
          <w:b/>
        </w:rPr>
        <w:t xml:space="preserve">rowth </w:t>
      </w:r>
      <w:r w:rsidR="00153073">
        <w:rPr>
          <w:b/>
        </w:rPr>
        <w:t>R</w:t>
      </w:r>
      <w:r w:rsidR="008753D7">
        <w:rPr>
          <w:b/>
        </w:rPr>
        <w:t>ate</w:t>
      </w:r>
    </w:p>
    <w:p w:rsidR="00153073" w:rsidRPr="00153073" w:rsidRDefault="00153073" w:rsidP="008C7D19">
      <w:pPr>
        <w:overflowPunct/>
        <w:spacing w:after="0"/>
        <w:ind w:right="82"/>
        <w:jc w:val="both"/>
        <w:textAlignment w:val="auto"/>
        <w:rPr>
          <w:sz w:val="12"/>
          <w:szCs w:val="12"/>
        </w:rPr>
      </w:pPr>
    </w:p>
    <w:p w:rsidR="00455D6D" w:rsidRDefault="008753D7" w:rsidP="008C7D19">
      <w:pPr>
        <w:tabs>
          <w:tab w:val="left" w:pos="9781"/>
        </w:tabs>
        <w:spacing w:after="0"/>
        <w:ind w:right="82"/>
        <w:jc w:val="both"/>
      </w:pPr>
      <w:r>
        <w:t>We emphasize a</w:t>
      </w:r>
      <w:r w:rsidR="00EC32FA">
        <w:t>t the outset that it is not our aim</w:t>
      </w:r>
      <w:r>
        <w:t xml:space="preserve"> to formalize a theo</w:t>
      </w:r>
      <w:r w:rsidR="00EC32FA">
        <w:t>ry of how institutions</w:t>
      </w:r>
      <w:r w:rsidR="00E06ACB">
        <w:t xml:space="preserve"> affect incentives</w:t>
      </w:r>
      <w:r>
        <w:t>.</w:t>
      </w:r>
      <w:r w:rsidR="00EC32FA">
        <w:t xml:space="preserve"> Nor do we offer</w:t>
      </w:r>
      <w:r w:rsidR="00E06ACB">
        <w:t xml:space="preserve"> a new model of economic growth or</w:t>
      </w:r>
      <w:r w:rsidR="00682465">
        <w:t xml:space="preserve"> a story of total factor productivity.</w:t>
      </w:r>
      <w:r w:rsidR="00EC32FA">
        <w:t xml:space="preserve"> </w:t>
      </w:r>
      <w:commentRangeStart w:id="5"/>
      <w:r w:rsidR="00EC32FA">
        <w:t>Rather our objective is to</w:t>
      </w:r>
      <w:r w:rsidR="00A408CA">
        <w:t xml:space="preserve"> show how a sectoral growth rate can be decomposed</w:t>
      </w:r>
      <w:r w:rsidR="00241CD4">
        <w:t xml:space="preserve"> into the</w:t>
      </w:r>
      <w:r w:rsidR="00335A5A">
        <w:t xml:space="preserve"> contribution of </w:t>
      </w:r>
      <w:r w:rsidR="00241CD4">
        <w:t xml:space="preserve">institutions, </w:t>
      </w:r>
      <w:r w:rsidR="008E78E8">
        <w:t xml:space="preserve">including those that impact on </w:t>
      </w:r>
      <w:r w:rsidR="00241CD4">
        <w:t>labor constraints</w:t>
      </w:r>
      <w:r w:rsidR="008E78E8">
        <w:t>,</w:t>
      </w:r>
      <w:r w:rsidR="00335A5A">
        <w:t xml:space="preserve"> </w:t>
      </w:r>
      <w:r w:rsidR="00241CD4">
        <w:t xml:space="preserve">and </w:t>
      </w:r>
      <w:r w:rsidR="00D3509C">
        <w:t>intersecto</w:t>
      </w:r>
      <w:r w:rsidR="00241CD4">
        <w:t>ral linkages</w:t>
      </w:r>
      <w:r w:rsidR="00A408CA">
        <w:t>. This enables us to determine the empiri</w:t>
      </w:r>
      <w:r w:rsidR="008E78E8">
        <w:t>cal contributions of these</w:t>
      </w:r>
      <w:r w:rsidR="00A408CA">
        <w:t xml:space="preserve"> factors</w:t>
      </w:r>
      <w:r w:rsidR="00335A5A">
        <w:t xml:space="preserve"> using very limited data.</w:t>
      </w:r>
      <w:r w:rsidR="000110D7">
        <w:t xml:space="preserve"> That is,</w:t>
      </w:r>
      <w:r w:rsidR="00EC32FA">
        <w:t xml:space="preserve"> consistent with the stylized facts in the previous section,</w:t>
      </w:r>
      <w:r w:rsidR="00780C85">
        <w:t xml:space="preserve"> </w:t>
      </w:r>
      <w:r w:rsidR="000110D7">
        <w:t xml:space="preserve">we seek a fuller expression for </w:t>
      </w:r>
      <w:r w:rsidR="003E4C9C" w:rsidRPr="003E4C9C">
        <w:rPr>
          <w:i/>
          <w:iCs/>
        </w:rPr>
        <w:t>r</w:t>
      </w:r>
      <w:r w:rsidR="003E4C9C">
        <w:t xml:space="preserve"> in </w:t>
      </w:r>
      <w:r w:rsidR="000110D7">
        <w:t>equation (</w:t>
      </w:r>
      <w:proofErr w:type="spellStart"/>
      <w:r w:rsidR="000110D7">
        <w:t>i</w:t>
      </w:r>
      <w:proofErr w:type="spellEnd"/>
      <w:r w:rsidR="000110D7">
        <w:t>).</w:t>
      </w:r>
      <w:commentRangeEnd w:id="5"/>
      <w:r w:rsidR="00076E0C">
        <w:rPr>
          <w:rStyle w:val="CommentReference"/>
        </w:rPr>
        <w:commentReference w:id="5"/>
      </w:r>
    </w:p>
    <w:p w:rsidR="00D76932" w:rsidRDefault="00D76932" w:rsidP="008C7D19">
      <w:pPr>
        <w:tabs>
          <w:tab w:val="left" w:pos="9781"/>
        </w:tabs>
        <w:spacing w:after="0"/>
        <w:ind w:right="82"/>
        <w:jc w:val="both"/>
      </w:pPr>
    </w:p>
    <w:p w:rsidR="00153073" w:rsidRDefault="003E4C9C" w:rsidP="008C7D19">
      <w:pPr>
        <w:tabs>
          <w:tab w:val="left" w:pos="9781"/>
        </w:tabs>
        <w:spacing w:after="0"/>
        <w:ind w:right="82"/>
        <w:jc w:val="both"/>
      </w:pPr>
      <w:r>
        <w:t xml:space="preserve">     To this end, the stylized facts inform the structure of our model. While it is apparent that there is exponential growth in </w:t>
      </w:r>
      <w:r w:rsidR="00931F04">
        <w:t>manufacturing output in Figure 1</w:t>
      </w:r>
      <w:r w:rsidR="002A355E">
        <w:t>, there must be an upper limit to manufacturing output implied by resource constraints</w:t>
      </w:r>
      <w:r w:rsidR="00C36478">
        <w:t xml:space="preserve"> (Aoki and Yoshikawa, 2002)</w:t>
      </w:r>
      <w:r w:rsidR="002A355E">
        <w:t>. This suggests a logistic curve</w:t>
      </w:r>
      <w:r w:rsidR="00E52D7E">
        <w:t xml:space="preserve"> as the eventual form of Figure 1</w:t>
      </w:r>
      <w:r w:rsidR="002A355E">
        <w:t>, as</w:t>
      </w:r>
      <w:r w:rsidR="00E52D7E">
        <w:t xml:space="preserve"> illustrated in Figure 3.</w:t>
      </w:r>
      <w:r w:rsidR="00FB2D5E">
        <w:t xml:space="preserve"> </w:t>
      </w:r>
    </w:p>
    <w:p w:rsidR="008C7D19" w:rsidRDefault="008C7D19">
      <w:pPr>
        <w:overflowPunct/>
        <w:autoSpaceDE/>
        <w:autoSpaceDN/>
        <w:adjustRightInd/>
        <w:spacing w:after="0"/>
        <w:textAlignment w:val="auto"/>
        <w:rPr>
          <w:b/>
        </w:rPr>
      </w:pPr>
      <w:r>
        <w:rPr>
          <w:b/>
        </w:rPr>
        <w:br w:type="page"/>
      </w:r>
    </w:p>
    <w:p w:rsidR="00E14A56" w:rsidRDefault="00F35377">
      <w:pPr>
        <w:tabs>
          <w:tab w:val="left" w:pos="9781"/>
        </w:tabs>
        <w:spacing w:after="0"/>
        <w:ind w:right="82"/>
        <w:jc w:val="center"/>
        <w:rPr>
          <w:b/>
          <w:sz w:val="22"/>
          <w:szCs w:val="22"/>
        </w:rPr>
      </w:pPr>
      <w:r>
        <w:rPr>
          <w:b/>
          <w:sz w:val="22"/>
          <w:szCs w:val="22"/>
        </w:rPr>
        <w:lastRenderedPageBreak/>
        <w:t>Figure 3: Logistic Growth of M</w:t>
      </w:r>
      <w:r w:rsidR="004976A0" w:rsidRPr="004976A0">
        <w:rPr>
          <w:b/>
          <w:sz w:val="22"/>
          <w:szCs w:val="22"/>
        </w:rPr>
        <w:t>anufacturing (hypothetical)</w:t>
      </w:r>
    </w:p>
    <w:p w:rsidR="00C45539" w:rsidRDefault="00C45539" w:rsidP="008C7D19">
      <w:pPr>
        <w:tabs>
          <w:tab w:val="left" w:pos="9781"/>
        </w:tabs>
        <w:spacing w:after="0"/>
        <w:ind w:right="82"/>
        <w:jc w:val="both"/>
      </w:pPr>
    </w:p>
    <w:p w:rsidR="00E14A56" w:rsidRDefault="00D76932">
      <w:pPr>
        <w:tabs>
          <w:tab w:val="left" w:pos="2552"/>
          <w:tab w:val="left" w:pos="9781"/>
        </w:tabs>
        <w:spacing w:after="0"/>
        <w:ind w:right="82"/>
        <w:jc w:val="both"/>
        <w:rPr>
          <w:i/>
          <w:iCs/>
        </w:rPr>
      </w:pPr>
      <w:r>
        <w:rPr>
          <w:i/>
          <w:iCs/>
        </w:rPr>
        <w:tab/>
      </w:r>
      <w:r w:rsidR="00C45539" w:rsidRPr="007B6F21">
        <w:rPr>
          <w:i/>
          <w:iCs/>
        </w:rPr>
        <w:t>M</w:t>
      </w:r>
    </w:p>
    <w:p w:rsidR="00E14A56" w:rsidRDefault="00E14A56">
      <w:pPr>
        <w:tabs>
          <w:tab w:val="left" w:pos="9781"/>
        </w:tabs>
        <w:spacing w:after="0"/>
        <w:ind w:right="82"/>
        <w:jc w:val="center"/>
      </w:pPr>
      <w:r>
        <w:rPr>
          <w:noProof/>
          <w:lang w:val="en-NZ"/>
        </w:rPr>
        <w:drawing>
          <wp:inline distT="0" distB="0" distL="0" distR="0">
            <wp:extent cx="2168195" cy="1543507"/>
            <wp:effectExtent l="19050" t="0" r="3505" b="0"/>
            <wp:docPr id="1"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436937" cy="2924175"/>
                      <a:chOff x="1135063" y="2632075"/>
                      <a:chExt cx="3436937" cy="2924175"/>
                    </a:xfrm>
                  </a:grpSpPr>
                  <a:grpSp>
                    <a:nvGrpSpPr>
                      <a:cNvPr id="3077" name="Group 23"/>
                      <a:cNvGrpSpPr>
                        <a:grpSpLocks noGrp="1"/>
                      </a:cNvGrpSpPr>
                    </a:nvGrpSpPr>
                    <a:grpSpPr bwMode="auto">
                      <a:xfrm>
                        <a:off x="1135063" y="2632075"/>
                        <a:ext cx="3436937" cy="2924175"/>
                        <a:chOff x="2615" y="8536"/>
                        <a:chExt cx="3997" cy="3237"/>
                      </a:xfrm>
                    </a:grpSpPr>
                    <a:grpSp>
                      <a:nvGrpSpPr>
                        <a:cNvPr id="3" name="Group 24"/>
                        <a:cNvGrpSpPr>
                          <a:grpSpLocks/>
                        </a:cNvGrpSpPr>
                      </a:nvGrpSpPr>
                      <a:grpSpPr bwMode="auto">
                        <a:xfrm>
                          <a:off x="2615" y="8536"/>
                          <a:ext cx="3997" cy="3237"/>
                          <a:chOff x="2615" y="8536"/>
                          <a:chExt cx="3997" cy="3237"/>
                        </a:xfrm>
                      </a:grpSpPr>
                      <a:cxnSp>
                        <a:nvCxnSpPr>
                          <a:cNvPr id="3085" name="AutoShape 25"/>
                          <a:cNvCxnSpPr>
                            <a:cxnSpLocks noChangeShapeType="1"/>
                          </a:cNvCxnSpPr>
                        </a:nvCxnSpPr>
                        <a:spPr bwMode="auto">
                          <a:xfrm>
                            <a:off x="2615" y="11773"/>
                            <a:ext cx="3997" cy="0"/>
                          </a:xfrm>
                          <a:prstGeom prst="straightConnector1">
                            <a:avLst/>
                          </a:prstGeom>
                          <a:noFill/>
                          <a:ln w="19050">
                            <a:solidFill>
                              <a:srgbClr val="000000"/>
                            </a:solidFill>
                            <a:round/>
                            <a:headEnd/>
                            <a:tailEnd/>
                          </a:ln>
                        </a:spPr>
                      </a:cxnSp>
                      <a:cxnSp>
                        <a:nvCxnSpPr>
                          <a:cNvPr id="3086" name="AutoShape 26"/>
                          <a:cNvCxnSpPr>
                            <a:cxnSpLocks noChangeShapeType="1"/>
                          </a:cNvCxnSpPr>
                        </a:nvCxnSpPr>
                        <a:spPr bwMode="auto">
                          <a:xfrm>
                            <a:off x="2615" y="8536"/>
                            <a:ext cx="0" cy="3237"/>
                          </a:xfrm>
                          <a:prstGeom prst="straightConnector1">
                            <a:avLst/>
                          </a:prstGeom>
                          <a:noFill/>
                          <a:ln w="19050">
                            <a:solidFill>
                              <a:srgbClr val="000000"/>
                            </a:solidFill>
                            <a:round/>
                            <a:headEnd/>
                            <a:tailEnd/>
                          </a:ln>
                        </a:spPr>
                      </a:cxnSp>
                      <a:sp>
                        <a:nvSpPr>
                          <a:cNvPr id="3087" name="Freeform 27"/>
                          <a:cNvSpPr>
                            <a:spLocks/>
                          </a:cNvSpPr>
                        </a:nvSpPr>
                        <a:spPr bwMode="auto">
                          <a:xfrm>
                            <a:off x="2615" y="9251"/>
                            <a:ext cx="3629" cy="2522"/>
                          </a:xfrm>
                          <a:custGeom>
                            <a:avLst/>
                            <a:gdLst>
                              <a:gd name="T0" fmla="*/ 0 w 3882"/>
                              <a:gd name="T1" fmla="*/ 1422 h 2737"/>
                              <a:gd name="T2" fmla="*/ 557 w 3882"/>
                              <a:gd name="T3" fmla="*/ 1267 h 2737"/>
                              <a:gd name="T4" fmla="*/ 941 w 3882"/>
                              <a:gd name="T5" fmla="*/ 913 h 2737"/>
                              <a:gd name="T6" fmla="*/ 1189 w 3882"/>
                              <a:gd name="T7" fmla="*/ 370 h 2737"/>
                              <a:gd name="T8" fmla="*/ 1659 w 3882"/>
                              <a:gd name="T9" fmla="*/ 58 h 2737"/>
                              <a:gd name="T10" fmla="*/ 2263 w 3882"/>
                              <a:gd name="T11" fmla="*/ 22 h 2737"/>
                              <a:gd name="T12" fmla="*/ 0 60000 65536"/>
                              <a:gd name="T13" fmla="*/ 0 60000 65536"/>
                              <a:gd name="T14" fmla="*/ 0 60000 65536"/>
                              <a:gd name="T15" fmla="*/ 0 60000 65536"/>
                              <a:gd name="T16" fmla="*/ 0 60000 65536"/>
                              <a:gd name="T17" fmla="*/ 0 60000 65536"/>
                              <a:gd name="T18" fmla="*/ 0 w 3882"/>
                              <a:gd name="T19" fmla="*/ 0 h 2737"/>
                              <a:gd name="T20" fmla="*/ 3882 w 3882"/>
                              <a:gd name="T21" fmla="*/ 2737 h 2737"/>
                            </a:gdLst>
                            <a:ahLst/>
                            <a:cxnLst>
                              <a:cxn ang="T12">
                                <a:pos x="T0" y="T1"/>
                              </a:cxn>
                              <a:cxn ang="T13">
                                <a:pos x="T2" y="T3"/>
                              </a:cxn>
                              <a:cxn ang="T14">
                                <a:pos x="T4" y="T5"/>
                              </a:cxn>
                              <a:cxn ang="T15">
                                <a:pos x="T6" y="T7"/>
                              </a:cxn>
                              <a:cxn ang="T16">
                                <a:pos x="T8" y="T9"/>
                              </a:cxn>
                              <a:cxn ang="T17">
                                <a:pos x="T10" y="T11"/>
                              </a:cxn>
                            </a:cxnLst>
                            <a:rect l="T18" t="T19" r="T20" b="T21"/>
                            <a:pathLst>
                              <a:path w="3882" h="2737">
                                <a:moveTo>
                                  <a:pt x="0" y="2737"/>
                                </a:moveTo>
                                <a:cubicBezTo>
                                  <a:pt x="343" y="2669"/>
                                  <a:pt x="687" y="2601"/>
                                  <a:pt x="956" y="2438"/>
                                </a:cubicBezTo>
                                <a:cubicBezTo>
                                  <a:pt x="1225" y="2275"/>
                                  <a:pt x="1433" y="2046"/>
                                  <a:pt x="1613" y="1758"/>
                                </a:cubicBezTo>
                                <a:cubicBezTo>
                                  <a:pt x="1793" y="1470"/>
                                  <a:pt x="1834" y="984"/>
                                  <a:pt x="2039" y="710"/>
                                </a:cubicBezTo>
                                <a:cubicBezTo>
                                  <a:pt x="2244" y="436"/>
                                  <a:pt x="2538" y="222"/>
                                  <a:pt x="2845" y="111"/>
                                </a:cubicBezTo>
                                <a:cubicBezTo>
                                  <a:pt x="3152" y="0"/>
                                  <a:pt x="3707" y="52"/>
                                  <a:pt x="3882" y="42"/>
                                </a:cubicBezTo>
                              </a:path>
                            </a:pathLst>
                          </a:custGeom>
                          <a:noFill/>
                          <a:ln w="19050" cmpd="sng">
                            <a:solidFill>
                              <a:srgbClr val="000000"/>
                            </a:solidFill>
                            <a:round/>
                            <a:headEnd/>
                            <a:tailEnd/>
                          </a:ln>
                        </a:spPr>
                        <a:txSp>
                          <a:txBody>
                            <a:bodyPr/>
                            <a:lstStyle>
                              <a:defPPr>
                                <a:defRPr lang="en-NZ"/>
                              </a:defPPr>
                              <a:lvl1pPr algn="l" rtl="0" fontAlgn="base">
                                <a:spcBef>
                                  <a:spcPct val="0"/>
                                </a:spcBef>
                                <a:spcAft>
                                  <a:spcPct val="0"/>
                                </a:spcAft>
                                <a:defRPr sz="3200" kern="1200">
                                  <a:solidFill>
                                    <a:schemeClr val="tx1"/>
                                  </a:solidFill>
                                  <a:latin typeface="Helvetica" pitchFamily="34" charset="0"/>
                                  <a:ea typeface="+mn-ea"/>
                                  <a:cs typeface="+mn-cs"/>
                                </a:defRPr>
                              </a:lvl1pPr>
                              <a:lvl2pPr marL="457200" algn="l" rtl="0" fontAlgn="base">
                                <a:spcBef>
                                  <a:spcPct val="0"/>
                                </a:spcBef>
                                <a:spcAft>
                                  <a:spcPct val="0"/>
                                </a:spcAft>
                                <a:defRPr sz="3200" kern="1200">
                                  <a:solidFill>
                                    <a:schemeClr val="tx1"/>
                                  </a:solidFill>
                                  <a:latin typeface="Helvetica" pitchFamily="34" charset="0"/>
                                  <a:ea typeface="+mn-ea"/>
                                  <a:cs typeface="+mn-cs"/>
                                </a:defRPr>
                              </a:lvl2pPr>
                              <a:lvl3pPr marL="914400" algn="l" rtl="0" fontAlgn="base">
                                <a:spcBef>
                                  <a:spcPct val="0"/>
                                </a:spcBef>
                                <a:spcAft>
                                  <a:spcPct val="0"/>
                                </a:spcAft>
                                <a:defRPr sz="3200" kern="1200">
                                  <a:solidFill>
                                    <a:schemeClr val="tx1"/>
                                  </a:solidFill>
                                  <a:latin typeface="Helvetica" pitchFamily="34" charset="0"/>
                                  <a:ea typeface="+mn-ea"/>
                                  <a:cs typeface="+mn-cs"/>
                                </a:defRPr>
                              </a:lvl3pPr>
                              <a:lvl4pPr marL="1371600" algn="l" rtl="0" fontAlgn="base">
                                <a:spcBef>
                                  <a:spcPct val="0"/>
                                </a:spcBef>
                                <a:spcAft>
                                  <a:spcPct val="0"/>
                                </a:spcAft>
                                <a:defRPr sz="3200" kern="1200">
                                  <a:solidFill>
                                    <a:schemeClr val="tx1"/>
                                  </a:solidFill>
                                  <a:latin typeface="Helvetica" pitchFamily="34" charset="0"/>
                                  <a:ea typeface="+mn-ea"/>
                                  <a:cs typeface="+mn-cs"/>
                                </a:defRPr>
                              </a:lvl4pPr>
                              <a:lvl5pPr marL="1828800" algn="l" rtl="0" fontAlgn="base">
                                <a:spcBef>
                                  <a:spcPct val="0"/>
                                </a:spcBef>
                                <a:spcAft>
                                  <a:spcPct val="0"/>
                                </a:spcAft>
                                <a:defRPr sz="3200" kern="1200">
                                  <a:solidFill>
                                    <a:schemeClr val="tx1"/>
                                  </a:solidFill>
                                  <a:latin typeface="Helvetica" pitchFamily="34" charset="0"/>
                                  <a:ea typeface="+mn-ea"/>
                                  <a:cs typeface="+mn-cs"/>
                                </a:defRPr>
                              </a:lvl5pPr>
                              <a:lvl6pPr marL="2286000" algn="l" defTabSz="914400" rtl="0" eaLnBrk="1" latinLnBrk="0" hangingPunct="1">
                                <a:defRPr sz="3200" kern="1200">
                                  <a:solidFill>
                                    <a:schemeClr val="tx1"/>
                                  </a:solidFill>
                                  <a:latin typeface="Helvetica" pitchFamily="34" charset="0"/>
                                  <a:ea typeface="+mn-ea"/>
                                  <a:cs typeface="+mn-cs"/>
                                </a:defRPr>
                              </a:lvl6pPr>
                              <a:lvl7pPr marL="2743200" algn="l" defTabSz="914400" rtl="0" eaLnBrk="1" latinLnBrk="0" hangingPunct="1">
                                <a:defRPr sz="3200" kern="1200">
                                  <a:solidFill>
                                    <a:schemeClr val="tx1"/>
                                  </a:solidFill>
                                  <a:latin typeface="Helvetica" pitchFamily="34" charset="0"/>
                                  <a:ea typeface="+mn-ea"/>
                                  <a:cs typeface="+mn-cs"/>
                                </a:defRPr>
                              </a:lvl7pPr>
                              <a:lvl8pPr marL="3200400" algn="l" defTabSz="914400" rtl="0" eaLnBrk="1" latinLnBrk="0" hangingPunct="1">
                                <a:defRPr sz="3200" kern="1200">
                                  <a:solidFill>
                                    <a:schemeClr val="tx1"/>
                                  </a:solidFill>
                                  <a:latin typeface="Helvetica" pitchFamily="34" charset="0"/>
                                  <a:ea typeface="+mn-ea"/>
                                  <a:cs typeface="+mn-cs"/>
                                </a:defRPr>
                              </a:lvl8pPr>
                              <a:lvl9pPr marL="3657600" algn="l" defTabSz="914400" rtl="0" eaLnBrk="1" latinLnBrk="0" hangingPunct="1">
                                <a:defRPr sz="3200" kern="1200">
                                  <a:solidFill>
                                    <a:schemeClr val="tx1"/>
                                  </a:solidFill>
                                  <a:latin typeface="Helvetica" pitchFamily="34" charset="0"/>
                                  <a:ea typeface="+mn-ea"/>
                                  <a:cs typeface="+mn-cs"/>
                                </a:defRPr>
                              </a:lvl9pPr>
                            </a:lstStyle>
                            <a:p>
                              <a:endParaRPr lang="en-NZ"/>
                            </a:p>
                          </a:txBody>
                          <a:useSpRect/>
                        </a:txSp>
                      </a:sp>
                    </a:grpSp>
                    <a:cxnSp>
                      <a:nvCxnSpPr>
                        <a:cNvPr id="3084" name="AutoShape 28"/>
                        <a:cNvCxnSpPr>
                          <a:cxnSpLocks noChangeShapeType="1"/>
                        </a:cNvCxnSpPr>
                      </a:nvCxnSpPr>
                      <a:spPr bwMode="auto">
                        <a:xfrm>
                          <a:off x="2615" y="9251"/>
                          <a:ext cx="3779" cy="0"/>
                        </a:xfrm>
                        <a:prstGeom prst="straightConnector1">
                          <a:avLst/>
                        </a:prstGeom>
                        <a:noFill/>
                        <a:ln w="9525">
                          <a:solidFill>
                            <a:srgbClr val="000000"/>
                          </a:solidFill>
                          <a:prstDash val="dash"/>
                          <a:round/>
                          <a:headEnd/>
                          <a:tailEnd/>
                        </a:ln>
                      </a:spPr>
                    </a:cxnSp>
                  </a:grpSp>
                </lc:lockedCanvas>
              </a:graphicData>
            </a:graphic>
          </wp:inline>
        </w:drawing>
      </w:r>
    </w:p>
    <w:p w:rsidR="00C45539" w:rsidRPr="007B6F21" w:rsidRDefault="00C45539" w:rsidP="008C7D19">
      <w:pPr>
        <w:tabs>
          <w:tab w:val="left" w:pos="9781"/>
        </w:tabs>
        <w:spacing w:after="0"/>
        <w:ind w:right="82"/>
        <w:jc w:val="both"/>
        <w:rPr>
          <w:i/>
          <w:iCs/>
        </w:rPr>
      </w:pPr>
      <w:r w:rsidRPr="007B6F21">
        <w:rPr>
          <w:i/>
          <w:iCs/>
        </w:rPr>
        <w:t xml:space="preserve">                                                           t</w:t>
      </w:r>
    </w:p>
    <w:p w:rsidR="00C45539" w:rsidRDefault="00C45539" w:rsidP="008C7D19">
      <w:pPr>
        <w:tabs>
          <w:tab w:val="left" w:pos="9781"/>
        </w:tabs>
        <w:spacing w:after="0"/>
        <w:ind w:right="82"/>
        <w:jc w:val="both"/>
      </w:pPr>
    </w:p>
    <w:p w:rsidR="003B1360" w:rsidRDefault="00FB2D5E" w:rsidP="003B1360">
      <w:pPr>
        <w:tabs>
          <w:tab w:val="left" w:pos="9781"/>
        </w:tabs>
        <w:spacing w:after="0"/>
        <w:ind w:right="82"/>
        <w:jc w:val="both"/>
      </w:pPr>
      <w:r>
        <w:t xml:space="preserve">The </w:t>
      </w:r>
      <w:r w:rsidR="00C45539">
        <w:t xml:space="preserve">logistic </w:t>
      </w:r>
      <w:r>
        <w:t>equation</w:t>
      </w:r>
      <w:r w:rsidR="00C45539">
        <w:t xml:space="preserve"> (Figure 3)</w:t>
      </w:r>
      <w:r>
        <w:t xml:space="preserve"> is given by:</w:t>
      </w:r>
    </w:p>
    <w:p w:rsidR="003B1360" w:rsidRPr="003B1360" w:rsidRDefault="003B1360" w:rsidP="003B1360">
      <w:pPr>
        <w:tabs>
          <w:tab w:val="left" w:pos="9781"/>
        </w:tabs>
        <w:spacing w:after="0"/>
        <w:ind w:right="82"/>
        <w:jc w:val="both"/>
        <w:rPr>
          <w:position w:val="-24"/>
          <w:sz w:val="20"/>
        </w:rPr>
      </w:pPr>
    </w:p>
    <w:p w:rsidR="00E14A56" w:rsidRDefault="003B1360">
      <w:pPr>
        <w:tabs>
          <w:tab w:val="left" w:pos="9498"/>
          <w:tab w:val="left" w:pos="9781"/>
        </w:tabs>
        <w:spacing w:after="0"/>
        <w:ind w:right="82"/>
        <w:jc w:val="both"/>
        <w:rPr>
          <w:rFonts w:asciiTheme="majorBidi" w:hAnsiTheme="majorBidi" w:cstheme="majorBidi"/>
        </w:rPr>
      </w:pPr>
      <w:r w:rsidRPr="003B1360">
        <w:rPr>
          <w:position w:val="-24"/>
          <w:sz w:val="20"/>
        </w:rPr>
        <w:t xml:space="preserve"> </w:t>
      </w:r>
      <w:r w:rsidRPr="003B1360">
        <w:rPr>
          <w:position w:val="-30"/>
          <w:sz w:val="20"/>
        </w:rPr>
        <w:object w:dxaOrig="2079" w:dyaOrig="700">
          <v:shape id="_x0000_i1028" type="#_x0000_t75" style="width:104.25pt;height:36pt" o:ole="">
            <v:imagedata r:id="rId16" o:title=""/>
          </v:shape>
          <o:OLEObject Type="Embed" ProgID="Equation.3" ShapeID="_x0000_i1028" DrawAspect="Content" ObjectID="_1416920889" r:id="rId17"/>
        </w:object>
      </w:r>
    </w:p>
    <w:p w:rsidR="002A355E" w:rsidRDefault="002A355E" w:rsidP="008C7D19">
      <w:pPr>
        <w:tabs>
          <w:tab w:val="left" w:pos="9781"/>
        </w:tabs>
        <w:spacing w:after="0"/>
        <w:ind w:right="82"/>
        <w:jc w:val="both"/>
      </w:pPr>
    </w:p>
    <w:p w:rsidR="00B2667A" w:rsidRDefault="00E06588" w:rsidP="008C7D19">
      <w:pPr>
        <w:tabs>
          <w:tab w:val="left" w:pos="9781"/>
        </w:tabs>
        <w:spacing w:after="0"/>
        <w:ind w:right="82"/>
        <w:jc w:val="both"/>
      </w:pPr>
      <w:r>
        <w:t>w</w:t>
      </w:r>
      <w:r w:rsidR="00FB2D5E">
        <w:t>here</w:t>
      </w:r>
      <w:r>
        <w:t xml:space="preserve"> </w:t>
      </w:r>
      <w:proofErr w:type="spellStart"/>
      <w:r w:rsidRPr="00E06588">
        <w:rPr>
          <w:i/>
          <w:iCs/>
        </w:rPr>
        <w:t>r</w:t>
      </w:r>
      <w:r w:rsidRPr="00E06588">
        <w:rPr>
          <w:i/>
          <w:iCs/>
          <w:vertAlign w:val="subscript"/>
        </w:rPr>
        <w:t>M</w:t>
      </w:r>
      <w:proofErr w:type="spellEnd"/>
      <w:r>
        <w:t xml:space="preserve"> is the ‘intrinsic’ growth rate</w:t>
      </w:r>
      <w:r w:rsidR="00042EB5">
        <w:t xml:space="preserve">, defined as the growth rate at which </w:t>
      </w:r>
      <w:r w:rsidR="00042EB5" w:rsidRPr="00A93B6D">
        <w:rPr>
          <w:i/>
        </w:rPr>
        <w:t>M</w:t>
      </w:r>
      <w:r w:rsidR="00042EB5">
        <w:t xml:space="preserve"> would grow without the inhibiting effects of resource scarcity. Resource scarcity is introduced via the term</w:t>
      </w:r>
      <w:r w:rsidR="00FB2D5E">
        <w:t xml:space="preserve"> </w:t>
      </w:r>
      <w:commentRangeStart w:id="6"/>
      <w:r w:rsidR="00FB2D5E" w:rsidRPr="00FB2D5E">
        <w:rPr>
          <w:i/>
          <w:iCs/>
        </w:rPr>
        <w:t>K</w:t>
      </w:r>
      <w:r w:rsidR="00FB2D5E" w:rsidRPr="00FB2D5E">
        <w:rPr>
          <w:i/>
          <w:iCs/>
          <w:vertAlign w:val="subscript"/>
        </w:rPr>
        <w:t>M</w:t>
      </w:r>
      <w:r w:rsidR="00042EB5">
        <w:t>,</w:t>
      </w:r>
      <w:r w:rsidR="00FB2D5E">
        <w:t xml:space="preserve"> the upper limit to manufacturing output</w:t>
      </w:r>
      <w:r w:rsidR="008F372A">
        <w:t xml:space="preserve"> defined by existing resources</w:t>
      </w:r>
      <w:r w:rsidR="00D429F7">
        <w:t xml:space="preserve"> in the sector</w:t>
      </w:r>
      <w:commentRangeEnd w:id="6"/>
      <w:r w:rsidR="00080C36">
        <w:rPr>
          <w:rStyle w:val="CommentReference"/>
        </w:rPr>
        <w:commentReference w:id="6"/>
      </w:r>
      <w:r w:rsidR="00FB2D5E">
        <w:t>.</w:t>
      </w:r>
      <w:r>
        <w:t xml:space="preserve"> </w:t>
      </w:r>
      <w:r w:rsidR="00042EB5">
        <w:t>More specifically, –</w:t>
      </w:r>
      <w:r w:rsidR="00042EB5" w:rsidRPr="00473175">
        <w:rPr>
          <w:i/>
          <w:iCs/>
        </w:rPr>
        <w:t>M</w:t>
      </w:r>
      <w:r w:rsidR="00042EB5">
        <w:t>/</w:t>
      </w:r>
      <w:r w:rsidR="00042EB5" w:rsidRPr="00473175">
        <w:rPr>
          <w:i/>
          <w:iCs/>
        </w:rPr>
        <w:t>K</w:t>
      </w:r>
      <w:r w:rsidR="00042EB5" w:rsidRPr="00473175">
        <w:rPr>
          <w:i/>
          <w:iCs/>
          <w:vertAlign w:val="subscript"/>
        </w:rPr>
        <w:t>M</w:t>
      </w:r>
      <w:r w:rsidR="00042EB5">
        <w:t xml:space="preserve"> indicates intra-sectoral competition</w:t>
      </w:r>
      <w:r w:rsidR="00C01F1F">
        <w:t>.</w:t>
      </w:r>
      <w:r w:rsidR="00042EB5">
        <w:t xml:space="preserve"> </w:t>
      </w:r>
      <w:r w:rsidR="00C01F1F">
        <w:t xml:space="preserve">Increasing </w:t>
      </w:r>
      <w:r w:rsidR="004976A0" w:rsidRPr="004976A0">
        <w:rPr>
          <w:i/>
          <w:iCs/>
        </w:rPr>
        <w:t>M</w:t>
      </w:r>
      <w:r w:rsidR="00C01F1F">
        <w:t xml:space="preserve"> may lead to greater</w:t>
      </w:r>
      <w:r w:rsidR="00042EB5">
        <w:t xml:space="preserve"> compet</w:t>
      </w:r>
      <w:r w:rsidR="00C01F1F">
        <w:t>ition</w:t>
      </w:r>
      <w:r w:rsidR="00042EB5">
        <w:t xml:space="preserve"> for fixed resources</w:t>
      </w:r>
      <w:r w:rsidR="00C01F1F">
        <w:t xml:space="preserve">, such that </w:t>
      </w:r>
      <w:proofErr w:type="gramStart"/>
      <w:r w:rsidR="00C01F1F">
        <w:t>the per</w:t>
      </w:r>
      <w:proofErr w:type="gramEnd"/>
      <w:r w:rsidR="00C01F1F">
        <w:t xml:space="preserve"> unit growth rate of industry, </w:t>
      </w:r>
      <w:r w:rsidR="003B1360" w:rsidRPr="003B1360">
        <w:rPr>
          <w:position w:val="-30"/>
          <w:sz w:val="20"/>
        </w:rPr>
        <w:object w:dxaOrig="1500" w:dyaOrig="700">
          <v:shape id="_x0000_i1029" type="#_x0000_t75" style="width:75.75pt;height:36pt" o:ole="">
            <v:imagedata r:id="rId18" o:title=""/>
          </v:shape>
          <o:OLEObject Type="Embed" ProgID="Equation.3" ShapeID="_x0000_i1029" DrawAspect="Content" ObjectID="_1416920890" r:id="rId19"/>
        </w:object>
      </w:r>
      <w:r w:rsidR="00C01F1F">
        <w:rPr>
          <w:rFonts w:asciiTheme="majorBidi" w:hAnsiTheme="majorBidi" w:cstheme="majorBidi"/>
        </w:rPr>
        <w:t>falls.</w:t>
      </w:r>
      <w:r w:rsidR="00790971">
        <w:rPr>
          <w:rFonts w:asciiTheme="majorBidi" w:hAnsiTheme="majorBidi" w:cstheme="majorBidi"/>
        </w:rPr>
        <w:t xml:space="preserve"> </w:t>
      </w:r>
      <w:r>
        <w:t xml:space="preserve">Hence, our search for </w:t>
      </w:r>
      <w:r w:rsidRPr="006E6590">
        <w:rPr>
          <w:i/>
          <w:iCs/>
        </w:rPr>
        <w:t>r</w:t>
      </w:r>
      <w:r>
        <w:t xml:space="preserve"> leads us to consider</w:t>
      </w:r>
      <w:r w:rsidR="002741CB">
        <w:t xml:space="preserve"> </w:t>
      </w:r>
      <w:r w:rsidR="00034A16" w:rsidRPr="003B1360">
        <w:rPr>
          <w:position w:val="-30"/>
          <w:sz w:val="20"/>
        </w:rPr>
        <w:object w:dxaOrig="1640" w:dyaOrig="700">
          <v:shape id="_x0000_i1030" type="#_x0000_t75" style="width:82.5pt;height:36pt" o:ole="">
            <v:imagedata r:id="rId20" o:title=""/>
          </v:shape>
          <o:OLEObject Type="Embed" ProgID="Equation.3" ShapeID="_x0000_i1030" DrawAspect="Content" ObjectID="_1416920891" r:id="rId21"/>
        </w:object>
      </w:r>
      <w:r w:rsidR="002741CB">
        <w:t xml:space="preserve"> </w:t>
      </w:r>
      <w:r w:rsidR="00042EB5">
        <w:t xml:space="preserve">where </w:t>
      </w:r>
      <w:r w:rsidR="004976A0" w:rsidRPr="004976A0">
        <w:rPr>
          <w:i/>
          <w:iCs/>
        </w:rPr>
        <w:t>r</w:t>
      </w:r>
      <w:r w:rsidR="00042EB5">
        <w:t xml:space="preserve"> may be decomposed into two distinct terms: the intrinsic growth rate, </w:t>
      </w:r>
      <w:proofErr w:type="spellStart"/>
      <w:r w:rsidR="00042EB5" w:rsidRPr="00E06588">
        <w:rPr>
          <w:i/>
          <w:iCs/>
        </w:rPr>
        <w:t>r</w:t>
      </w:r>
      <w:r w:rsidR="00042EB5" w:rsidRPr="00E06588">
        <w:rPr>
          <w:i/>
          <w:iCs/>
          <w:vertAlign w:val="subscript"/>
        </w:rPr>
        <w:t>M</w:t>
      </w:r>
      <w:proofErr w:type="spellEnd"/>
      <w:r w:rsidR="00042EB5">
        <w:t>, and the impact of resource constraints</w:t>
      </w:r>
      <w:r w:rsidR="00C01F1F">
        <w:t>, –</w:t>
      </w:r>
      <w:proofErr w:type="spellStart"/>
      <w:r w:rsidR="00A457A9">
        <w:rPr>
          <w:i/>
          <w:iCs/>
        </w:rPr>
        <w:t>r</w:t>
      </w:r>
      <w:r w:rsidR="004976A0" w:rsidRPr="004976A0">
        <w:rPr>
          <w:i/>
          <w:iCs/>
          <w:vertAlign w:val="subscript"/>
        </w:rPr>
        <w:t>M</w:t>
      </w:r>
      <w:r w:rsidR="00A457A9">
        <w:rPr>
          <w:i/>
          <w:iCs/>
        </w:rPr>
        <w:t>M</w:t>
      </w:r>
      <w:proofErr w:type="spellEnd"/>
      <w:r w:rsidR="00C01F1F">
        <w:t>/</w:t>
      </w:r>
      <w:r w:rsidR="00C01F1F" w:rsidRPr="00473175">
        <w:rPr>
          <w:i/>
          <w:iCs/>
        </w:rPr>
        <w:t>K</w:t>
      </w:r>
      <w:r w:rsidR="00C01F1F" w:rsidRPr="00473175">
        <w:rPr>
          <w:i/>
          <w:iCs/>
          <w:vertAlign w:val="subscript"/>
        </w:rPr>
        <w:t>M</w:t>
      </w:r>
      <w:r w:rsidR="00C45539">
        <w:t>, that</w:t>
      </w:r>
      <w:r w:rsidR="00C45539">
        <w:rPr>
          <w:i/>
          <w:iCs/>
        </w:rPr>
        <w:t xml:space="preserve"> </w:t>
      </w:r>
      <w:r w:rsidR="004976A0" w:rsidRPr="004976A0">
        <w:t xml:space="preserve">also </w:t>
      </w:r>
      <w:proofErr w:type="gramStart"/>
      <w:r w:rsidR="00C45539">
        <w:t>determine</w:t>
      </w:r>
      <w:proofErr w:type="gramEnd"/>
      <w:r w:rsidR="00C45539">
        <w:t xml:space="preserve"> </w:t>
      </w:r>
      <w:r w:rsidR="004976A0" w:rsidRPr="004976A0">
        <w:rPr>
          <w:i/>
          <w:iCs/>
        </w:rPr>
        <w:t>r</w:t>
      </w:r>
      <w:r w:rsidR="00A457A9">
        <w:t>.</w:t>
      </w:r>
      <w:r w:rsidR="00C45539">
        <w:t xml:space="preserve"> </w:t>
      </w:r>
    </w:p>
    <w:p w:rsidR="00D76932" w:rsidRDefault="00D76932" w:rsidP="008C7D19">
      <w:pPr>
        <w:tabs>
          <w:tab w:val="left" w:pos="9781"/>
        </w:tabs>
        <w:spacing w:after="0"/>
        <w:ind w:right="82"/>
        <w:jc w:val="both"/>
      </w:pPr>
    </w:p>
    <w:p w:rsidR="00966C12" w:rsidRDefault="002D6474" w:rsidP="008C7D19">
      <w:pPr>
        <w:tabs>
          <w:tab w:val="left" w:pos="9781"/>
        </w:tabs>
        <w:spacing w:after="0"/>
        <w:ind w:right="82"/>
        <w:jc w:val="both"/>
      </w:pPr>
      <w:r>
        <w:t xml:space="preserve">     </w:t>
      </w:r>
      <w:r w:rsidR="00C511D7">
        <w:t>To establish the microfoundations of the logistic equation, w</w:t>
      </w:r>
      <w:r w:rsidR="00B67BF8">
        <w:t xml:space="preserve">e </w:t>
      </w:r>
      <w:r w:rsidR="00210CB1">
        <w:t>begin with a</w:t>
      </w:r>
      <w:r w:rsidR="00B67BF8">
        <w:t xml:space="preserve"> one-sector</w:t>
      </w:r>
      <w:r w:rsidR="00210CB1">
        <w:t xml:space="preserve"> model of</w:t>
      </w:r>
      <w:r w:rsidR="00B67BF8">
        <w:t xml:space="preserve"> economic grow</w:t>
      </w:r>
      <w:r w:rsidR="00762DD1">
        <w:t>th</w:t>
      </w:r>
      <w:r w:rsidR="00210CB1">
        <w:t>, that of</w:t>
      </w:r>
      <w:r w:rsidR="0065064D">
        <w:t xml:space="preserve"> industry</w:t>
      </w:r>
      <w:r w:rsidR="00B76151">
        <w:t>.</w:t>
      </w:r>
      <w:r w:rsidR="00503A82">
        <w:t xml:space="preserve"> We </w:t>
      </w:r>
      <w:r w:rsidR="00685C63">
        <w:t xml:space="preserve">could </w:t>
      </w:r>
      <w:r w:rsidR="00503A82">
        <w:t xml:space="preserve">define </w:t>
      </w:r>
      <w:r w:rsidR="004976A0" w:rsidRPr="004976A0">
        <w:rPr>
          <w:i/>
          <w:iCs/>
        </w:rPr>
        <w:t>M</w:t>
      </w:r>
      <w:r w:rsidR="00503A82">
        <w:t xml:space="preserve"> as the size of industry, either as measured output or, if firms are assumed to be identical, as the number of firms. </w:t>
      </w:r>
      <w:r w:rsidR="00AE2848">
        <w:t>To enhance the intuit</w:t>
      </w:r>
      <w:r w:rsidR="0006419D">
        <w:t xml:space="preserve">ive value of what follows, we </w:t>
      </w:r>
      <w:r w:rsidR="00503A82">
        <w:t>tak</w:t>
      </w:r>
      <w:r w:rsidR="00AE2848">
        <w:t xml:space="preserve">e </w:t>
      </w:r>
      <w:r w:rsidR="007B487E">
        <w:rPr>
          <w:i/>
        </w:rPr>
        <w:t>M</w:t>
      </w:r>
      <w:r w:rsidR="00AE2848">
        <w:t xml:space="preserve"> as </w:t>
      </w:r>
      <w:r w:rsidR="007B487E" w:rsidRPr="007B487E">
        <w:t>the number of</w:t>
      </w:r>
      <w:r w:rsidR="00503A82">
        <w:t xml:space="preserve"> identical</w:t>
      </w:r>
      <w:r w:rsidR="007B487E" w:rsidRPr="007B487E">
        <w:t xml:space="preserve"> fi</w:t>
      </w:r>
      <w:r w:rsidR="00AE2848" w:rsidRPr="007B487E">
        <w:t>rms</w:t>
      </w:r>
      <w:r w:rsidR="0065064D">
        <w:t xml:space="preserve"> within industry</w:t>
      </w:r>
      <w:r w:rsidR="00AE2848">
        <w:t>.</w:t>
      </w:r>
      <w:r w:rsidR="00B76151">
        <w:t xml:space="preserve"> </w:t>
      </w:r>
      <w:r w:rsidR="00B67BF8">
        <w:t xml:space="preserve">Let </w:t>
      </w:r>
      <w:proofErr w:type="gramStart"/>
      <w:r w:rsidR="00B67BF8">
        <w:rPr>
          <w:i/>
        </w:rPr>
        <w:t>C</w:t>
      </w:r>
      <w:r w:rsidR="00B67BF8">
        <w:t>(</w:t>
      </w:r>
      <w:proofErr w:type="gramEnd"/>
      <w:r w:rsidR="00B67BF8">
        <w:rPr>
          <w:i/>
        </w:rPr>
        <w:t>q</w:t>
      </w:r>
      <w:r w:rsidR="00B67BF8">
        <w:t>,</w:t>
      </w:r>
      <w:r w:rsidR="00762DD1">
        <w:t xml:space="preserve"> </w:t>
      </w:r>
      <w:r w:rsidR="00B340B8">
        <w:rPr>
          <w:i/>
        </w:rPr>
        <w:t>M</w:t>
      </w:r>
      <w:r w:rsidR="00762DD1">
        <w:t>) be the cost per unit of a</w:t>
      </w:r>
      <w:r w:rsidR="00B67BF8">
        <w:t xml:space="preserve"> </w:t>
      </w:r>
      <w:r w:rsidR="007B487E">
        <w:t>firm</w:t>
      </w:r>
      <w:r w:rsidR="00B67BF8">
        <w:t xml:space="preserve">’s output, </w:t>
      </w:r>
      <w:r w:rsidR="00B67BF8">
        <w:rPr>
          <w:i/>
        </w:rPr>
        <w:t>q</w:t>
      </w:r>
      <w:r w:rsidR="00B67BF8">
        <w:t xml:space="preserve">, when the number of </w:t>
      </w:r>
      <w:r w:rsidR="007B487E">
        <w:t>firm</w:t>
      </w:r>
      <w:r w:rsidR="0065064D">
        <w:t>s in</w:t>
      </w:r>
      <w:r w:rsidR="00B032D3">
        <w:t xml:space="preserve"> industry is </w:t>
      </w:r>
      <w:r w:rsidR="00B340B8">
        <w:rPr>
          <w:i/>
        </w:rPr>
        <w:t>M</w:t>
      </w:r>
      <w:r w:rsidR="00B67BF8">
        <w:t xml:space="preserve">. Let </w:t>
      </w:r>
      <w:proofErr w:type="gramStart"/>
      <w:r w:rsidR="00B67BF8">
        <w:rPr>
          <w:i/>
        </w:rPr>
        <w:t>R</w:t>
      </w:r>
      <w:r w:rsidR="00B67BF8">
        <w:t>(</w:t>
      </w:r>
      <w:proofErr w:type="gramEnd"/>
      <w:r w:rsidR="00B67BF8">
        <w:rPr>
          <w:i/>
        </w:rPr>
        <w:t>q</w:t>
      </w:r>
      <w:r w:rsidR="00B67BF8">
        <w:t>,</w:t>
      </w:r>
      <w:r w:rsidR="00762DD1">
        <w:t xml:space="preserve"> </w:t>
      </w:r>
      <w:r w:rsidR="00B340B8">
        <w:rPr>
          <w:i/>
        </w:rPr>
        <w:t>M</w:t>
      </w:r>
      <w:r w:rsidR="00B67BF8">
        <w:t xml:space="preserve">) be the </w:t>
      </w:r>
      <w:r w:rsidR="007B487E">
        <w:t>firm</w:t>
      </w:r>
      <w:r w:rsidR="00762DD1">
        <w:t xml:space="preserve">’s </w:t>
      </w:r>
      <w:r w:rsidR="00B67BF8">
        <w:t>revenue per unit of output. Total profit</w:t>
      </w:r>
      <w:r w:rsidR="00762DD1">
        <w:t xml:space="preserve"> of a </w:t>
      </w:r>
      <w:r w:rsidR="007B487E">
        <w:t>firm</w:t>
      </w:r>
      <w:r w:rsidR="00B67BF8">
        <w:t xml:space="preserve"> is </w:t>
      </w:r>
      <w:r w:rsidR="00B67BF8">
        <w:rPr>
          <w:i/>
        </w:rPr>
        <w:sym w:font="Symbol" w:char="F070"/>
      </w:r>
      <w:r w:rsidR="00B67BF8">
        <w:t>(</w:t>
      </w:r>
      <w:r w:rsidR="00B67BF8">
        <w:rPr>
          <w:i/>
        </w:rPr>
        <w:t>q</w:t>
      </w:r>
      <w:r w:rsidR="00B67BF8">
        <w:t>,</w:t>
      </w:r>
      <w:r w:rsidR="00762DD1">
        <w:t xml:space="preserve"> </w:t>
      </w:r>
      <w:r w:rsidR="00B340B8">
        <w:rPr>
          <w:i/>
        </w:rPr>
        <w:t>M</w:t>
      </w:r>
      <w:r w:rsidR="00B67BF8">
        <w:t>) = (</w:t>
      </w:r>
      <w:r w:rsidR="00B67BF8">
        <w:rPr>
          <w:i/>
        </w:rPr>
        <w:t>R</w:t>
      </w:r>
      <w:r w:rsidR="00B67BF8">
        <w:t>-</w:t>
      </w:r>
      <w:r w:rsidR="00B67BF8">
        <w:rPr>
          <w:i/>
        </w:rPr>
        <w:t>C</w:t>
      </w:r>
      <w:proofErr w:type="gramStart"/>
      <w:r w:rsidR="00B67BF8">
        <w:t>)</w:t>
      </w:r>
      <w:r w:rsidR="00B67BF8">
        <w:rPr>
          <w:i/>
        </w:rPr>
        <w:t>q</w:t>
      </w:r>
      <w:proofErr w:type="gramEnd"/>
      <w:r w:rsidR="00B67BF8">
        <w:t xml:space="preserve">.  If profits facilitate growth in the number of </w:t>
      </w:r>
      <w:r w:rsidR="007B487E">
        <w:t>firm</w:t>
      </w:r>
      <w:r w:rsidR="00056904">
        <w:t xml:space="preserve">s, the </w:t>
      </w:r>
      <w:r w:rsidR="00B67BF8">
        <w:t xml:space="preserve">growth rate of </w:t>
      </w:r>
      <w:r w:rsidR="00B340B8">
        <w:rPr>
          <w:i/>
        </w:rPr>
        <w:t>M</w:t>
      </w:r>
      <w:r w:rsidR="00B67BF8">
        <w:t xml:space="preserve"> is:</w:t>
      </w:r>
    </w:p>
    <w:p w:rsidR="00B67BF8" w:rsidRDefault="00870B54" w:rsidP="00D91705">
      <w:pPr>
        <w:tabs>
          <w:tab w:val="right" w:pos="9026"/>
        </w:tabs>
        <w:spacing w:before="240"/>
        <w:ind w:right="82"/>
        <w:jc w:val="both"/>
      </w:pPr>
      <w:r w:rsidRPr="004F6B1E">
        <w:rPr>
          <w:position w:val="-24"/>
          <w:sz w:val="20"/>
        </w:rPr>
        <w:object w:dxaOrig="1960" w:dyaOrig="620">
          <v:shape id="_x0000_i1031" type="#_x0000_t75" style="width:98.25pt;height:31.5pt" o:ole="">
            <v:imagedata r:id="rId22" o:title=""/>
          </v:shape>
          <o:OLEObject Type="Embed" ProgID="Equation.3" ShapeID="_x0000_i1031" DrawAspect="Content" ObjectID="_1416920892" r:id="rId23"/>
        </w:object>
      </w:r>
      <w:r w:rsidR="005B6ECB">
        <w:t xml:space="preserve">     </w:t>
      </w:r>
      <w:r w:rsidR="008C7D19">
        <w:t xml:space="preserve">           </w:t>
      </w:r>
      <w:r w:rsidR="005B6ECB">
        <w:t xml:space="preserve">                         </w:t>
      </w:r>
      <w:r w:rsidR="00A60BBF">
        <w:t xml:space="preserve">       </w:t>
      </w:r>
      <w:r w:rsidR="00056904">
        <w:t xml:space="preserve">     </w:t>
      </w:r>
      <w:r w:rsidR="005B6ECB">
        <w:t xml:space="preserve">                               </w:t>
      </w:r>
      <w:r w:rsidR="0083494A">
        <w:t xml:space="preserve">         </w:t>
      </w:r>
      <w:r w:rsidR="00D91705">
        <w:tab/>
      </w:r>
      <w:r w:rsidR="007C7726">
        <w:t xml:space="preserve">          </w:t>
      </w:r>
      <w:r w:rsidR="00B67BF8">
        <w:t>(</w:t>
      </w:r>
      <w:r w:rsidR="007C7726">
        <w:t>i</w:t>
      </w:r>
      <w:r w:rsidR="00B67BF8">
        <w:t>i)</w:t>
      </w:r>
    </w:p>
    <w:p w:rsidR="004C536C" w:rsidRDefault="00B67BF8" w:rsidP="008C7D19">
      <w:pPr>
        <w:tabs>
          <w:tab w:val="left" w:pos="9781"/>
        </w:tabs>
        <w:spacing w:after="0"/>
        <w:ind w:right="82"/>
        <w:jc w:val="both"/>
        <w:rPr>
          <w:rFonts w:eastAsia="Calibri"/>
          <w:szCs w:val="24"/>
          <w:lang w:val="en-NZ"/>
        </w:rPr>
      </w:pPr>
      <w:r>
        <w:rPr>
          <w:i/>
        </w:rPr>
        <w:sym w:font="Symbol" w:char="F062"/>
      </w:r>
      <w:r w:rsidR="00B340B8">
        <w:t xml:space="preserve"> </w:t>
      </w:r>
      <w:proofErr w:type="gramStart"/>
      <w:r w:rsidR="00557BF4">
        <w:t>is</w:t>
      </w:r>
      <w:proofErr w:type="gramEnd"/>
      <w:r w:rsidR="00C511D7">
        <w:t xml:space="preserve"> </w:t>
      </w:r>
      <w:r w:rsidR="00D45238">
        <w:t xml:space="preserve">the proportion of </w:t>
      </w:r>
      <w:r w:rsidR="00870B54">
        <w:t>profits that are used for reinvestment in creating new firms divided by the amount of profits that are needed to create a new firm</w:t>
      </w:r>
      <w:r>
        <w:t xml:space="preserve">. </w:t>
      </w:r>
      <w:r w:rsidR="009B7FD6">
        <w:t xml:space="preserve">Here we have a preliminary link with </w:t>
      </w:r>
      <w:proofErr w:type="spellStart"/>
      <w:r w:rsidR="009B7FD6" w:rsidRPr="00056904">
        <w:rPr>
          <w:rFonts w:eastAsia="Calibri"/>
          <w:szCs w:val="24"/>
          <w:lang w:val="en-NZ"/>
        </w:rPr>
        <w:t>Hausmann</w:t>
      </w:r>
      <w:proofErr w:type="spellEnd"/>
      <w:r w:rsidR="009B7FD6" w:rsidRPr="00056904">
        <w:rPr>
          <w:rFonts w:eastAsia="Calibri"/>
          <w:szCs w:val="24"/>
          <w:lang w:val="en-NZ"/>
        </w:rPr>
        <w:t xml:space="preserve">, Pritchett and </w:t>
      </w:r>
      <w:proofErr w:type="spellStart"/>
      <w:r w:rsidR="009B7FD6" w:rsidRPr="00056904">
        <w:rPr>
          <w:rFonts w:eastAsia="Calibri"/>
          <w:szCs w:val="24"/>
          <w:lang w:val="en-NZ"/>
        </w:rPr>
        <w:t>Rodrik</w:t>
      </w:r>
      <w:proofErr w:type="spellEnd"/>
      <w:r w:rsidR="009B7FD6" w:rsidRPr="00056904">
        <w:rPr>
          <w:rFonts w:eastAsia="Calibri"/>
          <w:szCs w:val="24"/>
          <w:lang w:val="en-NZ"/>
        </w:rPr>
        <w:t xml:space="preserve"> (2005)</w:t>
      </w:r>
      <w:r w:rsidR="00F50AB1">
        <w:rPr>
          <w:rFonts w:eastAsia="Calibri"/>
          <w:szCs w:val="24"/>
          <w:lang w:val="en-NZ"/>
        </w:rPr>
        <w:t xml:space="preserve">, </w:t>
      </w:r>
      <w:proofErr w:type="spellStart"/>
      <w:r w:rsidR="00F50AB1">
        <w:t>Jerzmanowski</w:t>
      </w:r>
      <w:proofErr w:type="spellEnd"/>
      <w:r w:rsidR="00F50AB1">
        <w:t xml:space="preserve"> (2006), </w:t>
      </w:r>
      <w:proofErr w:type="spellStart"/>
      <w:r w:rsidR="00F50AB1">
        <w:rPr>
          <w:rFonts w:eastAsia="Calibri"/>
          <w:szCs w:val="24"/>
          <w:lang w:val="en-NZ"/>
        </w:rPr>
        <w:t>Acemoglu</w:t>
      </w:r>
      <w:proofErr w:type="spellEnd"/>
      <w:r w:rsidR="00F50AB1">
        <w:rPr>
          <w:rFonts w:eastAsia="Calibri"/>
          <w:szCs w:val="24"/>
          <w:lang w:val="en-NZ"/>
        </w:rPr>
        <w:t xml:space="preserve"> et al. (2003)</w:t>
      </w:r>
      <w:r w:rsidR="0006419D">
        <w:rPr>
          <w:rFonts w:eastAsia="Calibri"/>
          <w:szCs w:val="24"/>
          <w:lang w:val="en-NZ"/>
        </w:rPr>
        <w:t xml:space="preserve"> and others, where</w:t>
      </w:r>
      <w:r w:rsidR="009B7FD6">
        <w:rPr>
          <w:rFonts w:eastAsia="Calibri"/>
          <w:szCs w:val="24"/>
          <w:lang w:val="en-NZ"/>
        </w:rPr>
        <w:t xml:space="preserve"> economic policy and the p</w:t>
      </w:r>
      <w:r w:rsidR="0006419D">
        <w:rPr>
          <w:rFonts w:eastAsia="Calibri"/>
          <w:szCs w:val="24"/>
          <w:lang w:val="en-NZ"/>
        </w:rPr>
        <w:t>olitical environment influence</w:t>
      </w:r>
      <w:r w:rsidR="009B7FD6">
        <w:rPr>
          <w:rFonts w:eastAsia="Calibri"/>
          <w:szCs w:val="24"/>
          <w:lang w:val="en-NZ"/>
        </w:rPr>
        <w:t xml:space="preserve"> the willingness of firm</w:t>
      </w:r>
      <w:r w:rsidR="0006419D">
        <w:rPr>
          <w:rFonts w:eastAsia="Calibri"/>
          <w:szCs w:val="24"/>
          <w:lang w:val="en-NZ"/>
        </w:rPr>
        <w:t>s</w:t>
      </w:r>
      <w:r w:rsidR="009B7FD6">
        <w:rPr>
          <w:rFonts w:eastAsia="Calibri"/>
          <w:szCs w:val="24"/>
          <w:lang w:val="en-NZ"/>
        </w:rPr>
        <w:t xml:space="preserve"> to reinvest. </w:t>
      </w:r>
      <w:r w:rsidR="009619D5">
        <w:rPr>
          <w:rFonts w:eastAsia="Calibri"/>
          <w:szCs w:val="24"/>
          <w:lang w:val="en-NZ"/>
        </w:rPr>
        <w:t>T</w:t>
      </w:r>
      <w:r w:rsidR="00567486">
        <w:rPr>
          <w:rFonts w:eastAsia="Calibri"/>
          <w:szCs w:val="24"/>
          <w:lang w:val="en-NZ"/>
        </w:rPr>
        <w:t>hese institutions</w:t>
      </w:r>
      <w:r w:rsidR="009619D5">
        <w:rPr>
          <w:rFonts w:eastAsia="Calibri"/>
          <w:szCs w:val="24"/>
          <w:lang w:val="en-NZ"/>
        </w:rPr>
        <w:t xml:space="preserve"> relate, for example,</w:t>
      </w:r>
      <w:r w:rsidR="00567486">
        <w:rPr>
          <w:rFonts w:eastAsia="Calibri"/>
          <w:szCs w:val="24"/>
          <w:lang w:val="en-NZ"/>
        </w:rPr>
        <w:t xml:space="preserve"> to </w:t>
      </w:r>
      <w:r w:rsidR="009619D5">
        <w:rPr>
          <w:rFonts w:eastAsia="Calibri"/>
          <w:szCs w:val="24"/>
          <w:lang w:val="en-NZ"/>
        </w:rPr>
        <w:t xml:space="preserve">property rights, tax regimes, and so on. </w:t>
      </w:r>
      <w:r w:rsidR="00ED5FFE">
        <w:rPr>
          <w:rFonts w:eastAsia="Calibri"/>
          <w:szCs w:val="24"/>
          <w:lang w:val="en-NZ"/>
        </w:rPr>
        <w:t>Institutions affect profits</w:t>
      </w:r>
      <w:proofErr w:type="gramStart"/>
      <w:r w:rsidR="00ED5FFE">
        <w:rPr>
          <w:rFonts w:eastAsia="Calibri"/>
          <w:szCs w:val="24"/>
          <w:lang w:val="en-NZ"/>
        </w:rPr>
        <w:t xml:space="preserve">, </w:t>
      </w:r>
      <w:proofErr w:type="gramEnd"/>
      <w:r w:rsidR="00ED5FFE">
        <w:rPr>
          <w:i/>
        </w:rPr>
        <w:sym w:font="Symbol" w:char="F070"/>
      </w:r>
      <w:r w:rsidR="00ED5FFE">
        <w:rPr>
          <w:iCs/>
        </w:rPr>
        <w:t xml:space="preserve">, through changes in prices (such as from trade </w:t>
      </w:r>
      <w:r w:rsidR="00557BF4">
        <w:rPr>
          <w:iCs/>
        </w:rPr>
        <w:t xml:space="preserve">and investment </w:t>
      </w:r>
      <w:r w:rsidR="00ED5FFE">
        <w:rPr>
          <w:iCs/>
        </w:rPr>
        <w:t xml:space="preserve">liberalization)  and costs (such as through deregulation). They also operate through incentives to reinvest profits, </w:t>
      </w:r>
      <w:r w:rsidR="00ED5FFE" w:rsidRPr="00ED5FFE">
        <w:rPr>
          <w:i/>
        </w:rPr>
        <w:t>β</w:t>
      </w:r>
      <w:r w:rsidR="00ED5FFE">
        <w:rPr>
          <w:iCs/>
        </w:rPr>
        <w:t>, through t</w:t>
      </w:r>
      <w:r w:rsidR="00D23541">
        <w:rPr>
          <w:iCs/>
        </w:rPr>
        <w:t>ax regimes, property rights, etc).</w:t>
      </w:r>
      <w:r w:rsidR="00ED5FFE">
        <w:rPr>
          <w:rFonts w:eastAsia="Calibri"/>
          <w:szCs w:val="24"/>
          <w:lang w:val="en-NZ"/>
        </w:rPr>
        <w:t xml:space="preserve"> </w:t>
      </w:r>
      <w:r w:rsidR="009619D5">
        <w:rPr>
          <w:rFonts w:eastAsia="Calibri"/>
          <w:szCs w:val="24"/>
          <w:lang w:val="en-NZ"/>
        </w:rPr>
        <w:t xml:space="preserve">Note that </w:t>
      </w:r>
      <w:r w:rsidR="009619D5">
        <w:rPr>
          <w:rFonts w:eastAsia="Calibri"/>
          <w:szCs w:val="24"/>
          <w:lang w:val="en-NZ"/>
        </w:rPr>
        <w:lastRenderedPageBreak/>
        <w:t xml:space="preserve">these are </w:t>
      </w:r>
      <w:r w:rsidR="00567486">
        <w:rPr>
          <w:rFonts w:eastAsia="Calibri"/>
          <w:szCs w:val="24"/>
          <w:lang w:val="en-NZ"/>
        </w:rPr>
        <w:t>non-</w:t>
      </w:r>
      <w:proofErr w:type="spellStart"/>
      <w:r w:rsidR="00567486">
        <w:rPr>
          <w:rFonts w:eastAsia="Calibri"/>
          <w:szCs w:val="24"/>
          <w:lang w:val="en-NZ"/>
        </w:rPr>
        <w:t>labor</w:t>
      </w:r>
      <w:proofErr w:type="spellEnd"/>
      <w:r w:rsidR="00567486">
        <w:rPr>
          <w:rFonts w:eastAsia="Calibri"/>
          <w:szCs w:val="24"/>
          <w:lang w:val="en-NZ"/>
        </w:rPr>
        <w:t>-relate</w:t>
      </w:r>
      <w:r w:rsidR="009619D5">
        <w:rPr>
          <w:rFonts w:eastAsia="Calibri"/>
          <w:szCs w:val="24"/>
          <w:lang w:val="en-NZ"/>
        </w:rPr>
        <w:t>d institutions; later we</w:t>
      </w:r>
      <w:r w:rsidR="00511C77">
        <w:rPr>
          <w:rFonts w:eastAsia="Calibri"/>
          <w:szCs w:val="24"/>
          <w:lang w:val="en-NZ"/>
        </w:rPr>
        <w:t xml:space="preserve"> introduc</w:t>
      </w:r>
      <w:r w:rsidR="00567486">
        <w:rPr>
          <w:rFonts w:eastAsia="Calibri"/>
          <w:szCs w:val="24"/>
          <w:lang w:val="en-NZ"/>
        </w:rPr>
        <w:t xml:space="preserve">e a separate role for institutions that impact specifically on </w:t>
      </w:r>
      <w:proofErr w:type="spellStart"/>
      <w:r w:rsidR="00567486">
        <w:rPr>
          <w:rFonts w:eastAsia="Calibri"/>
          <w:szCs w:val="24"/>
          <w:lang w:val="en-NZ"/>
        </w:rPr>
        <w:t>labor</w:t>
      </w:r>
      <w:proofErr w:type="spellEnd"/>
      <w:r w:rsidR="00567486">
        <w:rPr>
          <w:rFonts w:eastAsia="Calibri"/>
          <w:szCs w:val="24"/>
          <w:lang w:val="en-NZ"/>
        </w:rPr>
        <w:t xml:space="preserve"> flows.</w:t>
      </w:r>
      <w:r w:rsidR="009B7FD6">
        <w:rPr>
          <w:rFonts w:eastAsia="Calibri"/>
          <w:szCs w:val="24"/>
          <w:lang w:val="en-NZ"/>
        </w:rPr>
        <w:t xml:space="preserve"> </w:t>
      </w:r>
    </w:p>
    <w:p w:rsidR="00CB7107" w:rsidRDefault="00CB7107" w:rsidP="008C7D19">
      <w:pPr>
        <w:tabs>
          <w:tab w:val="left" w:pos="9781"/>
        </w:tabs>
        <w:spacing w:after="0"/>
        <w:ind w:right="82"/>
        <w:jc w:val="both"/>
        <w:rPr>
          <w:rFonts w:eastAsia="Calibri"/>
          <w:szCs w:val="24"/>
          <w:lang w:val="en-NZ"/>
        </w:rPr>
      </w:pPr>
    </w:p>
    <w:p w:rsidR="002B6236" w:rsidRDefault="00DF05C8" w:rsidP="008C7D19">
      <w:pPr>
        <w:widowControl w:val="0"/>
        <w:spacing w:line="213" w:lineRule="exact"/>
        <w:ind w:right="82"/>
        <w:jc w:val="mediumKashida"/>
        <w:rPr>
          <w:color w:val="000000"/>
        </w:rPr>
      </w:pPr>
      <w:r>
        <w:t xml:space="preserve">     We</w:t>
      </w:r>
      <w:r w:rsidR="00C54C90">
        <w:t xml:space="preserve"> give (i</w:t>
      </w:r>
      <w:r w:rsidR="007C7726">
        <w:t>i</w:t>
      </w:r>
      <w:r w:rsidR="00C54C90">
        <w:t>) a more co</w:t>
      </w:r>
      <w:r>
        <w:t>ncrete form</w:t>
      </w:r>
      <w:r w:rsidR="009B7FD6">
        <w:t xml:space="preserve">, now emphasizing the role of </w:t>
      </w:r>
      <w:r w:rsidR="007645DA">
        <w:t>institutions on resource flows</w:t>
      </w:r>
      <w:r w:rsidR="009B7FD6">
        <w:t>,</w:t>
      </w:r>
      <w:r>
        <w:t xml:space="preserve"> by deriving</w:t>
      </w:r>
      <w:r w:rsidR="004C536C">
        <w:t xml:space="preserve"> a</w:t>
      </w:r>
      <w:r>
        <w:t xml:space="preserve"> specific cost function. </w:t>
      </w:r>
      <w:r w:rsidR="00D10BAD">
        <w:t>First, a</w:t>
      </w:r>
      <w:r>
        <w:t>ssume</w:t>
      </w:r>
      <w:r w:rsidR="004C536C">
        <w:t xml:space="preserve"> that </w:t>
      </w:r>
      <w:r w:rsidR="00B62D72">
        <w:t xml:space="preserve">a </w:t>
      </w:r>
      <w:r w:rsidR="004C536C">
        <w:t>firm</w:t>
      </w:r>
      <w:r w:rsidR="00B62D72">
        <w:t>’s</w:t>
      </w:r>
      <w:r w:rsidR="004C536C">
        <w:t xml:space="preserve"> ou</w:t>
      </w:r>
      <w:r w:rsidR="00B70D52">
        <w:t>tput is a function only of</w:t>
      </w:r>
      <w:r w:rsidR="00B62D72">
        <w:t xml:space="preserve"> its</w:t>
      </w:r>
      <w:r w:rsidR="00B70D52">
        <w:t xml:space="preserve"> labor, </w:t>
      </w:r>
      <w:r w:rsidR="00B70D52" w:rsidRPr="00B70D52">
        <w:rPr>
          <w:i/>
          <w:iCs/>
        </w:rPr>
        <w:t>l</w:t>
      </w:r>
      <w:r w:rsidR="00B70D52">
        <w:t>.</w:t>
      </w:r>
      <w:r w:rsidR="004443E5">
        <w:t xml:space="preserve"> Here we follow the short-run growth literature, which typically omits the role of technological change and capital accumulation in growth instability.</w:t>
      </w:r>
      <w:r w:rsidR="00BA2E9B">
        <w:t xml:space="preserve"> But we extend the literature by allowing labor to impact on growth rates, for the reasons outlined above.</w:t>
      </w:r>
      <w:r>
        <w:t xml:space="preserve"> </w:t>
      </w:r>
      <w:r w:rsidR="00C54C90">
        <w:rPr>
          <w:color w:val="000000"/>
        </w:rPr>
        <w:t>Let t</w:t>
      </w:r>
      <w:r w:rsidR="004C536C">
        <w:rPr>
          <w:color w:val="000000"/>
        </w:rPr>
        <w:t>he number</w:t>
      </w:r>
      <w:r w:rsidR="004C536C">
        <w:rPr>
          <w:color w:val="000000"/>
          <w:sz w:val="18"/>
          <w:szCs w:val="18"/>
        </w:rPr>
        <w:t xml:space="preserve"> </w:t>
      </w:r>
      <w:r w:rsidR="00D1202C">
        <w:rPr>
          <w:color w:val="000000"/>
        </w:rPr>
        <w:t>of workers required to give</w:t>
      </w:r>
      <w:r w:rsidR="004C536C">
        <w:rPr>
          <w:color w:val="000000"/>
        </w:rPr>
        <w:t xml:space="preserve"> output </w:t>
      </w:r>
      <w:r w:rsidR="004C536C" w:rsidRPr="002B6236">
        <w:rPr>
          <w:i/>
          <w:iCs/>
          <w:color w:val="000000"/>
        </w:rPr>
        <w:t>q</w:t>
      </w:r>
      <w:r w:rsidR="00C54C90">
        <w:rPr>
          <w:color w:val="000000"/>
        </w:rPr>
        <w:t xml:space="preserve"> be</w:t>
      </w:r>
      <w:r w:rsidR="004C536C">
        <w:rPr>
          <w:color w:val="000000"/>
        </w:rPr>
        <w:t xml:space="preserve"> given by </w:t>
      </w:r>
      <w:r w:rsidR="004C536C" w:rsidRPr="00BB213F">
        <w:rPr>
          <w:color w:val="000000"/>
        </w:rPr>
        <w:t>an inverse</w:t>
      </w:r>
      <w:r w:rsidR="004C536C">
        <w:rPr>
          <w:color w:val="000000"/>
        </w:rPr>
        <w:t xml:space="preserve"> function</w:t>
      </w:r>
      <w:r w:rsidR="002B6236">
        <w:rPr>
          <w:color w:val="000000"/>
        </w:rPr>
        <w:t>:</w:t>
      </w:r>
    </w:p>
    <w:p w:rsidR="00596208" w:rsidRDefault="00596208" w:rsidP="008C7D19">
      <w:pPr>
        <w:widowControl w:val="0"/>
        <w:spacing w:line="213" w:lineRule="exact"/>
        <w:ind w:right="82"/>
        <w:jc w:val="mediumKashida"/>
        <w:rPr>
          <w:color w:val="000000"/>
        </w:rPr>
      </w:pPr>
    </w:p>
    <w:p w:rsidR="004C536C" w:rsidRDefault="00B70D52" w:rsidP="008C7D19">
      <w:pPr>
        <w:widowControl w:val="0"/>
        <w:spacing w:line="213" w:lineRule="exact"/>
        <w:ind w:right="82"/>
        <w:jc w:val="both"/>
        <w:rPr>
          <w:color w:val="000000"/>
        </w:rPr>
      </w:pPr>
      <w:r w:rsidRPr="00BB213F">
        <w:rPr>
          <w:position w:val="-10"/>
          <w:szCs w:val="24"/>
        </w:rPr>
        <w:object w:dxaOrig="1780" w:dyaOrig="360">
          <v:shape id="_x0000_i1032" type="#_x0000_t75" style="width:90pt;height:19.5pt" o:ole="">
            <v:imagedata r:id="rId24" o:title=""/>
          </v:shape>
          <o:OLEObject Type="Embed" ProgID="Equation.3" ShapeID="_x0000_i1032" DrawAspect="Content" ObjectID="_1416920893" r:id="rId25"/>
        </w:object>
      </w:r>
      <w:r>
        <w:rPr>
          <w:position w:val="-24"/>
          <w:szCs w:val="24"/>
        </w:rPr>
        <w:t xml:space="preserve">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w:t>
      </w:r>
    </w:p>
    <w:p w:rsidR="00153073" w:rsidRDefault="00153073" w:rsidP="008C7D19">
      <w:pPr>
        <w:widowControl w:val="0"/>
        <w:spacing w:line="213" w:lineRule="exact"/>
        <w:ind w:right="82"/>
        <w:jc w:val="both"/>
        <w:rPr>
          <w:color w:val="000000"/>
        </w:rPr>
      </w:pPr>
    </w:p>
    <w:p w:rsidR="008D3750" w:rsidRDefault="00B70D52" w:rsidP="008C7D19">
      <w:pPr>
        <w:widowControl w:val="0"/>
        <w:spacing w:line="213" w:lineRule="exact"/>
        <w:ind w:right="82"/>
        <w:jc w:val="both"/>
        <w:rPr>
          <w:color w:val="000000"/>
        </w:rPr>
      </w:pPr>
      <w:r>
        <w:rPr>
          <w:color w:val="000000"/>
        </w:rPr>
        <w:t>Hence unit cost is:</w:t>
      </w:r>
    </w:p>
    <w:p w:rsidR="00E14A56" w:rsidRDefault="007B6F21">
      <w:pPr>
        <w:widowControl w:val="0"/>
        <w:spacing w:before="240" w:after="0" w:line="276" w:lineRule="auto"/>
        <w:ind w:right="82"/>
        <w:jc w:val="both"/>
        <w:rPr>
          <w:color w:val="000000"/>
        </w:rPr>
      </w:pPr>
      <w:r w:rsidRPr="00B70D52">
        <w:rPr>
          <w:position w:val="-28"/>
          <w:szCs w:val="24"/>
        </w:rPr>
        <w:object w:dxaOrig="1500" w:dyaOrig="660">
          <v:shape id="_x0000_i1033" type="#_x0000_t75" style="width:76.5pt;height:31.5pt" o:ole="">
            <v:imagedata r:id="rId26" o:title=""/>
          </v:shape>
          <o:OLEObject Type="Embed" ProgID="Equation.3" ShapeID="_x0000_i1033" DrawAspect="Content" ObjectID="_1416920894" r:id="rId27"/>
        </w:object>
      </w:r>
      <w:r w:rsidR="00685C63">
        <w:rPr>
          <w:position w:val="-28"/>
          <w:szCs w:val="24"/>
        </w:rPr>
        <w:t xml:space="preserve"> </w:t>
      </w:r>
    </w:p>
    <w:p w:rsidR="00E14A56" w:rsidRDefault="004C536C">
      <w:pPr>
        <w:widowControl w:val="0"/>
        <w:spacing w:after="0" w:line="293" w:lineRule="exact"/>
        <w:ind w:right="82"/>
        <w:jc w:val="lowKashida"/>
        <w:rPr>
          <w:rFonts w:asciiTheme="majorBidi" w:hAnsiTheme="majorBidi" w:cstheme="majorBidi"/>
          <w:color w:val="000000"/>
          <w:szCs w:val="24"/>
        </w:rPr>
      </w:pPr>
      <w:r w:rsidRPr="009F5EC5">
        <w:rPr>
          <w:rFonts w:asciiTheme="majorBidi" w:hAnsiTheme="majorBidi" w:cstheme="majorBidi"/>
          <w:color w:val="000000"/>
        </w:rPr>
        <w:t xml:space="preserve">where </w:t>
      </w:r>
      <w:r w:rsidRPr="009F5EC5">
        <w:rPr>
          <w:rFonts w:asciiTheme="majorBidi" w:hAnsiTheme="majorBidi" w:cstheme="majorBidi"/>
          <w:i/>
          <w:iCs/>
          <w:color w:val="000000"/>
        </w:rPr>
        <w:t>w</w:t>
      </w:r>
      <w:r w:rsidRPr="009F5EC5">
        <w:rPr>
          <w:rFonts w:asciiTheme="majorBidi" w:hAnsiTheme="majorBidi" w:cstheme="majorBidi"/>
          <w:color w:val="000000"/>
        </w:rPr>
        <w:t xml:space="preserve"> is the wage</w:t>
      </w:r>
      <w:r w:rsidR="00D10BAD" w:rsidRPr="009F5EC5">
        <w:rPr>
          <w:rFonts w:asciiTheme="majorBidi" w:hAnsiTheme="majorBidi" w:cstheme="majorBidi"/>
          <w:color w:val="000000"/>
        </w:rPr>
        <w:t xml:space="preserve"> rate</w:t>
      </w:r>
      <w:r w:rsidRPr="009F5EC5">
        <w:rPr>
          <w:rFonts w:asciiTheme="majorBidi" w:hAnsiTheme="majorBidi" w:cstheme="majorBidi"/>
          <w:color w:val="000000"/>
        </w:rPr>
        <w:t>.</w:t>
      </w:r>
      <w:r w:rsidR="00412D42">
        <w:rPr>
          <w:rFonts w:asciiTheme="majorBidi" w:hAnsiTheme="majorBidi" w:cstheme="majorBidi"/>
          <w:color w:val="000000"/>
        </w:rPr>
        <w:t xml:space="preserve"> A</w:t>
      </w:r>
      <w:r w:rsidR="00D10BAD" w:rsidRPr="009F5EC5">
        <w:rPr>
          <w:rFonts w:asciiTheme="majorBidi" w:hAnsiTheme="majorBidi" w:cstheme="majorBidi"/>
          <w:color w:val="000000"/>
          <w:szCs w:val="24"/>
        </w:rPr>
        <w:t>ssume</w:t>
      </w:r>
      <w:r w:rsidR="00412D42">
        <w:rPr>
          <w:rFonts w:asciiTheme="majorBidi" w:hAnsiTheme="majorBidi" w:cstheme="majorBidi"/>
          <w:color w:val="000000"/>
          <w:szCs w:val="24"/>
        </w:rPr>
        <w:t xml:space="preserve"> that</w:t>
      </w:r>
      <w:r w:rsidRPr="009F5EC5">
        <w:rPr>
          <w:rFonts w:asciiTheme="majorBidi" w:hAnsiTheme="majorBidi" w:cstheme="majorBidi"/>
          <w:color w:val="000000"/>
          <w:szCs w:val="24"/>
        </w:rPr>
        <w:t xml:space="preserve"> this unit cost has some minimum when quan</w:t>
      </w:r>
      <w:r w:rsidR="00D10BAD" w:rsidRPr="009F5EC5">
        <w:rPr>
          <w:rFonts w:asciiTheme="majorBidi" w:hAnsiTheme="majorBidi" w:cstheme="majorBidi"/>
          <w:color w:val="000000"/>
          <w:szCs w:val="24"/>
        </w:rPr>
        <w:t xml:space="preserve">tity </w:t>
      </w:r>
      <w:r w:rsidRPr="009F5EC5">
        <w:rPr>
          <w:rFonts w:asciiTheme="majorBidi" w:hAnsiTheme="majorBidi" w:cstheme="majorBidi"/>
          <w:i/>
          <w:iCs/>
          <w:color w:val="000000"/>
          <w:szCs w:val="24"/>
        </w:rPr>
        <w:t>q</w:t>
      </w:r>
      <w:r w:rsidR="00D10BAD" w:rsidRPr="009F5EC5">
        <w:rPr>
          <w:rFonts w:asciiTheme="majorBidi" w:hAnsiTheme="majorBidi" w:cstheme="majorBidi"/>
          <w:color w:val="000000"/>
          <w:szCs w:val="24"/>
        </w:rPr>
        <w:t>=</w:t>
      </w:r>
      <w:r w:rsidR="00A12D2F">
        <w:rPr>
          <w:i/>
        </w:rPr>
        <w:t>q</w:t>
      </w:r>
      <w:r w:rsidR="00A12D2F">
        <w:rPr>
          <w:vertAlign w:val="superscript"/>
        </w:rPr>
        <w:t>*</w:t>
      </w:r>
      <w:r w:rsidR="00412D42">
        <w:t>, the competitive equilibrium for the firm</w:t>
      </w:r>
      <w:r w:rsidR="009F5EC5">
        <w:rPr>
          <w:rFonts w:asciiTheme="majorBidi" w:hAnsiTheme="majorBidi" w:cstheme="majorBidi"/>
          <w:color w:val="000000"/>
          <w:szCs w:val="24"/>
        </w:rPr>
        <w:t>.</w:t>
      </w:r>
      <w:r w:rsidR="00412D42">
        <w:rPr>
          <w:rFonts w:asciiTheme="majorBidi" w:hAnsiTheme="majorBidi" w:cstheme="majorBidi"/>
          <w:color w:val="000000"/>
          <w:szCs w:val="24"/>
        </w:rPr>
        <w:t xml:space="preserve"> A</w:t>
      </w:r>
      <w:r w:rsidRPr="009F5EC5">
        <w:rPr>
          <w:rFonts w:asciiTheme="majorBidi" w:hAnsiTheme="majorBidi" w:cstheme="majorBidi"/>
          <w:color w:val="000000"/>
          <w:szCs w:val="24"/>
        </w:rPr>
        <w:t>ssume</w:t>
      </w:r>
      <w:r w:rsidR="00412D42">
        <w:rPr>
          <w:rFonts w:asciiTheme="majorBidi" w:hAnsiTheme="majorBidi" w:cstheme="majorBidi"/>
          <w:color w:val="000000"/>
          <w:szCs w:val="24"/>
        </w:rPr>
        <w:t xml:space="preserve"> further </w:t>
      </w:r>
      <w:r w:rsidR="004D1F96">
        <w:rPr>
          <w:rFonts w:asciiTheme="majorBidi" w:hAnsiTheme="majorBidi" w:cstheme="majorBidi"/>
          <w:color w:val="000000"/>
          <w:szCs w:val="24"/>
        </w:rPr>
        <w:t>t</w:t>
      </w:r>
      <w:r w:rsidRPr="009F5EC5">
        <w:rPr>
          <w:rFonts w:asciiTheme="majorBidi" w:hAnsiTheme="majorBidi" w:cstheme="majorBidi"/>
          <w:color w:val="000000"/>
          <w:szCs w:val="24"/>
        </w:rPr>
        <w:t>hat the total number</w:t>
      </w:r>
      <w:r w:rsidR="005D35A5">
        <w:rPr>
          <w:rFonts w:asciiTheme="majorBidi" w:hAnsiTheme="majorBidi" w:cstheme="majorBidi"/>
          <w:color w:val="000000"/>
          <w:szCs w:val="24"/>
        </w:rPr>
        <w:t xml:space="preserve"> of</w:t>
      </w:r>
      <w:r w:rsidRPr="009F5EC5">
        <w:rPr>
          <w:rFonts w:asciiTheme="majorBidi" w:hAnsiTheme="majorBidi" w:cstheme="majorBidi"/>
          <w:color w:val="000000"/>
          <w:szCs w:val="24"/>
        </w:rPr>
        <w:t xml:space="preserve"> people </w:t>
      </w:r>
      <w:r w:rsidR="00B001D0">
        <w:rPr>
          <w:rFonts w:asciiTheme="majorBidi" w:hAnsiTheme="majorBidi" w:cstheme="majorBidi"/>
          <w:color w:val="000000"/>
          <w:szCs w:val="24"/>
        </w:rPr>
        <w:t xml:space="preserve">able and </w:t>
      </w:r>
      <w:r w:rsidRPr="009F5EC5">
        <w:rPr>
          <w:rFonts w:asciiTheme="majorBidi" w:hAnsiTheme="majorBidi" w:cstheme="majorBidi"/>
          <w:color w:val="000000"/>
          <w:szCs w:val="24"/>
        </w:rPr>
        <w:t>prepared to work in</w:t>
      </w:r>
      <w:r w:rsidR="00B62D72" w:rsidRPr="009F5EC5">
        <w:rPr>
          <w:rFonts w:asciiTheme="majorBidi" w:hAnsiTheme="majorBidi" w:cstheme="majorBidi"/>
          <w:color w:val="000000"/>
          <w:szCs w:val="24"/>
        </w:rPr>
        <w:t xml:space="preserve"> the sector is:</w:t>
      </w:r>
    </w:p>
    <w:p w:rsidR="009F5EC5" w:rsidRDefault="009F5EC5" w:rsidP="008C7D19">
      <w:pPr>
        <w:widowControl w:val="0"/>
        <w:spacing w:line="293" w:lineRule="exact"/>
        <w:ind w:right="82"/>
        <w:jc w:val="lowKashida"/>
        <w:rPr>
          <w:rFonts w:asciiTheme="majorBidi" w:hAnsiTheme="majorBidi" w:cstheme="majorBidi"/>
          <w:color w:val="000000"/>
          <w:szCs w:val="24"/>
        </w:rPr>
      </w:pPr>
    </w:p>
    <w:p w:rsidR="00B001D0" w:rsidRDefault="009E5DAC" w:rsidP="008C7D19">
      <w:pPr>
        <w:widowControl w:val="0"/>
        <w:spacing w:after="0" w:line="293" w:lineRule="exact"/>
        <w:ind w:right="82"/>
        <w:jc w:val="lowKashida"/>
        <w:rPr>
          <w:b/>
          <w:bCs/>
          <w:position w:val="-10"/>
          <w:szCs w:val="24"/>
        </w:rPr>
      </w:pPr>
      <w:r w:rsidRPr="00BD5934">
        <w:rPr>
          <w:b/>
          <w:bCs/>
          <w:position w:val="-10"/>
          <w:szCs w:val="24"/>
        </w:rPr>
        <w:object w:dxaOrig="960" w:dyaOrig="320">
          <v:shape id="_x0000_i1034" type="#_x0000_t75" style="width:48pt;height:16.5pt" o:ole="">
            <v:imagedata r:id="rId28" o:title=""/>
          </v:shape>
          <o:OLEObject Type="Embed" ProgID="Equation.3" ShapeID="_x0000_i1034" DrawAspect="Content" ObjectID="_1416920895" r:id="rId29"/>
        </w:object>
      </w:r>
      <w:r>
        <w:rPr>
          <w:b/>
          <w:bCs/>
          <w:position w:val="-10"/>
          <w:szCs w:val="24"/>
        </w:rPr>
        <w:tab/>
      </w:r>
      <w:r>
        <w:rPr>
          <w:b/>
          <w:bCs/>
          <w:position w:val="-10"/>
          <w:szCs w:val="24"/>
        </w:rPr>
        <w:tab/>
      </w:r>
    </w:p>
    <w:p w:rsidR="009F5EC5" w:rsidRPr="00BD5934" w:rsidRDefault="009E5DAC" w:rsidP="008C7D19">
      <w:pPr>
        <w:widowControl w:val="0"/>
        <w:spacing w:after="0" w:line="293" w:lineRule="exact"/>
        <w:ind w:right="82"/>
        <w:jc w:val="lowKashida"/>
        <w:rPr>
          <w:rFonts w:asciiTheme="majorBidi" w:hAnsiTheme="majorBidi" w:cstheme="majorBidi"/>
          <w:b/>
          <w:bCs/>
          <w:color w:val="000000"/>
          <w:sz w:val="22"/>
          <w:szCs w:val="22"/>
        </w:rPr>
      </w:pPr>
      <w:r>
        <w:rPr>
          <w:b/>
          <w:bCs/>
          <w:position w:val="-10"/>
          <w:szCs w:val="24"/>
        </w:rPr>
        <w:t xml:space="preserve"> </w:t>
      </w:r>
    </w:p>
    <w:p w:rsidR="009E5DAC" w:rsidRDefault="004C536C" w:rsidP="008C7D19">
      <w:pPr>
        <w:widowControl w:val="0"/>
        <w:spacing w:after="0"/>
        <w:ind w:right="82"/>
        <w:jc w:val="both"/>
        <w:rPr>
          <w:rFonts w:asciiTheme="majorBidi" w:hAnsiTheme="majorBidi" w:cstheme="majorBidi"/>
          <w:color w:val="000000"/>
          <w:szCs w:val="24"/>
        </w:rPr>
      </w:pPr>
      <w:r w:rsidRPr="00F30C6E">
        <w:rPr>
          <w:rFonts w:asciiTheme="majorBidi" w:hAnsiTheme="majorBidi" w:cstheme="majorBidi"/>
          <w:color w:val="000000"/>
          <w:szCs w:val="24"/>
        </w:rPr>
        <w:t xml:space="preserve">where </w:t>
      </w:r>
      <w:r w:rsidRPr="009F5EC5">
        <w:rPr>
          <w:rFonts w:asciiTheme="majorBidi" w:hAnsiTheme="majorBidi" w:cstheme="majorBidi"/>
          <w:i/>
          <w:iCs/>
          <w:color w:val="000000"/>
          <w:szCs w:val="24"/>
        </w:rPr>
        <w:t>a</w:t>
      </w:r>
      <w:r w:rsidR="00B001D0">
        <w:rPr>
          <w:rFonts w:asciiTheme="majorBidi" w:hAnsiTheme="majorBidi" w:cstheme="majorBidi"/>
          <w:color w:val="000000"/>
          <w:szCs w:val="24"/>
        </w:rPr>
        <w:t xml:space="preserve"> is a</w:t>
      </w:r>
      <w:r w:rsidRPr="00F30C6E">
        <w:rPr>
          <w:rFonts w:asciiTheme="majorBidi" w:hAnsiTheme="majorBidi" w:cstheme="majorBidi"/>
          <w:color w:val="000000"/>
          <w:szCs w:val="24"/>
        </w:rPr>
        <w:t xml:space="preserve"> constant</w:t>
      </w:r>
      <w:r w:rsidR="007645DA">
        <w:rPr>
          <w:rFonts w:asciiTheme="majorBidi" w:hAnsiTheme="majorBidi" w:cstheme="majorBidi"/>
          <w:color w:val="000000"/>
          <w:szCs w:val="24"/>
        </w:rPr>
        <w:t xml:space="preserve"> relating to </w:t>
      </w:r>
      <w:r w:rsidR="005D35A5">
        <w:rPr>
          <w:rFonts w:asciiTheme="majorBidi" w:hAnsiTheme="majorBidi" w:cstheme="majorBidi"/>
          <w:color w:val="000000"/>
          <w:szCs w:val="24"/>
        </w:rPr>
        <w:t xml:space="preserve">labor </w:t>
      </w:r>
      <w:r w:rsidR="007645DA">
        <w:rPr>
          <w:rFonts w:asciiTheme="majorBidi" w:hAnsiTheme="majorBidi" w:cstheme="majorBidi"/>
          <w:color w:val="000000"/>
          <w:szCs w:val="24"/>
        </w:rPr>
        <w:t>institutions</w:t>
      </w:r>
      <w:r w:rsidR="009E5DAC">
        <w:rPr>
          <w:rFonts w:asciiTheme="majorBidi" w:hAnsiTheme="majorBidi" w:cstheme="majorBidi"/>
          <w:color w:val="000000"/>
          <w:szCs w:val="24"/>
        </w:rPr>
        <w:t>,</w:t>
      </w:r>
      <w:r w:rsidR="009F43B4">
        <w:rPr>
          <w:rFonts w:asciiTheme="majorBidi" w:hAnsiTheme="majorBidi" w:cstheme="majorBidi"/>
          <w:color w:val="000000"/>
          <w:szCs w:val="24"/>
        </w:rPr>
        <w:t xml:space="preserve"> determined initially by</w:t>
      </w:r>
      <w:r w:rsidR="000C076C">
        <w:rPr>
          <w:rFonts w:asciiTheme="majorBidi" w:hAnsiTheme="majorBidi" w:cstheme="majorBidi"/>
          <w:color w:val="000000"/>
          <w:szCs w:val="24"/>
        </w:rPr>
        <w:t xml:space="preserve"> go</w:t>
      </w:r>
      <w:r w:rsidR="00567486">
        <w:rPr>
          <w:rFonts w:asciiTheme="majorBidi" w:hAnsiTheme="majorBidi" w:cstheme="majorBidi"/>
          <w:color w:val="000000"/>
          <w:szCs w:val="24"/>
        </w:rPr>
        <w:t>ver</w:t>
      </w:r>
      <w:r w:rsidR="007645DA">
        <w:rPr>
          <w:rFonts w:asciiTheme="majorBidi" w:hAnsiTheme="majorBidi" w:cstheme="majorBidi"/>
          <w:color w:val="000000"/>
          <w:szCs w:val="24"/>
        </w:rPr>
        <w:t>nment administrative mechanism</w:t>
      </w:r>
      <w:r w:rsidR="00567486">
        <w:rPr>
          <w:rFonts w:asciiTheme="majorBidi" w:hAnsiTheme="majorBidi" w:cstheme="majorBidi"/>
          <w:color w:val="000000"/>
          <w:szCs w:val="24"/>
        </w:rPr>
        <w:t>s</w:t>
      </w:r>
      <w:r w:rsidR="009F43B4">
        <w:rPr>
          <w:rFonts w:asciiTheme="majorBidi" w:hAnsiTheme="majorBidi" w:cstheme="majorBidi"/>
          <w:color w:val="000000"/>
          <w:szCs w:val="24"/>
        </w:rPr>
        <w:t xml:space="preserve"> that</w:t>
      </w:r>
      <w:r w:rsidR="000C076C">
        <w:rPr>
          <w:rFonts w:asciiTheme="majorBidi" w:hAnsiTheme="majorBidi" w:cstheme="majorBidi"/>
          <w:color w:val="000000"/>
          <w:szCs w:val="24"/>
        </w:rPr>
        <w:t xml:space="preserve"> relax</w:t>
      </w:r>
      <w:r w:rsidR="009F43B4">
        <w:rPr>
          <w:rFonts w:asciiTheme="majorBidi" w:hAnsiTheme="majorBidi" w:cstheme="majorBidi"/>
          <w:color w:val="000000"/>
          <w:szCs w:val="24"/>
        </w:rPr>
        <w:t xml:space="preserve"> or constrain</w:t>
      </w:r>
      <w:r w:rsidR="00D04373">
        <w:rPr>
          <w:rFonts w:asciiTheme="majorBidi" w:hAnsiTheme="majorBidi" w:cstheme="majorBidi"/>
          <w:color w:val="000000"/>
          <w:szCs w:val="24"/>
        </w:rPr>
        <w:t xml:space="preserve"> workers’ ability to work in the manufacturing</w:t>
      </w:r>
      <w:r w:rsidR="000C076C">
        <w:rPr>
          <w:rFonts w:asciiTheme="majorBidi" w:hAnsiTheme="majorBidi" w:cstheme="majorBidi"/>
          <w:color w:val="000000"/>
          <w:szCs w:val="24"/>
        </w:rPr>
        <w:t xml:space="preserve"> given</w:t>
      </w:r>
      <w:r w:rsidR="00D04373">
        <w:rPr>
          <w:rFonts w:asciiTheme="majorBidi" w:hAnsiTheme="majorBidi" w:cstheme="majorBidi"/>
          <w:color w:val="000000"/>
          <w:szCs w:val="24"/>
        </w:rPr>
        <w:t xml:space="preserve"> sector (for example by </w:t>
      </w:r>
      <w:r w:rsidR="009F43B4">
        <w:rPr>
          <w:rFonts w:asciiTheme="majorBidi" w:hAnsiTheme="majorBidi" w:cstheme="majorBidi"/>
          <w:color w:val="000000"/>
          <w:szCs w:val="24"/>
        </w:rPr>
        <w:t>influencing</w:t>
      </w:r>
      <w:r w:rsidR="00D04373">
        <w:rPr>
          <w:rFonts w:asciiTheme="majorBidi" w:hAnsiTheme="majorBidi" w:cstheme="majorBidi"/>
          <w:color w:val="000000"/>
          <w:szCs w:val="24"/>
        </w:rPr>
        <w:t xml:space="preserve"> </w:t>
      </w:r>
      <w:r w:rsidR="009F43B4">
        <w:rPr>
          <w:rFonts w:asciiTheme="majorBidi" w:hAnsiTheme="majorBidi" w:cstheme="majorBidi"/>
          <w:color w:val="000000"/>
          <w:szCs w:val="24"/>
        </w:rPr>
        <w:t xml:space="preserve">labor </w:t>
      </w:r>
      <w:r w:rsidR="00D04373">
        <w:rPr>
          <w:rFonts w:asciiTheme="majorBidi" w:hAnsiTheme="majorBidi" w:cstheme="majorBidi"/>
          <w:color w:val="000000"/>
          <w:szCs w:val="24"/>
        </w:rPr>
        <w:t xml:space="preserve">migration </w:t>
      </w:r>
      <w:r w:rsidR="009F43B4">
        <w:rPr>
          <w:rFonts w:asciiTheme="majorBidi" w:hAnsiTheme="majorBidi" w:cstheme="majorBidi"/>
          <w:color w:val="000000"/>
          <w:szCs w:val="24"/>
        </w:rPr>
        <w:t>flows</w:t>
      </w:r>
      <w:r w:rsidR="00D04373">
        <w:rPr>
          <w:rFonts w:asciiTheme="majorBidi" w:hAnsiTheme="majorBidi" w:cstheme="majorBidi"/>
          <w:color w:val="000000"/>
          <w:szCs w:val="24"/>
        </w:rPr>
        <w:t>)</w:t>
      </w:r>
      <w:r w:rsidR="009F43B4">
        <w:rPr>
          <w:rFonts w:asciiTheme="majorBidi" w:hAnsiTheme="majorBidi" w:cstheme="majorBidi"/>
          <w:color w:val="000000"/>
          <w:szCs w:val="24"/>
        </w:rPr>
        <w:t xml:space="preserve"> and subsequently by the work-leisure choice of the workers that have been permitted to work in manufacturing</w:t>
      </w:r>
      <w:r w:rsidR="00B001D0">
        <w:rPr>
          <w:rFonts w:asciiTheme="majorBidi" w:hAnsiTheme="majorBidi" w:cstheme="majorBidi"/>
          <w:color w:val="000000"/>
          <w:szCs w:val="24"/>
        </w:rPr>
        <w:t>.</w:t>
      </w:r>
      <w:r w:rsidR="009E5DAC">
        <w:rPr>
          <w:rFonts w:asciiTheme="majorBidi" w:hAnsiTheme="majorBidi" w:cstheme="majorBidi"/>
          <w:color w:val="000000"/>
          <w:szCs w:val="24"/>
        </w:rPr>
        <w:t xml:space="preserve"> </w:t>
      </w:r>
      <w:r w:rsidR="00567486">
        <w:rPr>
          <w:rFonts w:asciiTheme="majorBidi" w:hAnsiTheme="majorBidi" w:cstheme="majorBidi"/>
          <w:color w:val="000000"/>
          <w:szCs w:val="24"/>
        </w:rPr>
        <w:t>Hence</w:t>
      </w:r>
      <w:r w:rsidR="009F43B4">
        <w:rPr>
          <w:rFonts w:asciiTheme="majorBidi" w:hAnsiTheme="majorBidi" w:cstheme="majorBidi"/>
        </w:rPr>
        <w:t>,</w:t>
      </w:r>
      <w:r w:rsidR="00B001D0">
        <w:rPr>
          <w:rFonts w:asciiTheme="majorBidi" w:hAnsiTheme="majorBidi" w:cstheme="majorBidi"/>
          <w:color w:val="000000"/>
          <w:szCs w:val="24"/>
        </w:rPr>
        <w:t xml:space="preserve"> labor</w:t>
      </w:r>
      <w:r w:rsidR="009E5DAC">
        <w:rPr>
          <w:rFonts w:asciiTheme="majorBidi" w:hAnsiTheme="majorBidi" w:cstheme="majorBidi"/>
          <w:color w:val="000000"/>
          <w:szCs w:val="24"/>
        </w:rPr>
        <w:t xml:space="preserve"> is proportional to the </w:t>
      </w:r>
      <w:r w:rsidR="00B001D0">
        <w:rPr>
          <w:rFonts w:asciiTheme="majorBidi" w:hAnsiTheme="majorBidi" w:cstheme="majorBidi"/>
          <w:color w:val="000000"/>
          <w:szCs w:val="24"/>
        </w:rPr>
        <w:t xml:space="preserve">prevailing </w:t>
      </w:r>
      <w:r w:rsidR="009E5DAC">
        <w:rPr>
          <w:rFonts w:asciiTheme="majorBidi" w:hAnsiTheme="majorBidi" w:cstheme="majorBidi"/>
          <w:color w:val="000000"/>
          <w:szCs w:val="24"/>
        </w:rPr>
        <w:t xml:space="preserve">wage </w:t>
      </w:r>
      <w:r w:rsidR="00B001D0">
        <w:rPr>
          <w:rFonts w:asciiTheme="majorBidi" w:hAnsiTheme="majorBidi" w:cstheme="majorBidi"/>
          <w:color w:val="000000"/>
          <w:szCs w:val="24"/>
        </w:rPr>
        <w:t xml:space="preserve">rate, </w:t>
      </w:r>
      <w:r w:rsidR="00B001D0" w:rsidRPr="00B001D0">
        <w:rPr>
          <w:rFonts w:asciiTheme="majorBidi" w:hAnsiTheme="majorBidi" w:cstheme="majorBidi"/>
          <w:i/>
          <w:iCs/>
          <w:color w:val="000000"/>
          <w:szCs w:val="24"/>
        </w:rPr>
        <w:t>w</w:t>
      </w:r>
      <w:r w:rsidR="00B032D3">
        <w:rPr>
          <w:rFonts w:asciiTheme="majorBidi" w:hAnsiTheme="majorBidi" w:cstheme="majorBidi"/>
          <w:color w:val="000000"/>
          <w:szCs w:val="24"/>
        </w:rPr>
        <w:t xml:space="preserve">, and </w:t>
      </w:r>
      <w:r w:rsidR="00B032D3" w:rsidRPr="00B032D3">
        <w:rPr>
          <w:rFonts w:asciiTheme="majorBidi" w:hAnsiTheme="majorBidi" w:cstheme="majorBidi"/>
          <w:i/>
          <w:iCs/>
          <w:color w:val="000000"/>
          <w:szCs w:val="24"/>
        </w:rPr>
        <w:t>w</w:t>
      </w:r>
      <w:r w:rsidR="00B032D3">
        <w:rPr>
          <w:rFonts w:asciiTheme="majorBidi" w:hAnsiTheme="majorBidi" w:cstheme="majorBidi"/>
          <w:color w:val="000000"/>
          <w:szCs w:val="24"/>
        </w:rPr>
        <w:t xml:space="preserve"> is positively related to </w:t>
      </w:r>
      <w:r w:rsidR="00B032D3" w:rsidRPr="00B032D3">
        <w:rPr>
          <w:rFonts w:asciiTheme="majorBidi" w:hAnsiTheme="majorBidi" w:cstheme="majorBidi"/>
          <w:i/>
          <w:iCs/>
          <w:color w:val="000000"/>
          <w:szCs w:val="24"/>
        </w:rPr>
        <w:t>M</w:t>
      </w:r>
      <w:r w:rsidR="00B001D0">
        <w:rPr>
          <w:rFonts w:asciiTheme="majorBidi" w:hAnsiTheme="majorBidi" w:cstheme="majorBidi"/>
          <w:color w:val="000000"/>
          <w:szCs w:val="24"/>
        </w:rPr>
        <w:t>.</w:t>
      </w:r>
    </w:p>
    <w:p w:rsidR="00D76932" w:rsidRDefault="00D76932" w:rsidP="008C7D19">
      <w:pPr>
        <w:widowControl w:val="0"/>
        <w:spacing w:after="0"/>
        <w:ind w:right="82"/>
        <w:jc w:val="both"/>
        <w:rPr>
          <w:rFonts w:asciiTheme="majorBidi" w:hAnsiTheme="majorBidi" w:cstheme="majorBidi"/>
          <w:color w:val="000000"/>
          <w:szCs w:val="24"/>
        </w:rPr>
      </w:pPr>
    </w:p>
    <w:p w:rsidR="00E14A56" w:rsidRDefault="004C536C">
      <w:pPr>
        <w:widowControl w:val="0"/>
        <w:ind w:right="82"/>
        <w:rPr>
          <w:rFonts w:asciiTheme="majorBidi" w:eastAsia="MS Mincho" w:hAnsi="MS Mincho" w:cstheme="majorBidi"/>
          <w:color w:val="000000"/>
          <w:szCs w:val="24"/>
        </w:rPr>
      </w:pPr>
      <w:proofErr w:type="gramStart"/>
      <w:r w:rsidRPr="00F30C6E">
        <w:rPr>
          <w:rFonts w:asciiTheme="majorBidi" w:hAnsiTheme="majorBidi" w:cstheme="majorBidi"/>
          <w:color w:val="000000"/>
          <w:szCs w:val="24"/>
        </w:rPr>
        <w:t xml:space="preserve">At </w:t>
      </w:r>
      <w:r w:rsidR="00A60BBF">
        <w:rPr>
          <w:rFonts w:asciiTheme="majorBidi" w:hAnsiTheme="majorBidi" w:cstheme="majorBidi"/>
          <w:color w:val="000000"/>
          <w:szCs w:val="24"/>
        </w:rPr>
        <w:t xml:space="preserve"> </w:t>
      </w:r>
      <w:r w:rsidRPr="009F5EC5">
        <w:rPr>
          <w:rFonts w:asciiTheme="majorBidi" w:hAnsiTheme="majorBidi" w:cstheme="majorBidi"/>
          <w:i/>
          <w:iCs/>
          <w:color w:val="000000"/>
          <w:szCs w:val="24"/>
        </w:rPr>
        <w:t>q</w:t>
      </w:r>
      <w:proofErr w:type="gramEnd"/>
      <w:r w:rsidR="009F5EC5">
        <w:rPr>
          <w:rFonts w:asciiTheme="majorBidi" w:hAnsiTheme="majorBidi" w:cstheme="majorBidi"/>
          <w:color w:val="000000"/>
          <w:szCs w:val="24"/>
        </w:rPr>
        <w:t>=</w:t>
      </w:r>
      <w:r w:rsidR="00A12D2F">
        <w:rPr>
          <w:i/>
        </w:rPr>
        <w:t>q</w:t>
      </w:r>
      <w:r w:rsidR="00A12D2F">
        <w:rPr>
          <w:vertAlign w:val="superscript"/>
        </w:rPr>
        <w:t>*</w:t>
      </w:r>
      <w:r w:rsidR="009F5EC5">
        <w:rPr>
          <w:rFonts w:asciiTheme="majorBidi" w:eastAsia="MS Mincho" w:hAnsi="MS Mincho" w:cstheme="majorBidi"/>
          <w:color w:val="000000"/>
          <w:szCs w:val="24"/>
        </w:rPr>
        <w:t>:</w:t>
      </w:r>
    </w:p>
    <w:p w:rsidR="009B7FD6" w:rsidRDefault="004D1F96" w:rsidP="008C7D19">
      <w:pPr>
        <w:widowControl w:val="0"/>
        <w:spacing w:line="440" w:lineRule="exact"/>
        <w:ind w:right="82"/>
        <w:rPr>
          <w:position w:val="-24"/>
          <w:szCs w:val="24"/>
        </w:rPr>
      </w:pPr>
      <w:r w:rsidRPr="00BD5934">
        <w:rPr>
          <w:position w:val="-10"/>
          <w:szCs w:val="24"/>
        </w:rPr>
        <w:object w:dxaOrig="1420" w:dyaOrig="360">
          <v:shape id="_x0000_i1035" type="#_x0000_t75" style="width:1in;height:19.5pt" o:ole="">
            <v:imagedata r:id="rId30" o:title=""/>
          </v:shape>
          <o:OLEObject Type="Embed" ProgID="Equation.3" ShapeID="_x0000_i1035" DrawAspect="Content" ObjectID="_1416920896" r:id="rId31"/>
        </w:object>
      </w:r>
    </w:p>
    <w:p w:rsidR="00B2667A" w:rsidRDefault="009F5EC5" w:rsidP="008C7D19">
      <w:pPr>
        <w:widowControl w:val="0"/>
        <w:spacing w:after="0" w:line="440" w:lineRule="exact"/>
        <w:ind w:right="82"/>
        <w:rPr>
          <w:rFonts w:asciiTheme="majorBidi" w:hAnsiTheme="majorBidi" w:cstheme="majorBidi"/>
          <w:color w:val="000000"/>
          <w:szCs w:val="24"/>
        </w:rPr>
      </w:pPr>
      <w:r>
        <w:rPr>
          <w:rFonts w:asciiTheme="majorBidi" w:hAnsiTheme="majorBidi" w:cstheme="majorBidi"/>
          <w:color w:val="000000"/>
          <w:szCs w:val="24"/>
        </w:rPr>
        <w:t>Now</w:t>
      </w:r>
      <w:r w:rsidR="004C536C" w:rsidRPr="00F30C6E">
        <w:rPr>
          <w:rFonts w:asciiTheme="majorBidi" w:hAnsiTheme="majorBidi" w:cstheme="majorBidi"/>
          <w:color w:val="000000"/>
          <w:szCs w:val="24"/>
        </w:rPr>
        <w:t xml:space="preserve"> take the </w:t>
      </w:r>
      <w:proofErr w:type="spellStart"/>
      <w:r w:rsidR="004C536C" w:rsidRPr="00F30C6E">
        <w:rPr>
          <w:rFonts w:asciiTheme="majorBidi" w:hAnsiTheme="majorBidi" w:cstheme="majorBidi"/>
          <w:color w:val="000000"/>
          <w:szCs w:val="24"/>
        </w:rPr>
        <w:t>ﬁrst</w:t>
      </w:r>
      <w:proofErr w:type="spellEnd"/>
      <w:r w:rsidR="004C536C" w:rsidRPr="00F30C6E">
        <w:rPr>
          <w:rFonts w:asciiTheme="majorBidi" w:hAnsiTheme="majorBidi" w:cstheme="majorBidi"/>
          <w:color w:val="000000"/>
          <w:szCs w:val="24"/>
        </w:rPr>
        <w:t xml:space="preserve"> three terms of the Taylor expansion of </w:t>
      </w:r>
      <w:proofErr w:type="gramStart"/>
      <w:r>
        <w:rPr>
          <w:rFonts w:asciiTheme="majorBidi" w:hAnsiTheme="majorBidi" w:cstheme="majorBidi"/>
          <w:i/>
          <w:iCs/>
          <w:color w:val="000000"/>
          <w:szCs w:val="24"/>
        </w:rPr>
        <w:t>C</w:t>
      </w:r>
      <w:r w:rsidR="004C536C" w:rsidRPr="00F30C6E">
        <w:rPr>
          <w:rFonts w:asciiTheme="majorBidi" w:hAnsiTheme="majorBidi" w:cstheme="majorBidi"/>
          <w:color w:val="000000"/>
          <w:szCs w:val="24"/>
        </w:rPr>
        <w:t>(</w:t>
      </w:r>
      <w:proofErr w:type="gramEnd"/>
      <w:r w:rsidR="004C536C" w:rsidRPr="009F5EC5">
        <w:rPr>
          <w:rFonts w:asciiTheme="majorBidi" w:hAnsiTheme="majorBidi" w:cstheme="majorBidi"/>
          <w:i/>
          <w:iCs/>
          <w:color w:val="000000"/>
          <w:szCs w:val="24"/>
        </w:rPr>
        <w:t>q</w:t>
      </w:r>
      <w:r w:rsidR="004C536C" w:rsidRPr="00F30C6E">
        <w:rPr>
          <w:rFonts w:asciiTheme="majorBidi" w:hAnsiTheme="majorBidi" w:cstheme="majorBidi"/>
          <w:color w:val="000000"/>
          <w:szCs w:val="24"/>
        </w:rPr>
        <w:t xml:space="preserve">) near </w:t>
      </w:r>
      <w:r w:rsidR="00A12D2F">
        <w:rPr>
          <w:i/>
        </w:rPr>
        <w:t>q</w:t>
      </w:r>
      <w:r w:rsidR="00A12D2F">
        <w:rPr>
          <w:vertAlign w:val="superscript"/>
        </w:rPr>
        <w:t>*</w:t>
      </w:r>
      <w:r>
        <w:rPr>
          <w:rFonts w:asciiTheme="majorBidi" w:hAnsiTheme="majorBidi" w:cstheme="majorBidi"/>
          <w:color w:val="000000"/>
          <w:szCs w:val="24"/>
        </w:rPr>
        <w:t>:</w:t>
      </w:r>
      <w:r w:rsidR="00BB443C">
        <w:rPr>
          <w:rFonts w:asciiTheme="majorBidi" w:hAnsiTheme="majorBidi" w:cstheme="majorBidi"/>
          <w:color w:val="000000"/>
          <w:szCs w:val="24"/>
        </w:rPr>
        <w:t xml:space="preserve">   </w:t>
      </w:r>
    </w:p>
    <w:p w:rsidR="00E14A56" w:rsidRDefault="00065B24">
      <w:pPr>
        <w:widowControl w:val="0"/>
        <w:spacing w:after="0" w:line="276" w:lineRule="auto"/>
        <w:ind w:right="82"/>
        <w:rPr>
          <w:color w:val="000000"/>
        </w:rPr>
      </w:pPr>
      <w:r w:rsidRPr="00BD5934">
        <w:rPr>
          <w:position w:val="-24"/>
          <w:szCs w:val="24"/>
        </w:rPr>
        <w:object w:dxaOrig="4819" w:dyaOrig="660">
          <v:shape id="_x0000_i1036" type="#_x0000_t75" style="width:241.5pt;height:31.5pt" o:ole="">
            <v:imagedata r:id="rId32" o:title=""/>
          </v:shape>
          <o:OLEObject Type="Embed" ProgID="Equation.3" ShapeID="_x0000_i1036" DrawAspect="Content" ObjectID="_1416920897" r:id="rId33"/>
        </w:object>
      </w:r>
    </w:p>
    <w:p w:rsidR="004C536C" w:rsidRDefault="00065B24" w:rsidP="008C7D19">
      <w:pPr>
        <w:tabs>
          <w:tab w:val="left" w:pos="9781"/>
        </w:tabs>
        <w:spacing w:after="0"/>
        <w:ind w:right="82"/>
        <w:jc w:val="both"/>
      </w:pPr>
      <w:r>
        <w:t xml:space="preserve">Noting that since </w:t>
      </w:r>
      <w:r w:rsidR="00A12D2F">
        <w:rPr>
          <w:i/>
        </w:rPr>
        <w:t>q</w:t>
      </w:r>
      <w:r w:rsidR="00A12D2F">
        <w:rPr>
          <w:vertAlign w:val="superscript"/>
        </w:rPr>
        <w:t>*</w:t>
      </w:r>
      <w:r w:rsidR="00A12D2F">
        <w:t xml:space="preserve"> </w:t>
      </w:r>
      <w:r w:rsidR="005A2469">
        <w:rPr>
          <w:rFonts w:asciiTheme="majorBidi" w:hAnsiTheme="majorBidi" w:cstheme="majorBidi"/>
          <w:color w:val="000000"/>
          <w:szCs w:val="24"/>
        </w:rPr>
        <w:t>is the competitive equilibrium for the firm</w:t>
      </w:r>
      <w:r>
        <w:rPr>
          <w:rFonts w:asciiTheme="majorBidi" w:hAnsiTheme="majorBidi" w:cstheme="majorBidi"/>
          <w:color w:val="000000"/>
          <w:szCs w:val="24"/>
        </w:rPr>
        <w:t xml:space="preserve">, </w:t>
      </w:r>
      <w:r w:rsidRPr="00387F17">
        <w:rPr>
          <w:position w:val="-10"/>
          <w:szCs w:val="24"/>
        </w:rPr>
        <w:object w:dxaOrig="1160" w:dyaOrig="360">
          <v:shape id="_x0000_i1037" type="#_x0000_t75" style="width:58.5pt;height:19.5pt" o:ole="">
            <v:imagedata r:id="rId34" o:title=""/>
          </v:shape>
          <o:OLEObject Type="Embed" ProgID="Equation.3" ShapeID="_x0000_i1037" DrawAspect="Content" ObjectID="_1416920898" r:id="rId35"/>
        </w:object>
      </w:r>
    </w:p>
    <w:p w:rsidR="004C536C" w:rsidRDefault="004C536C" w:rsidP="008C7D19">
      <w:pPr>
        <w:tabs>
          <w:tab w:val="left" w:pos="9781"/>
        </w:tabs>
        <w:spacing w:after="0"/>
        <w:ind w:right="82"/>
        <w:jc w:val="both"/>
      </w:pPr>
    </w:p>
    <w:p w:rsidR="00065B24" w:rsidRDefault="004D1F96" w:rsidP="008C7D19">
      <w:pPr>
        <w:tabs>
          <w:tab w:val="left" w:pos="9781"/>
        </w:tabs>
        <w:spacing w:after="0"/>
        <w:ind w:right="82"/>
        <w:jc w:val="both"/>
        <w:rPr>
          <w:position w:val="-24"/>
          <w:sz w:val="20"/>
        </w:rPr>
      </w:pPr>
      <w:r w:rsidRPr="00387F17">
        <w:rPr>
          <w:position w:val="-28"/>
          <w:szCs w:val="24"/>
        </w:rPr>
        <w:object w:dxaOrig="3340" w:dyaOrig="700">
          <v:shape id="_x0000_i1038" type="#_x0000_t75" style="width:168pt;height:34.5pt" o:ole="">
            <v:imagedata r:id="rId36" o:title=""/>
          </v:shape>
          <o:OLEObject Type="Embed" ProgID="Equation.3" ShapeID="_x0000_i1038" DrawAspect="Content" ObjectID="_1416920899" r:id="rId37"/>
        </w:object>
      </w:r>
    </w:p>
    <w:p w:rsidR="00A12D2F" w:rsidRDefault="00A12D2F" w:rsidP="008C7D19">
      <w:pPr>
        <w:tabs>
          <w:tab w:val="left" w:pos="9781"/>
        </w:tabs>
        <w:spacing w:after="0"/>
        <w:ind w:right="82"/>
        <w:jc w:val="both"/>
        <w:rPr>
          <w:position w:val="-24"/>
          <w:sz w:val="20"/>
        </w:rPr>
      </w:pPr>
    </w:p>
    <w:p w:rsidR="00A12D2F" w:rsidRDefault="00A12D2F" w:rsidP="008C7D19">
      <w:pPr>
        <w:tabs>
          <w:tab w:val="left" w:pos="9781"/>
        </w:tabs>
        <w:spacing w:after="0"/>
        <w:ind w:right="82"/>
        <w:jc w:val="both"/>
        <w:rPr>
          <w:position w:val="-24"/>
          <w:sz w:val="20"/>
        </w:rPr>
      </w:pPr>
      <w:r>
        <w:rPr>
          <w:position w:val="-24"/>
          <w:sz w:val="20"/>
        </w:rPr>
        <w:t xml:space="preserve">           </w:t>
      </w:r>
      <w:r w:rsidR="00387F17" w:rsidRPr="00387F17">
        <w:rPr>
          <w:position w:val="-28"/>
          <w:szCs w:val="24"/>
        </w:rPr>
        <w:object w:dxaOrig="3080" w:dyaOrig="700">
          <v:shape id="_x0000_i1039" type="#_x0000_t75" style="width:153.75pt;height:34.5pt" o:ole="">
            <v:imagedata r:id="rId38" o:title=""/>
          </v:shape>
          <o:OLEObject Type="Embed" ProgID="Equation.3" ShapeID="_x0000_i1039" DrawAspect="Content" ObjectID="_1416920900" r:id="rId39"/>
        </w:object>
      </w:r>
    </w:p>
    <w:p w:rsidR="00387F17" w:rsidRDefault="00387F17" w:rsidP="008C7D19">
      <w:pPr>
        <w:tabs>
          <w:tab w:val="left" w:pos="9781"/>
        </w:tabs>
        <w:spacing w:after="0"/>
        <w:ind w:right="82"/>
        <w:jc w:val="both"/>
        <w:rPr>
          <w:position w:val="-24"/>
          <w:sz w:val="20"/>
        </w:rPr>
      </w:pPr>
    </w:p>
    <w:p w:rsidR="00387F17" w:rsidRDefault="00AE6CB3" w:rsidP="0066413F">
      <w:pPr>
        <w:tabs>
          <w:tab w:val="right" w:pos="8931"/>
        </w:tabs>
        <w:spacing w:after="0"/>
        <w:ind w:right="82"/>
        <w:jc w:val="both"/>
        <w:rPr>
          <w:position w:val="-10"/>
          <w:szCs w:val="24"/>
        </w:rPr>
      </w:pPr>
      <w:r>
        <w:rPr>
          <w:position w:val="-10"/>
          <w:szCs w:val="24"/>
        </w:rPr>
        <w:t xml:space="preserve">        </w:t>
      </w:r>
      <w:r w:rsidR="00387F17" w:rsidRPr="00387F17">
        <w:rPr>
          <w:position w:val="-10"/>
          <w:szCs w:val="24"/>
        </w:rPr>
        <w:object w:dxaOrig="1880" w:dyaOrig="360">
          <v:shape id="_x0000_i1040" type="#_x0000_t75" style="width:92.25pt;height:19.5pt" o:ole="">
            <v:imagedata r:id="rId40" o:title=""/>
          </v:shape>
          <o:OLEObject Type="Embed" ProgID="Equation.3" ShapeID="_x0000_i1040" DrawAspect="Content" ObjectID="_1416920901" r:id="rId41"/>
        </w:object>
      </w:r>
      <w:r w:rsidR="00387F17">
        <w:rPr>
          <w:position w:val="-10"/>
          <w:szCs w:val="24"/>
        </w:rPr>
        <w:t xml:space="preserve">                                     </w:t>
      </w:r>
      <w:r w:rsidR="00A60BBF">
        <w:rPr>
          <w:position w:val="-10"/>
          <w:szCs w:val="24"/>
        </w:rPr>
        <w:t xml:space="preserve">     </w:t>
      </w:r>
      <w:r w:rsidR="0066413F">
        <w:rPr>
          <w:position w:val="-10"/>
          <w:szCs w:val="24"/>
        </w:rPr>
        <w:tab/>
      </w:r>
      <w:r w:rsidR="00387F17">
        <w:rPr>
          <w:position w:val="-10"/>
          <w:szCs w:val="24"/>
        </w:rPr>
        <w:t xml:space="preserve">      </w:t>
      </w:r>
      <w:r w:rsidR="007C7726">
        <w:rPr>
          <w:position w:val="-10"/>
          <w:szCs w:val="24"/>
        </w:rPr>
        <w:t xml:space="preserve">    </w:t>
      </w:r>
      <w:r w:rsidR="00034A16">
        <w:rPr>
          <w:position w:val="-10"/>
          <w:szCs w:val="24"/>
        </w:rPr>
        <w:t xml:space="preserve">   </w:t>
      </w:r>
      <w:r>
        <w:rPr>
          <w:position w:val="-10"/>
          <w:szCs w:val="24"/>
        </w:rPr>
        <w:t xml:space="preserve">       </w:t>
      </w:r>
      <w:r w:rsidR="00034A16">
        <w:rPr>
          <w:position w:val="-10"/>
          <w:szCs w:val="24"/>
        </w:rPr>
        <w:t xml:space="preserve">        </w:t>
      </w:r>
      <w:r w:rsidR="007C7726">
        <w:rPr>
          <w:position w:val="-10"/>
          <w:szCs w:val="24"/>
        </w:rPr>
        <w:t xml:space="preserve">         </w:t>
      </w:r>
      <w:r w:rsidR="00387F17">
        <w:rPr>
          <w:position w:val="-10"/>
          <w:szCs w:val="24"/>
        </w:rPr>
        <w:t>(</w:t>
      </w:r>
      <w:r w:rsidR="007C7726">
        <w:rPr>
          <w:position w:val="-10"/>
          <w:szCs w:val="24"/>
        </w:rPr>
        <w:t>i</w:t>
      </w:r>
      <w:r w:rsidR="00387F17">
        <w:rPr>
          <w:position w:val="-10"/>
          <w:szCs w:val="24"/>
        </w:rPr>
        <w:t>ii)</w:t>
      </w:r>
    </w:p>
    <w:p w:rsidR="00AE6CB3" w:rsidRDefault="00AE6CB3" w:rsidP="00AE6CB3">
      <w:pPr>
        <w:tabs>
          <w:tab w:val="left" w:pos="8931"/>
        </w:tabs>
        <w:spacing w:after="0"/>
        <w:ind w:right="82"/>
        <w:jc w:val="both"/>
        <w:rPr>
          <w:position w:val="-24"/>
          <w:sz w:val="20"/>
        </w:rPr>
      </w:pPr>
    </w:p>
    <w:p w:rsidR="00A12D2F" w:rsidRDefault="00A12D2F" w:rsidP="008C7D19">
      <w:pPr>
        <w:tabs>
          <w:tab w:val="left" w:pos="9781"/>
        </w:tabs>
        <w:spacing w:after="0"/>
        <w:ind w:right="82"/>
        <w:jc w:val="both"/>
      </w:pPr>
    </w:p>
    <w:p w:rsidR="00D76932" w:rsidRDefault="00387F17" w:rsidP="008C7D19">
      <w:pPr>
        <w:tabs>
          <w:tab w:val="left" w:pos="9781"/>
        </w:tabs>
        <w:spacing w:after="0"/>
        <w:ind w:right="82"/>
        <w:jc w:val="both"/>
      </w:pPr>
      <w:proofErr w:type="gramStart"/>
      <w:r>
        <w:t>where</w:t>
      </w:r>
      <w:proofErr w:type="gramEnd"/>
      <w:r>
        <w:t xml:space="preserve"> the constants of the unit cost equation are </w:t>
      </w:r>
      <w:r w:rsidRPr="00387F17">
        <w:rPr>
          <w:position w:val="-10"/>
          <w:szCs w:val="24"/>
        </w:rPr>
        <w:object w:dxaOrig="1420" w:dyaOrig="360">
          <v:shape id="_x0000_i1041" type="#_x0000_t75" style="width:70.5pt;height:19.5pt" o:ole="">
            <v:imagedata r:id="rId42" o:title=""/>
          </v:shape>
          <o:OLEObject Type="Embed" ProgID="Equation.3" ShapeID="_x0000_i1041" DrawAspect="Content" ObjectID="_1416920902" r:id="rId43"/>
        </w:object>
      </w:r>
      <w:r>
        <w:rPr>
          <w:position w:val="-10"/>
          <w:sz w:val="20"/>
        </w:rPr>
        <w:t xml:space="preserve"> </w:t>
      </w:r>
      <w:r>
        <w:t xml:space="preserve">and </w:t>
      </w:r>
      <w:r w:rsidR="00284373" w:rsidRPr="004F6B1E">
        <w:rPr>
          <w:position w:val="-10"/>
          <w:sz w:val="20"/>
        </w:rPr>
        <w:object w:dxaOrig="1640" w:dyaOrig="360">
          <v:shape id="_x0000_i1042" type="#_x0000_t75" style="width:82.5pt;height:19.5pt" o:ole="">
            <v:imagedata r:id="rId44" o:title=""/>
          </v:shape>
          <o:OLEObject Type="Embed" ProgID="Equation.3" ShapeID="_x0000_i1042" DrawAspect="Content" ObjectID="_1416920903" r:id="rId45"/>
        </w:object>
      </w:r>
      <w:r w:rsidR="00614CCE">
        <w:t xml:space="preserve"> The term</w:t>
      </w:r>
      <w:r w:rsidR="003726E9" w:rsidRPr="001B55D7">
        <w:rPr>
          <w:position w:val="-10"/>
        </w:rPr>
        <w:object w:dxaOrig="420" w:dyaOrig="320">
          <v:shape id="_x0000_i1043" type="#_x0000_t75" style="width:21.75pt;height:15.75pt" o:ole="">
            <v:imagedata r:id="rId46" o:title=""/>
          </v:shape>
          <o:OLEObject Type="Embed" ProgID="Equation.3" ShapeID="_x0000_i1043" DrawAspect="Content" ObjectID="_1416920904" r:id="rId47"/>
        </w:object>
      </w:r>
      <w:r w:rsidR="003726E9">
        <w:t>represents additional costs proportional to the size of the sector</w:t>
      </w:r>
      <w:r w:rsidR="001A6741">
        <w:t xml:space="preserve">, where increases in the number of firms, </w:t>
      </w:r>
      <w:r w:rsidR="001A6741" w:rsidRPr="001A6741">
        <w:rPr>
          <w:i/>
        </w:rPr>
        <w:t>M</w:t>
      </w:r>
      <w:r w:rsidR="00614CCE">
        <w:t>, drive up resource costs</w:t>
      </w:r>
      <w:r w:rsidR="003726E9">
        <w:t>.</w:t>
      </w:r>
      <w:r w:rsidR="00002E0D">
        <w:t xml:space="preserve"> Note, however, that if</w:t>
      </w:r>
      <w:r w:rsidR="00167623">
        <w:t xml:space="preserve"> increases in the number of industrial firms leads </w:t>
      </w:r>
      <w:r w:rsidR="00FF57C1">
        <w:t xml:space="preserve">wage </w:t>
      </w:r>
      <w:r w:rsidR="00167623">
        <w:t>costs to fall for each firm,</w:t>
      </w:r>
      <w:r w:rsidR="00BB60C8">
        <w:t xml:space="preserve"> for example due to p</w:t>
      </w:r>
      <w:r w:rsidR="00FF57C1">
        <w:t>ecuniary</w:t>
      </w:r>
      <w:r w:rsidR="00BB60C8">
        <w:t xml:space="preserve"> externalities</w:t>
      </w:r>
      <w:r w:rsidR="00FF57C1">
        <w:t xml:space="preserve"> in organizing labor transfers to industry</w:t>
      </w:r>
      <w:r w:rsidR="00BB60C8">
        <w:t>,</w:t>
      </w:r>
      <w:r w:rsidR="00167623">
        <w:t xml:space="preserve"> then the sign on </w:t>
      </w:r>
      <w:r w:rsidR="00167623" w:rsidRPr="001B55D7">
        <w:rPr>
          <w:position w:val="-10"/>
        </w:rPr>
        <w:object w:dxaOrig="420" w:dyaOrig="320">
          <v:shape id="_x0000_i1044" type="#_x0000_t75" style="width:21.75pt;height:15.75pt" o:ole="">
            <v:imagedata r:id="rId46" o:title=""/>
          </v:shape>
          <o:OLEObject Type="Embed" ProgID="Equation.3" ShapeID="_x0000_i1044" DrawAspect="Content" ObjectID="_1416920905" r:id="rId48"/>
        </w:object>
      </w:r>
      <w:r w:rsidR="00167623">
        <w:t>will be negative.</w:t>
      </w:r>
      <w:r w:rsidR="00BB60C8">
        <w:rPr>
          <w:rStyle w:val="FootnoteReference"/>
        </w:rPr>
        <w:footnoteReference w:id="3"/>
      </w:r>
      <w:r w:rsidR="00BB60C8">
        <w:t xml:space="preserve"> </w:t>
      </w:r>
      <w:r w:rsidR="001512D8">
        <w:t xml:space="preserve">In this case, intrasectoral competition for resources will be offset by the pecuniary gains from cheaper access to labor – i.e. the labor constraint is relaxed as </w:t>
      </w:r>
      <w:r w:rsidR="004976A0" w:rsidRPr="004976A0">
        <w:rPr>
          <w:i/>
          <w:iCs/>
        </w:rPr>
        <w:t>M</w:t>
      </w:r>
      <w:r w:rsidR="001512D8">
        <w:t xml:space="preserve"> increases, raising the growth rate of industry. </w:t>
      </w:r>
      <w:r w:rsidR="00BB60C8">
        <w:t xml:space="preserve">Note also that the size of </w:t>
      </w:r>
      <w:r w:rsidR="004976A0" w:rsidRPr="004976A0">
        <w:rPr>
          <w:i/>
          <w:iCs/>
        </w:rPr>
        <w:t>M</w:t>
      </w:r>
      <w:r w:rsidR="00BB60C8">
        <w:t xml:space="preserve"> is ultimately determined by economic policy.</w:t>
      </w:r>
      <w:r w:rsidR="00167623">
        <w:t xml:space="preserve"> </w:t>
      </w:r>
    </w:p>
    <w:p w:rsidR="00F41D18" w:rsidRDefault="00F41D18" w:rsidP="008C7D19">
      <w:pPr>
        <w:tabs>
          <w:tab w:val="left" w:pos="9781"/>
        </w:tabs>
        <w:spacing w:after="0"/>
        <w:ind w:right="82"/>
        <w:jc w:val="both"/>
      </w:pPr>
    </w:p>
    <w:p w:rsidR="00E14A56" w:rsidRDefault="005F03A4">
      <w:pPr>
        <w:spacing w:after="0"/>
        <w:ind w:right="82" w:firstLine="447"/>
        <w:jc w:val="both"/>
      </w:pPr>
      <w:r>
        <w:rPr>
          <w:color w:val="000000"/>
        </w:rPr>
        <w:t>Assum</w:t>
      </w:r>
      <w:r w:rsidR="00591287">
        <w:rPr>
          <w:color w:val="000000"/>
        </w:rPr>
        <w:t>e that the price of manufactured</w:t>
      </w:r>
      <w:r>
        <w:rPr>
          <w:color w:val="000000"/>
        </w:rPr>
        <w:t xml:space="preserve"> goods, </w:t>
      </w:r>
      <w:r w:rsidRPr="005F03A4">
        <w:rPr>
          <w:i/>
          <w:color w:val="000000"/>
        </w:rPr>
        <w:t>p</w:t>
      </w:r>
      <w:r>
        <w:rPr>
          <w:color w:val="000000"/>
        </w:rPr>
        <w:t>, decreases linearly with</w:t>
      </w:r>
      <w:r w:rsidRPr="005F03A4">
        <w:rPr>
          <w:i/>
          <w:color w:val="000000"/>
        </w:rPr>
        <w:t xml:space="preserve"> M</w:t>
      </w:r>
      <w:r>
        <w:rPr>
          <w:color w:val="000000"/>
        </w:rPr>
        <w:t xml:space="preserve">, such that </w:t>
      </w:r>
      <w:r w:rsidR="00596208">
        <w:rPr>
          <w:color w:val="000000"/>
        </w:rPr>
        <w:br/>
      </w:r>
      <w:r w:rsidRPr="005F03A4">
        <w:rPr>
          <w:i/>
          <w:color w:val="000000"/>
        </w:rPr>
        <w:t>p</w:t>
      </w:r>
      <w:r>
        <w:rPr>
          <w:color w:val="000000"/>
        </w:rPr>
        <w:t xml:space="preserve"> </w:t>
      </w:r>
      <w:proofErr w:type="gramStart"/>
      <w:r>
        <w:rPr>
          <w:color w:val="000000"/>
        </w:rPr>
        <w:t xml:space="preserve">=  </w:t>
      </w:r>
      <w:r w:rsidRPr="005F03A4">
        <w:rPr>
          <w:i/>
          <w:color w:val="000000"/>
        </w:rPr>
        <w:t>p</w:t>
      </w:r>
      <w:r w:rsidRPr="00591287">
        <w:rPr>
          <w:color w:val="000000"/>
          <w:sz w:val="16"/>
          <w:szCs w:val="16"/>
          <w:vertAlign w:val="subscript"/>
        </w:rPr>
        <w:t>0</w:t>
      </w:r>
      <w:proofErr w:type="gramEnd"/>
      <w:r>
        <w:rPr>
          <w:color w:val="000000"/>
        </w:rPr>
        <w:t xml:space="preserve">− </w:t>
      </w:r>
      <w:proofErr w:type="spellStart"/>
      <w:r w:rsidRPr="00591287">
        <w:rPr>
          <w:i/>
          <w:color w:val="000000"/>
        </w:rPr>
        <w:t>α</w:t>
      </w:r>
      <w:r w:rsidRPr="005F03A4">
        <w:rPr>
          <w:i/>
          <w:color w:val="000000"/>
        </w:rPr>
        <w:t>M</w:t>
      </w:r>
      <w:proofErr w:type="spellEnd"/>
      <w:r w:rsidR="00BD5934">
        <w:rPr>
          <w:iCs/>
          <w:color w:val="000000"/>
        </w:rPr>
        <w:t xml:space="preserve">, where </w:t>
      </w:r>
      <w:r w:rsidR="00BD5934" w:rsidRPr="00BD5934">
        <w:rPr>
          <w:i/>
          <w:color w:val="000000"/>
        </w:rPr>
        <w:t>α</w:t>
      </w:r>
      <w:r w:rsidR="00BD5934">
        <w:rPr>
          <w:iCs/>
          <w:color w:val="000000"/>
        </w:rPr>
        <w:t xml:space="preserve"> is a positive constant</w:t>
      </w:r>
      <w:r>
        <w:rPr>
          <w:color w:val="000000"/>
        </w:rPr>
        <w:t>.</w:t>
      </w:r>
      <w:r w:rsidR="00494338">
        <w:rPr>
          <w:color w:val="000000"/>
        </w:rPr>
        <w:t xml:space="preserve"> Thus, profit per firm is given by:</w:t>
      </w:r>
    </w:p>
    <w:p w:rsidR="00494338" w:rsidRDefault="00494338" w:rsidP="008C7D19">
      <w:pPr>
        <w:widowControl w:val="0"/>
        <w:tabs>
          <w:tab w:val="left" w:pos="9781"/>
        </w:tabs>
        <w:spacing w:after="0"/>
        <w:ind w:right="82"/>
        <w:jc w:val="both"/>
        <w:rPr>
          <w:color w:val="000000"/>
        </w:rPr>
      </w:pPr>
    </w:p>
    <w:p w:rsidR="00FF413F" w:rsidRDefault="007806D2" w:rsidP="00D91705">
      <w:pPr>
        <w:widowControl w:val="0"/>
        <w:tabs>
          <w:tab w:val="right" w:pos="9026"/>
        </w:tabs>
        <w:spacing w:after="0"/>
        <w:ind w:right="82"/>
        <w:jc w:val="both"/>
        <w:rPr>
          <w:color w:val="000000"/>
        </w:rPr>
      </w:pPr>
      <w:r w:rsidRPr="00494338">
        <w:rPr>
          <w:position w:val="-12"/>
          <w:sz w:val="20"/>
        </w:rPr>
        <w:object w:dxaOrig="3480" w:dyaOrig="380">
          <v:shape id="_x0000_i1045" type="#_x0000_t75" style="width:174pt;height:19.5pt" o:ole="">
            <v:imagedata r:id="rId49" o:title=""/>
          </v:shape>
          <o:OLEObject Type="Embed" ProgID="Equation.3" ShapeID="_x0000_i1045" DrawAspect="Content" ObjectID="_1416920906" r:id="rId50"/>
        </w:object>
      </w:r>
      <w:r w:rsidR="00FF413F">
        <w:rPr>
          <w:color w:val="000000"/>
        </w:rPr>
        <w:t xml:space="preserve">                                                        </w:t>
      </w:r>
      <w:r w:rsidR="00D91705">
        <w:rPr>
          <w:color w:val="000000"/>
        </w:rPr>
        <w:t xml:space="preserve">                </w:t>
      </w:r>
      <w:r w:rsidR="00D91705">
        <w:rPr>
          <w:color w:val="000000"/>
        </w:rPr>
        <w:tab/>
        <w:t xml:space="preserve">      </w:t>
      </w:r>
      <w:proofErr w:type="gramStart"/>
      <w:r w:rsidR="007C7726">
        <w:rPr>
          <w:color w:val="000000"/>
        </w:rPr>
        <w:t>(iv</w:t>
      </w:r>
      <w:r w:rsidR="00FF413F">
        <w:rPr>
          <w:color w:val="000000"/>
        </w:rPr>
        <w:t>)</w:t>
      </w:r>
      <w:proofErr w:type="gramEnd"/>
    </w:p>
    <w:p w:rsidR="00FF413F" w:rsidRDefault="00FF413F" w:rsidP="008C7D19">
      <w:pPr>
        <w:widowControl w:val="0"/>
        <w:tabs>
          <w:tab w:val="left" w:pos="9781"/>
        </w:tabs>
        <w:spacing w:after="0"/>
        <w:ind w:right="82"/>
        <w:jc w:val="both"/>
        <w:rPr>
          <w:color w:val="000000"/>
        </w:rPr>
      </w:pPr>
    </w:p>
    <w:p w:rsidR="00247128" w:rsidRDefault="00247128" w:rsidP="008C7D19">
      <w:pPr>
        <w:widowControl w:val="0"/>
        <w:tabs>
          <w:tab w:val="left" w:pos="9781"/>
        </w:tabs>
        <w:spacing w:after="0"/>
        <w:ind w:right="82"/>
        <w:jc w:val="both"/>
        <w:rPr>
          <w:color w:val="000000"/>
        </w:rPr>
      </w:pPr>
      <w:r>
        <w:rPr>
          <w:color w:val="000000"/>
        </w:rPr>
        <w:t>From (i</w:t>
      </w:r>
      <w:r w:rsidR="007C7726">
        <w:rPr>
          <w:color w:val="000000"/>
        </w:rPr>
        <w:t>i</w:t>
      </w:r>
      <w:r>
        <w:rPr>
          <w:color w:val="000000"/>
        </w:rPr>
        <w:t>):</w:t>
      </w:r>
    </w:p>
    <w:p w:rsidR="00247128" w:rsidRDefault="00247128" w:rsidP="008C7D19">
      <w:pPr>
        <w:widowControl w:val="0"/>
        <w:tabs>
          <w:tab w:val="left" w:pos="9781"/>
        </w:tabs>
        <w:spacing w:after="0"/>
        <w:ind w:right="82"/>
        <w:jc w:val="both"/>
        <w:rPr>
          <w:color w:val="000000"/>
        </w:rPr>
      </w:pPr>
    </w:p>
    <w:p w:rsidR="00247128" w:rsidRDefault="007806D2" w:rsidP="00D91705">
      <w:pPr>
        <w:widowControl w:val="0"/>
        <w:tabs>
          <w:tab w:val="right" w:pos="9026"/>
        </w:tabs>
        <w:spacing w:after="0"/>
        <w:ind w:right="82"/>
        <w:jc w:val="both"/>
        <w:rPr>
          <w:color w:val="000000"/>
        </w:rPr>
      </w:pPr>
      <w:r w:rsidRPr="004F6B1E">
        <w:rPr>
          <w:position w:val="-24"/>
          <w:sz w:val="20"/>
        </w:rPr>
        <w:object w:dxaOrig="4120" w:dyaOrig="620">
          <v:shape id="_x0000_i1046" type="#_x0000_t75" style="width:205.5pt;height:31.5pt" o:ole="">
            <v:imagedata r:id="rId51" o:title=""/>
          </v:shape>
          <o:OLEObject Type="Embed" ProgID="Equation.3" ShapeID="_x0000_i1046" DrawAspect="Content" ObjectID="_1416920907" r:id="rId52"/>
        </w:object>
      </w:r>
      <w:r w:rsidR="00247128">
        <w:t xml:space="preserve">                                                         </w:t>
      </w:r>
      <w:r w:rsidR="00FF413F">
        <w:t xml:space="preserve">      </w:t>
      </w:r>
      <w:r w:rsidR="007C7726">
        <w:t xml:space="preserve">    </w:t>
      </w:r>
      <w:r w:rsidR="00D91705">
        <w:tab/>
      </w:r>
      <w:r w:rsidR="007C7726">
        <w:t xml:space="preserve"> (</w:t>
      </w:r>
      <w:r w:rsidR="00FF413F">
        <w:t>v</w:t>
      </w:r>
      <w:r w:rsidR="00247128">
        <w:t>)</w:t>
      </w:r>
    </w:p>
    <w:p w:rsidR="00247128" w:rsidRDefault="00247128" w:rsidP="008C7D19">
      <w:pPr>
        <w:widowControl w:val="0"/>
        <w:tabs>
          <w:tab w:val="left" w:pos="9781"/>
        </w:tabs>
        <w:spacing w:after="0"/>
        <w:ind w:right="82"/>
        <w:jc w:val="both"/>
        <w:rPr>
          <w:color w:val="000000"/>
        </w:rPr>
      </w:pPr>
    </w:p>
    <w:p w:rsidR="00247128" w:rsidRDefault="00247128" w:rsidP="008C7D19">
      <w:pPr>
        <w:tabs>
          <w:tab w:val="left" w:pos="9781"/>
        </w:tabs>
        <w:spacing w:after="0"/>
        <w:ind w:right="82"/>
        <w:jc w:val="both"/>
      </w:pPr>
      <w:r>
        <w:t xml:space="preserve">We can think of </w:t>
      </w:r>
      <w:r w:rsidR="007806D2" w:rsidRPr="001B55D7">
        <w:rPr>
          <w:position w:val="-12"/>
        </w:rPr>
        <w:object w:dxaOrig="3159" w:dyaOrig="380">
          <v:shape id="_x0000_i1047" type="#_x0000_t75" style="width:159.75pt;height:19.5pt" o:ole="">
            <v:imagedata r:id="rId53" o:title=""/>
          </v:shape>
          <o:OLEObject Type="Embed" ProgID="Equation.3" ShapeID="_x0000_i1047" DrawAspect="Content" ObjectID="_1416920908" r:id="rId54"/>
        </w:object>
      </w:r>
      <w:r>
        <w:t xml:space="preserve">as the individual firm’s contribution to the growth rate </w:t>
      </w:r>
      <w:r w:rsidRPr="0051365E">
        <w:t xml:space="preserve">of </w:t>
      </w:r>
      <w:r w:rsidRPr="0051365E">
        <w:rPr>
          <w:i/>
        </w:rPr>
        <w:t>M</w:t>
      </w:r>
      <w:r w:rsidR="00DD118F">
        <w:rPr>
          <w:iCs/>
        </w:rPr>
        <w:t xml:space="preserve">, </w:t>
      </w:r>
      <w:proofErr w:type="spellStart"/>
      <w:r w:rsidR="00DD118F">
        <w:rPr>
          <w:iCs/>
        </w:rPr>
        <w:t>ie</w:t>
      </w:r>
      <w:proofErr w:type="spellEnd"/>
      <w:r w:rsidR="00DD118F">
        <w:rPr>
          <w:iCs/>
        </w:rPr>
        <w:t>, as a per unit growth rate</w:t>
      </w:r>
      <w:r w:rsidRPr="0051365E">
        <w:t>.</w:t>
      </w:r>
      <w:r>
        <w:t xml:space="preserve"> Defining the constants</w:t>
      </w:r>
      <w:r w:rsidR="00E0792F">
        <w:t xml:space="preserve"> </w:t>
      </w:r>
      <w:r w:rsidR="007806D2" w:rsidRPr="009B793E">
        <w:rPr>
          <w:position w:val="-12"/>
        </w:rPr>
        <w:object w:dxaOrig="2500" w:dyaOrig="380">
          <v:shape id="_x0000_i1048" type="#_x0000_t75" style="width:126pt;height:19.5pt" o:ole="">
            <v:imagedata r:id="rId55" o:title=""/>
          </v:shape>
          <o:OLEObject Type="Embed" ProgID="Equation.3" ShapeID="_x0000_i1048" DrawAspect="Content" ObjectID="_1416920909" r:id="rId56"/>
        </w:object>
      </w:r>
      <w:r w:rsidR="009B793E">
        <w:t xml:space="preserve"> </w:t>
      </w:r>
      <w:r w:rsidR="00056904">
        <w:t>and</w:t>
      </w:r>
      <w:r w:rsidR="007806D2" w:rsidRPr="009B793E">
        <w:rPr>
          <w:position w:val="-12"/>
        </w:rPr>
        <w:object w:dxaOrig="3120" w:dyaOrig="380">
          <v:shape id="_x0000_i1049" type="#_x0000_t75" style="width:156pt;height:19.5pt" o:ole="">
            <v:imagedata r:id="rId57" o:title=""/>
          </v:shape>
          <o:OLEObject Type="Embed" ProgID="Equation.3" ShapeID="_x0000_i1049" DrawAspect="Content" ObjectID="_1416920910" r:id="rId58"/>
        </w:object>
      </w:r>
      <w:r w:rsidR="00E0792F">
        <w:t>,</w:t>
      </w:r>
      <w:r w:rsidR="004A57B7">
        <w:t xml:space="preserve"> and with the dot indicating the time derivative, we have</w:t>
      </w:r>
      <w:r w:rsidR="009B7FD6">
        <w:rPr>
          <w:iCs/>
        </w:rPr>
        <w:t xml:space="preserve"> (</w:t>
      </w:r>
      <w:commentRangeStart w:id="7"/>
      <w:r w:rsidR="009B7FD6">
        <w:rPr>
          <w:iCs/>
        </w:rPr>
        <w:t>Turner and Rapport 1974</w:t>
      </w:r>
      <w:commentRangeEnd w:id="7"/>
      <w:r w:rsidR="00AF2116">
        <w:rPr>
          <w:rStyle w:val="CommentReference"/>
        </w:rPr>
        <w:commentReference w:id="7"/>
      </w:r>
      <w:r w:rsidR="009B7FD6">
        <w:rPr>
          <w:iCs/>
        </w:rPr>
        <w:t>)</w:t>
      </w:r>
      <w:r>
        <w:t>:</w:t>
      </w:r>
    </w:p>
    <w:p w:rsidR="00247128" w:rsidRDefault="00247128" w:rsidP="008C7D19">
      <w:pPr>
        <w:tabs>
          <w:tab w:val="left" w:pos="9781"/>
        </w:tabs>
        <w:spacing w:after="0"/>
        <w:ind w:right="82"/>
        <w:jc w:val="both"/>
      </w:pPr>
    </w:p>
    <w:p w:rsidR="00E14A56" w:rsidRDefault="00C25174" w:rsidP="0066413F">
      <w:pPr>
        <w:widowControl w:val="0"/>
        <w:tabs>
          <w:tab w:val="right" w:pos="9026"/>
        </w:tabs>
        <w:spacing w:after="0"/>
        <w:ind w:right="82"/>
        <w:jc w:val="both"/>
      </w:pPr>
      <w:r w:rsidRPr="00B76151">
        <w:rPr>
          <w:position w:val="-30"/>
          <w:sz w:val="20"/>
        </w:rPr>
        <w:object w:dxaOrig="2120" w:dyaOrig="680">
          <v:shape id="_x0000_i1050" type="#_x0000_t75" style="width:106.5pt;height:34.5pt" o:ole="">
            <v:imagedata r:id="rId59" o:title=""/>
          </v:shape>
          <o:OLEObject Type="Embed" ProgID="Equation.3" ShapeID="_x0000_i1050" DrawAspect="Content" ObjectID="_1416920911" r:id="rId60"/>
        </w:object>
      </w:r>
      <w:r w:rsidR="00247128">
        <w:t xml:space="preserve">                                                 </w:t>
      </w:r>
      <w:r w:rsidR="00056904">
        <w:t xml:space="preserve">    </w:t>
      </w:r>
      <w:r w:rsidR="00247128">
        <w:t xml:space="preserve">        </w:t>
      </w:r>
      <w:r w:rsidR="0066413F">
        <w:tab/>
      </w:r>
      <w:r w:rsidR="0090698E">
        <w:t xml:space="preserve">      </w:t>
      </w:r>
      <w:r w:rsidR="007C7726">
        <w:t xml:space="preserve">   </w:t>
      </w:r>
      <w:r w:rsidR="00034A16">
        <w:t xml:space="preserve">       </w:t>
      </w:r>
      <w:r w:rsidR="00CB7107">
        <w:t xml:space="preserve">  </w:t>
      </w:r>
      <w:r w:rsidR="005428E4">
        <w:t xml:space="preserve">    </w:t>
      </w:r>
      <w:proofErr w:type="gramStart"/>
      <w:r w:rsidR="00247128">
        <w:t>(v</w:t>
      </w:r>
      <w:r w:rsidR="007C7726">
        <w:t>i</w:t>
      </w:r>
      <w:r w:rsidR="00AE6CB3">
        <w:t>)</w:t>
      </w:r>
      <w:proofErr w:type="gramEnd"/>
    </w:p>
    <w:p w:rsidR="00C25174" w:rsidRDefault="003F07E2" w:rsidP="003F07E2">
      <w:pPr>
        <w:tabs>
          <w:tab w:val="left" w:pos="284"/>
          <w:tab w:val="left" w:pos="9781"/>
        </w:tabs>
        <w:spacing w:before="240" w:after="0"/>
        <w:ind w:right="82"/>
      </w:pPr>
      <w:r>
        <w:rPr>
          <w:sz w:val="20"/>
        </w:rPr>
        <w:t xml:space="preserve">      </w:t>
      </w:r>
      <w:r w:rsidR="00C25174" w:rsidRPr="00B76151">
        <w:rPr>
          <w:position w:val="-30"/>
          <w:sz w:val="20"/>
        </w:rPr>
        <w:object w:dxaOrig="1680" w:dyaOrig="680">
          <v:shape id="_x0000_i1051" type="#_x0000_t75" style="width:84pt;height:34.5pt" o:ole="">
            <v:imagedata r:id="rId61" o:title=""/>
          </v:shape>
          <o:OLEObject Type="Embed" ProgID="Equation.3" ShapeID="_x0000_i1051" DrawAspect="Content" ObjectID="_1416920912" r:id="rId62"/>
        </w:object>
      </w:r>
      <w:r w:rsidR="001C0829">
        <w:t xml:space="preserve"> </w:t>
      </w:r>
      <w:r w:rsidR="00C25174">
        <w:t xml:space="preserve"> as</w:t>
      </w:r>
      <w:r w:rsidR="00EE01FC">
        <w:t xml:space="preserve"> suggest</w:t>
      </w:r>
      <w:r w:rsidR="00C25174">
        <w:t>ed above.</w:t>
      </w:r>
    </w:p>
    <w:p w:rsidR="00E14A56" w:rsidRDefault="00B67BF8">
      <w:pPr>
        <w:spacing w:before="240" w:after="0"/>
        <w:ind w:right="82" w:firstLine="447"/>
        <w:jc w:val="both"/>
      </w:pPr>
      <w:r>
        <w:t>Equation (v</w:t>
      </w:r>
      <w:r w:rsidR="007C7726">
        <w:t>i</w:t>
      </w:r>
      <w:r>
        <w:t xml:space="preserve">) represents a simple logistic </w:t>
      </w:r>
      <w:r w:rsidR="00B76151">
        <w:t xml:space="preserve">model describing the growth </w:t>
      </w:r>
      <w:r w:rsidR="00167CEC">
        <w:t xml:space="preserve">in the number of </w:t>
      </w:r>
      <w:r w:rsidR="007B487E">
        <w:t>firm</w:t>
      </w:r>
      <w:r w:rsidR="00167CEC">
        <w:t>s in</w:t>
      </w:r>
      <w:r w:rsidR="00C50692">
        <w:t xml:space="preserve"> industry</w:t>
      </w:r>
      <w:r w:rsidR="00661ED2">
        <w:t xml:space="preserve">, as </w:t>
      </w:r>
      <w:r w:rsidR="00F41D18">
        <w:t>suggest</w:t>
      </w:r>
      <w:r w:rsidR="00661ED2">
        <w:t>ed by the first stylized fact in the previous section</w:t>
      </w:r>
      <w:r w:rsidR="008B71C4">
        <w:t>.</w:t>
      </w:r>
      <w:r w:rsidR="00042662">
        <w:t xml:space="preserve"> The bracketed term is the per unit growth rate</w:t>
      </w:r>
      <w:r w:rsidR="005D35A5">
        <w:t>, and, as defined above, relates to the impact of institutions in inducing firms to convert profits into the creation of new firms</w:t>
      </w:r>
      <w:r w:rsidR="00042662">
        <w:t xml:space="preserve">. </w:t>
      </w:r>
      <w:proofErr w:type="spellStart"/>
      <w:r w:rsidR="005D35A5" w:rsidRPr="005D35A5">
        <w:rPr>
          <w:i/>
          <w:iCs/>
        </w:rPr>
        <w:t>r</w:t>
      </w:r>
      <w:r w:rsidR="005D35A5" w:rsidRPr="005D35A5">
        <w:rPr>
          <w:i/>
          <w:iCs/>
          <w:vertAlign w:val="subscript"/>
        </w:rPr>
        <w:t>M</w:t>
      </w:r>
      <w:proofErr w:type="spellEnd"/>
      <w:r w:rsidR="005D35A5">
        <w:t xml:space="preserve"> doe</w:t>
      </w:r>
      <w:r w:rsidR="005D35A5" w:rsidRPr="005D35A5">
        <w:t>s</w:t>
      </w:r>
      <w:r w:rsidR="005D35A5">
        <w:t xml:space="preserve"> not contain the term</w:t>
      </w:r>
      <w:r w:rsidR="005D35A5" w:rsidRPr="005D35A5">
        <w:t xml:space="preserve"> </w:t>
      </w:r>
      <w:proofErr w:type="spellStart"/>
      <w:r w:rsidR="005D35A5" w:rsidRPr="005D35A5">
        <w:rPr>
          <w:i/>
          <w:iCs/>
        </w:rPr>
        <w:t>ϕM</w:t>
      </w:r>
      <w:proofErr w:type="spellEnd"/>
      <w:r w:rsidR="00FC4A8D">
        <w:t xml:space="preserve">; therefore it excludes </w:t>
      </w:r>
      <w:r w:rsidR="00FC4A8D" w:rsidRPr="009F5EC5">
        <w:rPr>
          <w:rFonts w:asciiTheme="majorBidi" w:hAnsiTheme="majorBidi" w:cstheme="majorBidi"/>
          <w:i/>
          <w:iCs/>
          <w:color w:val="000000"/>
          <w:szCs w:val="24"/>
        </w:rPr>
        <w:t>a</w:t>
      </w:r>
      <w:r w:rsidR="00FC4A8D">
        <w:rPr>
          <w:rFonts w:asciiTheme="majorBidi" w:hAnsiTheme="majorBidi" w:cstheme="majorBidi"/>
          <w:color w:val="000000"/>
          <w:szCs w:val="24"/>
        </w:rPr>
        <w:t>, the</w:t>
      </w:r>
      <w:r w:rsidR="00FC4A8D" w:rsidRPr="00F30C6E">
        <w:rPr>
          <w:rFonts w:asciiTheme="majorBidi" w:hAnsiTheme="majorBidi" w:cstheme="majorBidi"/>
          <w:color w:val="000000"/>
          <w:szCs w:val="24"/>
        </w:rPr>
        <w:t xml:space="preserve"> constant</w:t>
      </w:r>
      <w:r w:rsidR="00FC4A8D">
        <w:rPr>
          <w:rFonts w:asciiTheme="majorBidi" w:hAnsiTheme="majorBidi" w:cstheme="majorBidi"/>
          <w:color w:val="000000"/>
          <w:szCs w:val="24"/>
        </w:rPr>
        <w:t xml:space="preserve"> reflecting institutions</w:t>
      </w:r>
      <w:r w:rsidR="00661ED2">
        <w:rPr>
          <w:rFonts w:asciiTheme="majorBidi" w:hAnsiTheme="majorBidi" w:cstheme="majorBidi"/>
          <w:color w:val="000000"/>
          <w:szCs w:val="24"/>
        </w:rPr>
        <w:t xml:space="preserve"> that govern labor supply</w:t>
      </w:r>
      <w:r w:rsidR="00FC4A8D">
        <w:t xml:space="preserve">. Thus </w:t>
      </w:r>
      <w:proofErr w:type="spellStart"/>
      <w:r w:rsidR="00FC4A8D" w:rsidRPr="005D35A5">
        <w:rPr>
          <w:i/>
          <w:iCs/>
        </w:rPr>
        <w:t>r</w:t>
      </w:r>
      <w:r w:rsidR="00FC4A8D" w:rsidRPr="005D35A5">
        <w:rPr>
          <w:i/>
          <w:iCs/>
          <w:vertAlign w:val="subscript"/>
        </w:rPr>
        <w:t>M</w:t>
      </w:r>
      <w:proofErr w:type="spellEnd"/>
      <w:r w:rsidR="00FC4A8D">
        <w:t xml:space="preserve"> may be thought of as representing non-labor institutions,</w:t>
      </w:r>
      <w:r w:rsidR="003F3F9C">
        <w:t xml:space="preserve"> such as </w:t>
      </w:r>
      <w:r w:rsidR="00FC4A8D">
        <w:t xml:space="preserve">political stability, </w:t>
      </w:r>
      <w:r w:rsidR="003F3F9C">
        <w:t>property rights allocation, operational autonomy, and</w:t>
      </w:r>
      <w:r w:rsidR="00635B29">
        <w:t xml:space="preserve"> other</w:t>
      </w:r>
      <w:r w:rsidR="003F3F9C">
        <w:t xml:space="preserve"> incentives to reinvest profits into </w:t>
      </w:r>
      <w:r w:rsidR="007B487E">
        <w:t>firm</w:t>
      </w:r>
      <w:r w:rsidR="003F3F9C">
        <w:t>s.</w:t>
      </w:r>
      <w:r w:rsidR="008B71C4">
        <w:t xml:space="preserve"> </w:t>
      </w:r>
      <w:r w:rsidR="00F50AB1">
        <w:t xml:space="preserve">We also note the role of international trade </w:t>
      </w:r>
      <w:r w:rsidR="00A35091">
        <w:t>in explaining</w:t>
      </w:r>
      <w:r w:rsidR="00F50AB1">
        <w:t xml:space="preserve"> growth accelerations (</w:t>
      </w:r>
      <w:proofErr w:type="spellStart"/>
      <w:r w:rsidR="00F50AB1">
        <w:t>eg</w:t>
      </w:r>
      <w:proofErr w:type="spellEnd"/>
      <w:r w:rsidR="00F50AB1">
        <w:t xml:space="preserve">, see Jones and </w:t>
      </w:r>
      <w:proofErr w:type="spellStart"/>
      <w:r w:rsidR="00F50AB1">
        <w:t>Olken</w:t>
      </w:r>
      <w:proofErr w:type="spellEnd"/>
      <w:r w:rsidR="00F50AB1">
        <w:t xml:space="preserve"> (2008))</w:t>
      </w:r>
      <w:r w:rsidR="00A35091">
        <w:t>, here</w:t>
      </w:r>
      <w:r w:rsidR="004F3EBD">
        <w:t xml:space="preserve"> potentially</w:t>
      </w:r>
      <w:r w:rsidR="00A35091">
        <w:t xml:space="preserve"> acting through prices</w:t>
      </w:r>
      <w:r w:rsidR="004F3EBD">
        <w:t>,</w:t>
      </w:r>
      <w:r w:rsidR="00A35091">
        <w:t xml:space="preserve"> </w:t>
      </w:r>
      <w:r w:rsidR="004F3EBD">
        <w:t>cost</w:t>
      </w:r>
      <w:r w:rsidR="00A35091">
        <w:t>s</w:t>
      </w:r>
      <w:r w:rsidR="004F3EBD">
        <w:t xml:space="preserve"> and output levels</w:t>
      </w:r>
      <w:r w:rsidR="00F50AB1">
        <w:t>.</w:t>
      </w:r>
    </w:p>
    <w:p w:rsidR="00596208" w:rsidRDefault="00596208" w:rsidP="008C7D19">
      <w:pPr>
        <w:tabs>
          <w:tab w:val="left" w:pos="9781"/>
        </w:tabs>
        <w:spacing w:after="0"/>
        <w:ind w:right="82"/>
        <w:jc w:val="both"/>
      </w:pPr>
    </w:p>
    <w:p w:rsidR="00D76932" w:rsidRDefault="00FC4A8D" w:rsidP="008C7D19">
      <w:pPr>
        <w:tabs>
          <w:tab w:val="left" w:pos="9781"/>
        </w:tabs>
        <w:spacing w:after="0"/>
        <w:ind w:right="82"/>
        <w:jc w:val="both"/>
      </w:pPr>
      <w:r>
        <w:t xml:space="preserve">     </w:t>
      </w:r>
      <w:r w:rsidR="00042662">
        <w:t>Now consider the second term in brackets, (</w:t>
      </w:r>
      <w:proofErr w:type="spellStart"/>
      <w:r w:rsidR="00042662" w:rsidRPr="00042662">
        <w:rPr>
          <w:i/>
          <w:iCs/>
        </w:rPr>
        <w:t>r</w:t>
      </w:r>
      <w:r w:rsidR="00042662" w:rsidRPr="00042662">
        <w:rPr>
          <w:i/>
          <w:iCs/>
          <w:vertAlign w:val="subscript"/>
        </w:rPr>
        <w:t>M</w:t>
      </w:r>
      <w:r w:rsidR="00042662" w:rsidRPr="00042662">
        <w:rPr>
          <w:i/>
          <w:iCs/>
        </w:rPr>
        <w:t>M</w:t>
      </w:r>
      <w:proofErr w:type="spellEnd"/>
      <w:r w:rsidR="00042662">
        <w:t>/</w:t>
      </w:r>
      <w:r w:rsidR="00042662" w:rsidRPr="00042662">
        <w:rPr>
          <w:i/>
          <w:iCs/>
        </w:rPr>
        <w:t>K</w:t>
      </w:r>
      <w:r w:rsidR="00042662" w:rsidRPr="00042662">
        <w:rPr>
          <w:i/>
          <w:iCs/>
          <w:vertAlign w:val="subscript"/>
        </w:rPr>
        <w:t>M</w:t>
      </w:r>
      <w:r w:rsidR="00042662">
        <w:t>).</w:t>
      </w:r>
      <w:r w:rsidR="008A6064">
        <w:t xml:space="preserve"> Define</w:t>
      </w:r>
      <w:r w:rsidR="008A6064" w:rsidRPr="008A6064">
        <w:rPr>
          <w:i/>
          <w:iCs/>
        </w:rPr>
        <w:t xml:space="preserve"> K</w:t>
      </w:r>
      <w:r w:rsidR="008A6064" w:rsidRPr="008A6064">
        <w:rPr>
          <w:i/>
          <w:iCs/>
          <w:vertAlign w:val="subscript"/>
        </w:rPr>
        <w:t>M</w:t>
      </w:r>
      <w:r w:rsidR="008A6064">
        <w:t xml:space="preserve"> as the maximum number of firms that </w:t>
      </w:r>
      <w:r w:rsidR="005D5399">
        <w:t xml:space="preserve">labor </w:t>
      </w:r>
      <w:r w:rsidR="008A6064">
        <w:t xml:space="preserve">resources in the sector may support indefinitely. </w:t>
      </w:r>
      <w:r w:rsidR="00042662">
        <w:t xml:space="preserve">As </w:t>
      </w:r>
      <w:r w:rsidR="00042662" w:rsidRPr="00042662">
        <w:rPr>
          <w:i/>
          <w:iCs/>
        </w:rPr>
        <w:t>M</w:t>
      </w:r>
      <w:r w:rsidR="00042662">
        <w:t xml:space="preserve"> approaches </w:t>
      </w:r>
      <w:r w:rsidR="00042662" w:rsidRPr="00042662">
        <w:rPr>
          <w:i/>
          <w:iCs/>
        </w:rPr>
        <w:lastRenderedPageBreak/>
        <w:t>K</w:t>
      </w:r>
      <w:r w:rsidR="00042662" w:rsidRPr="00042662">
        <w:rPr>
          <w:i/>
          <w:iCs/>
          <w:vertAlign w:val="subscript"/>
        </w:rPr>
        <w:t>M</w:t>
      </w:r>
      <w:r w:rsidR="008A6064">
        <w:t>, the per unit growth rate tends to zero. Thus, we can think of (</w:t>
      </w:r>
      <w:proofErr w:type="spellStart"/>
      <w:r w:rsidR="008A6064" w:rsidRPr="00042662">
        <w:rPr>
          <w:i/>
          <w:iCs/>
        </w:rPr>
        <w:t>r</w:t>
      </w:r>
      <w:r w:rsidR="008A6064" w:rsidRPr="00042662">
        <w:rPr>
          <w:i/>
          <w:iCs/>
          <w:vertAlign w:val="subscript"/>
        </w:rPr>
        <w:t>M</w:t>
      </w:r>
      <w:r w:rsidR="008A6064" w:rsidRPr="00042662">
        <w:rPr>
          <w:i/>
          <w:iCs/>
        </w:rPr>
        <w:t>M</w:t>
      </w:r>
      <w:proofErr w:type="spellEnd"/>
      <w:r w:rsidR="008A6064">
        <w:t>/</w:t>
      </w:r>
      <w:r w:rsidR="008A6064" w:rsidRPr="00042662">
        <w:rPr>
          <w:i/>
          <w:iCs/>
        </w:rPr>
        <w:t>K</w:t>
      </w:r>
      <w:r w:rsidR="008A6064" w:rsidRPr="00042662">
        <w:rPr>
          <w:i/>
          <w:iCs/>
          <w:vertAlign w:val="subscript"/>
        </w:rPr>
        <w:t>M</w:t>
      </w:r>
      <w:r w:rsidR="008A6064">
        <w:t>) as the impact of resource scarcity on the per unit growth rate</w:t>
      </w:r>
      <w:r w:rsidR="00693C3A">
        <w:t>.</w:t>
      </w:r>
      <w:r w:rsidR="008A6064">
        <w:t xml:space="preserve"> </w:t>
      </w:r>
      <w:r w:rsidR="001E6BB2">
        <w:t xml:space="preserve">To see why </w:t>
      </w:r>
      <w:r w:rsidR="001E6BB2">
        <w:rPr>
          <w:i/>
        </w:rPr>
        <w:t>K</w:t>
      </w:r>
      <w:r w:rsidR="00F63766">
        <w:rPr>
          <w:i/>
          <w:vertAlign w:val="subscript"/>
        </w:rPr>
        <w:t>M</w:t>
      </w:r>
      <w:r w:rsidR="001E6BB2">
        <w:t xml:space="preserve"> is the limit to the number of </w:t>
      </w:r>
      <w:r w:rsidR="007B487E">
        <w:t>firm</w:t>
      </w:r>
      <w:r w:rsidR="001E6BB2">
        <w:t xml:space="preserve">s that </w:t>
      </w:r>
      <w:r w:rsidR="004D5D5C">
        <w:t>m</w:t>
      </w:r>
      <w:r w:rsidR="007C7726">
        <w:t>ay exist, consider equation (</w:t>
      </w:r>
      <w:r w:rsidR="00FF413F">
        <w:t>v</w:t>
      </w:r>
      <w:r w:rsidR="001E6BB2">
        <w:t xml:space="preserve">). For </w:t>
      </w:r>
      <w:proofErr w:type="spellStart"/>
      <w:r w:rsidR="001E6BB2" w:rsidRPr="001E6BB2">
        <w:rPr>
          <w:i/>
        </w:rPr>
        <w:t>d</w:t>
      </w:r>
      <w:r w:rsidR="00F63766">
        <w:rPr>
          <w:i/>
        </w:rPr>
        <w:t>M</w:t>
      </w:r>
      <w:proofErr w:type="spellEnd"/>
      <w:r w:rsidR="001E6BB2">
        <w:t>/</w:t>
      </w:r>
      <w:proofErr w:type="spellStart"/>
      <w:r w:rsidR="001E6BB2" w:rsidRPr="001E6BB2">
        <w:rPr>
          <w:i/>
        </w:rPr>
        <w:t>dt</w:t>
      </w:r>
      <w:proofErr w:type="spellEnd"/>
      <w:r w:rsidR="001E6BB2">
        <w:t xml:space="preserve"> to equal zero, i</w:t>
      </w:r>
      <w:r w:rsidR="003F3F9C">
        <w:t>.</w:t>
      </w:r>
      <w:r w:rsidR="001E6BB2">
        <w:t>e</w:t>
      </w:r>
      <w:r w:rsidR="003F3F9C">
        <w:t>.</w:t>
      </w:r>
      <w:r w:rsidR="001E6BB2">
        <w:t xml:space="preserve">, </w:t>
      </w:r>
      <w:r w:rsidR="00B64E36">
        <w:t>there is</w:t>
      </w:r>
      <w:r w:rsidR="001E6BB2">
        <w:t xml:space="preserve"> no further growth in the number of </w:t>
      </w:r>
      <w:r w:rsidR="007B487E">
        <w:t>firm</w:t>
      </w:r>
      <w:r w:rsidR="001E6BB2">
        <w:t>s, it is sufficient that</w:t>
      </w:r>
      <w:r w:rsidR="000615D8" w:rsidRPr="004D5D5C">
        <w:rPr>
          <w:position w:val="-12"/>
          <w:sz w:val="20"/>
        </w:rPr>
        <w:object w:dxaOrig="3100" w:dyaOrig="380">
          <v:shape id="_x0000_i1052" type="#_x0000_t75" style="width:154.5pt;height:20.25pt" o:ole="">
            <v:imagedata r:id="rId63" o:title=""/>
          </v:shape>
          <o:OLEObject Type="Embed" ProgID="Equation.3" ShapeID="_x0000_i1052" DrawAspect="Content" ObjectID="_1416920913" r:id="rId64"/>
        </w:object>
      </w:r>
      <w:r w:rsidR="001E6BB2">
        <w:t xml:space="preserve">. </w:t>
      </w:r>
      <w:r w:rsidR="00FD4371">
        <w:t xml:space="preserve">In other </w:t>
      </w:r>
      <w:proofErr w:type="gramStart"/>
      <w:r w:rsidR="00FD4371">
        <w:t>words</w:t>
      </w:r>
      <w:r w:rsidR="00B64E36">
        <w:t>,</w:t>
      </w:r>
      <w:r w:rsidR="00AA4DCD" w:rsidRPr="003522BE">
        <w:rPr>
          <w:position w:val="-12"/>
          <w:sz w:val="20"/>
        </w:rPr>
        <w:object w:dxaOrig="3480" w:dyaOrig="380">
          <v:shape id="_x0000_i1053" type="#_x0000_t75" style="width:174pt;height:20.25pt" o:ole="">
            <v:imagedata r:id="rId65" o:title=""/>
          </v:shape>
          <o:OLEObject Type="Embed" ProgID="Equation.3" ShapeID="_x0000_i1053" DrawAspect="Content" ObjectID="_1416920914" r:id="rId66"/>
        </w:object>
      </w:r>
      <w:r w:rsidR="00B64E36">
        <w:t>.</w:t>
      </w:r>
      <w:proofErr w:type="gramEnd"/>
      <w:r w:rsidR="00B64E36">
        <w:t xml:space="preserve"> </w:t>
      </w:r>
      <w:r w:rsidR="003770F1">
        <w:t xml:space="preserve">(And in (v), </w:t>
      </w:r>
      <w:proofErr w:type="gramStart"/>
      <w:r w:rsidR="003770F1">
        <w:t xml:space="preserve">when </w:t>
      </w:r>
      <w:proofErr w:type="gramEnd"/>
      <w:r w:rsidR="00F63766" w:rsidRPr="00F63766">
        <w:rPr>
          <w:position w:val="-10"/>
          <w:sz w:val="20"/>
        </w:rPr>
        <w:object w:dxaOrig="920" w:dyaOrig="340">
          <v:shape id="_x0000_i1054" type="#_x0000_t75" style="width:44.25pt;height:18pt" o:ole="">
            <v:imagedata r:id="rId67" o:title=""/>
          </v:shape>
          <o:OLEObject Type="Embed" ProgID="Equation.3" ShapeID="_x0000_i1054" DrawAspect="Content" ObjectID="_1416920915" r:id="rId68"/>
        </w:object>
      </w:r>
      <w:r w:rsidR="003770F1">
        <w:t>,</w:t>
      </w:r>
      <w:r w:rsidR="004D5D5C">
        <w:t xml:space="preserve"> </w:t>
      </w:r>
      <w:proofErr w:type="spellStart"/>
      <w:r w:rsidR="004D5D5C" w:rsidRPr="001E6BB2">
        <w:rPr>
          <w:i/>
        </w:rPr>
        <w:t>d</w:t>
      </w:r>
      <w:r w:rsidR="004D5D5C">
        <w:rPr>
          <w:i/>
        </w:rPr>
        <w:t>M</w:t>
      </w:r>
      <w:proofErr w:type="spellEnd"/>
      <w:r w:rsidR="004D5D5C">
        <w:t>/</w:t>
      </w:r>
      <w:proofErr w:type="spellStart"/>
      <w:r w:rsidR="004D5D5C" w:rsidRPr="001E6BB2">
        <w:rPr>
          <w:i/>
        </w:rPr>
        <w:t>dt</w:t>
      </w:r>
      <w:proofErr w:type="spellEnd"/>
      <w:r w:rsidR="004D5D5C">
        <w:rPr>
          <w:i/>
        </w:rPr>
        <w:t xml:space="preserve"> </w:t>
      </w:r>
      <w:r w:rsidR="004D5D5C">
        <w:t>= 0</w:t>
      </w:r>
      <w:r w:rsidR="003770F1">
        <w:t>.)</w:t>
      </w:r>
      <w:r w:rsidR="003F3F9C">
        <w:t xml:space="preserve"> Thus we have introduced intrasectoral competition</w:t>
      </w:r>
      <w:r w:rsidR="00B45665">
        <w:t xml:space="preserve"> to the model</w:t>
      </w:r>
      <w:r w:rsidR="003F3F9C">
        <w:t>, i.e</w:t>
      </w:r>
      <w:r w:rsidR="005D5399">
        <w:t>., the competition for labor</w:t>
      </w:r>
      <w:r w:rsidR="003F3F9C">
        <w:t xml:space="preserve"> between </w:t>
      </w:r>
      <w:r w:rsidR="007B487E">
        <w:t>firm</w:t>
      </w:r>
      <w:r w:rsidR="00A5783F">
        <w:t>s within industry</w:t>
      </w:r>
      <w:r w:rsidR="003F3F9C">
        <w:t xml:space="preserve">. </w:t>
      </w:r>
      <w:r w:rsidR="001C77EB">
        <w:t xml:space="preserve">Note that </w:t>
      </w:r>
      <w:r w:rsidR="001C77EB">
        <w:rPr>
          <w:i/>
        </w:rPr>
        <w:t>K</w:t>
      </w:r>
      <w:r w:rsidR="001C77EB">
        <w:rPr>
          <w:i/>
          <w:vertAlign w:val="subscript"/>
        </w:rPr>
        <w:t>M</w:t>
      </w:r>
      <w:r w:rsidR="00567D20">
        <w:rPr>
          <w:iCs/>
        </w:rPr>
        <w:t xml:space="preserve"> may change over time if the </w:t>
      </w:r>
      <w:r w:rsidR="001C77EB">
        <w:rPr>
          <w:iCs/>
        </w:rPr>
        <w:t xml:space="preserve">parameters determining </w:t>
      </w:r>
      <w:r w:rsidR="001C77EB">
        <w:rPr>
          <w:i/>
        </w:rPr>
        <w:t>K</w:t>
      </w:r>
      <w:r w:rsidR="001C77EB">
        <w:rPr>
          <w:i/>
          <w:vertAlign w:val="subscript"/>
        </w:rPr>
        <w:t>M</w:t>
      </w:r>
      <w:r w:rsidR="001C77EB">
        <w:rPr>
          <w:iCs/>
        </w:rPr>
        <w:t xml:space="preserve"> change. </w:t>
      </w:r>
      <w:r w:rsidR="00AC5DBA">
        <w:rPr>
          <w:iCs/>
        </w:rPr>
        <w:t xml:space="preserve">For example, from </w:t>
      </w:r>
      <w:r w:rsidR="00AA4DCD" w:rsidRPr="003522BE">
        <w:rPr>
          <w:position w:val="-12"/>
          <w:sz w:val="20"/>
        </w:rPr>
        <w:object w:dxaOrig="3040" w:dyaOrig="380">
          <v:shape id="_x0000_i1055" type="#_x0000_t75" style="width:151.5pt;height:20.25pt" o:ole="">
            <v:imagedata r:id="rId69" o:title=""/>
          </v:shape>
          <o:OLEObject Type="Embed" ProgID="Equation.3" ShapeID="_x0000_i1055" DrawAspect="Content" ObjectID="_1416920916" r:id="rId70"/>
        </w:object>
      </w:r>
      <w:r w:rsidR="00AC5DBA">
        <w:rPr>
          <w:iCs/>
        </w:rPr>
        <w:t xml:space="preserve"> </w:t>
      </w:r>
      <w:proofErr w:type="gramStart"/>
      <w:r w:rsidR="00AC5DBA">
        <w:rPr>
          <w:iCs/>
        </w:rPr>
        <w:t xml:space="preserve">and </w:t>
      </w:r>
      <w:proofErr w:type="gramEnd"/>
      <w:r w:rsidR="00250E93" w:rsidRPr="004F6B1E">
        <w:rPr>
          <w:position w:val="-10"/>
          <w:sz w:val="20"/>
        </w:rPr>
        <w:object w:dxaOrig="1579" w:dyaOrig="360">
          <v:shape id="_x0000_i1056" type="#_x0000_t75" style="width:78pt;height:19.5pt" o:ole="">
            <v:imagedata r:id="rId71" o:title=""/>
          </v:shape>
          <o:OLEObject Type="Embed" ProgID="Equation.3" ShapeID="_x0000_i1056" DrawAspect="Content" ObjectID="_1416920917" r:id="rId72"/>
        </w:object>
      </w:r>
      <w:r w:rsidR="00250E93">
        <w:rPr>
          <w:iCs/>
        </w:rPr>
        <w:t>, an increa</w:t>
      </w:r>
      <w:r w:rsidR="0082792C">
        <w:rPr>
          <w:iCs/>
        </w:rPr>
        <w:t>se in</w:t>
      </w:r>
      <w:r w:rsidR="00250E93">
        <w:rPr>
          <w:iCs/>
        </w:rPr>
        <w:t xml:space="preserve"> </w:t>
      </w:r>
      <m:oMath>
        <m:r>
          <w:rPr>
            <w:rFonts w:ascii="Cambria Math" w:hAnsi="Cambria Math"/>
          </w:rPr>
          <m:t>a</m:t>
        </m:r>
      </m:oMath>
      <w:r w:rsidR="006A6092">
        <w:t>, a determinant of labor supply,</w:t>
      </w:r>
      <w:r w:rsidR="00250E93">
        <w:rPr>
          <w:iCs/>
        </w:rPr>
        <w:t xml:space="preserve"> raises </w:t>
      </w:r>
      <w:r w:rsidR="00AC5DBA">
        <w:rPr>
          <w:iCs/>
        </w:rPr>
        <w:t xml:space="preserve"> </w:t>
      </w:r>
      <w:r w:rsidR="00250E93">
        <w:rPr>
          <w:i/>
        </w:rPr>
        <w:t>K</w:t>
      </w:r>
      <w:r w:rsidR="00250E93">
        <w:rPr>
          <w:i/>
          <w:vertAlign w:val="subscript"/>
        </w:rPr>
        <w:t>M</w:t>
      </w:r>
      <w:r w:rsidR="00E011DB">
        <w:rPr>
          <w:iCs/>
        </w:rPr>
        <w:t xml:space="preserve"> and reduces the growth-inhibiting effect of intrasectoral competition between firms</w:t>
      </w:r>
      <w:r w:rsidR="00250E93">
        <w:rPr>
          <w:iCs/>
        </w:rPr>
        <w:t>.</w:t>
      </w:r>
      <w:r w:rsidR="00567D20">
        <w:rPr>
          <w:iCs/>
        </w:rPr>
        <w:t xml:space="preserve"> If </w:t>
      </w:r>
      <w:r w:rsidR="00567D20" w:rsidRPr="00DE47D8">
        <w:rPr>
          <w:position w:val="-12"/>
        </w:rPr>
        <w:object w:dxaOrig="820" w:dyaOrig="380">
          <v:shape id="_x0000_i1057" type="#_x0000_t75" style="width:40.5pt;height:19.5pt" o:ole="">
            <v:imagedata r:id="rId73" o:title=""/>
          </v:shape>
          <o:OLEObject Type="Embed" ProgID="Equation.3" ShapeID="_x0000_i1057" DrawAspect="Content" ObjectID="_1416920918" r:id="rId74"/>
        </w:object>
      </w:r>
      <w:r w:rsidR="00567D20">
        <w:t xml:space="preserve">and </w:t>
      </w:r>
      <w:r w:rsidR="00567D20" w:rsidRPr="00567D20">
        <w:rPr>
          <w:i/>
          <w:iCs/>
        </w:rPr>
        <w:t>α</w:t>
      </w:r>
      <w:r w:rsidR="00567D20">
        <w:t xml:space="preserve"> are all constant, then </w:t>
      </w:r>
      <w:r w:rsidR="00567D20" w:rsidRPr="004545FB">
        <w:rPr>
          <w:i/>
          <w:iCs/>
        </w:rPr>
        <w:t>K</w:t>
      </w:r>
      <w:r w:rsidR="00567D20" w:rsidRPr="004545FB">
        <w:rPr>
          <w:i/>
          <w:iCs/>
          <w:vertAlign w:val="subscript"/>
        </w:rPr>
        <w:t>M</w:t>
      </w:r>
      <w:r w:rsidR="00567D20">
        <w:t xml:space="preserve"> varies only </w:t>
      </w:r>
      <w:proofErr w:type="gramStart"/>
      <w:r w:rsidR="00567D20">
        <w:t xml:space="preserve">with </w:t>
      </w:r>
      <m:oMath>
        <w:proofErr w:type="gramEnd"/>
        <m:r>
          <w:rPr>
            <w:rFonts w:ascii="Cambria Math" w:hAnsi="Cambria Math"/>
          </w:rPr>
          <m:t>a</m:t>
        </m:r>
      </m:oMath>
      <w:r w:rsidR="00567D20">
        <w:t xml:space="preserve">. That is, labor supply determines </w:t>
      </w:r>
      <w:r w:rsidR="004545FB" w:rsidRPr="004545FB">
        <w:rPr>
          <w:i/>
          <w:iCs/>
        </w:rPr>
        <w:t>K</w:t>
      </w:r>
      <w:r w:rsidR="004545FB" w:rsidRPr="004545FB">
        <w:rPr>
          <w:i/>
          <w:iCs/>
          <w:vertAlign w:val="subscript"/>
        </w:rPr>
        <w:t>M</w:t>
      </w:r>
      <w:r w:rsidR="004545FB">
        <w:t>. Thus, we have derived a labor constraint determinant of growth volatility</w:t>
      </w:r>
      <w:r w:rsidR="000C076C">
        <w:t xml:space="preserve">. Recalling that </w:t>
      </w:r>
      <m:oMath>
        <m:r>
          <w:rPr>
            <w:rFonts w:ascii="Cambria Math" w:hAnsi="Cambria Math"/>
          </w:rPr>
          <m:t>a</m:t>
        </m:r>
      </m:oMath>
      <w:r w:rsidR="000C076C">
        <w:t xml:space="preserve"> </w:t>
      </w:r>
      <w:r w:rsidR="000C076C">
        <w:rPr>
          <w:rFonts w:asciiTheme="majorBidi" w:hAnsiTheme="majorBidi" w:cstheme="majorBidi"/>
          <w:color w:val="000000"/>
          <w:szCs w:val="24"/>
        </w:rPr>
        <w:t>relates to government policies relaxing or constraining workers’ ability to wo</w:t>
      </w:r>
      <w:r w:rsidR="0048034A">
        <w:rPr>
          <w:rFonts w:asciiTheme="majorBidi" w:hAnsiTheme="majorBidi" w:cstheme="majorBidi"/>
          <w:color w:val="000000"/>
          <w:szCs w:val="24"/>
        </w:rPr>
        <w:t>rk in a sector, we have a</w:t>
      </w:r>
      <w:r w:rsidR="000C076C">
        <w:rPr>
          <w:rFonts w:asciiTheme="majorBidi" w:hAnsiTheme="majorBidi" w:cstheme="majorBidi"/>
          <w:color w:val="000000"/>
          <w:szCs w:val="24"/>
        </w:rPr>
        <w:t xml:space="preserve"> term that reflects administrative interventions in labor markets</w:t>
      </w:r>
      <w:r w:rsidR="004545FB">
        <w:t>.</w:t>
      </w:r>
      <w:r w:rsidR="003034CB">
        <w:t xml:space="preserve"> </w:t>
      </w:r>
      <w:r w:rsidR="00D60B1B">
        <w:t xml:space="preserve"> </w:t>
      </w:r>
    </w:p>
    <w:p w:rsidR="00D76932" w:rsidRDefault="00D76932" w:rsidP="008C7D19">
      <w:pPr>
        <w:tabs>
          <w:tab w:val="left" w:pos="9781"/>
        </w:tabs>
        <w:spacing w:after="0"/>
        <w:ind w:right="82"/>
        <w:jc w:val="both"/>
        <w:rPr>
          <w:b/>
          <w:bCs/>
          <w:vertAlign w:val="superscript"/>
        </w:rPr>
      </w:pPr>
    </w:p>
    <w:p w:rsidR="00D76932" w:rsidRDefault="00D60B1B" w:rsidP="008C7D19">
      <w:pPr>
        <w:tabs>
          <w:tab w:val="left" w:pos="9781"/>
        </w:tabs>
        <w:spacing w:after="0"/>
        <w:ind w:right="82"/>
        <w:jc w:val="both"/>
      </w:pPr>
      <w:r>
        <w:rPr>
          <w:position w:val="-30"/>
          <w:sz w:val="20"/>
        </w:rPr>
        <w:t xml:space="preserve">     </w:t>
      </w:r>
      <w:r w:rsidR="00C50692">
        <w:t>The term</w:t>
      </w:r>
      <w:r w:rsidR="00A153DA">
        <w:t xml:space="preserve"> </w:t>
      </w:r>
      <w:proofErr w:type="spellStart"/>
      <w:r w:rsidR="00C25174" w:rsidRPr="00C25174">
        <w:rPr>
          <w:i/>
          <w:iCs/>
        </w:rPr>
        <w:t>r</w:t>
      </w:r>
      <w:r w:rsidR="00C25174" w:rsidRPr="00C25174">
        <w:rPr>
          <w:i/>
          <w:iCs/>
          <w:vertAlign w:val="subscript"/>
        </w:rPr>
        <w:t>M</w:t>
      </w:r>
      <w:proofErr w:type="spellEnd"/>
      <w:r w:rsidR="00C25174">
        <w:t xml:space="preserve"> plays two roles. In the absence of resource scarcity,</w:t>
      </w:r>
      <w:r w:rsidR="00C25174" w:rsidRPr="00C25174">
        <w:rPr>
          <w:i/>
          <w:iCs/>
        </w:rPr>
        <w:t xml:space="preserve"> </w:t>
      </w:r>
      <w:proofErr w:type="spellStart"/>
      <w:r w:rsidR="00C25174" w:rsidRPr="00C25174">
        <w:rPr>
          <w:i/>
          <w:iCs/>
        </w:rPr>
        <w:t>r</w:t>
      </w:r>
      <w:r w:rsidR="00C25174" w:rsidRPr="00C25174">
        <w:rPr>
          <w:i/>
          <w:iCs/>
          <w:vertAlign w:val="subscript"/>
        </w:rPr>
        <w:t>M</w:t>
      </w:r>
      <w:proofErr w:type="spellEnd"/>
      <w:r w:rsidR="00C25174">
        <w:t xml:space="preserve"> increases the overall growth of </w:t>
      </w:r>
      <w:r w:rsidR="00C25174" w:rsidRPr="00C25174">
        <w:rPr>
          <w:i/>
          <w:iCs/>
        </w:rPr>
        <w:t>M</w:t>
      </w:r>
      <w:r w:rsidR="00C25174">
        <w:t xml:space="preserve"> exponentially; but as M grows, for a fixed </w:t>
      </w:r>
      <w:r w:rsidR="00C25174" w:rsidRPr="00C25174">
        <w:rPr>
          <w:i/>
          <w:iCs/>
        </w:rPr>
        <w:t>K</w:t>
      </w:r>
      <w:r w:rsidR="00C25174" w:rsidRPr="00C25174">
        <w:rPr>
          <w:i/>
          <w:iCs/>
          <w:vertAlign w:val="subscript"/>
        </w:rPr>
        <w:t>M</w:t>
      </w:r>
      <w:r w:rsidR="00C25174">
        <w:t xml:space="preserve">, it is the very increase in </w:t>
      </w:r>
      <w:r w:rsidR="00C25174" w:rsidRPr="00A5783F">
        <w:rPr>
          <w:i/>
          <w:iCs/>
        </w:rPr>
        <w:t>M</w:t>
      </w:r>
      <w:r w:rsidR="00C25174">
        <w:t>, and the attendant</w:t>
      </w:r>
      <w:r w:rsidR="00FA0947">
        <w:t xml:space="preserve"> competition for reso</w:t>
      </w:r>
      <w:r w:rsidR="00C25174">
        <w:t xml:space="preserve">urces, </w:t>
      </w:r>
      <w:r w:rsidR="00FA0947">
        <w:t>that reduces growth</w:t>
      </w:r>
      <w:r w:rsidR="00C25174">
        <w:t xml:space="preserve"> as </w:t>
      </w:r>
      <w:r w:rsidR="00C25174" w:rsidRPr="00A5783F">
        <w:rPr>
          <w:i/>
          <w:iCs/>
        </w:rPr>
        <w:t>M</w:t>
      </w:r>
      <w:r w:rsidR="00C25174">
        <w:t xml:space="preserve"> approaches </w:t>
      </w:r>
      <w:r w:rsidR="00C25174" w:rsidRPr="00C25174">
        <w:rPr>
          <w:i/>
          <w:iCs/>
        </w:rPr>
        <w:t>K</w:t>
      </w:r>
      <w:r w:rsidR="00C25174" w:rsidRPr="00C25174">
        <w:rPr>
          <w:i/>
          <w:iCs/>
          <w:vertAlign w:val="subscript"/>
        </w:rPr>
        <w:t>M</w:t>
      </w:r>
      <w:r w:rsidR="00C25174">
        <w:t>.</w:t>
      </w:r>
      <w:r w:rsidR="00A153DA">
        <w:t xml:space="preserve"> </w:t>
      </w:r>
      <w:r w:rsidR="00FA0947" w:rsidRPr="00C25174">
        <w:rPr>
          <w:i/>
          <w:iCs/>
        </w:rPr>
        <w:t>K</w:t>
      </w:r>
      <w:r w:rsidR="00FA0947" w:rsidRPr="00C25174">
        <w:rPr>
          <w:i/>
          <w:iCs/>
          <w:vertAlign w:val="subscript"/>
        </w:rPr>
        <w:t>M</w:t>
      </w:r>
      <w:r w:rsidR="00FA0947">
        <w:t xml:space="preserve"> is the size of the manufacturing sector where </w:t>
      </w:r>
      <w:proofErr w:type="spellStart"/>
      <w:r w:rsidR="004976A0" w:rsidRPr="004976A0">
        <w:rPr>
          <w:i/>
          <w:iCs/>
        </w:rPr>
        <w:t>r</w:t>
      </w:r>
      <w:r w:rsidR="004976A0" w:rsidRPr="004976A0">
        <w:rPr>
          <w:i/>
          <w:iCs/>
          <w:vertAlign w:val="subscript"/>
        </w:rPr>
        <w:t>M</w:t>
      </w:r>
      <w:proofErr w:type="spellEnd"/>
      <w:r w:rsidR="00FA0947">
        <w:t xml:space="preserve"> is cancelled by intrasectoral resource competition.</w:t>
      </w:r>
      <w:r w:rsidR="00367118">
        <w:t xml:space="preserve"> But</w:t>
      </w:r>
      <w:r w:rsidR="0069737E">
        <w:t xml:space="preserve"> a change in </w:t>
      </w:r>
      <w:r w:rsidR="00A5783F">
        <w:t>lab</w:t>
      </w:r>
      <w:r w:rsidR="00941FB2">
        <w:t>or</w:t>
      </w:r>
      <w:r w:rsidR="00A5783F">
        <w:t>-related</w:t>
      </w:r>
      <w:r w:rsidR="00A153DA">
        <w:t xml:space="preserve"> institutions</w:t>
      </w:r>
      <w:r w:rsidR="0069737E">
        <w:t xml:space="preserve">, </w:t>
      </w:r>
      <w:r w:rsidR="0069737E" w:rsidRPr="00567D20">
        <w:rPr>
          <w:i/>
          <w:iCs/>
        </w:rPr>
        <w:t>α</w:t>
      </w:r>
      <w:r w:rsidR="0069737E">
        <w:t>,</w:t>
      </w:r>
      <w:r w:rsidR="00A153DA">
        <w:t xml:space="preserve"> can raise</w:t>
      </w:r>
      <w:r w:rsidR="00367118">
        <w:t xml:space="preserve"> the</w:t>
      </w:r>
      <w:r w:rsidR="00A153DA">
        <w:t xml:space="preserve"> growth rate</w:t>
      </w:r>
      <w:r w:rsidR="00367118">
        <w:t xml:space="preserve"> by raising </w:t>
      </w:r>
      <w:r w:rsidR="00367118" w:rsidRPr="00A5783F">
        <w:rPr>
          <w:i/>
          <w:iCs/>
        </w:rPr>
        <w:t>K</w:t>
      </w:r>
      <w:r w:rsidR="00A5783F">
        <w:rPr>
          <w:i/>
          <w:iCs/>
          <w:vertAlign w:val="subscript"/>
        </w:rPr>
        <w:t>M</w:t>
      </w:r>
      <w:r w:rsidR="00367118">
        <w:t xml:space="preserve">; </w:t>
      </w:r>
      <w:proofErr w:type="spellStart"/>
      <w:r w:rsidR="00367118">
        <w:t>ie</w:t>
      </w:r>
      <w:proofErr w:type="spellEnd"/>
      <w:r w:rsidR="00367118">
        <w:t>,</w:t>
      </w:r>
      <w:r w:rsidR="00A153DA">
        <w:t xml:space="preserve"> by</w:t>
      </w:r>
      <w:r w:rsidR="007C7726">
        <w:t xml:space="preserve"> </w:t>
      </w:r>
      <w:r w:rsidR="00A153DA">
        <w:t>shif</w:t>
      </w:r>
      <w:r w:rsidR="00367118">
        <w:t>ting the logistic curve upwards</w:t>
      </w:r>
      <w:r w:rsidR="00A153DA">
        <w:t>.</w:t>
      </w:r>
      <w:r w:rsidR="0069737E">
        <w:t xml:space="preserve"> </w:t>
      </w:r>
      <w:r w:rsidR="00367118">
        <w:t>In other words</w:t>
      </w:r>
      <w:r w:rsidR="00A5783F">
        <w:t xml:space="preserve">, an increase in </w:t>
      </w:r>
      <w:r w:rsidR="00A5783F" w:rsidRPr="00A5783F">
        <w:rPr>
          <w:i/>
          <w:iCs/>
        </w:rPr>
        <w:t>K</w:t>
      </w:r>
      <w:r w:rsidR="00A5783F" w:rsidRPr="00A5783F">
        <w:rPr>
          <w:i/>
          <w:iCs/>
          <w:vertAlign w:val="subscript"/>
        </w:rPr>
        <w:t>M</w:t>
      </w:r>
      <w:r w:rsidR="0069737E">
        <w:t xml:space="preserve"> increases the slope of the </w:t>
      </w:r>
      <w:r w:rsidR="0069737E" w:rsidRPr="00A5783F">
        <w:rPr>
          <w:i/>
          <w:iCs/>
        </w:rPr>
        <w:t>M</w:t>
      </w:r>
      <w:r w:rsidR="0069737E">
        <w:t xml:space="preserve"> function, and thus </w:t>
      </w:r>
      <w:proofErr w:type="gramStart"/>
      <w:r w:rsidR="0069737E">
        <w:t>raises</w:t>
      </w:r>
      <w:proofErr w:type="gramEnd"/>
      <w:r w:rsidR="0069737E">
        <w:t xml:space="preserve"> the per unit growth rate at any given value of </w:t>
      </w:r>
      <w:r w:rsidR="0069737E" w:rsidRPr="0069737E">
        <w:rPr>
          <w:i/>
          <w:iCs/>
        </w:rPr>
        <w:t>t</w:t>
      </w:r>
      <w:r w:rsidR="00BB4F40">
        <w:t xml:space="preserve"> by an amount </w:t>
      </w:r>
      <w:proofErr w:type="spellStart"/>
      <w:r w:rsidR="00BB4F40" w:rsidRPr="00BB4F40">
        <w:rPr>
          <w:i/>
          <w:iCs/>
        </w:rPr>
        <w:t>r</w:t>
      </w:r>
      <w:r w:rsidR="009720AC" w:rsidRPr="009720AC">
        <w:rPr>
          <w:i/>
          <w:iCs/>
          <w:vertAlign w:val="subscript"/>
        </w:rPr>
        <w:t>M</w:t>
      </w:r>
      <w:r w:rsidR="00BB4F40" w:rsidRPr="00BB4F40">
        <w:rPr>
          <w:i/>
          <w:iCs/>
        </w:rPr>
        <w:t>M</w:t>
      </w:r>
      <w:proofErr w:type="spellEnd"/>
      <w:r w:rsidR="00BB4F40" w:rsidRPr="00BB4F40">
        <w:rPr>
          <w:i/>
          <w:iCs/>
        </w:rPr>
        <w:t>/K</w:t>
      </w:r>
      <w:r w:rsidR="00BB4F40" w:rsidRPr="00BB4F40">
        <w:rPr>
          <w:i/>
          <w:iCs/>
          <w:vertAlign w:val="subscript"/>
        </w:rPr>
        <w:t>M</w:t>
      </w:r>
      <w:r w:rsidR="00BB4F40" w:rsidRPr="00BB4F40">
        <w:rPr>
          <w:i/>
          <w:iCs/>
        </w:rPr>
        <w:t>’</w:t>
      </w:r>
      <w:r w:rsidR="0069737E">
        <w:t>.</w:t>
      </w:r>
      <w:r w:rsidR="009720AC">
        <w:t xml:space="preserve"> It is in this sense that we claim that the term </w:t>
      </w:r>
      <w:proofErr w:type="spellStart"/>
      <w:r w:rsidR="009720AC" w:rsidRPr="00BB4F40">
        <w:rPr>
          <w:i/>
          <w:iCs/>
        </w:rPr>
        <w:t>r</w:t>
      </w:r>
      <w:r w:rsidR="009720AC" w:rsidRPr="009720AC">
        <w:rPr>
          <w:i/>
          <w:iCs/>
          <w:vertAlign w:val="subscript"/>
        </w:rPr>
        <w:t>M</w:t>
      </w:r>
      <w:r w:rsidR="009720AC" w:rsidRPr="00BB4F40">
        <w:rPr>
          <w:i/>
          <w:iCs/>
        </w:rPr>
        <w:t>M</w:t>
      </w:r>
      <w:proofErr w:type="spellEnd"/>
      <w:r w:rsidR="009720AC" w:rsidRPr="00BB4F40">
        <w:rPr>
          <w:i/>
          <w:iCs/>
        </w:rPr>
        <w:t>/K</w:t>
      </w:r>
      <w:r w:rsidR="009720AC" w:rsidRPr="00BB4F40">
        <w:rPr>
          <w:i/>
          <w:iCs/>
          <w:vertAlign w:val="subscript"/>
        </w:rPr>
        <w:t>M</w:t>
      </w:r>
      <w:r w:rsidR="009720AC">
        <w:t xml:space="preserve"> </w:t>
      </w:r>
      <w:r w:rsidR="00EF3FFE">
        <w:t xml:space="preserve">partially </w:t>
      </w:r>
      <w:r w:rsidR="009720AC">
        <w:t xml:space="preserve">reflects the impact of </w:t>
      </w:r>
      <w:r w:rsidR="00724A18">
        <w:t xml:space="preserve">changes in </w:t>
      </w:r>
      <w:r w:rsidR="009720AC">
        <w:t>labor supply institutions on growth rates.</w:t>
      </w:r>
      <w:r w:rsidR="009720AC">
        <w:rPr>
          <w:rStyle w:val="FootnoteReference"/>
        </w:rPr>
        <w:footnoteReference w:id="4"/>
      </w:r>
      <w:r w:rsidR="0014795A">
        <w:t xml:space="preserve"> </w:t>
      </w:r>
      <w:r w:rsidR="00872E6B">
        <w:t xml:space="preserve">If we see empirically that the intrasectoral competition coefficient falls over time, this is evidence of labor inflows, raising </w:t>
      </w:r>
      <w:r w:rsidR="00872E6B" w:rsidRPr="00C25174">
        <w:rPr>
          <w:i/>
          <w:iCs/>
        </w:rPr>
        <w:t>K</w:t>
      </w:r>
      <w:r w:rsidR="00872E6B" w:rsidRPr="00C25174">
        <w:rPr>
          <w:i/>
          <w:iCs/>
          <w:vertAlign w:val="subscript"/>
        </w:rPr>
        <w:t>M</w:t>
      </w:r>
      <w:r w:rsidR="00872E6B">
        <w:t>, that have swamped the growth-inhibiting effect of competition for labor between industrial firms.</w:t>
      </w:r>
      <w:r w:rsidR="00B8380F">
        <w:rPr>
          <w:rStyle w:val="FootnoteReference"/>
        </w:rPr>
        <w:footnoteReference w:id="5"/>
      </w:r>
      <w:r w:rsidR="00F41D18">
        <w:t xml:space="preserve"> Note that we have assumed that</w:t>
      </w:r>
      <w:r w:rsidR="00F41D18" w:rsidRPr="001B55D7">
        <w:rPr>
          <w:position w:val="-10"/>
        </w:rPr>
        <w:object w:dxaOrig="420" w:dyaOrig="320">
          <v:shape id="_x0000_i1058" type="#_x0000_t75" style="width:21.75pt;height:15.75pt" o:ole="">
            <v:imagedata r:id="rId46" o:title=""/>
          </v:shape>
          <o:OLEObject Type="Embed" ProgID="Equation.3" ShapeID="_x0000_i1058" DrawAspect="Content" ObjectID="_1416920919" r:id="rId75"/>
        </w:object>
      </w:r>
      <w:r w:rsidR="00F41D18">
        <w:t xml:space="preserve">is positive, in line with logistic growth, but ultimately the sign of </w:t>
      </w:r>
      <w:proofErr w:type="spellStart"/>
      <w:r w:rsidR="00F41D18" w:rsidRPr="00BB4F40">
        <w:rPr>
          <w:i/>
          <w:iCs/>
        </w:rPr>
        <w:t>r</w:t>
      </w:r>
      <w:r w:rsidR="00F41D18" w:rsidRPr="009720AC">
        <w:rPr>
          <w:i/>
          <w:iCs/>
          <w:vertAlign w:val="subscript"/>
        </w:rPr>
        <w:t>M</w:t>
      </w:r>
      <w:r w:rsidR="00F41D18" w:rsidRPr="00BB4F40">
        <w:rPr>
          <w:i/>
          <w:iCs/>
        </w:rPr>
        <w:t>M</w:t>
      </w:r>
      <w:proofErr w:type="spellEnd"/>
      <w:r w:rsidR="00F41D18" w:rsidRPr="00BB4F40">
        <w:rPr>
          <w:i/>
          <w:iCs/>
        </w:rPr>
        <w:t>/K</w:t>
      </w:r>
      <w:r w:rsidR="00F41D18" w:rsidRPr="00BB4F40">
        <w:rPr>
          <w:i/>
          <w:iCs/>
          <w:vertAlign w:val="subscript"/>
        </w:rPr>
        <w:t>M</w:t>
      </w:r>
      <w:r w:rsidR="00F41D18">
        <w:t xml:space="preserve"> will be determined empirically.     </w:t>
      </w:r>
    </w:p>
    <w:p w:rsidR="00D76932" w:rsidRDefault="00D76932" w:rsidP="008C7D19">
      <w:pPr>
        <w:tabs>
          <w:tab w:val="left" w:pos="9781"/>
        </w:tabs>
        <w:spacing w:after="0"/>
        <w:ind w:right="82"/>
        <w:jc w:val="both"/>
      </w:pPr>
    </w:p>
    <w:p w:rsidR="0083384B" w:rsidRDefault="003522BE" w:rsidP="008C7D19">
      <w:pPr>
        <w:overflowPunct/>
        <w:spacing w:after="0"/>
        <w:ind w:right="82"/>
        <w:jc w:val="both"/>
        <w:textAlignment w:val="auto"/>
        <w:rPr>
          <w:color w:val="000000"/>
          <w:szCs w:val="24"/>
        </w:rPr>
      </w:pPr>
      <w:r w:rsidRPr="00AD74B0">
        <w:rPr>
          <w:szCs w:val="24"/>
        </w:rPr>
        <w:t xml:space="preserve">     </w:t>
      </w:r>
      <w:r w:rsidR="00B67BF8" w:rsidRPr="00AD74B0">
        <w:rPr>
          <w:szCs w:val="24"/>
        </w:rPr>
        <w:t xml:space="preserve">Now </w:t>
      </w:r>
      <w:r w:rsidR="00B45665" w:rsidRPr="00AD74B0">
        <w:rPr>
          <w:szCs w:val="24"/>
        </w:rPr>
        <w:t xml:space="preserve">also </w:t>
      </w:r>
      <w:r w:rsidR="00B67BF8" w:rsidRPr="00AD74B0">
        <w:rPr>
          <w:szCs w:val="24"/>
        </w:rPr>
        <w:t>sup</w:t>
      </w:r>
      <w:r w:rsidR="00F63766" w:rsidRPr="00AD74B0">
        <w:rPr>
          <w:szCs w:val="24"/>
        </w:rPr>
        <w:t>pose that agricultur</w:t>
      </w:r>
      <w:r w:rsidR="00527D5E" w:rsidRPr="00AD74B0">
        <w:rPr>
          <w:szCs w:val="24"/>
        </w:rPr>
        <w:t>al output</w:t>
      </w:r>
      <w:r w:rsidR="00B45665" w:rsidRPr="00AD74B0">
        <w:rPr>
          <w:szCs w:val="24"/>
        </w:rPr>
        <w:t xml:space="preserve"> influenc</w:t>
      </w:r>
      <w:r w:rsidR="00B67BF8" w:rsidRPr="00AD74B0">
        <w:rPr>
          <w:szCs w:val="24"/>
        </w:rPr>
        <w:t>e</w:t>
      </w:r>
      <w:r w:rsidR="00527D5E" w:rsidRPr="00AD74B0">
        <w:rPr>
          <w:szCs w:val="24"/>
        </w:rPr>
        <w:t>s</w:t>
      </w:r>
      <w:r w:rsidR="00B45665" w:rsidRPr="00AD74B0">
        <w:rPr>
          <w:szCs w:val="24"/>
        </w:rPr>
        <w:t xml:space="preserve"> the growth rate</w:t>
      </w:r>
      <w:r w:rsidR="00527D5E" w:rsidRPr="00AD74B0">
        <w:rPr>
          <w:szCs w:val="24"/>
        </w:rPr>
        <w:t xml:space="preserve"> of </w:t>
      </w:r>
      <w:r w:rsidR="008B71C4" w:rsidRPr="00AD74B0">
        <w:rPr>
          <w:szCs w:val="24"/>
        </w:rPr>
        <w:t xml:space="preserve">manufacturing </w:t>
      </w:r>
      <w:r w:rsidR="007B487E" w:rsidRPr="00AD74B0">
        <w:rPr>
          <w:szCs w:val="24"/>
        </w:rPr>
        <w:t>firm</w:t>
      </w:r>
      <w:r w:rsidR="00527D5E" w:rsidRPr="00AD74B0">
        <w:rPr>
          <w:szCs w:val="24"/>
        </w:rPr>
        <w:t>s</w:t>
      </w:r>
      <w:r w:rsidR="00FD4371">
        <w:rPr>
          <w:szCs w:val="24"/>
        </w:rPr>
        <w:t xml:space="preserve"> (</w:t>
      </w:r>
      <w:proofErr w:type="spellStart"/>
      <w:r w:rsidR="00FD4371">
        <w:rPr>
          <w:szCs w:val="24"/>
        </w:rPr>
        <w:t>Mobarak</w:t>
      </w:r>
      <w:proofErr w:type="spellEnd"/>
      <w:r w:rsidR="00FD4371">
        <w:rPr>
          <w:szCs w:val="24"/>
        </w:rPr>
        <w:t xml:space="preserve"> 2005)</w:t>
      </w:r>
      <w:r w:rsidR="001C77EB">
        <w:rPr>
          <w:szCs w:val="24"/>
        </w:rPr>
        <w:t>, initially by</w:t>
      </w:r>
      <w:r w:rsidR="008F37DF" w:rsidRPr="00AD74B0">
        <w:rPr>
          <w:szCs w:val="24"/>
        </w:rPr>
        <w:t xml:space="preserve"> assisting</w:t>
      </w:r>
      <w:r w:rsidR="00404500" w:rsidRPr="00AD74B0">
        <w:rPr>
          <w:color w:val="000000"/>
          <w:szCs w:val="24"/>
        </w:rPr>
        <w:t xml:space="preserve"> manufacturing to expand</w:t>
      </w:r>
      <w:r w:rsidR="008F37DF" w:rsidRPr="00AD74B0">
        <w:rPr>
          <w:szCs w:val="24"/>
        </w:rPr>
        <w:t xml:space="preserve"> </w:t>
      </w:r>
      <w:r w:rsidR="00404500" w:rsidRPr="00AD74B0">
        <w:rPr>
          <w:color w:val="000000"/>
          <w:szCs w:val="24"/>
        </w:rPr>
        <w:t>beyond its normal</w:t>
      </w:r>
      <w:r w:rsidR="008F37DF" w:rsidRPr="00AD74B0">
        <w:rPr>
          <w:color w:val="000000"/>
          <w:szCs w:val="24"/>
        </w:rPr>
        <w:t xml:space="preserve"> carrying capacity. </w:t>
      </w:r>
      <w:r w:rsidR="0083384B">
        <w:rPr>
          <w:szCs w:val="24"/>
        </w:rPr>
        <w:t xml:space="preserve">Firms not only compete for factors of production within their sector, but may compete with, or contribute to, firms outside their sector. </w:t>
      </w:r>
      <w:proofErr w:type="gramStart"/>
      <w:r w:rsidR="0083384B" w:rsidRPr="00056904">
        <w:rPr>
          <w:szCs w:val="24"/>
        </w:rPr>
        <w:t>M</w:t>
      </w:r>
      <w:r w:rsidR="0083384B" w:rsidRPr="00056904">
        <w:rPr>
          <w:color w:val="000000"/>
          <w:szCs w:val="24"/>
        </w:rPr>
        <w:t>odels of structural change, such as in Mellor (1986), incorporate a system of intersectoral linkages.</w:t>
      </w:r>
      <w:proofErr w:type="gramEnd"/>
      <w:r w:rsidR="0083384B" w:rsidRPr="00056904">
        <w:rPr>
          <w:color w:val="000000"/>
          <w:szCs w:val="24"/>
        </w:rPr>
        <w:t xml:space="preserve"> The linkages come about for a variety of reasons: one sector pays factor incomes, which consumers use to purchase the other sector’s goods; one sector produces intermediate goods and services used by other sectors; and so on.</w:t>
      </w:r>
      <w:r w:rsidR="0083384B">
        <w:rPr>
          <w:color w:val="000000"/>
          <w:szCs w:val="24"/>
        </w:rPr>
        <w:t xml:space="preserve">  </w:t>
      </w:r>
    </w:p>
    <w:p w:rsidR="00D76932" w:rsidRPr="0083384B" w:rsidRDefault="00D76932" w:rsidP="008C7D19">
      <w:pPr>
        <w:overflowPunct/>
        <w:spacing w:after="0"/>
        <w:ind w:right="82"/>
        <w:jc w:val="both"/>
        <w:textAlignment w:val="auto"/>
        <w:rPr>
          <w:szCs w:val="24"/>
        </w:rPr>
      </w:pPr>
    </w:p>
    <w:p w:rsidR="00F30824" w:rsidRDefault="0083384B" w:rsidP="008C7D19">
      <w:pPr>
        <w:tabs>
          <w:tab w:val="left" w:pos="9781"/>
        </w:tabs>
        <w:spacing w:after="0"/>
        <w:ind w:right="82"/>
        <w:jc w:val="both"/>
        <w:rPr>
          <w:color w:val="000000"/>
          <w:szCs w:val="24"/>
        </w:rPr>
      </w:pPr>
      <w:r>
        <w:rPr>
          <w:color w:val="000000"/>
          <w:szCs w:val="24"/>
        </w:rPr>
        <w:lastRenderedPageBreak/>
        <w:t xml:space="preserve">     </w:t>
      </w:r>
      <w:r w:rsidR="008F37DF" w:rsidRPr="00AD74B0">
        <w:rPr>
          <w:color w:val="000000"/>
          <w:szCs w:val="24"/>
        </w:rPr>
        <w:t>Here we consider the case</w:t>
      </w:r>
      <w:r w:rsidR="00FA56F7">
        <w:rPr>
          <w:color w:val="000000"/>
          <w:szCs w:val="24"/>
        </w:rPr>
        <w:t>, prevalent in developing countries undergoing structural transformation,</w:t>
      </w:r>
      <w:r w:rsidR="008F37DF" w:rsidRPr="00AD74B0">
        <w:rPr>
          <w:color w:val="000000"/>
          <w:szCs w:val="24"/>
        </w:rPr>
        <w:t xml:space="preserve"> where agriculture</w:t>
      </w:r>
      <w:r w:rsidR="00404500" w:rsidRPr="00AD74B0">
        <w:rPr>
          <w:color w:val="000000"/>
          <w:szCs w:val="24"/>
        </w:rPr>
        <w:t xml:space="preserve"> </w:t>
      </w:r>
      <w:r w:rsidR="00223C2F" w:rsidRPr="00223C2F">
        <w:rPr>
          <w:noProof/>
          <w:szCs w:val="24"/>
        </w:rPr>
        <w:pict>
          <v:shape id="_x0000_s1040" style="position:absolute;left:0;text-align:left;margin-left:215.3pt;margin-top:595.3pt;width:14.65pt;height:0;z-index:-251658752;mso-position-horizontal-relative:page;mso-position-vertical-relative:page" coordsize="294,0" path="m,l294,e" filled="f" strokeweight=".14114mm">
            <w10:wrap anchorx="page" anchory="page"/>
          </v:shape>
        </w:pict>
      </w:r>
      <w:r w:rsidR="00FA56F7">
        <w:rPr>
          <w:color w:val="000000"/>
          <w:szCs w:val="24"/>
        </w:rPr>
        <w:t>co</w:t>
      </w:r>
      <w:r w:rsidR="00E23C45">
        <w:rPr>
          <w:color w:val="000000"/>
          <w:szCs w:val="24"/>
        </w:rPr>
        <w:t>mpetes with</w:t>
      </w:r>
      <w:r w:rsidR="00FA56F7">
        <w:rPr>
          <w:color w:val="000000"/>
          <w:szCs w:val="24"/>
        </w:rPr>
        <w:t xml:space="preserve"> industry </w:t>
      </w:r>
      <w:r w:rsidR="00E23C45">
        <w:rPr>
          <w:color w:val="000000"/>
          <w:szCs w:val="24"/>
        </w:rPr>
        <w:t>leading to</w:t>
      </w:r>
      <w:r w:rsidR="00F30824">
        <w:rPr>
          <w:color w:val="000000"/>
          <w:szCs w:val="24"/>
        </w:rPr>
        <w:t xml:space="preserve"> </w:t>
      </w:r>
      <w:r w:rsidR="00E23C45">
        <w:rPr>
          <w:color w:val="000000"/>
          <w:szCs w:val="24"/>
        </w:rPr>
        <w:t>hi</w:t>
      </w:r>
      <w:r w:rsidR="008D3750">
        <w:rPr>
          <w:color w:val="000000"/>
          <w:szCs w:val="24"/>
        </w:rPr>
        <w:t>gh</w:t>
      </w:r>
      <w:r w:rsidR="00F30824">
        <w:rPr>
          <w:color w:val="000000"/>
          <w:szCs w:val="24"/>
        </w:rPr>
        <w:t>er input and factor prices</w:t>
      </w:r>
      <w:r w:rsidR="00E23C45">
        <w:rPr>
          <w:color w:val="000000"/>
          <w:szCs w:val="24"/>
        </w:rPr>
        <w:t xml:space="preserve"> for manufacturing</w:t>
      </w:r>
      <w:r w:rsidR="008F37DF" w:rsidRPr="00AD74B0">
        <w:rPr>
          <w:color w:val="000000"/>
          <w:szCs w:val="24"/>
        </w:rPr>
        <w:t>.</w:t>
      </w:r>
      <w:r w:rsidR="00C22158" w:rsidRPr="00AD74B0">
        <w:rPr>
          <w:color w:val="000000"/>
          <w:szCs w:val="24"/>
        </w:rPr>
        <w:t xml:space="preserve"> </w:t>
      </w:r>
      <w:r w:rsidR="00F30824">
        <w:rPr>
          <w:color w:val="000000"/>
          <w:szCs w:val="24"/>
        </w:rPr>
        <w:t>That is:</w:t>
      </w:r>
    </w:p>
    <w:p w:rsidR="00F30824" w:rsidRDefault="00F30824" w:rsidP="008C7D19">
      <w:pPr>
        <w:tabs>
          <w:tab w:val="left" w:pos="9781"/>
        </w:tabs>
        <w:spacing w:after="0"/>
        <w:ind w:right="82"/>
        <w:jc w:val="both"/>
        <w:rPr>
          <w:color w:val="000000"/>
          <w:szCs w:val="24"/>
        </w:rPr>
      </w:pPr>
    </w:p>
    <w:p w:rsidR="00654534" w:rsidRDefault="00E23C45" w:rsidP="008C7D19">
      <w:pPr>
        <w:tabs>
          <w:tab w:val="left" w:pos="9781"/>
        </w:tabs>
        <w:spacing w:after="0"/>
        <w:ind w:right="82"/>
        <w:jc w:val="both"/>
        <w:rPr>
          <w:color w:val="000000"/>
          <w:szCs w:val="24"/>
        </w:rPr>
      </w:pPr>
      <w:r w:rsidRPr="00B70D52">
        <w:rPr>
          <w:position w:val="-28"/>
          <w:szCs w:val="24"/>
        </w:rPr>
        <w:object w:dxaOrig="1900" w:dyaOrig="660">
          <v:shape id="_x0000_i1059" type="#_x0000_t75" style="width:110.25pt;height:37.5pt" o:ole="">
            <v:imagedata r:id="rId76" o:title=""/>
          </v:shape>
          <o:OLEObject Type="Embed" ProgID="Equation.3" ShapeID="_x0000_i1059" DrawAspect="Content" ObjectID="_1416920920" r:id="rId77"/>
        </w:object>
      </w:r>
    </w:p>
    <w:p w:rsidR="00F30824" w:rsidRDefault="00F30824" w:rsidP="008C7D19">
      <w:pPr>
        <w:tabs>
          <w:tab w:val="left" w:pos="9781"/>
        </w:tabs>
        <w:spacing w:after="0"/>
        <w:ind w:right="82"/>
        <w:jc w:val="both"/>
        <w:rPr>
          <w:color w:val="000000"/>
          <w:szCs w:val="24"/>
        </w:rPr>
      </w:pPr>
    </w:p>
    <w:p w:rsidR="00654534" w:rsidRDefault="00654534" w:rsidP="008C7D19">
      <w:pPr>
        <w:tabs>
          <w:tab w:val="left" w:pos="9781"/>
        </w:tabs>
        <w:spacing w:after="0"/>
        <w:ind w:right="82"/>
        <w:jc w:val="both"/>
        <w:rPr>
          <w:position w:val="-28"/>
          <w:szCs w:val="24"/>
        </w:rPr>
      </w:pPr>
      <w:r>
        <w:rPr>
          <w:position w:val="-28"/>
          <w:szCs w:val="24"/>
        </w:rPr>
        <w:t xml:space="preserve">           </w:t>
      </w:r>
      <w:r w:rsidR="00E23C45" w:rsidRPr="00387F17">
        <w:rPr>
          <w:position w:val="-28"/>
          <w:szCs w:val="24"/>
        </w:rPr>
        <w:object w:dxaOrig="3320" w:dyaOrig="700">
          <v:shape id="_x0000_i1060" type="#_x0000_t75" style="width:168pt;height:34.5pt" o:ole="">
            <v:imagedata r:id="rId78" o:title=""/>
          </v:shape>
          <o:OLEObject Type="Embed" ProgID="Equation.3" ShapeID="_x0000_i1060" DrawAspect="Content" ObjectID="_1416920921" r:id="rId79"/>
        </w:object>
      </w:r>
    </w:p>
    <w:p w:rsidR="00654534" w:rsidRDefault="00654534" w:rsidP="008C7D19">
      <w:pPr>
        <w:tabs>
          <w:tab w:val="left" w:pos="9781"/>
        </w:tabs>
        <w:spacing w:after="0"/>
        <w:ind w:right="82"/>
        <w:jc w:val="both"/>
        <w:rPr>
          <w:position w:val="-28"/>
          <w:szCs w:val="24"/>
        </w:rPr>
      </w:pPr>
    </w:p>
    <w:p w:rsidR="00654534" w:rsidRDefault="00654534" w:rsidP="008C7D19">
      <w:pPr>
        <w:tabs>
          <w:tab w:val="left" w:pos="9781"/>
        </w:tabs>
        <w:spacing w:after="0"/>
        <w:ind w:right="82"/>
        <w:jc w:val="both"/>
        <w:rPr>
          <w:position w:val="-28"/>
          <w:szCs w:val="24"/>
        </w:rPr>
      </w:pPr>
      <w:r>
        <w:rPr>
          <w:color w:val="000000"/>
          <w:szCs w:val="24"/>
        </w:rPr>
        <w:t xml:space="preserve">           </w:t>
      </w:r>
      <w:r w:rsidR="00E23C45" w:rsidRPr="00654534">
        <w:rPr>
          <w:position w:val="-36"/>
          <w:szCs w:val="24"/>
        </w:rPr>
        <w:object w:dxaOrig="3620" w:dyaOrig="780">
          <v:shape id="_x0000_i1061" type="#_x0000_t75" style="width:181.5pt;height:39.75pt" o:ole="">
            <v:imagedata r:id="rId80" o:title=""/>
          </v:shape>
          <o:OLEObject Type="Embed" ProgID="Equation.3" ShapeID="_x0000_i1061" DrawAspect="Content" ObjectID="_1416920922" r:id="rId81"/>
        </w:object>
      </w:r>
    </w:p>
    <w:p w:rsidR="00654534" w:rsidRDefault="00654534" w:rsidP="008C7D19">
      <w:pPr>
        <w:tabs>
          <w:tab w:val="left" w:pos="9781"/>
        </w:tabs>
        <w:spacing w:after="0"/>
        <w:ind w:right="82"/>
        <w:jc w:val="both"/>
        <w:rPr>
          <w:color w:val="000000"/>
          <w:szCs w:val="24"/>
        </w:rPr>
      </w:pPr>
    </w:p>
    <w:p w:rsidR="00654534" w:rsidRDefault="00654534" w:rsidP="008C7D19">
      <w:pPr>
        <w:tabs>
          <w:tab w:val="left" w:pos="9781"/>
        </w:tabs>
        <w:spacing w:after="0"/>
        <w:ind w:right="82"/>
        <w:jc w:val="both"/>
        <w:rPr>
          <w:color w:val="000000"/>
          <w:szCs w:val="24"/>
        </w:rPr>
      </w:pPr>
      <w:r>
        <w:rPr>
          <w:color w:val="000000"/>
          <w:szCs w:val="24"/>
        </w:rPr>
        <w:t xml:space="preserve">           </w:t>
      </w:r>
      <w:r w:rsidR="00E23C45" w:rsidRPr="00654534">
        <w:rPr>
          <w:position w:val="-28"/>
          <w:szCs w:val="24"/>
        </w:rPr>
        <w:object w:dxaOrig="2400" w:dyaOrig="660">
          <v:shape id="_x0000_i1062" type="#_x0000_t75" style="width:120pt;height:34.5pt" o:ole="">
            <v:imagedata r:id="rId82" o:title=""/>
          </v:shape>
          <o:OLEObject Type="Embed" ProgID="Equation.3" ShapeID="_x0000_i1062" DrawAspect="Content" ObjectID="_1416920923" r:id="rId83"/>
        </w:object>
      </w:r>
    </w:p>
    <w:p w:rsidR="00654534" w:rsidRDefault="00654534" w:rsidP="008C7D19">
      <w:pPr>
        <w:tabs>
          <w:tab w:val="left" w:pos="9781"/>
        </w:tabs>
        <w:spacing w:after="0"/>
        <w:ind w:right="82"/>
        <w:jc w:val="both"/>
        <w:rPr>
          <w:color w:val="000000"/>
          <w:szCs w:val="24"/>
        </w:rPr>
      </w:pPr>
    </w:p>
    <w:p w:rsidR="00404500" w:rsidRPr="00AD74B0" w:rsidRDefault="00C22158" w:rsidP="008C7D19">
      <w:pPr>
        <w:tabs>
          <w:tab w:val="left" w:pos="9781"/>
        </w:tabs>
        <w:spacing w:after="0"/>
        <w:ind w:right="82"/>
        <w:jc w:val="both"/>
        <w:rPr>
          <w:color w:val="000000"/>
          <w:szCs w:val="24"/>
        </w:rPr>
      </w:pPr>
      <w:r w:rsidRPr="00AD74B0">
        <w:rPr>
          <w:color w:val="000000"/>
          <w:szCs w:val="24"/>
        </w:rPr>
        <w:t>The</w:t>
      </w:r>
      <w:r w:rsidR="00FA56F7">
        <w:rPr>
          <w:color w:val="000000"/>
          <w:szCs w:val="24"/>
        </w:rPr>
        <w:t xml:space="preserve"> cost function for industry</w:t>
      </w:r>
      <w:r w:rsidR="00404500" w:rsidRPr="00AD74B0">
        <w:rPr>
          <w:color w:val="000000"/>
          <w:szCs w:val="24"/>
        </w:rPr>
        <w:t xml:space="preserve"> can</w:t>
      </w:r>
      <w:r w:rsidR="00F30824">
        <w:rPr>
          <w:color w:val="000000"/>
          <w:szCs w:val="24"/>
        </w:rPr>
        <w:t xml:space="preserve"> now</w:t>
      </w:r>
      <w:r w:rsidR="00404500" w:rsidRPr="00AD74B0">
        <w:rPr>
          <w:color w:val="000000"/>
          <w:szCs w:val="24"/>
        </w:rPr>
        <w:t xml:space="preserve"> be rewritten</w:t>
      </w:r>
      <w:r w:rsidRPr="00AD74B0">
        <w:rPr>
          <w:color w:val="000000"/>
          <w:szCs w:val="24"/>
        </w:rPr>
        <w:t>:</w:t>
      </w:r>
    </w:p>
    <w:p w:rsidR="00404500" w:rsidRDefault="00404500" w:rsidP="008C7D19">
      <w:pPr>
        <w:widowControl w:val="0"/>
        <w:spacing w:line="213" w:lineRule="exact"/>
        <w:ind w:right="82"/>
        <w:rPr>
          <w:color w:val="000000"/>
          <w:sz w:val="18"/>
          <w:szCs w:val="18"/>
        </w:rPr>
      </w:pPr>
    </w:p>
    <w:p w:rsidR="00C22158" w:rsidRDefault="00E23C45" w:rsidP="00D91705">
      <w:pPr>
        <w:widowControl w:val="0"/>
        <w:tabs>
          <w:tab w:val="right" w:pos="9026"/>
        </w:tabs>
        <w:spacing w:line="213" w:lineRule="exact"/>
        <w:ind w:right="82"/>
        <w:rPr>
          <w:color w:val="000000"/>
        </w:rPr>
      </w:pPr>
      <w:r w:rsidRPr="004F6B1E">
        <w:rPr>
          <w:position w:val="-10"/>
          <w:sz w:val="20"/>
        </w:rPr>
        <w:object w:dxaOrig="3500" w:dyaOrig="360">
          <v:shape id="_x0000_i1063" type="#_x0000_t75" style="width:175.5pt;height:19.5pt" o:ole="">
            <v:imagedata r:id="rId84" o:title=""/>
          </v:shape>
          <o:OLEObject Type="Embed" ProgID="Equation.3" ShapeID="_x0000_i1063" DrawAspect="Content" ObjectID="_1416920924" r:id="rId85"/>
        </w:object>
      </w:r>
      <w:r w:rsidR="007C7726">
        <w:rPr>
          <w:position w:val="-10"/>
          <w:sz w:val="20"/>
        </w:rPr>
        <w:t xml:space="preserve">       </w:t>
      </w:r>
      <w:r w:rsidR="00C22158">
        <w:rPr>
          <w:position w:val="-10"/>
          <w:sz w:val="20"/>
        </w:rPr>
        <w:t xml:space="preserve">     </w:t>
      </w:r>
      <w:r w:rsidR="00C22158">
        <w:rPr>
          <w:color w:val="000000"/>
        </w:rPr>
        <w:t xml:space="preserve">                                       </w:t>
      </w:r>
      <w:r w:rsidR="00F35377">
        <w:rPr>
          <w:color w:val="000000"/>
        </w:rPr>
        <w:t xml:space="preserve">  </w:t>
      </w:r>
      <w:r w:rsidR="00C22158">
        <w:rPr>
          <w:color w:val="000000"/>
        </w:rPr>
        <w:t xml:space="preserve">  </w:t>
      </w:r>
      <w:r w:rsidR="00FF413F">
        <w:rPr>
          <w:color w:val="000000"/>
        </w:rPr>
        <w:t xml:space="preserve">              </w:t>
      </w:r>
      <w:r w:rsidR="007C7726">
        <w:rPr>
          <w:color w:val="000000"/>
        </w:rPr>
        <w:t xml:space="preserve">  </w:t>
      </w:r>
      <w:r w:rsidR="00D91705">
        <w:rPr>
          <w:color w:val="000000"/>
        </w:rPr>
        <w:tab/>
      </w:r>
      <w:r w:rsidR="007C7726">
        <w:rPr>
          <w:color w:val="000000"/>
        </w:rPr>
        <w:t xml:space="preserve">          </w:t>
      </w:r>
      <w:r w:rsidR="00C22158">
        <w:rPr>
          <w:color w:val="000000"/>
        </w:rPr>
        <w:t>(v</w:t>
      </w:r>
      <w:r w:rsidR="007C7726">
        <w:rPr>
          <w:color w:val="000000"/>
        </w:rPr>
        <w:t>i</w:t>
      </w:r>
      <w:r w:rsidR="00FF413F">
        <w:rPr>
          <w:color w:val="000000"/>
        </w:rPr>
        <w:t>i</w:t>
      </w:r>
      <w:r w:rsidR="00C22158">
        <w:rPr>
          <w:color w:val="000000"/>
        </w:rPr>
        <w:t>)</w:t>
      </w:r>
    </w:p>
    <w:p w:rsidR="00C22158" w:rsidRDefault="00C22158" w:rsidP="008C7D19">
      <w:pPr>
        <w:widowControl w:val="0"/>
        <w:spacing w:line="213" w:lineRule="exact"/>
        <w:ind w:right="82"/>
        <w:rPr>
          <w:color w:val="000000"/>
        </w:rPr>
      </w:pPr>
    </w:p>
    <w:p w:rsidR="00654534" w:rsidRDefault="00654534" w:rsidP="008C7D19">
      <w:pPr>
        <w:widowControl w:val="0"/>
        <w:spacing w:after="0"/>
        <w:ind w:right="82"/>
        <w:rPr>
          <w:color w:val="000000"/>
        </w:rPr>
      </w:pPr>
      <w:proofErr w:type="gramStart"/>
      <w:r>
        <w:rPr>
          <w:color w:val="000000"/>
        </w:rPr>
        <w:t>where</w:t>
      </w:r>
      <w:proofErr w:type="gramEnd"/>
      <w:r>
        <w:rPr>
          <w:color w:val="000000"/>
        </w:rPr>
        <w:t xml:space="preserve">  </w:t>
      </w:r>
      <w:r w:rsidR="00FE2F03" w:rsidRPr="00FE2F03">
        <w:rPr>
          <w:position w:val="-28"/>
          <w:szCs w:val="24"/>
        </w:rPr>
        <w:object w:dxaOrig="740" w:dyaOrig="660">
          <v:shape id="_x0000_i1064" type="#_x0000_t75" style="width:36pt;height:34.5pt" o:ole="">
            <v:imagedata r:id="rId86" o:title=""/>
          </v:shape>
          <o:OLEObject Type="Embed" ProgID="Equation.3" ShapeID="_x0000_i1064" DrawAspect="Content" ObjectID="_1416920925" r:id="rId87"/>
        </w:object>
      </w:r>
    </w:p>
    <w:p w:rsidR="00E14A56" w:rsidRDefault="00E14A56">
      <w:pPr>
        <w:widowControl w:val="0"/>
        <w:spacing w:after="0" w:line="213" w:lineRule="exact"/>
        <w:ind w:right="82"/>
        <w:rPr>
          <w:color w:val="000000"/>
        </w:rPr>
      </w:pPr>
    </w:p>
    <w:p w:rsidR="00E14A56" w:rsidRDefault="00C22158">
      <w:pPr>
        <w:widowControl w:val="0"/>
        <w:spacing w:after="0" w:line="213" w:lineRule="exact"/>
        <w:ind w:right="82"/>
        <w:rPr>
          <w:color w:val="000000"/>
        </w:rPr>
      </w:pPr>
      <w:r>
        <w:rPr>
          <w:color w:val="000000"/>
        </w:rPr>
        <w:t>T</w:t>
      </w:r>
      <w:r w:rsidR="00404500">
        <w:rPr>
          <w:color w:val="000000"/>
        </w:rPr>
        <w:t>h</w:t>
      </w:r>
      <w:r w:rsidR="007C7726">
        <w:rPr>
          <w:color w:val="000000"/>
        </w:rPr>
        <w:t>us, equation (</w:t>
      </w:r>
      <w:r w:rsidR="00FF413F">
        <w:rPr>
          <w:color w:val="000000"/>
        </w:rPr>
        <w:t>v</w:t>
      </w:r>
      <w:r>
        <w:rPr>
          <w:color w:val="000000"/>
        </w:rPr>
        <w:t>) becomes:</w:t>
      </w:r>
    </w:p>
    <w:p w:rsidR="00FF413F" w:rsidRDefault="00FF413F" w:rsidP="00C22158">
      <w:pPr>
        <w:widowControl w:val="0"/>
        <w:spacing w:after="0" w:line="213" w:lineRule="exact"/>
        <w:ind w:left="993" w:right="1313"/>
        <w:rPr>
          <w:color w:val="000000"/>
        </w:rPr>
      </w:pPr>
    </w:p>
    <w:p w:rsidR="00C22158" w:rsidRDefault="00C22158" w:rsidP="00C22158">
      <w:pPr>
        <w:widowControl w:val="0"/>
        <w:spacing w:after="0" w:line="213" w:lineRule="exact"/>
        <w:ind w:left="993" w:right="1313"/>
        <w:rPr>
          <w:color w:val="000000"/>
        </w:rPr>
      </w:pPr>
    </w:p>
    <w:p w:rsidR="00404500" w:rsidRDefault="00E23C45" w:rsidP="003C4644">
      <w:pPr>
        <w:widowControl w:val="0"/>
        <w:spacing w:after="0"/>
        <w:ind w:right="82"/>
        <w:rPr>
          <w:color w:val="000000"/>
          <w:sz w:val="18"/>
          <w:szCs w:val="18"/>
        </w:rPr>
      </w:pPr>
      <w:r w:rsidRPr="004F6B1E">
        <w:rPr>
          <w:position w:val="-24"/>
          <w:sz w:val="20"/>
        </w:rPr>
        <w:object w:dxaOrig="4440" w:dyaOrig="620">
          <v:shape id="_x0000_i1065" type="#_x0000_t75" style="width:222pt;height:31.5pt" o:ole="">
            <v:imagedata r:id="rId88" o:title=""/>
          </v:shape>
          <o:OLEObject Type="Embed" ProgID="Equation.3" ShapeID="_x0000_i1065" DrawAspect="Content" ObjectID="_1416920926" r:id="rId89"/>
        </w:object>
      </w:r>
      <w:r w:rsidR="00D62F6B">
        <w:rPr>
          <w:color w:val="000000"/>
          <w:sz w:val="18"/>
          <w:szCs w:val="18"/>
        </w:rPr>
        <w:t xml:space="preserve">                           </w:t>
      </w:r>
      <w:r w:rsidR="00FF413F">
        <w:rPr>
          <w:color w:val="000000"/>
          <w:sz w:val="18"/>
          <w:szCs w:val="18"/>
        </w:rPr>
        <w:t xml:space="preserve">                               </w:t>
      </w:r>
      <w:r w:rsidR="00D62F6B">
        <w:rPr>
          <w:color w:val="000000"/>
          <w:sz w:val="18"/>
          <w:szCs w:val="18"/>
        </w:rPr>
        <w:t xml:space="preserve">                             </w:t>
      </w:r>
    </w:p>
    <w:p w:rsidR="00404500" w:rsidRDefault="00404500" w:rsidP="003C4644">
      <w:pPr>
        <w:widowControl w:val="0"/>
        <w:spacing w:line="213" w:lineRule="exact"/>
        <w:ind w:right="82"/>
        <w:rPr>
          <w:color w:val="000000"/>
          <w:sz w:val="18"/>
          <w:szCs w:val="18"/>
        </w:rPr>
      </w:pPr>
    </w:p>
    <w:p w:rsidR="00AE6CB3" w:rsidRDefault="00FF413F" w:rsidP="0066413F">
      <w:pPr>
        <w:widowControl w:val="0"/>
        <w:tabs>
          <w:tab w:val="left" w:pos="4040"/>
          <w:tab w:val="left" w:pos="4640"/>
          <w:tab w:val="left" w:pos="4946"/>
          <w:tab w:val="right" w:pos="9026"/>
        </w:tabs>
        <w:spacing w:after="0"/>
        <w:ind w:right="82"/>
        <w:jc w:val="both"/>
      </w:pPr>
      <w:r>
        <w:rPr>
          <w:position w:val="-30"/>
          <w:sz w:val="20"/>
        </w:rPr>
        <w:t xml:space="preserve">         </w:t>
      </w:r>
      <w:r w:rsidR="00E23C45" w:rsidRPr="00B45665">
        <w:rPr>
          <w:position w:val="-30"/>
          <w:sz w:val="20"/>
        </w:rPr>
        <w:object w:dxaOrig="2360" w:dyaOrig="680">
          <v:shape id="_x0000_i1066" type="#_x0000_t75" style="width:118.5pt;height:34.5pt" o:ole="">
            <v:imagedata r:id="rId90" o:title=""/>
          </v:shape>
          <o:OLEObject Type="Embed" ProgID="Equation.3" ShapeID="_x0000_i1066" DrawAspect="Content" ObjectID="_1416920927" r:id="rId91"/>
        </w:object>
      </w:r>
      <w:r w:rsidR="008B71C4">
        <w:tab/>
      </w:r>
      <w:r>
        <w:t xml:space="preserve">                       </w:t>
      </w:r>
      <w:r w:rsidR="0066413F">
        <w:tab/>
      </w:r>
      <w:r>
        <w:t xml:space="preserve">   </w:t>
      </w:r>
      <w:r w:rsidR="00CB7107">
        <w:t xml:space="preserve"> </w:t>
      </w:r>
      <w:r>
        <w:t xml:space="preserve"> </w:t>
      </w:r>
      <w:r w:rsidR="007C7726">
        <w:t xml:space="preserve">  </w:t>
      </w:r>
      <w:r w:rsidR="00F35377">
        <w:t xml:space="preserve">            </w:t>
      </w:r>
      <w:r w:rsidR="007C7726">
        <w:t xml:space="preserve">            </w:t>
      </w:r>
      <w:r>
        <w:t xml:space="preserve"> (vi</w:t>
      </w:r>
      <w:r w:rsidR="007C7726">
        <w:t>i</w:t>
      </w:r>
      <w:r>
        <w:t>i)</w:t>
      </w:r>
    </w:p>
    <w:p w:rsidR="00E23C45" w:rsidRDefault="006E6F29" w:rsidP="00AE6CB3">
      <w:pPr>
        <w:widowControl w:val="0"/>
        <w:tabs>
          <w:tab w:val="left" w:pos="4040"/>
          <w:tab w:val="left" w:pos="4640"/>
          <w:tab w:val="left" w:pos="4946"/>
          <w:tab w:val="left" w:pos="9072"/>
        </w:tabs>
        <w:spacing w:after="0"/>
        <w:ind w:right="82"/>
        <w:jc w:val="both"/>
      </w:pPr>
      <w:r>
        <w:t xml:space="preserve">where </w:t>
      </w:r>
      <m:oMath>
        <m:r>
          <w:rPr>
            <w:rFonts w:ascii="Cambria Math" w:hAnsi="Cambria Math"/>
          </w:rPr>
          <m:t>δ=</m:t>
        </m:r>
        <m:sSub>
          <m:sSubPr>
            <m:ctrlPr>
              <w:rPr>
                <w:rFonts w:ascii="Cambria Math" w:hAnsi="Cambria Math"/>
                <w:i/>
              </w:rPr>
            </m:ctrlPr>
          </m:sSubPr>
          <m:e>
            <m:r>
              <w:rPr>
                <w:rFonts w:ascii="Cambria Math" w:hAnsi="Cambria Math"/>
              </w:rPr>
              <m:t>r</m:t>
            </m:r>
          </m:e>
          <m:sub>
            <m:r>
              <w:rPr>
                <w:rFonts w:ascii="Cambria Math" w:hAnsi="Cambria Math"/>
              </w:rPr>
              <m:t>M</m:t>
            </m:r>
          </m:sub>
        </m:sSub>
        <m:r>
          <w:rPr>
            <w:rFonts w:ascii="Cambria Math" w:hAnsi="Cambria Math"/>
          </w:rPr>
          <m:t>τ</m:t>
        </m:r>
      </m:oMath>
      <w:r>
        <w:t xml:space="preserve"> and </w:t>
      </w:r>
      <w:r w:rsidRPr="006E6F29">
        <w:rPr>
          <w:i/>
          <w:iCs/>
        </w:rPr>
        <w:t>τ</w:t>
      </w:r>
      <w:r>
        <w:t xml:space="preserve"> is a constant. </w:t>
      </w:r>
      <w:r w:rsidR="00F63766">
        <w:t xml:space="preserve">If </w:t>
      </w:r>
      <w:r w:rsidR="00FF413F">
        <w:rPr>
          <w:i/>
        </w:rPr>
        <w:t>δ</w:t>
      </w:r>
      <w:r w:rsidR="00F63766">
        <w:t xml:space="preserve"> is </w:t>
      </w:r>
      <w:r w:rsidR="00E23C45">
        <w:t>nega</w:t>
      </w:r>
      <w:r w:rsidR="00F63766">
        <w:t>tive,</w:t>
      </w:r>
      <w:r w:rsidR="00E23C45">
        <w:t xml:space="preserve"> as shown in (viii)</w:t>
      </w:r>
      <w:r w:rsidR="00F63766">
        <w:t xml:space="preserve"> agriculture </w:t>
      </w:r>
      <w:r w:rsidR="00E23C45">
        <w:t>compete</w:t>
      </w:r>
      <w:r w:rsidR="00F63766">
        <w:t>s</w:t>
      </w:r>
      <w:r w:rsidR="00E23C45">
        <w:t xml:space="preserve"> with</w:t>
      </w:r>
      <w:r w:rsidR="00F63766">
        <w:t xml:space="preserve"> manufacturing</w:t>
      </w:r>
      <w:r w:rsidR="00AF1C7D">
        <w:t xml:space="preserve">; a </w:t>
      </w:r>
      <w:r w:rsidR="008D3750">
        <w:t>posi</w:t>
      </w:r>
      <w:r w:rsidR="00AF1C7D">
        <w:t>tive</w:t>
      </w:r>
      <w:r w:rsidR="00F63766">
        <w:t xml:space="preserve"> </w:t>
      </w:r>
      <w:r w:rsidR="00FF413F">
        <w:rPr>
          <w:i/>
        </w:rPr>
        <w:t>δ</w:t>
      </w:r>
      <w:r w:rsidR="00F72117">
        <w:t xml:space="preserve"> </w:t>
      </w:r>
      <w:r w:rsidR="00FE2F03">
        <w:t xml:space="preserve">would </w:t>
      </w:r>
      <w:r w:rsidR="00F63766">
        <w:t xml:space="preserve">indicate a </w:t>
      </w:r>
      <w:r w:rsidR="00E23C45">
        <w:t>suppor</w:t>
      </w:r>
      <w:r w:rsidR="00F63766">
        <w:t>tive relationship between the two sectors.</w:t>
      </w:r>
      <w:r w:rsidR="00E23C45">
        <w:t xml:space="preserve"> Ultimately the sign must be determined empirically.</w:t>
      </w:r>
      <w:r w:rsidR="00F63766">
        <w:t xml:space="preserve"> </w:t>
      </w:r>
    </w:p>
    <w:p w:rsidR="00E14A56" w:rsidRDefault="00E14A56">
      <w:pPr>
        <w:tabs>
          <w:tab w:val="left" w:pos="-2268"/>
          <w:tab w:val="left" w:pos="426"/>
          <w:tab w:val="left" w:pos="1134"/>
          <w:tab w:val="left" w:pos="9781"/>
        </w:tabs>
        <w:spacing w:after="0"/>
        <w:ind w:right="82"/>
        <w:jc w:val="both"/>
      </w:pPr>
    </w:p>
    <w:p w:rsidR="00E14A56" w:rsidRDefault="00E23C45">
      <w:pPr>
        <w:tabs>
          <w:tab w:val="left" w:pos="-2268"/>
          <w:tab w:val="left" w:pos="426"/>
          <w:tab w:val="left" w:pos="1134"/>
          <w:tab w:val="left" w:pos="9781"/>
        </w:tabs>
        <w:spacing w:after="0"/>
        <w:ind w:right="82"/>
        <w:jc w:val="both"/>
      </w:pPr>
      <w:r>
        <w:t xml:space="preserve">     </w:t>
      </w:r>
      <w:r w:rsidR="00C077E0">
        <w:t xml:space="preserve">Again, we can think of the </w:t>
      </w:r>
      <w:proofErr w:type="gramStart"/>
      <w:r w:rsidR="00C077E0">
        <w:t xml:space="preserve">term </w:t>
      </w:r>
      <m:oMath>
        <w:proofErr w:type="gramEnd"/>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M</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M</m:t>
                </m:r>
              </m:sub>
            </m:sSub>
          </m:num>
          <m:den>
            <m:sSub>
              <m:sSubPr>
                <m:ctrlPr>
                  <w:rPr>
                    <w:rFonts w:ascii="Cambria Math" w:hAnsi="Cambria Math"/>
                    <w:i/>
                  </w:rPr>
                </m:ctrlPr>
              </m:sSubPr>
              <m:e>
                <m:r>
                  <w:rPr>
                    <w:rFonts w:ascii="Cambria Math" w:hAnsi="Cambria Math"/>
                  </w:rPr>
                  <m:t>K</m:t>
                </m:r>
              </m:e>
              <m:sub>
                <m:r>
                  <w:rPr>
                    <w:rFonts w:ascii="Cambria Math" w:hAnsi="Cambria Math"/>
                  </w:rPr>
                  <m:t>M</m:t>
                </m:r>
              </m:sub>
            </m:sSub>
          </m:den>
        </m:f>
        <m:r>
          <w:rPr>
            <w:rFonts w:ascii="Cambria Math" w:hAnsi="Cambria Math"/>
          </w:rPr>
          <m:t>M-δA)</m:t>
        </m:r>
      </m:oMath>
      <w:r w:rsidR="00C077E0">
        <w:t xml:space="preserve">, or </w:t>
      </w:r>
      <m:oMath>
        <m:sSub>
          <m:sSubPr>
            <m:ctrlPr>
              <w:rPr>
                <w:rFonts w:ascii="Cambria Math" w:hAnsi="Cambria Math"/>
                <w:i/>
              </w:rPr>
            </m:ctrlPr>
          </m:sSubPr>
          <m:e>
            <m:r>
              <w:rPr>
                <w:rFonts w:ascii="Cambria Math" w:hAnsi="Cambria Math"/>
              </w:rPr>
              <m:t>r</m:t>
            </m:r>
          </m:e>
          <m:sub>
            <m:r>
              <w:rPr>
                <w:rFonts w:ascii="Cambria Math" w:hAnsi="Cambria Math"/>
              </w:rPr>
              <m:t>M</m:t>
            </m:r>
          </m:sub>
        </m:sSub>
        <m:r>
          <w:rPr>
            <w:rFonts w:ascii="Cambria Math" w:hAnsi="Cambria Math"/>
          </w:rPr>
          <m:t>(1-</m:t>
        </m:r>
        <m:f>
          <m:fPr>
            <m:type m:val="skw"/>
            <m:ctrlPr>
              <w:rPr>
                <w:rFonts w:ascii="Cambria Math" w:hAnsi="Cambria Math"/>
                <w:i/>
              </w:rPr>
            </m:ctrlPr>
          </m:fPr>
          <m:num>
            <m:r>
              <w:rPr>
                <w:rFonts w:ascii="Cambria Math" w:hAnsi="Cambria Math"/>
              </w:rPr>
              <m:t>M</m:t>
            </m:r>
          </m:num>
          <m:den>
            <m:sSub>
              <m:sSubPr>
                <m:ctrlPr>
                  <w:rPr>
                    <w:rFonts w:ascii="Cambria Math" w:hAnsi="Cambria Math"/>
                    <w:i/>
                  </w:rPr>
                </m:ctrlPr>
              </m:sSubPr>
              <m:e>
                <m:r>
                  <w:rPr>
                    <w:rFonts w:ascii="Cambria Math" w:hAnsi="Cambria Math"/>
                  </w:rPr>
                  <m:t>K</m:t>
                </m:r>
              </m:e>
              <m:sub>
                <m:r>
                  <w:rPr>
                    <w:rFonts w:ascii="Cambria Math" w:hAnsi="Cambria Math"/>
                  </w:rPr>
                  <m:t>M</m:t>
                </m:r>
              </m:sub>
            </m:sSub>
          </m:den>
        </m:f>
        <m:r>
          <w:rPr>
            <w:rFonts w:ascii="Cambria Math" w:hAnsi="Cambria Math"/>
          </w:rPr>
          <m:t>-τA)</m:t>
        </m:r>
      </m:oMath>
      <w:r w:rsidR="00C077E0">
        <w:t>, as a per unit growth rate. It is the comparison of the size of each term in the per unit growth rate that reveals the relative contributions of institutions (labor and non-labor) and that of agriculture-manufacturing linkages to manufacturing growth rates.</w:t>
      </w:r>
    </w:p>
    <w:p w:rsidR="00D60B1B" w:rsidRDefault="00D60B1B" w:rsidP="003C4644">
      <w:pPr>
        <w:tabs>
          <w:tab w:val="left" w:pos="-2268"/>
          <w:tab w:val="left" w:pos="426"/>
          <w:tab w:val="left" w:pos="1134"/>
          <w:tab w:val="left" w:pos="9781"/>
        </w:tabs>
        <w:spacing w:after="0"/>
        <w:ind w:right="82"/>
        <w:jc w:val="both"/>
      </w:pPr>
    </w:p>
    <w:p w:rsidR="00E14A56" w:rsidRDefault="00F72117">
      <w:pPr>
        <w:tabs>
          <w:tab w:val="left" w:pos="-2268"/>
          <w:tab w:val="left" w:pos="426"/>
          <w:tab w:val="left" w:pos="1134"/>
          <w:tab w:val="left" w:pos="9781"/>
        </w:tabs>
        <w:spacing w:after="0"/>
        <w:ind w:right="82"/>
        <w:jc w:val="both"/>
      </w:pPr>
      <w:r>
        <w:t>Finally</w:t>
      </w:r>
      <w:r w:rsidR="00CD6A86">
        <w:t>:</w:t>
      </w:r>
    </w:p>
    <w:p w:rsidR="00C45006" w:rsidRDefault="00E23C45" w:rsidP="0066413F">
      <w:pPr>
        <w:tabs>
          <w:tab w:val="left" w:pos="-2268"/>
          <w:tab w:val="left" w:pos="426"/>
          <w:tab w:val="left" w:pos="1134"/>
          <w:tab w:val="right" w:pos="9026"/>
        </w:tabs>
        <w:spacing w:before="240" w:after="0"/>
        <w:ind w:right="82"/>
        <w:jc w:val="both"/>
      </w:pPr>
      <w:r w:rsidRPr="00B45665">
        <w:rPr>
          <w:position w:val="-30"/>
          <w:sz w:val="20"/>
        </w:rPr>
        <w:object w:dxaOrig="2240" w:dyaOrig="820">
          <v:shape id="_x0000_i1067" type="#_x0000_t75" style="width:112.5pt;height:40.5pt" o:ole="">
            <v:imagedata r:id="rId92" o:title=""/>
          </v:shape>
          <o:OLEObject Type="Embed" ProgID="Equation.3" ShapeID="_x0000_i1067" DrawAspect="Content" ObjectID="_1416920928" r:id="rId93"/>
        </w:object>
      </w:r>
      <w:r w:rsidR="00B45665">
        <w:t>.</w:t>
      </w:r>
      <w:r w:rsidR="008837EE">
        <w:t xml:space="preserve">            </w:t>
      </w:r>
      <w:r w:rsidR="00F63766">
        <w:t xml:space="preserve">                  </w:t>
      </w:r>
      <w:r w:rsidR="005428E4">
        <w:t xml:space="preserve">         </w:t>
      </w:r>
      <w:r w:rsidR="008837EE">
        <w:t xml:space="preserve">                       </w:t>
      </w:r>
      <w:r w:rsidR="0066413F">
        <w:tab/>
      </w:r>
      <w:r w:rsidR="008837EE">
        <w:t xml:space="preserve">             </w:t>
      </w:r>
      <w:r w:rsidR="00CB7107">
        <w:t xml:space="preserve">     </w:t>
      </w:r>
      <w:r w:rsidR="007C7726">
        <w:t>(</w:t>
      </w:r>
      <w:r w:rsidR="00FF413F">
        <w:t>i</w:t>
      </w:r>
      <w:r w:rsidR="007C7726">
        <w:t>x</w:t>
      </w:r>
      <w:r w:rsidR="008837EE">
        <w:t>)</w:t>
      </w:r>
    </w:p>
    <w:p w:rsidR="004375F9" w:rsidRDefault="00FF413F" w:rsidP="003C4644">
      <w:pPr>
        <w:tabs>
          <w:tab w:val="left" w:pos="-2268"/>
          <w:tab w:val="left" w:pos="426"/>
          <w:tab w:val="left" w:pos="1134"/>
          <w:tab w:val="left" w:pos="9781"/>
        </w:tabs>
        <w:spacing w:before="240" w:after="0"/>
        <w:ind w:right="82"/>
        <w:jc w:val="both"/>
        <w:rPr>
          <w:szCs w:val="24"/>
        </w:rPr>
      </w:pPr>
      <w:r w:rsidRPr="00A0324E">
        <w:rPr>
          <w:szCs w:val="24"/>
        </w:rPr>
        <w:lastRenderedPageBreak/>
        <w:t xml:space="preserve">     </w:t>
      </w:r>
      <w:r w:rsidR="007C7726">
        <w:rPr>
          <w:szCs w:val="24"/>
        </w:rPr>
        <w:t>Equation (</w:t>
      </w:r>
      <w:r w:rsidRPr="00A0324E">
        <w:rPr>
          <w:szCs w:val="24"/>
        </w:rPr>
        <w:t>i</w:t>
      </w:r>
      <w:r w:rsidR="007C7726">
        <w:rPr>
          <w:szCs w:val="24"/>
        </w:rPr>
        <w:t>x</w:t>
      </w:r>
      <w:r w:rsidR="004D1F96">
        <w:rPr>
          <w:szCs w:val="24"/>
        </w:rPr>
        <w:t>) models the</w:t>
      </w:r>
      <w:r w:rsidR="003B5E2C" w:rsidRPr="00A0324E">
        <w:rPr>
          <w:szCs w:val="24"/>
        </w:rPr>
        <w:t xml:space="preserve"> growth rate of manufacturing</w:t>
      </w:r>
      <w:r w:rsidR="00C45006" w:rsidRPr="00A0324E">
        <w:rPr>
          <w:szCs w:val="24"/>
        </w:rPr>
        <w:t xml:space="preserve"> as depending on the intrinsic growth rate, </w:t>
      </w:r>
      <w:proofErr w:type="spellStart"/>
      <w:r w:rsidR="00C45006" w:rsidRPr="00A0324E">
        <w:rPr>
          <w:i/>
          <w:szCs w:val="24"/>
        </w:rPr>
        <w:t>r</w:t>
      </w:r>
      <w:r w:rsidR="00AF1C7D" w:rsidRPr="00A0324E">
        <w:rPr>
          <w:i/>
          <w:szCs w:val="24"/>
          <w:vertAlign w:val="subscript"/>
        </w:rPr>
        <w:t>M</w:t>
      </w:r>
      <w:proofErr w:type="spellEnd"/>
      <w:r w:rsidR="00C45006" w:rsidRPr="00A0324E">
        <w:rPr>
          <w:szCs w:val="24"/>
        </w:rPr>
        <w:t>, which captures institutional determinants of the sector’s growth</w:t>
      </w:r>
      <w:r w:rsidR="0083494A" w:rsidRPr="00A0324E">
        <w:rPr>
          <w:szCs w:val="24"/>
        </w:rPr>
        <w:t xml:space="preserve"> (via incentives for fi</w:t>
      </w:r>
      <w:r w:rsidR="0066012D">
        <w:rPr>
          <w:szCs w:val="24"/>
        </w:rPr>
        <w:t>rms to invest their profits in</w:t>
      </w:r>
      <w:r w:rsidR="0083494A" w:rsidRPr="00A0324E">
        <w:rPr>
          <w:szCs w:val="24"/>
        </w:rPr>
        <w:t xml:space="preserve"> the production of new firms)</w:t>
      </w:r>
      <w:r w:rsidR="00F535E9" w:rsidRPr="00A0324E">
        <w:rPr>
          <w:szCs w:val="24"/>
        </w:rPr>
        <w:t>;</w:t>
      </w:r>
      <w:r w:rsidR="0083494A" w:rsidRPr="00A0324E">
        <w:rPr>
          <w:szCs w:val="24"/>
        </w:rPr>
        <w:t xml:space="preserve"> on</w:t>
      </w:r>
      <w:r w:rsidR="00C45006" w:rsidRPr="00A0324E">
        <w:rPr>
          <w:szCs w:val="24"/>
        </w:rPr>
        <w:t xml:space="preserve"> competition</w:t>
      </w:r>
      <w:r w:rsidR="0083494A" w:rsidRPr="00A0324E">
        <w:rPr>
          <w:szCs w:val="24"/>
        </w:rPr>
        <w:t xml:space="preserve"> between firms</w:t>
      </w:r>
      <w:r w:rsidR="0066012D">
        <w:rPr>
          <w:szCs w:val="24"/>
        </w:rPr>
        <w:t xml:space="preserve"> for labor</w:t>
      </w:r>
      <w:r w:rsidR="0083494A" w:rsidRPr="00A0324E">
        <w:rPr>
          <w:szCs w:val="24"/>
        </w:rPr>
        <w:t xml:space="preserve"> (at the sectoral level)</w:t>
      </w:r>
      <w:r w:rsidR="00F535E9" w:rsidRPr="00A0324E">
        <w:rPr>
          <w:szCs w:val="24"/>
        </w:rPr>
        <w:t>;</w:t>
      </w:r>
      <w:r w:rsidR="00E561A4" w:rsidRPr="00A0324E">
        <w:rPr>
          <w:szCs w:val="24"/>
        </w:rPr>
        <w:t xml:space="preserve"> and</w:t>
      </w:r>
      <w:r w:rsidR="00F535E9" w:rsidRPr="00A0324E">
        <w:rPr>
          <w:szCs w:val="24"/>
        </w:rPr>
        <w:t xml:space="preserve"> on</w:t>
      </w:r>
      <w:r w:rsidR="00E561A4" w:rsidRPr="00A0324E">
        <w:rPr>
          <w:szCs w:val="24"/>
        </w:rPr>
        <w:t xml:space="preserve"> the impact </w:t>
      </w:r>
      <w:r w:rsidR="003B5E2C" w:rsidRPr="00A0324E">
        <w:rPr>
          <w:szCs w:val="24"/>
        </w:rPr>
        <w:t>of another sector, agriculture</w:t>
      </w:r>
      <w:r w:rsidR="0083494A" w:rsidRPr="00A0324E">
        <w:rPr>
          <w:szCs w:val="24"/>
        </w:rPr>
        <w:t xml:space="preserve"> (an intersectoral effect)</w:t>
      </w:r>
      <w:r w:rsidR="00C45006" w:rsidRPr="00A0324E">
        <w:rPr>
          <w:szCs w:val="24"/>
        </w:rPr>
        <w:t>.</w:t>
      </w:r>
      <w:r w:rsidR="004375F9">
        <w:rPr>
          <w:szCs w:val="24"/>
        </w:rPr>
        <w:t xml:space="preserve"> The model is flexible enough to encompass aspects of international trade (through the impact of changing demand and supply on prices), and political and economic institutions</w:t>
      </w:r>
      <w:r w:rsidR="005D4C58">
        <w:rPr>
          <w:szCs w:val="24"/>
        </w:rPr>
        <w:t xml:space="preserve">, such as a </w:t>
      </w:r>
      <w:proofErr w:type="spellStart"/>
      <w:r w:rsidR="005D4C58">
        <w:rPr>
          <w:szCs w:val="24"/>
        </w:rPr>
        <w:t>kleptocracy</w:t>
      </w:r>
      <w:proofErr w:type="spellEnd"/>
      <w:r w:rsidR="005D4C58">
        <w:rPr>
          <w:szCs w:val="24"/>
        </w:rPr>
        <w:t xml:space="preserve"> and property rights</w:t>
      </w:r>
      <w:r w:rsidR="004375F9">
        <w:rPr>
          <w:szCs w:val="24"/>
        </w:rPr>
        <w:t xml:space="preserve"> (that affect</w:t>
      </w:r>
      <w:r w:rsidR="00DD2EE2">
        <w:rPr>
          <w:szCs w:val="24"/>
        </w:rPr>
        <w:t xml:space="preserve"> </w:t>
      </w:r>
      <w:r w:rsidR="00DD2EE2">
        <w:t>the proportion of profits that becomes new firms each period,</w:t>
      </w:r>
      <w:r w:rsidR="004375F9">
        <w:rPr>
          <w:szCs w:val="24"/>
        </w:rPr>
        <w:t xml:space="preserve"> </w:t>
      </w:r>
      <w:r w:rsidR="004375F9" w:rsidRPr="004375F9">
        <w:rPr>
          <w:i/>
          <w:iCs/>
          <w:szCs w:val="24"/>
        </w:rPr>
        <w:t>β</w:t>
      </w:r>
      <w:r w:rsidR="004375F9">
        <w:rPr>
          <w:szCs w:val="24"/>
        </w:rPr>
        <w:t xml:space="preserve">.) </w:t>
      </w:r>
      <w:r w:rsidR="00635B29" w:rsidRPr="00A0324E">
        <w:rPr>
          <w:szCs w:val="24"/>
        </w:rPr>
        <w:t xml:space="preserve"> </w:t>
      </w:r>
    </w:p>
    <w:p w:rsidR="00D76932" w:rsidRDefault="00D76932" w:rsidP="003C4644">
      <w:pPr>
        <w:tabs>
          <w:tab w:val="left" w:pos="-2268"/>
          <w:tab w:val="left" w:pos="426"/>
          <w:tab w:val="left" w:pos="1134"/>
          <w:tab w:val="left" w:pos="9781"/>
        </w:tabs>
        <w:spacing w:before="240" w:after="0"/>
        <w:ind w:right="82"/>
        <w:jc w:val="both"/>
        <w:rPr>
          <w:szCs w:val="24"/>
        </w:rPr>
      </w:pPr>
    </w:p>
    <w:p w:rsidR="009F28EB" w:rsidRPr="00BE6BC8" w:rsidRDefault="004375F9" w:rsidP="003C4644">
      <w:pPr>
        <w:tabs>
          <w:tab w:val="left" w:pos="-2268"/>
          <w:tab w:val="left" w:pos="426"/>
          <w:tab w:val="left" w:pos="1134"/>
          <w:tab w:val="left" w:pos="9781"/>
        </w:tabs>
        <w:spacing w:after="0"/>
        <w:ind w:right="82"/>
        <w:jc w:val="both"/>
        <w:rPr>
          <w:color w:val="000000"/>
          <w:szCs w:val="24"/>
        </w:rPr>
      </w:pPr>
      <w:r>
        <w:rPr>
          <w:szCs w:val="24"/>
        </w:rPr>
        <w:t xml:space="preserve">     </w:t>
      </w:r>
      <w:r w:rsidR="00B468E1" w:rsidRPr="00A0324E">
        <w:rPr>
          <w:color w:val="000000"/>
          <w:szCs w:val="24"/>
        </w:rPr>
        <w:t xml:space="preserve">The </w:t>
      </w:r>
      <w:proofErr w:type="spellStart"/>
      <w:r w:rsidR="00B468E1" w:rsidRPr="00A0324E">
        <w:rPr>
          <w:color w:val="000000"/>
          <w:szCs w:val="24"/>
        </w:rPr>
        <w:t>di</w:t>
      </w:r>
      <w:r w:rsidR="00B468E1" w:rsidRPr="00A0324E">
        <w:rPr>
          <w:rFonts w:ascii="Palatino Linotype" w:hAnsi="Palatino Linotype" w:cs="Palatino Linotype"/>
          <w:color w:val="000000"/>
          <w:szCs w:val="24"/>
        </w:rPr>
        <w:t>ﬀ</w:t>
      </w:r>
      <w:r w:rsidR="00B468E1" w:rsidRPr="00A0324E">
        <w:rPr>
          <w:color w:val="000000"/>
          <w:szCs w:val="24"/>
        </w:rPr>
        <w:t>erential</w:t>
      </w:r>
      <w:proofErr w:type="spellEnd"/>
      <w:r w:rsidR="00B468E1" w:rsidRPr="00A0324E">
        <w:rPr>
          <w:color w:val="000000"/>
          <w:szCs w:val="24"/>
        </w:rPr>
        <w:t xml:space="preserve"> equation explains the growth rate of the sect</w:t>
      </w:r>
      <w:r w:rsidR="004443E5">
        <w:rPr>
          <w:color w:val="000000"/>
          <w:szCs w:val="24"/>
        </w:rPr>
        <w:t>or in terms of its present size</w:t>
      </w:r>
      <w:r w:rsidR="00B468E1" w:rsidRPr="00A0324E">
        <w:rPr>
          <w:color w:val="000000"/>
          <w:szCs w:val="24"/>
        </w:rPr>
        <w:t xml:space="preserve"> and th</w:t>
      </w:r>
      <w:r w:rsidR="00A0324E">
        <w:rPr>
          <w:color w:val="000000"/>
          <w:szCs w:val="24"/>
        </w:rPr>
        <w:t>e size of the other sector. The</w:t>
      </w:r>
      <w:r w:rsidR="00B468E1" w:rsidRPr="00A0324E">
        <w:rPr>
          <w:color w:val="000000"/>
          <w:szCs w:val="24"/>
        </w:rPr>
        <w:t xml:space="preserve"> sector initially grows exponentially, but its growth slows under increasing intrasectoral competition, eventually f</w:t>
      </w:r>
      <w:r w:rsidR="004443E5">
        <w:rPr>
          <w:color w:val="000000"/>
          <w:szCs w:val="24"/>
        </w:rPr>
        <w:t xml:space="preserve">alling to zero. </w:t>
      </w:r>
      <w:r w:rsidR="005842F1" w:rsidRPr="005842F1">
        <w:rPr>
          <w:color w:val="000000"/>
          <w:szCs w:val="24"/>
          <w:lang w:val="en-NZ"/>
        </w:rPr>
        <w:t xml:space="preserve">While it may seem intuitively obvious that the growth rate of manufacturing will depend, at least, on institutions, </w:t>
      </w:r>
      <w:proofErr w:type="spellStart"/>
      <w:r w:rsidR="005842F1" w:rsidRPr="005842F1">
        <w:rPr>
          <w:color w:val="000000"/>
          <w:szCs w:val="24"/>
          <w:lang w:val="en-NZ"/>
        </w:rPr>
        <w:t>labor</w:t>
      </w:r>
      <w:proofErr w:type="spellEnd"/>
      <w:r w:rsidR="005842F1" w:rsidRPr="005842F1">
        <w:rPr>
          <w:color w:val="000000"/>
          <w:szCs w:val="24"/>
          <w:lang w:val="en-NZ"/>
        </w:rPr>
        <w:t xml:space="preserve"> supply and the linkages with agriculture, our pursuit of a formal</w:t>
      </w:r>
      <w:r>
        <w:rPr>
          <w:color w:val="000000"/>
          <w:szCs w:val="24"/>
          <w:lang w:val="en-NZ"/>
        </w:rPr>
        <w:t xml:space="preserve"> model offers a very significant</w:t>
      </w:r>
      <w:r w:rsidR="005842F1">
        <w:rPr>
          <w:color w:val="000000"/>
          <w:szCs w:val="24"/>
          <w:lang w:val="en-NZ"/>
        </w:rPr>
        <w:t xml:space="preserve"> advantage. </w:t>
      </w:r>
      <w:r>
        <w:rPr>
          <w:color w:val="000000"/>
          <w:szCs w:val="24"/>
          <w:lang w:val="en-NZ"/>
        </w:rPr>
        <w:t>Concretely, t</w:t>
      </w:r>
      <w:r w:rsidR="00A64B97" w:rsidRPr="005842F1">
        <w:rPr>
          <w:color w:val="000000"/>
          <w:szCs w:val="24"/>
          <w:lang w:val="en-NZ"/>
        </w:rPr>
        <w:t xml:space="preserve">he (per unit) growth rates include the variables </w:t>
      </w:r>
      <w:r w:rsidR="00A64B97" w:rsidRPr="005842F1">
        <w:rPr>
          <w:i/>
          <w:iCs/>
          <w:color w:val="000000"/>
          <w:szCs w:val="24"/>
          <w:lang w:val="en-NZ"/>
        </w:rPr>
        <w:t>M</w:t>
      </w:r>
      <w:r w:rsidR="00A64B97" w:rsidRPr="005842F1">
        <w:rPr>
          <w:color w:val="000000"/>
          <w:szCs w:val="24"/>
          <w:lang w:val="en-NZ"/>
        </w:rPr>
        <w:t xml:space="preserve"> and </w:t>
      </w:r>
      <w:r w:rsidR="00A64B97" w:rsidRPr="005842F1">
        <w:rPr>
          <w:i/>
          <w:iCs/>
          <w:color w:val="000000"/>
          <w:szCs w:val="24"/>
          <w:lang w:val="en-NZ"/>
        </w:rPr>
        <w:t>A</w:t>
      </w:r>
      <w:r w:rsidR="007C7726">
        <w:rPr>
          <w:color w:val="000000"/>
          <w:szCs w:val="24"/>
          <w:lang w:val="en-NZ"/>
        </w:rPr>
        <w:t xml:space="preserve"> (the RHS of equation (</w:t>
      </w:r>
      <w:r w:rsidR="005842F1">
        <w:rPr>
          <w:color w:val="000000"/>
          <w:szCs w:val="24"/>
          <w:lang w:val="en-NZ"/>
        </w:rPr>
        <w:t>i</w:t>
      </w:r>
      <w:r w:rsidR="007C7726">
        <w:rPr>
          <w:color w:val="000000"/>
          <w:szCs w:val="24"/>
          <w:lang w:val="en-NZ"/>
        </w:rPr>
        <w:t>x</w:t>
      </w:r>
      <w:r w:rsidR="005842F1">
        <w:rPr>
          <w:color w:val="000000"/>
          <w:szCs w:val="24"/>
          <w:lang w:val="en-NZ"/>
        </w:rPr>
        <w:t xml:space="preserve">)). </w:t>
      </w:r>
      <w:r w:rsidR="005842F1" w:rsidRPr="005842F1">
        <w:rPr>
          <w:color w:val="000000"/>
          <w:szCs w:val="24"/>
          <w:lang w:val="en-NZ"/>
        </w:rPr>
        <w:t>This allo</w:t>
      </w:r>
      <w:r w:rsidR="005842F1">
        <w:rPr>
          <w:color w:val="000000"/>
          <w:szCs w:val="24"/>
          <w:lang w:val="en-NZ"/>
        </w:rPr>
        <w:t xml:space="preserve">ws empirical estimation to </w:t>
      </w:r>
      <w:proofErr w:type="gramStart"/>
      <w:r w:rsidR="005842F1">
        <w:rPr>
          <w:color w:val="000000"/>
          <w:szCs w:val="24"/>
          <w:lang w:val="en-NZ"/>
        </w:rPr>
        <w:t>proce</w:t>
      </w:r>
      <w:r w:rsidR="00B92A06">
        <w:rPr>
          <w:color w:val="000000"/>
          <w:szCs w:val="24"/>
          <w:lang w:val="en-NZ"/>
        </w:rPr>
        <w:t>ed</w:t>
      </w:r>
      <w:proofErr w:type="gramEnd"/>
      <w:r w:rsidR="005842F1" w:rsidRPr="005842F1">
        <w:rPr>
          <w:color w:val="000000"/>
          <w:szCs w:val="24"/>
          <w:lang w:val="en-NZ"/>
        </w:rPr>
        <w:t xml:space="preserve"> w</w:t>
      </w:r>
      <w:r w:rsidR="005842F1">
        <w:rPr>
          <w:color w:val="000000"/>
          <w:szCs w:val="24"/>
          <w:lang w:val="en-NZ"/>
        </w:rPr>
        <w:t>ith minimal data requirements, as will be explained in the next section.</w:t>
      </w:r>
      <w:r w:rsidR="00B92A06">
        <w:rPr>
          <w:color w:val="000000"/>
          <w:szCs w:val="24"/>
          <w:lang w:val="en-NZ"/>
        </w:rPr>
        <w:t xml:space="preserve">  </w:t>
      </w:r>
    </w:p>
    <w:p w:rsidR="00E14A56" w:rsidRDefault="00E14A56">
      <w:pPr>
        <w:tabs>
          <w:tab w:val="left" w:pos="-2268"/>
          <w:tab w:val="left" w:pos="426"/>
          <w:tab w:val="left" w:pos="1134"/>
          <w:tab w:val="left" w:pos="9781"/>
        </w:tabs>
        <w:spacing w:after="0"/>
        <w:ind w:right="82"/>
        <w:jc w:val="both"/>
        <w:rPr>
          <w:b/>
          <w:sz w:val="20"/>
        </w:rPr>
      </w:pPr>
    </w:p>
    <w:p w:rsidR="00E14A56" w:rsidRDefault="00E14A56">
      <w:pPr>
        <w:tabs>
          <w:tab w:val="left" w:pos="-2268"/>
          <w:tab w:val="left" w:pos="426"/>
          <w:tab w:val="left" w:pos="1134"/>
          <w:tab w:val="left" w:pos="9781"/>
        </w:tabs>
        <w:spacing w:after="0"/>
        <w:ind w:right="82"/>
        <w:jc w:val="both"/>
        <w:rPr>
          <w:b/>
          <w:sz w:val="20"/>
        </w:rPr>
      </w:pPr>
    </w:p>
    <w:p w:rsidR="00E14A56" w:rsidRDefault="00C67935">
      <w:pPr>
        <w:tabs>
          <w:tab w:val="left" w:pos="-2268"/>
          <w:tab w:val="left" w:pos="426"/>
          <w:tab w:val="left" w:pos="1134"/>
          <w:tab w:val="left" w:pos="9781"/>
        </w:tabs>
        <w:spacing w:after="0"/>
        <w:ind w:right="82"/>
        <w:jc w:val="both"/>
        <w:rPr>
          <w:b/>
        </w:rPr>
      </w:pPr>
      <w:r>
        <w:rPr>
          <w:b/>
        </w:rPr>
        <w:t xml:space="preserve">3. </w:t>
      </w:r>
      <w:r w:rsidR="00D1681D" w:rsidRPr="008837EE">
        <w:rPr>
          <w:b/>
        </w:rPr>
        <w:t>An Illustration</w:t>
      </w:r>
    </w:p>
    <w:p w:rsidR="00E14A56" w:rsidRDefault="00E14A56">
      <w:pPr>
        <w:tabs>
          <w:tab w:val="left" w:pos="-2268"/>
          <w:tab w:val="left" w:pos="426"/>
          <w:tab w:val="left" w:pos="1134"/>
          <w:tab w:val="left" w:pos="9781"/>
        </w:tabs>
        <w:spacing w:after="0"/>
        <w:ind w:right="82"/>
        <w:jc w:val="both"/>
        <w:rPr>
          <w:b/>
          <w:sz w:val="12"/>
          <w:szCs w:val="12"/>
        </w:rPr>
      </w:pPr>
    </w:p>
    <w:p w:rsidR="003B052A" w:rsidRDefault="00B0196E" w:rsidP="003C4644">
      <w:pPr>
        <w:overflowPunct/>
        <w:spacing w:after="0"/>
        <w:ind w:right="82"/>
        <w:jc w:val="both"/>
        <w:textAlignment w:val="auto"/>
      </w:pPr>
      <w:r>
        <w:t>Our theore</w:t>
      </w:r>
      <w:r w:rsidR="00D73650">
        <w:t>tical derivation of a</w:t>
      </w:r>
      <w:r>
        <w:t xml:space="preserve"> growth rate lends itself to empirical analysis with parsimonious data requirements. We demonstrate how a time series solely comprising agricultural and manufacturing value added, for example, can yield insights into the </w:t>
      </w:r>
      <w:r w:rsidR="00BE72AE">
        <w:t>impacts of institutional</w:t>
      </w:r>
      <w:r>
        <w:t xml:space="preserve"> factors, market competition for resources, and intersectoral linkages in explaining the growth rates of the two sectors. </w:t>
      </w:r>
    </w:p>
    <w:p w:rsidR="00D76932" w:rsidRDefault="00D76932" w:rsidP="003C4644">
      <w:pPr>
        <w:overflowPunct/>
        <w:spacing w:after="0"/>
        <w:ind w:right="82"/>
        <w:jc w:val="both"/>
        <w:textAlignment w:val="auto"/>
      </w:pPr>
    </w:p>
    <w:p w:rsidR="00E14A56" w:rsidRDefault="003B052A">
      <w:pPr>
        <w:overflowPunct/>
        <w:spacing w:after="0"/>
        <w:ind w:right="82"/>
        <w:jc w:val="both"/>
        <w:textAlignment w:val="auto"/>
      </w:pPr>
      <w:r>
        <w:t xml:space="preserve">     </w:t>
      </w:r>
      <w:r w:rsidR="00D1681D">
        <w:t>We illustrate our model with a case study</w:t>
      </w:r>
      <w:r w:rsidR="004B6633">
        <w:t xml:space="preserve"> of China. T</w:t>
      </w:r>
      <w:r w:rsidR="00D1681D">
        <w:t>he Chinese reforms in</w:t>
      </w:r>
      <w:r w:rsidR="004B6633">
        <w:t xml:space="preserve"> agriculture and industry offer a </w:t>
      </w:r>
      <w:r w:rsidR="0029675F">
        <w:t xml:space="preserve">potentially </w:t>
      </w:r>
      <w:r w:rsidR="004C0659">
        <w:t>rich dataset that reflect</w:t>
      </w:r>
      <w:r w:rsidR="004B6633">
        <w:t>s the impacts of institutional change</w:t>
      </w:r>
      <w:r w:rsidR="00534AD2">
        <w:t xml:space="preserve"> </w:t>
      </w:r>
      <w:r w:rsidR="008F6EAD">
        <w:t xml:space="preserve">and autocratic policy-making </w:t>
      </w:r>
      <w:r w:rsidR="00534AD2">
        <w:t>(</w:t>
      </w:r>
      <w:proofErr w:type="spellStart"/>
      <w:r w:rsidR="00534AD2">
        <w:t>eg</w:t>
      </w:r>
      <w:proofErr w:type="spellEnd"/>
      <w:r w:rsidR="00534AD2" w:rsidRPr="000A3AC3">
        <w:t xml:space="preserve">., Islam and Jin (1994), Woo, </w:t>
      </w:r>
      <w:proofErr w:type="spellStart"/>
      <w:r w:rsidR="00534AD2" w:rsidRPr="000A3AC3">
        <w:t>Hsueh</w:t>
      </w:r>
      <w:proofErr w:type="spellEnd"/>
      <w:r w:rsidR="00534AD2" w:rsidRPr="000A3AC3">
        <w:t xml:space="preserve">, Shi and Zhang (1993), Zweig (1992), </w:t>
      </w:r>
      <w:proofErr w:type="spellStart"/>
      <w:r w:rsidR="00534AD2" w:rsidRPr="000A3AC3">
        <w:t>Sicular</w:t>
      </w:r>
      <w:proofErr w:type="spellEnd"/>
      <w:r w:rsidR="00534AD2" w:rsidRPr="000A3AC3">
        <w:t xml:space="preserve"> (1992), Wu (1992), Findlay </w:t>
      </w:r>
      <w:r w:rsidR="0066012D" w:rsidRPr="000A3AC3">
        <w:t>and Watson (1992), Islam (1991)</w:t>
      </w:r>
      <w:r w:rsidR="00534AD2" w:rsidRPr="000A3AC3">
        <w:t>)</w:t>
      </w:r>
      <w:r w:rsidR="004B6633" w:rsidRPr="000A3AC3">
        <w:t xml:space="preserve">, </w:t>
      </w:r>
      <w:r w:rsidR="004C0659" w:rsidRPr="000A3AC3">
        <w:t>interactions between the agriculture and manufacturing</w:t>
      </w:r>
      <w:r w:rsidR="00534AD2" w:rsidRPr="000A3AC3">
        <w:t xml:space="preserve"> (B. Lin (1995), Findlay, Watson and Wu (1994),</w:t>
      </w:r>
      <w:r w:rsidR="004B6633" w:rsidRPr="000A3AC3">
        <w:t xml:space="preserve"> </w:t>
      </w:r>
      <w:r w:rsidR="00CF01AB" w:rsidRPr="000A3AC3">
        <w:t>and</w:t>
      </w:r>
      <w:r w:rsidR="0029675F" w:rsidRPr="000A3AC3">
        <w:t xml:space="preserve"> intrasectoral</w:t>
      </w:r>
      <w:r w:rsidR="0029675F">
        <w:t xml:space="preserve"> competition for </w:t>
      </w:r>
      <w:r w:rsidR="00CF01AB">
        <w:t>resources</w:t>
      </w:r>
      <w:r w:rsidR="003B5E2C" w:rsidRPr="003B052A">
        <w:rPr>
          <w:color w:val="000000"/>
          <w:szCs w:val="24"/>
        </w:rPr>
        <w:t xml:space="preserve"> (Islam </w:t>
      </w:r>
      <w:r w:rsidR="0083030F">
        <w:rPr>
          <w:color w:val="000000"/>
          <w:szCs w:val="24"/>
        </w:rPr>
        <w:t>and</w:t>
      </w:r>
      <w:r w:rsidR="003B5E2C" w:rsidRPr="003B052A">
        <w:rPr>
          <w:color w:val="000000"/>
          <w:szCs w:val="24"/>
        </w:rPr>
        <w:t xml:space="preserve"> Jin, 1994).</w:t>
      </w:r>
      <w:r w:rsidR="0066012D">
        <w:rPr>
          <w:color w:val="000000"/>
          <w:szCs w:val="24"/>
        </w:rPr>
        <w:t xml:space="preserve"> </w:t>
      </w:r>
      <w:r>
        <w:t xml:space="preserve"> </w:t>
      </w:r>
    </w:p>
    <w:p w:rsidR="00E14A56" w:rsidRDefault="00E14A56">
      <w:pPr>
        <w:overflowPunct/>
        <w:spacing w:after="0"/>
        <w:ind w:right="82"/>
        <w:jc w:val="both"/>
        <w:textAlignment w:val="auto"/>
      </w:pPr>
    </w:p>
    <w:p w:rsidR="00D31765" w:rsidRDefault="00F52E58" w:rsidP="003C4644">
      <w:pPr>
        <w:widowControl w:val="0"/>
        <w:tabs>
          <w:tab w:val="left" w:pos="7346"/>
          <w:tab w:val="left" w:pos="7613"/>
          <w:tab w:val="left" w:pos="8093"/>
        </w:tabs>
        <w:spacing w:after="0" w:line="280" w:lineRule="exact"/>
        <w:ind w:right="82"/>
        <w:jc w:val="both"/>
        <w:rPr>
          <w:color w:val="000000"/>
          <w:szCs w:val="24"/>
        </w:rPr>
      </w:pPr>
      <w:commentRangeStart w:id="8"/>
      <w:r w:rsidRPr="003B052A">
        <w:rPr>
          <w:color w:val="000000"/>
          <w:szCs w:val="24"/>
        </w:rPr>
        <w:t xml:space="preserve">     </w:t>
      </w:r>
      <w:r w:rsidR="002B2EF3">
        <w:rPr>
          <w:color w:val="000000"/>
          <w:szCs w:val="24"/>
        </w:rPr>
        <w:t xml:space="preserve">While the theoretical derivation expressed the size of each sector as the number of identical firms, this is not an appropriate interpretation for empirical testing. The main problem is the lack of reliable and consistent Chinese data on firms, both industrial and agricultural. </w:t>
      </w:r>
      <w:r w:rsidRPr="003B052A">
        <w:rPr>
          <w:color w:val="000000"/>
          <w:szCs w:val="24"/>
        </w:rPr>
        <w:t>A way to reso</w:t>
      </w:r>
      <w:r w:rsidR="00A05821">
        <w:rPr>
          <w:color w:val="000000"/>
          <w:szCs w:val="24"/>
        </w:rPr>
        <w:t xml:space="preserve">lve the problem of </w:t>
      </w:r>
      <w:proofErr w:type="spellStart"/>
      <w:r w:rsidR="00A05821">
        <w:rPr>
          <w:color w:val="000000"/>
          <w:szCs w:val="24"/>
        </w:rPr>
        <w:t>deﬁning</w:t>
      </w:r>
      <w:proofErr w:type="spellEnd"/>
      <w:r w:rsidR="00A05821">
        <w:rPr>
          <w:color w:val="000000"/>
          <w:szCs w:val="24"/>
        </w:rPr>
        <w:t xml:space="preserve"> the ‘size’</w:t>
      </w:r>
      <w:r w:rsidRPr="003B052A">
        <w:rPr>
          <w:color w:val="000000"/>
          <w:szCs w:val="24"/>
        </w:rPr>
        <w:t xml:space="preserve"> of each sector is to take </w:t>
      </w:r>
      <w:r w:rsidRPr="007D4ADF">
        <w:rPr>
          <w:i/>
          <w:color w:val="000000"/>
          <w:szCs w:val="24"/>
        </w:rPr>
        <w:t>M</w:t>
      </w:r>
      <w:r w:rsidRPr="003B052A">
        <w:rPr>
          <w:color w:val="000000"/>
          <w:szCs w:val="24"/>
        </w:rPr>
        <w:t xml:space="preserve"> and</w:t>
      </w:r>
      <w:r w:rsidRPr="007D4ADF">
        <w:rPr>
          <w:i/>
          <w:color w:val="000000"/>
          <w:szCs w:val="24"/>
        </w:rPr>
        <w:t xml:space="preserve"> A</w:t>
      </w:r>
      <w:r w:rsidRPr="003B052A">
        <w:rPr>
          <w:color w:val="000000"/>
          <w:szCs w:val="24"/>
        </w:rPr>
        <w:t xml:space="preserve"> as outputs, value-added, total assets or employment.</w:t>
      </w:r>
      <w:commentRangeEnd w:id="8"/>
      <w:r w:rsidR="003330D2">
        <w:rPr>
          <w:rStyle w:val="CommentReference"/>
        </w:rPr>
        <w:commentReference w:id="8"/>
      </w:r>
      <w:r w:rsidRPr="003B052A">
        <w:rPr>
          <w:color w:val="000000"/>
          <w:szCs w:val="24"/>
        </w:rPr>
        <w:t xml:space="preserve"> Since sector </w:t>
      </w:r>
      <w:proofErr w:type="spellStart"/>
      <w:r w:rsidRPr="003B052A">
        <w:rPr>
          <w:color w:val="000000"/>
          <w:szCs w:val="24"/>
        </w:rPr>
        <w:t>proﬁt</w:t>
      </w:r>
      <w:proofErr w:type="spellEnd"/>
      <w:r w:rsidRPr="003B052A">
        <w:rPr>
          <w:color w:val="000000"/>
          <w:szCs w:val="24"/>
        </w:rPr>
        <w:t xml:space="preserve"> is</w:t>
      </w:r>
      <w:r w:rsidR="00971B95">
        <w:rPr>
          <w:color w:val="000000"/>
          <w:szCs w:val="24"/>
        </w:rPr>
        <w:t xml:space="preserve"> proportional to size, in our regression we choose</w:t>
      </w:r>
      <w:r w:rsidRPr="003B052A">
        <w:rPr>
          <w:color w:val="000000"/>
          <w:szCs w:val="24"/>
        </w:rPr>
        <w:t xml:space="preserve"> </w:t>
      </w:r>
      <w:r w:rsidR="00971B95">
        <w:rPr>
          <w:color w:val="000000"/>
          <w:szCs w:val="24"/>
        </w:rPr>
        <w:t>value-added over</w:t>
      </w:r>
      <w:r w:rsidRPr="003B052A">
        <w:rPr>
          <w:color w:val="000000"/>
          <w:szCs w:val="24"/>
        </w:rPr>
        <w:t xml:space="preserve"> the other measures.</w:t>
      </w:r>
      <w:r w:rsidR="00967901">
        <w:rPr>
          <w:color w:val="000000"/>
          <w:szCs w:val="24"/>
        </w:rPr>
        <w:t xml:space="preserve"> Data are taken from the National Bureau of Statistics (2009).</w:t>
      </w:r>
      <w:r w:rsidR="00392F34">
        <w:rPr>
          <w:color w:val="000000"/>
          <w:szCs w:val="24"/>
        </w:rPr>
        <w:t xml:space="preserve"> The data provided in the Statistical Yearbook of China have been used in landmark studies</w:t>
      </w:r>
      <w:r w:rsidR="000850E8">
        <w:rPr>
          <w:color w:val="000000"/>
          <w:szCs w:val="24"/>
        </w:rPr>
        <w:t xml:space="preserve"> of Chinese economic growth, e.g., Kwan and Chow (1996).</w:t>
      </w:r>
      <w:r w:rsidR="007F7555">
        <w:rPr>
          <w:color w:val="000000"/>
          <w:szCs w:val="24"/>
        </w:rPr>
        <w:t xml:space="preserve"> Examining the data in the Appendix reveals an interesting divergence in growth - real industrial value added increased almost eight-fold over the sample period, while agricultural output </w:t>
      </w:r>
      <w:r w:rsidR="00504CC3">
        <w:rPr>
          <w:color w:val="000000"/>
          <w:szCs w:val="24"/>
        </w:rPr>
        <w:t>only</w:t>
      </w:r>
      <w:r w:rsidR="007F7555">
        <w:rPr>
          <w:color w:val="000000"/>
          <w:szCs w:val="24"/>
        </w:rPr>
        <w:t xml:space="preserve"> doubled.</w:t>
      </w:r>
    </w:p>
    <w:p w:rsidR="00EF3B5B" w:rsidRPr="00A05821" w:rsidRDefault="00EF3B5B" w:rsidP="003C4644">
      <w:pPr>
        <w:widowControl w:val="0"/>
        <w:tabs>
          <w:tab w:val="left" w:pos="7346"/>
          <w:tab w:val="left" w:pos="7613"/>
          <w:tab w:val="left" w:pos="8093"/>
        </w:tabs>
        <w:spacing w:after="0" w:line="280" w:lineRule="exact"/>
        <w:ind w:right="82"/>
        <w:jc w:val="both"/>
        <w:rPr>
          <w:color w:val="000000"/>
          <w:szCs w:val="24"/>
        </w:rPr>
      </w:pPr>
    </w:p>
    <w:p w:rsidR="00F74EA1" w:rsidRDefault="000A3AC3" w:rsidP="003C4644">
      <w:pPr>
        <w:widowControl w:val="0"/>
        <w:tabs>
          <w:tab w:val="left" w:pos="9781"/>
        </w:tabs>
        <w:spacing w:after="0"/>
        <w:ind w:right="82"/>
        <w:jc w:val="both"/>
        <w:rPr>
          <w:rFonts w:asciiTheme="majorBidi" w:hAnsiTheme="majorBidi" w:cstheme="majorBidi"/>
        </w:rPr>
      </w:pPr>
      <w:commentRangeStart w:id="9"/>
      <w:r>
        <w:rPr>
          <w:rFonts w:asciiTheme="majorBidi" w:hAnsiTheme="majorBidi" w:cstheme="majorBidi"/>
        </w:rPr>
        <w:t xml:space="preserve">     </w:t>
      </w:r>
      <w:r w:rsidR="009F28EB">
        <w:rPr>
          <w:rFonts w:asciiTheme="majorBidi" w:hAnsiTheme="majorBidi" w:cstheme="majorBidi"/>
        </w:rPr>
        <w:t>In terms of estimating the relative contributio</w:t>
      </w:r>
      <w:r w:rsidR="00F74EA1">
        <w:rPr>
          <w:rFonts w:asciiTheme="majorBidi" w:hAnsiTheme="majorBidi" w:cstheme="majorBidi"/>
        </w:rPr>
        <w:t xml:space="preserve">ns of institutions and agricultural </w:t>
      </w:r>
      <w:r w:rsidR="00D60B1B">
        <w:rPr>
          <w:rFonts w:asciiTheme="majorBidi" w:hAnsiTheme="majorBidi" w:cstheme="majorBidi"/>
        </w:rPr>
        <w:t>competi</w:t>
      </w:r>
      <w:r w:rsidR="002B2EF3">
        <w:rPr>
          <w:rFonts w:asciiTheme="majorBidi" w:hAnsiTheme="majorBidi" w:cstheme="majorBidi"/>
        </w:rPr>
        <w:t>tion</w:t>
      </w:r>
      <w:r w:rsidR="00F74EA1">
        <w:rPr>
          <w:rFonts w:asciiTheme="majorBidi" w:hAnsiTheme="majorBidi" w:cstheme="majorBidi"/>
        </w:rPr>
        <w:t xml:space="preserve"> to </w:t>
      </w:r>
      <w:proofErr w:type="gramStart"/>
      <w:r w:rsidR="00F74EA1">
        <w:rPr>
          <w:rFonts w:asciiTheme="majorBidi" w:hAnsiTheme="majorBidi" w:cstheme="majorBidi"/>
        </w:rPr>
        <w:t>industry</w:t>
      </w:r>
      <w:r w:rsidR="009F28EB">
        <w:rPr>
          <w:rFonts w:asciiTheme="majorBidi" w:hAnsiTheme="majorBidi" w:cstheme="majorBidi"/>
        </w:rPr>
        <w:t>’s</w:t>
      </w:r>
      <w:proofErr w:type="gramEnd"/>
      <w:r w:rsidR="00F74EA1">
        <w:rPr>
          <w:rFonts w:asciiTheme="majorBidi" w:hAnsiTheme="majorBidi" w:cstheme="majorBidi"/>
        </w:rPr>
        <w:t xml:space="preserve"> per unit</w:t>
      </w:r>
      <w:r w:rsidR="00A05821">
        <w:rPr>
          <w:rFonts w:asciiTheme="majorBidi" w:hAnsiTheme="majorBidi" w:cstheme="majorBidi"/>
        </w:rPr>
        <w:t xml:space="preserve"> </w:t>
      </w:r>
      <w:r w:rsidR="00F74EA1">
        <w:rPr>
          <w:rFonts w:asciiTheme="majorBidi" w:hAnsiTheme="majorBidi" w:cstheme="majorBidi"/>
        </w:rPr>
        <w:t>growth rate</w:t>
      </w:r>
      <w:r w:rsidR="007C7726">
        <w:rPr>
          <w:rFonts w:asciiTheme="majorBidi" w:hAnsiTheme="majorBidi" w:cstheme="majorBidi"/>
        </w:rPr>
        <w:t>, take equation (</w:t>
      </w:r>
      <w:r w:rsidR="00A05821">
        <w:rPr>
          <w:rFonts w:asciiTheme="majorBidi" w:hAnsiTheme="majorBidi" w:cstheme="majorBidi"/>
        </w:rPr>
        <w:t>i</w:t>
      </w:r>
      <w:r w:rsidR="007C7726">
        <w:rPr>
          <w:rFonts w:asciiTheme="majorBidi" w:hAnsiTheme="majorBidi" w:cstheme="majorBidi"/>
        </w:rPr>
        <w:t>x</w:t>
      </w:r>
      <w:r w:rsidR="009F28EB">
        <w:rPr>
          <w:rFonts w:asciiTheme="majorBidi" w:hAnsiTheme="majorBidi" w:cstheme="majorBidi"/>
        </w:rPr>
        <w:t xml:space="preserve">) as an example. </w:t>
      </w:r>
      <w:commentRangeEnd w:id="9"/>
      <w:r w:rsidR="009808A1">
        <w:rPr>
          <w:rStyle w:val="CommentReference"/>
        </w:rPr>
        <w:commentReference w:id="9"/>
      </w:r>
      <w:r w:rsidR="00BD2B0A">
        <w:rPr>
          <w:rFonts w:asciiTheme="majorBidi" w:hAnsiTheme="majorBidi" w:cstheme="majorBidi"/>
        </w:rPr>
        <w:t>The left hand side i</w:t>
      </w:r>
      <w:r w:rsidR="009F28EB" w:rsidRPr="009F28EB">
        <w:rPr>
          <w:rFonts w:asciiTheme="majorBidi" w:hAnsiTheme="majorBidi" w:cstheme="majorBidi"/>
        </w:rPr>
        <w:t xml:space="preserve">s the annual fractional change </w:t>
      </w:r>
      <w:r w:rsidR="00A05821">
        <w:rPr>
          <w:rFonts w:asciiTheme="majorBidi" w:hAnsiTheme="majorBidi" w:cstheme="majorBidi"/>
        </w:rPr>
        <w:t>in real manufacturing</w:t>
      </w:r>
      <w:r w:rsidR="009F28EB" w:rsidRPr="009F28EB">
        <w:rPr>
          <w:rFonts w:asciiTheme="majorBidi" w:hAnsiTheme="majorBidi" w:cstheme="majorBidi"/>
        </w:rPr>
        <w:t xml:space="preserve"> output. Regressing this on </w:t>
      </w:r>
      <w:r w:rsidR="00A05821">
        <w:rPr>
          <w:rFonts w:asciiTheme="majorBidi" w:hAnsiTheme="majorBidi" w:cstheme="majorBidi"/>
          <w:i/>
          <w:iCs/>
        </w:rPr>
        <w:t>M</w:t>
      </w:r>
      <w:r w:rsidR="009F28EB" w:rsidRPr="009F28EB">
        <w:rPr>
          <w:rFonts w:asciiTheme="majorBidi" w:hAnsiTheme="majorBidi" w:cstheme="majorBidi"/>
          <w:i/>
          <w:iCs/>
        </w:rPr>
        <w:t xml:space="preserve"> </w:t>
      </w:r>
      <w:r w:rsidR="009F28EB" w:rsidRPr="009F28EB">
        <w:rPr>
          <w:rFonts w:asciiTheme="majorBidi" w:hAnsiTheme="majorBidi" w:cstheme="majorBidi"/>
        </w:rPr>
        <w:t xml:space="preserve">and </w:t>
      </w:r>
      <w:r w:rsidR="00A05821">
        <w:rPr>
          <w:rFonts w:asciiTheme="majorBidi" w:hAnsiTheme="majorBidi" w:cstheme="majorBidi"/>
          <w:i/>
          <w:iCs/>
        </w:rPr>
        <w:t>A</w:t>
      </w:r>
      <w:r w:rsidR="009F28EB" w:rsidRPr="00BD2B0A">
        <w:rPr>
          <w:rFonts w:asciiTheme="majorBidi" w:hAnsiTheme="majorBidi" w:cstheme="majorBidi"/>
          <w:i/>
          <w:iCs/>
        </w:rPr>
        <w:t>,</w:t>
      </w:r>
      <w:r w:rsidR="009F28EB" w:rsidRPr="009F28EB">
        <w:rPr>
          <w:rFonts w:asciiTheme="majorBidi" w:hAnsiTheme="majorBidi" w:cstheme="majorBidi"/>
        </w:rPr>
        <w:t xml:space="preserve"> the </w:t>
      </w:r>
      <w:proofErr w:type="spellStart"/>
      <w:r w:rsidR="009F28EB" w:rsidRPr="009F28EB">
        <w:rPr>
          <w:rFonts w:asciiTheme="majorBidi" w:hAnsiTheme="majorBidi" w:cstheme="majorBidi"/>
        </w:rPr>
        <w:t>coe</w:t>
      </w:r>
      <w:r w:rsidR="009F28EB" w:rsidRPr="009F28EB">
        <w:rPr>
          <w:rFonts w:ascii="Palatino Linotype" w:hAnsi="Palatino Linotype" w:cstheme="majorBidi"/>
        </w:rPr>
        <w:t>ﬃ</w:t>
      </w:r>
      <w:r w:rsidR="00BD2B0A">
        <w:rPr>
          <w:rFonts w:asciiTheme="majorBidi" w:hAnsiTheme="majorBidi" w:cstheme="majorBidi"/>
        </w:rPr>
        <w:t>cients</w:t>
      </w:r>
      <w:proofErr w:type="spellEnd"/>
      <w:r w:rsidR="00BD2B0A">
        <w:rPr>
          <w:rFonts w:asciiTheme="majorBidi" w:hAnsiTheme="majorBidi" w:cstheme="majorBidi"/>
        </w:rPr>
        <w:t xml:space="preserve"> will be </w:t>
      </w:r>
      <w:proofErr w:type="spellStart"/>
      <w:r w:rsidR="00864A5B" w:rsidRPr="00864A5B">
        <w:rPr>
          <w:rFonts w:asciiTheme="majorBidi" w:hAnsiTheme="majorBidi" w:cstheme="majorBidi"/>
          <w:i/>
          <w:iCs/>
        </w:rPr>
        <w:t>r</w:t>
      </w:r>
      <w:r w:rsidR="00A05821">
        <w:rPr>
          <w:rFonts w:asciiTheme="majorBidi" w:hAnsiTheme="majorBidi" w:cstheme="majorBidi"/>
          <w:i/>
          <w:iCs/>
          <w:vertAlign w:val="subscript"/>
        </w:rPr>
        <w:t>M</w:t>
      </w:r>
      <w:proofErr w:type="spellEnd"/>
      <w:r w:rsidR="00864A5B">
        <w:rPr>
          <w:rFonts w:asciiTheme="majorBidi" w:hAnsiTheme="majorBidi" w:cstheme="majorBidi"/>
        </w:rPr>
        <w:t>/</w:t>
      </w:r>
      <w:r w:rsidR="00864A5B" w:rsidRPr="00864A5B">
        <w:rPr>
          <w:rFonts w:asciiTheme="majorBidi" w:hAnsiTheme="majorBidi" w:cstheme="majorBidi"/>
          <w:i/>
          <w:iCs/>
        </w:rPr>
        <w:t>K</w:t>
      </w:r>
      <w:r w:rsidR="00A05821">
        <w:rPr>
          <w:rFonts w:asciiTheme="majorBidi" w:hAnsiTheme="majorBidi" w:cstheme="majorBidi"/>
          <w:i/>
          <w:iCs/>
          <w:vertAlign w:val="subscript"/>
        </w:rPr>
        <w:t>M</w:t>
      </w:r>
      <w:r w:rsidR="00864A5B">
        <w:rPr>
          <w:rFonts w:asciiTheme="majorBidi" w:hAnsiTheme="majorBidi" w:cstheme="majorBidi"/>
        </w:rPr>
        <w:t xml:space="preserve"> (</w:t>
      </w:r>
      <w:r w:rsidR="00BE1332">
        <w:rPr>
          <w:rFonts w:asciiTheme="majorBidi" w:hAnsiTheme="majorBidi" w:cstheme="majorBidi"/>
        </w:rPr>
        <w:t>rela</w:t>
      </w:r>
      <w:r w:rsidR="00CE10B3">
        <w:rPr>
          <w:rFonts w:asciiTheme="majorBidi" w:hAnsiTheme="majorBidi" w:cstheme="majorBidi"/>
        </w:rPr>
        <w:t>ting</w:t>
      </w:r>
      <w:r w:rsidR="00BE1332">
        <w:rPr>
          <w:rFonts w:asciiTheme="majorBidi" w:hAnsiTheme="majorBidi" w:cstheme="majorBidi"/>
        </w:rPr>
        <w:t xml:space="preserve"> to</w:t>
      </w:r>
      <w:r w:rsidR="00CE10B3">
        <w:rPr>
          <w:rFonts w:asciiTheme="majorBidi" w:hAnsiTheme="majorBidi" w:cstheme="majorBidi"/>
        </w:rPr>
        <w:t xml:space="preserve"> intrasectoral competition for labor)</w:t>
      </w:r>
      <w:r w:rsidR="00BD2B0A">
        <w:rPr>
          <w:rFonts w:asciiTheme="majorBidi" w:hAnsiTheme="majorBidi" w:cstheme="majorBidi"/>
        </w:rPr>
        <w:t xml:space="preserve"> and </w:t>
      </w:r>
      <m:oMath>
        <m:r>
          <w:rPr>
            <w:rFonts w:ascii="Cambria Math" w:hAnsi="Cambria Math" w:cstheme="majorBidi"/>
          </w:rPr>
          <m:t>δ</m:t>
        </m:r>
      </m:oMath>
      <w:r w:rsidR="00BD2B0A">
        <w:rPr>
          <w:rFonts w:asciiTheme="majorBidi" w:hAnsiTheme="majorBidi" w:cstheme="majorBidi"/>
        </w:rPr>
        <w:t xml:space="preserve"> </w:t>
      </w:r>
      <w:r w:rsidR="00BD2B0A">
        <w:rPr>
          <w:rFonts w:asciiTheme="majorBidi" w:hAnsiTheme="majorBidi" w:cstheme="majorBidi"/>
        </w:rPr>
        <w:lastRenderedPageBreak/>
        <w:t>(</w:t>
      </w:r>
      <w:r w:rsidR="00BE1332">
        <w:rPr>
          <w:rFonts w:asciiTheme="majorBidi" w:hAnsiTheme="majorBidi" w:cstheme="majorBidi"/>
        </w:rPr>
        <w:t>rela</w:t>
      </w:r>
      <w:r w:rsidR="00CE10B3">
        <w:rPr>
          <w:rFonts w:asciiTheme="majorBidi" w:hAnsiTheme="majorBidi" w:cstheme="majorBidi"/>
        </w:rPr>
        <w:t xml:space="preserve">ting </w:t>
      </w:r>
      <w:r w:rsidR="00BE1332">
        <w:rPr>
          <w:rFonts w:asciiTheme="majorBidi" w:hAnsiTheme="majorBidi" w:cstheme="majorBidi"/>
        </w:rPr>
        <w:t xml:space="preserve">to </w:t>
      </w:r>
      <w:r w:rsidR="00BD2B0A">
        <w:rPr>
          <w:rFonts w:asciiTheme="majorBidi" w:hAnsiTheme="majorBidi" w:cstheme="majorBidi"/>
        </w:rPr>
        <w:t>the inter</w:t>
      </w:r>
      <w:r w:rsidR="00F74EA1">
        <w:rPr>
          <w:rFonts w:asciiTheme="majorBidi" w:hAnsiTheme="majorBidi" w:cstheme="majorBidi"/>
        </w:rPr>
        <w:t>sectoral impact between agriculture and industry</w:t>
      </w:r>
      <w:r w:rsidR="00BD2B0A">
        <w:rPr>
          <w:rFonts w:asciiTheme="majorBidi" w:hAnsiTheme="majorBidi" w:cstheme="majorBidi"/>
        </w:rPr>
        <w:t>), respectively</w:t>
      </w:r>
      <w:r w:rsidR="00F74EA1">
        <w:rPr>
          <w:rFonts w:asciiTheme="majorBidi" w:hAnsiTheme="majorBidi" w:cstheme="majorBidi"/>
        </w:rPr>
        <w:t>, with the constant</w:t>
      </w:r>
      <w:r w:rsidR="009F28EB" w:rsidRPr="009F28EB">
        <w:rPr>
          <w:rFonts w:asciiTheme="majorBidi" w:hAnsiTheme="majorBidi" w:cstheme="majorBidi"/>
        </w:rPr>
        <w:t xml:space="preserve"> equivalent to the intrinsic rate of growth</w:t>
      </w:r>
      <w:r w:rsidR="00916DBB" w:rsidRPr="00A0324E">
        <w:rPr>
          <w:szCs w:val="24"/>
        </w:rPr>
        <w:t xml:space="preserve">, </w:t>
      </w:r>
      <w:proofErr w:type="spellStart"/>
      <w:r w:rsidR="00916DBB" w:rsidRPr="00A0324E">
        <w:rPr>
          <w:i/>
          <w:szCs w:val="24"/>
        </w:rPr>
        <w:t>r</w:t>
      </w:r>
      <w:r w:rsidR="00916DBB" w:rsidRPr="00A0324E">
        <w:rPr>
          <w:i/>
          <w:szCs w:val="24"/>
          <w:vertAlign w:val="subscript"/>
        </w:rPr>
        <w:t>M</w:t>
      </w:r>
      <w:proofErr w:type="spellEnd"/>
      <w:r w:rsidR="00916DBB" w:rsidRPr="00A0324E">
        <w:rPr>
          <w:szCs w:val="24"/>
        </w:rPr>
        <w:t>,</w:t>
      </w:r>
      <w:r w:rsidR="00916DBB">
        <w:rPr>
          <w:rFonts w:asciiTheme="majorBidi" w:hAnsiTheme="majorBidi" w:cstheme="majorBidi"/>
        </w:rPr>
        <w:t xml:space="preserve"> </w:t>
      </w:r>
      <w:r w:rsidR="00CE10B3">
        <w:rPr>
          <w:rFonts w:asciiTheme="majorBidi" w:hAnsiTheme="majorBidi" w:cstheme="majorBidi"/>
        </w:rPr>
        <w:t>relating to</w:t>
      </w:r>
      <w:r w:rsidR="00F74EA1">
        <w:rPr>
          <w:rFonts w:asciiTheme="majorBidi" w:hAnsiTheme="majorBidi" w:cstheme="majorBidi"/>
        </w:rPr>
        <w:t xml:space="preserve"> non-labor-related institutions and policies</w:t>
      </w:r>
      <w:r w:rsidR="009F28EB" w:rsidRPr="009F28EB">
        <w:rPr>
          <w:rFonts w:asciiTheme="majorBidi" w:hAnsiTheme="majorBidi" w:cstheme="majorBidi"/>
        </w:rPr>
        <w:t xml:space="preserve">. </w:t>
      </w:r>
    </w:p>
    <w:p w:rsidR="002265EC" w:rsidRDefault="002265EC" w:rsidP="003C4644">
      <w:pPr>
        <w:widowControl w:val="0"/>
        <w:tabs>
          <w:tab w:val="left" w:pos="9781"/>
        </w:tabs>
        <w:spacing w:after="0"/>
        <w:ind w:right="82"/>
        <w:jc w:val="both"/>
        <w:rPr>
          <w:rFonts w:asciiTheme="majorBidi" w:hAnsiTheme="majorBidi" w:cstheme="majorBidi"/>
        </w:rPr>
      </w:pPr>
    </w:p>
    <w:p w:rsidR="00744261" w:rsidRDefault="00F74EA1" w:rsidP="003C4644">
      <w:pPr>
        <w:widowControl w:val="0"/>
        <w:tabs>
          <w:tab w:val="left" w:pos="9781"/>
        </w:tabs>
        <w:spacing w:after="0"/>
        <w:ind w:right="82"/>
        <w:jc w:val="both"/>
        <w:rPr>
          <w:rFonts w:asciiTheme="majorBidi" w:hAnsiTheme="majorBidi" w:cstheme="majorBidi"/>
        </w:rPr>
      </w:pPr>
      <w:r>
        <w:rPr>
          <w:rFonts w:asciiTheme="majorBidi" w:hAnsiTheme="majorBidi" w:cstheme="majorBidi"/>
        </w:rPr>
        <w:t xml:space="preserve">     The c</w:t>
      </w:r>
      <w:r w:rsidR="0048318D">
        <w:rPr>
          <w:rFonts w:asciiTheme="majorBidi" w:hAnsiTheme="majorBidi" w:cstheme="majorBidi"/>
        </w:rPr>
        <w:t>onst</w:t>
      </w:r>
      <w:r>
        <w:rPr>
          <w:rFonts w:asciiTheme="majorBidi" w:hAnsiTheme="majorBidi" w:cstheme="majorBidi"/>
        </w:rPr>
        <w:t>ant in the regression</w:t>
      </w:r>
      <w:r w:rsidR="0048318D">
        <w:rPr>
          <w:rFonts w:asciiTheme="majorBidi" w:hAnsiTheme="majorBidi" w:cstheme="majorBidi"/>
        </w:rPr>
        <w:t xml:space="preserve"> could be a ‘black box’, but the key to thinking about it is to consider the causes of growth volatility, not the level of output. Output levels could depend on many t</w:t>
      </w:r>
      <w:r>
        <w:rPr>
          <w:rFonts w:asciiTheme="majorBidi" w:hAnsiTheme="majorBidi" w:cstheme="majorBidi"/>
        </w:rPr>
        <w:t>hings, including institutions, capital</w:t>
      </w:r>
      <w:r w:rsidR="0048318D">
        <w:rPr>
          <w:rFonts w:asciiTheme="majorBidi" w:hAnsiTheme="majorBidi" w:cstheme="majorBidi"/>
        </w:rPr>
        <w:t>, tech</w:t>
      </w:r>
      <w:r>
        <w:rPr>
          <w:rFonts w:asciiTheme="majorBidi" w:hAnsiTheme="majorBidi" w:cstheme="majorBidi"/>
        </w:rPr>
        <w:t>nology</w:t>
      </w:r>
      <w:r w:rsidR="0048318D">
        <w:rPr>
          <w:rFonts w:asciiTheme="majorBidi" w:hAnsiTheme="majorBidi" w:cstheme="majorBidi"/>
        </w:rPr>
        <w:t>, scale, ex</w:t>
      </w:r>
      <w:r>
        <w:rPr>
          <w:rFonts w:asciiTheme="majorBidi" w:hAnsiTheme="majorBidi" w:cstheme="majorBidi"/>
        </w:rPr>
        <w:t>ternalities, labor supply, and so on.</w:t>
      </w:r>
      <w:r w:rsidR="0048318D">
        <w:rPr>
          <w:rFonts w:asciiTheme="majorBidi" w:hAnsiTheme="majorBidi" w:cstheme="majorBidi"/>
        </w:rPr>
        <w:t xml:space="preserve"> But we are examining only a subset of these – those that</w:t>
      </w:r>
      <w:r>
        <w:rPr>
          <w:rFonts w:asciiTheme="majorBidi" w:hAnsiTheme="majorBidi" w:cstheme="majorBidi"/>
        </w:rPr>
        <w:t xml:space="preserve"> vary enough to</w:t>
      </w:r>
      <w:r w:rsidR="0048318D">
        <w:rPr>
          <w:rFonts w:asciiTheme="majorBidi" w:hAnsiTheme="majorBidi" w:cstheme="majorBidi"/>
        </w:rPr>
        <w:t xml:space="preserve"> shock growth</w:t>
      </w:r>
      <w:r>
        <w:rPr>
          <w:rFonts w:asciiTheme="majorBidi" w:hAnsiTheme="majorBidi" w:cstheme="majorBidi"/>
        </w:rPr>
        <w:t xml:space="preserve"> rates</w:t>
      </w:r>
      <w:r w:rsidR="0048318D">
        <w:rPr>
          <w:rFonts w:asciiTheme="majorBidi" w:hAnsiTheme="majorBidi" w:cstheme="majorBidi"/>
        </w:rPr>
        <w:t xml:space="preserve"> on a year-to-year bas</w:t>
      </w:r>
      <w:r>
        <w:rPr>
          <w:rFonts w:asciiTheme="majorBidi" w:hAnsiTheme="majorBidi" w:cstheme="majorBidi"/>
        </w:rPr>
        <w:t xml:space="preserve">is. </w:t>
      </w:r>
      <w:proofErr w:type="gramStart"/>
      <w:r>
        <w:rPr>
          <w:rFonts w:asciiTheme="majorBidi" w:hAnsiTheme="majorBidi" w:cstheme="majorBidi"/>
        </w:rPr>
        <w:t>This rules</w:t>
      </w:r>
      <w:proofErr w:type="gramEnd"/>
      <w:r>
        <w:rPr>
          <w:rFonts w:asciiTheme="majorBidi" w:hAnsiTheme="majorBidi" w:cstheme="majorBidi"/>
        </w:rPr>
        <w:t xml:space="preserve"> out technology, capital</w:t>
      </w:r>
      <w:r w:rsidR="0048318D">
        <w:rPr>
          <w:rFonts w:asciiTheme="majorBidi" w:hAnsiTheme="majorBidi" w:cstheme="majorBidi"/>
        </w:rPr>
        <w:t xml:space="preserve"> (as discussed earlier), scale, </w:t>
      </w:r>
      <w:r>
        <w:rPr>
          <w:rFonts w:asciiTheme="majorBidi" w:hAnsiTheme="majorBidi" w:cstheme="majorBidi"/>
        </w:rPr>
        <w:t xml:space="preserve">and </w:t>
      </w:r>
      <w:r w:rsidR="0048318D">
        <w:rPr>
          <w:rFonts w:asciiTheme="majorBidi" w:hAnsiTheme="majorBidi" w:cstheme="majorBidi"/>
        </w:rPr>
        <w:t>externalities, leaving on</w:t>
      </w:r>
      <w:r w:rsidR="008C2CB8">
        <w:rPr>
          <w:rFonts w:asciiTheme="majorBidi" w:hAnsiTheme="majorBidi" w:cstheme="majorBidi"/>
        </w:rPr>
        <w:t>l</w:t>
      </w:r>
      <w:r w:rsidR="0048318D">
        <w:rPr>
          <w:rFonts w:asciiTheme="majorBidi" w:hAnsiTheme="majorBidi" w:cstheme="majorBidi"/>
        </w:rPr>
        <w:t>y economi</w:t>
      </w:r>
      <w:r>
        <w:rPr>
          <w:rFonts w:asciiTheme="majorBidi" w:hAnsiTheme="majorBidi" w:cstheme="majorBidi"/>
        </w:rPr>
        <w:t>c and political institutions,</w:t>
      </w:r>
      <w:r w:rsidR="0048318D">
        <w:rPr>
          <w:rFonts w:asciiTheme="majorBidi" w:hAnsiTheme="majorBidi" w:cstheme="majorBidi"/>
        </w:rPr>
        <w:t xml:space="preserve"> the policies that result from them</w:t>
      </w:r>
      <w:commentRangeStart w:id="10"/>
      <w:r w:rsidR="00D02666">
        <w:rPr>
          <w:rFonts w:asciiTheme="majorBidi" w:hAnsiTheme="majorBidi" w:cstheme="majorBidi"/>
        </w:rPr>
        <w:t>.</w:t>
      </w:r>
      <w:commentRangeEnd w:id="10"/>
      <w:r w:rsidR="005B1F37">
        <w:rPr>
          <w:rStyle w:val="CommentReference"/>
        </w:rPr>
        <w:commentReference w:id="10"/>
      </w:r>
    </w:p>
    <w:p w:rsidR="00EF3B5B" w:rsidRPr="005B1F37" w:rsidRDefault="00EF3B5B" w:rsidP="003C4644">
      <w:pPr>
        <w:widowControl w:val="0"/>
        <w:tabs>
          <w:tab w:val="left" w:pos="9781"/>
        </w:tabs>
        <w:spacing w:after="0"/>
        <w:ind w:right="82"/>
        <w:jc w:val="both"/>
        <w:rPr>
          <w:rFonts w:asciiTheme="majorBidi" w:hAnsiTheme="majorBidi" w:cstheme="majorBidi"/>
        </w:rPr>
      </w:pPr>
    </w:p>
    <w:p w:rsidR="00744261" w:rsidRDefault="005B1F37" w:rsidP="003C4644">
      <w:pPr>
        <w:tabs>
          <w:tab w:val="left" w:pos="-2268"/>
          <w:tab w:val="left" w:pos="426"/>
          <w:tab w:val="left" w:pos="1134"/>
          <w:tab w:val="left" w:pos="9781"/>
        </w:tabs>
        <w:spacing w:after="0"/>
        <w:ind w:right="82"/>
        <w:jc w:val="both"/>
        <w:rPr>
          <w:rFonts w:asciiTheme="majorBidi" w:hAnsiTheme="majorBidi" w:cstheme="majorBidi"/>
        </w:rPr>
      </w:pPr>
      <w:r>
        <w:rPr>
          <w:rFonts w:asciiTheme="majorBidi" w:hAnsiTheme="majorBidi" w:cstheme="majorBidi"/>
        </w:rPr>
        <w:t xml:space="preserve">     </w:t>
      </w:r>
      <w:r w:rsidRPr="009F28EB">
        <w:rPr>
          <w:rFonts w:asciiTheme="majorBidi" w:hAnsiTheme="majorBidi" w:cstheme="majorBidi"/>
        </w:rPr>
        <w:t>A clear problem is that the variables</w:t>
      </w:r>
      <w:r>
        <w:rPr>
          <w:rFonts w:asciiTheme="majorBidi" w:hAnsiTheme="majorBidi" w:cstheme="majorBidi"/>
        </w:rPr>
        <w:t xml:space="preserve"> in the formal model</w:t>
      </w:r>
      <w:r w:rsidRPr="009F28EB">
        <w:rPr>
          <w:rFonts w:asciiTheme="majorBidi" w:hAnsiTheme="majorBidi" w:cstheme="majorBidi"/>
        </w:rPr>
        <w:t xml:space="preserve"> are instantaneous quantities, whereas the available data is annual. The growth rates refer to the growth over a given calendar year, and the </w:t>
      </w:r>
      <w:r w:rsidRPr="009C67A7">
        <w:rPr>
          <w:rFonts w:asciiTheme="majorBidi" w:hAnsiTheme="majorBidi" w:cstheme="majorBidi"/>
        </w:rPr>
        <w:t>values added/outputs</w:t>
      </w:r>
      <w:r w:rsidRPr="009F28EB">
        <w:rPr>
          <w:rFonts w:asciiTheme="majorBidi" w:hAnsiTheme="majorBidi" w:cstheme="majorBidi"/>
        </w:rPr>
        <w:t xml:space="preserve"> of the sectors are available at the beginning and end of this interval. It seems logical to take the mean (or some other weighted average) of the terminal points, but all variables in the above regressions turn out</w:t>
      </w:r>
      <w:r w:rsidR="00B855D4">
        <w:rPr>
          <w:rFonts w:asciiTheme="majorBidi" w:hAnsiTheme="majorBidi" w:cstheme="majorBidi"/>
        </w:rPr>
        <w:t xml:space="preserve"> to be</w:t>
      </w:r>
      <w:r w:rsidRPr="009F28EB">
        <w:rPr>
          <w:rFonts w:asciiTheme="majorBidi" w:hAnsiTheme="majorBidi" w:cstheme="majorBidi"/>
        </w:rPr>
        <w:t xml:space="preserve"> </w:t>
      </w:r>
      <w:proofErr w:type="spellStart"/>
      <w:r w:rsidRPr="009F28EB">
        <w:rPr>
          <w:rFonts w:asciiTheme="majorBidi" w:hAnsiTheme="majorBidi" w:cstheme="majorBidi"/>
        </w:rPr>
        <w:t>insigniﬁcant</w:t>
      </w:r>
      <w:proofErr w:type="spellEnd"/>
      <w:r w:rsidRPr="009F28EB">
        <w:rPr>
          <w:rFonts w:asciiTheme="majorBidi" w:hAnsiTheme="majorBidi" w:cstheme="majorBidi"/>
        </w:rPr>
        <w:t xml:space="preserve">. Using the initial points (in fact, the lag of </w:t>
      </w:r>
      <w:r>
        <w:rPr>
          <w:rFonts w:asciiTheme="majorBidi" w:hAnsiTheme="majorBidi" w:cstheme="majorBidi"/>
        </w:rPr>
        <w:t>value added/</w:t>
      </w:r>
      <w:r w:rsidRPr="009F28EB">
        <w:rPr>
          <w:rFonts w:asciiTheme="majorBidi" w:hAnsiTheme="majorBidi" w:cstheme="majorBidi"/>
        </w:rPr>
        <w:t>output, since the corresponding i</w:t>
      </w:r>
      <w:r>
        <w:rPr>
          <w:rFonts w:asciiTheme="majorBidi" w:hAnsiTheme="majorBidi" w:cstheme="majorBidi"/>
        </w:rPr>
        <w:t>nitial output for growth in 1991</w:t>
      </w:r>
      <w:r w:rsidRPr="009F28EB">
        <w:rPr>
          <w:rFonts w:asciiTheme="majorBidi" w:hAnsiTheme="majorBidi" w:cstheme="majorBidi"/>
        </w:rPr>
        <w:t xml:space="preserve"> </w:t>
      </w:r>
      <w:r>
        <w:rPr>
          <w:rFonts w:asciiTheme="majorBidi" w:hAnsiTheme="majorBidi" w:cstheme="majorBidi"/>
        </w:rPr>
        <w:t>is the output at the end of 1990</w:t>
      </w:r>
      <w:r w:rsidRPr="009F28EB">
        <w:rPr>
          <w:rFonts w:asciiTheme="majorBidi" w:hAnsiTheme="majorBidi" w:cstheme="majorBidi"/>
        </w:rPr>
        <w:t>)</w:t>
      </w:r>
      <w:r>
        <w:rPr>
          <w:rFonts w:asciiTheme="majorBidi" w:hAnsiTheme="majorBidi" w:cstheme="majorBidi"/>
        </w:rPr>
        <w:t xml:space="preserve"> yields better results:</w:t>
      </w:r>
    </w:p>
    <w:p w:rsidR="005B1F37" w:rsidRPr="00632735" w:rsidRDefault="005B1F37" w:rsidP="003C4644">
      <w:pPr>
        <w:tabs>
          <w:tab w:val="left" w:pos="-2268"/>
          <w:tab w:val="left" w:pos="426"/>
          <w:tab w:val="left" w:pos="1276"/>
          <w:tab w:val="left" w:pos="9781"/>
        </w:tabs>
        <w:spacing w:before="240" w:after="0"/>
        <w:ind w:right="82"/>
        <w:rPr>
          <w:sz w:val="20"/>
        </w:rPr>
      </w:pPr>
      <w:r>
        <w:rPr>
          <w:rFonts w:asciiTheme="majorBidi" w:eastAsia="Calibri" w:hAnsiTheme="majorBidi" w:cstheme="majorBidi"/>
          <w:szCs w:val="24"/>
          <w:lang w:val="en-NZ"/>
        </w:rPr>
        <w:t>Dependent variable</w:t>
      </w:r>
      <w:proofErr w:type="gramStart"/>
      <w:r>
        <w:rPr>
          <w:rFonts w:asciiTheme="majorBidi" w:eastAsia="Calibri" w:hAnsiTheme="majorBidi" w:cstheme="majorBidi"/>
          <w:szCs w:val="24"/>
          <w:lang w:val="en-NZ"/>
        </w:rPr>
        <w:t xml:space="preserve">, </w:t>
      </w:r>
      <m:oMath>
        <w:proofErr w:type="gramEnd"/>
        <m:f>
          <m:fPr>
            <m:ctrlPr>
              <w:rPr>
                <w:rFonts w:ascii="Cambria Math" w:hAnsi="Cambria Math"/>
                <w:i/>
                <w:sz w:val="28"/>
                <w:szCs w:val="28"/>
              </w:rPr>
            </m:ctrlPr>
          </m:fPr>
          <m:num>
            <m:acc>
              <m:accPr>
                <m:chr m:val="̇"/>
                <m:ctrlPr>
                  <w:rPr>
                    <w:rFonts w:ascii="Cambria Math" w:hAnsi="Cambria Math"/>
                    <w:i/>
                    <w:sz w:val="28"/>
                    <w:szCs w:val="28"/>
                  </w:rPr>
                </m:ctrlPr>
              </m:accPr>
              <m:e>
                <m:r>
                  <w:rPr>
                    <w:rFonts w:ascii="Cambria Math" w:hAnsi="Cambria Math"/>
                    <w:sz w:val="28"/>
                    <w:szCs w:val="28"/>
                  </w:rPr>
                  <m:t>M</m:t>
                </m:r>
              </m:e>
            </m:acc>
          </m:num>
          <m:den>
            <m:r>
              <w:rPr>
                <w:rFonts w:ascii="Cambria Math" w:hAnsi="Cambria Math"/>
                <w:sz w:val="28"/>
                <w:szCs w:val="28"/>
              </w:rPr>
              <m:t>M</m:t>
            </m:r>
          </m:den>
        </m:f>
      </m:oMath>
      <w:r>
        <w:rPr>
          <w:rFonts w:asciiTheme="majorBidi" w:eastAsia="Calibri" w:hAnsiTheme="majorBidi" w:cstheme="majorBidi"/>
          <w:sz w:val="28"/>
          <w:szCs w:val="28"/>
        </w:rPr>
        <w:t xml:space="preserve">, </w:t>
      </w:r>
      <w:r>
        <w:rPr>
          <w:color w:val="000000"/>
          <w:szCs w:val="24"/>
        </w:rPr>
        <w:t>using</w:t>
      </w:r>
      <w:r w:rsidRPr="008251DC">
        <w:rPr>
          <w:color w:val="000000"/>
          <w:szCs w:val="24"/>
        </w:rPr>
        <w:t xml:space="preserve"> total industrial value-added</w:t>
      </w:r>
      <w:r>
        <w:rPr>
          <w:color w:val="000000"/>
          <w:szCs w:val="24"/>
        </w:rPr>
        <w:t>, 1991-2007</w:t>
      </w:r>
      <w:r w:rsidRPr="008251DC">
        <w:rPr>
          <w:color w:val="000000"/>
          <w:szCs w:val="24"/>
        </w:rPr>
        <w:t xml:space="preserve"> </w:t>
      </w:r>
    </w:p>
    <w:p w:rsidR="005B1F37" w:rsidRPr="000A3AC3" w:rsidRDefault="005B1F37" w:rsidP="003C4644">
      <w:pPr>
        <w:tabs>
          <w:tab w:val="left" w:pos="1276"/>
        </w:tabs>
        <w:overflowPunct/>
        <w:spacing w:after="0"/>
        <w:ind w:right="82"/>
        <w:textAlignment w:val="auto"/>
        <w:rPr>
          <w:rFonts w:asciiTheme="majorBidi" w:eastAsia="Calibri" w:hAnsiTheme="majorBidi" w:cstheme="majorBidi"/>
          <w:szCs w:val="24"/>
        </w:rPr>
      </w:pPr>
    </w:p>
    <w:p w:rsidR="005B1F37" w:rsidRPr="006A6D0F" w:rsidRDefault="005B1F37" w:rsidP="003C4644">
      <w:pPr>
        <w:tabs>
          <w:tab w:val="left" w:pos="1276"/>
        </w:tabs>
        <w:overflowPunct/>
        <w:spacing w:after="0"/>
        <w:ind w:right="82"/>
        <w:textAlignment w:val="auto"/>
        <w:rPr>
          <w:rFonts w:asciiTheme="majorBidi" w:eastAsia="Calibri" w:hAnsiTheme="majorBidi" w:cstheme="majorBidi"/>
          <w:szCs w:val="24"/>
          <w:lang w:val="fr-FR"/>
        </w:rPr>
      </w:pPr>
      <w:r w:rsidRPr="006A6D0F">
        <w:rPr>
          <w:rFonts w:asciiTheme="majorBidi" w:eastAsia="Calibri" w:hAnsiTheme="majorBidi" w:cstheme="majorBidi"/>
          <w:szCs w:val="24"/>
          <w:lang w:val="fr-FR"/>
        </w:rPr>
        <w:t>Model: OLS</w:t>
      </w:r>
      <w:r w:rsidR="00B855D4">
        <w:rPr>
          <w:rStyle w:val="FootnoteReference"/>
          <w:rFonts w:asciiTheme="majorBidi" w:eastAsia="Calibri" w:hAnsiTheme="majorBidi" w:cstheme="majorBidi"/>
          <w:szCs w:val="24"/>
          <w:lang w:val="fr-FR"/>
        </w:rPr>
        <w:footnoteReference w:id="6"/>
      </w:r>
    </w:p>
    <w:p w:rsidR="005B1F37" w:rsidRPr="00596208" w:rsidRDefault="004976A0" w:rsidP="003C4644">
      <w:pPr>
        <w:overflowPunct/>
        <w:spacing w:after="0"/>
        <w:ind w:right="82" w:firstLine="720"/>
        <w:textAlignment w:val="auto"/>
        <w:rPr>
          <w:rFonts w:asciiTheme="majorBidi" w:eastAsia="Calibri" w:hAnsiTheme="majorBidi" w:cstheme="majorBidi"/>
          <w:sz w:val="22"/>
          <w:szCs w:val="22"/>
          <w:lang w:val="fr-FR"/>
        </w:rPr>
      </w:pPr>
      <w:r w:rsidRPr="004976A0">
        <w:rPr>
          <w:rFonts w:asciiTheme="majorBidi" w:eastAsia="Calibri" w:hAnsiTheme="majorBidi" w:cstheme="majorBidi"/>
          <w:sz w:val="22"/>
          <w:szCs w:val="22"/>
          <w:lang w:val="fr-FR"/>
        </w:rPr>
        <w:t xml:space="preserve">                                             </w:t>
      </w:r>
      <w:r w:rsidR="00596208">
        <w:rPr>
          <w:rFonts w:asciiTheme="majorBidi" w:eastAsia="Calibri" w:hAnsiTheme="majorBidi" w:cstheme="majorBidi"/>
          <w:sz w:val="22"/>
          <w:szCs w:val="22"/>
          <w:lang w:val="fr-FR"/>
        </w:rPr>
        <w:t>C</w:t>
      </w:r>
      <w:r w:rsidRPr="004976A0">
        <w:rPr>
          <w:rFonts w:asciiTheme="majorBidi" w:eastAsia="Calibri" w:hAnsiTheme="majorBidi" w:cstheme="majorBidi"/>
          <w:sz w:val="22"/>
          <w:szCs w:val="22"/>
          <w:lang w:val="fr-FR"/>
        </w:rPr>
        <w:t xml:space="preserve">oefficient               </w:t>
      </w:r>
      <w:r w:rsidRPr="004976A0">
        <w:rPr>
          <w:rFonts w:asciiTheme="majorBidi" w:eastAsia="Calibri" w:hAnsiTheme="majorBidi" w:cstheme="majorBidi"/>
          <w:i/>
          <w:iCs/>
          <w:sz w:val="22"/>
          <w:szCs w:val="22"/>
          <w:lang w:val="fr-FR"/>
        </w:rPr>
        <w:t>t</w:t>
      </w:r>
      <w:r w:rsidRPr="004976A0">
        <w:rPr>
          <w:rFonts w:asciiTheme="majorBidi" w:eastAsia="Calibri" w:hAnsiTheme="majorBidi" w:cstheme="majorBidi"/>
          <w:sz w:val="22"/>
          <w:szCs w:val="22"/>
          <w:lang w:val="fr-FR"/>
        </w:rPr>
        <w:t xml:space="preserve">-ratio   </w:t>
      </w:r>
    </w:p>
    <w:p w:rsidR="005B1F37" w:rsidRPr="00596208" w:rsidRDefault="004976A0" w:rsidP="003C4644">
      <w:pPr>
        <w:overflowPunct/>
        <w:spacing w:after="0"/>
        <w:ind w:right="82"/>
        <w:textAlignment w:val="auto"/>
        <w:rPr>
          <w:rFonts w:asciiTheme="majorBidi" w:eastAsia="Calibri" w:hAnsiTheme="majorBidi" w:cstheme="majorBidi"/>
          <w:sz w:val="22"/>
          <w:szCs w:val="22"/>
          <w:lang w:val="fr-FR"/>
        </w:rPr>
      </w:pPr>
      <w:r w:rsidRPr="004976A0">
        <w:rPr>
          <w:rFonts w:asciiTheme="majorBidi" w:eastAsia="Calibri" w:hAnsiTheme="majorBidi" w:cstheme="majorBidi"/>
          <w:sz w:val="22"/>
          <w:szCs w:val="22"/>
          <w:lang w:val="fr-FR"/>
        </w:rPr>
        <w:t xml:space="preserve"> </w:t>
      </w:r>
      <w:r w:rsidRPr="004976A0">
        <w:rPr>
          <w:rFonts w:asciiTheme="majorBidi" w:eastAsia="Calibri" w:hAnsiTheme="majorBidi" w:cstheme="majorBidi"/>
          <w:sz w:val="22"/>
          <w:szCs w:val="22"/>
          <w:lang w:val="fr-FR"/>
        </w:rPr>
        <w:tab/>
      </w:r>
      <w:r w:rsidRPr="004976A0">
        <w:rPr>
          <w:rFonts w:asciiTheme="majorBidi" w:eastAsia="Calibri" w:hAnsiTheme="majorBidi" w:cstheme="majorBidi"/>
          <w:sz w:val="22"/>
          <w:szCs w:val="22"/>
          <w:lang w:val="fr-FR"/>
        </w:rPr>
        <w:tab/>
        <w:t xml:space="preserve"> ---------------------------------------------------------------</w:t>
      </w:r>
    </w:p>
    <w:p w:rsidR="005B1F37" w:rsidRPr="00596208" w:rsidRDefault="004976A0" w:rsidP="003C4644">
      <w:pPr>
        <w:overflowPunct/>
        <w:spacing w:after="0"/>
        <w:ind w:right="82"/>
        <w:textAlignment w:val="auto"/>
        <w:rPr>
          <w:rFonts w:asciiTheme="majorBidi" w:eastAsia="Calibri" w:hAnsiTheme="majorBidi" w:cstheme="majorBidi"/>
          <w:sz w:val="22"/>
          <w:szCs w:val="22"/>
          <w:lang w:val="en-NZ"/>
        </w:rPr>
      </w:pPr>
      <w:r w:rsidRPr="004976A0">
        <w:rPr>
          <w:rFonts w:asciiTheme="majorBidi" w:eastAsia="Calibri" w:hAnsiTheme="majorBidi" w:cstheme="majorBidi"/>
          <w:sz w:val="22"/>
          <w:szCs w:val="22"/>
          <w:lang w:val="fr-FR"/>
        </w:rPr>
        <w:t xml:space="preserve"> </w:t>
      </w:r>
      <w:r w:rsidRPr="004976A0">
        <w:rPr>
          <w:rFonts w:asciiTheme="majorBidi" w:eastAsia="Calibri" w:hAnsiTheme="majorBidi" w:cstheme="majorBidi"/>
          <w:sz w:val="22"/>
          <w:szCs w:val="22"/>
          <w:lang w:val="fr-FR"/>
        </w:rPr>
        <w:tab/>
      </w:r>
      <w:r w:rsidRPr="004976A0">
        <w:rPr>
          <w:rFonts w:asciiTheme="majorBidi" w:eastAsia="Calibri" w:hAnsiTheme="majorBidi" w:cstheme="majorBidi"/>
          <w:sz w:val="22"/>
          <w:szCs w:val="22"/>
          <w:lang w:val="fr-FR"/>
        </w:rPr>
        <w:tab/>
      </w:r>
      <w:r w:rsidRPr="004976A0">
        <w:rPr>
          <w:rFonts w:asciiTheme="majorBidi" w:eastAsia="Calibri" w:hAnsiTheme="majorBidi" w:cstheme="majorBidi"/>
          <w:sz w:val="22"/>
          <w:szCs w:val="22"/>
          <w:lang w:val="en-NZ"/>
        </w:rPr>
        <w:t>Const</w:t>
      </w:r>
      <w:r w:rsidRPr="004976A0">
        <w:rPr>
          <w:rFonts w:asciiTheme="majorBidi" w:eastAsia="Calibri" w:hAnsiTheme="majorBidi" w:cstheme="majorBidi"/>
          <w:sz w:val="22"/>
          <w:szCs w:val="22"/>
          <w:lang w:val="en-NZ"/>
        </w:rPr>
        <w:tab/>
      </w:r>
      <w:r w:rsidRPr="004976A0">
        <w:rPr>
          <w:rFonts w:asciiTheme="majorBidi" w:eastAsia="Calibri" w:hAnsiTheme="majorBidi" w:cstheme="majorBidi"/>
          <w:sz w:val="22"/>
          <w:szCs w:val="22"/>
          <w:lang w:val="en-NZ"/>
        </w:rPr>
        <w:tab/>
        <w:t xml:space="preserve">       0.640982            </w:t>
      </w:r>
      <w:r w:rsidR="00A60BBF">
        <w:rPr>
          <w:rFonts w:asciiTheme="majorBidi" w:eastAsia="Calibri" w:hAnsiTheme="majorBidi" w:cstheme="majorBidi"/>
          <w:sz w:val="22"/>
          <w:szCs w:val="22"/>
          <w:lang w:val="en-NZ"/>
        </w:rPr>
        <w:t xml:space="preserve">   </w:t>
      </w:r>
      <w:r w:rsidRPr="004976A0">
        <w:rPr>
          <w:rFonts w:asciiTheme="majorBidi" w:eastAsia="Calibri" w:hAnsiTheme="majorBidi" w:cstheme="majorBidi"/>
          <w:sz w:val="22"/>
          <w:szCs w:val="22"/>
          <w:lang w:val="en-NZ"/>
        </w:rPr>
        <w:t xml:space="preserve"> </w:t>
      </w:r>
      <w:proofErr w:type="gramStart"/>
      <w:r w:rsidRPr="004976A0">
        <w:rPr>
          <w:rFonts w:asciiTheme="majorBidi" w:eastAsia="Calibri" w:hAnsiTheme="majorBidi" w:cstheme="majorBidi"/>
          <w:sz w:val="22"/>
          <w:szCs w:val="22"/>
          <w:lang w:val="en-NZ"/>
        </w:rPr>
        <w:t>6.350  *</w:t>
      </w:r>
      <w:proofErr w:type="gramEnd"/>
      <w:r w:rsidRPr="004976A0">
        <w:rPr>
          <w:rFonts w:asciiTheme="majorBidi" w:eastAsia="Calibri" w:hAnsiTheme="majorBidi" w:cstheme="majorBidi"/>
          <w:sz w:val="22"/>
          <w:szCs w:val="22"/>
          <w:lang w:val="en-NZ"/>
        </w:rPr>
        <w:t>**</w:t>
      </w:r>
    </w:p>
    <w:p w:rsidR="005B1F37" w:rsidRPr="00596208" w:rsidRDefault="004976A0" w:rsidP="003C4644">
      <w:pPr>
        <w:overflowPunct/>
        <w:spacing w:after="0"/>
        <w:ind w:right="82"/>
        <w:textAlignment w:val="auto"/>
        <w:rPr>
          <w:rFonts w:asciiTheme="majorBidi" w:eastAsia="Calibri" w:hAnsiTheme="majorBidi" w:cstheme="majorBidi"/>
          <w:sz w:val="22"/>
          <w:szCs w:val="22"/>
          <w:lang w:val="en-NZ"/>
        </w:rPr>
      </w:pPr>
      <w:r w:rsidRPr="004976A0">
        <w:rPr>
          <w:rFonts w:asciiTheme="majorBidi" w:eastAsia="Calibri" w:hAnsiTheme="majorBidi" w:cstheme="majorBidi"/>
          <w:sz w:val="22"/>
          <w:szCs w:val="22"/>
          <w:lang w:val="en-NZ"/>
        </w:rPr>
        <w:t xml:space="preserve">  </w:t>
      </w:r>
      <w:r w:rsidRPr="004976A0">
        <w:rPr>
          <w:rFonts w:asciiTheme="majorBidi" w:eastAsia="Calibri" w:hAnsiTheme="majorBidi" w:cstheme="majorBidi"/>
          <w:sz w:val="22"/>
          <w:szCs w:val="22"/>
          <w:lang w:val="en-NZ"/>
        </w:rPr>
        <w:tab/>
      </w:r>
      <w:r w:rsidRPr="004976A0">
        <w:rPr>
          <w:rFonts w:asciiTheme="majorBidi" w:eastAsia="Calibri" w:hAnsiTheme="majorBidi" w:cstheme="majorBidi"/>
          <w:sz w:val="22"/>
          <w:szCs w:val="22"/>
          <w:lang w:val="en-NZ"/>
        </w:rPr>
        <w:tab/>
        <w:t xml:space="preserve">A (lagged)             </w:t>
      </w:r>
      <w:r w:rsidR="00A60BBF">
        <w:rPr>
          <w:rFonts w:asciiTheme="majorBidi" w:eastAsia="Calibri" w:hAnsiTheme="majorBidi" w:cstheme="majorBidi"/>
          <w:sz w:val="22"/>
          <w:szCs w:val="22"/>
          <w:lang w:val="en-NZ"/>
        </w:rPr>
        <w:t xml:space="preserve"> </w:t>
      </w:r>
      <w:r w:rsidRPr="004976A0">
        <w:rPr>
          <w:rFonts w:asciiTheme="majorBidi" w:eastAsia="Calibri" w:hAnsiTheme="majorBidi" w:cstheme="majorBidi"/>
          <w:sz w:val="22"/>
          <w:szCs w:val="22"/>
          <w:lang w:val="en-NZ"/>
        </w:rPr>
        <w:t xml:space="preserve"> -0.0002701             -</w:t>
      </w:r>
      <w:proofErr w:type="gramStart"/>
      <w:r w:rsidRPr="004976A0">
        <w:rPr>
          <w:rFonts w:asciiTheme="majorBidi" w:eastAsia="Calibri" w:hAnsiTheme="majorBidi" w:cstheme="majorBidi"/>
          <w:sz w:val="22"/>
          <w:szCs w:val="22"/>
          <w:lang w:val="en-NZ"/>
        </w:rPr>
        <w:t>5.228  *</w:t>
      </w:r>
      <w:proofErr w:type="gramEnd"/>
      <w:r w:rsidRPr="004976A0">
        <w:rPr>
          <w:rFonts w:asciiTheme="majorBidi" w:eastAsia="Calibri" w:hAnsiTheme="majorBidi" w:cstheme="majorBidi"/>
          <w:sz w:val="22"/>
          <w:szCs w:val="22"/>
          <w:lang w:val="en-NZ"/>
        </w:rPr>
        <w:t>**</w:t>
      </w:r>
    </w:p>
    <w:p w:rsidR="005B1F37" w:rsidRPr="00596208" w:rsidRDefault="003C4644" w:rsidP="003C4644">
      <w:pPr>
        <w:overflowPunct/>
        <w:spacing w:after="0"/>
        <w:ind w:right="82" w:firstLine="720"/>
        <w:textAlignment w:val="auto"/>
        <w:rPr>
          <w:rFonts w:asciiTheme="majorBidi" w:eastAsia="Calibri" w:hAnsiTheme="majorBidi" w:cstheme="majorBidi"/>
          <w:sz w:val="22"/>
          <w:szCs w:val="22"/>
          <w:lang w:val="en-NZ"/>
        </w:rPr>
      </w:pPr>
      <w:r>
        <w:rPr>
          <w:rFonts w:asciiTheme="majorBidi" w:eastAsia="Calibri" w:hAnsiTheme="majorBidi" w:cstheme="majorBidi"/>
          <w:sz w:val="22"/>
          <w:szCs w:val="22"/>
          <w:lang w:val="en-NZ"/>
        </w:rPr>
        <w:tab/>
      </w:r>
      <w:r w:rsidR="004976A0" w:rsidRPr="004976A0">
        <w:rPr>
          <w:rFonts w:asciiTheme="majorBidi" w:eastAsia="Calibri" w:hAnsiTheme="majorBidi" w:cstheme="majorBidi"/>
          <w:sz w:val="22"/>
          <w:szCs w:val="22"/>
          <w:lang w:val="en-NZ"/>
        </w:rPr>
        <w:t xml:space="preserve">M (lagged)               0.00001806            </w:t>
      </w:r>
      <w:proofErr w:type="gramStart"/>
      <w:r w:rsidR="004976A0" w:rsidRPr="004976A0">
        <w:rPr>
          <w:rFonts w:asciiTheme="majorBidi" w:eastAsia="Calibri" w:hAnsiTheme="majorBidi" w:cstheme="majorBidi"/>
          <w:sz w:val="22"/>
          <w:szCs w:val="22"/>
          <w:lang w:val="en-NZ"/>
        </w:rPr>
        <w:t>5.196  *</w:t>
      </w:r>
      <w:proofErr w:type="gramEnd"/>
      <w:r w:rsidR="004976A0" w:rsidRPr="004976A0">
        <w:rPr>
          <w:rFonts w:asciiTheme="majorBidi" w:eastAsia="Calibri" w:hAnsiTheme="majorBidi" w:cstheme="majorBidi"/>
          <w:sz w:val="22"/>
          <w:szCs w:val="22"/>
          <w:lang w:val="en-NZ"/>
        </w:rPr>
        <w:t>**</w:t>
      </w:r>
    </w:p>
    <w:p w:rsidR="005B1F37" w:rsidRPr="00596208" w:rsidRDefault="004976A0" w:rsidP="003C4644">
      <w:pPr>
        <w:overflowPunct/>
        <w:spacing w:after="0"/>
        <w:ind w:right="82"/>
        <w:textAlignment w:val="auto"/>
        <w:rPr>
          <w:rFonts w:asciiTheme="majorBidi" w:eastAsia="Calibri" w:hAnsiTheme="majorBidi" w:cstheme="majorBidi"/>
          <w:sz w:val="22"/>
          <w:szCs w:val="22"/>
          <w:lang w:val="en-NZ"/>
        </w:rPr>
      </w:pPr>
      <w:r w:rsidRPr="004976A0">
        <w:rPr>
          <w:rFonts w:asciiTheme="majorBidi" w:eastAsia="Calibri" w:hAnsiTheme="majorBidi" w:cstheme="majorBidi"/>
          <w:sz w:val="22"/>
          <w:szCs w:val="22"/>
          <w:lang w:val="en-NZ"/>
        </w:rPr>
        <w:tab/>
      </w:r>
      <w:r w:rsidRPr="004976A0">
        <w:rPr>
          <w:rFonts w:asciiTheme="majorBidi" w:eastAsia="Calibri" w:hAnsiTheme="majorBidi" w:cstheme="majorBidi"/>
          <w:sz w:val="22"/>
          <w:szCs w:val="22"/>
          <w:lang w:val="en-NZ"/>
        </w:rPr>
        <w:tab/>
      </w:r>
      <w:r w:rsidR="005428E4">
        <w:rPr>
          <w:rFonts w:asciiTheme="majorBidi" w:eastAsia="Calibri" w:hAnsiTheme="majorBidi" w:cstheme="majorBidi"/>
          <w:sz w:val="22"/>
          <w:szCs w:val="22"/>
          <w:lang w:val="en-NZ"/>
        </w:rPr>
        <w:t>-----------------------------------------------------------------</w:t>
      </w:r>
    </w:p>
    <w:p w:rsidR="005B1F37" w:rsidRPr="00632F52" w:rsidRDefault="003C4644" w:rsidP="003C4644">
      <w:pPr>
        <w:overflowPunct/>
        <w:spacing w:after="0"/>
        <w:ind w:right="82" w:firstLine="720"/>
        <w:textAlignment w:val="auto"/>
        <w:rPr>
          <w:rFonts w:asciiTheme="majorBidi" w:eastAsia="Calibri" w:hAnsiTheme="majorBidi" w:cstheme="majorBidi"/>
          <w:sz w:val="20"/>
          <w:lang w:val="en-NZ"/>
        </w:rPr>
      </w:pPr>
      <w:r>
        <w:rPr>
          <w:rFonts w:asciiTheme="majorBidi" w:eastAsia="Calibri" w:hAnsiTheme="majorBidi" w:cstheme="majorBidi"/>
          <w:sz w:val="20"/>
          <w:lang w:val="en-NZ"/>
        </w:rPr>
        <w:tab/>
      </w:r>
      <w:r w:rsidR="004976A0" w:rsidRPr="004976A0">
        <w:rPr>
          <w:color w:val="000000"/>
          <w:sz w:val="20"/>
        </w:rPr>
        <w:t xml:space="preserve">*** 1% </w:t>
      </w:r>
      <w:proofErr w:type="spellStart"/>
      <w:r w:rsidR="004976A0" w:rsidRPr="004976A0">
        <w:rPr>
          <w:color w:val="000000"/>
          <w:sz w:val="20"/>
        </w:rPr>
        <w:t>signiﬁcance</w:t>
      </w:r>
      <w:proofErr w:type="spellEnd"/>
      <w:proofErr w:type="gramStart"/>
      <w:r w:rsidR="004976A0" w:rsidRPr="004976A0">
        <w:rPr>
          <w:color w:val="000000"/>
          <w:sz w:val="20"/>
        </w:rPr>
        <w:t xml:space="preserve">; </w:t>
      </w:r>
      <w:r w:rsidR="004976A0" w:rsidRPr="004976A0">
        <w:rPr>
          <w:rFonts w:asciiTheme="majorBidi" w:eastAsia="Calibri" w:hAnsiTheme="majorBidi" w:cstheme="majorBidi"/>
          <w:i/>
          <w:iCs/>
          <w:sz w:val="20"/>
          <w:lang w:val="en-NZ"/>
        </w:rPr>
        <w:t xml:space="preserve"> R</w:t>
      </w:r>
      <w:proofErr w:type="gramEnd"/>
      <w:r w:rsidR="004976A0" w:rsidRPr="004976A0">
        <w:rPr>
          <w:rFonts w:asciiTheme="majorBidi" w:eastAsia="Calibri" w:hAnsiTheme="majorBidi" w:cstheme="majorBidi"/>
          <w:sz w:val="20"/>
          <w:lang w:val="en-NZ"/>
        </w:rPr>
        <w:t>-squared 0.68; Durbin-Watson   1.88</w:t>
      </w:r>
    </w:p>
    <w:p w:rsidR="005B1F37" w:rsidRDefault="005B1F37" w:rsidP="003C4644">
      <w:pPr>
        <w:widowControl w:val="0"/>
        <w:ind w:right="82"/>
        <w:jc w:val="both"/>
        <w:rPr>
          <w:color w:val="000000"/>
          <w:szCs w:val="24"/>
        </w:rPr>
      </w:pPr>
    </w:p>
    <w:p w:rsidR="00E14A56" w:rsidRDefault="00E14A56">
      <w:pPr>
        <w:widowControl w:val="0"/>
        <w:spacing w:after="0"/>
        <w:ind w:right="82" w:firstLine="447"/>
        <w:jc w:val="both"/>
        <w:rPr>
          <w:color w:val="000000"/>
          <w:szCs w:val="24"/>
        </w:rPr>
      </w:pPr>
    </w:p>
    <w:p w:rsidR="00E14A56" w:rsidRDefault="005B1F37">
      <w:pPr>
        <w:widowControl w:val="0"/>
        <w:spacing w:after="0"/>
        <w:ind w:right="82" w:firstLine="447"/>
        <w:jc w:val="both"/>
        <w:rPr>
          <w:color w:val="000000"/>
          <w:szCs w:val="24"/>
          <w:lang w:val="en-NZ"/>
        </w:rPr>
      </w:pPr>
      <w:proofErr w:type="spellStart"/>
      <w:r w:rsidRPr="003B052A">
        <w:rPr>
          <w:color w:val="000000"/>
          <w:szCs w:val="24"/>
        </w:rPr>
        <w:t>Quandt</w:t>
      </w:r>
      <w:proofErr w:type="spellEnd"/>
      <w:r w:rsidRPr="003B052A">
        <w:rPr>
          <w:color w:val="000000"/>
          <w:szCs w:val="24"/>
        </w:rPr>
        <w:t xml:space="preserve"> likelihood ratio test</w:t>
      </w:r>
      <w:r>
        <w:rPr>
          <w:color w:val="000000"/>
          <w:szCs w:val="24"/>
        </w:rPr>
        <w:t>s</w:t>
      </w:r>
      <w:r w:rsidRPr="003B052A">
        <w:rPr>
          <w:color w:val="000000"/>
          <w:szCs w:val="24"/>
        </w:rPr>
        <w:t xml:space="preserve"> </w:t>
      </w:r>
      <w:r>
        <w:rPr>
          <w:color w:val="000000"/>
          <w:szCs w:val="24"/>
        </w:rPr>
        <w:t xml:space="preserve">suggest no structural breaks in either manufacturing or agriculture in the </w:t>
      </w:r>
      <w:commentRangeStart w:id="11"/>
      <w:r>
        <w:rPr>
          <w:color w:val="000000"/>
          <w:szCs w:val="24"/>
        </w:rPr>
        <w:t>sample period</w:t>
      </w:r>
      <w:commentRangeEnd w:id="11"/>
      <w:r w:rsidR="00282C53">
        <w:rPr>
          <w:rStyle w:val="CommentReference"/>
        </w:rPr>
        <w:commentReference w:id="11"/>
      </w:r>
      <w:r>
        <w:rPr>
          <w:color w:val="000000"/>
          <w:szCs w:val="24"/>
        </w:rPr>
        <w:t xml:space="preserve">. </w:t>
      </w:r>
      <w:commentRangeStart w:id="12"/>
      <w:r>
        <w:rPr>
          <w:color w:val="000000"/>
          <w:szCs w:val="24"/>
        </w:rPr>
        <w:t>Tests on a wider sample (1979-2007) indicate a structural break in industrial value added in 1990; thus, we restrict our sample to 1991 onwards.</w:t>
      </w:r>
      <w:r>
        <w:rPr>
          <w:color w:val="000000"/>
          <w:szCs w:val="24"/>
          <w:lang w:val="en-NZ"/>
        </w:rPr>
        <w:t xml:space="preserve">  </w:t>
      </w:r>
    </w:p>
    <w:p w:rsidR="005B1F37" w:rsidRDefault="005B1F37" w:rsidP="003C4644">
      <w:pPr>
        <w:widowControl w:val="0"/>
        <w:spacing w:after="0"/>
        <w:ind w:right="82"/>
        <w:jc w:val="both"/>
        <w:rPr>
          <w:color w:val="000000"/>
          <w:szCs w:val="24"/>
          <w:lang w:val="en-NZ"/>
        </w:rPr>
      </w:pPr>
      <w:r>
        <w:rPr>
          <w:color w:val="000000"/>
          <w:szCs w:val="24"/>
          <w:lang w:val="en-NZ"/>
        </w:rPr>
        <w:t xml:space="preserve">   </w:t>
      </w:r>
      <w:commentRangeEnd w:id="12"/>
      <w:r w:rsidR="00773B9B">
        <w:rPr>
          <w:rStyle w:val="CommentReference"/>
        </w:rPr>
        <w:commentReference w:id="12"/>
      </w:r>
    </w:p>
    <w:p w:rsidR="00CF013D" w:rsidRDefault="005B1F37" w:rsidP="003C4644">
      <w:pPr>
        <w:widowControl w:val="0"/>
        <w:spacing w:after="0"/>
        <w:ind w:right="82"/>
        <w:jc w:val="both"/>
        <w:rPr>
          <w:color w:val="000000"/>
          <w:szCs w:val="24"/>
        </w:rPr>
      </w:pPr>
      <w:r>
        <w:rPr>
          <w:color w:val="000000"/>
          <w:szCs w:val="24"/>
          <w:lang w:val="en-NZ"/>
        </w:rPr>
        <w:t xml:space="preserve">     In the</w:t>
      </w:r>
      <w:r w:rsidRPr="003B052A">
        <w:rPr>
          <w:color w:val="000000"/>
          <w:szCs w:val="24"/>
        </w:rPr>
        <w:t xml:space="preserve"> 1991</w:t>
      </w:r>
      <w:r>
        <w:rPr>
          <w:color w:val="000000"/>
          <w:szCs w:val="24"/>
        </w:rPr>
        <w:t xml:space="preserve">-2007 sample </w:t>
      </w:r>
      <w:proofErr w:type="gramStart"/>
      <w:r>
        <w:rPr>
          <w:color w:val="000000"/>
          <w:szCs w:val="24"/>
        </w:rPr>
        <w:t>period</w:t>
      </w:r>
      <w:proofErr w:type="gramEnd"/>
      <w:r>
        <w:rPr>
          <w:color w:val="000000"/>
          <w:szCs w:val="24"/>
        </w:rPr>
        <w:t>, total industry exhibits</w:t>
      </w:r>
      <w:r w:rsidRPr="003B052A">
        <w:rPr>
          <w:color w:val="000000"/>
          <w:szCs w:val="24"/>
        </w:rPr>
        <w:t xml:space="preserve"> a</w:t>
      </w:r>
      <w:r w:rsidR="00C511D7">
        <w:rPr>
          <w:color w:val="000000"/>
          <w:szCs w:val="24"/>
        </w:rPr>
        <w:t>n</w:t>
      </w:r>
      <w:r>
        <w:rPr>
          <w:color w:val="000000"/>
          <w:szCs w:val="24"/>
        </w:rPr>
        <w:t xml:space="preserve"> </w:t>
      </w:r>
      <w:proofErr w:type="spellStart"/>
      <w:r w:rsidRPr="004C1064">
        <w:rPr>
          <w:i/>
          <w:iCs/>
          <w:color w:val="000000"/>
          <w:szCs w:val="24"/>
        </w:rPr>
        <w:t>r</w:t>
      </w:r>
      <w:r w:rsidRPr="004C1064">
        <w:rPr>
          <w:i/>
          <w:iCs/>
          <w:color w:val="000000"/>
          <w:szCs w:val="24"/>
          <w:vertAlign w:val="subscript"/>
        </w:rPr>
        <w:t>M</w:t>
      </w:r>
      <w:proofErr w:type="spellEnd"/>
      <w:r w:rsidRPr="003B052A">
        <w:rPr>
          <w:color w:val="000000"/>
          <w:szCs w:val="24"/>
        </w:rPr>
        <w:t xml:space="preserve"> of</w:t>
      </w:r>
      <w:r>
        <w:rPr>
          <w:color w:val="000000"/>
          <w:szCs w:val="24"/>
        </w:rPr>
        <w:t xml:space="preserve"> 0.641. </w:t>
      </w:r>
      <w:r w:rsidRPr="003B052A">
        <w:rPr>
          <w:color w:val="000000"/>
          <w:szCs w:val="24"/>
        </w:rPr>
        <w:t xml:space="preserve"> </w:t>
      </w:r>
      <w:proofErr w:type="spellStart"/>
      <w:r w:rsidRPr="00864A5B">
        <w:rPr>
          <w:rFonts w:asciiTheme="majorBidi" w:hAnsiTheme="majorBidi" w:cstheme="majorBidi"/>
          <w:i/>
          <w:iCs/>
        </w:rPr>
        <w:t>r</w:t>
      </w:r>
      <w:r>
        <w:rPr>
          <w:rFonts w:asciiTheme="majorBidi" w:hAnsiTheme="majorBidi" w:cstheme="majorBidi"/>
          <w:i/>
          <w:iCs/>
          <w:vertAlign w:val="subscript"/>
        </w:rPr>
        <w:t>M</w:t>
      </w:r>
      <w:proofErr w:type="spellEnd"/>
      <w:r>
        <w:rPr>
          <w:rFonts w:asciiTheme="majorBidi" w:hAnsiTheme="majorBidi" w:cstheme="majorBidi"/>
        </w:rPr>
        <w:t>/</w:t>
      </w:r>
      <w:r w:rsidRPr="00864A5B">
        <w:rPr>
          <w:rFonts w:asciiTheme="majorBidi" w:hAnsiTheme="majorBidi" w:cstheme="majorBidi"/>
          <w:i/>
          <w:iCs/>
        </w:rPr>
        <w:t>K</w:t>
      </w:r>
      <w:r>
        <w:rPr>
          <w:rFonts w:asciiTheme="majorBidi" w:hAnsiTheme="majorBidi" w:cstheme="majorBidi"/>
          <w:i/>
          <w:iCs/>
          <w:vertAlign w:val="subscript"/>
        </w:rPr>
        <w:t>M</w:t>
      </w:r>
      <w:r>
        <w:rPr>
          <w:rFonts w:asciiTheme="majorBidi" w:hAnsiTheme="majorBidi" w:cstheme="majorBidi"/>
        </w:rPr>
        <w:t xml:space="preserve"> </w:t>
      </w:r>
      <w:r>
        <w:rPr>
          <w:color w:val="000000"/>
          <w:szCs w:val="24"/>
        </w:rPr>
        <w:t>is positive at 0.00001806,</w:t>
      </w:r>
      <w:r w:rsidRPr="003B052A">
        <w:rPr>
          <w:color w:val="000000"/>
          <w:szCs w:val="24"/>
        </w:rPr>
        <w:t xml:space="preserve"> </w:t>
      </w:r>
      <w:r>
        <w:rPr>
          <w:color w:val="000000"/>
          <w:szCs w:val="24"/>
        </w:rPr>
        <w:t>indi</w:t>
      </w:r>
      <w:r w:rsidR="00C114D0">
        <w:rPr>
          <w:color w:val="000000"/>
          <w:szCs w:val="24"/>
        </w:rPr>
        <w:t>cating no</w:t>
      </w:r>
      <w:r w:rsidR="00D842C1">
        <w:rPr>
          <w:color w:val="000000"/>
          <w:szCs w:val="24"/>
        </w:rPr>
        <w:t xml:space="preserve"> firm</w:t>
      </w:r>
      <w:r w:rsidR="00C114D0">
        <w:rPr>
          <w:color w:val="000000"/>
          <w:szCs w:val="24"/>
        </w:rPr>
        <w:t xml:space="preserve"> evidence of </w:t>
      </w:r>
      <w:r w:rsidR="00D60B1B">
        <w:rPr>
          <w:color w:val="000000"/>
          <w:szCs w:val="24"/>
        </w:rPr>
        <w:t>intra</w:t>
      </w:r>
      <w:r w:rsidR="00C114D0">
        <w:rPr>
          <w:color w:val="000000"/>
          <w:szCs w:val="24"/>
        </w:rPr>
        <w:t>sectoral competition or logistic growth d</w:t>
      </w:r>
      <w:r w:rsidR="00D842C1">
        <w:rPr>
          <w:color w:val="000000"/>
          <w:szCs w:val="24"/>
        </w:rPr>
        <w:t>uring the sample period (</w:t>
      </w:r>
      <w:r w:rsidR="00C114D0">
        <w:rPr>
          <w:color w:val="000000"/>
          <w:szCs w:val="24"/>
        </w:rPr>
        <w:t xml:space="preserve">the positive sign suggests that China </w:t>
      </w:r>
      <w:r w:rsidR="00A85246">
        <w:rPr>
          <w:color w:val="000000"/>
          <w:szCs w:val="24"/>
        </w:rPr>
        <w:t>did</w:t>
      </w:r>
      <w:r w:rsidR="00C114D0">
        <w:rPr>
          <w:color w:val="000000"/>
          <w:szCs w:val="24"/>
        </w:rPr>
        <w:t xml:space="preserve"> not </w:t>
      </w:r>
      <w:r w:rsidR="00A85246">
        <w:rPr>
          <w:color w:val="000000"/>
          <w:szCs w:val="24"/>
        </w:rPr>
        <w:t>witness</w:t>
      </w:r>
      <w:r w:rsidR="00C114D0">
        <w:rPr>
          <w:color w:val="000000"/>
          <w:szCs w:val="24"/>
        </w:rPr>
        <w:t xml:space="preserve"> a tailing-off in </w:t>
      </w:r>
      <w:r w:rsidR="00A85246">
        <w:rPr>
          <w:color w:val="000000"/>
          <w:szCs w:val="24"/>
        </w:rPr>
        <w:t>industrial growth</w:t>
      </w:r>
      <w:r w:rsidR="00D842C1">
        <w:rPr>
          <w:color w:val="000000"/>
          <w:szCs w:val="24"/>
        </w:rPr>
        <w:t>)</w:t>
      </w:r>
      <w:r w:rsidR="00A85246">
        <w:rPr>
          <w:color w:val="000000"/>
          <w:szCs w:val="24"/>
        </w:rPr>
        <w:t xml:space="preserve">. </w:t>
      </w:r>
      <w:r w:rsidR="00DF7698">
        <w:rPr>
          <w:color w:val="000000"/>
          <w:szCs w:val="24"/>
        </w:rPr>
        <w:t>A positive</w:t>
      </w:r>
      <w:r w:rsidR="00A85246" w:rsidRPr="00CF013D">
        <w:rPr>
          <w:color w:val="000000"/>
          <w:szCs w:val="24"/>
        </w:rPr>
        <w:t xml:space="preserve"> coefficient means that manufacturing appears to be experiencing exponential growth without a</w:t>
      </w:r>
      <w:r w:rsidR="00DF7698">
        <w:rPr>
          <w:color w:val="000000"/>
          <w:szCs w:val="24"/>
        </w:rPr>
        <w:t>n apparent upper limit</w:t>
      </w:r>
      <w:r w:rsidR="00C511D7">
        <w:rPr>
          <w:color w:val="000000"/>
          <w:szCs w:val="24"/>
        </w:rPr>
        <w:t>. That fits with our knowledge of</w:t>
      </w:r>
      <w:r w:rsidR="00A85246" w:rsidRPr="00CF013D">
        <w:rPr>
          <w:color w:val="000000"/>
          <w:szCs w:val="24"/>
        </w:rPr>
        <w:t xml:space="preserve"> China’s manufacturing growth over tha</w:t>
      </w:r>
      <w:r w:rsidR="00C511D7">
        <w:rPr>
          <w:color w:val="000000"/>
          <w:szCs w:val="24"/>
        </w:rPr>
        <w:t>t period, which did not show</w:t>
      </w:r>
      <w:r w:rsidR="00A85246" w:rsidRPr="00CF013D">
        <w:rPr>
          <w:color w:val="000000"/>
          <w:szCs w:val="24"/>
        </w:rPr>
        <w:t xml:space="preserve"> signs of slowing from the e</w:t>
      </w:r>
      <w:r w:rsidR="00C511D7">
        <w:rPr>
          <w:color w:val="000000"/>
          <w:szCs w:val="24"/>
        </w:rPr>
        <w:t>arly 1990s to the mid-2000s</w:t>
      </w:r>
      <w:r w:rsidR="00D842C1">
        <w:rPr>
          <w:color w:val="000000"/>
          <w:szCs w:val="24"/>
        </w:rPr>
        <w:t>. Intrasectoral resource competition may be</w:t>
      </w:r>
      <w:r w:rsidR="00A85246" w:rsidRPr="00CF013D">
        <w:rPr>
          <w:color w:val="000000"/>
          <w:szCs w:val="24"/>
        </w:rPr>
        <w:t xml:space="preserve"> hard to detect in the early stages of growth because it is overwhelmed by the exponential</w:t>
      </w:r>
      <w:r w:rsidR="00D842C1">
        <w:rPr>
          <w:color w:val="000000"/>
          <w:szCs w:val="24"/>
        </w:rPr>
        <w:t xml:space="preserve"> </w:t>
      </w:r>
      <w:r w:rsidR="00D842C1">
        <w:rPr>
          <w:color w:val="000000"/>
          <w:szCs w:val="24"/>
        </w:rPr>
        <w:lastRenderedPageBreak/>
        <w:t>growth</w:t>
      </w:r>
      <w:r w:rsidR="00A85246" w:rsidRPr="00CF013D">
        <w:rPr>
          <w:color w:val="000000"/>
          <w:szCs w:val="24"/>
        </w:rPr>
        <w:t xml:space="preserve"> component.</w:t>
      </w:r>
      <w:r w:rsidR="00A85246">
        <w:rPr>
          <w:color w:val="000000"/>
          <w:szCs w:val="24"/>
        </w:rPr>
        <w:t xml:space="preserve"> T</w:t>
      </w:r>
      <w:r>
        <w:rPr>
          <w:color w:val="000000"/>
          <w:szCs w:val="24"/>
        </w:rPr>
        <w:t>he coefficient determining the relationship between</w:t>
      </w:r>
      <w:r w:rsidRPr="003B052A">
        <w:rPr>
          <w:color w:val="000000"/>
          <w:szCs w:val="24"/>
        </w:rPr>
        <w:t xml:space="preserve"> agriculture</w:t>
      </w:r>
      <w:r>
        <w:rPr>
          <w:color w:val="000000"/>
          <w:szCs w:val="24"/>
        </w:rPr>
        <w:t xml:space="preserve"> on industry</w:t>
      </w:r>
      <w:r w:rsidRPr="003B052A">
        <w:rPr>
          <w:color w:val="000000"/>
          <w:szCs w:val="24"/>
        </w:rPr>
        <w:t xml:space="preserve"> </w:t>
      </w:r>
      <w:r>
        <w:rPr>
          <w:color w:val="000000"/>
          <w:szCs w:val="24"/>
        </w:rPr>
        <w:t>is negative (</w:t>
      </w:r>
      <m:oMath>
        <m:r>
          <w:rPr>
            <w:rFonts w:ascii="Cambria Math" w:hAnsi="Cambria Math" w:cstheme="majorBidi"/>
          </w:rPr>
          <m:t>δ</m:t>
        </m:r>
      </m:oMath>
      <w:r>
        <w:t xml:space="preserve"> = –0.0002701)</w:t>
      </w:r>
      <w:r>
        <w:rPr>
          <w:color w:val="000000"/>
          <w:szCs w:val="24"/>
        </w:rPr>
        <w:t>.</w:t>
      </w:r>
      <w:r w:rsidRPr="003B052A">
        <w:rPr>
          <w:color w:val="000000"/>
          <w:szCs w:val="24"/>
        </w:rPr>
        <w:t xml:space="preserve"> The negative </w:t>
      </w:r>
      <w:proofErr w:type="spellStart"/>
      <w:r w:rsidRPr="003B052A">
        <w:rPr>
          <w:color w:val="000000"/>
          <w:szCs w:val="24"/>
        </w:rPr>
        <w:t>coe</w:t>
      </w:r>
      <w:r w:rsidRPr="003B052A">
        <w:rPr>
          <w:rFonts w:ascii="Palatino Linotype" w:hAnsi="Palatino Linotype"/>
          <w:color w:val="000000"/>
          <w:szCs w:val="24"/>
        </w:rPr>
        <w:t>ﬃ</w:t>
      </w:r>
      <w:r w:rsidRPr="003B052A">
        <w:rPr>
          <w:color w:val="000000"/>
          <w:szCs w:val="24"/>
        </w:rPr>
        <w:t>cient</w:t>
      </w:r>
      <w:proofErr w:type="spellEnd"/>
      <w:r w:rsidRPr="003B052A">
        <w:rPr>
          <w:color w:val="000000"/>
          <w:szCs w:val="24"/>
        </w:rPr>
        <w:t xml:space="preserve"> suggests th</w:t>
      </w:r>
      <w:r>
        <w:rPr>
          <w:color w:val="000000"/>
          <w:szCs w:val="24"/>
        </w:rPr>
        <w:t>at agriculture and competed with one another</w:t>
      </w:r>
      <w:r w:rsidRPr="003B052A">
        <w:rPr>
          <w:color w:val="000000"/>
          <w:szCs w:val="24"/>
        </w:rPr>
        <w:t>.</w:t>
      </w:r>
      <w:r>
        <w:rPr>
          <w:color w:val="000000"/>
          <w:szCs w:val="24"/>
        </w:rPr>
        <w:t xml:space="preserve">  </w:t>
      </w:r>
    </w:p>
    <w:p w:rsidR="0083030F" w:rsidRDefault="0083030F" w:rsidP="003C4644">
      <w:pPr>
        <w:widowControl w:val="0"/>
        <w:spacing w:after="0"/>
        <w:ind w:right="82"/>
        <w:jc w:val="both"/>
        <w:rPr>
          <w:color w:val="000000"/>
          <w:szCs w:val="24"/>
        </w:rPr>
      </w:pPr>
    </w:p>
    <w:p w:rsidR="00E14A56" w:rsidRDefault="00A60BBF">
      <w:pPr>
        <w:widowControl w:val="0"/>
        <w:tabs>
          <w:tab w:val="left" w:pos="426"/>
        </w:tabs>
        <w:spacing w:after="0"/>
        <w:ind w:right="82"/>
        <w:jc w:val="both"/>
        <w:rPr>
          <w:rFonts w:asciiTheme="majorBidi" w:hAnsiTheme="majorBidi" w:cstheme="majorBidi"/>
        </w:rPr>
      </w:pPr>
      <w:r>
        <w:rPr>
          <w:color w:val="000000"/>
          <w:szCs w:val="24"/>
        </w:rPr>
        <w:tab/>
      </w:r>
      <w:r w:rsidR="005B1F37">
        <w:rPr>
          <w:color w:val="000000"/>
          <w:szCs w:val="24"/>
        </w:rPr>
        <w:t xml:space="preserve">In this illustration, to find the contribution of each growth determinant, we now multiply </w:t>
      </w:r>
      <w:proofErr w:type="spellStart"/>
      <w:r w:rsidR="005B1F37" w:rsidRPr="00864A5B">
        <w:rPr>
          <w:rFonts w:asciiTheme="majorBidi" w:hAnsiTheme="majorBidi" w:cstheme="majorBidi"/>
          <w:i/>
          <w:iCs/>
        </w:rPr>
        <w:t>r</w:t>
      </w:r>
      <w:r w:rsidR="005B1F37">
        <w:rPr>
          <w:rFonts w:asciiTheme="majorBidi" w:hAnsiTheme="majorBidi" w:cstheme="majorBidi"/>
          <w:i/>
          <w:iCs/>
          <w:vertAlign w:val="subscript"/>
        </w:rPr>
        <w:t>M</w:t>
      </w:r>
      <w:proofErr w:type="spellEnd"/>
      <w:r w:rsidR="005B1F37">
        <w:rPr>
          <w:rFonts w:asciiTheme="majorBidi" w:hAnsiTheme="majorBidi" w:cstheme="majorBidi"/>
        </w:rPr>
        <w:t>/</w:t>
      </w:r>
      <w:r w:rsidR="005B1F37" w:rsidRPr="00864A5B">
        <w:rPr>
          <w:rFonts w:asciiTheme="majorBidi" w:hAnsiTheme="majorBidi" w:cstheme="majorBidi"/>
          <w:i/>
          <w:iCs/>
        </w:rPr>
        <w:t>K</w:t>
      </w:r>
      <w:r w:rsidR="005B1F37">
        <w:rPr>
          <w:rFonts w:asciiTheme="majorBidi" w:hAnsiTheme="majorBidi" w:cstheme="majorBidi"/>
          <w:i/>
          <w:iCs/>
          <w:vertAlign w:val="subscript"/>
        </w:rPr>
        <w:t>M</w:t>
      </w:r>
      <w:r w:rsidR="005B1F37">
        <w:rPr>
          <w:rFonts w:asciiTheme="majorBidi" w:hAnsiTheme="majorBidi" w:cstheme="majorBidi"/>
        </w:rPr>
        <w:t xml:space="preserve"> by the mean of annual manufacturing value added over the period 1991-2007, i.e. by 18351.37, giving a value of 0.331. Similarly, for </w:t>
      </w:r>
      <m:oMath>
        <m:r>
          <w:rPr>
            <w:rFonts w:ascii="Cambria Math" w:hAnsi="Cambria Math" w:cstheme="majorBidi"/>
          </w:rPr>
          <m:t>δ</m:t>
        </m:r>
      </m:oMath>
      <w:r w:rsidR="005B1F37">
        <w:rPr>
          <w:rFonts w:asciiTheme="majorBidi" w:hAnsiTheme="majorBidi" w:cstheme="majorBidi"/>
        </w:rPr>
        <w:t xml:space="preserve"> we multiply by mean agricultural output, 3114.293, giving a value of -0.841. Thus, the estimated per unit growth rate has a value of 0.641 + 0.331 - 0.841 = 0.131. </w:t>
      </w:r>
      <w:r w:rsidR="00BB5AE3">
        <w:rPr>
          <w:rFonts w:asciiTheme="majorBidi" w:hAnsiTheme="majorBidi" w:cstheme="majorBidi"/>
        </w:rPr>
        <w:t>This matches the actual average growth rate for industry over the period 1991-2007, which is 13.11 percent.</w:t>
      </w:r>
    </w:p>
    <w:p w:rsidR="00EF3B5B" w:rsidRDefault="00EF3B5B" w:rsidP="003C4644">
      <w:pPr>
        <w:widowControl w:val="0"/>
        <w:spacing w:after="0"/>
        <w:ind w:right="82"/>
        <w:jc w:val="both"/>
        <w:rPr>
          <w:rFonts w:asciiTheme="majorBidi" w:hAnsiTheme="majorBidi" w:cstheme="majorBidi"/>
        </w:rPr>
      </w:pPr>
    </w:p>
    <w:p w:rsidR="00E14A56" w:rsidRDefault="005B1F37">
      <w:pPr>
        <w:spacing w:after="0"/>
        <w:ind w:right="82"/>
        <w:jc w:val="both"/>
        <w:rPr>
          <w:szCs w:val="24"/>
        </w:rPr>
      </w:pPr>
      <w:r>
        <w:rPr>
          <w:rFonts w:asciiTheme="majorBidi" w:hAnsiTheme="majorBidi" w:cstheme="majorBidi"/>
        </w:rPr>
        <w:t xml:space="preserve">     Over the 1991-2007 </w:t>
      </w:r>
      <w:proofErr w:type="gramStart"/>
      <w:r>
        <w:rPr>
          <w:rFonts w:asciiTheme="majorBidi" w:hAnsiTheme="majorBidi" w:cstheme="majorBidi"/>
        </w:rPr>
        <w:t>period</w:t>
      </w:r>
      <w:proofErr w:type="gramEnd"/>
      <w:r>
        <w:rPr>
          <w:rFonts w:asciiTheme="majorBidi" w:hAnsiTheme="majorBidi" w:cstheme="majorBidi"/>
        </w:rPr>
        <w:t xml:space="preserve">, non-labor institutions appear to have contributed around twice as much as the relaxation of labor constraints to the growth rate of manufacturing, while the adverse impact of agriculture on manufacturing was less than the combined positive impact of institutions </w:t>
      </w:r>
      <w:r w:rsidR="00B2667A">
        <w:rPr>
          <w:rFonts w:asciiTheme="majorBidi" w:hAnsiTheme="majorBidi" w:cstheme="majorBidi"/>
        </w:rPr>
        <w:t>and resource constraint relaxation</w:t>
      </w:r>
      <w:r>
        <w:rPr>
          <w:rFonts w:asciiTheme="majorBidi" w:hAnsiTheme="majorBidi" w:cstheme="majorBidi"/>
        </w:rPr>
        <w:t xml:space="preserve">. </w:t>
      </w:r>
      <w:r w:rsidR="00CB2335">
        <w:rPr>
          <w:szCs w:val="24"/>
        </w:rPr>
        <w:t xml:space="preserve">We also undertook regressions that included a third sector, services, but the variable was statistically insignificant. Granger-causality tests </w:t>
      </w:r>
      <w:r w:rsidR="00B53041">
        <w:rPr>
          <w:szCs w:val="24"/>
        </w:rPr>
        <w:t>reject the null that agricultural does not Granger-cause industrial output.</w:t>
      </w:r>
    </w:p>
    <w:p w:rsidR="00E14A56" w:rsidRDefault="00E14A56">
      <w:pPr>
        <w:spacing w:after="0"/>
        <w:ind w:right="82"/>
        <w:jc w:val="both"/>
        <w:rPr>
          <w:szCs w:val="24"/>
        </w:rPr>
      </w:pPr>
    </w:p>
    <w:p w:rsidR="00D76932" w:rsidRDefault="005B1F37" w:rsidP="003C4644">
      <w:pPr>
        <w:spacing w:after="0"/>
        <w:ind w:right="82"/>
        <w:jc w:val="both"/>
        <w:rPr>
          <w:szCs w:val="24"/>
        </w:rPr>
      </w:pPr>
      <w:r>
        <w:rPr>
          <w:color w:val="000000"/>
          <w:szCs w:val="24"/>
        </w:rPr>
        <w:t xml:space="preserve">     Still, a question remains: does our model measure the impact of institutions as claimed? </w:t>
      </w:r>
      <w:r w:rsidR="00B2667A">
        <w:rPr>
          <w:color w:val="000000"/>
          <w:szCs w:val="24"/>
        </w:rPr>
        <w:t>In particular</w:t>
      </w:r>
      <w:r>
        <w:rPr>
          <w:color w:val="000000"/>
          <w:szCs w:val="24"/>
        </w:rPr>
        <w:t xml:space="preserve">, does the constant in the regression reflect the impact of institutions and policies? To determine the role of our constant, we employ a proxy for institutions/policies in the regression to see how much the constant falls. </w:t>
      </w:r>
      <w:commentRangeStart w:id="13"/>
      <w:r>
        <w:rPr>
          <w:szCs w:val="24"/>
        </w:rPr>
        <w:t>The proxy we use is agricultural employment.</w:t>
      </w:r>
      <w:commentRangeEnd w:id="13"/>
      <w:r w:rsidR="00E65668">
        <w:rPr>
          <w:rStyle w:val="CommentReference"/>
        </w:rPr>
        <w:commentReference w:id="13"/>
      </w:r>
      <w:r>
        <w:rPr>
          <w:szCs w:val="24"/>
        </w:rPr>
        <w:t xml:space="preserve"> </w:t>
      </w:r>
    </w:p>
    <w:p w:rsidR="00EF3B5B" w:rsidRDefault="00EF3B5B" w:rsidP="003C4644">
      <w:pPr>
        <w:spacing w:after="0"/>
        <w:ind w:right="82"/>
        <w:jc w:val="both"/>
        <w:rPr>
          <w:szCs w:val="24"/>
        </w:rPr>
      </w:pPr>
    </w:p>
    <w:p w:rsidR="005B1F37" w:rsidRDefault="00B53041" w:rsidP="003C4644">
      <w:pPr>
        <w:spacing w:after="0"/>
        <w:ind w:right="82"/>
        <w:jc w:val="both"/>
        <w:rPr>
          <w:szCs w:val="24"/>
        </w:rPr>
      </w:pPr>
      <w:r>
        <w:rPr>
          <w:szCs w:val="24"/>
        </w:rPr>
        <w:t xml:space="preserve">     </w:t>
      </w:r>
      <w:r w:rsidR="005B1F37">
        <w:rPr>
          <w:szCs w:val="24"/>
        </w:rPr>
        <w:t>Figure 3 shows how agricultural employment has responded to institutional and policy changes over time. For example, the initial rise in agricultural employment at the beginning of the series reflects the political swing post-Tiananmen 1989.  Deng’s tour of Southern China in 1992 resulted in growth of manufacturing, with the privatization of</w:t>
      </w:r>
      <w:r w:rsidR="005B1F37" w:rsidRPr="00B060C0">
        <w:rPr>
          <w:rFonts w:ascii="IIJKCD+TimesNewRoman" w:eastAsia="Calibri" w:hAnsi="IIJKCD+TimesNewRoman" w:cs="IIJKCD+TimesNewRoman"/>
          <w:color w:val="000000"/>
          <w:sz w:val="23"/>
          <w:szCs w:val="23"/>
          <w:lang w:val="en-NZ"/>
        </w:rPr>
        <w:t xml:space="preserve"> state and </w:t>
      </w:r>
      <w:r w:rsidR="005B1F37">
        <w:rPr>
          <w:rFonts w:ascii="IIJKCD+TimesNewRoman" w:eastAsia="Calibri" w:hAnsi="IIJKCD+TimesNewRoman" w:cs="IIJKCD+TimesNewRoman"/>
          <w:color w:val="000000"/>
          <w:sz w:val="23"/>
          <w:szCs w:val="23"/>
          <w:lang w:val="en-NZ"/>
        </w:rPr>
        <w:t>collective firms</w:t>
      </w:r>
      <w:r w:rsidR="005B1F37" w:rsidRPr="00B060C0">
        <w:rPr>
          <w:rFonts w:ascii="IIJKCD+TimesNewRoman" w:eastAsia="Calibri" w:hAnsi="IIJKCD+TimesNewRoman" w:cs="IIJKCD+TimesNewRoman"/>
          <w:color w:val="000000"/>
          <w:sz w:val="23"/>
          <w:szCs w:val="23"/>
          <w:lang w:val="en-NZ"/>
        </w:rPr>
        <w:t>,</w:t>
      </w:r>
      <w:r w:rsidR="005B1F37">
        <w:rPr>
          <w:rFonts w:ascii="IIJKCD+TimesNewRoman" w:eastAsia="Calibri" w:hAnsi="IIJKCD+TimesNewRoman" w:cs="IIJKCD+TimesNewRoman"/>
          <w:color w:val="000000"/>
          <w:sz w:val="23"/>
          <w:szCs w:val="23"/>
          <w:lang w:val="en-NZ"/>
        </w:rPr>
        <w:t xml:space="preserve"> inflows of</w:t>
      </w:r>
      <w:r w:rsidR="005B1F37" w:rsidRPr="00B060C0">
        <w:rPr>
          <w:rFonts w:ascii="IIJKCD+TimesNewRoman" w:eastAsia="Calibri" w:hAnsi="IIJKCD+TimesNewRoman" w:cs="IIJKCD+TimesNewRoman"/>
          <w:color w:val="000000"/>
          <w:sz w:val="23"/>
          <w:szCs w:val="23"/>
          <w:lang w:val="en-NZ"/>
        </w:rPr>
        <w:t xml:space="preserve"> for</w:t>
      </w:r>
      <w:r w:rsidR="005B1F37">
        <w:rPr>
          <w:rFonts w:ascii="IIJKCD+TimesNewRoman" w:eastAsia="Calibri" w:hAnsi="IIJKCD+TimesNewRoman" w:cs="IIJKCD+TimesNewRoman"/>
          <w:color w:val="000000"/>
          <w:sz w:val="23"/>
          <w:szCs w:val="23"/>
          <w:lang w:val="en-NZ"/>
        </w:rPr>
        <w:t>eign direct investment</w:t>
      </w:r>
      <w:r w:rsidR="005B1F37" w:rsidRPr="00B060C0">
        <w:rPr>
          <w:rFonts w:ascii="IIJKCD+TimesNewRoman" w:eastAsia="Calibri" w:hAnsi="IIJKCD+TimesNewRoman" w:cs="IIJKCD+TimesNewRoman"/>
          <w:color w:val="000000"/>
          <w:sz w:val="23"/>
          <w:szCs w:val="23"/>
          <w:lang w:val="en-NZ"/>
        </w:rPr>
        <w:t>, an</w:t>
      </w:r>
      <w:r w:rsidR="005B1F37">
        <w:rPr>
          <w:rFonts w:ascii="IIJKCD+TimesNewRoman" w:eastAsia="Calibri" w:hAnsi="IIJKCD+TimesNewRoman" w:cs="IIJKCD+TimesNewRoman"/>
          <w:color w:val="000000"/>
          <w:sz w:val="23"/>
          <w:szCs w:val="23"/>
          <w:lang w:val="en-NZ"/>
        </w:rPr>
        <w:t xml:space="preserve">d </w:t>
      </w:r>
      <w:r w:rsidR="005B1F37" w:rsidRPr="00B060C0">
        <w:rPr>
          <w:rFonts w:ascii="IIJKCD+TimesNewRoman" w:eastAsia="Calibri" w:hAnsi="IIJKCD+TimesNewRoman" w:cs="IIJKCD+TimesNewRoman"/>
          <w:color w:val="000000"/>
          <w:sz w:val="23"/>
          <w:szCs w:val="23"/>
          <w:lang w:val="en-NZ"/>
        </w:rPr>
        <w:t>accelerat</w:t>
      </w:r>
      <w:r w:rsidR="005B1F37">
        <w:rPr>
          <w:rFonts w:ascii="IIJKCD+TimesNewRoman" w:eastAsia="Calibri" w:hAnsi="IIJKCD+TimesNewRoman" w:cs="IIJKCD+TimesNewRoman"/>
          <w:color w:val="000000"/>
          <w:sz w:val="23"/>
          <w:szCs w:val="23"/>
          <w:lang w:val="en-NZ"/>
        </w:rPr>
        <w:t>ion of exports (</w:t>
      </w:r>
      <w:proofErr w:type="spellStart"/>
      <w:r w:rsidR="005B1F37">
        <w:rPr>
          <w:rFonts w:ascii="IIJKCD+TimesNewRoman" w:eastAsia="Calibri" w:hAnsi="IIJKCD+TimesNewRoman" w:cs="IIJKCD+TimesNewRoman"/>
          <w:color w:val="000000"/>
          <w:sz w:val="23"/>
          <w:szCs w:val="23"/>
          <w:lang w:val="en-NZ"/>
        </w:rPr>
        <w:t>Zheng</w:t>
      </w:r>
      <w:proofErr w:type="spellEnd"/>
      <w:r w:rsidR="005B1F37">
        <w:rPr>
          <w:rFonts w:ascii="IIJKCD+TimesNewRoman" w:eastAsia="Calibri" w:hAnsi="IIJKCD+TimesNewRoman" w:cs="IIJKCD+TimesNewRoman"/>
          <w:color w:val="000000"/>
          <w:sz w:val="23"/>
          <w:szCs w:val="23"/>
          <w:lang w:val="en-NZ"/>
        </w:rPr>
        <w:t xml:space="preserve"> </w:t>
      </w:r>
      <w:r w:rsidR="005B1F37" w:rsidRPr="00BE6BC8">
        <w:rPr>
          <w:rFonts w:ascii="IIJKCD+TimesNewRoman" w:eastAsia="Calibri" w:hAnsi="IIJKCD+TimesNewRoman" w:cs="IIJKCD+TimesNewRoman"/>
          <w:i/>
          <w:iCs/>
          <w:color w:val="000000"/>
          <w:sz w:val="23"/>
          <w:szCs w:val="23"/>
          <w:lang w:val="en-NZ"/>
        </w:rPr>
        <w:t>et al</w:t>
      </w:r>
      <w:r w:rsidR="005B1F37">
        <w:rPr>
          <w:rFonts w:ascii="IIJKCD+TimesNewRoman" w:eastAsia="Calibri" w:hAnsi="IIJKCD+TimesNewRoman" w:cs="IIJKCD+TimesNewRoman"/>
          <w:color w:val="000000"/>
          <w:sz w:val="23"/>
          <w:szCs w:val="23"/>
          <w:lang w:val="en-NZ"/>
        </w:rPr>
        <w:t>. 2007)</w:t>
      </w:r>
      <w:r w:rsidR="005B1F37">
        <w:rPr>
          <w:szCs w:val="24"/>
        </w:rPr>
        <w:t>. But in the face of an overheating economy, economic and administrative counter-measures were introduced to cool investment, reflected in labor shifting back into agriculture.</w:t>
      </w:r>
    </w:p>
    <w:p w:rsidR="00A60BBF" w:rsidRDefault="00A60BBF" w:rsidP="003C4644">
      <w:pPr>
        <w:spacing w:after="0"/>
        <w:ind w:right="82"/>
        <w:jc w:val="both"/>
        <w:rPr>
          <w:szCs w:val="24"/>
        </w:rPr>
      </w:pPr>
    </w:p>
    <w:p w:rsidR="00E14A56" w:rsidRDefault="00D0727A">
      <w:pPr>
        <w:spacing w:after="0"/>
        <w:ind w:right="82"/>
        <w:jc w:val="center"/>
        <w:rPr>
          <w:b/>
          <w:sz w:val="22"/>
          <w:szCs w:val="22"/>
        </w:rPr>
      </w:pPr>
      <w:r>
        <w:rPr>
          <w:b/>
          <w:sz w:val="22"/>
          <w:szCs w:val="22"/>
        </w:rPr>
        <w:t>Figure 3: Agricultural E</w:t>
      </w:r>
      <w:r w:rsidR="004976A0" w:rsidRPr="004976A0">
        <w:rPr>
          <w:b/>
          <w:sz w:val="22"/>
          <w:szCs w:val="22"/>
        </w:rPr>
        <w:t xml:space="preserve">mployment   </w:t>
      </w:r>
      <w:r>
        <w:rPr>
          <w:b/>
          <w:sz w:val="22"/>
          <w:szCs w:val="22"/>
        </w:rPr>
        <w:t xml:space="preserve">        Figure 4: Agricultural O</w:t>
      </w:r>
      <w:r w:rsidR="004976A0" w:rsidRPr="004976A0">
        <w:rPr>
          <w:b/>
          <w:sz w:val="22"/>
          <w:szCs w:val="22"/>
        </w:rPr>
        <w:t>utput</w:t>
      </w:r>
    </w:p>
    <w:p w:rsidR="005B1F37" w:rsidRDefault="005B1F37" w:rsidP="003C4644">
      <w:pPr>
        <w:spacing w:after="0"/>
        <w:ind w:right="82"/>
        <w:jc w:val="both"/>
        <w:rPr>
          <w:szCs w:val="24"/>
        </w:rPr>
      </w:pPr>
    </w:p>
    <w:p w:rsidR="00E14A56" w:rsidRDefault="00E14A56">
      <w:pPr>
        <w:spacing w:after="0"/>
        <w:ind w:right="82"/>
        <w:jc w:val="center"/>
        <w:rPr>
          <w:szCs w:val="24"/>
        </w:rPr>
      </w:pPr>
      <w:r>
        <w:rPr>
          <w:noProof/>
          <w:szCs w:val="24"/>
          <w:lang w:val="en-NZ"/>
        </w:rPr>
        <w:drawing>
          <wp:inline distT="0" distB="0" distL="0" distR="0">
            <wp:extent cx="2460193" cy="2204746"/>
            <wp:effectExtent l="19050" t="0" r="16307" b="5054"/>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4"/>
              </a:graphicData>
            </a:graphic>
          </wp:inline>
        </w:drawing>
      </w:r>
      <w:r>
        <w:rPr>
          <w:noProof/>
          <w:szCs w:val="24"/>
          <w:lang w:val="en-NZ"/>
        </w:rPr>
        <w:drawing>
          <wp:inline distT="0" distB="0" distL="0" distR="0">
            <wp:extent cx="2452573" cy="2201876"/>
            <wp:effectExtent l="19050" t="0" r="23927" b="7924"/>
            <wp:docPr id="1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5"/>
              </a:graphicData>
            </a:graphic>
          </wp:inline>
        </w:drawing>
      </w:r>
    </w:p>
    <w:p w:rsidR="00CB7107" w:rsidRDefault="00CB7107">
      <w:pPr>
        <w:overflowPunct/>
        <w:autoSpaceDE/>
        <w:autoSpaceDN/>
        <w:adjustRightInd/>
        <w:spacing w:after="0"/>
        <w:textAlignment w:val="auto"/>
        <w:rPr>
          <w:color w:val="000000"/>
          <w:szCs w:val="24"/>
        </w:rPr>
      </w:pPr>
      <w:r>
        <w:rPr>
          <w:color w:val="000000"/>
          <w:szCs w:val="24"/>
        </w:rPr>
        <w:br w:type="page"/>
      </w:r>
    </w:p>
    <w:p w:rsidR="00E14A56" w:rsidRDefault="00CB2335">
      <w:pPr>
        <w:widowControl w:val="0"/>
        <w:tabs>
          <w:tab w:val="left" w:pos="426"/>
        </w:tabs>
        <w:spacing w:after="0"/>
        <w:ind w:right="82"/>
        <w:jc w:val="both"/>
        <w:rPr>
          <w:color w:val="000000"/>
          <w:szCs w:val="24"/>
        </w:rPr>
      </w:pPr>
      <w:r>
        <w:rPr>
          <w:color w:val="000000"/>
          <w:szCs w:val="24"/>
        </w:rPr>
        <w:lastRenderedPageBreak/>
        <w:t>We now rerun the above regression with the addition of the policy proxy:</w:t>
      </w:r>
    </w:p>
    <w:p w:rsidR="00E14A56" w:rsidRDefault="005B1F37">
      <w:pPr>
        <w:tabs>
          <w:tab w:val="left" w:pos="-2268"/>
          <w:tab w:val="left" w:pos="0"/>
        </w:tabs>
        <w:spacing w:before="240" w:after="0"/>
        <w:ind w:right="82"/>
        <w:rPr>
          <w:sz w:val="20"/>
        </w:rPr>
      </w:pPr>
      <w:r>
        <w:rPr>
          <w:rFonts w:asciiTheme="majorBidi" w:eastAsia="Calibri" w:hAnsiTheme="majorBidi" w:cstheme="majorBidi"/>
          <w:szCs w:val="24"/>
          <w:lang w:val="en-NZ"/>
        </w:rPr>
        <w:t>Dependent variable</w:t>
      </w:r>
      <w:proofErr w:type="gramStart"/>
      <w:r>
        <w:rPr>
          <w:rFonts w:asciiTheme="majorBidi" w:eastAsia="Calibri" w:hAnsiTheme="majorBidi" w:cstheme="majorBidi"/>
          <w:szCs w:val="24"/>
          <w:lang w:val="en-NZ"/>
        </w:rPr>
        <w:t xml:space="preserve">, </w:t>
      </w:r>
      <m:oMath>
        <w:proofErr w:type="gramEnd"/>
        <m:f>
          <m:fPr>
            <m:ctrlPr>
              <w:rPr>
                <w:rFonts w:ascii="Cambria Math" w:hAnsi="Cambria Math"/>
                <w:i/>
                <w:sz w:val="28"/>
                <w:szCs w:val="28"/>
              </w:rPr>
            </m:ctrlPr>
          </m:fPr>
          <m:num>
            <m:acc>
              <m:accPr>
                <m:chr m:val="̇"/>
                <m:ctrlPr>
                  <w:rPr>
                    <w:rFonts w:ascii="Cambria Math" w:hAnsi="Cambria Math"/>
                    <w:i/>
                    <w:sz w:val="28"/>
                    <w:szCs w:val="28"/>
                  </w:rPr>
                </m:ctrlPr>
              </m:accPr>
              <m:e>
                <m:r>
                  <w:rPr>
                    <w:rFonts w:ascii="Cambria Math" w:hAnsi="Cambria Math"/>
                    <w:sz w:val="28"/>
                    <w:szCs w:val="28"/>
                  </w:rPr>
                  <m:t>M</m:t>
                </m:r>
              </m:e>
            </m:acc>
          </m:num>
          <m:den>
            <m:r>
              <w:rPr>
                <w:rFonts w:ascii="Cambria Math" w:hAnsi="Cambria Math"/>
                <w:sz w:val="28"/>
                <w:szCs w:val="28"/>
              </w:rPr>
              <m:t>M</m:t>
            </m:r>
          </m:den>
        </m:f>
      </m:oMath>
      <w:r>
        <w:rPr>
          <w:rFonts w:asciiTheme="majorBidi" w:eastAsia="Calibri" w:hAnsiTheme="majorBidi" w:cstheme="majorBidi"/>
          <w:sz w:val="28"/>
          <w:szCs w:val="28"/>
        </w:rPr>
        <w:t xml:space="preserve">, </w:t>
      </w:r>
      <w:r>
        <w:rPr>
          <w:color w:val="000000"/>
          <w:szCs w:val="24"/>
        </w:rPr>
        <w:t>using</w:t>
      </w:r>
      <w:r w:rsidRPr="008251DC">
        <w:rPr>
          <w:color w:val="000000"/>
          <w:szCs w:val="24"/>
        </w:rPr>
        <w:t xml:space="preserve"> total industrial value-added</w:t>
      </w:r>
      <w:r>
        <w:rPr>
          <w:color w:val="000000"/>
          <w:szCs w:val="24"/>
        </w:rPr>
        <w:t>, 1991-2007</w:t>
      </w:r>
      <w:r w:rsidRPr="008251DC">
        <w:rPr>
          <w:color w:val="000000"/>
          <w:szCs w:val="24"/>
        </w:rPr>
        <w:t xml:space="preserve"> </w:t>
      </w:r>
    </w:p>
    <w:p w:rsidR="005B1F37" w:rsidRPr="000A3AC3" w:rsidRDefault="005B1F37" w:rsidP="003C4644">
      <w:pPr>
        <w:tabs>
          <w:tab w:val="left" w:pos="1276"/>
        </w:tabs>
        <w:overflowPunct/>
        <w:spacing w:after="0"/>
        <w:ind w:right="82"/>
        <w:textAlignment w:val="auto"/>
        <w:rPr>
          <w:rFonts w:asciiTheme="majorBidi" w:eastAsia="Calibri" w:hAnsiTheme="majorBidi" w:cstheme="majorBidi"/>
          <w:szCs w:val="24"/>
        </w:rPr>
      </w:pPr>
    </w:p>
    <w:p w:rsidR="00E14A56" w:rsidRDefault="004976A0">
      <w:pPr>
        <w:tabs>
          <w:tab w:val="left" w:pos="1276"/>
        </w:tabs>
        <w:overflowPunct/>
        <w:spacing w:after="0"/>
        <w:ind w:right="82"/>
        <w:textAlignment w:val="auto"/>
        <w:rPr>
          <w:rFonts w:asciiTheme="majorBidi" w:eastAsia="Calibri" w:hAnsiTheme="majorBidi" w:cstheme="majorBidi"/>
          <w:sz w:val="22"/>
          <w:szCs w:val="22"/>
          <w:lang w:val="fr-FR"/>
        </w:rPr>
      </w:pPr>
      <w:r w:rsidRPr="004976A0">
        <w:rPr>
          <w:rFonts w:asciiTheme="majorBidi" w:eastAsia="Calibri" w:hAnsiTheme="majorBidi" w:cstheme="majorBidi"/>
          <w:sz w:val="22"/>
          <w:szCs w:val="22"/>
          <w:lang w:val="fr-FR"/>
        </w:rPr>
        <w:t>Model: OLS</w:t>
      </w:r>
    </w:p>
    <w:p w:rsidR="005B1F37" w:rsidRPr="00632F52" w:rsidRDefault="004976A0" w:rsidP="003C4644">
      <w:pPr>
        <w:overflowPunct/>
        <w:spacing w:after="0"/>
        <w:ind w:right="82" w:firstLine="720"/>
        <w:textAlignment w:val="auto"/>
        <w:rPr>
          <w:rFonts w:asciiTheme="majorBidi" w:eastAsia="Calibri" w:hAnsiTheme="majorBidi" w:cstheme="majorBidi"/>
          <w:sz w:val="22"/>
          <w:szCs w:val="22"/>
          <w:lang w:val="fr-FR"/>
        </w:rPr>
      </w:pPr>
      <w:r w:rsidRPr="004976A0">
        <w:rPr>
          <w:rFonts w:asciiTheme="majorBidi" w:eastAsia="Calibri" w:hAnsiTheme="majorBidi" w:cstheme="majorBidi"/>
          <w:sz w:val="22"/>
          <w:szCs w:val="22"/>
          <w:lang w:val="fr-FR"/>
        </w:rPr>
        <w:t xml:space="preserve">                                             </w:t>
      </w:r>
      <w:r w:rsidR="00632F52">
        <w:rPr>
          <w:rFonts w:asciiTheme="majorBidi" w:eastAsia="Calibri" w:hAnsiTheme="majorBidi" w:cstheme="majorBidi"/>
          <w:sz w:val="22"/>
          <w:szCs w:val="22"/>
          <w:lang w:val="fr-FR"/>
        </w:rPr>
        <w:t>C</w:t>
      </w:r>
      <w:r w:rsidRPr="004976A0">
        <w:rPr>
          <w:rFonts w:asciiTheme="majorBidi" w:eastAsia="Calibri" w:hAnsiTheme="majorBidi" w:cstheme="majorBidi"/>
          <w:sz w:val="22"/>
          <w:szCs w:val="22"/>
          <w:lang w:val="fr-FR"/>
        </w:rPr>
        <w:t xml:space="preserve">oefficient               </w:t>
      </w:r>
      <w:r w:rsidRPr="004976A0">
        <w:rPr>
          <w:rFonts w:asciiTheme="majorBidi" w:eastAsia="Calibri" w:hAnsiTheme="majorBidi" w:cstheme="majorBidi"/>
          <w:i/>
          <w:iCs/>
          <w:sz w:val="22"/>
          <w:szCs w:val="22"/>
          <w:lang w:val="fr-FR"/>
        </w:rPr>
        <w:t>t</w:t>
      </w:r>
      <w:r w:rsidRPr="004976A0">
        <w:rPr>
          <w:rFonts w:asciiTheme="majorBidi" w:eastAsia="Calibri" w:hAnsiTheme="majorBidi" w:cstheme="majorBidi"/>
          <w:sz w:val="22"/>
          <w:szCs w:val="22"/>
          <w:lang w:val="fr-FR"/>
        </w:rPr>
        <w:t xml:space="preserve">-ratio   </w:t>
      </w:r>
    </w:p>
    <w:p w:rsidR="005B1F37" w:rsidRPr="00632F52" w:rsidRDefault="004976A0" w:rsidP="003C4644">
      <w:pPr>
        <w:overflowPunct/>
        <w:spacing w:after="0"/>
        <w:ind w:right="82"/>
        <w:textAlignment w:val="auto"/>
        <w:rPr>
          <w:rFonts w:asciiTheme="majorBidi" w:eastAsia="Calibri" w:hAnsiTheme="majorBidi" w:cstheme="majorBidi"/>
          <w:sz w:val="22"/>
          <w:szCs w:val="22"/>
          <w:lang w:val="fr-FR"/>
        </w:rPr>
      </w:pPr>
      <w:r w:rsidRPr="004976A0">
        <w:rPr>
          <w:rFonts w:asciiTheme="majorBidi" w:eastAsia="Calibri" w:hAnsiTheme="majorBidi" w:cstheme="majorBidi"/>
          <w:sz w:val="22"/>
          <w:szCs w:val="22"/>
          <w:lang w:val="fr-FR"/>
        </w:rPr>
        <w:t xml:space="preserve"> </w:t>
      </w:r>
      <w:r w:rsidRPr="004976A0">
        <w:rPr>
          <w:rFonts w:asciiTheme="majorBidi" w:eastAsia="Calibri" w:hAnsiTheme="majorBidi" w:cstheme="majorBidi"/>
          <w:sz w:val="22"/>
          <w:szCs w:val="22"/>
          <w:lang w:val="fr-FR"/>
        </w:rPr>
        <w:tab/>
      </w:r>
      <w:r w:rsidRPr="004976A0">
        <w:rPr>
          <w:rFonts w:asciiTheme="majorBidi" w:eastAsia="Calibri" w:hAnsiTheme="majorBidi" w:cstheme="majorBidi"/>
          <w:sz w:val="22"/>
          <w:szCs w:val="22"/>
          <w:lang w:val="fr-FR"/>
        </w:rPr>
        <w:tab/>
        <w:t xml:space="preserve"> ---------------------------------------------------------------</w:t>
      </w:r>
    </w:p>
    <w:p w:rsidR="005B1F37" w:rsidRPr="00632F52" w:rsidRDefault="004976A0" w:rsidP="003C4644">
      <w:pPr>
        <w:overflowPunct/>
        <w:spacing w:after="0"/>
        <w:ind w:right="82"/>
        <w:textAlignment w:val="auto"/>
        <w:rPr>
          <w:rFonts w:asciiTheme="majorBidi" w:eastAsia="Calibri" w:hAnsiTheme="majorBidi" w:cstheme="majorBidi"/>
          <w:sz w:val="22"/>
          <w:szCs w:val="22"/>
          <w:lang w:val="en-NZ"/>
        </w:rPr>
      </w:pPr>
      <w:r w:rsidRPr="004976A0">
        <w:rPr>
          <w:rFonts w:asciiTheme="majorBidi" w:eastAsia="Calibri" w:hAnsiTheme="majorBidi" w:cstheme="majorBidi"/>
          <w:sz w:val="22"/>
          <w:szCs w:val="22"/>
          <w:lang w:val="fr-FR"/>
        </w:rPr>
        <w:t xml:space="preserve"> </w:t>
      </w:r>
      <w:r w:rsidRPr="004976A0">
        <w:rPr>
          <w:rFonts w:asciiTheme="majorBidi" w:eastAsia="Calibri" w:hAnsiTheme="majorBidi" w:cstheme="majorBidi"/>
          <w:sz w:val="22"/>
          <w:szCs w:val="22"/>
          <w:lang w:val="fr-FR"/>
        </w:rPr>
        <w:tab/>
      </w:r>
      <w:r w:rsidRPr="004976A0">
        <w:rPr>
          <w:rFonts w:asciiTheme="majorBidi" w:eastAsia="Calibri" w:hAnsiTheme="majorBidi" w:cstheme="majorBidi"/>
          <w:sz w:val="22"/>
          <w:szCs w:val="22"/>
          <w:lang w:val="fr-FR"/>
        </w:rPr>
        <w:tab/>
      </w:r>
      <w:r w:rsidRPr="004976A0">
        <w:rPr>
          <w:rFonts w:asciiTheme="majorBidi" w:eastAsia="Calibri" w:hAnsiTheme="majorBidi" w:cstheme="majorBidi"/>
          <w:sz w:val="22"/>
          <w:szCs w:val="22"/>
          <w:lang w:val="en-NZ"/>
        </w:rPr>
        <w:t>Const</w:t>
      </w:r>
      <w:r w:rsidRPr="004976A0">
        <w:rPr>
          <w:rFonts w:asciiTheme="majorBidi" w:eastAsia="Calibri" w:hAnsiTheme="majorBidi" w:cstheme="majorBidi"/>
          <w:sz w:val="22"/>
          <w:szCs w:val="22"/>
          <w:lang w:val="en-NZ"/>
        </w:rPr>
        <w:tab/>
      </w:r>
      <w:r w:rsidRPr="004976A0">
        <w:rPr>
          <w:rFonts w:asciiTheme="majorBidi" w:eastAsia="Calibri" w:hAnsiTheme="majorBidi" w:cstheme="majorBidi"/>
          <w:sz w:val="22"/>
          <w:szCs w:val="22"/>
          <w:lang w:val="en-NZ"/>
        </w:rPr>
        <w:tab/>
        <w:t xml:space="preserve">      0.0078256             </w:t>
      </w:r>
      <w:r w:rsidR="00402758">
        <w:rPr>
          <w:rFonts w:asciiTheme="majorBidi" w:eastAsia="Calibri" w:hAnsiTheme="majorBidi" w:cstheme="majorBidi"/>
          <w:sz w:val="22"/>
          <w:szCs w:val="22"/>
          <w:lang w:val="en-NZ"/>
        </w:rPr>
        <w:t xml:space="preserve"> </w:t>
      </w:r>
      <w:r w:rsidRPr="004976A0">
        <w:rPr>
          <w:rFonts w:asciiTheme="majorBidi" w:eastAsia="Calibri" w:hAnsiTheme="majorBidi" w:cstheme="majorBidi"/>
          <w:sz w:val="22"/>
          <w:szCs w:val="22"/>
          <w:lang w:val="en-NZ"/>
        </w:rPr>
        <w:t xml:space="preserve">0.0305  </w:t>
      </w:r>
    </w:p>
    <w:p w:rsidR="005B1F37" w:rsidRPr="00632F52" w:rsidRDefault="004976A0" w:rsidP="003C4644">
      <w:pPr>
        <w:overflowPunct/>
        <w:spacing w:after="0"/>
        <w:ind w:right="82"/>
        <w:textAlignment w:val="auto"/>
        <w:rPr>
          <w:rFonts w:asciiTheme="majorBidi" w:eastAsia="Calibri" w:hAnsiTheme="majorBidi" w:cstheme="majorBidi"/>
          <w:sz w:val="22"/>
          <w:szCs w:val="22"/>
          <w:lang w:val="en-NZ"/>
        </w:rPr>
      </w:pPr>
      <w:r w:rsidRPr="004976A0">
        <w:rPr>
          <w:rFonts w:asciiTheme="majorBidi" w:eastAsia="Calibri" w:hAnsiTheme="majorBidi" w:cstheme="majorBidi"/>
          <w:sz w:val="22"/>
          <w:szCs w:val="22"/>
          <w:lang w:val="en-NZ"/>
        </w:rPr>
        <w:t xml:space="preserve">  </w:t>
      </w:r>
      <w:r w:rsidRPr="004976A0">
        <w:rPr>
          <w:rFonts w:asciiTheme="majorBidi" w:eastAsia="Calibri" w:hAnsiTheme="majorBidi" w:cstheme="majorBidi"/>
          <w:sz w:val="22"/>
          <w:szCs w:val="22"/>
          <w:lang w:val="en-NZ"/>
        </w:rPr>
        <w:tab/>
      </w:r>
      <w:r w:rsidRPr="004976A0">
        <w:rPr>
          <w:rFonts w:asciiTheme="majorBidi" w:eastAsia="Calibri" w:hAnsiTheme="majorBidi" w:cstheme="majorBidi"/>
          <w:sz w:val="22"/>
          <w:szCs w:val="22"/>
          <w:lang w:val="en-NZ"/>
        </w:rPr>
        <w:tab/>
        <w:t>A (lagged)             -0.0001956               -3.6567***</w:t>
      </w:r>
    </w:p>
    <w:p w:rsidR="005B1F37" w:rsidRPr="00632F52" w:rsidRDefault="005428E4" w:rsidP="003C4644">
      <w:pPr>
        <w:overflowPunct/>
        <w:spacing w:after="0"/>
        <w:ind w:right="82" w:firstLine="720"/>
        <w:textAlignment w:val="auto"/>
        <w:rPr>
          <w:rFonts w:asciiTheme="majorBidi" w:eastAsia="Calibri" w:hAnsiTheme="majorBidi" w:cstheme="majorBidi"/>
          <w:sz w:val="22"/>
          <w:szCs w:val="22"/>
          <w:lang w:val="en-NZ"/>
        </w:rPr>
      </w:pPr>
      <w:r>
        <w:rPr>
          <w:rFonts w:asciiTheme="majorBidi" w:eastAsia="Calibri" w:hAnsiTheme="majorBidi" w:cstheme="majorBidi"/>
          <w:sz w:val="22"/>
          <w:szCs w:val="22"/>
          <w:lang w:val="en-NZ"/>
        </w:rPr>
        <w:tab/>
      </w:r>
      <w:r w:rsidR="004976A0" w:rsidRPr="004976A0">
        <w:rPr>
          <w:rFonts w:asciiTheme="majorBidi" w:eastAsia="Calibri" w:hAnsiTheme="majorBidi" w:cstheme="majorBidi"/>
          <w:sz w:val="22"/>
          <w:szCs w:val="22"/>
          <w:lang w:val="en-NZ"/>
        </w:rPr>
        <w:t xml:space="preserve">M (lagged) </w:t>
      </w:r>
      <w:r w:rsidR="00402758">
        <w:rPr>
          <w:rFonts w:asciiTheme="majorBidi" w:eastAsia="Calibri" w:hAnsiTheme="majorBidi" w:cstheme="majorBidi"/>
          <w:sz w:val="22"/>
          <w:szCs w:val="22"/>
          <w:lang w:val="en-NZ"/>
        </w:rPr>
        <w:t xml:space="preserve"> </w:t>
      </w:r>
      <w:r w:rsidR="004976A0" w:rsidRPr="004976A0">
        <w:rPr>
          <w:rFonts w:asciiTheme="majorBidi" w:eastAsia="Calibri" w:hAnsiTheme="majorBidi" w:cstheme="majorBidi"/>
          <w:sz w:val="22"/>
          <w:szCs w:val="22"/>
          <w:lang w:val="en-NZ"/>
        </w:rPr>
        <w:t xml:space="preserve">            0.0000141                3.7996***</w:t>
      </w:r>
    </w:p>
    <w:p w:rsidR="005B1F37" w:rsidRPr="00632F52" w:rsidRDefault="005428E4" w:rsidP="003C4644">
      <w:pPr>
        <w:overflowPunct/>
        <w:spacing w:after="0"/>
        <w:ind w:right="82" w:firstLine="720"/>
        <w:textAlignment w:val="auto"/>
        <w:rPr>
          <w:rFonts w:asciiTheme="majorBidi" w:eastAsia="Calibri" w:hAnsiTheme="majorBidi" w:cstheme="majorBidi"/>
          <w:sz w:val="22"/>
          <w:szCs w:val="22"/>
          <w:lang w:val="en-NZ"/>
        </w:rPr>
      </w:pPr>
      <w:r>
        <w:rPr>
          <w:rFonts w:asciiTheme="majorBidi" w:eastAsia="Calibri" w:hAnsiTheme="majorBidi" w:cstheme="majorBidi"/>
          <w:sz w:val="22"/>
          <w:szCs w:val="22"/>
          <w:lang w:val="en-NZ"/>
        </w:rPr>
        <w:tab/>
      </w:r>
      <w:commentRangeStart w:id="14"/>
      <w:r w:rsidR="004976A0" w:rsidRPr="004976A0">
        <w:rPr>
          <w:rFonts w:asciiTheme="majorBidi" w:eastAsia="Calibri" w:hAnsiTheme="majorBidi" w:cstheme="majorBidi"/>
          <w:sz w:val="22"/>
          <w:szCs w:val="22"/>
          <w:lang w:val="en-NZ"/>
        </w:rPr>
        <w:t>N (lagged</w:t>
      </w:r>
      <w:r w:rsidR="00402758">
        <w:rPr>
          <w:rFonts w:asciiTheme="majorBidi" w:eastAsia="Calibri" w:hAnsiTheme="majorBidi" w:cstheme="majorBidi"/>
          <w:sz w:val="22"/>
          <w:szCs w:val="22"/>
          <w:lang w:val="en-NZ"/>
        </w:rPr>
        <w:t>)</w:t>
      </w:r>
      <w:r w:rsidR="004976A0" w:rsidRPr="004976A0">
        <w:rPr>
          <w:rFonts w:asciiTheme="majorBidi" w:eastAsia="Calibri" w:hAnsiTheme="majorBidi" w:cstheme="majorBidi"/>
          <w:sz w:val="22"/>
          <w:szCs w:val="22"/>
          <w:lang w:val="en-NZ"/>
        </w:rPr>
        <w:tab/>
      </w:r>
      <w:r w:rsidR="00632F52">
        <w:rPr>
          <w:rFonts w:asciiTheme="majorBidi" w:eastAsia="Calibri" w:hAnsiTheme="majorBidi" w:cstheme="majorBidi"/>
          <w:sz w:val="22"/>
          <w:szCs w:val="22"/>
          <w:lang w:val="en-NZ"/>
        </w:rPr>
        <w:t xml:space="preserve">     </w:t>
      </w:r>
      <w:r w:rsidR="004976A0" w:rsidRPr="004976A0">
        <w:rPr>
          <w:rFonts w:asciiTheme="majorBidi" w:eastAsia="Calibri" w:hAnsiTheme="majorBidi" w:cstheme="majorBidi"/>
          <w:sz w:val="22"/>
          <w:szCs w:val="22"/>
          <w:lang w:val="en-NZ"/>
        </w:rPr>
        <w:t xml:space="preserve">0.0000013          </w:t>
      </w:r>
      <w:r w:rsidR="00632F52">
        <w:rPr>
          <w:rFonts w:asciiTheme="majorBidi" w:eastAsia="Calibri" w:hAnsiTheme="majorBidi" w:cstheme="majorBidi"/>
          <w:sz w:val="22"/>
          <w:szCs w:val="22"/>
          <w:lang w:val="en-NZ"/>
        </w:rPr>
        <w:t xml:space="preserve"> </w:t>
      </w:r>
      <w:r w:rsidR="004976A0" w:rsidRPr="004976A0">
        <w:rPr>
          <w:rFonts w:asciiTheme="majorBidi" w:eastAsia="Calibri" w:hAnsiTheme="majorBidi" w:cstheme="majorBidi"/>
          <w:sz w:val="22"/>
          <w:szCs w:val="22"/>
          <w:lang w:val="en-NZ"/>
        </w:rPr>
        <w:t xml:space="preserve">  </w:t>
      </w:r>
      <w:r w:rsidR="00402758">
        <w:rPr>
          <w:rFonts w:asciiTheme="majorBidi" w:eastAsia="Calibri" w:hAnsiTheme="majorBidi" w:cstheme="majorBidi"/>
          <w:sz w:val="22"/>
          <w:szCs w:val="22"/>
          <w:lang w:val="en-NZ"/>
        </w:rPr>
        <w:t xml:space="preserve">   </w:t>
      </w:r>
      <w:r w:rsidR="004976A0" w:rsidRPr="004976A0">
        <w:rPr>
          <w:rFonts w:asciiTheme="majorBidi" w:eastAsia="Calibri" w:hAnsiTheme="majorBidi" w:cstheme="majorBidi"/>
          <w:sz w:val="22"/>
          <w:szCs w:val="22"/>
          <w:lang w:val="en-NZ"/>
        </w:rPr>
        <w:t>2.5403 **</w:t>
      </w:r>
      <w:commentRangeEnd w:id="14"/>
      <w:r w:rsidR="004976A0" w:rsidRPr="004976A0">
        <w:rPr>
          <w:rStyle w:val="CommentReference"/>
          <w:sz w:val="22"/>
          <w:szCs w:val="22"/>
        </w:rPr>
        <w:commentReference w:id="14"/>
      </w:r>
    </w:p>
    <w:p w:rsidR="005B1F37" w:rsidRPr="00632F52" w:rsidRDefault="004976A0" w:rsidP="003C4644">
      <w:pPr>
        <w:overflowPunct/>
        <w:spacing w:after="0"/>
        <w:ind w:right="82"/>
        <w:textAlignment w:val="auto"/>
        <w:rPr>
          <w:rFonts w:asciiTheme="majorBidi" w:eastAsia="Calibri" w:hAnsiTheme="majorBidi" w:cstheme="majorBidi"/>
          <w:sz w:val="22"/>
          <w:szCs w:val="22"/>
          <w:lang w:val="en-NZ"/>
        </w:rPr>
      </w:pPr>
      <w:r w:rsidRPr="004976A0">
        <w:rPr>
          <w:rFonts w:asciiTheme="majorBidi" w:eastAsia="Calibri" w:hAnsiTheme="majorBidi" w:cstheme="majorBidi"/>
          <w:sz w:val="22"/>
          <w:szCs w:val="22"/>
          <w:lang w:val="en-NZ"/>
        </w:rPr>
        <w:tab/>
      </w:r>
      <w:r w:rsidRPr="004976A0">
        <w:rPr>
          <w:rFonts w:asciiTheme="majorBidi" w:eastAsia="Calibri" w:hAnsiTheme="majorBidi" w:cstheme="majorBidi"/>
          <w:sz w:val="22"/>
          <w:szCs w:val="22"/>
          <w:lang w:val="en-NZ"/>
        </w:rPr>
        <w:tab/>
      </w:r>
      <w:r w:rsidR="005428E4">
        <w:rPr>
          <w:rFonts w:asciiTheme="majorBidi" w:eastAsia="Calibri" w:hAnsiTheme="majorBidi" w:cstheme="majorBidi"/>
          <w:sz w:val="22"/>
          <w:szCs w:val="22"/>
          <w:lang w:val="en-NZ"/>
        </w:rPr>
        <w:t>-----------------------------------------------------------------</w:t>
      </w:r>
    </w:p>
    <w:p w:rsidR="00E14A56" w:rsidRDefault="00632F52">
      <w:pPr>
        <w:overflowPunct/>
        <w:spacing w:after="0"/>
        <w:ind w:right="82"/>
        <w:textAlignment w:val="auto"/>
        <w:rPr>
          <w:rFonts w:asciiTheme="majorBidi" w:eastAsia="Calibri" w:hAnsiTheme="majorBidi" w:cstheme="majorBidi"/>
          <w:sz w:val="22"/>
          <w:szCs w:val="22"/>
          <w:lang w:val="en-NZ"/>
        </w:rPr>
      </w:pPr>
      <w:r>
        <w:rPr>
          <w:rFonts w:asciiTheme="majorBidi" w:eastAsia="Calibri" w:hAnsiTheme="majorBidi" w:cstheme="majorBidi"/>
          <w:sz w:val="22"/>
          <w:szCs w:val="22"/>
          <w:lang w:val="en-NZ"/>
        </w:rPr>
        <w:tab/>
      </w:r>
      <w:r>
        <w:rPr>
          <w:rFonts w:asciiTheme="majorBidi" w:eastAsia="Calibri" w:hAnsiTheme="majorBidi" w:cstheme="majorBidi"/>
          <w:sz w:val="22"/>
          <w:szCs w:val="22"/>
          <w:lang w:val="en-NZ"/>
        </w:rPr>
        <w:tab/>
      </w:r>
      <w:r w:rsidR="004976A0" w:rsidRPr="004976A0">
        <w:rPr>
          <w:color w:val="000000"/>
          <w:sz w:val="22"/>
          <w:szCs w:val="22"/>
        </w:rPr>
        <w:t xml:space="preserve">*** 1% </w:t>
      </w:r>
      <w:proofErr w:type="spellStart"/>
      <w:r w:rsidR="004976A0" w:rsidRPr="004976A0">
        <w:rPr>
          <w:color w:val="000000"/>
          <w:sz w:val="22"/>
          <w:szCs w:val="22"/>
        </w:rPr>
        <w:t>signiﬁcance</w:t>
      </w:r>
      <w:proofErr w:type="spellEnd"/>
      <w:r>
        <w:rPr>
          <w:color w:val="000000"/>
          <w:sz w:val="22"/>
          <w:szCs w:val="22"/>
        </w:rPr>
        <w:t>;</w:t>
      </w:r>
      <w:r>
        <w:rPr>
          <w:rFonts w:asciiTheme="majorBidi" w:eastAsia="Calibri" w:hAnsiTheme="majorBidi" w:cstheme="majorBidi"/>
          <w:i/>
          <w:iCs/>
          <w:sz w:val="22"/>
          <w:szCs w:val="22"/>
          <w:lang w:val="en-NZ"/>
        </w:rPr>
        <w:t xml:space="preserve"> </w:t>
      </w:r>
      <w:r w:rsidR="004976A0" w:rsidRPr="004976A0">
        <w:rPr>
          <w:rFonts w:asciiTheme="majorBidi" w:eastAsia="Calibri" w:hAnsiTheme="majorBidi" w:cstheme="majorBidi"/>
          <w:i/>
          <w:iCs/>
          <w:sz w:val="22"/>
          <w:szCs w:val="22"/>
          <w:lang w:val="en-NZ"/>
        </w:rPr>
        <w:t>R</w:t>
      </w:r>
      <w:r w:rsidR="004976A0" w:rsidRPr="004976A0">
        <w:rPr>
          <w:rFonts w:asciiTheme="majorBidi" w:eastAsia="Calibri" w:hAnsiTheme="majorBidi" w:cstheme="majorBidi"/>
          <w:sz w:val="22"/>
          <w:szCs w:val="22"/>
          <w:lang w:val="en-NZ"/>
        </w:rPr>
        <w:t>-</w:t>
      </w:r>
      <w:proofErr w:type="gramStart"/>
      <w:r w:rsidR="004976A0" w:rsidRPr="004976A0">
        <w:rPr>
          <w:rFonts w:asciiTheme="majorBidi" w:eastAsia="Calibri" w:hAnsiTheme="majorBidi" w:cstheme="majorBidi"/>
          <w:sz w:val="22"/>
          <w:szCs w:val="22"/>
          <w:lang w:val="en-NZ"/>
        </w:rPr>
        <w:t xml:space="preserve">squared </w:t>
      </w:r>
      <w:r>
        <w:rPr>
          <w:rFonts w:asciiTheme="majorBidi" w:eastAsia="Calibri" w:hAnsiTheme="majorBidi" w:cstheme="majorBidi"/>
          <w:sz w:val="22"/>
          <w:szCs w:val="22"/>
          <w:lang w:val="en-NZ"/>
        </w:rPr>
        <w:t xml:space="preserve"> </w:t>
      </w:r>
      <w:r w:rsidR="004976A0" w:rsidRPr="004976A0">
        <w:rPr>
          <w:rFonts w:asciiTheme="majorBidi" w:eastAsia="Calibri" w:hAnsiTheme="majorBidi" w:cstheme="majorBidi"/>
          <w:sz w:val="22"/>
          <w:szCs w:val="22"/>
          <w:lang w:val="en-NZ"/>
        </w:rPr>
        <w:t>0.79</w:t>
      </w:r>
      <w:proofErr w:type="gramEnd"/>
      <w:r>
        <w:rPr>
          <w:rFonts w:asciiTheme="majorBidi" w:eastAsia="Calibri" w:hAnsiTheme="majorBidi" w:cstheme="majorBidi"/>
          <w:sz w:val="22"/>
          <w:szCs w:val="22"/>
          <w:lang w:val="en-NZ"/>
        </w:rPr>
        <w:t xml:space="preserve">; </w:t>
      </w:r>
      <w:r w:rsidR="004976A0" w:rsidRPr="004976A0">
        <w:rPr>
          <w:rFonts w:asciiTheme="majorBidi" w:eastAsia="Calibri" w:hAnsiTheme="majorBidi" w:cstheme="majorBidi"/>
          <w:sz w:val="22"/>
          <w:szCs w:val="22"/>
          <w:lang w:val="en-NZ"/>
        </w:rPr>
        <w:t>Durbin-Watson   2.01</w:t>
      </w:r>
    </w:p>
    <w:p w:rsidR="005B1F37" w:rsidRPr="005B1F37" w:rsidRDefault="005B1F37" w:rsidP="003C4644">
      <w:pPr>
        <w:spacing w:after="0"/>
        <w:ind w:right="82"/>
        <w:jc w:val="both"/>
        <w:rPr>
          <w:szCs w:val="24"/>
          <w:lang w:val="en-NZ"/>
        </w:rPr>
      </w:pPr>
    </w:p>
    <w:p w:rsidR="005B1F37" w:rsidRPr="005B1F37" w:rsidRDefault="005B1F37" w:rsidP="003C4644">
      <w:pPr>
        <w:spacing w:after="0"/>
        <w:ind w:right="82"/>
        <w:jc w:val="both"/>
        <w:rPr>
          <w:szCs w:val="24"/>
          <w:lang w:val="en-NZ"/>
        </w:rPr>
      </w:pPr>
    </w:p>
    <w:p w:rsidR="00E14A56" w:rsidRDefault="005B1F37">
      <w:pPr>
        <w:spacing w:after="0"/>
        <w:ind w:right="82" w:firstLine="447"/>
        <w:jc w:val="both"/>
        <w:rPr>
          <w:szCs w:val="24"/>
        </w:rPr>
      </w:pPr>
      <w:r>
        <w:rPr>
          <w:szCs w:val="24"/>
        </w:rPr>
        <w:t xml:space="preserve">The correlation coefficient between agricultural employment and agricultural output is </w:t>
      </w:r>
      <w:r w:rsidR="00B672CA">
        <w:rPr>
          <w:szCs w:val="24"/>
        </w:rPr>
        <w:t>-</w:t>
      </w:r>
      <w:r>
        <w:rPr>
          <w:szCs w:val="24"/>
        </w:rPr>
        <w:t xml:space="preserve">0.82. </w:t>
      </w:r>
      <w:r w:rsidR="00CB2335">
        <w:rPr>
          <w:szCs w:val="24"/>
        </w:rPr>
        <w:t>A</w:t>
      </w:r>
      <w:r>
        <w:rPr>
          <w:szCs w:val="24"/>
        </w:rPr>
        <w:t>gricultural employment</w:t>
      </w:r>
      <w:r w:rsidR="00CB2335">
        <w:rPr>
          <w:szCs w:val="24"/>
        </w:rPr>
        <w:t xml:space="preserve"> thus</w:t>
      </w:r>
      <w:r>
        <w:rPr>
          <w:szCs w:val="24"/>
        </w:rPr>
        <w:t xml:space="preserve"> captures much more than agricultural output. But note that it also captures the impact of labor-related institutions/policies, so it is at best an imperfect proxy for </w:t>
      </w:r>
      <w:proofErr w:type="spellStart"/>
      <w:r w:rsidRPr="006C02C5">
        <w:rPr>
          <w:i/>
          <w:iCs/>
          <w:szCs w:val="24"/>
        </w:rPr>
        <w:t>r</w:t>
      </w:r>
      <w:r w:rsidRPr="006C02C5">
        <w:rPr>
          <w:i/>
          <w:iCs/>
          <w:szCs w:val="24"/>
          <w:vertAlign w:val="subscript"/>
        </w:rPr>
        <w:t>M</w:t>
      </w:r>
      <w:r>
        <w:rPr>
          <w:szCs w:val="24"/>
        </w:rPr>
        <w:t>.</w:t>
      </w:r>
      <w:proofErr w:type="spellEnd"/>
      <w:r>
        <w:rPr>
          <w:szCs w:val="24"/>
        </w:rPr>
        <w:t xml:space="preserve"> </w:t>
      </w:r>
      <w:commentRangeStart w:id="15"/>
      <w:r>
        <w:rPr>
          <w:szCs w:val="24"/>
        </w:rPr>
        <w:t>Still, employing our proxy for institutions/policies has all but removed the constant, providing strong empirical support for the claim that the constant captures institutions and policies.</w:t>
      </w:r>
      <w:r w:rsidR="00BC0A19">
        <w:rPr>
          <w:rStyle w:val="FootnoteReference"/>
          <w:szCs w:val="24"/>
        </w:rPr>
        <w:footnoteReference w:id="7"/>
      </w:r>
      <w:r>
        <w:rPr>
          <w:szCs w:val="24"/>
        </w:rPr>
        <w:t xml:space="preserve"> </w:t>
      </w:r>
      <w:commentRangeEnd w:id="15"/>
      <w:r w:rsidR="00E65668">
        <w:rPr>
          <w:rStyle w:val="CommentReference"/>
        </w:rPr>
        <w:commentReference w:id="15"/>
      </w:r>
    </w:p>
    <w:p w:rsidR="00FE219F" w:rsidRDefault="00CB2335" w:rsidP="003C4644">
      <w:pPr>
        <w:spacing w:after="0"/>
        <w:ind w:right="82"/>
        <w:jc w:val="both"/>
        <w:rPr>
          <w:szCs w:val="24"/>
        </w:rPr>
      </w:pPr>
      <w:r>
        <w:rPr>
          <w:szCs w:val="24"/>
        </w:rPr>
        <w:t xml:space="preserve">     </w:t>
      </w:r>
    </w:p>
    <w:p w:rsidR="00105476" w:rsidRDefault="00C67935" w:rsidP="003C4644">
      <w:pPr>
        <w:tabs>
          <w:tab w:val="left" w:pos="9781"/>
        </w:tabs>
        <w:spacing w:after="0"/>
        <w:ind w:right="82"/>
        <w:jc w:val="both"/>
        <w:rPr>
          <w:b/>
        </w:rPr>
      </w:pPr>
      <w:r>
        <w:rPr>
          <w:b/>
        </w:rPr>
        <w:t xml:space="preserve">4. </w:t>
      </w:r>
      <w:r w:rsidR="00105476">
        <w:rPr>
          <w:b/>
        </w:rPr>
        <w:t>Conclus</w:t>
      </w:r>
      <w:r w:rsidR="00105476" w:rsidRPr="002D34E7">
        <w:rPr>
          <w:b/>
        </w:rPr>
        <w:t>ion</w:t>
      </w:r>
      <w:r w:rsidR="00EF3B5B">
        <w:rPr>
          <w:b/>
        </w:rPr>
        <w:t>s</w:t>
      </w:r>
    </w:p>
    <w:p w:rsidR="00632F52" w:rsidRPr="00632F52" w:rsidRDefault="00632F52" w:rsidP="003C4644">
      <w:pPr>
        <w:tabs>
          <w:tab w:val="left" w:pos="9781"/>
        </w:tabs>
        <w:spacing w:after="0"/>
        <w:ind w:right="82"/>
        <w:jc w:val="both"/>
        <w:rPr>
          <w:b/>
          <w:sz w:val="12"/>
          <w:szCs w:val="12"/>
        </w:rPr>
      </w:pPr>
    </w:p>
    <w:p w:rsidR="005428E4" w:rsidRDefault="00EF3B5B" w:rsidP="003C4644">
      <w:pPr>
        <w:tabs>
          <w:tab w:val="left" w:pos="9026"/>
          <w:tab w:val="left" w:pos="9781"/>
        </w:tabs>
        <w:spacing w:after="0"/>
        <w:ind w:right="82"/>
        <w:jc w:val="both"/>
        <w:rPr>
          <w:color w:val="000000"/>
          <w:szCs w:val="24"/>
        </w:rPr>
      </w:pPr>
      <w:r>
        <w:t>W</w:t>
      </w:r>
      <w:r w:rsidR="00105476">
        <w:t>e have</w:t>
      </w:r>
      <w:r w:rsidR="00D122BB">
        <w:t xml:space="preserve"> provided</w:t>
      </w:r>
      <w:r w:rsidR="00105476">
        <w:t xml:space="preserve"> a method</w:t>
      </w:r>
      <w:r w:rsidR="00300564">
        <w:t xml:space="preserve"> that uses very limited data to</w:t>
      </w:r>
      <w:r w:rsidR="00105476">
        <w:t xml:space="preserve"> ex</w:t>
      </w:r>
      <w:r w:rsidR="00300564">
        <w:t>tract information about the relative</w:t>
      </w:r>
      <w:r w:rsidR="00105476">
        <w:t xml:space="preserve"> sizes of key factors </w:t>
      </w:r>
      <w:r w:rsidR="00300564">
        <w:t>that influence the</w:t>
      </w:r>
      <w:r w:rsidR="00105476">
        <w:t xml:space="preserve"> growth rates of</w:t>
      </w:r>
      <w:r w:rsidR="00300564">
        <w:t xml:space="preserve"> a sector</w:t>
      </w:r>
      <w:r w:rsidR="00105476">
        <w:t>.</w:t>
      </w:r>
      <w:r w:rsidR="00D122BB">
        <w:t xml:space="preserve"> We have chosen China to illustrate our method</w:t>
      </w:r>
      <w:r w:rsidR="00587DA2">
        <w:t xml:space="preserve"> </w:t>
      </w:r>
      <w:r w:rsidR="00D122BB">
        <w:t xml:space="preserve">- </w:t>
      </w:r>
      <w:r w:rsidR="00D122BB">
        <w:rPr>
          <w:color w:val="000000"/>
          <w:szCs w:val="24"/>
        </w:rPr>
        <w:t>g</w:t>
      </w:r>
      <w:r w:rsidR="00FA373D">
        <w:rPr>
          <w:color w:val="000000"/>
          <w:szCs w:val="24"/>
        </w:rPr>
        <w:t xml:space="preserve">iven the importance of China to the world economy, and the danger of misreading its economic activity, official Chinese statistics are a point of strong interest to businesspeople, policy makers and investors. But the output statistics, by themselves, tend to be looked at superficially. For example, </w:t>
      </w:r>
      <w:r w:rsidR="00D122BB">
        <w:rPr>
          <w:color w:val="000000"/>
          <w:szCs w:val="24"/>
        </w:rPr>
        <w:t>people can see</w:t>
      </w:r>
      <w:r w:rsidR="00FA373D">
        <w:rPr>
          <w:color w:val="000000"/>
          <w:szCs w:val="24"/>
        </w:rPr>
        <w:t xml:space="preserve"> that output </w:t>
      </w:r>
      <w:r w:rsidR="00D122BB">
        <w:rPr>
          <w:color w:val="000000"/>
          <w:szCs w:val="24"/>
        </w:rPr>
        <w:t>may be</w:t>
      </w:r>
      <w:r w:rsidR="00FA373D">
        <w:rPr>
          <w:color w:val="000000"/>
          <w:szCs w:val="24"/>
        </w:rPr>
        <w:t xml:space="preserve"> rising or falling over time. To gain deeper insights more information</w:t>
      </w:r>
      <w:r w:rsidR="00D122BB">
        <w:rPr>
          <w:color w:val="000000"/>
          <w:szCs w:val="24"/>
        </w:rPr>
        <w:t xml:space="preserve"> is typically needed</w:t>
      </w:r>
      <w:r w:rsidR="00FA373D">
        <w:rPr>
          <w:color w:val="000000"/>
          <w:szCs w:val="24"/>
        </w:rPr>
        <w:t xml:space="preserve">, but the information made publicly available is often limited. </w:t>
      </w:r>
    </w:p>
    <w:p w:rsidR="005428E4" w:rsidRDefault="005428E4" w:rsidP="003C4644">
      <w:pPr>
        <w:tabs>
          <w:tab w:val="left" w:pos="9026"/>
          <w:tab w:val="left" w:pos="9781"/>
        </w:tabs>
        <w:spacing w:after="0"/>
        <w:ind w:right="82"/>
        <w:jc w:val="both"/>
        <w:rPr>
          <w:color w:val="000000"/>
          <w:szCs w:val="24"/>
        </w:rPr>
      </w:pPr>
    </w:p>
    <w:p w:rsidR="00E14A56" w:rsidRDefault="00FA373D">
      <w:pPr>
        <w:spacing w:after="0"/>
        <w:ind w:right="82" w:firstLine="426"/>
        <w:jc w:val="both"/>
      </w:pPr>
      <w:r>
        <w:rPr>
          <w:color w:val="000000"/>
          <w:szCs w:val="24"/>
        </w:rPr>
        <w:t xml:space="preserve">We have demonstrated that simple growth numbers can tell us more than </w:t>
      </w:r>
      <w:r w:rsidR="00D122BB">
        <w:rPr>
          <w:color w:val="000000"/>
          <w:szCs w:val="24"/>
        </w:rPr>
        <w:t>hitherto has been</w:t>
      </w:r>
      <w:r>
        <w:rPr>
          <w:color w:val="000000"/>
          <w:szCs w:val="24"/>
        </w:rPr>
        <w:t xml:space="preserve"> expect</w:t>
      </w:r>
      <w:r w:rsidR="00D122BB">
        <w:rPr>
          <w:color w:val="000000"/>
          <w:szCs w:val="24"/>
        </w:rPr>
        <w:t>ed</w:t>
      </w:r>
      <w:r>
        <w:rPr>
          <w:color w:val="000000"/>
          <w:szCs w:val="24"/>
        </w:rPr>
        <w:t>. In particular, simple numbers can offer insights about the impact of fundamentals, policies and institutions.</w:t>
      </w:r>
      <w:r>
        <w:t xml:space="preserve"> </w:t>
      </w:r>
      <w:r w:rsidR="00153CFD">
        <w:t>Note that, because of our grouping of factors into three broad areas, identification of the key specific factors within each group lies outside the scope of this paper.</w:t>
      </w:r>
      <w:r w:rsidR="006A6D0F">
        <w:t xml:space="preserve"> O</w:t>
      </w:r>
      <w:r w:rsidR="001765AF">
        <w:t>ur appr</w:t>
      </w:r>
      <w:r w:rsidR="00300564">
        <w:t>oach obscures</w:t>
      </w:r>
      <w:r w:rsidR="001765AF">
        <w:t xml:space="preserve"> further detail that we leave to further research. An example is the labor supply equation that might </w:t>
      </w:r>
      <w:r w:rsidR="00300564">
        <w:t xml:space="preserve">explicitly </w:t>
      </w:r>
      <w:r w:rsidR="006A6D0F">
        <w:t>model</w:t>
      </w:r>
      <w:r w:rsidR="001765AF">
        <w:t xml:space="preserve"> workers’ preferences and wages outside the sectors examined</w:t>
      </w:r>
      <w:r w:rsidR="00300564">
        <w:t>. Lastly, for developing countries,</w:t>
      </w:r>
      <w:r w:rsidR="00B10AD2">
        <w:t xml:space="preserve"> on which the short-run growth literature currently focuses,</w:t>
      </w:r>
      <w:r w:rsidR="00300564">
        <w:t xml:space="preserve"> the transition from agriculture to industry justifies our focus on the agricultural sector</w:t>
      </w:r>
      <w:r w:rsidR="00B10AD2">
        <w:t>, rather than services,</w:t>
      </w:r>
      <w:r w:rsidR="00300564">
        <w:t xml:space="preserve"> as a key growth determina</w:t>
      </w:r>
      <w:r w:rsidR="00B10AD2">
        <w:t>nt of manufacturing. F</w:t>
      </w:r>
      <w:r w:rsidR="00300564">
        <w:t>or more developed countries the impact of the service sector m</w:t>
      </w:r>
      <w:r w:rsidR="006A6D0F">
        <w:t>ight also be a useful addition.</w:t>
      </w:r>
      <w:r w:rsidR="00B3487A">
        <w:t xml:space="preserve"> </w:t>
      </w:r>
    </w:p>
    <w:p w:rsidR="005B1F37" w:rsidRDefault="005B1F37">
      <w:pPr>
        <w:overflowPunct/>
        <w:autoSpaceDE/>
        <w:autoSpaceDN/>
        <w:adjustRightInd/>
        <w:spacing w:after="0"/>
        <w:textAlignment w:val="auto"/>
        <w:rPr>
          <w:b/>
          <w:bCs/>
          <w:sz w:val="28"/>
          <w:szCs w:val="28"/>
        </w:rPr>
      </w:pPr>
    </w:p>
    <w:p w:rsidR="005428E4" w:rsidRDefault="005428E4">
      <w:pPr>
        <w:overflowPunct/>
        <w:autoSpaceDE/>
        <w:autoSpaceDN/>
        <w:adjustRightInd/>
        <w:spacing w:after="0"/>
        <w:textAlignment w:val="auto"/>
        <w:rPr>
          <w:b/>
          <w:bCs/>
          <w:sz w:val="22"/>
          <w:szCs w:val="22"/>
        </w:rPr>
      </w:pPr>
      <w:r>
        <w:rPr>
          <w:b/>
          <w:bCs/>
          <w:sz w:val="22"/>
          <w:szCs w:val="22"/>
        </w:rPr>
        <w:br w:type="page"/>
      </w:r>
    </w:p>
    <w:p w:rsidR="00E14A56" w:rsidRDefault="004976A0">
      <w:pPr>
        <w:tabs>
          <w:tab w:val="left" w:pos="-2268"/>
          <w:tab w:val="left" w:pos="426"/>
          <w:tab w:val="left" w:pos="1134"/>
          <w:tab w:val="left" w:pos="9781"/>
        </w:tabs>
        <w:spacing w:after="0"/>
        <w:ind w:left="992" w:right="1315"/>
        <w:jc w:val="center"/>
        <w:rPr>
          <w:b/>
          <w:bCs/>
          <w:sz w:val="22"/>
          <w:szCs w:val="22"/>
        </w:rPr>
      </w:pPr>
      <w:r w:rsidRPr="004976A0">
        <w:rPr>
          <w:b/>
          <w:bCs/>
          <w:sz w:val="22"/>
          <w:szCs w:val="22"/>
        </w:rPr>
        <w:lastRenderedPageBreak/>
        <w:t>Appendix: Manufacturing and Agricultural Outputs</w:t>
      </w:r>
    </w:p>
    <w:p w:rsidR="00E14A56" w:rsidRDefault="004976A0">
      <w:pPr>
        <w:tabs>
          <w:tab w:val="left" w:pos="-2268"/>
          <w:tab w:val="left" w:pos="426"/>
          <w:tab w:val="left" w:pos="1134"/>
          <w:tab w:val="left" w:pos="9781"/>
        </w:tabs>
        <w:spacing w:after="0"/>
        <w:ind w:left="992" w:right="1315"/>
        <w:jc w:val="center"/>
        <w:rPr>
          <w:bCs/>
          <w:sz w:val="22"/>
          <w:szCs w:val="22"/>
        </w:rPr>
      </w:pPr>
      <w:r w:rsidRPr="004976A0">
        <w:rPr>
          <w:bCs/>
          <w:sz w:val="22"/>
          <w:szCs w:val="22"/>
        </w:rPr>
        <w:t xml:space="preserve">(100m </w:t>
      </w:r>
      <w:proofErr w:type="spellStart"/>
      <w:r w:rsidRPr="004976A0">
        <w:rPr>
          <w:bCs/>
          <w:sz w:val="22"/>
          <w:szCs w:val="22"/>
        </w:rPr>
        <w:t>yuan</w:t>
      </w:r>
      <w:proofErr w:type="spellEnd"/>
      <w:r w:rsidRPr="004976A0">
        <w:rPr>
          <w:bCs/>
          <w:sz w:val="22"/>
          <w:szCs w:val="22"/>
        </w:rPr>
        <w:t>, 1978 prices)</w:t>
      </w:r>
    </w:p>
    <w:tbl>
      <w:tblPr>
        <w:tblW w:w="8046" w:type="dxa"/>
        <w:jc w:val="center"/>
        <w:tblLayout w:type="fixed"/>
        <w:tblLook w:val="04A0"/>
      </w:tblPr>
      <w:tblGrid>
        <w:gridCol w:w="8046"/>
      </w:tblGrid>
      <w:tr w:rsidR="00632F52" w:rsidTr="00632F52">
        <w:trPr>
          <w:jc w:val="center"/>
        </w:trPr>
        <w:tc>
          <w:tcPr>
            <w:tcW w:w="8046" w:type="dxa"/>
          </w:tcPr>
          <w:tbl>
            <w:tblPr>
              <w:tblStyle w:val="TableGrid"/>
              <w:tblW w:w="6091" w:type="dxa"/>
              <w:tblInd w:w="87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tblPr>
            <w:tblGrid>
              <w:gridCol w:w="1996"/>
              <w:gridCol w:w="2110"/>
              <w:gridCol w:w="1985"/>
            </w:tblGrid>
            <w:tr w:rsidR="00632F52" w:rsidRPr="00D76932" w:rsidTr="00632F52">
              <w:tc>
                <w:tcPr>
                  <w:tcW w:w="1996" w:type="dxa"/>
                  <w:tcBorders>
                    <w:top w:val="single" w:sz="4" w:space="0" w:color="auto"/>
                    <w:bottom w:val="single" w:sz="4" w:space="0" w:color="auto"/>
                  </w:tcBorders>
                </w:tcPr>
                <w:p w:rsidR="00A60BBF" w:rsidRDefault="004976A0" w:rsidP="0083030F">
                  <w:pPr>
                    <w:tabs>
                      <w:tab w:val="left" w:pos="-2268"/>
                      <w:tab w:val="left" w:pos="9781"/>
                    </w:tabs>
                    <w:spacing w:before="40" w:after="0"/>
                    <w:ind w:right="946"/>
                    <w:jc w:val="right"/>
                    <w:rPr>
                      <w:sz w:val="22"/>
                      <w:szCs w:val="22"/>
                    </w:rPr>
                  </w:pPr>
                  <w:r w:rsidRPr="004976A0">
                    <w:rPr>
                      <w:sz w:val="22"/>
                      <w:szCs w:val="22"/>
                    </w:rPr>
                    <w:t>Year</w:t>
                  </w:r>
                </w:p>
              </w:tc>
              <w:tc>
                <w:tcPr>
                  <w:tcW w:w="2110" w:type="dxa"/>
                  <w:tcBorders>
                    <w:top w:val="single" w:sz="4" w:space="0" w:color="auto"/>
                    <w:bottom w:val="single" w:sz="4" w:space="0" w:color="auto"/>
                  </w:tcBorders>
                </w:tcPr>
                <w:p w:rsidR="00E14A56" w:rsidRDefault="004976A0" w:rsidP="00A707A6">
                  <w:pPr>
                    <w:tabs>
                      <w:tab w:val="left" w:pos="-2268"/>
                      <w:tab w:val="left" w:pos="426"/>
                      <w:tab w:val="left" w:pos="1134"/>
                      <w:tab w:val="left" w:pos="9781"/>
                    </w:tabs>
                    <w:spacing w:before="40" w:after="0"/>
                    <w:ind w:right="1026"/>
                    <w:jc w:val="right"/>
                    <w:rPr>
                      <w:sz w:val="22"/>
                      <w:szCs w:val="22"/>
                    </w:rPr>
                  </w:pPr>
                  <w:r w:rsidRPr="004976A0">
                    <w:rPr>
                      <w:sz w:val="22"/>
                      <w:szCs w:val="22"/>
                    </w:rPr>
                    <w:t>Industry</w:t>
                  </w:r>
                </w:p>
              </w:tc>
              <w:tc>
                <w:tcPr>
                  <w:tcW w:w="1985" w:type="dxa"/>
                  <w:tcBorders>
                    <w:top w:val="single" w:sz="4" w:space="0" w:color="auto"/>
                    <w:bottom w:val="single" w:sz="4" w:space="0" w:color="auto"/>
                  </w:tcBorders>
                </w:tcPr>
                <w:p w:rsidR="00E14A56" w:rsidRDefault="004976A0" w:rsidP="0083030F">
                  <w:pPr>
                    <w:tabs>
                      <w:tab w:val="left" w:pos="-2268"/>
                      <w:tab w:val="left" w:pos="839"/>
                      <w:tab w:val="left" w:pos="9781"/>
                    </w:tabs>
                    <w:spacing w:before="40" w:after="0"/>
                    <w:ind w:left="-153" w:right="601"/>
                    <w:jc w:val="right"/>
                    <w:rPr>
                      <w:sz w:val="22"/>
                      <w:szCs w:val="22"/>
                    </w:rPr>
                  </w:pPr>
                  <w:r w:rsidRPr="004976A0">
                    <w:rPr>
                      <w:sz w:val="22"/>
                      <w:szCs w:val="22"/>
                    </w:rPr>
                    <w:t>Agriculture</w:t>
                  </w:r>
                </w:p>
              </w:tc>
            </w:tr>
            <w:tr w:rsidR="00632F52" w:rsidRPr="00D76932" w:rsidTr="00632F52">
              <w:tc>
                <w:tcPr>
                  <w:tcW w:w="1996" w:type="dxa"/>
                  <w:tcBorders>
                    <w:top w:val="single" w:sz="4" w:space="0" w:color="auto"/>
                  </w:tcBorders>
                </w:tcPr>
                <w:tbl>
                  <w:tblPr>
                    <w:tblW w:w="960" w:type="dxa"/>
                    <w:tblLayout w:type="fixed"/>
                    <w:tblLook w:val="04A0"/>
                  </w:tblPr>
                  <w:tblGrid>
                    <w:gridCol w:w="960"/>
                  </w:tblGrid>
                  <w:tr w:rsidR="00632F52" w:rsidRPr="00D76932" w:rsidTr="00BC0A19">
                    <w:trPr>
                      <w:trHeight w:val="255"/>
                    </w:trPr>
                    <w:tc>
                      <w:tcPr>
                        <w:tcW w:w="960" w:type="dxa"/>
                        <w:tcBorders>
                          <w:top w:val="nil"/>
                          <w:left w:val="nil"/>
                          <w:bottom w:val="nil"/>
                          <w:right w:val="nil"/>
                        </w:tcBorders>
                        <w:shd w:val="clear" w:color="auto" w:fill="auto"/>
                        <w:vAlign w:val="bottom"/>
                        <w:hideMark/>
                      </w:tcPr>
                      <w:p w:rsidR="00632F52" w:rsidRPr="00D76932" w:rsidRDefault="004976A0" w:rsidP="00580D61">
                        <w:pPr>
                          <w:overflowPunct/>
                          <w:autoSpaceDE/>
                          <w:autoSpaceDN/>
                          <w:adjustRightInd/>
                          <w:spacing w:after="0"/>
                          <w:jc w:val="right"/>
                          <w:textAlignment w:val="auto"/>
                          <w:rPr>
                            <w:sz w:val="22"/>
                            <w:szCs w:val="22"/>
                            <w:lang w:val="en-NZ"/>
                          </w:rPr>
                        </w:pPr>
                        <w:r w:rsidRPr="004976A0">
                          <w:rPr>
                            <w:sz w:val="22"/>
                            <w:szCs w:val="22"/>
                            <w:lang w:val="en-NZ"/>
                          </w:rPr>
                          <w:t>(1990)</w:t>
                        </w:r>
                      </w:p>
                    </w:tc>
                  </w:tr>
                  <w:tr w:rsidR="00632F52" w:rsidRPr="00D76932" w:rsidTr="00BC0A19">
                    <w:trPr>
                      <w:trHeight w:val="255"/>
                    </w:trPr>
                    <w:tc>
                      <w:tcPr>
                        <w:tcW w:w="960" w:type="dxa"/>
                        <w:tcBorders>
                          <w:top w:val="nil"/>
                          <w:left w:val="nil"/>
                          <w:bottom w:val="nil"/>
                          <w:right w:val="nil"/>
                        </w:tcBorders>
                        <w:shd w:val="clear" w:color="auto" w:fill="auto"/>
                        <w:vAlign w:val="bottom"/>
                        <w:hideMark/>
                      </w:tcPr>
                      <w:p w:rsidR="00632F52" w:rsidRPr="00D76932" w:rsidRDefault="004976A0" w:rsidP="00580D61">
                        <w:pPr>
                          <w:overflowPunct/>
                          <w:autoSpaceDE/>
                          <w:autoSpaceDN/>
                          <w:adjustRightInd/>
                          <w:spacing w:after="0"/>
                          <w:jc w:val="right"/>
                          <w:textAlignment w:val="auto"/>
                          <w:rPr>
                            <w:sz w:val="22"/>
                            <w:szCs w:val="22"/>
                            <w:lang w:val="en-NZ"/>
                          </w:rPr>
                        </w:pPr>
                        <w:r w:rsidRPr="004976A0">
                          <w:rPr>
                            <w:sz w:val="22"/>
                            <w:szCs w:val="22"/>
                            <w:lang w:val="en-NZ"/>
                          </w:rPr>
                          <w:t>1991</w:t>
                        </w:r>
                      </w:p>
                    </w:tc>
                  </w:tr>
                  <w:tr w:rsidR="00632F52" w:rsidRPr="00D76932" w:rsidTr="00BC0A19">
                    <w:trPr>
                      <w:trHeight w:val="255"/>
                    </w:trPr>
                    <w:tc>
                      <w:tcPr>
                        <w:tcW w:w="960" w:type="dxa"/>
                        <w:tcBorders>
                          <w:top w:val="nil"/>
                          <w:left w:val="nil"/>
                          <w:bottom w:val="nil"/>
                          <w:right w:val="nil"/>
                        </w:tcBorders>
                        <w:shd w:val="clear" w:color="auto" w:fill="auto"/>
                        <w:vAlign w:val="bottom"/>
                        <w:hideMark/>
                      </w:tcPr>
                      <w:p w:rsidR="00632F52" w:rsidRPr="00D76932" w:rsidRDefault="004976A0" w:rsidP="00580D61">
                        <w:pPr>
                          <w:overflowPunct/>
                          <w:autoSpaceDE/>
                          <w:autoSpaceDN/>
                          <w:adjustRightInd/>
                          <w:spacing w:after="0"/>
                          <w:jc w:val="right"/>
                          <w:textAlignment w:val="auto"/>
                          <w:rPr>
                            <w:sz w:val="22"/>
                            <w:szCs w:val="22"/>
                            <w:lang w:val="en-NZ"/>
                          </w:rPr>
                        </w:pPr>
                        <w:r w:rsidRPr="004976A0">
                          <w:rPr>
                            <w:sz w:val="22"/>
                            <w:szCs w:val="22"/>
                            <w:lang w:val="en-NZ"/>
                          </w:rPr>
                          <w:t>1992</w:t>
                        </w:r>
                      </w:p>
                    </w:tc>
                  </w:tr>
                  <w:tr w:rsidR="00632F52" w:rsidRPr="00D76932" w:rsidTr="00BC0A19">
                    <w:trPr>
                      <w:trHeight w:val="255"/>
                    </w:trPr>
                    <w:tc>
                      <w:tcPr>
                        <w:tcW w:w="960" w:type="dxa"/>
                        <w:tcBorders>
                          <w:top w:val="nil"/>
                          <w:left w:val="nil"/>
                          <w:bottom w:val="nil"/>
                          <w:right w:val="nil"/>
                        </w:tcBorders>
                        <w:shd w:val="clear" w:color="auto" w:fill="auto"/>
                        <w:vAlign w:val="bottom"/>
                        <w:hideMark/>
                      </w:tcPr>
                      <w:p w:rsidR="00632F52" w:rsidRPr="00D76932" w:rsidRDefault="004976A0" w:rsidP="00580D61">
                        <w:pPr>
                          <w:overflowPunct/>
                          <w:autoSpaceDE/>
                          <w:autoSpaceDN/>
                          <w:adjustRightInd/>
                          <w:spacing w:after="0"/>
                          <w:jc w:val="right"/>
                          <w:textAlignment w:val="auto"/>
                          <w:rPr>
                            <w:sz w:val="22"/>
                            <w:szCs w:val="22"/>
                            <w:lang w:val="en-NZ"/>
                          </w:rPr>
                        </w:pPr>
                        <w:r w:rsidRPr="004976A0">
                          <w:rPr>
                            <w:sz w:val="22"/>
                            <w:szCs w:val="22"/>
                            <w:lang w:val="en-NZ"/>
                          </w:rPr>
                          <w:t>1993</w:t>
                        </w:r>
                      </w:p>
                    </w:tc>
                  </w:tr>
                  <w:tr w:rsidR="00632F52" w:rsidRPr="00D76932" w:rsidTr="00BC0A19">
                    <w:trPr>
                      <w:trHeight w:val="255"/>
                    </w:trPr>
                    <w:tc>
                      <w:tcPr>
                        <w:tcW w:w="960" w:type="dxa"/>
                        <w:tcBorders>
                          <w:top w:val="nil"/>
                          <w:left w:val="nil"/>
                          <w:bottom w:val="nil"/>
                          <w:right w:val="nil"/>
                        </w:tcBorders>
                        <w:shd w:val="clear" w:color="auto" w:fill="auto"/>
                        <w:vAlign w:val="bottom"/>
                        <w:hideMark/>
                      </w:tcPr>
                      <w:p w:rsidR="00632F52" w:rsidRPr="00D76932" w:rsidRDefault="004976A0" w:rsidP="00580D61">
                        <w:pPr>
                          <w:overflowPunct/>
                          <w:autoSpaceDE/>
                          <w:autoSpaceDN/>
                          <w:adjustRightInd/>
                          <w:spacing w:after="0"/>
                          <w:jc w:val="right"/>
                          <w:textAlignment w:val="auto"/>
                          <w:rPr>
                            <w:sz w:val="22"/>
                            <w:szCs w:val="22"/>
                            <w:lang w:val="en-NZ"/>
                          </w:rPr>
                        </w:pPr>
                        <w:r w:rsidRPr="004976A0">
                          <w:rPr>
                            <w:sz w:val="22"/>
                            <w:szCs w:val="22"/>
                            <w:lang w:val="en-NZ"/>
                          </w:rPr>
                          <w:t>1994</w:t>
                        </w:r>
                      </w:p>
                    </w:tc>
                  </w:tr>
                  <w:tr w:rsidR="00632F52" w:rsidRPr="00D76932" w:rsidTr="00BC0A19">
                    <w:trPr>
                      <w:trHeight w:val="255"/>
                    </w:trPr>
                    <w:tc>
                      <w:tcPr>
                        <w:tcW w:w="960" w:type="dxa"/>
                        <w:tcBorders>
                          <w:top w:val="nil"/>
                          <w:left w:val="nil"/>
                          <w:bottom w:val="nil"/>
                          <w:right w:val="nil"/>
                        </w:tcBorders>
                        <w:shd w:val="clear" w:color="auto" w:fill="auto"/>
                        <w:vAlign w:val="bottom"/>
                        <w:hideMark/>
                      </w:tcPr>
                      <w:p w:rsidR="00632F52" w:rsidRPr="00D76932" w:rsidRDefault="004976A0" w:rsidP="00580D61">
                        <w:pPr>
                          <w:overflowPunct/>
                          <w:autoSpaceDE/>
                          <w:autoSpaceDN/>
                          <w:adjustRightInd/>
                          <w:spacing w:after="0"/>
                          <w:jc w:val="right"/>
                          <w:textAlignment w:val="auto"/>
                          <w:rPr>
                            <w:sz w:val="22"/>
                            <w:szCs w:val="22"/>
                            <w:lang w:val="en-NZ"/>
                          </w:rPr>
                        </w:pPr>
                        <w:r w:rsidRPr="004976A0">
                          <w:rPr>
                            <w:sz w:val="22"/>
                            <w:szCs w:val="22"/>
                            <w:lang w:val="en-NZ"/>
                          </w:rPr>
                          <w:t>1995</w:t>
                        </w:r>
                      </w:p>
                    </w:tc>
                  </w:tr>
                  <w:tr w:rsidR="00632F52" w:rsidRPr="00D76932" w:rsidTr="00BC0A19">
                    <w:trPr>
                      <w:trHeight w:val="255"/>
                    </w:trPr>
                    <w:tc>
                      <w:tcPr>
                        <w:tcW w:w="960" w:type="dxa"/>
                        <w:tcBorders>
                          <w:top w:val="nil"/>
                          <w:left w:val="nil"/>
                          <w:bottom w:val="nil"/>
                          <w:right w:val="nil"/>
                        </w:tcBorders>
                        <w:shd w:val="clear" w:color="auto" w:fill="auto"/>
                        <w:vAlign w:val="bottom"/>
                        <w:hideMark/>
                      </w:tcPr>
                      <w:p w:rsidR="00632F52" w:rsidRPr="00D76932" w:rsidRDefault="004976A0" w:rsidP="00580D61">
                        <w:pPr>
                          <w:overflowPunct/>
                          <w:autoSpaceDE/>
                          <w:autoSpaceDN/>
                          <w:adjustRightInd/>
                          <w:spacing w:after="0"/>
                          <w:jc w:val="right"/>
                          <w:textAlignment w:val="auto"/>
                          <w:rPr>
                            <w:sz w:val="22"/>
                            <w:szCs w:val="22"/>
                            <w:lang w:val="en-NZ"/>
                          </w:rPr>
                        </w:pPr>
                        <w:r w:rsidRPr="004976A0">
                          <w:rPr>
                            <w:sz w:val="22"/>
                            <w:szCs w:val="22"/>
                            <w:lang w:val="en-NZ"/>
                          </w:rPr>
                          <w:t>1996</w:t>
                        </w:r>
                      </w:p>
                    </w:tc>
                  </w:tr>
                  <w:tr w:rsidR="00632F52" w:rsidRPr="00D76932" w:rsidTr="00BC0A19">
                    <w:trPr>
                      <w:trHeight w:val="255"/>
                    </w:trPr>
                    <w:tc>
                      <w:tcPr>
                        <w:tcW w:w="960" w:type="dxa"/>
                        <w:tcBorders>
                          <w:top w:val="nil"/>
                          <w:left w:val="nil"/>
                          <w:bottom w:val="nil"/>
                          <w:right w:val="nil"/>
                        </w:tcBorders>
                        <w:shd w:val="clear" w:color="auto" w:fill="auto"/>
                        <w:vAlign w:val="bottom"/>
                        <w:hideMark/>
                      </w:tcPr>
                      <w:p w:rsidR="00632F52" w:rsidRPr="00D76932" w:rsidRDefault="004976A0" w:rsidP="00580D61">
                        <w:pPr>
                          <w:overflowPunct/>
                          <w:autoSpaceDE/>
                          <w:autoSpaceDN/>
                          <w:adjustRightInd/>
                          <w:spacing w:after="0"/>
                          <w:jc w:val="right"/>
                          <w:textAlignment w:val="auto"/>
                          <w:rPr>
                            <w:sz w:val="22"/>
                            <w:szCs w:val="22"/>
                            <w:lang w:val="en-NZ"/>
                          </w:rPr>
                        </w:pPr>
                        <w:r w:rsidRPr="004976A0">
                          <w:rPr>
                            <w:sz w:val="22"/>
                            <w:szCs w:val="22"/>
                            <w:lang w:val="en-NZ"/>
                          </w:rPr>
                          <w:t>1997</w:t>
                        </w:r>
                      </w:p>
                    </w:tc>
                  </w:tr>
                  <w:tr w:rsidR="00632F52" w:rsidRPr="00D76932" w:rsidTr="00BC0A19">
                    <w:trPr>
                      <w:trHeight w:val="255"/>
                    </w:trPr>
                    <w:tc>
                      <w:tcPr>
                        <w:tcW w:w="960" w:type="dxa"/>
                        <w:tcBorders>
                          <w:top w:val="nil"/>
                          <w:left w:val="nil"/>
                          <w:bottom w:val="nil"/>
                          <w:right w:val="nil"/>
                        </w:tcBorders>
                        <w:shd w:val="clear" w:color="auto" w:fill="auto"/>
                        <w:vAlign w:val="bottom"/>
                        <w:hideMark/>
                      </w:tcPr>
                      <w:p w:rsidR="00632F52" w:rsidRPr="00D76932" w:rsidRDefault="004976A0" w:rsidP="00580D61">
                        <w:pPr>
                          <w:overflowPunct/>
                          <w:autoSpaceDE/>
                          <w:autoSpaceDN/>
                          <w:adjustRightInd/>
                          <w:spacing w:after="0"/>
                          <w:jc w:val="right"/>
                          <w:textAlignment w:val="auto"/>
                          <w:rPr>
                            <w:sz w:val="22"/>
                            <w:szCs w:val="22"/>
                            <w:lang w:val="en-NZ"/>
                          </w:rPr>
                        </w:pPr>
                        <w:r w:rsidRPr="004976A0">
                          <w:rPr>
                            <w:sz w:val="22"/>
                            <w:szCs w:val="22"/>
                            <w:lang w:val="en-NZ"/>
                          </w:rPr>
                          <w:t>1998</w:t>
                        </w:r>
                      </w:p>
                    </w:tc>
                  </w:tr>
                  <w:tr w:rsidR="00632F52" w:rsidRPr="00D76932" w:rsidTr="00BC0A19">
                    <w:trPr>
                      <w:trHeight w:val="255"/>
                    </w:trPr>
                    <w:tc>
                      <w:tcPr>
                        <w:tcW w:w="960" w:type="dxa"/>
                        <w:tcBorders>
                          <w:top w:val="nil"/>
                          <w:left w:val="nil"/>
                          <w:bottom w:val="nil"/>
                          <w:right w:val="nil"/>
                        </w:tcBorders>
                        <w:shd w:val="clear" w:color="auto" w:fill="auto"/>
                        <w:vAlign w:val="bottom"/>
                        <w:hideMark/>
                      </w:tcPr>
                      <w:p w:rsidR="00632F52" w:rsidRPr="00D76932" w:rsidRDefault="004976A0" w:rsidP="00580D61">
                        <w:pPr>
                          <w:overflowPunct/>
                          <w:autoSpaceDE/>
                          <w:autoSpaceDN/>
                          <w:adjustRightInd/>
                          <w:spacing w:after="0"/>
                          <w:jc w:val="right"/>
                          <w:textAlignment w:val="auto"/>
                          <w:rPr>
                            <w:sz w:val="22"/>
                            <w:szCs w:val="22"/>
                            <w:lang w:val="en-NZ"/>
                          </w:rPr>
                        </w:pPr>
                        <w:r w:rsidRPr="004976A0">
                          <w:rPr>
                            <w:sz w:val="22"/>
                            <w:szCs w:val="22"/>
                            <w:lang w:val="en-NZ"/>
                          </w:rPr>
                          <w:t>1999</w:t>
                        </w:r>
                      </w:p>
                    </w:tc>
                  </w:tr>
                  <w:tr w:rsidR="00632F52" w:rsidRPr="00D76932" w:rsidTr="00BC0A19">
                    <w:trPr>
                      <w:trHeight w:val="255"/>
                    </w:trPr>
                    <w:tc>
                      <w:tcPr>
                        <w:tcW w:w="960" w:type="dxa"/>
                        <w:tcBorders>
                          <w:top w:val="nil"/>
                          <w:left w:val="nil"/>
                          <w:bottom w:val="nil"/>
                          <w:right w:val="nil"/>
                        </w:tcBorders>
                        <w:shd w:val="clear" w:color="auto" w:fill="auto"/>
                        <w:vAlign w:val="bottom"/>
                        <w:hideMark/>
                      </w:tcPr>
                      <w:p w:rsidR="00632F52" w:rsidRPr="00D76932" w:rsidRDefault="004976A0" w:rsidP="00580D61">
                        <w:pPr>
                          <w:overflowPunct/>
                          <w:autoSpaceDE/>
                          <w:autoSpaceDN/>
                          <w:adjustRightInd/>
                          <w:spacing w:after="0"/>
                          <w:jc w:val="right"/>
                          <w:textAlignment w:val="auto"/>
                          <w:rPr>
                            <w:sz w:val="22"/>
                            <w:szCs w:val="22"/>
                            <w:lang w:val="en-NZ"/>
                          </w:rPr>
                        </w:pPr>
                        <w:r w:rsidRPr="004976A0">
                          <w:rPr>
                            <w:sz w:val="22"/>
                            <w:szCs w:val="22"/>
                            <w:lang w:val="en-NZ"/>
                          </w:rPr>
                          <w:t>2000</w:t>
                        </w:r>
                      </w:p>
                    </w:tc>
                  </w:tr>
                  <w:tr w:rsidR="00632F52" w:rsidRPr="00D76932" w:rsidTr="00BC0A19">
                    <w:trPr>
                      <w:trHeight w:val="255"/>
                    </w:trPr>
                    <w:tc>
                      <w:tcPr>
                        <w:tcW w:w="960" w:type="dxa"/>
                        <w:tcBorders>
                          <w:top w:val="nil"/>
                          <w:left w:val="nil"/>
                          <w:bottom w:val="nil"/>
                          <w:right w:val="nil"/>
                        </w:tcBorders>
                        <w:shd w:val="clear" w:color="auto" w:fill="auto"/>
                        <w:vAlign w:val="bottom"/>
                        <w:hideMark/>
                      </w:tcPr>
                      <w:p w:rsidR="00632F52" w:rsidRPr="00D76932" w:rsidRDefault="004976A0" w:rsidP="00580D61">
                        <w:pPr>
                          <w:overflowPunct/>
                          <w:autoSpaceDE/>
                          <w:autoSpaceDN/>
                          <w:adjustRightInd/>
                          <w:spacing w:after="0"/>
                          <w:jc w:val="right"/>
                          <w:textAlignment w:val="auto"/>
                          <w:rPr>
                            <w:sz w:val="22"/>
                            <w:szCs w:val="22"/>
                            <w:lang w:val="en-NZ"/>
                          </w:rPr>
                        </w:pPr>
                        <w:r w:rsidRPr="004976A0">
                          <w:rPr>
                            <w:sz w:val="22"/>
                            <w:szCs w:val="22"/>
                            <w:lang w:val="en-NZ"/>
                          </w:rPr>
                          <w:t>2001</w:t>
                        </w:r>
                      </w:p>
                    </w:tc>
                  </w:tr>
                  <w:tr w:rsidR="00632F52" w:rsidRPr="00D76932" w:rsidTr="00BC0A19">
                    <w:trPr>
                      <w:trHeight w:val="255"/>
                    </w:trPr>
                    <w:tc>
                      <w:tcPr>
                        <w:tcW w:w="960" w:type="dxa"/>
                        <w:tcBorders>
                          <w:top w:val="nil"/>
                          <w:left w:val="nil"/>
                          <w:bottom w:val="nil"/>
                          <w:right w:val="nil"/>
                        </w:tcBorders>
                        <w:shd w:val="clear" w:color="auto" w:fill="auto"/>
                        <w:vAlign w:val="bottom"/>
                        <w:hideMark/>
                      </w:tcPr>
                      <w:p w:rsidR="00632F52" w:rsidRPr="00D76932" w:rsidRDefault="004976A0" w:rsidP="00580D61">
                        <w:pPr>
                          <w:overflowPunct/>
                          <w:autoSpaceDE/>
                          <w:autoSpaceDN/>
                          <w:adjustRightInd/>
                          <w:spacing w:after="0"/>
                          <w:jc w:val="right"/>
                          <w:textAlignment w:val="auto"/>
                          <w:rPr>
                            <w:sz w:val="22"/>
                            <w:szCs w:val="22"/>
                            <w:lang w:val="en-NZ"/>
                          </w:rPr>
                        </w:pPr>
                        <w:r w:rsidRPr="004976A0">
                          <w:rPr>
                            <w:sz w:val="22"/>
                            <w:szCs w:val="22"/>
                            <w:lang w:val="en-NZ"/>
                          </w:rPr>
                          <w:t>2002</w:t>
                        </w:r>
                      </w:p>
                    </w:tc>
                  </w:tr>
                  <w:tr w:rsidR="00632F52" w:rsidRPr="00D76932" w:rsidTr="00BC0A19">
                    <w:trPr>
                      <w:trHeight w:val="255"/>
                    </w:trPr>
                    <w:tc>
                      <w:tcPr>
                        <w:tcW w:w="960" w:type="dxa"/>
                        <w:tcBorders>
                          <w:top w:val="nil"/>
                          <w:left w:val="nil"/>
                          <w:bottom w:val="nil"/>
                          <w:right w:val="nil"/>
                        </w:tcBorders>
                        <w:shd w:val="clear" w:color="auto" w:fill="auto"/>
                        <w:vAlign w:val="bottom"/>
                        <w:hideMark/>
                      </w:tcPr>
                      <w:p w:rsidR="00632F52" w:rsidRPr="00D76932" w:rsidRDefault="004976A0" w:rsidP="00580D61">
                        <w:pPr>
                          <w:overflowPunct/>
                          <w:autoSpaceDE/>
                          <w:autoSpaceDN/>
                          <w:adjustRightInd/>
                          <w:spacing w:after="0"/>
                          <w:jc w:val="right"/>
                          <w:textAlignment w:val="auto"/>
                          <w:rPr>
                            <w:sz w:val="22"/>
                            <w:szCs w:val="22"/>
                            <w:lang w:val="en-NZ"/>
                          </w:rPr>
                        </w:pPr>
                        <w:r w:rsidRPr="004976A0">
                          <w:rPr>
                            <w:sz w:val="22"/>
                            <w:szCs w:val="22"/>
                            <w:lang w:val="en-NZ"/>
                          </w:rPr>
                          <w:t>2003</w:t>
                        </w:r>
                      </w:p>
                    </w:tc>
                  </w:tr>
                  <w:tr w:rsidR="00632F52" w:rsidRPr="00D76932" w:rsidTr="00BC0A19">
                    <w:trPr>
                      <w:trHeight w:val="255"/>
                    </w:trPr>
                    <w:tc>
                      <w:tcPr>
                        <w:tcW w:w="960" w:type="dxa"/>
                        <w:tcBorders>
                          <w:top w:val="nil"/>
                          <w:left w:val="nil"/>
                          <w:bottom w:val="nil"/>
                          <w:right w:val="nil"/>
                        </w:tcBorders>
                        <w:shd w:val="clear" w:color="auto" w:fill="auto"/>
                        <w:vAlign w:val="bottom"/>
                        <w:hideMark/>
                      </w:tcPr>
                      <w:p w:rsidR="00632F52" w:rsidRPr="00D76932" w:rsidRDefault="004976A0" w:rsidP="00580D61">
                        <w:pPr>
                          <w:overflowPunct/>
                          <w:autoSpaceDE/>
                          <w:autoSpaceDN/>
                          <w:adjustRightInd/>
                          <w:spacing w:after="0"/>
                          <w:jc w:val="right"/>
                          <w:textAlignment w:val="auto"/>
                          <w:rPr>
                            <w:sz w:val="22"/>
                            <w:szCs w:val="22"/>
                            <w:lang w:val="en-NZ"/>
                          </w:rPr>
                        </w:pPr>
                        <w:r w:rsidRPr="004976A0">
                          <w:rPr>
                            <w:sz w:val="22"/>
                            <w:szCs w:val="22"/>
                            <w:lang w:val="en-NZ"/>
                          </w:rPr>
                          <w:t>2004</w:t>
                        </w:r>
                      </w:p>
                    </w:tc>
                  </w:tr>
                  <w:tr w:rsidR="00632F52" w:rsidRPr="00D76932" w:rsidTr="00BC0A19">
                    <w:trPr>
                      <w:trHeight w:val="255"/>
                    </w:trPr>
                    <w:tc>
                      <w:tcPr>
                        <w:tcW w:w="960" w:type="dxa"/>
                        <w:tcBorders>
                          <w:top w:val="nil"/>
                          <w:left w:val="nil"/>
                          <w:bottom w:val="nil"/>
                          <w:right w:val="nil"/>
                        </w:tcBorders>
                        <w:shd w:val="clear" w:color="auto" w:fill="auto"/>
                        <w:vAlign w:val="bottom"/>
                        <w:hideMark/>
                      </w:tcPr>
                      <w:p w:rsidR="00632F52" w:rsidRPr="00D76932" w:rsidRDefault="004976A0" w:rsidP="00580D61">
                        <w:pPr>
                          <w:overflowPunct/>
                          <w:autoSpaceDE/>
                          <w:autoSpaceDN/>
                          <w:adjustRightInd/>
                          <w:spacing w:after="0"/>
                          <w:jc w:val="right"/>
                          <w:textAlignment w:val="auto"/>
                          <w:rPr>
                            <w:sz w:val="22"/>
                            <w:szCs w:val="22"/>
                            <w:lang w:val="en-NZ"/>
                          </w:rPr>
                        </w:pPr>
                        <w:r w:rsidRPr="004976A0">
                          <w:rPr>
                            <w:sz w:val="22"/>
                            <w:szCs w:val="22"/>
                            <w:lang w:val="en-NZ"/>
                          </w:rPr>
                          <w:t>2005</w:t>
                        </w:r>
                      </w:p>
                    </w:tc>
                  </w:tr>
                  <w:tr w:rsidR="00632F52" w:rsidRPr="00D76932" w:rsidTr="00BC0A19">
                    <w:trPr>
                      <w:trHeight w:val="255"/>
                    </w:trPr>
                    <w:tc>
                      <w:tcPr>
                        <w:tcW w:w="960" w:type="dxa"/>
                        <w:tcBorders>
                          <w:top w:val="nil"/>
                          <w:left w:val="nil"/>
                          <w:bottom w:val="nil"/>
                          <w:right w:val="nil"/>
                        </w:tcBorders>
                        <w:shd w:val="clear" w:color="auto" w:fill="auto"/>
                        <w:vAlign w:val="bottom"/>
                        <w:hideMark/>
                      </w:tcPr>
                      <w:p w:rsidR="00632F52" w:rsidRPr="00D76932" w:rsidRDefault="004976A0" w:rsidP="00580D61">
                        <w:pPr>
                          <w:overflowPunct/>
                          <w:autoSpaceDE/>
                          <w:autoSpaceDN/>
                          <w:adjustRightInd/>
                          <w:spacing w:after="0"/>
                          <w:jc w:val="right"/>
                          <w:textAlignment w:val="auto"/>
                          <w:rPr>
                            <w:sz w:val="22"/>
                            <w:szCs w:val="22"/>
                            <w:lang w:val="en-NZ"/>
                          </w:rPr>
                        </w:pPr>
                        <w:r w:rsidRPr="004976A0">
                          <w:rPr>
                            <w:sz w:val="22"/>
                            <w:szCs w:val="22"/>
                            <w:lang w:val="en-NZ"/>
                          </w:rPr>
                          <w:t>2006</w:t>
                        </w:r>
                      </w:p>
                    </w:tc>
                  </w:tr>
                  <w:tr w:rsidR="00632F52" w:rsidRPr="00D76932" w:rsidTr="00BC0A19">
                    <w:trPr>
                      <w:trHeight w:val="255"/>
                    </w:trPr>
                    <w:tc>
                      <w:tcPr>
                        <w:tcW w:w="960" w:type="dxa"/>
                        <w:tcBorders>
                          <w:top w:val="nil"/>
                          <w:left w:val="nil"/>
                          <w:bottom w:val="nil"/>
                          <w:right w:val="nil"/>
                        </w:tcBorders>
                        <w:shd w:val="clear" w:color="auto" w:fill="auto"/>
                        <w:vAlign w:val="bottom"/>
                        <w:hideMark/>
                      </w:tcPr>
                      <w:p w:rsidR="00632F52" w:rsidRPr="00D76932" w:rsidRDefault="004976A0" w:rsidP="00580D61">
                        <w:pPr>
                          <w:overflowPunct/>
                          <w:autoSpaceDE/>
                          <w:autoSpaceDN/>
                          <w:adjustRightInd/>
                          <w:spacing w:after="0"/>
                          <w:jc w:val="right"/>
                          <w:textAlignment w:val="auto"/>
                          <w:rPr>
                            <w:sz w:val="22"/>
                            <w:szCs w:val="22"/>
                            <w:lang w:val="en-NZ"/>
                          </w:rPr>
                        </w:pPr>
                        <w:r w:rsidRPr="004976A0">
                          <w:rPr>
                            <w:sz w:val="22"/>
                            <w:szCs w:val="22"/>
                            <w:lang w:val="en-NZ"/>
                          </w:rPr>
                          <w:t>2007</w:t>
                        </w:r>
                      </w:p>
                    </w:tc>
                  </w:tr>
                </w:tbl>
                <w:p w:rsidR="00632F52" w:rsidRPr="00D76932" w:rsidRDefault="00632F52" w:rsidP="0088005A">
                  <w:pPr>
                    <w:tabs>
                      <w:tab w:val="left" w:pos="-2268"/>
                      <w:tab w:val="left" w:pos="426"/>
                      <w:tab w:val="left" w:pos="1134"/>
                      <w:tab w:val="left" w:pos="9781"/>
                    </w:tabs>
                    <w:spacing w:before="240" w:after="0"/>
                    <w:ind w:right="1313"/>
                    <w:jc w:val="both"/>
                    <w:rPr>
                      <w:sz w:val="22"/>
                      <w:szCs w:val="22"/>
                    </w:rPr>
                  </w:pPr>
                </w:p>
              </w:tc>
              <w:tc>
                <w:tcPr>
                  <w:tcW w:w="2110" w:type="dxa"/>
                  <w:tcBorders>
                    <w:top w:val="single" w:sz="4" w:space="0" w:color="auto"/>
                  </w:tcBorders>
                </w:tcPr>
                <w:tbl>
                  <w:tblPr>
                    <w:tblW w:w="960" w:type="dxa"/>
                    <w:tblLayout w:type="fixed"/>
                    <w:tblLook w:val="04A0"/>
                  </w:tblPr>
                  <w:tblGrid>
                    <w:gridCol w:w="960"/>
                  </w:tblGrid>
                  <w:tr w:rsidR="00632F52" w:rsidRPr="00D76932" w:rsidTr="00BC0A19">
                    <w:trPr>
                      <w:trHeight w:val="255"/>
                    </w:trPr>
                    <w:tc>
                      <w:tcPr>
                        <w:tcW w:w="960" w:type="dxa"/>
                        <w:tcBorders>
                          <w:top w:val="nil"/>
                          <w:left w:val="nil"/>
                          <w:bottom w:val="nil"/>
                          <w:right w:val="nil"/>
                        </w:tcBorders>
                        <w:shd w:val="clear" w:color="auto" w:fill="auto"/>
                        <w:vAlign w:val="bottom"/>
                        <w:hideMark/>
                      </w:tcPr>
                      <w:p w:rsidR="00E14A56" w:rsidRDefault="004976A0">
                        <w:pPr>
                          <w:overflowPunct/>
                          <w:autoSpaceDE/>
                          <w:autoSpaceDN/>
                          <w:adjustRightInd/>
                          <w:spacing w:after="0"/>
                          <w:ind w:right="-158"/>
                          <w:jc w:val="right"/>
                          <w:textAlignment w:val="auto"/>
                          <w:rPr>
                            <w:sz w:val="22"/>
                            <w:szCs w:val="22"/>
                            <w:lang w:val="en-NZ"/>
                          </w:rPr>
                        </w:pPr>
                        <w:r w:rsidRPr="004976A0">
                          <w:rPr>
                            <w:sz w:val="22"/>
                            <w:szCs w:val="22"/>
                            <w:lang w:val="en-NZ"/>
                          </w:rPr>
                          <w:t>(4899.7))</w:t>
                        </w:r>
                      </w:p>
                    </w:tc>
                  </w:tr>
                  <w:tr w:rsidR="00632F52" w:rsidRPr="00D76932" w:rsidTr="00BC0A19">
                    <w:trPr>
                      <w:trHeight w:val="255"/>
                    </w:trPr>
                    <w:tc>
                      <w:tcPr>
                        <w:tcW w:w="960" w:type="dxa"/>
                        <w:tcBorders>
                          <w:top w:val="nil"/>
                          <w:left w:val="nil"/>
                          <w:bottom w:val="nil"/>
                          <w:right w:val="nil"/>
                        </w:tcBorders>
                        <w:shd w:val="clear" w:color="auto" w:fill="auto"/>
                        <w:vAlign w:val="bottom"/>
                        <w:hideMark/>
                      </w:tcPr>
                      <w:p w:rsidR="00632F52" w:rsidRPr="00D76932" w:rsidRDefault="004976A0" w:rsidP="00580D61">
                        <w:pPr>
                          <w:overflowPunct/>
                          <w:autoSpaceDE/>
                          <w:autoSpaceDN/>
                          <w:adjustRightInd/>
                          <w:spacing w:after="0"/>
                          <w:jc w:val="right"/>
                          <w:textAlignment w:val="auto"/>
                          <w:rPr>
                            <w:sz w:val="22"/>
                            <w:szCs w:val="22"/>
                            <w:lang w:val="en-NZ"/>
                          </w:rPr>
                        </w:pPr>
                        <w:r w:rsidRPr="004976A0">
                          <w:rPr>
                            <w:sz w:val="22"/>
                            <w:szCs w:val="22"/>
                            <w:lang w:val="en-NZ"/>
                          </w:rPr>
                          <w:t>5605.2</w:t>
                        </w:r>
                      </w:p>
                    </w:tc>
                  </w:tr>
                  <w:tr w:rsidR="00632F52" w:rsidRPr="00D76932" w:rsidTr="00BC0A19">
                    <w:trPr>
                      <w:trHeight w:val="255"/>
                    </w:trPr>
                    <w:tc>
                      <w:tcPr>
                        <w:tcW w:w="960" w:type="dxa"/>
                        <w:tcBorders>
                          <w:top w:val="nil"/>
                          <w:left w:val="nil"/>
                          <w:bottom w:val="nil"/>
                          <w:right w:val="nil"/>
                        </w:tcBorders>
                        <w:shd w:val="clear" w:color="auto" w:fill="auto"/>
                        <w:vAlign w:val="bottom"/>
                        <w:hideMark/>
                      </w:tcPr>
                      <w:p w:rsidR="00632F52" w:rsidRPr="00D76932" w:rsidRDefault="004976A0" w:rsidP="00580D61">
                        <w:pPr>
                          <w:overflowPunct/>
                          <w:autoSpaceDE/>
                          <w:autoSpaceDN/>
                          <w:adjustRightInd/>
                          <w:spacing w:after="0"/>
                          <w:jc w:val="right"/>
                          <w:textAlignment w:val="auto"/>
                          <w:rPr>
                            <w:sz w:val="22"/>
                            <w:szCs w:val="22"/>
                            <w:lang w:val="en-NZ"/>
                          </w:rPr>
                        </w:pPr>
                        <w:r w:rsidRPr="004976A0">
                          <w:rPr>
                            <w:sz w:val="22"/>
                            <w:szCs w:val="22"/>
                            <w:lang w:val="en-NZ"/>
                          </w:rPr>
                          <w:t>6791.2</w:t>
                        </w:r>
                      </w:p>
                    </w:tc>
                  </w:tr>
                  <w:tr w:rsidR="00632F52" w:rsidRPr="00D76932" w:rsidTr="00BC0A19">
                    <w:trPr>
                      <w:trHeight w:val="255"/>
                    </w:trPr>
                    <w:tc>
                      <w:tcPr>
                        <w:tcW w:w="960" w:type="dxa"/>
                        <w:tcBorders>
                          <w:top w:val="nil"/>
                          <w:left w:val="nil"/>
                          <w:bottom w:val="nil"/>
                          <w:right w:val="nil"/>
                        </w:tcBorders>
                        <w:shd w:val="clear" w:color="auto" w:fill="auto"/>
                        <w:vAlign w:val="bottom"/>
                        <w:hideMark/>
                      </w:tcPr>
                      <w:p w:rsidR="00632F52" w:rsidRPr="00D76932" w:rsidRDefault="004976A0" w:rsidP="00580D61">
                        <w:pPr>
                          <w:overflowPunct/>
                          <w:autoSpaceDE/>
                          <w:autoSpaceDN/>
                          <w:adjustRightInd/>
                          <w:spacing w:after="0"/>
                          <w:jc w:val="right"/>
                          <w:textAlignment w:val="auto"/>
                          <w:rPr>
                            <w:sz w:val="22"/>
                            <w:szCs w:val="22"/>
                            <w:lang w:val="en-NZ"/>
                          </w:rPr>
                        </w:pPr>
                        <w:r w:rsidRPr="004976A0">
                          <w:rPr>
                            <w:sz w:val="22"/>
                            <w:szCs w:val="22"/>
                            <w:lang w:val="en-NZ"/>
                          </w:rPr>
                          <w:t>8155.5</w:t>
                        </w:r>
                      </w:p>
                    </w:tc>
                  </w:tr>
                  <w:tr w:rsidR="00632F52" w:rsidRPr="00D76932" w:rsidTr="00BC0A19">
                    <w:trPr>
                      <w:trHeight w:val="255"/>
                    </w:trPr>
                    <w:tc>
                      <w:tcPr>
                        <w:tcW w:w="960" w:type="dxa"/>
                        <w:tcBorders>
                          <w:top w:val="nil"/>
                          <w:left w:val="nil"/>
                          <w:bottom w:val="nil"/>
                          <w:right w:val="nil"/>
                        </w:tcBorders>
                        <w:shd w:val="clear" w:color="auto" w:fill="auto"/>
                        <w:vAlign w:val="bottom"/>
                        <w:hideMark/>
                      </w:tcPr>
                      <w:p w:rsidR="00632F52" w:rsidRPr="00D76932" w:rsidRDefault="004976A0" w:rsidP="00580D61">
                        <w:pPr>
                          <w:overflowPunct/>
                          <w:autoSpaceDE/>
                          <w:autoSpaceDN/>
                          <w:adjustRightInd/>
                          <w:spacing w:after="0"/>
                          <w:jc w:val="right"/>
                          <w:textAlignment w:val="auto"/>
                          <w:rPr>
                            <w:sz w:val="22"/>
                            <w:szCs w:val="22"/>
                            <w:lang w:val="en-NZ"/>
                          </w:rPr>
                        </w:pPr>
                        <w:r w:rsidRPr="004976A0">
                          <w:rPr>
                            <w:sz w:val="22"/>
                            <w:szCs w:val="22"/>
                            <w:lang w:val="en-NZ"/>
                          </w:rPr>
                          <w:t>9698.2</w:t>
                        </w:r>
                      </w:p>
                    </w:tc>
                  </w:tr>
                  <w:tr w:rsidR="00632F52" w:rsidRPr="00D76932" w:rsidTr="00BC0A19">
                    <w:trPr>
                      <w:trHeight w:val="255"/>
                    </w:trPr>
                    <w:tc>
                      <w:tcPr>
                        <w:tcW w:w="960" w:type="dxa"/>
                        <w:tcBorders>
                          <w:top w:val="nil"/>
                          <w:left w:val="nil"/>
                          <w:bottom w:val="nil"/>
                          <w:right w:val="nil"/>
                        </w:tcBorders>
                        <w:shd w:val="clear" w:color="auto" w:fill="auto"/>
                        <w:vAlign w:val="bottom"/>
                        <w:hideMark/>
                      </w:tcPr>
                      <w:p w:rsidR="00632F52" w:rsidRPr="00D76932" w:rsidRDefault="004976A0" w:rsidP="007D2331">
                        <w:pPr>
                          <w:widowControl w:val="0"/>
                          <w:overflowPunct/>
                          <w:autoSpaceDE/>
                          <w:autoSpaceDN/>
                          <w:adjustRightInd/>
                          <w:spacing w:after="0"/>
                          <w:jc w:val="right"/>
                          <w:textAlignment w:val="auto"/>
                          <w:rPr>
                            <w:sz w:val="22"/>
                            <w:szCs w:val="22"/>
                            <w:lang w:val="en-NZ"/>
                          </w:rPr>
                        </w:pPr>
                        <w:r w:rsidRPr="004976A0">
                          <w:rPr>
                            <w:sz w:val="22"/>
                            <w:szCs w:val="22"/>
                            <w:lang w:val="en-NZ"/>
                          </w:rPr>
                          <w:t>11059.4</w:t>
                        </w:r>
                      </w:p>
                    </w:tc>
                  </w:tr>
                  <w:tr w:rsidR="00632F52" w:rsidRPr="00D76932" w:rsidTr="00BC0A19">
                    <w:trPr>
                      <w:trHeight w:val="255"/>
                    </w:trPr>
                    <w:tc>
                      <w:tcPr>
                        <w:tcW w:w="960" w:type="dxa"/>
                        <w:tcBorders>
                          <w:top w:val="nil"/>
                          <w:left w:val="nil"/>
                          <w:bottom w:val="nil"/>
                          <w:right w:val="nil"/>
                        </w:tcBorders>
                        <w:shd w:val="clear" w:color="auto" w:fill="auto"/>
                        <w:vAlign w:val="bottom"/>
                        <w:hideMark/>
                      </w:tcPr>
                      <w:p w:rsidR="00632F52" w:rsidRPr="00D76932" w:rsidRDefault="004976A0" w:rsidP="00580D61">
                        <w:pPr>
                          <w:overflowPunct/>
                          <w:autoSpaceDE/>
                          <w:autoSpaceDN/>
                          <w:adjustRightInd/>
                          <w:spacing w:after="0"/>
                          <w:jc w:val="right"/>
                          <w:textAlignment w:val="auto"/>
                          <w:rPr>
                            <w:sz w:val="22"/>
                            <w:szCs w:val="22"/>
                            <w:lang w:val="en-NZ"/>
                          </w:rPr>
                        </w:pPr>
                        <w:r w:rsidRPr="004976A0">
                          <w:rPr>
                            <w:sz w:val="22"/>
                            <w:szCs w:val="22"/>
                            <w:lang w:val="en-NZ"/>
                          </w:rPr>
                          <w:t>12443.0</w:t>
                        </w:r>
                      </w:p>
                    </w:tc>
                  </w:tr>
                  <w:tr w:rsidR="00632F52" w:rsidRPr="00D76932" w:rsidTr="00BC0A19">
                    <w:trPr>
                      <w:trHeight w:val="255"/>
                    </w:trPr>
                    <w:tc>
                      <w:tcPr>
                        <w:tcW w:w="960" w:type="dxa"/>
                        <w:tcBorders>
                          <w:top w:val="nil"/>
                          <w:left w:val="nil"/>
                          <w:bottom w:val="nil"/>
                          <w:right w:val="nil"/>
                        </w:tcBorders>
                        <w:shd w:val="clear" w:color="auto" w:fill="auto"/>
                        <w:vAlign w:val="bottom"/>
                        <w:hideMark/>
                      </w:tcPr>
                      <w:p w:rsidR="00632F52" w:rsidRPr="00D76932" w:rsidRDefault="004976A0" w:rsidP="00580D61">
                        <w:pPr>
                          <w:overflowPunct/>
                          <w:autoSpaceDE/>
                          <w:autoSpaceDN/>
                          <w:adjustRightInd/>
                          <w:spacing w:after="0"/>
                          <w:jc w:val="right"/>
                          <w:textAlignment w:val="auto"/>
                          <w:rPr>
                            <w:sz w:val="22"/>
                            <w:szCs w:val="22"/>
                            <w:lang w:val="en-NZ"/>
                          </w:rPr>
                        </w:pPr>
                        <w:r w:rsidRPr="004976A0">
                          <w:rPr>
                            <w:sz w:val="22"/>
                            <w:szCs w:val="22"/>
                            <w:lang w:val="en-NZ"/>
                          </w:rPr>
                          <w:t>13850.7</w:t>
                        </w:r>
                      </w:p>
                    </w:tc>
                  </w:tr>
                  <w:tr w:rsidR="00632F52" w:rsidRPr="00D76932" w:rsidTr="00BC0A19">
                    <w:trPr>
                      <w:trHeight w:val="255"/>
                    </w:trPr>
                    <w:tc>
                      <w:tcPr>
                        <w:tcW w:w="960" w:type="dxa"/>
                        <w:tcBorders>
                          <w:top w:val="nil"/>
                          <w:left w:val="nil"/>
                          <w:bottom w:val="nil"/>
                          <w:right w:val="nil"/>
                        </w:tcBorders>
                        <w:shd w:val="clear" w:color="auto" w:fill="auto"/>
                        <w:vAlign w:val="bottom"/>
                        <w:hideMark/>
                      </w:tcPr>
                      <w:p w:rsidR="00632F52" w:rsidRPr="00D76932" w:rsidRDefault="004976A0" w:rsidP="00580D61">
                        <w:pPr>
                          <w:overflowPunct/>
                          <w:autoSpaceDE/>
                          <w:autoSpaceDN/>
                          <w:adjustRightInd/>
                          <w:spacing w:after="0"/>
                          <w:jc w:val="right"/>
                          <w:textAlignment w:val="auto"/>
                          <w:rPr>
                            <w:sz w:val="22"/>
                            <w:szCs w:val="22"/>
                            <w:lang w:val="en-NZ"/>
                          </w:rPr>
                        </w:pPr>
                        <w:r w:rsidRPr="004976A0">
                          <w:rPr>
                            <w:sz w:val="22"/>
                            <w:szCs w:val="22"/>
                            <w:lang w:val="en-NZ"/>
                          </w:rPr>
                          <w:t>15083.3</w:t>
                        </w:r>
                      </w:p>
                    </w:tc>
                  </w:tr>
                  <w:tr w:rsidR="00632F52" w:rsidRPr="00D76932" w:rsidTr="00BC0A19">
                    <w:trPr>
                      <w:trHeight w:val="255"/>
                    </w:trPr>
                    <w:tc>
                      <w:tcPr>
                        <w:tcW w:w="960" w:type="dxa"/>
                        <w:tcBorders>
                          <w:top w:val="nil"/>
                          <w:left w:val="nil"/>
                          <w:bottom w:val="nil"/>
                          <w:right w:val="nil"/>
                        </w:tcBorders>
                        <w:shd w:val="clear" w:color="auto" w:fill="auto"/>
                        <w:vAlign w:val="bottom"/>
                        <w:hideMark/>
                      </w:tcPr>
                      <w:p w:rsidR="00632F52" w:rsidRPr="00D76932" w:rsidRDefault="004976A0" w:rsidP="00580D61">
                        <w:pPr>
                          <w:overflowPunct/>
                          <w:autoSpaceDE/>
                          <w:autoSpaceDN/>
                          <w:adjustRightInd/>
                          <w:spacing w:after="0"/>
                          <w:jc w:val="right"/>
                          <w:textAlignment w:val="auto"/>
                          <w:rPr>
                            <w:sz w:val="22"/>
                            <w:szCs w:val="22"/>
                            <w:lang w:val="en-NZ"/>
                          </w:rPr>
                        </w:pPr>
                        <w:r w:rsidRPr="004976A0">
                          <w:rPr>
                            <w:sz w:val="22"/>
                            <w:szCs w:val="22"/>
                            <w:lang w:val="en-NZ"/>
                          </w:rPr>
                          <w:t>16368.9</w:t>
                        </w:r>
                      </w:p>
                    </w:tc>
                  </w:tr>
                  <w:tr w:rsidR="00632F52" w:rsidRPr="00D76932" w:rsidTr="00BC0A19">
                    <w:trPr>
                      <w:trHeight w:val="255"/>
                    </w:trPr>
                    <w:tc>
                      <w:tcPr>
                        <w:tcW w:w="960" w:type="dxa"/>
                        <w:tcBorders>
                          <w:top w:val="nil"/>
                          <w:left w:val="nil"/>
                          <w:bottom w:val="nil"/>
                          <w:right w:val="nil"/>
                        </w:tcBorders>
                        <w:shd w:val="clear" w:color="auto" w:fill="auto"/>
                        <w:vAlign w:val="bottom"/>
                        <w:hideMark/>
                      </w:tcPr>
                      <w:p w:rsidR="00632F52" w:rsidRPr="00D76932" w:rsidRDefault="004976A0" w:rsidP="00580D61">
                        <w:pPr>
                          <w:overflowPunct/>
                          <w:autoSpaceDE/>
                          <w:autoSpaceDN/>
                          <w:adjustRightInd/>
                          <w:spacing w:after="0"/>
                          <w:jc w:val="right"/>
                          <w:textAlignment w:val="auto"/>
                          <w:rPr>
                            <w:sz w:val="22"/>
                            <w:szCs w:val="22"/>
                            <w:lang w:val="en-NZ"/>
                          </w:rPr>
                        </w:pPr>
                        <w:r w:rsidRPr="004976A0">
                          <w:rPr>
                            <w:sz w:val="22"/>
                            <w:szCs w:val="22"/>
                            <w:lang w:val="en-NZ"/>
                          </w:rPr>
                          <w:t>17971.1</w:t>
                        </w:r>
                      </w:p>
                    </w:tc>
                  </w:tr>
                  <w:tr w:rsidR="00632F52" w:rsidRPr="00D76932" w:rsidTr="00BC0A19">
                    <w:trPr>
                      <w:trHeight w:val="255"/>
                    </w:trPr>
                    <w:tc>
                      <w:tcPr>
                        <w:tcW w:w="960" w:type="dxa"/>
                        <w:tcBorders>
                          <w:top w:val="nil"/>
                          <w:left w:val="nil"/>
                          <w:bottom w:val="nil"/>
                          <w:right w:val="nil"/>
                        </w:tcBorders>
                        <w:shd w:val="clear" w:color="auto" w:fill="auto"/>
                        <w:vAlign w:val="bottom"/>
                        <w:hideMark/>
                      </w:tcPr>
                      <w:p w:rsidR="00632F52" w:rsidRPr="00D76932" w:rsidRDefault="004976A0" w:rsidP="00580D61">
                        <w:pPr>
                          <w:overflowPunct/>
                          <w:autoSpaceDE/>
                          <w:autoSpaceDN/>
                          <w:adjustRightInd/>
                          <w:spacing w:after="0"/>
                          <w:jc w:val="right"/>
                          <w:textAlignment w:val="auto"/>
                          <w:rPr>
                            <w:sz w:val="22"/>
                            <w:szCs w:val="22"/>
                            <w:lang w:val="en-NZ"/>
                          </w:rPr>
                        </w:pPr>
                        <w:r w:rsidRPr="004976A0">
                          <w:rPr>
                            <w:sz w:val="22"/>
                            <w:szCs w:val="22"/>
                            <w:lang w:val="en-NZ"/>
                          </w:rPr>
                          <w:t>19528.3</w:t>
                        </w:r>
                      </w:p>
                    </w:tc>
                  </w:tr>
                  <w:tr w:rsidR="00632F52" w:rsidRPr="00D76932" w:rsidTr="00BC0A19">
                    <w:trPr>
                      <w:trHeight w:val="255"/>
                    </w:trPr>
                    <w:tc>
                      <w:tcPr>
                        <w:tcW w:w="960" w:type="dxa"/>
                        <w:tcBorders>
                          <w:top w:val="nil"/>
                          <w:left w:val="nil"/>
                          <w:bottom w:val="nil"/>
                          <w:right w:val="nil"/>
                        </w:tcBorders>
                        <w:shd w:val="clear" w:color="auto" w:fill="auto"/>
                        <w:vAlign w:val="bottom"/>
                        <w:hideMark/>
                      </w:tcPr>
                      <w:p w:rsidR="00632F52" w:rsidRPr="00D76932" w:rsidRDefault="004976A0" w:rsidP="00580D61">
                        <w:pPr>
                          <w:overflowPunct/>
                          <w:autoSpaceDE/>
                          <w:autoSpaceDN/>
                          <w:adjustRightInd/>
                          <w:spacing w:after="0"/>
                          <w:jc w:val="right"/>
                          <w:textAlignment w:val="auto"/>
                          <w:rPr>
                            <w:sz w:val="22"/>
                            <w:szCs w:val="22"/>
                            <w:lang w:val="en-NZ"/>
                          </w:rPr>
                        </w:pPr>
                        <w:r w:rsidRPr="004976A0">
                          <w:rPr>
                            <w:sz w:val="22"/>
                            <w:szCs w:val="22"/>
                            <w:lang w:val="en-NZ"/>
                          </w:rPr>
                          <w:t>21476.0</w:t>
                        </w:r>
                      </w:p>
                    </w:tc>
                  </w:tr>
                  <w:tr w:rsidR="00632F52" w:rsidRPr="00D76932" w:rsidTr="00BC0A19">
                    <w:trPr>
                      <w:trHeight w:val="255"/>
                    </w:trPr>
                    <w:tc>
                      <w:tcPr>
                        <w:tcW w:w="960" w:type="dxa"/>
                        <w:tcBorders>
                          <w:top w:val="nil"/>
                          <w:left w:val="nil"/>
                          <w:bottom w:val="nil"/>
                          <w:right w:val="nil"/>
                        </w:tcBorders>
                        <w:shd w:val="clear" w:color="auto" w:fill="auto"/>
                        <w:vAlign w:val="bottom"/>
                        <w:hideMark/>
                      </w:tcPr>
                      <w:p w:rsidR="00632F52" w:rsidRPr="00D76932" w:rsidRDefault="004976A0" w:rsidP="00580D61">
                        <w:pPr>
                          <w:overflowPunct/>
                          <w:autoSpaceDE/>
                          <w:autoSpaceDN/>
                          <w:adjustRightInd/>
                          <w:spacing w:after="0"/>
                          <w:jc w:val="right"/>
                          <w:textAlignment w:val="auto"/>
                          <w:rPr>
                            <w:sz w:val="22"/>
                            <w:szCs w:val="22"/>
                            <w:lang w:val="en-NZ"/>
                          </w:rPr>
                        </w:pPr>
                        <w:r w:rsidRPr="004976A0">
                          <w:rPr>
                            <w:sz w:val="22"/>
                            <w:szCs w:val="22"/>
                            <w:lang w:val="en-NZ"/>
                          </w:rPr>
                          <w:t>24214.3</w:t>
                        </w:r>
                      </w:p>
                    </w:tc>
                  </w:tr>
                  <w:tr w:rsidR="00632F52" w:rsidRPr="00D76932" w:rsidTr="00BC0A19">
                    <w:trPr>
                      <w:trHeight w:val="255"/>
                    </w:trPr>
                    <w:tc>
                      <w:tcPr>
                        <w:tcW w:w="960" w:type="dxa"/>
                        <w:tcBorders>
                          <w:top w:val="nil"/>
                          <w:left w:val="nil"/>
                          <w:bottom w:val="nil"/>
                          <w:right w:val="nil"/>
                        </w:tcBorders>
                        <w:shd w:val="clear" w:color="auto" w:fill="auto"/>
                        <w:vAlign w:val="bottom"/>
                        <w:hideMark/>
                      </w:tcPr>
                      <w:p w:rsidR="00632F52" w:rsidRPr="00D76932" w:rsidRDefault="004976A0" w:rsidP="00580D61">
                        <w:pPr>
                          <w:overflowPunct/>
                          <w:autoSpaceDE/>
                          <w:autoSpaceDN/>
                          <w:adjustRightInd/>
                          <w:spacing w:after="0"/>
                          <w:jc w:val="right"/>
                          <w:textAlignment w:val="auto"/>
                          <w:rPr>
                            <w:sz w:val="22"/>
                            <w:szCs w:val="22"/>
                            <w:lang w:val="en-NZ"/>
                          </w:rPr>
                        </w:pPr>
                        <w:r w:rsidRPr="004976A0">
                          <w:rPr>
                            <w:sz w:val="22"/>
                            <w:szCs w:val="22"/>
                            <w:lang w:val="en-NZ"/>
                          </w:rPr>
                          <w:t>27000.8</w:t>
                        </w:r>
                      </w:p>
                    </w:tc>
                  </w:tr>
                  <w:tr w:rsidR="00632F52" w:rsidRPr="00D76932" w:rsidTr="00BC0A19">
                    <w:trPr>
                      <w:trHeight w:val="255"/>
                    </w:trPr>
                    <w:tc>
                      <w:tcPr>
                        <w:tcW w:w="960" w:type="dxa"/>
                        <w:tcBorders>
                          <w:top w:val="nil"/>
                          <w:left w:val="nil"/>
                          <w:bottom w:val="nil"/>
                          <w:right w:val="nil"/>
                        </w:tcBorders>
                        <w:shd w:val="clear" w:color="auto" w:fill="auto"/>
                        <w:vAlign w:val="bottom"/>
                        <w:hideMark/>
                      </w:tcPr>
                      <w:p w:rsidR="00632F52" w:rsidRPr="00D76932" w:rsidRDefault="004976A0" w:rsidP="00580D61">
                        <w:pPr>
                          <w:overflowPunct/>
                          <w:autoSpaceDE/>
                          <w:autoSpaceDN/>
                          <w:adjustRightInd/>
                          <w:spacing w:after="0"/>
                          <w:jc w:val="right"/>
                          <w:textAlignment w:val="auto"/>
                          <w:rPr>
                            <w:sz w:val="22"/>
                            <w:szCs w:val="22"/>
                            <w:lang w:val="en-NZ"/>
                          </w:rPr>
                        </w:pPr>
                        <w:r w:rsidRPr="004976A0">
                          <w:rPr>
                            <w:sz w:val="22"/>
                            <w:szCs w:val="22"/>
                            <w:lang w:val="en-NZ"/>
                          </w:rPr>
                          <w:t>30126.4</w:t>
                        </w:r>
                      </w:p>
                    </w:tc>
                  </w:tr>
                  <w:tr w:rsidR="00632F52" w:rsidRPr="00D76932" w:rsidTr="00BC0A19">
                    <w:trPr>
                      <w:trHeight w:val="255"/>
                    </w:trPr>
                    <w:tc>
                      <w:tcPr>
                        <w:tcW w:w="960" w:type="dxa"/>
                        <w:tcBorders>
                          <w:top w:val="nil"/>
                          <w:left w:val="nil"/>
                          <w:bottom w:val="nil"/>
                          <w:right w:val="nil"/>
                        </w:tcBorders>
                        <w:shd w:val="clear" w:color="auto" w:fill="auto"/>
                        <w:vAlign w:val="bottom"/>
                        <w:hideMark/>
                      </w:tcPr>
                      <w:p w:rsidR="00632F52" w:rsidRPr="00D76932" w:rsidRDefault="004976A0" w:rsidP="00580D61">
                        <w:pPr>
                          <w:overflowPunct/>
                          <w:autoSpaceDE/>
                          <w:autoSpaceDN/>
                          <w:adjustRightInd/>
                          <w:spacing w:after="0"/>
                          <w:jc w:val="right"/>
                          <w:textAlignment w:val="auto"/>
                          <w:rPr>
                            <w:sz w:val="22"/>
                            <w:szCs w:val="22"/>
                            <w:lang w:val="en-NZ"/>
                          </w:rPr>
                        </w:pPr>
                        <w:r w:rsidRPr="004976A0">
                          <w:rPr>
                            <w:sz w:val="22"/>
                            <w:szCs w:val="22"/>
                            <w:lang w:val="en-NZ"/>
                          </w:rPr>
                          <w:t>34005.7</w:t>
                        </w:r>
                      </w:p>
                    </w:tc>
                  </w:tr>
                  <w:tr w:rsidR="00632F52" w:rsidRPr="00D76932" w:rsidTr="00BC0A19">
                    <w:trPr>
                      <w:trHeight w:val="255"/>
                    </w:trPr>
                    <w:tc>
                      <w:tcPr>
                        <w:tcW w:w="960" w:type="dxa"/>
                        <w:tcBorders>
                          <w:top w:val="nil"/>
                          <w:left w:val="nil"/>
                          <w:bottom w:val="nil"/>
                          <w:right w:val="nil"/>
                        </w:tcBorders>
                        <w:shd w:val="clear" w:color="auto" w:fill="auto"/>
                        <w:vAlign w:val="bottom"/>
                        <w:hideMark/>
                      </w:tcPr>
                      <w:p w:rsidR="00632F52" w:rsidRPr="00D76932" w:rsidRDefault="004976A0" w:rsidP="00580D61">
                        <w:pPr>
                          <w:overflowPunct/>
                          <w:autoSpaceDE/>
                          <w:autoSpaceDN/>
                          <w:adjustRightInd/>
                          <w:spacing w:after="0"/>
                          <w:jc w:val="right"/>
                          <w:textAlignment w:val="auto"/>
                          <w:rPr>
                            <w:sz w:val="22"/>
                            <w:szCs w:val="22"/>
                            <w:lang w:val="en-NZ"/>
                          </w:rPr>
                        </w:pPr>
                        <w:r w:rsidRPr="004976A0">
                          <w:rPr>
                            <w:sz w:val="22"/>
                            <w:szCs w:val="22"/>
                            <w:lang w:val="en-NZ"/>
                          </w:rPr>
                          <w:t>38595.3</w:t>
                        </w:r>
                      </w:p>
                    </w:tc>
                  </w:tr>
                </w:tbl>
                <w:p w:rsidR="00632F52" w:rsidRPr="00D76932" w:rsidRDefault="00632F52" w:rsidP="0088005A">
                  <w:pPr>
                    <w:tabs>
                      <w:tab w:val="left" w:pos="-2268"/>
                      <w:tab w:val="left" w:pos="426"/>
                      <w:tab w:val="left" w:pos="1134"/>
                      <w:tab w:val="left" w:pos="9781"/>
                    </w:tabs>
                    <w:spacing w:before="240" w:after="0"/>
                    <w:ind w:right="1313"/>
                    <w:jc w:val="both"/>
                    <w:rPr>
                      <w:sz w:val="22"/>
                      <w:szCs w:val="22"/>
                    </w:rPr>
                  </w:pPr>
                </w:p>
              </w:tc>
              <w:tc>
                <w:tcPr>
                  <w:tcW w:w="1985" w:type="dxa"/>
                  <w:tcBorders>
                    <w:top w:val="single" w:sz="4" w:space="0" w:color="auto"/>
                  </w:tcBorders>
                </w:tcPr>
                <w:tbl>
                  <w:tblPr>
                    <w:tblW w:w="960" w:type="dxa"/>
                    <w:tblLayout w:type="fixed"/>
                    <w:tblLook w:val="04A0"/>
                  </w:tblPr>
                  <w:tblGrid>
                    <w:gridCol w:w="960"/>
                  </w:tblGrid>
                  <w:tr w:rsidR="00632F52" w:rsidRPr="00D76932" w:rsidTr="00BC0A19">
                    <w:trPr>
                      <w:trHeight w:val="255"/>
                    </w:trPr>
                    <w:tc>
                      <w:tcPr>
                        <w:tcW w:w="960" w:type="dxa"/>
                        <w:tcBorders>
                          <w:top w:val="nil"/>
                          <w:left w:val="nil"/>
                          <w:bottom w:val="nil"/>
                          <w:right w:val="nil"/>
                        </w:tcBorders>
                        <w:shd w:val="clear" w:color="auto" w:fill="auto"/>
                        <w:vAlign w:val="bottom"/>
                        <w:hideMark/>
                      </w:tcPr>
                      <w:p w:rsidR="00E14A56" w:rsidRDefault="004976A0">
                        <w:pPr>
                          <w:spacing w:after="0"/>
                          <w:ind w:left="-74" w:right="-174"/>
                          <w:jc w:val="center"/>
                          <w:rPr>
                            <w:color w:val="000000"/>
                            <w:sz w:val="22"/>
                            <w:szCs w:val="22"/>
                          </w:rPr>
                        </w:pPr>
                        <w:r w:rsidRPr="004976A0">
                          <w:rPr>
                            <w:color w:val="000000"/>
                            <w:sz w:val="22"/>
                            <w:szCs w:val="22"/>
                          </w:rPr>
                          <w:t xml:space="preserve">(2083.1) </w:t>
                        </w:r>
                      </w:p>
                    </w:tc>
                  </w:tr>
                  <w:tr w:rsidR="00632F52" w:rsidRPr="00D76932" w:rsidTr="00BC0A19">
                    <w:trPr>
                      <w:trHeight w:val="255"/>
                    </w:trPr>
                    <w:tc>
                      <w:tcPr>
                        <w:tcW w:w="960" w:type="dxa"/>
                        <w:tcBorders>
                          <w:top w:val="nil"/>
                          <w:left w:val="nil"/>
                          <w:bottom w:val="nil"/>
                          <w:right w:val="nil"/>
                        </w:tcBorders>
                        <w:shd w:val="clear" w:color="auto" w:fill="auto"/>
                        <w:vAlign w:val="bottom"/>
                        <w:hideMark/>
                      </w:tcPr>
                      <w:p w:rsidR="00632F52" w:rsidRPr="00D76932" w:rsidRDefault="004976A0" w:rsidP="00580D61">
                        <w:pPr>
                          <w:overflowPunct/>
                          <w:autoSpaceDE/>
                          <w:autoSpaceDN/>
                          <w:adjustRightInd/>
                          <w:spacing w:after="0"/>
                          <w:jc w:val="right"/>
                          <w:textAlignment w:val="auto"/>
                          <w:rPr>
                            <w:sz w:val="22"/>
                            <w:szCs w:val="22"/>
                            <w:lang w:val="en-NZ"/>
                          </w:rPr>
                        </w:pPr>
                        <w:r w:rsidRPr="004976A0">
                          <w:rPr>
                            <w:sz w:val="22"/>
                            <w:szCs w:val="22"/>
                            <w:lang w:val="en-NZ"/>
                          </w:rPr>
                          <w:t>2101.9</w:t>
                        </w:r>
                      </w:p>
                    </w:tc>
                  </w:tr>
                  <w:tr w:rsidR="00632F52" w:rsidRPr="00D76932" w:rsidTr="00BC0A19">
                    <w:trPr>
                      <w:trHeight w:val="255"/>
                    </w:trPr>
                    <w:tc>
                      <w:tcPr>
                        <w:tcW w:w="960" w:type="dxa"/>
                        <w:tcBorders>
                          <w:top w:val="nil"/>
                          <w:left w:val="nil"/>
                          <w:bottom w:val="nil"/>
                          <w:right w:val="nil"/>
                        </w:tcBorders>
                        <w:shd w:val="clear" w:color="auto" w:fill="auto"/>
                        <w:vAlign w:val="bottom"/>
                        <w:hideMark/>
                      </w:tcPr>
                      <w:p w:rsidR="00632F52" w:rsidRPr="00D76932" w:rsidRDefault="004976A0" w:rsidP="00580D61">
                        <w:pPr>
                          <w:overflowPunct/>
                          <w:autoSpaceDE/>
                          <w:autoSpaceDN/>
                          <w:adjustRightInd/>
                          <w:spacing w:after="0"/>
                          <w:jc w:val="right"/>
                          <w:textAlignment w:val="auto"/>
                          <w:rPr>
                            <w:sz w:val="22"/>
                            <w:szCs w:val="22"/>
                            <w:lang w:val="en-NZ"/>
                          </w:rPr>
                        </w:pPr>
                        <w:r w:rsidRPr="004976A0">
                          <w:rPr>
                            <w:sz w:val="22"/>
                            <w:szCs w:val="22"/>
                            <w:lang w:val="en-NZ"/>
                          </w:rPr>
                          <w:t>2190.1</w:t>
                        </w:r>
                      </w:p>
                    </w:tc>
                  </w:tr>
                  <w:tr w:rsidR="00632F52" w:rsidRPr="00D76932" w:rsidTr="00BC0A19">
                    <w:trPr>
                      <w:trHeight w:val="255"/>
                    </w:trPr>
                    <w:tc>
                      <w:tcPr>
                        <w:tcW w:w="960" w:type="dxa"/>
                        <w:tcBorders>
                          <w:top w:val="nil"/>
                          <w:left w:val="nil"/>
                          <w:bottom w:val="nil"/>
                          <w:right w:val="nil"/>
                        </w:tcBorders>
                        <w:shd w:val="clear" w:color="auto" w:fill="auto"/>
                        <w:vAlign w:val="bottom"/>
                        <w:hideMark/>
                      </w:tcPr>
                      <w:p w:rsidR="00632F52" w:rsidRPr="00D76932" w:rsidRDefault="004976A0" w:rsidP="00580D61">
                        <w:pPr>
                          <w:overflowPunct/>
                          <w:autoSpaceDE/>
                          <w:autoSpaceDN/>
                          <w:adjustRightInd/>
                          <w:spacing w:after="0"/>
                          <w:jc w:val="right"/>
                          <w:textAlignment w:val="auto"/>
                          <w:rPr>
                            <w:sz w:val="22"/>
                            <w:szCs w:val="22"/>
                            <w:lang w:val="en-NZ"/>
                          </w:rPr>
                        </w:pPr>
                        <w:r w:rsidRPr="004976A0">
                          <w:rPr>
                            <w:sz w:val="22"/>
                            <w:szCs w:val="22"/>
                            <w:lang w:val="en-NZ"/>
                          </w:rPr>
                          <w:t>2304.0</w:t>
                        </w:r>
                      </w:p>
                    </w:tc>
                  </w:tr>
                  <w:tr w:rsidR="00632F52" w:rsidRPr="00D76932" w:rsidTr="00BC0A19">
                    <w:trPr>
                      <w:trHeight w:val="255"/>
                    </w:trPr>
                    <w:tc>
                      <w:tcPr>
                        <w:tcW w:w="960" w:type="dxa"/>
                        <w:tcBorders>
                          <w:top w:val="nil"/>
                          <w:left w:val="nil"/>
                          <w:bottom w:val="nil"/>
                          <w:right w:val="nil"/>
                        </w:tcBorders>
                        <w:shd w:val="clear" w:color="auto" w:fill="auto"/>
                        <w:vAlign w:val="bottom"/>
                        <w:hideMark/>
                      </w:tcPr>
                      <w:p w:rsidR="00632F52" w:rsidRPr="00D76932" w:rsidRDefault="004976A0" w:rsidP="00580D61">
                        <w:pPr>
                          <w:overflowPunct/>
                          <w:autoSpaceDE/>
                          <w:autoSpaceDN/>
                          <w:adjustRightInd/>
                          <w:spacing w:after="0"/>
                          <w:jc w:val="right"/>
                          <w:textAlignment w:val="auto"/>
                          <w:rPr>
                            <w:sz w:val="22"/>
                            <w:szCs w:val="22"/>
                            <w:lang w:val="en-NZ"/>
                          </w:rPr>
                        </w:pPr>
                        <w:r w:rsidRPr="004976A0">
                          <w:rPr>
                            <w:sz w:val="22"/>
                            <w:szCs w:val="22"/>
                            <w:lang w:val="en-NZ"/>
                          </w:rPr>
                          <w:t>2377.8</w:t>
                        </w:r>
                      </w:p>
                    </w:tc>
                  </w:tr>
                  <w:tr w:rsidR="00632F52" w:rsidRPr="00D76932" w:rsidTr="00BC0A19">
                    <w:trPr>
                      <w:trHeight w:val="255"/>
                    </w:trPr>
                    <w:tc>
                      <w:tcPr>
                        <w:tcW w:w="960" w:type="dxa"/>
                        <w:tcBorders>
                          <w:top w:val="nil"/>
                          <w:left w:val="nil"/>
                          <w:bottom w:val="nil"/>
                          <w:right w:val="nil"/>
                        </w:tcBorders>
                        <w:shd w:val="clear" w:color="auto" w:fill="auto"/>
                        <w:vAlign w:val="bottom"/>
                        <w:hideMark/>
                      </w:tcPr>
                      <w:p w:rsidR="00632F52" w:rsidRPr="00D76932" w:rsidRDefault="004976A0" w:rsidP="00580D61">
                        <w:pPr>
                          <w:overflowPunct/>
                          <w:autoSpaceDE/>
                          <w:autoSpaceDN/>
                          <w:adjustRightInd/>
                          <w:spacing w:after="0"/>
                          <w:jc w:val="right"/>
                          <w:textAlignment w:val="auto"/>
                          <w:rPr>
                            <w:sz w:val="22"/>
                            <w:szCs w:val="22"/>
                            <w:lang w:val="en-NZ"/>
                          </w:rPr>
                        </w:pPr>
                        <w:r w:rsidRPr="004976A0">
                          <w:rPr>
                            <w:sz w:val="22"/>
                            <w:szCs w:val="22"/>
                            <w:lang w:val="en-NZ"/>
                          </w:rPr>
                          <w:t>2565.6</w:t>
                        </w:r>
                      </w:p>
                    </w:tc>
                  </w:tr>
                  <w:tr w:rsidR="00632F52" w:rsidRPr="00D76932" w:rsidTr="00BC0A19">
                    <w:trPr>
                      <w:trHeight w:val="255"/>
                    </w:trPr>
                    <w:tc>
                      <w:tcPr>
                        <w:tcW w:w="960" w:type="dxa"/>
                        <w:tcBorders>
                          <w:top w:val="nil"/>
                          <w:left w:val="nil"/>
                          <w:bottom w:val="nil"/>
                          <w:right w:val="nil"/>
                        </w:tcBorders>
                        <w:shd w:val="clear" w:color="auto" w:fill="auto"/>
                        <w:vAlign w:val="bottom"/>
                        <w:hideMark/>
                      </w:tcPr>
                      <w:p w:rsidR="00632F52" w:rsidRPr="00D76932" w:rsidRDefault="004976A0" w:rsidP="00580D61">
                        <w:pPr>
                          <w:overflowPunct/>
                          <w:autoSpaceDE/>
                          <w:autoSpaceDN/>
                          <w:adjustRightInd/>
                          <w:spacing w:after="0"/>
                          <w:jc w:val="right"/>
                          <w:textAlignment w:val="auto"/>
                          <w:rPr>
                            <w:sz w:val="22"/>
                            <w:szCs w:val="22"/>
                            <w:lang w:val="en-NZ"/>
                          </w:rPr>
                        </w:pPr>
                        <w:r w:rsidRPr="004976A0">
                          <w:rPr>
                            <w:sz w:val="22"/>
                            <w:szCs w:val="22"/>
                            <w:lang w:val="en-NZ"/>
                          </w:rPr>
                          <w:t>2765.7</w:t>
                        </w:r>
                      </w:p>
                    </w:tc>
                  </w:tr>
                  <w:tr w:rsidR="00632F52" w:rsidRPr="00D76932" w:rsidTr="00BC0A19">
                    <w:trPr>
                      <w:trHeight w:val="255"/>
                    </w:trPr>
                    <w:tc>
                      <w:tcPr>
                        <w:tcW w:w="960" w:type="dxa"/>
                        <w:tcBorders>
                          <w:top w:val="nil"/>
                          <w:left w:val="nil"/>
                          <w:bottom w:val="nil"/>
                          <w:right w:val="nil"/>
                        </w:tcBorders>
                        <w:shd w:val="clear" w:color="auto" w:fill="auto"/>
                        <w:vAlign w:val="bottom"/>
                        <w:hideMark/>
                      </w:tcPr>
                      <w:p w:rsidR="00632F52" w:rsidRPr="00D76932" w:rsidRDefault="004976A0" w:rsidP="00580D61">
                        <w:pPr>
                          <w:overflowPunct/>
                          <w:autoSpaceDE/>
                          <w:autoSpaceDN/>
                          <w:adjustRightInd/>
                          <w:spacing w:after="0"/>
                          <w:jc w:val="right"/>
                          <w:textAlignment w:val="auto"/>
                          <w:rPr>
                            <w:sz w:val="22"/>
                            <w:szCs w:val="22"/>
                            <w:lang w:val="en-NZ"/>
                          </w:rPr>
                        </w:pPr>
                        <w:r w:rsidRPr="004976A0">
                          <w:rPr>
                            <w:sz w:val="22"/>
                            <w:szCs w:val="22"/>
                            <w:lang w:val="en-NZ"/>
                          </w:rPr>
                          <w:t>2890.2</w:t>
                        </w:r>
                      </w:p>
                    </w:tc>
                  </w:tr>
                  <w:tr w:rsidR="00632F52" w:rsidRPr="00D76932" w:rsidTr="00BC0A19">
                    <w:trPr>
                      <w:trHeight w:val="255"/>
                    </w:trPr>
                    <w:tc>
                      <w:tcPr>
                        <w:tcW w:w="960" w:type="dxa"/>
                        <w:tcBorders>
                          <w:top w:val="nil"/>
                          <w:left w:val="nil"/>
                          <w:bottom w:val="nil"/>
                          <w:right w:val="nil"/>
                        </w:tcBorders>
                        <w:shd w:val="clear" w:color="auto" w:fill="auto"/>
                        <w:vAlign w:val="bottom"/>
                        <w:hideMark/>
                      </w:tcPr>
                      <w:p w:rsidR="00632F52" w:rsidRPr="00D76932" w:rsidRDefault="004976A0" w:rsidP="00580D61">
                        <w:pPr>
                          <w:overflowPunct/>
                          <w:autoSpaceDE/>
                          <w:autoSpaceDN/>
                          <w:adjustRightInd/>
                          <w:spacing w:after="0"/>
                          <w:jc w:val="right"/>
                          <w:textAlignment w:val="auto"/>
                          <w:rPr>
                            <w:sz w:val="22"/>
                            <w:szCs w:val="22"/>
                            <w:lang w:val="en-NZ"/>
                          </w:rPr>
                        </w:pPr>
                        <w:r w:rsidRPr="004976A0">
                          <w:rPr>
                            <w:sz w:val="22"/>
                            <w:szCs w:val="22"/>
                            <w:lang w:val="en-NZ"/>
                          </w:rPr>
                          <w:t>3031.8</w:t>
                        </w:r>
                      </w:p>
                    </w:tc>
                  </w:tr>
                  <w:tr w:rsidR="00632F52" w:rsidRPr="00D76932" w:rsidTr="00BC0A19">
                    <w:trPr>
                      <w:trHeight w:val="255"/>
                    </w:trPr>
                    <w:tc>
                      <w:tcPr>
                        <w:tcW w:w="960" w:type="dxa"/>
                        <w:tcBorders>
                          <w:top w:val="nil"/>
                          <w:left w:val="nil"/>
                          <w:bottom w:val="nil"/>
                          <w:right w:val="nil"/>
                        </w:tcBorders>
                        <w:shd w:val="clear" w:color="auto" w:fill="auto"/>
                        <w:vAlign w:val="bottom"/>
                        <w:hideMark/>
                      </w:tcPr>
                      <w:p w:rsidR="00632F52" w:rsidRPr="00D76932" w:rsidRDefault="004976A0" w:rsidP="00580D61">
                        <w:pPr>
                          <w:overflowPunct/>
                          <w:autoSpaceDE/>
                          <w:autoSpaceDN/>
                          <w:adjustRightInd/>
                          <w:spacing w:after="0"/>
                          <w:jc w:val="right"/>
                          <w:textAlignment w:val="auto"/>
                          <w:rPr>
                            <w:sz w:val="22"/>
                            <w:szCs w:val="22"/>
                            <w:lang w:val="en-NZ"/>
                          </w:rPr>
                        </w:pPr>
                        <w:r w:rsidRPr="004976A0">
                          <w:rPr>
                            <w:sz w:val="22"/>
                            <w:szCs w:val="22"/>
                            <w:lang w:val="en-NZ"/>
                          </w:rPr>
                          <w:t>3162.2</w:t>
                        </w:r>
                      </w:p>
                    </w:tc>
                  </w:tr>
                  <w:tr w:rsidR="00632F52" w:rsidRPr="00D76932" w:rsidTr="00BC0A19">
                    <w:trPr>
                      <w:trHeight w:val="255"/>
                    </w:trPr>
                    <w:tc>
                      <w:tcPr>
                        <w:tcW w:w="960" w:type="dxa"/>
                        <w:tcBorders>
                          <w:top w:val="nil"/>
                          <w:left w:val="nil"/>
                          <w:bottom w:val="nil"/>
                          <w:right w:val="nil"/>
                        </w:tcBorders>
                        <w:shd w:val="clear" w:color="auto" w:fill="auto"/>
                        <w:vAlign w:val="bottom"/>
                        <w:hideMark/>
                      </w:tcPr>
                      <w:p w:rsidR="00632F52" w:rsidRPr="00D76932" w:rsidRDefault="004976A0" w:rsidP="00580D61">
                        <w:pPr>
                          <w:overflowPunct/>
                          <w:autoSpaceDE/>
                          <w:autoSpaceDN/>
                          <w:adjustRightInd/>
                          <w:spacing w:after="0"/>
                          <w:jc w:val="right"/>
                          <w:textAlignment w:val="auto"/>
                          <w:rPr>
                            <w:sz w:val="22"/>
                            <w:szCs w:val="22"/>
                            <w:lang w:val="en-NZ"/>
                          </w:rPr>
                        </w:pPr>
                        <w:r w:rsidRPr="004976A0">
                          <w:rPr>
                            <w:sz w:val="22"/>
                            <w:szCs w:val="22"/>
                            <w:lang w:val="en-NZ"/>
                          </w:rPr>
                          <w:t>3206.4</w:t>
                        </w:r>
                      </w:p>
                    </w:tc>
                  </w:tr>
                  <w:tr w:rsidR="00632F52" w:rsidRPr="00D76932" w:rsidTr="00BC0A19">
                    <w:trPr>
                      <w:trHeight w:val="255"/>
                    </w:trPr>
                    <w:tc>
                      <w:tcPr>
                        <w:tcW w:w="960" w:type="dxa"/>
                        <w:tcBorders>
                          <w:top w:val="nil"/>
                          <w:left w:val="nil"/>
                          <w:bottom w:val="nil"/>
                          <w:right w:val="nil"/>
                        </w:tcBorders>
                        <w:shd w:val="clear" w:color="auto" w:fill="auto"/>
                        <w:vAlign w:val="bottom"/>
                        <w:hideMark/>
                      </w:tcPr>
                      <w:p w:rsidR="00632F52" w:rsidRPr="00D76932" w:rsidRDefault="004976A0" w:rsidP="00580D61">
                        <w:pPr>
                          <w:overflowPunct/>
                          <w:autoSpaceDE/>
                          <w:autoSpaceDN/>
                          <w:adjustRightInd/>
                          <w:spacing w:after="0"/>
                          <w:jc w:val="right"/>
                          <w:textAlignment w:val="auto"/>
                          <w:rPr>
                            <w:sz w:val="22"/>
                            <w:szCs w:val="22"/>
                            <w:lang w:val="en-NZ"/>
                          </w:rPr>
                        </w:pPr>
                        <w:r w:rsidRPr="004976A0">
                          <w:rPr>
                            <w:sz w:val="22"/>
                            <w:szCs w:val="22"/>
                            <w:lang w:val="en-NZ"/>
                          </w:rPr>
                          <w:t>3321.9</w:t>
                        </w:r>
                      </w:p>
                    </w:tc>
                  </w:tr>
                  <w:tr w:rsidR="00632F52" w:rsidRPr="00D76932" w:rsidTr="00BC0A19">
                    <w:trPr>
                      <w:trHeight w:val="255"/>
                    </w:trPr>
                    <w:tc>
                      <w:tcPr>
                        <w:tcW w:w="960" w:type="dxa"/>
                        <w:tcBorders>
                          <w:top w:val="nil"/>
                          <w:left w:val="nil"/>
                          <w:bottom w:val="nil"/>
                          <w:right w:val="nil"/>
                        </w:tcBorders>
                        <w:shd w:val="clear" w:color="auto" w:fill="auto"/>
                        <w:vAlign w:val="bottom"/>
                        <w:hideMark/>
                      </w:tcPr>
                      <w:p w:rsidR="00632F52" w:rsidRPr="00D76932" w:rsidRDefault="004976A0" w:rsidP="00580D61">
                        <w:pPr>
                          <w:overflowPunct/>
                          <w:autoSpaceDE/>
                          <w:autoSpaceDN/>
                          <w:adjustRightInd/>
                          <w:spacing w:after="0"/>
                          <w:jc w:val="right"/>
                          <w:textAlignment w:val="auto"/>
                          <w:rPr>
                            <w:sz w:val="22"/>
                            <w:szCs w:val="22"/>
                            <w:lang w:val="en-NZ"/>
                          </w:rPr>
                        </w:pPr>
                        <w:r w:rsidRPr="004976A0">
                          <w:rPr>
                            <w:sz w:val="22"/>
                            <w:szCs w:val="22"/>
                            <w:lang w:val="en-NZ"/>
                          </w:rPr>
                          <w:t>3451.4</w:t>
                        </w:r>
                      </w:p>
                    </w:tc>
                  </w:tr>
                  <w:tr w:rsidR="00632F52" w:rsidRPr="00D76932" w:rsidTr="00BC0A19">
                    <w:trPr>
                      <w:trHeight w:val="255"/>
                    </w:trPr>
                    <w:tc>
                      <w:tcPr>
                        <w:tcW w:w="960" w:type="dxa"/>
                        <w:tcBorders>
                          <w:top w:val="nil"/>
                          <w:left w:val="nil"/>
                          <w:bottom w:val="nil"/>
                          <w:right w:val="nil"/>
                        </w:tcBorders>
                        <w:shd w:val="clear" w:color="auto" w:fill="auto"/>
                        <w:vAlign w:val="bottom"/>
                        <w:hideMark/>
                      </w:tcPr>
                      <w:p w:rsidR="00632F52" w:rsidRPr="00D76932" w:rsidRDefault="004976A0" w:rsidP="00580D61">
                        <w:pPr>
                          <w:overflowPunct/>
                          <w:autoSpaceDE/>
                          <w:autoSpaceDN/>
                          <w:adjustRightInd/>
                          <w:spacing w:after="0"/>
                          <w:jc w:val="right"/>
                          <w:textAlignment w:val="auto"/>
                          <w:rPr>
                            <w:sz w:val="22"/>
                            <w:szCs w:val="22"/>
                            <w:lang w:val="en-NZ"/>
                          </w:rPr>
                        </w:pPr>
                        <w:r w:rsidRPr="004976A0">
                          <w:rPr>
                            <w:sz w:val="22"/>
                            <w:szCs w:val="22"/>
                            <w:lang w:val="en-NZ"/>
                          </w:rPr>
                          <w:t>3468.7</w:t>
                        </w:r>
                      </w:p>
                    </w:tc>
                  </w:tr>
                  <w:tr w:rsidR="00632F52" w:rsidRPr="00D76932" w:rsidTr="00BC0A19">
                    <w:trPr>
                      <w:trHeight w:val="255"/>
                    </w:trPr>
                    <w:tc>
                      <w:tcPr>
                        <w:tcW w:w="960" w:type="dxa"/>
                        <w:tcBorders>
                          <w:top w:val="nil"/>
                          <w:left w:val="nil"/>
                          <w:bottom w:val="nil"/>
                          <w:right w:val="nil"/>
                        </w:tcBorders>
                        <w:shd w:val="clear" w:color="auto" w:fill="auto"/>
                        <w:vAlign w:val="bottom"/>
                        <w:hideMark/>
                      </w:tcPr>
                      <w:p w:rsidR="00632F52" w:rsidRPr="00D76932" w:rsidRDefault="004976A0" w:rsidP="00580D61">
                        <w:pPr>
                          <w:overflowPunct/>
                          <w:autoSpaceDE/>
                          <w:autoSpaceDN/>
                          <w:adjustRightInd/>
                          <w:spacing w:after="0"/>
                          <w:jc w:val="right"/>
                          <w:textAlignment w:val="auto"/>
                          <w:rPr>
                            <w:sz w:val="22"/>
                            <w:szCs w:val="22"/>
                            <w:lang w:val="en-NZ"/>
                          </w:rPr>
                        </w:pPr>
                        <w:r w:rsidRPr="004976A0">
                          <w:rPr>
                            <w:sz w:val="22"/>
                            <w:szCs w:val="22"/>
                            <w:lang w:val="en-NZ"/>
                          </w:rPr>
                          <w:t>3763.5</w:t>
                        </w:r>
                      </w:p>
                    </w:tc>
                  </w:tr>
                  <w:tr w:rsidR="00632F52" w:rsidRPr="00D76932" w:rsidTr="00BC0A19">
                    <w:trPr>
                      <w:trHeight w:val="255"/>
                    </w:trPr>
                    <w:tc>
                      <w:tcPr>
                        <w:tcW w:w="960" w:type="dxa"/>
                        <w:tcBorders>
                          <w:top w:val="nil"/>
                          <w:left w:val="nil"/>
                          <w:bottom w:val="nil"/>
                          <w:right w:val="nil"/>
                        </w:tcBorders>
                        <w:shd w:val="clear" w:color="auto" w:fill="auto"/>
                        <w:vAlign w:val="bottom"/>
                        <w:hideMark/>
                      </w:tcPr>
                      <w:p w:rsidR="00632F52" w:rsidRPr="00D76932" w:rsidRDefault="004976A0" w:rsidP="00580D61">
                        <w:pPr>
                          <w:overflowPunct/>
                          <w:autoSpaceDE/>
                          <w:autoSpaceDN/>
                          <w:adjustRightInd/>
                          <w:spacing w:after="0"/>
                          <w:jc w:val="right"/>
                          <w:textAlignment w:val="auto"/>
                          <w:rPr>
                            <w:sz w:val="22"/>
                            <w:szCs w:val="22"/>
                            <w:lang w:val="en-NZ"/>
                          </w:rPr>
                        </w:pPr>
                        <w:r w:rsidRPr="004976A0">
                          <w:rPr>
                            <w:sz w:val="22"/>
                            <w:szCs w:val="22"/>
                            <w:lang w:val="en-NZ"/>
                          </w:rPr>
                          <w:t>3917.8</w:t>
                        </w:r>
                      </w:p>
                    </w:tc>
                  </w:tr>
                  <w:tr w:rsidR="00632F52" w:rsidRPr="00D76932" w:rsidTr="00BC0A19">
                    <w:trPr>
                      <w:trHeight w:val="255"/>
                    </w:trPr>
                    <w:tc>
                      <w:tcPr>
                        <w:tcW w:w="960" w:type="dxa"/>
                        <w:tcBorders>
                          <w:top w:val="nil"/>
                          <w:left w:val="nil"/>
                          <w:bottom w:val="nil"/>
                          <w:right w:val="nil"/>
                        </w:tcBorders>
                        <w:shd w:val="clear" w:color="auto" w:fill="auto"/>
                        <w:vAlign w:val="bottom"/>
                        <w:hideMark/>
                      </w:tcPr>
                      <w:p w:rsidR="00632F52" w:rsidRPr="00D76932" w:rsidRDefault="004976A0" w:rsidP="00580D61">
                        <w:pPr>
                          <w:overflowPunct/>
                          <w:autoSpaceDE/>
                          <w:autoSpaceDN/>
                          <w:adjustRightInd/>
                          <w:spacing w:after="0"/>
                          <w:jc w:val="right"/>
                          <w:textAlignment w:val="auto"/>
                          <w:rPr>
                            <w:sz w:val="22"/>
                            <w:szCs w:val="22"/>
                            <w:lang w:val="en-NZ"/>
                          </w:rPr>
                        </w:pPr>
                        <w:r w:rsidRPr="004976A0">
                          <w:rPr>
                            <w:sz w:val="22"/>
                            <w:szCs w:val="22"/>
                            <w:lang w:val="en-NZ"/>
                          </w:rPr>
                          <w:t>4129.4</w:t>
                        </w:r>
                      </w:p>
                    </w:tc>
                  </w:tr>
                  <w:tr w:rsidR="00632F52" w:rsidRPr="00D76932" w:rsidTr="00BC0A19">
                    <w:trPr>
                      <w:trHeight w:val="255"/>
                    </w:trPr>
                    <w:tc>
                      <w:tcPr>
                        <w:tcW w:w="960" w:type="dxa"/>
                        <w:tcBorders>
                          <w:top w:val="nil"/>
                          <w:left w:val="nil"/>
                          <w:bottom w:val="nil"/>
                          <w:right w:val="nil"/>
                        </w:tcBorders>
                        <w:shd w:val="clear" w:color="auto" w:fill="auto"/>
                        <w:vAlign w:val="bottom"/>
                        <w:hideMark/>
                      </w:tcPr>
                      <w:p w:rsidR="00632F52" w:rsidRPr="00D76932" w:rsidRDefault="004976A0" w:rsidP="00580D61">
                        <w:pPr>
                          <w:overflowPunct/>
                          <w:autoSpaceDE/>
                          <w:autoSpaceDN/>
                          <w:adjustRightInd/>
                          <w:spacing w:after="0"/>
                          <w:jc w:val="right"/>
                          <w:textAlignment w:val="auto"/>
                          <w:rPr>
                            <w:sz w:val="22"/>
                            <w:szCs w:val="22"/>
                            <w:lang w:val="en-NZ"/>
                          </w:rPr>
                        </w:pPr>
                        <w:r w:rsidRPr="004976A0">
                          <w:rPr>
                            <w:sz w:val="22"/>
                            <w:szCs w:val="22"/>
                            <w:lang w:val="en-NZ"/>
                          </w:rPr>
                          <w:t>4294.6</w:t>
                        </w:r>
                      </w:p>
                    </w:tc>
                  </w:tr>
                </w:tbl>
                <w:p w:rsidR="00632F52" w:rsidRPr="00D76932" w:rsidRDefault="00632F52" w:rsidP="0088005A">
                  <w:pPr>
                    <w:tabs>
                      <w:tab w:val="left" w:pos="-2268"/>
                      <w:tab w:val="left" w:pos="426"/>
                      <w:tab w:val="left" w:pos="1134"/>
                      <w:tab w:val="left" w:pos="9781"/>
                    </w:tabs>
                    <w:spacing w:before="240" w:after="0"/>
                    <w:ind w:right="1313"/>
                    <w:jc w:val="both"/>
                    <w:rPr>
                      <w:sz w:val="22"/>
                      <w:szCs w:val="22"/>
                    </w:rPr>
                  </w:pPr>
                </w:p>
              </w:tc>
            </w:tr>
          </w:tbl>
          <w:p w:rsidR="00632F52" w:rsidRPr="00D76932" w:rsidRDefault="00632F52" w:rsidP="0088005A">
            <w:pPr>
              <w:tabs>
                <w:tab w:val="left" w:pos="-2268"/>
                <w:tab w:val="left" w:pos="426"/>
                <w:tab w:val="left" w:pos="1134"/>
                <w:tab w:val="left" w:pos="9781"/>
              </w:tabs>
              <w:spacing w:before="240" w:after="0"/>
              <w:ind w:right="1313"/>
              <w:jc w:val="both"/>
              <w:rPr>
                <w:sz w:val="22"/>
                <w:szCs w:val="22"/>
              </w:rPr>
            </w:pPr>
          </w:p>
        </w:tc>
      </w:tr>
    </w:tbl>
    <w:p w:rsidR="005428E4" w:rsidRDefault="005428E4" w:rsidP="00153073">
      <w:pPr>
        <w:overflowPunct/>
        <w:spacing w:before="100" w:after="0"/>
        <w:ind w:left="426" w:hanging="426"/>
        <w:textAlignment w:val="auto"/>
        <w:rPr>
          <w:color w:val="000000"/>
          <w:sz w:val="12"/>
          <w:szCs w:val="12"/>
        </w:rPr>
      </w:pPr>
      <w:r>
        <w:rPr>
          <w:color w:val="000000"/>
          <w:sz w:val="12"/>
          <w:szCs w:val="12"/>
        </w:rPr>
        <w:br/>
      </w:r>
    </w:p>
    <w:p w:rsidR="005428E4" w:rsidRPr="005428E4" w:rsidRDefault="004976A0">
      <w:pPr>
        <w:overflowPunct/>
        <w:autoSpaceDE/>
        <w:autoSpaceDN/>
        <w:adjustRightInd/>
        <w:spacing w:after="0"/>
        <w:textAlignment w:val="auto"/>
        <w:rPr>
          <w:b/>
          <w:color w:val="000000"/>
          <w:sz w:val="12"/>
          <w:szCs w:val="12"/>
        </w:rPr>
      </w:pPr>
      <w:r w:rsidRPr="004976A0">
        <w:rPr>
          <w:b/>
          <w:color w:val="000000"/>
          <w:szCs w:val="24"/>
        </w:rPr>
        <w:t>References</w:t>
      </w:r>
    </w:p>
    <w:p w:rsidR="00E14A56" w:rsidRDefault="004976A0" w:rsidP="00F35377">
      <w:pPr>
        <w:overflowPunct/>
        <w:spacing w:before="80" w:after="0"/>
        <w:ind w:left="426" w:hanging="426"/>
        <w:jc w:val="both"/>
        <w:textAlignment w:val="auto"/>
        <w:rPr>
          <w:rFonts w:eastAsia="Calibri"/>
          <w:bCs/>
          <w:sz w:val="22"/>
          <w:szCs w:val="22"/>
          <w:lang w:val="en-NZ"/>
        </w:rPr>
      </w:pPr>
      <w:proofErr w:type="spellStart"/>
      <w:r w:rsidRPr="004976A0">
        <w:rPr>
          <w:rFonts w:eastAsia="Calibri"/>
          <w:bCs/>
          <w:sz w:val="22"/>
          <w:szCs w:val="22"/>
          <w:lang w:val="en-NZ"/>
        </w:rPr>
        <w:t>Acemoglu</w:t>
      </w:r>
      <w:proofErr w:type="spellEnd"/>
      <w:r w:rsidRPr="004976A0">
        <w:rPr>
          <w:rFonts w:eastAsia="Calibri"/>
          <w:bCs/>
          <w:sz w:val="22"/>
          <w:szCs w:val="22"/>
          <w:lang w:val="en-NZ"/>
        </w:rPr>
        <w:t xml:space="preserve">, D., Johnson, S., Robinson, J. and </w:t>
      </w:r>
      <w:proofErr w:type="spellStart"/>
      <w:r w:rsidRPr="004976A0">
        <w:rPr>
          <w:rFonts w:eastAsia="Calibri"/>
          <w:bCs/>
          <w:sz w:val="22"/>
          <w:szCs w:val="22"/>
          <w:lang w:val="en-NZ"/>
        </w:rPr>
        <w:t>Thaicharoen</w:t>
      </w:r>
      <w:proofErr w:type="spellEnd"/>
      <w:r w:rsidRPr="004976A0">
        <w:rPr>
          <w:rFonts w:eastAsia="Calibri"/>
          <w:bCs/>
          <w:sz w:val="22"/>
          <w:szCs w:val="22"/>
          <w:lang w:val="en-NZ"/>
        </w:rPr>
        <w:t>, Y. (2003), Institutional Causes, Macro</w:t>
      </w:r>
      <w:r w:rsidR="00402758">
        <w:rPr>
          <w:rFonts w:eastAsia="Calibri"/>
          <w:bCs/>
          <w:sz w:val="22"/>
          <w:szCs w:val="22"/>
          <w:lang w:val="en-NZ"/>
        </w:rPr>
        <w:t>-</w:t>
      </w:r>
      <w:r w:rsidRPr="004976A0">
        <w:rPr>
          <w:rFonts w:eastAsia="Calibri"/>
          <w:bCs/>
          <w:sz w:val="22"/>
          <w:szCs w:val="22"/>
          <w:lang w:val="en-NZ"/>
        </w:rPr>
        <w:t>economic Symptoms: Volatility, Crisis, and Growth,</w:t>
      </w:r>
      <w:r w:rsidR="00825668">
        <w:rPr>
          <w:rFonts w:eastAsia="Calibri"/>
          <w:bCs/>
          <w:sz w:val="22"/>
          <w:szCs w:val="22"/>
          <w:lang w:val="en-NZ"/>
        </w:rPr>
        <w:t>’</w:t>
      </w:r>
      <w:r w:rsidRPr="004976A0">
        <w:rPr>
          <w:rFonts w:eastAsia="Calibri"/>
          <w:bCs/>
          <w:sz w:val="22"/>
          <w:szCs w:val="22"/>
          <w:lang w:val="en-NZ"/>
        </w:rPr>
        <w:t xml:space="preserve"> Journal of Monetary Economics 50, </w:t>
      </w:r>
      <w:r w:rsidR="00F35377">
        <w:rPr>
          <w:rFonts w:eastAsia="Calibri"/>
          <w:bCs/>
          <w:sz w:val="22"/>
          <w:szCs w:val="22"/>
          <w:lang w:val="en-NZ"/>
        </w:rPr>
        <w:br/>
      </w:r>
      <w:r w:rsidRPr="004976A0">
        <w:rPr>
          <w:rFonts w:eastAsia="Calibri"/>
          <w:bCs/>
          <w:sz w:val="22"/>
          <w:szCs w:val="22"/>
          <w:lang w:val="en-NZ"/>
        </w:rPr>
        <w:t>49–123.</w:t>
      </w:r>
    </w:p>
    <w:p w:rsidR="00E14A56" w:rsidRDefault="004976A0" w:rsidP="00F35377">
      <w:pPr>
        <w:overflowPunct/>
        <w:spacing w:before="80" w:after="0"/>
        <w:ind w:left="426" w:hanging="426"/>
        <w:jc w:val="both"/>
        <w:textAlignment w:val="auto"/>
        <w:rPr>
          <w:rFonts w:eastAsia="Calibri"/>
          <w:bCs/>
          <w:sz w:val="22"/>
          <w:szCs w:val="22"/>
          <w:lang w:val="en-NZ"/>
        </w:rPr>
      </w:pPr>
      <w:r w:rsidRPr="004976A0">
        <w:rPr>
          <w:rFonts w:eastAsia="Calibri"/>
          <w:bCs/>
          <w:sz w:val="22"/>
          <w:szCs w:val="22"/>
          <w:lang w:val="en-NZ"/>
        </w:rPr>
        <w:t xml:space="preserve">Aoki, M. and Yoshikawa, H. (2002), Demand saturation-creation and economic growth, Journal of Economic Behavior </w:t>
      </w:r>
      <w:r w:rsidR="0083030F">
        <w:rPr>
          <w:rFonts w:eastAsia="Calibri"/>
          <w:bCs/>
          <w:sz w:val="22"/>
          <w:szCs w:val="22"/>
          <w:lang w:val="en-NZ"/>
        </w:rPr>
        <w:t>and</w:t>
      </w:r>
      <w:r w:rsidRPr="004976A0">
        <w:rPr>
          <w:rFonts w:eastAsia="Calibri"/>
          <w:bCs/>
          <w:sz w:val="22"/>
          <w:szCs w:val="22"/>
          <w:lang w:val="en-NZ"/>
        </w:rPr>
        <w:t xml:space="preserve"> Organization, </w:t>
      </w:r>
      <w:proofErr w:type="gramStart"/>
      <w:r w:rsidRPr="004976A0">
        <w:rPr>
          <w:rFonts w:eastAsia="Calibri"/>
          <w:bCs/>
          <w:sz w:val="22"/>
          <w:szCs w:val="22"/>
          <w:lang w:val="en-NZ"/>
        </w:rPr>
        <w:t>48  127</w:t>
      </w:r>
      <w:proofErr w:type="gramEnd"/>
      <w:r w:rsidRPr="004976A0">
        <w:rPr>
          <w:rFonts w:eastAsia="Calibri"/>
          <w:bCs/>
          <w:sz w:val="22"/>
          <w:szCs w:val="22"/>
          <w:lang w:val="en-NZ"/>
        </w:rPr>
        <w:t>–154.</w:t>
      </w:r>
    </w:p>
    <w:p w:rsidR="00E14A56" w:rsidRDefault="004976A0" w:rsidP="00F35377">
      <w:pPr>
        <w:pStyle w:val="CM44"/>
        <w:spacing w:before="80" w:line="240" w:lineRule="auto"/>
        <w:ind w:left="426" w:hanging="426"/>
        <w:jc w:val="both"/>
        <w:rPr>
          <w:rFonts w:ascii="Times New Roman" w:eastAsia="Calibri" w:hAnsi="Times New Roman" w:cs="Times New Roman"/>
          <w:sz w:val="22"/>
          <w:szCs w:val="22"/>
          <w:lang w:val="en-NZ"/>
        </w:rPr>
      </w:pPr>
      <w:proofErr w:type="spellStart"/>
      <w:r w:rsidRPr="004976A0">
        <w:rPr>
          <w:rFonts w:ascii="Times New Roman" w:eastAsia="Calibri" w:hAnsi="Times New Roman" w:cs="Times New Roman"/>
          <w:sz w:val="22"/>
          <w:szCs w:val="22"/>
          <w:lang w:val="en-NZ"/>
        </w:rPr>
        <w:t>Ballance</w:t>
      </w:r>
      <w:proofErr w:type="spellEnd"/>
      <w:r w:rsidRPr="004976A0">
        <w:rPr>
          <w:rFonts w:ascii="Times New Roman" w:eastAsia="Calibri" w:hAnsi="Times New Roman" w:cs="Times New Roman"/>
          <w:sz w:val="22"/>
          <w:szCs w:val="22"/>
          <w:lang w:val="en-NZ"/>
        </w:rPr>
        <w:t xml:space="preserve">, R., </w:t>
      </w:r>
      <w:proofErr w:type="spellStart"/>
      <w:r w:rsidRPr="004976A0">
        <w:rPr>
          <w:rFonts w:ascii="Times New Roman" w:eastAsia="Calibri" w:hAnsi="Times New Roman" w:cs="Times New Roman"/>
          <w:sz w:val="22"/>
          <w:szCs w:val="22"/>
          <w:lang w:val="en-NZ"/>
        </w:rPr>
        <w:t>Ansari</w:t>
      </w:r>
      <w:proofErr w:type="spellEnd"/>
      <w:r w:rsidRPr="004976A0">
        <w:rPr>
          <w:rFonts w:ascii="Times New Roman" w:eastAsia="Calibri" w:hAnsi="Times New Roman" w:cs="Times New Roman"/>
          <w:sz w:val="22"/>
          <w:szCs w:val="22"/>
          <w:lang w:val="en-NZ"/>
        </w:rPr>
        <w:t xml:space="preserve">, J. and Singer, H. (1982), </w:t>
      </w:r>
      <w:proofErr w:type="gramStart"/>
      <w:r w:rsidRPr="004976A0">
        <w:rPr>
          <w:rFonts w:ascii="Times New Roman" w:eastAsia="Calibri" w:hAnsi="Times New Roman" w:cs="Times New Roman"/>
          <w:sz w:val="22"/>
          <w:szCs w:val="22"/>
          <w:lang w:val="en-NZ"/>
        </w:rPr>
        <w:t>The</w:t>
      </w:r>
      <w:proofErr w:type="gramEnd"/>
      <w:r w:rsidRPr="004976A0">
        <w:rPr>
          <w:rFonts w:ascii="Times New Roman" w:eastAsia="Calibri" w:hAnsi="Times New Roman" w:cs="Times New Roman"/>
          <w:sz w:val="22"/>
          <w:szCs w:val="22"/>
          <w:lang w:val="en-NZ"/>
        </w:rPr>
        <w:t xml:space="preserve"> International Economy and Industrial Development: The Impact of Trade and Investment on the Third World</w:t>
      </w:r>
      <w:r w:rsidRPr="004976A0">
        <w:rPr>
          <w:rFonts w:eastAsia="Calibri"/>
          <w:sz w:val="22"/>
          <w:szCs w:val="22"/>
          <w:lang w:val="en-NZ"/>
        </w:rPr>
        <w:t>,</w:t>
      </w:r>
      <w:r w:rsidRPr="004976A0">
        <w:rPr>
          <w:rFonts w:ascii="Times New Roman" w:eastAsia="Calibri" w:hAnsi="Times New Roman" w:cs="Times New Roman"/>
          <w:sz w:val="22"/>
          <w:szCs w:val="22"/>
          <w:lang w:val="en-NZ"/>
        </w:rPr>
        <w:t xml:space="preserve"> Totowa, NJ: </w:t>
      </w:r>
      <w:proofErr w:type="spellStart"/>
      <w:r w:rsidRPr="004976A0">
        <w:rPr>
          <w:rFonts w:ascii="Times New Roman" w:eastAsia="Calibri" w:hAnsi="Times New Roman" w:cs="Times New Roman"/>
          <w:sz w:val="22"/>
          <w:szCs w:val="22"/>
          <w:lang w:val="en-NZ"/>
        </w:rPr>
        <w:t>Allanheld</w:t>
      </w:r>
      <w:proofErr w:type="spellEnd"/>
      <w:r w:rsidRPr="004976A0">
        <w:rPr>
          <w:rFonts w:ascii="Times New Roman" w:eastAsia="Calibri" w:hAnsi="Times New Roman" w:cs="Times New Roman"/>
          <w:sz w:val="22"/>
          <w:szCs w:val="22"/>
          <w:lang w:val="en-NZ"/>
        </w:rPr>
        <w:t xml:space="preserve">, </w:t>
      </w:r>
      <w:proofErr w:type="spellStart"/>
      <w:r w:rsidRPr="004976A0">
        <w:rPr>
          <w:rFonts w:ascii="Times New Roman" w:eastAsia="Calibri" w:hAnsi="Times New Roman" w:cs="Times New Roman"/>
          <w:sz w:val="22"/>
          <w:szCs w:val="22"/>
          <w:lang w:val="en-NZ"/>
        </w:rPr>
        <w:t>Osmun</w:t>
      </w:r>
      <w:proofErr w:type="spellEnd"/>
      <w:r w:rsidRPr="004976A0">
        <w:rPr>
          <w:rFonts w:eastAsia="Calibri"/>
          <w:sz w:val="22"/>
          <w:szCs w:val="22"/>
          <w:lang w:val="en-NZ"/>
        </w:rPr>
        <w:t xml:space="preserve"> Publishers.</w:t>
      </w:r>
      <w:r w:rsidRPr="004976A0">
        <w:rPr>
          <w:rFonts w:ascii="Times New Roman" w:eastAsia="Calibri" w:hAnsi="Times New Roman" w:cs="Times New Roman"/>
          <w:sz w:val="22"/>
          <w:szCs w:val="22"/>
          <w:lang w:val="en-NZ"/>
        </w:rPr>
        <w:t xml:space="preserve">    </w:t>
      </w:r>
    </w:p>
    <w:p w:rsidR="00E14A56" w:rsidRDefault="004976A0" w:rsidP="00F35377">
      <w:pPr>
        <w:spacing w:before="80"/>
        <w:ind w:left="426" w:hanging="426"/>
        <w:jc w:val="both"/>
        <w:rPr>
          <w:sz w:val="22"/>
          <w:szCs w:val="22"/>
          <w:lang w:val="en-NZ"/>
        </w:rPr>
      </w:pPr>
      <w:r w:rsidRPr="004976A0">
        <w:rPr>
          <w:sz w:val="22"/>
          <w:szCs w:val="22"/>
          <w:lang w:val="en-NZ"/>
        </w:rPr>
        <w:t xml:space="preserve">Clark, D., </w:t>
      </w:r>
      <w:proofErr w:type="spellStart"/>
      <w:r w:rsidRPr="004976A0">
        <w:rPr>
          <w:sz w:val="22"/>
          <w:szCs w:val="22"/>
          <w:lang w:val="en-NZ"/>
        </w:rPr>
        <w:t>Kaserman</w:t>
      </w:r>
      <w:proofErr w:type="spellEnd"/>
      <w:r w:rsidRPr="004976A0">
        <w:rPr>
          <w:sz w:val="22"/>
          <w:szCs w:val="22"/>
          <w:lang w:val="en-NZ"/>
        </w:rPr>
        <w:t xml:space="preserve">, D. and </w:t>
      </w:r>
      <w:proofErr w:type="spellStart"/>
      <w:r w:rsidRPr="004976A0">
        <w:rPr>
          <w:sz w:val="22"/>
          <w:szCs w:val="22"/>
          <w:lang w:val="en-NZ"/>
        </w:rPr>
        <w:t>Anantanasuwong</w:t>
      </w:r>
      <w:proofErr w:type="spellEnd"/>
      <w:r w:rsidRPr="004976A0">
        <w:rPr>
          <w:sz w:val="22"/>
          <w:szCs w:val="22"/>
          <w:lang w:val="en-NZ"/>
        </w:rPr>
        <w:t>, D. (1993), A diffusion model of industrial sector growth in developing countries, World Development, 21(2):421-428.</w:t>
      </w:r>
    </w:p>
    <w:p w:rsidR="00E14A56" w:rsidRDefault="004976A0" w:rsidP="00F35377">
      <w:pPr>
        <w:spacing w:before="80"/>
        <w:ind w:left="426" w:hanging="426"/>
        <w:jc w:val="both"/>
        <w:rPr>
          <w:sz w:val="22"/>
          <w:szCs w:val="22"/>
        </w:rPr>
      </w:pPr>
      <w:r w:rsidRPr="004976A0">
        <w:rPr>
          <w:sz w:val="22"/>
          <w:szCs w:val="22"/>
        </w:rPr>
        <w:t>Day, R. (1982), Irregular growth cycles, American Economic Review, 72(3):406-414.</w:t>
      </w:r>
    </w:p>
    <w:p w:rsidR="00E14A56" w:rsidRDefault="004976A0" w:rsidP="00F35377">
      <w:pPr>
        <w:spacing w:before="80"/>
        <w:ind w:left="426" w:hanging="426"/>
        <w:jc w:val="both"/>
        <w:rPr>
          <w:bCs/>
          <w:sz w:val="22"/>
          <w:szCs w:val="22"/>
        </w:rPr>
      </w:pPr>
      <w:proofErr w:type="spellStart"/>
      <w:r w:rsidRPr="004976A0">
        <w:rPr>
          <w:bCs/>
          <w:sz w:val="22"/>
          <w:szCs w:val="22"/>
        </w:rPr>
        <w:t>Echevarria</w:t>
      </w:r>
      <w:proofErr w:type="spellEnd"/>
      <w:r w:rsidRPr="004976A0">
        <w:rPr>
          <w:bCs/>
          <w:sz w:val="22"/>
          <w:szCs w:val="22"/>
        </w:rPr>
        <w:t>, C. (1997), Changes in sectoral composition associated with economic growth, The International Economic Review, 38(2):431-452.</w:t>
      </w:r>
    </w:p>
    <w:p w:rsidR="00E14A56" w:rsidRDefault="004976A0" w:rsidP="00F35377">
      <w:pPr>
        <w:spacing w:before="80"/>
        <w:ind w:left="426" w:hanging="426"/>
        <w:jc w:val="both"/>
        <w:rPr>
          <w:bCs/>
          <w:sz w:val="22"/>
          <w:szCs w:val="22"/>
        </w:rPr>
      </w:pPr>
      <w:r w:rsidRPr="004976A0">
        <w:rPr>
          <w:bCs/>
          <w:sz w:val="22"/>
          <w:szCs w:val="22"/>
        </w:rPr>
        <w:t>Easterly, W. and Levine, R. (2001), It’s not factor accumulation: Stylized facts and growth models, World Bank Economic Review, 15(2):177-219.</w:t>
      </w:r>
    </w:p>
    <w:p w:rsidR="00E14A56" w:rsidRDefault="004976A0" w:rsidP="00F35377">
      <w:pPr>
        <w:spacing w:before="80"/>
        <w:ind w:left="426" w:hanging="426"/>
        <w:jc w:val="both"/>
        <w:rPr>
          <w:sz w:val="22"/>
          <w:szCs w:val="22"/>
        </w:rPr>
      </w:pPr>
      <w:r w:rsidRPr="004976A0">
        <w:rPr>
          <w:sz w:val="22"/>
          <w:szCs w:val="22"/>
        </w:rPr>
        <w:t xml:space="preserve">Findlay, C. and A. Watson (1992), Surrounding the cities from the countryside, in R. </w:t>
      </w:r>
      <w:proofErr w:type="spellStart"/>
      <w:r w:rsidRPr="004976A0">
        <w:rPr>
          <w:sz w:val="22"/>
          <w:szCs w:val="22"/>
        </w:rPr>
        <w:t>Garnaut</w:t>
      </w:r>
      <w:proofErr w:type="spellEnd"/>
      <w:r w:rsidRPr="004976A0">
        <w:rPr>
          <w:sz w:val="22"/>
          <w:szCs w:val="22"/>
        </w:rPr>
        <w:t xml:space="preserve"> and Liu </w:t>
      </w:r>
      <w:proofErr w:type="spellStart"/>
      <w:r w:rsidRPr="004976A0">
        <w:rPr>
          <w:sz w:val="22"/>
          <w:szCs w:val="22"/>
        </w:rPr>
        <w:t>Guoguang</w:t>
      </w:r>
      <w:proofErr w:type="spellEnd"/>
      <w:r w:rsidRPr="004976A0">
        <w:rPr>
          <w:sz w:val="22"/>
          <w:szCs w:val="22"/>
        </w:rPr>
        <w:t xml:space="preserve"> (eds.), Economic Reform and </w:t>
      </w:r>
      <w:proofErr w:type="spellStart"/>
      <w:r w:rsidRPr="004976A0">
        <w:rPr>
          <w:sz w:val="22"/>
          <w:szCs w:val="22"/>
        </w:rPr>
        <w:t>Internationalisation</w:t>
      </w:r>
      <w:proofErr w:type="spellEnd"/>
      <w:r w:rsidRPr="004976A0">
        <w:rPr>
          <w:sz w:val="22"/>
          <w:szCs w:val="22"/>
        </w:rPr>
        <w:t xml:space="preserve">: China and the Pacific Region, St Leonard's, NSW: Allen and </w:t>
      </w:r>
      <w:proofErr w:type="spellStart"/>
      <w:r w:rsidRPr="004976A0">
        <w:rPr>
          <w:sz w:val="22"/>
          <w:szCs w:val="22"/>
        </w:rPr>
        <w:t>Unwin</w:t>
      </w:r>
      <w:proofErr w:type="spellEnd"/>
      <w:r w:rsidRPr="004976A0">
        <w:rPr>
          <w:sz w:val="22"/>
          <w:szCs w:val="22"/>
        </w:rPr>
        <w:t>.</w:t>
      </w:r>
    </w:p>
    <w:p w:rsidR="00E14A56" w:rsidRDefault="004976A0" w:rsidP="00F35377">
      <w:pPr>
        <w:spacing w:before="80"/>
        <w:ind w:left="426" w:hanging="426"/>
        <w:jc w:val="both"/>
        <w:rPr>
          <w:sz w:val="22"/>
          <w:szCs w:val="22"/>
        </w:rPr>
      </w:pPr>
      <w:r w:rsidRPr="004976A0">
        <w:rPr>
          <w:sz w:val="22"/>
          <w:szCs w:val="22"/>
        </w:rPr>
        <w:t>Findlay, C., A. Watson and H. Wu (1994), Rural enterprises in China, manuscript version, London: Macmillan.</w:t>
      </w:r>
    </w:p>
    <w:p w:rsidR="00E14A56" w:rsidRDefault="004976A0" w:rsidP="00F35377">
      <w:pPr>
        <w:spacing w:before="80"/>
        <w:ind w:left="426" w:hanging="426"/>
        <w:jc w:val="both"/>
        <w:rPr>
          <w:sz w:val="22"/>
          <w:szCs w:val="22"/>
        </w:rPr>
      </w:pPr>
      <w:proofErr w:type="spellStart"/>
      <w:r w:rsidRPr="004976A0">
        <w:rPr>
          <w:sz w:val="22"/>
          <w:szCs w:val="22"/>
        </w:rPr>
        <w:t>Gollin</w:t>
      </w:r>
      <w:proofErr w:type="spellEnd"/>
      <w:r w:rsidRPr="004976A0">
        <w:rPr>
          <w:sz w:val="22"/>
          <w:szCs w:val="22"/>
        </w:rPr>
        <w:t xml:space="preserve">, D., S. </w:t>
      </w:r>
      <w:proofErr w:type="spellStart"/>
      <w:r w:rsidRPr="004976A0">
        <w:rPr>
          <w:sz w:val="22"/>
          <w:szCs w:val="22"/>
        </w:rPr>
        <w:t>Parente</w:t>
      </w:r>
      <w:proofErr w:type="spellEnd"/>
      <w:r w:rsidRPr="004976A0">
        <w:rPr>
          <w:sz w:val="22"/>
          <w:szCs w:val="22"/>
        </w:rPr>
        <w:t xml:space="preserve"> and R. Rogerson (2002), The role of agriculture in development, American Economic Review, 92(2):160-164.  </w:t>
      </w:r>
    </w:p>
    <w:p w:rsidR="00E14A56" w:rsidRDefault="004976A0" w:rsidP="00D0727A">
      <w:pPr>
        <w:spacing w:before="80"/>
        <w:ind w:left="425" w:hanging="425"/>
        <w:jc w:val="both"/>
        <w:rPr>
          <w:bCs/>
          <w:sz w:val="22"/>
          <w:szCs w:val="22"/>
        </w:rPr>
      </w:pPr>
      <w:proofErr w:type="spellStart"/>
      <w:r w:rsidRPr="004976A0">
        <w:rPr>
          <w:bCs/>
          <w:sz w:val="22"/>
          <w:szCs w:val="22"/>
        </w:rPr>
        <w:t>Hausmann</w:t>
      </w:r>
      <w:proofErr w:type="spellEnd"/>
      <w:r w:rsidRPr="004976A0">
        <w:rPr>
          <w:bCs/>
          <w:sz w:val="22"/>
          <w:szCs w:val="22"/>
        </w:rPr>
        <w:t xml:space="preserve">, R., Pritchett, L., and </w:t>
      </w:r>
      <w:proofErr w:type="spellStart"/>
      <w:r w:rsidRPr="004976A0">
        <w:rPr>
          <w:bCs/>
          <w:sz w:val="22"/>
          <w:szCs w:val="22"/>
        </w:rPr>
        <w:t>Rodrik</w:t>
      </w:r>
      <w:proofErr w:type="spellEnd"/>
      <w:r w:rsidRPr="004976A0">
        <w:rPr>
          <w:bCs/>
          <w:sz w:val="22"/>
          <w:szCs w:val="22"/>
        </w:rPr>
        <w:t>, D. (2005), Growth accelerations, Journal of Economic Growth, 10(4):303-329</w:t>
      </w:r>
    </w:p>
    <w:p w:rsidR="00E14A56" w:rsidRDefault="004976A0" w:rsidP="00F35377">
      <w:pPr>
        <w:spacing w:before="80"/>
        <w:ind w:left="426" w:hanging="426"/>
        <w:jc w:val="both"/>
        <w:rPr>
          <w:sz w:val="22"/>
          <w:szCs w:val="22"/>
        </w:rPr>
      </w:pPr>
      <w:r w:rsidRPr="004976A0">
        <w:rPr>
          <w:sz w:val="22"/>
          <w:szCs w:val="22"/>
        </w:rPr>
        <w:t>Islam, R. (1991), Growth of Rural Industries in Post-Reform China: Patterns, Determinants and Consequences, Development and Change, 22(4):687-719.</w:t>
      </w:r>
    </w:p>
    <w:p w:rsidR="00E14A56" w:rsidRDefault="004976A0" w:rsidP="00F35377">
      <w:pPr>
        <w:spacing w:before="80"/>
        <w:ind w:left="426" w:hanging="426"/>
        <w:jc w:val="both"/>
        <w:rPr>
          <w:sz w:val="22"/>
          <w:szCs w:val="22"/>
        </w:rPr>
      </w:pPr>
      <w:r w:rsidRPr="004976A0">
        <w:rPr>
          <w:sz w:val="22"/>
          <w:szCs w:val="22"/>
        </w:rPr>
        <w:lastRenderedPageBreak/>
        <w:t xml:space="preserve">Islam, R. and H. Jin (1994), Rural Industrialization: An Engine of Prosperity in </w:t>
      </w:r>
      <w:proofErr w:type="spellStart"/>
      <w:r w:rsidRPr="004976A0">
        <w:rPr>
          <w:sz w:val="22"/>
          <w:szCs w:val="22"/>
        </w:rPr>
        <w:t>Postreform</w:t>
      </w:r>
      <w:proofErr w:type="spellEnd"/>
      <w:r w:rsidRPr="004976A0">
        <w:rPr>
          <w:sz w:val="22"/>
          <w:szCs w:val="22"/>
        </w:rPr>
        <w:t xml:space="preserve"> rural China, World Development, 22(11):1643-1662.</w:t>
      </w:r>
    </w:p>
    <w:p w:rsidR="00E14A56" w:rsidRDefault="004976A0" w:rsidP="00F35377">
      <w:pPr>
        <w:spacing w:before="80"/>
        <w:ind w:left="426" w:hanging="426"/>
        <w:jc w:val="both"/>
        <w:rPr>
          <w:bCs/>
          <w:sz w:val="22"/>
          <w:szCs w:val="22"/>
        </w:rPr>
      </w:pPr>
      <w:proofErr w:type="spellStart"/>
      <w:r w:rsidRPr="004976A0">
        <w:rPr>
          <w:bCs/>
          <w:sz w:val="22"/>
          <w:szCs w:val="22"/>
        </w:rPr>
        <w:t>Jerzmanowski</w:t>
      </w:r>
      <w:proofErr w:type="spellEnd"/>
      <w:r w:rsidRPr="004976A0">
        <w:rPr>
          <w:bCs/>
          <w:sz w:val="22"/>
          <w:szCs w:val="22"/>
        </w:rPr>
        <w:t>, M. (2006), Empirics of hills, plateaus, mountains and plains: A Markov-switching approach to growth, Journal of Development Economics 81, 357-385.</w:t>
      </w:r>
    </w:p>
    <w:p w:rsidR="00E14A56" w:rsidRDefault="004976A0" w:rsidP="00F35377">
      <w:pPr>
        <w:overflowPunct/>
        <w:spacing w:before="80" w:after="0"/>
        <w:ind w:left="426" w:hanging="426"/>
        <w:jc w:val="both"/>
        <w:textAlignment w:val="auto"/>
        <w:rPr>
          <w:rFonts w:eastAsia="Calibri"/>
          <w:bCs/>
          <w:sz w:val="22"/>
          <w:szCs w:val="22"/>
          <w:lang w:val="en-NZ"/>
        </w:rPr>
      </w:pPr>
      <w:r w:rsidRPr="004976A0">
        <w:rPr>
          <w:rFonts w:eastAsia="Calibri"/>
          <w:bCs/>
          <w:sz w:val="22"/>
          <w:szCs w:val="22"/>
          <w:lang w:val="en-NZ"/>
        </w:rPr>
        <w:t xml:space="preserve">Jones, B. </w:t>
      </w:r>
      <w:r w:rsidR="0083030F">
        <w:rPr>
          <w:rFonts w:eastAsia="Calibri"/>
          <w:bCs/>
          <w:sz w:val="22"/>
          <w:szCs w:val="22"/>
          <w:lang w:val="en-NZ"/>
        </w:rPr>
        <w:t>and</w:t>
      </w:r>
      <w:r w:rsidRPr="004976A0">
        <w:rPr>
          <w:rFonts w:eastAsia="Calibri"/>
          <w:bCs/>
          <w:sz w:val="22"/>
          <w:szCs w:val="22"/>
          <w:lang w:val="en-NZ"/>
        </w:rPr>
        <w:t xml:space="preserve"> </w:t>
      </w:r>
      <w:proofErr w:type="spellStart"/>
      <w:r w:rsidRPr="004976A0">
        <w:rPr>
          <w:rFonts w:eastAsia="Calibri"/>
          <w:bCs/>
          <w:sz w:val="22"/>
          <w:szCs w:val="22"/>
          <w:lang w:val="en-NZ"/>
        </w:rPr>
        <w:t>Olken</w:t>
      </w:r>
      <w:proofErr w:type="spellEnd"/>
      <w:r w:rsidRPr="004976A0">
        <w:rPr>
          <w:rFonts w:eastAsia="Calibri"/>
          <w:bCs/>
          <w:sz w:val="22"/>
          <w:szCs w:val="22"/>
          <w:lang w:val="en-NZ"/>
        </w:rPr>
        <w:t xml:space="preserve">, B., (2005), Do leaders matter? </w:t>
      </w:r>
      <w:proofErr w:type="gramStart"/>
      <w:r w:rsidRPr="004976A0">
        <w:rPr>
          <w:rFonts w:eastAsia="Calibri"/>
          <w:bCs/>
          <w:sz w:val="22"/>
          <w:szCs w:val="22"/>
          <w:lang w:val="en-NZ"/>
        </w:rPr>
        <w:t>National leadership and growth since World War II,</w:t>
      </w:r>
      <w:r w:rsidR="00825668">
        <w:rPr>
          <w:rFonts w:eastAsia="Calibri"/>
          <w:bCs/>
          <w:sz w:val="22"/>
          <w:szCs w:val="22"/>
          <w:lang w:val="en-NZ"/>
        </w:rPr>
        <w:t>’</w:t>
      </w:r>
      <w:r w:rsidRPr="004976A0">
        <w:rPr>
          <w:rFonts w:eastAsia="Calibri"/>
          <w:bCs/>
          <w:sz w:val="22"/>
          <w:szCs w:val="22"/>
          <w:lang w:val="en-NZ"/>
        </w:rPr>
        <w:t xml:space="preserve"> Quarterly Journal of Economics 120, 835–864.</w:t>
      </w:r>
      <w:proofErr w:type="gramEnd"/>
    </w:p>
    <w:p w:rsidR="00E14A56" w:rsidRDefault="004976A0" w:rsidP="00F35377">
      <w:pPr>
        <w:overflowPunct/>
        <w:spacing w:before="80" w:after="0"/>
        <w:ind w:left="426" w:hanging="426"/>
        <w:jc w:val="both"/>
        <w:textAlignment w:val="auto"/>
        <w:rPr>
          <w:rFonts w:eastAsia="Calibri"/>
          <w:bCs/>
          <w:sz w:val="22"/>
          <w:szCs w:val="22"/>
          <w:lang w:val="en-NZ"/>
        </w:rPr>
      </w:pPr>
      <w:r w:rsidRPr="004976A0">
        <w:rPr>
          <w:bCs/>
          <w:sz w:val="22"/>
          <w:szCs w:val="22"/>
        </w:rPr>
        <w:t xml:space="preserve">Jones, B. and </w:t>
      </w:r>
      <w:proofErr w:type="spellStart"/>
      <w:r w:rsidRPr="004976A0">
        <w:rPr>
          <w:bCs/>
          <w:sz w:val="22"/>
          <w:szCs w:val="22"/>
        </w:rPr>
        <w:t>Olken</w:t>
      </w:r>
      <w:proofErr w:type="spellEnd"/>
      <w:r w:rsidRPr="004976A0">
        <w:rPr>
          <w:bCs/>
          <w:sz w:val="22"/>
          <w:szCs w:val="22"/>
        </w:rPr>
        <w:t xml:space="preserve">, B. (2008), The anatomy of start-stop growth, </w:t>
      </w:r>
      <w:r w:rsidRPr="004976A0">
        <w:rPr>
          <w:rFonts w:eastAsia="Calibri"/>
          <w:bCs/>
          <w:sz w:val="22"/>
          <w:szCs w:val="22"/>
          <w:lang w:val="en-NZ"/>
        </w:rPr>
        <w:t>The Review of Economics and Statistics 90(3): 582–587.</w:t>
      </w:r>
    </w:p>
    <w:p w:rsidR="00E14A56" w:rsidRDefault="004976A0" w:rsidP="00F35377">
      <w:pPr>
        <w:spacing w:before="80"/>
        <w:ind w:left="426" w:hanging="426"/>
        <w:jc w:val="both"/>
        <w:rPr>
          <w:sz w:val="22"/>
          <w:szCs w:val="22"/>
        </w:rPr>
      </w:pPr>
      <w:proofErr w:type="spellStart"/>
      <w:r w:rsidRPr="004976A0">
        <w:rPr>
          <w:sz w:val="22"/>
          <w:szCs w:val="22"/>
        </w:rPr>
        <w:t>Klenow</w:t>
      </w:r>
      <w:proofErr w:type="spellEnd"/>
      <w:r w:rsidRPr="004976A0">
        <w:rPr>
          <w:sz w:val="22"/>
          <w:szCs w:val="22"/>
        </w:rPr>
        <w:t xml:space="preserve">, P. (2001), Comment on </w:t>
      </w:r>
      <w:r w:rsidR="00825668">
        <w:rPr>
          <w:sz w:val="22"/>
          <w:szCs w:val="22"/>
        </w:rPr>
        <w:t>‘</w:t>
      </w:r>
      <w:r w:rsidRPr="004976A0">
        <w:rPr>
          <w:sz w:val="22"/>
          <w:szCs w:val="22"/>
        </w:rPr>
        <w:t>It’s not factor accumulation: Stylized facts and growth models,</w:t>
      </w:r>
      <w:r w:rsidR="00825668">
        <w:rPr>
          <w:sz w:val="22"/>
          <w:szCs w:val="22"/>
        </w:rPr>
        <w:t>’</w:t>
      </w:r>
      <w:r w:rsidRPr="004976A0">
        <w:rPr>
          <w:sz w:val="22"/>
          <w:szCs w:val="22"/>
        </w:rPr>
        <w:t xml:space="preserve"> by William Easterly and Ross Levine, World Bank Economic Review, 15(2):221-224.</w:t>
      </w:r>
    </w:p>
    <w:p w:rsidR="00E14A56" w:rsidRDefault="004976A0" w:rsidP="00F35377">
      <w:pPr>
        <w:overflowPunct/>
        <w:spacing w:before="80" w:after="0"/>
        <w:ind w:left="426" w:hanging="426"/>
        <w:jc w:val="both"/>
        <w:textAlignment w:val="auto"/>
        <w:rPr>
          <w:rFonts w:eastAsia="Calibri"/>
          <w:color w:val="000000"/>
          <w:sz w:val="22"/>
          <w:szCs w:val="22"/>
          <w:lang w:val="en-NZ"/>
        </w:rPr>
      </w:pPr>
      <w:r w:rsidRPr="004976A0">
        <w:rPr>
          <w:rFonts w:eastAsia="Calibri"/>
          <w:color w:val="000000"/>
          <w:sz w:val="22"/>
          <w:szCs w:val="22"/>
          <w:lang w:val="en-NZ"/>
        </w:rPr>
        <w:t xml:space="preserve">Kroeber, A. (2005), China as Employer and Consumer: Economic Outlook for the </w:t>
      </w:r>
      <w:r w:rsidRPr="004976A0">
        <w:rPr>
          <w:rFonts w:eastAsia="Calibri"/>
          <w:sz w:val="22"/>
          <w:szCs w:val="22"/>
          <w:lang w:val="en-NZ"/>
        </w:rPr>
        <w:t>11th Five-Year Plan (2006-2010). Conference Paper presented at the China and the World Economy Workshop, December 2005, The Atlantic Council of the United States, Asia Programs.</w:t>
      </w:r>
    </w:p>
    <w:p w:rsidR="00E14A56" w:rsidRDefault="004976A0" w:rsidP="00F35377">
      <w:pPr>
        <w:spacing w:before="80"/>
        <w:ind w:left="426" w:hanging="426"/>
        <w:jc w:val="both"/>
        <w:rPr>
          <w:sz w:val="22"/>
          <w:szCs w:val="22"/>
        </w:rPr>
      </w:pPr>
      <w:r w:rsidRPr="004976A0">
        <w:rPr>
          <w:sz w:val="22"/>
          <w:szCs w:val="22"/>
        </w:rPr>
        <w:t>Kwan, Y. and Chow, G. (1996), Estimating economic effects of political movements in China, Journal of Comparative Economics, 23(2):192-208.</w:t>
      </w:r>
    </w:p>
    <w:p w:rsidR="00E14A56" w:rsidRDefault="004976A0" w:rsidP="00F35377">
      <w:pPr>
        <w:spacing w:before="80"/>
        <w:ind w:left="426" w:hanging="426"/>
        <w:jc w:val="both"/>
        <w:rPr>
          <w:sz w:val="22"/>
          <w:szCs w:val="22"/>
        </w:rPr>
      </w:pPr>
      <w:r w:rsidRPr="004976A0">
        <w:rPr>
          <w:sz w:val="22"/>
          <w:szCs w:val="22"/>
        </w:rPr>
        <w:t>Lin, B. (1995), The Rapid Expansion of Townships and Village Enterprises and Its Impacts on Agricultural Production in China (mimeo), Asian Development Bank.</w:t>
      </w:r>
    </w:p>
    <w:p w:rsidR="00E14A56" w:rsidRDefault="004976A0" w:rsidP="00F35377">
      <w:pPr>
        <w:spacing w:before="80"/>
        <w:ind w:left="426" w:hanging="426"/>
        <w:jc w:val="both"/>
        <w:rPr>
          <w:bCs/>
          <w:sz w:val="22"/>
          <w:szCs w:val="22"/>
        </w:rPr>
      </w:pPr>
      <w:r w:rsidRPr="004976A0">
        <w:rPr>
          <w:bCs/>
          <w:sz w:val="22"/>
          <w:szCs w:val="22"/>
        </w:rPr>
        <w:t xml:space="preserve">Mellor, J. (1986), Agriculture on the Road to Industrialization, in J. Lewis and V. </w:t>
      </w:r>
      <w:proofErr w:type="spellStart"/>
      <w:r w:rsidRPr="004976A0">
        <w:rPr>
          <w:bCs/>
          <w:sz w:val="22"/>
          <w:szCs w:val="22"/>
        </w:rPr>
        <w:t>Kallab</w:t>
      </w:r>
      <w:proofErr w:type="spellEnd"/>
      <w:r w:rsidRPr="004976A0">
        <w:rPr>
          <w:bCs/>
          <w:sz w:val="22"/>
          <w:szCs w:val="22"/>
        </w:rPr>
        <w:t xml:space="preserve"> (eds.), Development Strategies Reconsidered, New Brunswick: Transaction Books.</w:t>
      </w:r>
    </w:p>
    <w:p w:rsidR="00E14A56" w:rsidRDefault="004976A0" w:rsidP="00F35377">
      <w:pPr>
        <w:spacing w:before="80"/>
        <w:ind w:left="426" w:hanging="426"/>
        <w:jc w:val="both"/>
        <w:rPr>
          <w:bCs/>
          <w:sz w:val="22"/>
          <w:szCs w:val="22"/>
        </w:rPr>
      </w:pPr>
      <w:proofErr w:type="spellStart"/>
      <w:r w:rsidRPr="004976A0">
        <w:rPr>
          <w:bCs/>
          <w:sz w:val="22"/>
          <w:szCs w:val="22"/>
        </w:rPr>
        <w:t>Mobarak</w:t>
      </w:r>
      <w:proofErr w:type="spellEnd"/>
      <w:r w:rsidRPr="004976A0">
        <w:rPr>
          <w:bCs/>
          <w:sz w:val="22"/>
          <w:szCs w:val="22"/>
        </w:rPr>
        <w:t>, A. (2005), Democracy, volatility, and economic development, The Review of Economics and Statistics 87(2): 348-361.</w:t>
      </w:r>
    </w:p>
    <w:p w:rsidR="00E14A56" w:rsidRDefault="004976A0" w:rsidP="00F35377">
      <w:pPr>
        <w:overflowPunct/>
        <w:spacing w:before="80" w:after="0"/>
        <w:ind w:left="426" w:hanging="426"/>
        <w:jc w:val="both"/>
        <w:textAlignment w:val="auto"/>
        <w:rPr>
          <w:rFonts w:eastAsia="Calibri"/>
          <w:sz w:val="22"/>
          <w:szCs w:val="22"/>
          <w:lang w:val="en-NZ"/>
        </w:rPr>
      </w:pPr>
      <w:proofErr w:type="gramStart"/>
      <w:r w:rsidRPr="004976A0">
        <w:rPr>
          <w:rFonts w:eastAsia="Calibri"/>
          <w:sz w:val="22"/>
          <w:szCs w:val="22"/>
          <w:lang w:val="en-NZ"/>
        </w:rPr>
        <w:t>National Bureau of Statistics of China (2009), China Statistical Yearbook 2009.</w:t>
      </w:r>
      <w:proofErr w:type="gramEnd"/>
      <w:r w:rsidRPr="004976A0">
        <w:rPr>
          <w:rFonts w:eastAsia="Calibri"/>
          <w:sz w:val="22"/>
          <w:szCs w:val="22"/>
          <w:lang w:val="en-NZ"/>
        </w:rPr>
        <w:t xml:space="preserve"> Hong Kong: International Centre for the Advancement of Science and Technology.</w:t>
      </w:r>
    </w:p>
    <w:p w:rsidR="00E14A56" w:rsidRDefault="004976A0" w:rsidP="00F35377">
      <w:pPr>
        <w:spacing w:before="80"/>
        <w:ind w:left="426" w:hanging="426"/>
        <w:jc w:val="both"/>
        <w:rPr>
          <w:sz w:val="22"/>
          <w:szCs w:val="22"/>
        </w:rPr>
      </w:pPr>
      <w:r w:rsidRPr="004976A0">
        <w:rPr>
          <w:sz w:val="22"/>
          <w:szCs w:val="22"/>
        </w:rPr>
        <w:t>Pritchett, L. (2000), Understanding patterns of economic growth: Searching for hills among plateaus, mountains, and plains, The World Bank Economic Review 14(2):221-250.</w:t>
      </w:r>
    </w:p>
    <w:p w:rsidR="00E14A56" w:rsidRDefault="004976A0" w:rsidP="00F35377">
      <w:pPr>
        <w:spacing w:before="80"/>
        <w:ind w:left="426" w:hanging="426"/>
        <w:jc w:val="both"/>
        <w:rPr>
          <w:sz w:val="22"/>
          <w:szCs w:val="22"/>
        </w:rPr>
      </w:pPr>
      <w:proofErr w:type="spellStart"/>
      <w:r w:rsidRPr="004976A0">
        <w:rPr>
          <w:sz w:val="22"/>
          <w:szCs w:val="22"/>
        </w:rPr>
        <w:t>Sicular</w:t>
      </w:r>
      <w:proofErr w:type="spellEnd"/>
      <w:r w:rsidRPr="004976A0">
        <w:rPr>
          <w:sz w:val="22"/>
          <w:szCs w:val="22"/>
        </w:rPr>
        <w:t xml:space="preserve">, T. (1992), China's Manufacturing Policy During the Reform Period, in Joint Economic Committee, Congress of the United States (ed.), </w:t>
      </w:r>
      <w:proofErr w:type="gramStart"/>
      <w:r w:rsidRPr="004976A0">
        <w:rPr>
          <w:sz w:val="22"/>
          <w:szCs w:val="22"/>
        </w:rPr>
        <w:t>China's</w:t>
      </w:r>
      <w:proofErr w:type="gramEnd"/>
      <w:r w:rsidRPr="004976A0">
        <w:rPr>
          <w:sz w:val="22"/>
          <w:szCs w:val="22"/>
        </w:rPr>
        <w:t xml:space="preserve"> Economic Dilemmas in the 1990s: The Problems of Reforms, Modernization, and Interdependence, NY: M.E. Sharpe. </w:t>
      </w:r>
    </w:p>
    <w:p w:rsidR="00E14A56" w:rsidRDefault="004976A0" w:rsidP="00F35377">
      <w:pPr>
        <w:spacing w:before="80"/>
        <w:ind w:left="426" w:hanging="426"/>
        <w:jc w:val="both"/>
        <w:rPr>
          <w:sz w:val="22"/>
          <w:szCs w:val="22"/>
        </w:rPr>
      </w:pPr>
      <w:r w:rsidRPr="004976A0">
        <w:rPr>
          <w:sz w:val="22"/>
          <w:szCs w:val="22"/>
        </w:rPr>
        <w:t>Turner, J. and D. Rapport (1974), An Economic Model of Population Growth and Competition in Natural Communities, in S. Levin (ed.), Lecture Notes in Biomathematics 2: Mathematical Problems in Biology, Berlin: Springer-</w:t>
      </w:r>
      <w:proofErr w:type="spellStart"/>
      <w:r w:rsidRPr="004976A0">
        <w:rPr>
          <w:sz w:val="22"/>
          <w:szCs w:val="22"/>
        </w:rPr>
        <w:t>Verlag</w:t>
      </w:r>
      <w:proofErr w:type="spellEnd"/>
      <w:r w:rsidRPr="004976A0">
        <w:rPr>
          <w:sz w:val="22"/>
          <w:szCs w:val="22"/>
        </w:rPr>
        <w:t xml:space="preserve">. </w:t>
      </w:r>
    </w:p>
    <w:p w:rsidR="00E14A56" w:rsidRDefault="004976A0" w:rsidP="00F35377">
      <w:pPr>
        <w:spacing w:before="80"/>
        <w:ind w:left="426" w:hanging="426"/>
        <w:jc w:val="both"/>
        <w:rPr>
          <w:sz w:val="22"/>
          <w:szCs w:val="22"/>
        </w:rPr>
      </w:pPr>
      <w:r w:rsidRPr="004976A0">
        <w:rPr>
          <w:sz w:val="22"/>
          <w:szCs w:val="22"/>
        </w:rPr>
        <w:t xml:space="preserve">Woo, T., T. </w:t>
      </w:r>
      <w:proofErr w:type="spellStart"/>
      <w:r w:rsidRPr="004976A0">
        <w:rPr>
          <w:sz w:val="22"/>
          <w:szCs w:val="22"/>
        </w:rPr>
        <w:t>Hsueh</w:t>
      </w:r>
      <w:proofErr w:type="spellEnd"/>
      <w:r w:rsidRPr="004976A0">
        <w:rPr>
          <w:sz w:val="22"/>
          <w:szCs w:val="22"/>
        </w:rPr>
        <w:t xml:space="preserve">, R. Shi and Y. Zhang (1993), Impact of the Development of China’s Rural Non-Manufacturing Sector on the National Economy, in T. </w:t>
      </w:r>
      <w:proofErr w:type="spellStart"/>
      <w:r w:rsidRPr="004976A0">
        <w:rPr>
          <w:sz w:val="22"/>
          <w:szCs w:val="22"/>
        </w:rPr>
        <w:t>Hsueh</w:t>
      </w:r>
      <w:proofErr w:type="spellEnd"/>
      <w:r w:rsidRPr="004976A0">
        <w:rPr>
          <w:sz w:val="22"/>
          <w:szCs w:val="22"/>
        </w:rPr>
        <w:t>, Y. Sung and J. Wu (eds.), Studies on Economic Reforms and Development in the People’s Republic of China, Hong Kong: The Chinese University Press.</w:t>
      </w:r>
    </w:p>
    <w:p w:rsidR="00E14A56" w:rsidRDefault="004976A0" w:rsidP="00F35377">
      <w:pPr>
        <w:spacing w:before="80"/>
        <w:ind w:left="426" w:hanging="426"/>
        <w:jc w:val="both"/>
        <w:rPr>
          <w:sz w:val="22"/>
          <w:szCs w:val="22"/>
        </w:rPr>
      </w:pPr>
      <w:r w:rsidRPr="004976A0">
        <w:rPr>
          <w:sz w:val="22"/>
          <w:szCs w:val="22"/>
        </w:rPr>
        <w:t xml:space="preserve">Wu, H. (1992), The </w:t>
      </w:r>
      <w:proofErr w:type="spellStart"/>
      <w:r w:rsidRPr="004976A0">
        <w:rPr>
          <w:sz w:val="22"/>
          <w:szCs w:val="22"/>
        </w:rPr>
        <w:t>Industrialisation</w:t>
      </w:r>
      <w:proofErr w:type="spellEnd"/>
      <w:r w:rsidRPr="004976A0">
        <w:rPr>
          <w:sz w:val="22"/>
          <w:szCs w:val="22"/>
        </w:rPr>
        <w:t xml:space="preserve"> of China's Rural Labor Force since the Economic Reform, CERU Working Paper No. 92/6, Adelaide: Chinese Economic Research Unit, University of Adelaide.</w:t>
      </w:r>
    </w:p>
    <w:p w:rsidR="00E14A56" w:rsidRDefault="004976A0" w:rsidP="00D0727A">
      <w:pPr>
        <w:spacing w:before="80"/>
        <w:ind w:left="425" w:hanging="425"/>
        <w:jc w:val="both"/>
        <w:rPr>
          <w:sz w:val="22"/>
          <w:szCs w:val="22"/>
        </w:rPr>
      </w:pPr>
      <w:r w:rsidRPr="004976A0">
        <w:rPr>
          <w:sz w:val="22"/>
          <w:szCs w:val="22"/>
        </w:rPr>
        <w:t>Wu, H. (2010), Political incentives and mismatch of Chinese growth rate, Asian Economic Panel Meeting, March 22-23.</w:t>
      </w:r>
    </w:p>
    <w:p w:rsidR="00E14A56" w:rsidRDefault="004976A0" w:rsidP="00D0727A">
      <w:pPr>
        <w:spacing w:before="80"/>
        <w:ind w:left="425" w:hanging="425"/>
        <w:jc w:val="both"/>
        <w:rPr>
          <w:sz w:val="22"/>
          <w:szCs w:val="22"/>
          <w:lang w:val="en-NZ"/>
        </w:rPr>
      </w:pPr>
      <w:proofErr w:type="spellStart"/>
      <w:r w:rsidRPr="004976A0">
        <w:rPr>
          <w:sz w:val="22"/>
          <w:szCs w:val="22"/>
          <w:lang w:val="en-NZ"/>
        </w:rPr>
        <w:t>Zheng</w:t>
      </w:r>
      <w:proofErr w:type="spellEnd"/>
      <w:r w:rsidRPr="004976A0">
        <w:rPr>
          <w:sz w:val="22"/>
          <w:szCs w:val="22"/>
          <w:lang w:val="en-NZ"/>
        </w:rPr>
        <w:t xml:space="preserve">, J., </w:t>
      </w:r>
      <w:proofErr w:type="spellStart"/>
      <w:r w:rsidRPr="004976A0">
        <w:rPr>
          <w:sz w:val="22"/>
          <w:szCs w:val="22"/>
          <w:lang w:val="en-NZ"/>
        </w:rPr>
        <w:t>Bigsten</w:t>
      </w:r>
      <w:proofErr w:type="spellEnd"/>
      <w:r w:rsidRPr="004976A0">
        <w:rPr>
          <w:sz w:val="22"/>
          <w:szCs w:val="22"/>
          <w:lang w:val="en-NZ"/>
        </w:rPr>
        <w:t xml:space="preserve">, A. and </w:t>
      </w:r>
      <w:proofErr w:type="spellStart"/>
      <w:r w:rsidRPr="004976A0">
        <w:rPr>
          <w:sz w:val="22"/>
          <w:szCs w:val="22"/>
          <w:lang w:val="en-NZ"/>
        </w:rPr>
        <w:t>Hu</w:t>
      </w:r>
      <w:proofErr w:type="spellEnd"/>
      <w:r w:rsidRPr="004976A0">
        <w:rPr>
          <w:sz w:val="22"/>
          <w:szCs w:val="22"/>
          <w:lang w:val="en-NZ"/>
        </w:rPr>
        <w:t xml:space="preserve">, A. (2007), Can China’s growth be sustained? A productivity perspective, World Development, 37(4): 874-888. </w:t>
      </w:r>
    </w:p>
    <w:p w:rsidR="00E14A56" w:rsidRDefault="004976A0" w:rsidP="00A707A6">
      <w:pPr>
        <w:spacing w:before="80" w:after="0"/>
        <w:ind w:left="426" w:hanging="426"/>
        <w:jc w:val="both"/>
      </w:pPr>
      <w:r w:rsidRPr="004976A0">
        <w:rPr>
          <w:sz w:val="22"/>
          <w:szCs w:val="22"/>
        </w:rPr>
        <w:t>Zweig, D. (1992), Rural Industry: Constraining the Leading Growth Sector in China's Economy, in Joint Economic Committee, Congress of the United States (ed.), China's Economic Dilemmas in the 1990s: The Problems of Reforms, Modernization, and Interdependence, NY: M.E. Sharpe.</w:t>
      </w:r>
    </w:p>
    <w:p w:rsidR="00E14A56" w:rsidRDefault="00E14A56">
      <w:pPr>
        <w:tabs>
          <w:tab w:val="left" w:pos="9781"/>
        </w:tabs>
        <w:spacing w:after="0"/>
        <w:ind w:left="993" w:right="1313"/>
        <w:jc w:val="both"/>
      </w:pPr>
    </w:p>
    <w:sectPr w:rsidR="00E14A56" w:rsidSect="00A12027">
      <w:footerReference w:type="default" r:id="rId96"/>
      <w:type w:val="nextColumn"/>
      <w:pgSz w:w="11906" w:h="16838" w:code="9"/>
      <w:pgMar w:top="1440" w:right="1440" w:bottom="1440" w:left="1440" w:header="709" w:footer="709" w:gutter="0"/>
      <w:cols w:space="708"/>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Steven Lim" w:date="2011-11-19T14:25:00Z" w:initials="SL">
    <w:p w:rsidR="003B1360" w:rsidRPr="002D372B" w:rsidRDefault="003B1360" w:rsidP="00316DD3">
      <w:pPr>
        <w:tabs>
          <w:tab w:val="left" w:pos="9781"/>
        </w:tabs>
        <w:spacing w:after="0"/>
        <w:ind w:left="993" w:right="1313"/>
        <w:jc w:val="both"/>
        <w:rPr>
          <w:rFonts w:eastAsia="Calibri"/>
          <w:szCs w:val="24"/>
          <w:lang w:val="en-NZ"/>
        </w:rPr>
      </w:pPr>
      <w:r>
        <w:rPr>
          <w:rStyle w:val="CommentReference"/>
        </w:rPr>
        <w:annotationRef/>
      </w:r>
      <w:r w:rsidRPr="002D372B">
        <w:rPr>
          <w:rFonts w:eastAsia="Calibri"/>
          <w:szCs w:val="24"/>
          <w:lang w:val="en-NZ"/>
        </w:rPr>
        <w:t xml:space="preserve">(Cite </w:t>
      </w:r>
      <w:proofErr w:type="spellStart"/>
      <w:r w:rsidRPr="002D372B">
        <w:rPr>
          <w:rFonts w:eastAsia="Calibri"/>
          <w:szCs w:val="24"/>
          <w:lang w:val="en-NZ"/>
        </w:rPr>
        <w:t>Barro</w:t>
      </w:r>
      <w:proofErr w:type="spellEnd"/>
      <w:r w:rsidRPr="002D372B">
        <w:rPr>
          <w:rFonts w:eastAsia="Calibri"/>
          <w:szCs w:val="24"/>
          <w:lang w:val="en-NZ"/>
        </w:rPr>
        <w:t xml:space="preserve"> AER 2001 ‘human capital’)</w:t>
      </w:r>
    </w:p>
    <w:p w:rsidR="003B1360" w:rsidRPr="002D372B" w:rsidRDefault="003B1360">
      <w:pPr>
        <w:pStyle w:val="CommentText"/>
        <w:rPr>
          <w:lang w:val="en-NZ"/>
        </w:rPr>
      </w:pPr>
    </w:p>
  </w:comment>
  <w:comment w:id="2" w:author="Steven Lim" w:date="2012-12-10T12:54:00Z" w:initials="SL">
    <w:p w:rsidR="003B1360" w:rsidRDefault="003B1360" w:rsidP="00685C63">
      <w:pPr>
        <w:spacing w:line="480" w:lineRule="auto"/>
        <w:ind w:left="1418" w:right="1418"/>
        <w:jc w:val="both"/>
        <w:rPr>
          <w:b/>
        </w:rPr>
      </w:pPr>
      <w:r>
        <w:rPr>
          <w:rStyle w:val="CommentReference"/>
        </w:rPr>
        <w:annotationRef/>
      </w:r>
      <w:r>
        <w:rPr>
          <w:b/>
        </w:rPr>
        <w:t xml:space="preserve">J </w:t>
      </w:r>
      <w:proofErr w:type="spellStart"/>
      <w:r>
        <w:rPr>
          <w:b/>
        </w:rPr>
        <w:t>Ec</w:t>
      </w:r>
      <w:proofErr w:type="spellEnd"/>
      <w:r>
        <w:rPr>
          <w:b/>
        </w:rPr>
        <w:t xml:space="preserve"> </w:t>
      </w:r>
      <w:proofErr w:type="spellStart"/>
      <w:r>
        <w:rPr>
          <w:b/>
        </w:rPr>
        <w:t>Dyn</w:t>
      </w:r>
      <w:proofErr w:type="spellEnd"/>
      <w:r>
        <w:rPr>
          <w:b/>
        </w:rPr>
        <w:t xml:space="preserve"> </w:t>
      </w:r>
      <w:r w:rsidR="0083030F">
        <w:rPr>
          <w:b/>
        </w:rPr>
        <w:t>and</w:t>
      </w:r>
      <w:r>
        <w:rPr>
          <w:b/>
        </w:rPr>
        <w:t xml:space="preserve"> Control, 1999 </w:t>
      </w:r>
      <w:proofErr w:type="spellStart"/>
      <w:r>
        <w:rPr>
          <w:b/>
        </w:rPr>
        <w:t>Asea</w:t>
      </w:r>
      <w:proofErr w:type="spellEnd"/>
      <w:r>
        <w:rPr>
          <w:b/>
        </w:rPr>
        <w:t xml:space="preserve"> ‘Time to Build </w:t>
      </w:r>
      <w:r w:rsidR="0083030F">
        <w:rPr>
          <w:b/>
        </w:rPr>
        <w:t>and</w:t>
      </w:r>
      <w:r>
        <w:rPr>
          <w:b/>
        </w:rPr>
        <w:t xml:space="preserve"> cycles’ – one sector model</w:t>
      </w:r>
    </w:p>
    <w:p w:rsidR="003B1360" w:rsidRDefault="003B1360" w:rsidP="00685C63">
      <w:pPr>
        <w:pStyle w:val="CommentText"/>
      </w:pPr>
    </w:p>
  </w:comment>
  <w:comment w:id="3" w:author="Steven Lim" w:date="2011-11-20T02:48:00Z" w:initials="SL">
    <w:p w:rsidR="003B1360" w:rsidRDefault="003B1360" w:rsidP="00A31716">
      <w:pPr>
        <w:pStyle w:val="CommentText"/>
      </w:pPr>
      <w:r>
        <w:rPr>
          <w:rStyle w:val="CommentReference"/>
        </w:rPr>
        <w:annotationRef/>
      </w:r>
      <w:r>
        <w:t>Is this point well enough justified? Seems okay in the early stages of growth, but what about later on – potential impacts of wholesale and retail trade, business services, education, health…CHECK WITH HARRY</w:t>
      </w:r>
    </w:p>
  </w:comment>
  <w:comment w:id="4" w:author="Steven Lim" w:date="2011-11-19T16:02:00Z" w:initials="SL">
    <w:p w:rsidR="003B1360" w:rsidRDefault="003B1360" w:rsidP="00E552A8">
      <w:pPr>
        <w:pStyle w:val="CommentText"/>
      </w:pPr>
      <w:r>
        <w:rPr>
          <w:rStyle w:val="CommentReference"/>
        </w:rPr>
        <w:annotationRef/>
      </w:r>
      <w:r>
        <w:t>This paragraph is a bit confusing. It is not clear how institutions, as defined in the previous paragraph, are being linked to intra-sectoral competition for labour. Is this link necessary?</w:t>
      </w:r>
    </w:p>
  </w:comment>
  <w:comment w:id="5" w:author="Steven Lim" w:date="2012-12-04T09:16:00Z" w:initials="SL">
    <w:p w:rsidR="003B1360" w:rsidRDefault="003B1360">
      <w:pPr>
        <w:pStyle w:val="CommentText"/>
      </w:pPr>
      <w:r>
        <w:rPr>
          <w:rStyle w:val="CommentReference"/>
        </w:rPr>
        <w:annotationRef/>
      </w:r>
      <w:r>
        <w:t>This sounds a bit obscure. r in equation (</w:t>
      </w:r>
      <w:proofErr w:type="spellStart"/>
      <w:r>
        <w:t>i</w:t>
      </w:r>
      <w:proofErr w:type="spellEnd"/>
      <w:r>
        <w:t>) is just the growth rate. What does it mean to ‘derive an algebraic derivation of a growth rate term’ and how is this different from having a model of growth?</w:t>
      </w:r>
    </w:p>
  </w:comment>
  <w:comment w:id="6" w:author="Steven Lim" w:date="2011-11-19T16:27:00Z" w:initials="SL">
    <w:p w:rsidR="003B1360" w:rsidRDefault="003B1360" w:rsidP="00080C36">
      <w:pPr>
        <w:pStyle w:val="CommentText"/>
        <w:tabs>
          <w:tab w:val="left" w:pos="2835"/>
        </w:tabs>
      </w:pPr>
      <w:r>
        <w:rPr>
          <w:rStyle w:val="CommentReference"/>
        </w:rPr>
        <w:annotationRef/>
      </w:r>
      <w:r>
        <w:t>Some people are going to find fixed technology odd, since they are used to the idea (from neoclassical growth model) that technology continually improves and that this is the source of long-run growth.</w:t>
      </w:r>
    </w:p>
  </w:comment>
  <w:comment w:id="7" w:author="Steven Lim" w:date="2011-11-20T01:27:00Z" w:initials="SL">
    <w:p w:rsidR="003B1360" w:rsidRDefault="003B1360" w:rsidP="00AF2116">
      <w:pPr>
        <w:pStyle w:val="CommentText"/>
      </w:pPr>
      <w:r>
        <w:rPr>
          <w:rStyle w:val="CommentReference"/>
        </w:rPr>
        <w:annotationRef/>
      </w:r>
      <w:r>
        <w:t>This may appear quite a strange and obscure thing to reference, having not drawn any previous connection with population growth models.</w:t>
      </w:r>
    </w:p>
  </w:comment>
  <w:comment w:id="8" w:author="Steven Lim" w:date="2011-11-20T01:44:00Z" w:initials="SL">
    <w:p w:rsidR="003B1360" w:rsidRDefault="003B1360">
      <w:pPr>
        <w:pStyle w:val="CommentText"/>
      </w:pPr>
      <w:r>
        <w:rPr>
          <w:rStyle w:val="CommentReference"/>
        </w:rPr>
        <w:annotationRef/>
      </w:r>
      <w:r>
        <w:t>This shift is problematic. Does the model still make sense if A and M are treated as outputs or value-added? It can be partly justified by noting that, in the model, firms are assumed to be identical, so the number of firms is directly proportional to output or value added. However, the paper immediately notes that this is not the case in reality. One option would be to rework the model with A and M as outputs from the beginning.</w:t>
      </w:r>
    </w:p>
  </w:comment>
  <w:comment w:id="9" w:author="Steven Lim" w:date="2011-11-20T02:02:00Z" w:initials="SL">
    <w:p w:rsidR="003B1360" w:rsidRDefault="003B1360">
      <w:pPr>
        <w:pStyle w:val="CommentText"/>
      </w:pPr>
      <w:r>
        <w:rPr>
          <w:rStyle w:val="CommentReference"/>
        </w:rPr>
        <w:annotationRef/>
      </w:r>
      <w:r>
        <w:t>One problem with this regression is that it assumes that institutions, etc are constant over the period. However, in the introduction attention was drawn to the fact that institutions and policy were not constant in China over the period.</w:t>
      </w:r>
    </w:p>
  </w:comment>
  <w:comment w:id="10" w:author="Steven Lim" w:date="2011-11-19T15:09:00Z" w:initials="SL">
    <w:p w:rsidR="003B1360" w:rsidRDefault="003B1360" w:rsidP="005B1F37">
      <w:pPr>
        <w:widowControl w:val="0"/>
        <w:tabs>
          <w:tab w:val="left" w:pos="9781"/>
        </w:tabs>
        <w:spacing w:after="0"/>
        <w:ind w:left="993" w:right="1313"/>
        <w:jc w:val="both"/>
        <w:rPr>
          <w:rFonts w:asciiTheme="majorBidi" w:hAnsiTheme="majorBidi" w:cstheme="majorBidi"/>
        </w:rPr>
      </w:pPr>
      <w:r>
        <w:rPr>
          <w:rStyle w:val="CommentReference"/>
        </w:rPr>
        <w:annotationRef/>
      </w:r>
      <w:r>
        <w:rPr>
          <w:rFonts w:asciiTheme="majorBidi" w:hAnsiTheme="majorBidi" w:cstheme="majorBidi"/>
        </w:rPr>
        <w:t>A number of studies have regressed growth rates against institutional and other variables</w:t>
      </w:r>
    </w:p>
    <w:p w:rsidR="003B1360" w:rsidRDefault="003B1360" w:rsidP="005B1F37">
      <w:pPr>
        <w:widowControl w:val="0"/>
        <w:tabs>
          <w:tab w:val="left" w:pos="9781"/>
        </w:tabs>
        <w:spacing w:after="0"/>
        <w:ind w:left="993" w:right="1313"/>
        <w:jc w:val="both"/>
        <w:rPr>
          <w:rFonts w:asciiTheme="majorBidi" w:hAnsiTheme="majorBidi" w:cstheme="majorBidi"/>
        </w:rPr>
      </w:pPr>
    </w:p>
    <w:p w:rsidR="003B1360" w:rsidRDefault="003B1360" w:rsidP="005B1F37">
      <w:pPr>
        <w:tabs>
          <w:tab w:val="left" w:pos="9781"/>
        </w:tabs>
        <w:spacing w:after="0"/>
        <w:ind w:left="993" w:right="1313"/>
        <w:jc w:val="both"/>
        <w:rPr>
          <w:rFonts w:eastAsia="Calibri"/>
          <w:szCs w:val="24"/>
          <w:lang w:val="en-NZ"/>
        </w:rPr>
      </w:pPr>
      <w:proofErr w:type="spellStart"/>
      <w:r>
        <w:rPr>
          <w:rFonts w:eastAsia="Calibri"/>
          <w:szCs w:val="24"/>
          <w:lang w:val="en-NZ"/>
        </w:rPr>
        <w:t>Barro</w:t>
      </w:r>
      <w:proofErr w:type="spellEnd"/>
      <w:r>
        <w:rPr>
          <w:rFonts w:eastAsia="Calibri"/>
          <w:szCs w:val="24"/>
          <w:lang w:val="en-NZ"/>
        </w:rPr>
        <w:t xml:space="preserve"> AER 2001 ‘human capital’</w:t>
      </w:r>
    </w:p>
    <w:p w:rsidR="003B1360" w:rsidRDefault="003B1360">
      <w:pPr>
        <w:pStyle w:val="CommentText"/>
      </w:pPr>
    </w:p>
  </w:comment>
  <w:comment w:id="11" w:author="Steven Lim" w:date="2011-11-20T03:07:00Z" w:initials="SL">
    <w:p w:rsidR="003B1360" w:rsidRDefault="003B1360">
      <w:pPr>
        <w:pStyle w:val="CommentText"/>
      </w:pPr>
      <w:r>
        <w:rPr>
          <w:rStyle w:val="CommentReference"/>
        </w:rPr>
        <w:annotationRef/>
      </w:r>
      <w:r>
        <w:t>So we treat this as a single growth episode.</w:t>
      </w:r>
    </w:p>
  </w:comment>
  <w:comment w:id="12" w:author="Steven Lim" w:date="2011-11-20T01:48:00Z" w:initials="SL">
    <w:p w:rsidR="003B1360" w:rsidRDefault="003B1360">
      <w:pPr>
        <w:pStyle w:val="CommentText"/>
      </w:pPr>
      <w:r>
        <w:rPr>
          <w:rStyle w:val="CommentReference"/>
        </w:rPr>
        <w:annotationRef/>
      </w:r>
      <w:r>
        <w:t>This prompts the question, ‘why is there a structural break in 1990?’</w:t>
      </w:r>
    </w:p>
  </w:comment>
  <w:comment w:id="13" w:author="Steven Lim" w:date="2011-11-20T02:20:00Z" w:initials="SL">
    <w:p w:rsidR="003B1360" w:rsidRDefault="003B1360">
      <w:pPr>
        <w:pStyle w:val="CommentText"/>
      </w:pPr>
      <w:r>
        <w:rPr>
          <w:rStyle w:val="CommentReference"/>
        </w:rPr>
        <w:annotationRef/>
      </w:r>
      <w:r>
        <w:rPr>
          <w:rStyle w:val="CommentReference"/>
        </w:rPr>
        <w:t>What’s the connection between agricultural employment and institutions that affect profit and incentives to reinvest? Agricultural employment seems more like it would be a proxy for a (and hence Km), rather than Rm. i.e. labour-related institutions</w:t>
      </w:r>
    </w:p>
  </w:comment>
  <w:comment w:id="14" w:author="Steven Lim" w:date="2011-11-20T02:17:00Z" w:initials="SL">
    <w:p w:rsidR="003B1360" w:rsidRDefault="003B1360">
      <w:pPr>
        <w:pStyle w:val="CommentText"/>
      </w:pPr>
      <w:r>
        <w:rPr>
          <w:rStyle w:val="CommentReference"/>
        </w:rPr>
        <w:annotationRef/>
      </w:r>
      <w:r>
        <w:t>N is agricultural employment?</w:t>
      </w:r>
    </w:p>
  </w:comment>
  <w:comment w:id="15" w:author="Steven Lim" w:date="2011-11-20T02:19:00Z" w:initials="SL">
    <w:p w:rsidR="003B1360" w:rsidRDefault="003B1360" w:rsidP="00E65668">
      <w:pPr>
        <w:pStyle w:val="CommentText"/>
      </w:pPr>
      <w:r>
        <w:rPr>
          <w:rStyle w:val="CommentReference"/>
        </w:rPr>
        <w:annotationRef/>
      </w:r>
      <w:r>
        <w:rPr>
          <w:rStyle w:val="CommentReference"/>
        </w:rPr>
        <w:t>Not sure this follows.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57B2" w:rsidRDefault="000457B2" w:rsidP="008B71C4">
      <w:pPr>
        <w:spacing w:after="0"/>
      </w:pPr>
      <w:r>
        <w:separator/>
      </w:r>
    </w:p>
  </w:endnote>
  <w:endnote w:type="continuationSeparator" w:id="0">
    <w:p w:rsidR="000457B2" w:rsidRDefault="000457B2" w:rsidP="008B71C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IIJKIJ+TimesNewRoman,Bold">
    <w:altName w:val="Times New Roman"/>
    <w:panose1 w:val="00000000000000000000"/>
    <w:charset w:val="00"/>
    <w:family w:val="roman"/>
    <w:notTrueType/>
    <w:pitch w:val="default"/>
    <w:sig w:usb0="00000003" w:usb1="00000000" w:usb2="00000000" w:usb3="00000000" w:csb0="00000001" w:csb1="00000000"/>
  </w:font>
  <w:font w:name="CM R 17">
    <w:altName w:val="CM R"/>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00"/>
    <w:family w:val="roman"/>
    <w:pitch w:val="variable"/>
    <w:sig w:usb0="A00002EF" w:usb1="420020EB" w:usb2="00000000" w:usb3="00000000" w:csb0="0000009F" w:csb1="00000000"/>
  </w:font>
  <w:font w:name="IIJLJM+CGTimes">
    <w:altName w:val="Times New Roman"/>
    <w:panose1 w:val="00000000000000000000"/>
    <w:charset w:val="00"/>
    <w:family w:val="roman"/>
    <w:notTrueType/>
    <w:pitch w:val="default"/>
    <w:sig w:usb0="00000003" w:usb1="00000000" w:usb2="00000000" w:usb3="00000000" w:csb0="00000001" w:csb1="00000000"/>
  </w:font>
  <w:font w:name="AdvTT5843c571">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Palatino Linotype">
    <w:panose1 w:val="02040502050505030304"/>
    <w:charset w:val="00"/>
    <w:family w:val="roman"/>
    <w:pitch w:val="variable"/>
    <w:sig w:usb0="E0000387" w:usb1="40000013" w:usb2="00000000" w:usb3="00000000" w:csb0="0000019F" w:csb1="00000000"/>
  </w:font>
  <w:font w:name="IIJKCD+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07302"/>
      <w:docPartObj>
        <w:docPartGallery w:val="Page Numbers (Bottom of Page)"/>
        <w:docPartUnique/>
      </w:docPartObj>
    </w:sdtPr>
    <w:sdtContent>
      <w:p w:rsidR="003B1360" w:rsidRDefault="00223C2F">
        <w:pPr>
          <w:pStyle w:val="Footer"/>
          <w:jc w:val="center"/>
        </w:pPr>
        <w:fldSimple w:instr=" PAGE   \* MERGEFORMAT ">
          <w:r w:rsidR="003F07E2">
            <w:rPr>
              <w:noProof/>
            </w:rPr>
            <w:t>10</w:t>
          </w:r>
        </w:fldSimple>
      </w:p>
    </w:sdtContent>
  </w:sdt>
  <w:p w:rsidR="003B1360" w:rsidRDefault="003B13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57B2" w:rsidRDefault="000457B2" w:rsidP="008B71C4">
      <w:pPr>
        <w:spacing w:after="0"/>
      </w:pPr>
      <w:r>
        <w:separator/>
      </w:r>
    </w:p>
  </w:footnote>
  <w:footnote w:type="continuationSeparator" w:id="0">
    <w:p w:rsidR="000457B2" w:rsidRDefault="000457B2" w:rsidP="008B71C4">
      <w:pPr>
        <w:spacing w:after="0"/>
      </w:pPr>
      <w:r>
        <w:continuationSeparator/>
      </w:r>
    </w:p>
  </w:footnote>
  <w:footnote w:id="1">
    <w:p w:rsidR="003B1360" w:rsidRPr="00153073" w:rsidRDefault="003B1360" w:rsidP="008C7D19">
      <w:pPr>
        <w:pStyle w:val="FootnoteText"/>
        <w:rPr>
          <w:sz w:val="22"/>
          <w:szCs w:val="22"/>
          <w:lang w:val="en-NZ"/>
        </w:rPr>
      </w:pPr>
      <w:r w:rsidRPr="004976A0">
        <w:rPr>
          <w:rStyle w:val="FootnoteReference"/>
          <w:sz w:val="22"/>
          <w:szCs w:val="22"/>
        </w:rPr>
        <w:footnoteRef/>
      </w:r>
      <w:r w:rsidRPr="004976A0">
        <w:rPr>
          <w:sz w:val="22"/>
          <w:szCs w:val="22"/>
        </w:rPr>
        <w:t xml:space="preserve"> </w:t>
      </w:r>
      <w:r w:rsidRPr="004976A0">
        <w:rPr>
          <w:sz w:val="22"/>
          <w:szCs w:val="22"/>
          <w:lang w:val="en-NZ"/>
        </w:rPr>
        <w:t>Note that the data may exhibit shifts in the growth function, as explained later.</w:t>
      </w:r>
    </w:p>
  </w:footnote>
  <w:footnote w:id="2">
    <w:p w:rsidR="003B1360" w:rsidRDefault="003B1360">
      <w:pPr>
        <w:pStyle w:val="FootnoteText"/>
        <w:ind w:left="142" w:right="82" w:hanging="142"/>
        <w:jc w:val="both"/>
        <w:rPr>
          <w:sz w:val="22"/>
          <w:szCs w:val="22"/>
          <w:lang w:val="en-NZ"/>
        </w:rPr>
      </w:pPr>
      <w:r w:rsidRPr="004976A0">
        <w:rPr>
          <w:rStyle w:val="FootnoteReference"/>
          <w:sz w:val="22"/>
          <w:szCs w:val="22"/>
        </w:rPr>
        <w:footnoteRef/>
      </w:r>
      <w:r w:rsidRPr="004976A0">
        <w:rPr>
          <w:sz w:val="22"/>
          <w:szCs w:val="22"/>
        </w:rPr>
        <w:t xml:space="preserve"> As we explain in the empirical section, services drop out of the regressions. Thus, to keep the formal model simple, we focus only on a two-sector model. A three-sector model incorporating services is nonetheless straightforward to construct, and may well be important for countries at later stages of growth, where wholesale and retail trade, business services, education, health, and so on may have significant impacts.</w:t>
      </w:r>
    </w:p>
  </w:footnote>
  <w:footnote w:id="3">
    <w:p w:rsidR="003B1360" w:rsidRDefault="003B1360">
      <w:pPr>
        <w:pStyle w:val="FootnoteText"/>
        <w:ind w:left="142" w:hanging="142"/>
        <w:rPr>
          <w:sz w:val="22"/>
          <w:szCs w:val="22"/>
        </w:rPr>
      </w:pPr>
      <w:r>
        <w:rPr>
          <w:rStyle w:val="FootnoteReference"/>
        </w:rPr>
        <w:footnoteRef/>
      </w:r>
      <w:r>
        <w:t xml:space="preserve"> </w:t>
      </w:r>
      <w:r>
        <w:tab/>
      </w:r>
      <w:r w:rsidRPr="004976A0">
        <w:rPr>
          <w:sz w:val="22"/>
          <w:szCs w:val="22"/>
        </w:rPr>
        <w:t>Thus in equation (vi), the sign on (</w:t>
      </w:r>
      <w:proofErr w:type="spellStart"/>
      <w:r w:rsidRPr="004976A0">
        <w:rPr>
          <w:i/>
          <w:iCs/>
          <w:sz w:val="22"/>
          <w:szCs w:val="22"/>
        </w:rPr>
        <w:t>r</w:t>
      </w:r>
      <w:r w:rsidRPr="004976A0">
        <w:rPr>
          <w:i/>
          <w:iCs/>
          <w:sz w:val="22"/>
          <w:szCs w:val="22"/>
          <w:vertAlign w:val="subscript"/>
        </w:rPr>
        <w:t>M</w:t>
      </w:r>
      <w:r w:rsidRPr="004976A0">
        <w:rPr>
          <w:i/>
          <w:iCs/>
          <w:sz w:val="22"/>
          <w:szCs w:val="22"/>
        </w:rPr>
        <w:t>M</w:t>
      </w:r>
      <w:proofErr w:type="spellEnd"/>
      <w:r w:rsidRPr="004976A0">
        <w:rPr>
          <w:sz w:val="22"/>
          <w:szCs w:val="22"/>
        </w:rPr>
        <w:t>/</w:t>
      </w:r>
      <w:r w:rsidRPr="004976A0">
        <w:rPr>
          <w:i/>
          <w:iCs/>
          <w:sz w:val="22"/>
          <w:szCs w:val="22"/>
        </w:rPr>
        <w:t>K</w:t>
      </w:r>
      <w:r w:rsidRPr="004976A0">
        <w:rPr>
          <w:i/>
          <w:iCs/>
          <w:sz w:val="22"/>
          <w:szCs w:val="22"/>
          <w:vertAlign w:val="subscript"/>
        </w:rPr>
        <w:t>M</w:t>
      </w:r>
      <w:r w:rsidRPr="004976A0">
        <w:rPr>
          <w:sz w:val="22"/>
          <w:szCs w:val="22"/>
        </w:rPr>
        <w:t>) will be positive.</w:t>
      </w:r>
    </w:p>
  </w:footnote>
  <w:footnote w:id="4">
    <w:p w:rsidR="003B1360" w:rsidRDefault="003B1360">
      <w:pPr>
        <w:pStyle w:val="FootnoteText"/>
        <w:ind w:left="142" w:right="82" w:hanging="141"/>
        <w:jc w:val="both"/>
        <w:rPr>
          <w:sz w:val="22"/>
          <w:szCs w:val="22"/>
          <w:lang w:val="en-NZ"/>
        </w:rPr>
      </w:pPr>
      <w:r w:rsidRPr="004976A0">
        <w:rPr>
          <w:rStyle w:val="FootnoteReference"/>
          <w:sz w:val="22"/>
          <w:szCs w:val="22"/>
        </w:rPr>
        <w:footnoteRef/>
      </w:r>
      <w:r w:rsidRPr="004976A0">
        <w:rPr>
          <w:sz w:val="22"/>
          <w:szCs w:val="22"/>
        </w:rPr>
        <w:t xml:space="preserve"> </w:t>
      </w:r>
      <w:r w:rsidRPr="004976A0">
        <w:rPr>
          <w:sz w:val="22"/>
          <w:szCs w:val="22"/>
          <w:lang w:val="en-NZ"/>
        </w:rPr>
        <w:t>A</w:t>
      </w:r>
      <w:r>
        <w:rPr>
          <w:sz w:val="22"/>
          <w:szCs w:val="22"/>
          <w:lang w:val="en-NZ"/>
        </w:rPr>
        <w:t xml:space="preserve"> </w:t>
      </w:r>
      <w:r w:rsidRPr="004976A0">
        <w:rPr>
          <w:sz w:val="22"/>
          <w:szCs w:val="22"/>
          <w:lang w:val="en-NZ"/>
        </w:rPr>
        <w:t xml:space="preserve">simple numerical example illustrates the point. </w:t>
      </w:r>
      <w:r>
        <w:rPr>
          <w:sz w:val="22"/>
          <w:szCs w:val="22"/>
          <w:lang w:val="en-NZ"/>
        </w:rPr>
        <w:t xml:space="preserve"> </w:t>
      </w:r>
      <w:r w:rsidRPr="004976A0">
        <w:rPr>
          <w:sz w:val="22"/>
          <w:szCs w:val="22"/>
          <w:lang w:val="en-NZ"/>
        </w:rPr>
        <w:t xml:space="preserve">Suppose </w:t>
      </w:r>
      <w:proofErr w:type="spellStart"/>
      <w:r w:rsidRPr="004976A0">
        <w:rPr>
          <w:i/>
          <w:iCs/>
          <w:sz w:val="22"/>
          <w:szCs w:val="22"/>
          <w:lang w:val="en-NZ"/>
        </w:rPr>
        <w:t>r</w:t>
      </w:r>
      <w:r w:rsidRPr="004976A0">
        <w:rPr>
          <w:i/>
          <w:iCs/>
          <w:sz w:val="22"/>
          <w:szCs w:val="22"/>
          <w:vertAlign w:val="subscript"/>
          <w:lang w:val="en-NZ"/>
        </w:rPr>
        <w:t>M</w:t>
      </w:r>
      <w:proofErr w:type="spellEnd"/>
      <w:r w:rsidRPr="004976A0">
        <w:rPr>
          <w:i/>
          <w:iCs/>
          <w:sz w:val="22"/>
          <w:szCs w:val="22"/>
          <w:vertAlign w:val="subscript"/>
          <w:lang w:val="en-NZ"/>
        </w:rPr>
        <w:t xml:space="preserve"> </w:t>
      </w:r>
      <w:r w:rsidRPr="004976A0">
        <w:rPr>
          <w:sz w:val="22"/>
          <w:szCs w:val="22"/>
          <w:lang w:val="en-NZ"/>
        </w:rPr>
        <w:t xml:space="preserve">= 0.5, </w:t>
      </w:r>
      <w:r w:rsidRPr="004976A0">
        <w:rPr>
          <w:i/>
          <w:iCs/>
          <w:sz w:val="22"/>
          <w:szCs w:val="22"/>
          <w:lang w:val="en-NZ"/>
        </w:rPr>
        <w:t xml:space="preserve">M </w:t>
      </w:r>
      <w:r w:rsidRPr="004976A0">
        <w:rPr>
          <w:sz w:val="22"/>
          <w:szCs w:val="22"/>
          <w:lang w:val="en-NZ"/>
        </w:rPr>
        <w:t xml:space="preserve">= 1, </w:t>
      </w:r>
      <w:r w:rsidRPr="004976A0">
        <w:rPr>
          <w:i/>
          <w:iCs/>
          <w:sz w:val="22"/>
          <w:szCs w:val="22"/>
          <w:lang w:val="en-NZ"/>
        </w:rPr>
        <w:t>K</w:t>
      </w:r>
      <w:r w:rsidRPr="004976A0">
        <w:rPr>
          <w:i/>
          <w:iCs/>
          <w:sz w:val="22"/>
          <w:szCs w:val="22"/>
          <w:vertAlign w:val="subscript"/>
          <w:lang w:val="en-NZ"/>
        </w:rPr>
        <w:t xml:space="preserve">M </w:t>
      </w:r>
      <w:r w:rsidRPr="004976A0">
        <w:rPr>
          <w:sz w:val="22"/>
          <w:szCs w:val="22"/>
          <w:lang w:val="en-NZ"/>
        </w:rPr>
        <w:t xml:space="preserve">= 100; then the per unit growth rate is 0.495. If </w:t>
      </w:r>
      <w:r w:rsidRPr="004976A0">
        <w:rPr>
          <w:i/>
          <w:iCs/>
          <w:sz w:val="22"/>
          <w:szCs w:val="22"/>
          <w:lang w:val="en-NZ"/>
        </w:rPr>
        <w:t>K</w:t>
      </w:r>
      <w:r w:rsidRPr="004976A0">
        <w:rPr>
          <w:i/>
          <w:iCs/>
          <w:sz w:val="22"/>
          <w:szCs w:val="22"/>
          <w:vertAlign w:val="subscript"/>
          <w:lang w:val="en-NZ"/>
        </w:rPr>
        <w:t>M</w:t>
      </w:r>
      <w:r w:rsidRPr="004976A0">
        <w:rPr>
          <w:i/>
          <w:iCs/>
          <w:sz w:val="22"/>
          <w:szCs w:val="22"/>
          <w:lang w:val="en-NZ"/>
        </w:rPr>
        <w:t xml:space="preserve">’ </w:t>
      </w:r>
      <w:r w:rsidRPr="004976A0">
        <w:rPr>
          <w:sz w:val="22"/>
          <w:szCs w:val="22"/>
          <w:lang w:val="en-NZ"/>
        </w:rPr>
        <w:t xml:space="preserve">= 200, then the growth rate is 0.4975. The growth rate increases by 0.0025 (= </w:t>
      </w:r>
      <w:proofErr w:type="spellStart"/>
      <w:r w:rsidRPr="004976A0">
        <w:rPr>
          <w:i/>
          <w:iCs/>
          <w:sz w:val="22"/>
          <w:szCs w:val="22"/>
          <w:lang w:val="en-NZ"/>
        </w:rPr>
        <w:t>r</w:t>
      </w:r>
      <w:r w:rsidRPr="004976A0">
        <w:rPr>
          <w:i/>
          <w:iCs/>
          <w:sz w:val="22"/>
          <w:szCs w:val="22"/>
          <w:vertAlign w:val="subscript"/>
          <w:lang w:val="en-NZ"/>
        </w:rPr>
        <w:t>M</w:t>
      </w:r>
      <w:r w:rsidRPr="004976A0">
        <w:rPr>
          <w:i/>
          <w:iCs/>
          <w:sz w:val="22"/>
          <w:szCs w:val="22"/>
          <w:lang w:val="en-NZ"/>
        </w:rPr>
        <w:t>M</w:t>
      </w:r>
      <w:proofErr w:type="spellEnd"/>
      <w:r w:rsidRPr="004976A0">
        <w:rPr>
          <w:sz w:val="22"/>
          <w:szCs w:val="22"/>
          <w:lang w:val="en-NZ"/>
        </w:rPr>
        <w:t>/</w:t>
      </w:r>
      <w:r w:rsidRPr="004976A0">
        <w:rPr>
          <w:i/>
          <w:iCs/>
          <w:sz w:val="22"/>
          <w:szCs w:val="22"/>
          <w:lang w:val="en-NZ"/>
        </w:rPr>
        <w:t>K</w:t>
      </w:r>
      <w:r w:rsidRPr="004976A0">
        <w:rPr>
          <w:i/>
          <w:iCs/>
          <w:sz w:val="22"/>
          <w:szCs w:val="22"/>
          <w:vertAlign w:val="subscript"/>
          <w:lang w:val="en-NZ"/>
        </w:rPr>
        <w:t>M</w:t>
      </w:r>
      <w:r w:rsidRPr="004976A0">
        <w:rPr>
          <w:i/>
          <w:iCs/>
          <w:sz w:val="22"/>
          <w:szCs w:val="22"/>
          <w:lang w:val="en-NZ"/>
        </w:rPr>
        <w:t>’</w:t>
      </w:r>
      <w:r w:rsidRPr="004976A0">
        <w:rPr>
          <w:sz w:val="22"/>
          <w:szCs w:val="22"/>
          <w:lang w:val="en-NZ"/>
        </w:rPr>
        <w:t xml:space="preserve">). </w:t>
      </w:r>
    </w:p>
    <w:p w:rsidR="003B1360" w:rsidRDefault="003B1360">
      <w:pPr>
        <w:pStyle w:val="FootnoteText"/>
        <w:ind w:left="142" w:right="82" w:hanging="141"/>
        <w:jc w:val="both"/>
        <w:rPr>
          <w:sz w:val="22"/>
          <w:szCs w:val="22"/>
          <w:lang w:val="en-NZ"/>
        </w:rPr>
      </w:pPr>
    </w:p>
  </w:footnote>
  <w:footnote w:id="5">
    <w:p w:rsidR="003B1360" w:rsidRDefault="003B1360">
      <w:pPr>
        <w:pStyle w:val="FootnoteText"/>
        <w:ind w:left="142" w:right="82" w:hanging="141"/>
        <w:jc w:val="both"/>
        <w:rPr>
          <w:sz w:val="22"/>
          <w:szCs w:val="22"/>
          <w:lang w:val="en-NZ"/>
        </w:rPr>
      </w:pPr>
      <w:r w:rsidRPr="004976A0">
        <w:rPr>
          <w:rStyle w:val="FootnoteReference"/>
          <w:sz w:val="22"/>
          <w:szCs w:val="22"/>
        </w:rPr>
        <w:footnoteRef/>
      </w:r>
      <w:r w:rsidRPr="004976A0">
        <w:rPr>
          <w:sz w:val="22"/>
          <w:szCs w:val="22"/>
        </w:rPr>
        <w:t xml:space="preserve"> </w:t>
      </w:r>
      <w:r w:rsidRPr="004976A0">
        <w:rPr>
          <w:sz w:val="22"/>
          <w:szCs w:val="22"/>
          <w:lang w:val="en-NZ"/>
        </w:rPr>
        <w:t xml:space="preserve">In the Chinese illustration that follows, we focus on </w:t>
      </w:r>
      <w:proofErr w:type="spellStart"/>
      <w:r w:rsidRPr="004976A0">
        <w:rPr>
          <w:sz w:val="22"/>
          <w:szCs w:val="22"/>
          <w:lang w:val="en-NZ"/>
        </w:rPr>
        <w:t>labor</w:t>
      </w:r>
      <w:proofErr w:type="spellEnd"/>
      <w:r w:rsidRPr="004976A0">
        <w:rPr>
          <w:sz w:val="22"/>
          <w:szCs w:val="22"/>
          <w:lang w:val="en-NZ"/>
        </w:rPr>
        <w:t xml:space="preserve"> flows. In a more general framework the parameter </w:t>
      </w:r>
      <w:proofErr w:type="gramStart"/>
      <w:r w:rsidRPr="004976A0">
        <w:rPr>
          <w:i/>
          <w:iCs/>
          <w:sz w:val="22"/>
          <w:szCs w:val="22"/>
          <w:lang w:val="en-NZ"/>
        </w:rPr>
        <w:t>a</w:t>
      </w:r>
      <w:r w:rsidRPr="004976A0">
        <w:rPr>
          <w:sz w:val="22"/>
          <w:szCs w:val="22"/>
          <w:lang w:val="en-NZ"/>
        </w:rPr>
        <w:t xml:space="preserve"> could</w:t>
      </w:r>
      <w:proofErr w:type="gramEnd"/>
      <w:r w:rsidRPr="004976A0">
        <w:rPr>
          <w:sz w:val="22"/>
          <w:szCs w:val="22"/>
          <w:lang w:val="en-NZ"/>
        </w:rPr>
        <w:t xml:space="preserve"> be influenced by other factors, such as capital and technology, that raise the number of firms that the industrial sector could support (i.e., the carrying capacity).</w:t>
      </w:r>
    </w:p>
    <w:p w:rsidR="003B1360" w:rsidRPr="00B8380F" w:rsidRDefault="003B1360">
      <w:pPr>
        <w:pStyle w:val="FootnoteText"/>
        <w:rPr>
          <w:lang w:val="en-NZ"/>
        </w:rPr>
      </w:pPr>
      <w:r>
        <w:rPr>
          <w:lang w:val="en-NZ"/>
        </w:rPr>
        <w:t xml:space="preserve"> </w:t>
      </w:r>
    </w:p>
  </w:footnote>
  <w:footnote w:id="6">
    <w:p w:rsidR="003B1360" w:rsidRDefault="003B1360">
      <w:pPr>
        <w:ind w:left="142" w:right="82" w:hanging="141"/>
        <w:jc w:val="both"/>
        <w:rPr>
          <w:rFonts w:cstheme="minorHAnsi"/>
          <w:sz w:val="22"/>
          <w:szCs w:val="22"/>
        </w:rPr>
      </w:pPr>
      <w:r w:rsidRPr="004976A0">
        <w:rPr>
          <w:rStyle w:val="FootnoteReference"/>
          <w:sz w:val="22"/>
          <w:szCs w:val="22"/>
        </w:rPr>
        <w:footnoteRef/>
      </w:r>
      <w:r w:rsidRPr="004976A0">
        <w:rPr>
          <w:sz w:val="22"/>
          <w:szCs w:val="22"/>
        </w:rPr>
        <w:t xml:space="preserve"> ADF tests were undertaken, where t</w:t>
      </w:r>
      <w:r w:rsidRPr="004976A0">
        <w:rPr>
          <w:rFonts w:cstheme="minorHAnsi"/>
          <w:sz w:val="22"/>
          <w:szCs w:val="22"/>
        </w:rPr>
        <w:t>he null hypothesis of a unit root is rejected at the 10% level, but not at the 5% level of significance. There is probably not a unit root, but the number of observations may be too small to reject it at the 5% level. The Phillips-</w:t>
      </w:r>
      <w:proofErr w:type="spellStart"/>
      <w:r w:rsidRPr="004976A0">
        <w:rPr>
          <w:rFonts w:cstheme="minorHAnsi"/>
          <w:sz w:val="22"/>
          <w:szCs w:val="22"/>
        </w:rPr>
        <w:t>Perron</w:t>
      </w:r>
      <w:proofErr w:type="spellEnd"/>
      <w:r w:rsidRPr="004976A0">
        <w:rPr>
          <w:rFonts w:cstheme="minorHAnsi"/>
          <w:sz w:val="22"/>
          <w:szCs w:val="22"/>
        </w:rPr>
        <w:t xml:space="preserve"> test does reject the null of a unit root at the 5% significance level.</w:t>
      </w:r>
    </w:p>
  </w:footnote>
  <w:footnote w:id="7">
    <w:p w:rsidR="003B1360" w:rsidRDefault="003B1360">
      <w:pPr>
        <w:pStyle w:val="FootnoteText"/>
        <w:ind w:left="142" w:right="82" w:hanging="141"/>
        <w:jc w:val="both"/>
        <w:rPr>
          <w:sz w:val="22"/>
          <w:szCs w:val="22"/>
        </w:rPr>
      </w:pPr>
      <w:r w:rsidRPr="004976A0">
        <w:rPr>
          <w:rStyle w:val="FootnoteReference"/>
          <w:sz w:val="22"/>
          <w:szCs w:val="22"/>
        </w:rPr>
        <w:footnoteRef/>
      </w:r>
      <w:r w:rsidRPr="004976A0">
        <w:rPr>
          <w:sz w:val="22"/>
          <w:szCs w:val="22"/>
        </w:rPr>
        <w:t xml:space="preserve"> </w:t>
      </w:r>
      <w:r>
        <w:rPr>
          <w:sz w:val="22"/>
          <w:szCs w:val="22"/>
        </w:rPr>
        <w:tab/>
      </w:r>
      <w:r w:rsidRPr="004976A0">
        <w:rPr>
          <w:sz w:val="22"/>
          <w:szCs w:val="22"/>
        </w:rPr>
        <w:t xml:space="preserve">Multiplying 0.0000013, the coefficient of </w:t>
      </w:r>
      <w:proofErr w:type="gramStart"/>
      <w:r w:rsidRPr="004976A0">
        <w:rPr>
          <w:i/>
          <w:iCs/>
          <w:sz w:val="22"/>
          <w:szCs w:val="22"/>
        </w:rPr>
        <w:t>N</w:t>
      </w:r>
      <w:r w:rsidRPr="004976A0">
        <w:rPr>
          <w:sz w:val="22"/>
          <w:szCs w:val="22"/>
        </w:rPr>
        <w:t>(</w:t>
      </w:r>
      <w:proofErr w:type="gramEnd"/>
      <w:r w:rsidRPr="004976A0">
        <w:rPr>
          <w:sz w:val="22"/>
          <w:szCs w:val="22"/>
        </w:rPr>
        <w:t xml:space="preserve">lagged), by 362,963, the average value of </w:t>
      </w:r>
      <w:r w:rsidRPr="004976A0">
        <w:rPr>
          <w:i/>
          <w:iCs/>
          <w:sz w:val="22"/>
          <w:szCs w:val="22"/>
        </w:rPr>
        <w:t>N</w:t>
      </w:r>
      <w:r w:rsidRPr="004976A0">
        <w:rPr>
          <w:sz w:val="22"/>
          <w:szCs w:val="22"/>
        </w:rPr>
        <w:t xml:space="preserve"> over the sample period, gives 0.47, which is reasonably close to 0.64, the constant that represents </w:t>
      </w:r>
      <w:proofErr w:type="spellStart"/>
      <w:r w:rsidRPr="004976A0">
        <w:rPr>
          <w:i/>
          <w:iCs/>
          <w:sz w:val="22"/>
          <w:szCs w:val="22"/>
        </w:rPr>
        <w:t>r</w:t>
      </w:r>
      <w:r w:rsidRPr="004976A0">
        <w:rPr>
          <w:i/>
          <w:iCs/>
          <w:sz w:val="22"/>
          <w:szCs w:val="22"/>
          <w:vertAlign w:val="subscript"/>
        </w:rPr>
        <w:t>M</w:t>
      </w:r>
      <w:proofErr w:type="spellEnd"/>
      <w:r w:rsidRPr="004976A0">
        <w:rPr>
          <w:sz w:val="22"/>
          <w:szCs w:val="22"/>
        </w:rPr>
        <w:t xml:space="preserve"> in the first regression.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03C39"/>
    <w:multiLevelType w:val="hybridMultilevel"/>
    <w:tmpl w:val="BCD4823A"/>
    <w:lvl w:ilvl="0" w:tplc="90ACA03C">
      <w:start w:val="20"/>
      <w:numFmt w:val="bullet"/>
      <w:lvlText w:val="-"/>
      <w:lvlJc w:val="left"/>
      <w:pPr>
        <w:ind w:left="1353" w:hanging="360"/>
      </w:pPr>
      <w:rPr>
        <w:rFonts w:ascii="Times New Roman" w:eastAsia="Times New Roman" w:hAnsi="Times New Roman" w:cs="Times New Roman" w:hint="default"/>
      </w:rPr>
    </w:lvl>
    <w:lvl w:ilvl="1" w:tplc="14090003" w:tentative="1">
      <w:start w:val="1"/>
      <w:numFmt w:val="bullet"/>
      <w:lvlText w:val="o"/>
      <w:lvlJc w:val="left"/>
      <w:pPr>
        <w:ind w:left="2073" w:hanging="360"/>
      </w:pPr>
      <w:rPr>
        <w:rFonts w:ascii="Courier New" w:hAnsi="Courier New" w:cs="Courier New" w:hint="default"/>
      </w:rPr>
    </w:lvl>
    <w:lvl w:ilvl="2" w:tplc="14090005" w:tentative="1">
      <w:start w:val="1"/>
      <w:numFmt w:val="bullet"/>
      <w:lvlText w:val=""/>
      <w:lvlJc w:val="left"/>
      <w:pPr>
        <w:ind w:left="2793" w:hanging="360"/>
      </w:pPr>
      <w:rPr>
        <w:rFonts w:ascii="Wingdings" w:hAnsi="Wingdings" w:hint="default"/>
      </w:rPr>
    </w:lvl>
    <w:lvl w:ilvl="3" w:tplc="14090001" w:tentative="1">
      <w:start w:val="1"/>
      <w:numFmt w:val="bullet"/>
      <w:lvlText w:val=""/>
      <w:lvlJc w:val="left"/>
      <w:pPr>
        <w:ind w:left="3513" w:hanging="360"/>
      </w:pPr>
      <w:rPr>
        <w:rFonts w:ascii="Symbol" w:hAnsi="Symbol" w:hint="default"/>
      </w:rPr>
    </w:lvl>
    <w:lvl w:ilvl="4" w:tplc="14090003" w:tentative="1">
      <w:start w:val="1"/>
      <w:numFmt w:val="bullet"/>
      <w:lvlText w:val="o"/>
      <w:lvlJc w:val="left"/>
      <w:pPr>
        <w:ind w:left="4233" w:hanging="360"/>
      </w:pPr>
      <w:rPr>
        <w:rFonts w:ascii="Courier New" w:hAnsi="Courier New" w:cs="Courier New" w:hint="default"/>
      </w:rPr>
    </w:lvl>
    <w:lvl w:ilvl="5" w:tplc="14090005" w:tentative="1">
      <w:start w:val="1"/>
      <w:numFmt w:val="bullet"/>
      <w:lvlText w:val=""/>
      <w:lvlJc w:val="left"/>
      <w:pPr>
        <w:ind w:left="4953" w:hanging="360"/>
      </w:pPr>
      <w:rPr>
        <w:rFonts w:ascii="Wingdings" w:hAnsi="Wingdings" w:hint="default"/>
      </w:rPr>
    </w:lvl>
    <w:lvl w:ilvl="6" w:tplc="14090001" w:tentative="1">
      <w:start w:val="1"/>
      <w:numFmt w:val="bullet"/>
      <w:lvlText w:val=""/>
      <w:lvlJc w:val="left"/>
      <w:pPr>
        <w:ind w:left="5673" w:hanging="360"/>
      </w:pPr>
      <w:rPr>
        <w:rFonts w:ascii="Symbol" w:hAnsi="Symbol" w:hint="default"/>
      </w:rPr>
    </w:lvl>
    <w:lvl w:ilvl="7" w:tplc="14090003" w:tentative="1">
      <w:start w:val="1"/>
      <w:numFmt w:val="bullet"/>
      <w:lvlText w:val="o"/>
      <w:lvlJc w:val="left"/>
      <w:pPr>
        <w:ind w:left="6393" w:hanging="360"/>
      </w:pPr>
      <w:rPr>
        <w:rFonts w:ascii="Courier New" w:hAnsi="Courier New" w:cs="Courier New" w:hint="default"/>
      </w:rPr>
    </w:lvl>
    <w:lvl w:ilvl="8" w:tplc="14090005" w:tentative="1">
      <w:start w:val="1"/>
      <w:numFmt w:val="bullet"/>
      <w:lvlText w:val=""/>
      <w:lvlJc w:val="left"/>
      <w:pPr>
        <w:ind w:left="7113" w:hanging="360"/>
      </w:pPr>
      <w:rPr>
        <w:rFonts w:ascii="Wingdings" w:hAnsi="Wingdings" w:hint="default"/>
      </w:rPr>
    </w:lvl>
  </w:abstractNum>
  <w:abstractNum w:abstractNumId="1">
    <w:nsid w:val="142E5452"/>
    <w:multiLevelType w:val="hybridMultilevel"/>
    <w:tmpl w:val="7534DE6C"/>
    <w:lvl w:ilvl="0" w:tplc="721AF368">
      <w:start w:val="1"/>
      <w:numFmt w:val="decimal"/>
      <w:lvlText w:val="%1."/>
      <w:lvlJc w:val="left"/>
      <w:pPr>
        <w:ind w:left="1353" w:hanging="360"/>
      </w:pPr>
      <w:rPr>
        <w:rFonts w:hint="default"/>
      </w:rPr>
    </w:lvl>
    <w:lvl w:ilvl="1" w:tplc="14090019" w:tentative="1">
      <w:start w:val="1"/>
      <w:numFmt w:val="lowerLetter"/>
      <w:lvlText w:val="%2."/>
      <w:lvlJc w:val="left"/>
      <w:pPr>
        <w:ind w:left="2073" w:hanging="360"/>
      </w:pPr>
    </w:lvl>
    <w:lvl w:ilvl="2" w:tplc="1409001B" w:tentative="1">
      <w:start w:val="1"/>
      <w:numFmt w:val="lowerRoman"/>
      <w:lvlText w:val="%3."/>
      <w:lvlJc w:val="right"/>
      <w:pPr>
        <w:ind w:left="2793" w:hanging="180"/>
      </w:pPr>
    </w:lvl>
    <w:lvl w:ilvl="3" w:tplc="1409000F" w:tentative="1">
      <w:start w:val="1"/>
      <w:numFmt w:val="decimal"/>
      <w:lvlText w:val="%4."/>
      <w:lvlJc w:val="left"/>
      <w:pPr>
        <w:ind w:left="3513" w:hanging="360"/>
      </w:pPr>
    </w:lvl>
    <w:lvl w:ilvl="4" w:tplc="14090019" w:tentative="1">
      <w:start w:val="1"/>
      <w:numFmt w:val="lowerLetter"/>
      <w:lvlText w:val="%5."/>
      <w:lvlJc w:val="left"/>
      <w:pPr>
        <w:ind w:left="4233" w:hanging="360"/>
      </w:pPr>
    </w:lvl>
    <w:lvl w:ilvl="5" w:tplc="1409001B" w:tentative="1">
      <w:start w:val="1"/>
      <w:numFmt w:val="lowerRoman"/>
      <w:lvlText w:val="%6."/>
      <w:lvlJc w:val="right"/>
      <w:pPr>
        <w:ind w:left="4953" w:hanging="180"/>
      </w:pPr>
    </w:lvl>
    <w:lvl w:ilvl="6" w:tplc="1409000F" w:tentative="1">
      <w:start w:val="1"/>
      <w:numFmt w:val="decimal"/>
      <w:lvlText w:val="%7."/>
      <w:lvlJc w:val="left"/>
      <w:pPr>
        <w:ind w:left="5673" w:hanging="360"/>
      </w:pPr>
    </w:lvl>
    <w:lvl w:ilvl="7" w:tplc="14090019" w:tentative="1">
      <w:start w:val="1"/>
      <w:numFmt w:val="lowerLetter"/>
      <w:lvlText w:val="%8."/>
      <w:lvlJc w:val="left"/>
      <w:pPr>
        <w:ind w:left="6393" w:hanging="360"/>
      </w:pPr>
    </w:lvl>
    <w:lvl w:ilvl="8" w:tplc="1409001B" w:tentative="1">
      <w:start w:val="1"/>
      <w:numFmt w:val="lowerRoman"/>
      <w:lvlText w:val="%9."/>
      <w:lvlJc w:val="right"/>
      <w:pPr>
        <w:ind w:left="7113" w:hanging="180"/>
      </w:pPr>
    </w:lvl>
  </w:abstractNum>
  <w:abstractNum w:abstractNumId="2">
    <w:nsid w:val="1C580CC5"/>
    <w:multiLevelType w:val="hybridMultilevel"/>
    <w:tmpl w:val="46429E30"/>
    <w:lvl w:ilvl="0" w:tplc="12C80496">
      <w:start w:val="1"/>
      <w:numFmt w:val="bullet"/>
      <w:lvlText w:val="•"/>
      <w:lvlJc w:val="left"/>
      <w:pPr>
        <w:tabs>
          <w:tab w:val="num" w:pos="720"/>
        </w:tabs>
        <w:ind w:left="720" w:hanging="360"/>
      </w:pPr>
      <w:rPr>
        <w:rFonts w:ascii="Times New Roman" w:hAnsi="Times New Roman" w:hint="default"/>
      </w:rPr>
    </w:lvl>
    <w:lvl w:ilvl="1" w:tplc="4DAE6326">
      <w:start w:val="1"/>
      <w:numFmt w:val="bullet"/>
      <w:lvlText w:val="•"/>
      <w:lvlJc w:val="left"/>
      <w:pPr>
        <w:tabs>
          <w:tab w:val="num" w:pos="1440"/>
        </w:tabs>
        <w:ind w:left="1440" w:hanging="360"/>
      </w:pPr>
      <w:rPr>
        <w:rFonts w:ascii="Times New Roman" w:hAnsi="Times New Roman" w:hint="default"/>
      </w:rPr>
    </w:lvl>
    <w:lvl w:ilvl="2" w:tplc="17A8100C" w:tentative="1">
      <w:start w:val="1"/>
      <w:numFmt w:val="bullet"/>
      <w:lvlText w:val="•"/>
      <w:lvlJc w:val="left"/>
      <w:pPr>
        <w:tabs>
          <w:tab w:val="num" w:pos="2160"/>
        </w:tabs>
        <w:ind w:left="2160" w:hanging="360"/>
      </w:pPr>
      <w:rPr>
        <w:rFonts w:ascii="Times New Roman" w:hAnsi="Times New Roman" w:hint="default"/>
      </w:rPr>
    </w:lvl>
    <w:lvl w:ilvl="3" w:tplc="F0629C3E" w:tentative="1">
      <w:start w:val="1"/>
      <w:numFmt w:val="bullet"/>
      <w:lvlText w:val="•"/>
      <w:lvlJc w:val="left"/>
      <w:pPr>
        <w:tabs>
          <w:tab w:val="num" w:pos="2880"/>
        </w:tabs>
        <w:ind w:left="2880" w:hanging="360"/>
      </w:pPr>
      <w:rPr>
        <w:rFonts w:ascii="Times New Roman" w:hAnsi="Times New Roman" w:hint="default"/>
      </w:rPr>
    </w:lvl>
    <w:lvl w:ilvl="4" w:tplc="7B32B814" w:tentative="1">
      <w:start w:val="1"/>
      <w:numFmt w:val="bullet"/>
      <w:lvlText w:val="•"/>
      <w:lvlJc w:val="left"/>
      <w:pPr>
        <w:tabs>
          <w:tab w:val="num" w:pos="3600"/>
        </w:tabs>
        <w:ind w:left="3600" w:hanging="360"/>
      </w:pPr>
      <w:rPr>
        <w:rFonts w:ascii="Times New Roman" w:hAnsi="Times New Roman" w:hint="default"/>
      </w:rPr>
    </w:lvl>
    <w:lvl w:ilvl="5" w:tplc="501CB80A" w:tentative="1">
      <w:start w:val="1"/>
      <w:numFmt w:val="bullet"/>
      <w:lvlText w:val="•"/>
      <w:lvlJc w:val="left"/>
      <w:pPr>
        <w:tabs>
          <w:tab w:val="num" w:pos="4320"/>
        </w:tabs>
        <w:ind w:left="4320" w:hanging="360"/>
      </w:pPr>
      <w:rPr>
        <w:rFonts w:ascii="Times New Roman" w:hAnsi="Times New Roman" w:hint="default"/>
      </w:rPr>
    </w:lvl>
    <w:lvl w:ilvl="6" w:tplc="EDA6B624" w:tentative="1">
      <w:start w:val="1"/>
      <w:numFmt w:val="bullet"/>
      <w:lvlText w:val="•"/>
      <w:lvlJc w:val="left"/>
      <w:pPr>
        <w:tabs>
          <w:tab w:val="num" w:pos="5040"/>
        </w:tabs>
        <w:ind w:left="5040" w:hanging="360"/>
      </w:pPr>
      <w:rPr>
        <w:rFonts w:ascii="Times New Roman" w:hAnsi="Times New Roman" w:hint="default"/>
      </w:rPr>
    </w:lvl>
    <w:lvl w:ilvl="7" w:tplc="2F1E1A18" w:tentative="1">
      <w:start w:val="1"/>
      <w:numFmt w:val="bullet"/>
      <w:lvlText w:val="•"/>
      <w:lvlJc w:val="left"/>
      <w:pPr>
        <w:tabs>
          <w:tab w:val="num" w:pos="5760"/>
        </w:tabs>
        <w:ind w:left="5760" w:hanging="360"/>
      </w:pPr>
      <w:rPr>
        <w:rFonts w:ascii="Times New Roman" w:hAnsi="Times New Roman" w:hint="default"/>
      </w:rPr>
    </w:lvl>
    <w:lvl w:ilvl="8" w:tplc="71FAFCE8" w:tentative="1">
      <w:start w:val="1"/>
      <w:numFmt w:val="bullet"/>
      <w:lvlText w:val="•"/>
      <w:lvlJc w:val="left"/>
      <w:pPr>
        <w:tabs>
          <w:tab w:val="num" w:pos="6480"/>
        </w:tabs>
        <w:ind w:left="6480" w:hanging="360"/>
      </w:pPr>
      <w:rPr>
        <w:rFonts w:ascii="Times New Roman" w:hAnsi="Times New Roman" w:hint="default"/>
      </w:rPr>
    </w:lvl>
  </w:abstractNum>
  <w:abstractNum w:abstractNumId="3">
    <w:nsid w:val="57CA276A"/>
    <w:multiLevelType w:val="hybridMultilevel"/>
    <w:tmpl w:val="70D4E7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C275378"/>
    <w:multiLevelType w:val="hybridMultilevel"/>
    <w:tmpl w:val="ED86EE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0216DE5"/>
    <w:multiLevelType w:val="hybridMultilevel"/>
    <w:tmpl w:val="FC7E19EC"/>
    <w:lvl w:ilvl="0" w:tplc="5BFAF8BC">
      <w:start w:val="6"/>
      <w:numFmt w:val="bullet"/>
      <w:lvlText w:val="-"/>
      <w:lvlJc w:val="left"/>
      <w:pPr>
        <w:ind w:left="720" w:hanging="360"/>
      </w:pPr>
      <w:rPr>
        <w:rFonts w:ascii="Times New Roman" w:eastAsia="Times New Roman"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1"/>
    <w:footnote w:id="0"/>
  </w:footnotePr>
  <w:endnotePr>
    <w:endnote w:id="-1"/>
    <w:endnote w:id="0"/>
  </w:endnotePr>
  <w:compat/>
  <w:rsids>
    <w:rsidRoot w:val="00B67BF8"/>
    <w:rsid w:val="00000978"/>
    <w:rsid w:val="000015E4"/>
    <w:rsid w:val="00002E0D"/>
    <w:rsid w:val="000067BD"/>
    <w:rsid w:val="00007EEF"/>
    <w:rsid w:val="000106B7"/>
    <w:rsid w:val="000110D7"/>
    <w:rsid w:val="000143F8"/>
    <w:rsid w:val="0001449D"/>
    <w:rsid w:val="000144B1"/>
    <w:rsid w:val="0001563A"/>
    <w:rsid w:val="00020921"/>
    <w:rsid w:val="000210B9"/>
    <w:rsid w:val="00023FDD"/>
    <w:rsid w:val="0003159B"/>
    <w:rsid w:val="000327C0"/>
    <w:rsid w:val="00034A16"/>
    <w:rsid w:val="00042662"/>
    <w:rsid w:val="00042EB5"/>
    <w:rsid w:val="00045762"/>
    <w:rsid w:val="000457B2"/>
    <w:rsid w:val="000461A8"/>
    <w:rsid w:val="00050A9F"/>
    <w:rsid w:val="00053D95"/>
    <w:rsid w:val="00054BDB"/>
    <w:rsid w:val="00056288"/>
    <w:rsid w:val="00056904"/>
    <w:rsid w:val="000615D8"/>
    <w:rsid w:val="00061A3E"/>
    <w:rsid w:val="0006419D"/>
    <w:rsid w:val="00065B24"/>
    <w:rsid w:val="0007165E"/>
    <w:rsid w:val="00076E0C"/>
    <w:rsid w:val="00077427"/>
    <w:rsid w:val="000774C8"/>
    <w:rsid w:val="00080C36"/>
    <w:rsid w:val="000850E8"/>
    <w:rsid w:val="000911A9"/>
    <w:rsid w:val="000955D1"/>
    <w:rsid w:val="00095F86"/>
    <w:rsid w:val="000967F0"/>
    <w:rsid w:val="000968AF"/>
    <w:rsid w:val="000A203F"/>
    <w:rsid w:val="000A271A"/>
    <w:rsid w:val="000A3AC3"/>
    <w:rsid w:val="000B4152"/>
    <w:rsid w:val="000C076C"/>
    <w:rsid w:val="000C3BD1"/>
    <w:rsid w:val="000C41B6"/>
    <w:rsid w:val="000C42D7"/>
    <w:rsid w:val="000C473D"/>
    <w:rsid w:val="000C4B46"/>
    <w:rsid w:val="000C6EF4"/>
    <w:rsid w:val="000C7ABA"/>
    <w:rsid w:val="000D332D"/>
    <w:rsid w:val="000D7718"/>
    <w:rsid w:val="000E50A4"/>
    <w:rsid w:val="000E6469"/>
    <w:rsid w:val="000F2B29"/>
    <w:rsid w:val="0010100F"/>
    <w:rsid w:val="00101CEB"/>
    <w:rsid w:val="00105476"/>
    <w:rsid w:val="00106D36"/>
    <w:rsid w:val="0011037E"/>
    <w:rsid w:val="00113C0D"/>
    <w:rsid w:val="0011746F"/>
    <w:rsid w:val="0012348B"/>
    <w:rsid w:val="00123C73"/>
    <w:rsid w:val="001258EE"/>
    <w:rsid w:val="0012764D"/>
    <w:rsid w:val="001300B9"/>
    <w:rsid w:val="00130E2F"/>
    <w:rsid w:val="00135197"/>
    <w:rsid w:val="00140ACA"/>
    <w:rsid w:val="001420D0"/>
    <w:rsid w:val="00143E52"/>
    <w:rsid w:val="0014795A"/>
    <w:rsid w:val="00150187"/>
    <w:rsid w:val="0015065D"/>
    <w:rsid w:val="001512D8"/>
    <w:rsid w:val="00153073"/>
    <w:rsid w:val="00153CFD"/>
    <w:rsid w:val="001549FB"/>
    <w:rsid w:val="00155DDB"/>
    <w:rsid w:val="0015632B"/>
    <w:rsid w:val="00156483"/>
    <w:rsid w:val="001572E2"/>
    <w:rsid w:val="00166988"/>
    <w:rsid w:val="00166A11"/>
    <w:rsid w:val="00167623"/>
    <w:rsid w:val="00167CEC"/>
    <w:rsid w:val="00171755"/>
    <w:rsid w:val="00171AFB"/>
    <w:rsid w:val="00173022"/>
    <w:rsid w:val="00173AD0"/>
    <w:rsid w:val="001765AF"/>
    <w:rsid w:val="00180D89"/>
    <w:rsid w:val="0018268D"/>
    <w:rsid w:val="00185B5C"/>
    <w:rsid w:val="001962DD"/>
    <w:rsid w:val="00196369"/>
    <w:rsid w:val="0019792D"/>
    <w:rsid w:val="001A216D"/>
    <w:rsid w:val="001A4A6F"/>
    <w:rsid w:val="001A4DDD"/>
    <w:rsid w:val="001A5019"/>
    <w:rsid w:val="001A6535"/>
    <w:rsid w:val="001A6741"/>
    <w:rsid w:val="001B2103"/>
    <w:rsid w:val="001B66F4"/>
    <w:rsid w:val="001C0829"/>
    <w:rsid w:val="001C4D75"/>
    <w:rsid w:val="001C77EB"/>
    <w:rsid w:val="001D00DB"/>
    <w:rsid w:val="001D0BB7"/>
    <w:rsid w:val="001D3122"/>
    <w:rsid w:val="001D6148"/>
    <w:rsid w:val="001E17E3"/>
    <w:rsid w:val="001E2786"/>
    <w:rsid w:val="001E6BB2"/>
    <w:rsid w:val="001E6FF0"/>
    <w:rsid w:val="001F00A2"/>
    <w:rsid w:val="001F77BF"/>
    <w:rsid w:val="00203F82"/>
    <w:rsid w:val="00206A6E"/>
    <w:rsid w:val="00206D28"/>
    <w:rsid w:val="00207BA2"/>
    <w:rsid w:val="00210CB1"/>
    <w:rsid w:val="00213BF0"/>
    <w:rsid w:val="00215CF6"/>
    <w:rsid w:val="002178FF"/>
    <w:rsid w:val="0022055F"/>
    <w:rsid w:val="00221E2B"/>
    <w:rsid w:val="00222B65"/>
    <w:rsid w:val="00223C2F"/>
    <w:rsid w:val="002265EC"/>
    <w:rsid w:val="00227725"/>
    <w:rsid w:val="00235073"/>
    <w:rsid w:val="00241CD4"/>
    <w:rsid w:val="0024307F"/>
    <w:rsid w:val="00245AFD"/>
    <w:rsid w:val="00247128"/>
    <w:rsid w:val="00250E93"/>
    <w:rsid w:val="002513FD"/>
    <w:rsid w:val="00252228"/>
    <w:rsid w:val="00261B62"/>
    <w:rsid w:val="00263AF2"/>
    <w:rsid w:val="00265C36"/>
    <w:rsid w:val="00271575"/>
    <w:rsid w:val="00273097"/>
    <w:rsid w:val="0027371F"/>
    <w:rsid w:val="002741CB"/>
    <w:rsid w:val="00274983"/>
    <w:rsid w:val="002754C9"/>
    <w:rsid w:val="00277AE8"/>
    <w:rsid w:val="00282C53"/>
    <w:rsid w:val="002831CF"/>
    <w:rsid w:val="00284373"/>
    <w:rsid w:val="002855F8"/>
    <w:rsid w:val="002859E2"/>
    <w:rsid w:val="00290A37"/>
    <w:rsid w:val="00291594"/>
    <w:rsid w:val="0029172C"/>
    <w:rsid w:val="0029177B"/>
    <w:rsid w:val="00295D92"/>
    <w:rsid w:val="0029675F"/>
    <w:rsid w:val="00297EA9"/>
    <w:rsid w:val="002A0078"/>
    <w:rsid w:val="002A107C"/>
    <w:rsid w:val="002A1A19"/>
    <w:rsid w:val="002A1DB7"/>
    <w:rsid w:val="002A355E"/>
    <w:rsid w:val="002A5962"/>
    <w:rsid w:val="002A6D11"/>
    <w:rsid w:val="002B15FF"/>
    <w:rsid w:val="002B2EF3"/>
    <w:rsid w:val="002B403F"/>
    <w:rsid w:val="002B6236"/>
    <w:rsid w:val="002B7EF4"/>
    <w:rsid w:val="002C371F"/>
    <w:rsid w:val="002C3F2D"/>
    <w:rsid w:val="002C53FD"/>
    <w:rsid w:val="002C5EA7"/>
    <w:rsid w:val="002C7C9E"/>
    <w:rsid w:val="002D34E7"/>
    <w:rsid w:val="002D359D"/>
    <w:rsid w:val="002D372B"/>
    <w:rsid w:val="002D6474"/>
    <w:rsid w:val="002E2F0E"/>
    <w:rsid w:val="002E5E3A"/>
    <w:rsid w:val="002E7D4D"/>
    <w:rsid w:val="002F7DA8"/>
    <w:rsid w:val="00300564"/>
    <w:rsid w:val="00301F62"/>
    <w:rsid w:val="003034CB"/>
    <w:rsid w:val="00303D14"/>
    <w:rsid w:val="00304094"/>
    <w:rsid w:val="00304DDC"/>
    <w:rsid w:val="00306008"/>
    <w:rsid w:val="00306985"/>
    <w:rsid w:val="003123A7"/>
    <w:rsid w:val="00313C28"/>
    <w:rsid w:val="00316DD3"/>
    <w:rsid w:val="00317364"/>
    <w:rsid w:val="00322055"/>
    <w:rsid w:val="00322D7A"/>
    <w:rsid w:val="00326A55"/>
    <w:rsid w:val="00330608"/>
    <w:rsid w:val="003330D2"/>
    <w:rsid w:val="003359F3"/>
    <w:rsid w:val="00335A5A"/>
    <w:rsid w:val="00340651"/>
    <w:rsid w:val="003423DA"/>
    <w:rsid w:val="0034663F"/>
    <w:rsid w:val="003477DA"/>
    <w:rsid w:val="003522BE"/>
    <w:rsid w:val="00362998"/>
    <w:rsid w:val="00367118"/>
    <w:rsid w:val="003726E9"/>
    <w:rsid w:val="00373CE1"/>
    <w:rsid w:val="003770F1"/>
    <w:rsid w:val="00382564"/>
    <w:rsid w:val="0038388B"/>
    <w:rsid w:val="00384F7F"/>
    <w:rsid w:val="00387F17"/>
    <w:rsid w:val="00392F34"/>
    <w:rsid w:val="00393802"/>
    <w:rsid w:val="00394A7E"/>
    <w:rsid w:val="003A22A7"/>
    <w:rsid w:val="003A2B95"/>
    <w:rsid w:val="003A2E1F"/>
    <w:rsid w:val="003A36D1"/>
    <w:rsid w:val="003A7800"/>
    <w:rsid w:val="003B0354"/>
    <w:rsid w:val="003B052A"/>
    <w:rsid w:val="003B1360"/>
    <w:rsid w:val="003B3A2A"/>
    <w:rsid w:val="003B5AD9"/>
    <w:rsid w:val="003B5E2C"/>
    <w:rsid w:val="003B64CA"/>
    <w:rsid w:val="003C36FA"/>
    <w:rsid w:val="003C4644"/>
    <w:rsid w:val="003C4CD3"/>
    <w:rsid w:val="003D29B0"/>
    <w:rsid w:val="003D6BCA"/>
    <w:rsid w:val="003E09D4"/>
    <w:rsid w:val="003E4246"/>
    <w:rsid w:val="003E4C9C"/>
    <w:rsid w:val="003E6CF7"/>
    <w:rsid w:val="003F03DC"/>
    <w:rsid w:val="003F07E2"/>
    <w:rsid w:val="003F39A9"/>
    <w:rsid w:val="003F3F9C"/>
    <w:rsid w:val="003F5FBA"/>
    <w:rsid w:val="003F672D"/>
    <w:rsid w:val="003F72C8"/>
    <w:rsid w:val="003F79DC"/>
    <w:rsid w:val="00402311"/>
    <w:rsid w:val="00402758"/>
    <w:rsid w:val="00404500"/>
    <w:rsid w:val="004054F5"/>
    <w:rsid w:val="00405581"/>
    <w:rsid w:val="00412D42"/>
    <w:rsid w:val="0041423E"/>
    <w:rsid w:val="00414C1B"/>
    <w:rsid w:val="00420262"/>
    <w:rsid w:val="0042041E"/>
    <w:rsid w:val="00424D51"/>
    <w:rsid w:val="00425F18"/>
    <w:rsid w:val="0043043E"/>
    <w:rsid w:val="00434B1B"/>
    <w:rsid w:val="0043679A"/>
    <w:rsid w:val="004372C0"/>
    <w:rsid w:val="004375F9"/>
    <w:rsid w:val="00437B28"/>
    <w:rsid w:val="00443568"/>
    <w:rsid w:val="00443F95"/>
    <w:rsid w:val="004443E5"/>
    <w:rsid w:val="004468D4"/>
    <w:rsid w:val="00446B8F"/>
    <w:rsid w:val="0045178D"/>
    <w:rsid w:val="004545FB"/>
    <w:rsid w:val="00455D6D"/>
    <w:rsid w:val="00456631"/>
    <w:rsid w:val="004568EF"/>
    <w:rsid w:val="00460A37"/>
    <w:rsid w:val="00463918"/>
    <w:rsid w:val="00463CDB"/>
    <w:rsid w:val="00466CBE"/>
    <w:rsid w:val="00467C66"/>
    <w:rsid w:val="004708B1"/>
    <w:rsid w:val="00473175"/>
    <w:rsid w:val="0048034A"/>
    <w:rsid w:val="00480A2C"/>
    <w:rsid w:val="004829FA"/>
    <w:rsid w:val="0048318D"/>
    <w:rsid w:val="00494338"/>
    <w:rsid w:val="00495859"/>
    <w:rsid w:val="004976A0"/>
    <w:rsid w:val="00497B95"/>
    <w:rsid w:val="00497C11"/>
    <w:rsid w:val="00497F1C"/>
    <w:rsid w:val="004A0BF0"/>
    <w:rsid w:val="004A161D"/>
    <w:rsid w:val="004A3B4B"/>
    <w:rsid w:val="004A57B7"/>
    <w:rsid w:val="004A59C3"/>
    <w:rsid w:val="004B0C9B"/>
    <w:rsid w:val="004B26B2"/>
    <w:rsid w:val="004B6633"/>
    <w:rsid w:val="004B7BAB"/>
    <w:rsid w:val="004C0659"/>
    <w:rsid w:val="004C084F"/>
    <w:rsid w:val="004C0E77"/>
    <w:rsid w:val="004C1064"/>
    <w:rsid w:val="004C106D"/>
    <w:rsid w:val="004C1CBF"/>
    <w:rsid w:val="004C239D"/>
    <w:rsid w:val="004C39D5"/>
    <w:rsid w:val="004C4B2B"/>
    <w:rsid w:val="004C536C"/>
    <w:rsid w:val="004D1633"/>
    <w:rsid w:val="004D1F96"/>
    <w:rsid w:val="004D2863"/>
    <w:rsid w:val="004D5D5C"/>
    <w:rsid w:val="004E5817"/>
    <w:rsid w:val="004E67E3"/>
    <w:rsid w:val="004F1E73"/>
    <w:rsid w:val="004F237C"/>
    <w:rsid w:val="004F3EBD"/>
    <w:rsid w:val="004F5996"/>
    <w:rsid w:val="004F65D4"/>
    <w:rsid w:val="004F6B1E"/>
    <w:rsid w:val="00500284"/>
    <w:rsid w:val="00500FD0"/>
    <w:rsid w:val="005015FE"/>
    <w:rsid w:val="00502A95"/>
    <w:rsid w:val="00503013"/>
    <w:rsid w:val="00503A82"/>
    <w:rsid w:val="00503C7E"/>
    <w:rsid w:val="00504626"/>
    <w:rsid w:val="00504CC3"/>
    <w:rsid w:val="0050617E"/>
    <w:rsid w:val="00507C99"/>
    <w:rsid w:val="005100C8"/>
    <w:rsid w:val="00511035"/>
    <w:rsid w:val="00511C77"/>
    <w:rsid w:val="00512223"/>
    <w:rsid w:val="0051365E"/>
    <w:rsid w:val="00517D61"/>
    <w:rsid w:val="00521781"/>
    <w:rsid w:val="00527D5E"/>
    <w:rsid w:val="0053025B"/>
    <w:rsid w:val="00531D62"/>
    <w:rsid w:val="0053226A"/>
    <w:rsid w:val="00534AD2"/>
    <w:rsid w:val="005363A7"/>
    <w:rsid w:val="0054096E"/>
    <w:rsid w:val="00541E96"/>
    <w:rsid w:val="00542877"/>
    <w:rsid w:val="005428E4"/>
    <w:rsid w:val="005462B1"/>
    <w:rsid w:val="00547314"/>
    <w:rsid w:val="00552664"/>
    <w:rsid w:val="00557BF4"/>
    <w:rsid w:val="00562E02"/>
    <w:rsid w:val="00566AD7"/>
    <w:rsid w:val="005671C0"/>
    <w:rsid w:val="00567486"/>
    <w:rsid w:val="00567D20"/>
    <w:rsid w:val="0057602D"/>
    <w:rsid w:val="005767FE"/>
    <w:rsid w:val="00576CCF"/>
    <w:rsid w:val="005771E6"/>
    <w:rsid w:val="005774A4"/>
    <w:rsid w:val="00580D61"/>
    <w:rsid w:val="005842F1"/>
    <w:rsid w:val="00584A3B"/>
    <w:rsid w:val="005859CB"/>
    <w:rsid w:val="005865FB"/>
    <w:rsid w:val="00586711"/>
    <w:rsid w:val="00587DA2"/>
    <w:rsid w:val="00590C1E"/>
    <w:rsid w:val="00591287"/>
    <w:rsid w:val="00596208"/>
    <w:rsid w:val="00596339"/>
    <w:rsid w:val="00596DB0"/>
    <w:rsid w:val="005A2469"/>
    <w:rsid w:val="005A3159"/>
    <w:rsid w:val="005B1F37"/>
    <w:rsid w:val="005B1F65"/>
    <w:rsid w:val="005B6ECB"/>
    <w:rsid w:val="005C19C4"/>
    <w:rsid w:val="005D1347"/>
    <w:rsid w:val="005D2ABA"/>
    <w:rsid w:val="005D35A5"/>
    <w:rsid w:val="005D4C58"/>
    <w:rsid w:val="005D5399"/>
    <w:rsid w:val="005D6DD3"/>
    <w:rsid w:val="005D708A"/>
    <w:rsid w:val="005D73AE"/>
    <w:rsid w:val="005E2B19"/>
    <w:rsid w:val="005E5E69"/>
    <w:rsid w:val="005F03A4"/>
    <w:rsid w:val="005F09C8"/>
    <w:rsid w:val="00600701"/>
    <w:rsid w:val="006016AF"/>
    <w:rsid w:val="0060248E"/>
    <w:rsid w:val="006029D5"/>
    <w:rsid w:val="00602BA0"/>
    <w:rsid w:val="006036C5"/>
    <w:rsid w:val="00606FEF"/>
    <w:rsid w:val="00607BEB"/>
    <w:rsid w:val="00610887"/>
    <w:rsid w:val="00614CCE"/>
    <w:rsid w:val="00614E82"/>
    <w:rsid w:val="00615F01"/>
    <w:rsid w:val="00621474"/>
    <w:rsid w:val="0062244A"/>
    <w:rsid w:val="00626B05"/>
    <w:rsid w:val="00627B79"/>
    <w:rsid w:val="00632735"/>
    <w:rsid w:val="00632F52"/>
    <w:rsid w:val="00634A0C"/>
    <w:rsid w:val="00635B29"/>
    <w:rsid w:val="00640F55"/>
    <w:rsid w:val="006430D0"/>
    <w:rsid w:val="0064623A"/>
    <w:rsid w:val="00646A27"/>
    <w:rsid w:val="0065064D"/>
    <w:rsid w:val="00651D3C"/>
    <w:rsid w:val="006529BD"/>
    <w:rsid w:val="00654534"/>
    <w:rsid w:val="006552CD"/>
    <w:rsid w:val="006579DC"/>
    <w:rsid w:val="0066012D"/>
    <w:rsid w:val="006605D8"/>
    <w:rsid w:val="00660BCA"/>
    <w:rsid w:val="0066139E"/>
    <w:rsid w:val="00661ED2"/>
    <w:rsid w:val="0066413F"/>
    <w:rsid w:val="006657C4"/>
    <w:rsid w:val="0066790F"/>
    <w:rsid w:val="00672105"/>
    <w:rsid w:val="00682465"/>
    <w:rsid w:val="00684C27"/>
    <w:rsid w:val="00685C63"/>
    <w:rsid w:val="00687060"/>
    <w:rsid w:val="00687FF2"/>
    <w:rsid w:val="00693C3A"/>
    <w:rsid w:val="00693CD6"/>
    <w:rsid w:val="00696B7C"/>
    <w:rsid w:val="0069737E"/>
    <w:rsid w:val="006A01C1"/>
    <w:rsid w:val="006A135A"/>
    <w:rsid w:val="006A6092"/>
    <w:rsid w:val="006A6883"/>
    <w:rsid w:val="006A6D0F"/>
    <w:rsid w:val="006B11BF"/>
    <w:rsid w:val="006B164E"/>
    <w:rsid w:val="006B5F2B"/>
    <w:rsid w:val="006B79BA"/>
    <w:rsid w:val="006C02C5"/>
    <w:rsid w:val="006C1DD7"/>
    <w:rsid w:val="006C3970"/>
    <w:rsid w:val="006D0909"/>
    <w:rsid w:val="006D17D0"/>
    <w:rsid w:val="006D332D"/>
    <w:rsid w:val="006D7DC5"/>
    <w:rsid w:val="006D7F51"/>
    <w:rsid w:val="006E10E7"/>
    <w:rsid w:val="006E391E"/>
    <w:rsid w:val="006E4895"/>
    <w:rsid w:val="006E6590"/>
    <w:rsid w:val="006E6F29"/>
    <w:rsid w:val="006E703B"/>
    <w:rsid w:val="006F7169"/>
    <w:rsid w:val="006F7205"/>
    <w:rsid w:val="00707F6C"/>
    <w:rsid w:val="00712071"/>
    <w:rsid w:val="00714009"/>
    <w:rsid w:val="00714D9E"/>
    <w:rsid w:val="00714F30"/>
    <w:rsid w:val="007172BB"/>
    <w:rsid w:val="00717340"/>
    <w:rsid w:val="00723F82"/>
    <w:rsid w:val="00724A18"/>
    <w:rsid w:val="007267B9"/>
    <w:rsid w:val="00742A56"/>
    <w:rsid w:val="00743AB7"/>
    <w:rsid w:val="00743E8C"/>
    <w:rsid w:val="00743EAE"/>
    <w:rsid w:val="00744261"/>
    <w:rsid w:val="00747E4C"/>
    <w:rsid w:val="007545E1"/>
    <w:rsid w:val="00754FF3"/>
    <w:rsid w:val="00762DD1"/>
    <w:rsid w:val="007645DA"/>
    <w:rsid w:val="00772DAA"/>
    <w:rsid w:val="00773B9B"/>
    <w:rsid w:val="00773C9B"/>
    <w:rsid w:val="00773CD0"/>
    <w:rsid w:val="00774BA0"/>
    <w:rsid w:val="00774C19"/>
    <w:rsid w:val="00776BEA"/>
    <w:rsid w:val="007775AC"/>
    <w:rsid w:val="007803A4"/>
    <w:rsid w:val="007806D2"/>
    <w:rsid w:val="00780C85"/>
    <w:rsid w:val="00781609"/>
    <w:rsid w:val="0078165E"/>
    <w:rsid w:val="00782944"/>
    <w:rsid w:val="00786C26"/>
    <w:rsid w:val="00790971"/>
    <w:rsid w:val="0079638C"/>
    <w:rsid w:val="00797ECB"/>
    <w:rsid w:val="007A1D28"/>
    <w:rsid w:val="007A3B2E"/>
    <w:rsid w:val="007A58FD"/>
    <w:rsid w:val="007A5F7E"/>
    <w:rsid w:val="007B2621"/>
    <w:rsid w:val="007B487E"/>
    <w:rsid w:val="007B58A4"/>
    <w:rsid w:val="007B6F21"/>
    <w:rsid w:val="007B7D17"/>
    <w:rsid w:val="007C4268"/>
    <w:rsid w:val="007C6143"/>
    <w:rsid w:val="007C7726"/>
    <w:rsid w:val="007D0488"/>
    <w:rsid w:val="007D221D"/>
    <w:rsid w:val="007D2331"/>
    <w:rsid w:val="007D4ADF"/>
    <w:rsid w:val="007E1ADA"/>
    <w:rsid w:val="007E4F6B"/>
    <w:rsid w:val="007E5F8A"/>
    <w:rsid w:val="007E6A8A"/>
    <w:rsid w:val="007F1988"/>
    <w:rsid w:val="007F38FD"/>
    <w:rsid w:val="007F7555"/>
    <w:rsid w:val="008002A7"/>
    <w:rsid w:val="00800A24"/>
    <w:rsid w:val="00805A80"/>
    <w:rsid w:val="0080663B"/>
    <w:rsid w:val="00807734"/>
    <w:rsid w:val="00810C62"/>
    <w:rsid w:val="00814FC3"/>
    <w:rsid w:val="008251DC"/>
    <w:rsid w:val="00825668"/>
    <w:rsid w:val="0082792C"/>
    <w:rsid w:val="00827D8D"/>
    <w:rsid w:val="0083030F"/>
    <w:rsid w:val="00831B74"/>
    <w:rsid w:val="0083384B"/>
    <w:rsid w:val="0083494A"/>
    <w:rsid w:val="00835302"/>
    <w:rsid w:val="00835C52"/>
    <w:rsid w:val="00841781"/>
    <w:rsid w:val="008429AB"/>
    <w:rsid w:val="008432E2"/>
    <w:rsid w:val="00853085"/>
    <w:rsid w:val="008613F3"/>
    <w:rsid w:val="0086152A"/>
    <w:rsid w:val="00862A80"/>
    <w:rsid w:val="00864A5B"/>
    <w:rsid w:val="00866B49"/>
    <w:rsid w:val="00867D5E"/>
    <w:rsid w:val="00870B54"/>
    <w:rsid w:val="00872E6B"/>
    <w:rsid w:val="008753D7"/>
    <w:rsid w:val="00876312"/>
    <w:rsid w:val="0088005A"/>
    <w:rsid w:val="00883545"/>
    <w:rsid w:val="008837EE"/>
    <w:rsid w:val="00885AC4"/>
    <w:rsid w:val="008907E0"/>
    <w:rsid w:val="008933E7"/>
    <w:rsid w:val="008977BA"/>
    <w:rsid w:val="008A1A94"/>
    <w:rsid w:val="008A26D1"/>
    <w:rsid w:val="008A44AC"/>
    <w:rsid w:val="008A6064"/>
    <w:rsid w:val="008B1947"/>
    <w:rsid w:val="008B6A68"/>
    <w:rsid w:val="008B71C4"/>
    <w:rsid w:val="008C0196"/>
    <w:rsid w:val="008C188A"/>
    <w:rsid w:val="008C2CB8"/>
    <w:rsid w:val="008C3AD8"/>
    <w:rsid w:val="008C709B"/>
    <w:rsid w:val="008C7D19"/>
    <w:rsid w:val="008D3750"/>
    <w:rsid w:val="008D6A99"/>
    <w:rsid w:val="008D72DA"/>
    <w:rsid w:val="008E0022"/>
    <w:rsid w:val="008E1A6B"/>
    <w:rsid w:val="008E2AF9"/>
    <w:rsid w:val="008E57C3"/>
    <w:rsid w:val="008E5A29"/>
    <w:rsid w:val="008E6BC8"/>
    <w:rsid w:val="008E78E8"/>
    <w:rsid w:val="008E7A8D"/>
    <w:rsid w:val="008F223A"/>
    <w:rsid w:val="008F2A61"/>
    <w:rsid w:val="008F2F64"/>
    <w:rsid w:val="008F372A"/>
    <w:rsid w:val="008F37DF"/>
    <w:rsid w:val="008F4C41"/>
    <w:rsid w:val="008F55C8"/>
    <w:rsid w:val="008F59CB"/>
    <w:rsid w:val="008F6271"/>
    <w:rsid w:val="008F6EAD"/>
    <w:rsid w:val="008F7379"/>
    <w:rsid w:val="008F7A33"/>
    <w:rsid w:val="00900D53"/>
    <w:rsid w:val="0090204F"/>
    <w:rsid w:val="0090395A"/>
    <w:rsid w:val="0090698E"/>
    <w:rsid w:val="00907937"/>
    <w:rsid w:val="009131C2"/>
    <w:rsid w:val="00916DBB"/>
    <w:rsid w:val="00922EA1"/>
    <w:rsid w:val="00931DD8"/>
    <w:rsid w:val="00931F04"/>
    <w:rsid w:val="00933C38"/>
    <w:rsid w:val="00936573"/>
    <w:rsid w:val="00936D04"/>
    <w:rsid w:val="00941FB2"/>
    <w:rsid w:val="00942E5B"/>
    <w:rsid w:val="00947FCA"/>
    <w:rsid w:val="009544BC"/>
    <w:rsid w:val="009619D5"/>
    <w:rsid w:val="00961DA3"/>
    <w:rsid w:val="00963C44"/>
    <w:rsid w:val="00965AB2"/>
    <w:rsid w:val="00965BCA"/>
    <w:rsid w:val="00966AC3"/>
    <w:rsid w:val="00966C12"/>
    <w:rsid w:val="00967901"/>
    <w:rsid w:val="00971B95"/>
    <w:rsid w:val="009720AC"/>
    <w:rsid w:val="009808A1"/>
    <w:rsid w:val="00985758"/>
    <w:rsid w:val="00991B63"/>
    <w:rsid w:val="00994A05"/>
    <w:rsid w:val="009A4F54"/>
    <w:rsid w:val="009A5CA2"/>
    <w:rsid w:val="009B08F8"/>
    <w:rsid w:val="009B332C"/>
    <w:rsid w:val="009B42AC"/>
    <w:rsid w:val="009B51B9"/>
    <w:rsid w:val="009B7620"/>
    <w:rsid w:val="009B793E"/>
    <w:rsid w:val="009B7FD6"/>
    <w:rsid w:val="009C37E8"/>
    <w:rsid w:val="009C67A7"/>
    <w:rsid w:val="009D01B1"/>
    <w:rsid w:val="009D3E1F"/>
    <w:rsid w:val="009D722D"/>
    <w:rsid w:val="009E5DAC"/>
    <w:rsid w:val="009E77EA"/>
    <w:rsid w:val="009F28EB"/>
    <w:rsid w:val="009F43B4"/>
    <w:rsid w:val="009F5EC5"/>
    <w:rsid w:val="00A0230A"/>
    <w:rsid w:val="00A0324E"/>
    <w:rsid w:val="00A04C2B"/>
    <w:rsid w:val="00A057FD"/>
    <w:rsid w:val="00A05821"/>
    <w:rsid w:val="00A06A98"/>
    <w:rsid w:val="00A07BFB"/>
    <w:rsid w:val="00A10FC4"/>
    <w:rsid w:val="00A11365"/>
    <w:rsid w:val="00A11E09"/>
    <w:rsid w:val="00A12027"/>
    <w:rsid w:val="00A12D2F"/>
    <w:rsid w:val="00A14D5B"/>
    <w:rsid w:val="00A15343"/>
    <w:rsid w:val="00A153DA"/>
    <w:rsid w:val="00A20015"/>
    <w:rsid w:val="00A2171D"/>
    <w:rsid w:val="00A24DDC"/>
    <w:rsid w:val="00A31716"/>
    <w:rsid w:val="00A35091"/>
    <w:rsid w:val="00A36139"/>
    <w:rsid w:val="00A37F7C"/>
    <w:rsid w:val="00A40554"/>
    <w:rsid w:val="00A408CA"/>
    <w:rsid w:val="00A40E72"/>
    <w:rsid w:val="00A41D6E"/>
    <w:rsid w:val="00A428B1"/>
    <w:rsid w:val="00A457A9"/>
    <w:rsid w:val="00A469B5"/>
    <w:rsid w:val="00A508A0"/>
    <w:rsid w:val="00A51F3F"/>
    <w:rsid w:val="00A53875"/>
    <w:rsid w:val="00A538D0"/>
    <w:rsid w:val="00A547BE"/>
    <w:rsid w:val="00A5633E"/>
    <w:rsid w:val="00A5783F"/>
    <w:rsid w:val="00A60BBF"/>
    <w:rsid w:val="00A61B2B"/>
    <w:rsid w:val="00A62377"/>
    <w:rsid w:val="00A64A34"/>
    <w:rsid w:val="00A64B97"/>
    <w:rsid w:val="00A6524B"/>
    <w:rsid w:val="00A65660"/>
    <w:rsid w:val="00A707A6"/>
    <w:rsid w:val="00A7136E"/>
    <w:rsid w:val="00A71D61"/>
    <w:rsid w:val="00A77BDB"/>
    <w:rsid w:val="00A80BE9"/>
    <w:rsid w:val="00A85246"/>
    <w:rsid w:val="00A862F9"/>
    <w:rsid w:val="00A901E7"/>
    <w:rsid w:val="00A93B6D"/>
    <w:rsid w:val="00A94195"/>
    <w:rsid w:val="00A94CA3"/>
    <w:rsid w:val="00AA1764"/>
    <w:rsid w:val="00AA1FBB"/>
    <w:rsid w:val="00AA2ACA"/>
    <w:rsid w:val="00AA2BB4"/>
    <w:rsid w:val="00AA3B84"/>
    <w:rsid w:val="00AA4D5C"/>
    <w:rsid w:val="00AA4DCD"/>
    <w:rsid w:val="00AA52B7"/>
    <w:rsid w:val="00AA6AA4"/>
    <w:rsid w:val="00AB0C42"/>
    <w:rsid w:val="00AB1B54"/>
    <w:rsid w:val="00AC2E73"/>
    <w:rsid w:val="00AC4A34"/>
    <w:rsid w:val="00AC5DBA"/>
    <w:rsid w:val="00AD2351"/>
    <w:rsid w:val="00AD585E"/>
    <w:rsid w:val="00AD74B0"/>
    <w:rsid w:val="00AE2848"/>
    <w:rsid w:val="00AE322F"/>
    <w:rsid w:val="00AE4AD8"/>
    <w:rsid w:val="00AE6CB3"/>
    <w:rsid w:val="00AE7252"/>
    <w:rsid w:val="00AF1C7D"/>
    <w:rsid w:val="00AF2116"/>
    <w:rsid w:val="00AF33CC"/>
    <w:rsid w:val="00AF7248"/>
    <w:rsid w:val="00B001D0"/>
    <w:rsid w:val="00B0196E"/>
    <w:rsid w:val="00B032D3"/>
    <w:rsid w:val="00B060C0"/>
    <w:rsid w:val="00B0788B"/>
    <w:rsid w:val="00B10AD2"/>
    <w:rsid w:val="00B11435"/>
    <w:rsid w:val="00B137AD"/>
    <w:rsid w:val="00B162DC"/>
    <w:rsid w:val="00B2032D"/>
    <w:rsid w:val="00B23C13"/>
    <w:rsid w:val="00B24869"/>
    <w:rsid w:val="00B2667A"/>
    <w:rsid w:val="00B275AB"/>
    <w:rsid w:val="00B30CA1"/>
    <w:rsid w:val="00B3209F"/>
    <w:rsid w:val="00B340B8"/>
    <w:rsid w:val="00B3487A"/>
    <w:rsid w:val="00B34CE3"/>
    <w:rsid w:val="00B354EB"/>
    <w:rsid w:val="00B357C7"/>
    <w:rsid w:val="00B40C4C"/>
    <w:rsid w:val="00B45665"/>
    <w:rsid w:val="00B45FD4"/>
    <w:rsid w:val="00B464FB"/>
    <w:rsid w:val="00B468E1"/>
    <w:rsid w:val="00B47A54"/>
    <w:rsid w:val="00B506A0"/>
    <w:rsid w:val="00B51EE3"/>
    <w:rsid w:val="00B53041"/>
    <w:rsid w:val="00B539D8"/>
    <w:rsid w:val="00B54279"/>
    <w:rsid w:val="00B54B81"/>
    <w:rsid w:val="00B57AEB"/>
    <w:rsid w:val="00B60775"/>
    <w:rsid w:val="00B62D72"/>
    <w:rsid w:val="00B64E36"/>
    <w:rsid w:val="00B6570F"/>
    <w:rsid w:val="00B66587"/>
    <w:rsid w:val="00B672CA"/>
    <w:rsid w:val="00B67BF8"/>
    <w:rsid w:val="00B701BB"/>
    <w:rsid w:val="00B70BAE"/>
    <w:rsid w:val="00B70D52"/>
    <w:rsid w:val="00B71A06"/>
    <w:rsid w:val="00B7232B"/>
    <w:rsid w:val="00B75C38"/>
    <w:rsid w:val="00B76151"/>
    <w:rsid w:val="00B80FDD"/>
    <w:rsid w:val="00B822EF"/>
    <w:rsid w:val="00B8380F"/>
    <w:rsid w:val="00B855D4"/>
    <w:rsid w:val="00B85FE5"/>
    <w:rsid w:val="00B8687A"/>
    <w:rsid w:val="00B92A06"/>
    <w:rsid w:val="00B92B56"/>
    <w:rsid w:val="00B95586"/>
    <w:rsid w:val="00BA1ACA"/>
    <w:rsid w:val="00BA2E9B"/>
    <w:rsid w:val="00BA5372"/>
    <w:rsid w:val="00BA6E72"/>
    <w:rsid w:val="00BB213F"/>
    <w:rsid w:val="00BB353C"/>
    <w:rsid w:val="00BB3DAB"/>
    <w:rsid w:val="00BB4155"/>
    <w:rsid w:val="00BB443C"/>
    <w:rsid w:val="00BB4F40"/>
    <w:rsid w:val="00BB5AE3"/>
    <w:rsid w:val="00BB60C8"/>
    <w:rsid w:val="00BC0A19"/>
    <w:rsid w:val="00BC1DBA"/>
    <w:rsid w:val="00BC502E"/>
    <w:rsid w:val="00BC5A2B"/>
    <w:rsid w:val="00BC5E6D"/>
    <w:rsid w:val="00BC60A0"/>
    <w:rsid w:val="00BC6E71"/>
    <w:rsid w:val="00BD2B0A"/>
    <w:rsid w:val="00BD2CF2"/>
    <w:rsid w:val="00BD5934"/>
    <w:rsid w:val="00BE0676"/>
    <w:rsid w:val="00BE1332"/>
    <w:rsid w:val="00BE1AC5"/>
    <w:rsid w:val="00BE5830"/>
    <w:rsid w:val="00BE6BC8"/>
    <w:rsid w:val="00BE72AE"/>
    <w:rsid w:val="00BF088E"/>
    <w:rsid w:val="00BF19A6"/>
    <w:rsid w:val="00BF53BD"/>
    <w:rsid w:val="00BF6344"/>
    <w:rsid w:val="00C01F1F"/>
    <w:rsid w:val="00C06D0F"/>
    <w:rsid w:val="00C077E0"/>
    <w:rsid w:val="00C1013C"/>
    <w:rsid w:val="00C103C3"/>
    <w:rsid w:val="00C1076D"/>
    <w:rsid w:val="00C114D0"/>
    <w:rsid w:val="00C17477"/>
    <w:rsid w:val="00C22158"/>
    <w:rsid w:val="00C2387C"/>
    <w:rsid w:val="00C25174"/>
    <w:rsid w:val="00C26769"/>
    <w:rsid w:val="00C309C5"/>
    <w:rsid w:val="00C340B9"/>
    <w:rsid w:val="00C36478"/>
    <w:rsid w:val="00C41757"/>
    <w:rsid w:val="00C45006"/>
    <w:rsid w:val="00C45539"/>
    <w:rsid w:val="00C46863"/>
    <w:rsid w:val="00C50692"/>
    <w:rsid w:val="00C50E65"/>
    <w:rsid w:val="00C511D7"/>
    <w:rsid w:val="00C515B9"/>
    <w:rsid w:val="00C51777"/>
    <w:rsid w:val="00C54C90"/>
    <w:rsid w:val="00C6025E"/>
    <w:rsid w:val="00C617CA"/>
    <w:rsid w:val="00C62D77"/>
    <w:rsid w:val="00C63A64"/>
    <w:rsid w:val="00C65174"/>
    <w:rsid w:val="00C660D2"/>
    <w:rsid w:val="00C66BDA"/>
    <w:rsid w:val="00C67935"/>
    <w:rsid w:val="00C71122"/>
    <w:rsid w:val="00C757DF"/>
    <w:rsid w:val="00C80A0E"/>
    <w:rsid w:val="00C81866"/>
    <w:rsid w:val="00C85192"/>
    <w:rsid w:val="00C85734"/>
    <w:rsid w:val="00C8741C"/>
    <w:rsid w:val="00C9189F"/>
    <w:rsid w:val="00C96A81"/>
    <w:rsid w:val="00CA23E4"/>
    <w:rsid w:val="00CA550B"/>
    <w:rsid w:val="00CA7E19"/>
    <w:rsid w:val="00CB1BBB"/>
    <w:rsid w:val="00CB2335"/>
    <w:rsid w:val="00CB4136"/>
    <w:rsid w:val="00CB7107"/>
    <w:rsid w:val="00CC1E3F"/>
    <w:rsid w:val="00CC1F3B"/>
    <w:rsid w:val="00CC24F2"/>
    <w:rsid w:val="00CC2540"/>
    <w:rsid w:val="00CC2EE0"/>
    <w:rsid w:val="00CC457B"/>
    <w:rsid w:val="00CC50CA"/>
    <w:rsid w:val="00CD232C"/>
    <w:rsid w:val="00CD6A86"/>
    <w:rsid w:val="00CE10B3"/>
    <w:rsid w:val="00CE10EE"/>
    <w:rsid w:val="00CF013D"/>
    <w:rsid w:val="00CF01AB"/>
    <w:rsid w:val="00CF24EB"/>
    <w:rsid w:val="00CF6E19"/>
    <w:rsid w:val="00CF782C"/>
    <w:rsid w:val="00CF795B"/>
    <w:rsid w:val="00D00108"/>
    <w:rsid w:val="00D00B77"/>
    <w:rsid w:val="00D0150E"/>
    <w:rsid w:val="00D02666"/>
    <w:rsid w:val="00D03317"/>
    <w:rsid w:val="00D04373"/>
    <w:rsid w:val="00D05AB8"/>
    <w:rsid w:val="00D0727A"/>
    <w:rsid w:val="00D07C44"/>
    <w:rsid w:val="00D10BAD"/>
    <w:rsid w:val="00D11EB7"/>
    <w:rsid w:val="00D1202C"/>
    <w:rsid w:val="00D122BB"/>
    <w:rsid w:val="00D1522A"/>
    <w:rsid w:val="00D1681D"/>
    <w:rsid w:val="00D16BAB"/>
    <w:rsid w:val="00D20964"/>
    <w:rsid w:val="00D23541"/>
    <w:rsid w:val="00D2388E"/>
    <w:rsid w:val="00D24E0B"/>
    <w:rsid w:val="00D25DCB"/>
    <w:rsid w:val="00D31765"/>
    <w:rsid w:val="00D34268"/>
    <w:rsid w:val="00D3509C"/>
    <w:rsid w:val="00D429F7"/>
    <w:rsid w:val="00D450C5"/>
    <w:rsid w:val="00D45238"/>
    <w:rsid w:val="00D45889"/>
    <w:rsid w:val="00D5320A"/>
    <w:rsid w:val="00D60B1B"/>
    <w:rsid w:val="00D6257A"/>
    <w:rsid w:val="00D62F6B"/>
    <w:rsid w:val="00D649BD"/>
    <w:rsid w:val="00D659EF"/>
    <w:rsid w:val="00D65EB4"/>
    <w:rsid w:val="00D706D6"/>
    <w:rsid w:val="00D710BB"/>
    <w:rsid w:val="00D73650"/>
    <w:rsid w:val="00D739EF"/>
    <w:rsid w:val="00D76932"/>
    <w:rsid w:val="00D76E97"/>
    <w:rsid w:val="00D77030"/>
    <w:rsid w:val="00D82003"/>
    <w:rsid w:val="00D842C1"/>
    <w:rsid w:val="00D84547"/>
    <w:rsid w:val="00D84B0F"/>
    <w:rsid w:val="00D863DE"/>
    <w:rsid w:val="00D86727"/>
    <w:rsid w:val="00D91705"/>
    <w:rsid w:val="00D97632"/>
    <w:rsid w:val="00DA2632"/>
    <w:rsid w:val="00DB3326"/>
    <w:rsid w:val="00DB4A7B"/>
    <w:rsid w:val="00DB5000"/>
    <w:rsid w:val="00DB517E"/>
    <w:rsid w:val="00DB6506"/>
    <w:rsid w:val="00DB6901"/>
    <w:rsid w:val="00DC0E98"/>
    <w:rsid w:val="00DC3C3D"/>
    <w:rsid w:val="00DC405A"/>
    <w:rsid w:val="00DC484D"/>
    <w:rsid w:val="00DC553A"/>
    <w:rsid w:val="00DC56EC"/>
    <w:rsid w:val="00DD118F"/>
    <w:rsid w:val="00DD23D4"/>
    <w:rsid w:val="00DD2EE2"/>
    <w:rsid w:val="00DD3BAF"/>
    <w:rsid w:val="00DD5A47"/>
    <w:rsid w:val="00DD760F"/>
    <w:rsid w:val="00DE064B"/>
    <w:rsid w:val="00DE6161"/>
    <w:rsid w:val="00DE6706"/>
    <w:rsid w:val="00DE6ACF"/>
    <w:rsid w:val="00DE7093"/>
    <w:rsid w:val="00DF05C8"/>
    <w:rsid w:val="00DF4B50"/>
    <w:rsid w:val="00DF7698"/>
    <w:rsid w:val="00DF7CF6"/>
    <w:rsid w:val="00E011DB"/>
    <w:rsid w:val="00E0257E"/>
    <w:rsid w:val="00E05A76"/>
    <w:rsid w:val="00E060D1"/>
    <w:rsid w:val="00E06588"/>
    <w:rsid w:val="00E06ACB"/>
    <w:rsid w:val="00E077DA"/>
    <w:rsid w:val="00E0792F"/>
    <w:rsid w:val="00E14764"/>
    <w:rsid w:val="00E14A56"/>
    <w:rsid w:val="00E1572A"/>
    <w:rsid w:val="00E23C45"/>
    <w:rsid w:val="00E25310"/>
    <w:rsid w:val="00E2557C"/>
    <w:rsid w:val="00E255E4"/>
    <w:rsid w:val="00E31B9E"/>
    <w:rsid w:val="00E32C0D"/>
    <w:rsid w:val="00E359DD"/>
    <w:rsid w:val="00E36687"/>
    <w:rsid w:val="00E414D6"/>
    <w:rsid w:val="00E418BE"/>
    <w:rsid w:val="00E41E29"/>
    <w:rsid w:val="00E422FE"/>
    <w:rsid w:val="00E46319"/>
    <w:rsid w:val="00E46FB7"/>
    <w:rsid w:val="00E52D7E"/>
    <w:rsid w:val="00E54D8B"/>
    <w:rsid w:val="00E552A8"/>
    <w:rsid w:val="00E561A4"/>
    <w:rsid w:val="00E5769A"/>
    <w:rsid w:val="00E620CB"/>
    <w:rsid w:val="00E65668"/>
    <w:rsid w:val="00E66F4B"/>
    <w:rsid w:val="00E670BD"/>
    <w:rsid w:val="00E67592"/>
    <w:rsid w:val="00E70610"/>
    <w:rsid w:val="00E721B1"/>
    <w:rsid w:val="00E81104"/>
    <w:rsid w:val="00E81664"/>
    <w:rsid w:val="00E823CA"/>
    <w:rsid w:val="00E83310"/>
    <w:rsid w:val="00E845EA"/>
    <w:rsid w:val="00E91546"/>
    <w:rsid w:val="00E92029"/>
    <w:rsid w:val="00E946DD"/>
    <w:rsid w:val="00E95378"/>
    <w:rsid w:val="00EA0D3F"/>
    <w:rsid w:val="00EA3CC9"/>
    <w:rsid w:val="00EB0C74"/>
    <w:rsid w:val="00EB3439"/>
    <w:rsid w:val="00EB4180"/>
    <w:rsid w:val="00EC13FA"/>
    <w:rsid w:val="00EC32FA"/>
    <w:rsid w:val="00ED196E"/>
    <w:rsid w:val="00ED4709"/>
    <w:rsid w:val="00ED5CB6"/>
    <w:rsid w:val="00ED5FFE"/>
    <w:rsid w:val="00ED6E13"/>
    <w:rsid w:val="00EE01FC"/>
    <w:rsid w:val="00EE0C49"/>
    <w:rsid w:val="00EE0E65"/>
    <w:rsid w:val="00EE132F"/>
    <w:rsid w:val="00EE24EA"/>
    <w:rsid w:val="00EE2F5D"/>
    <w:rsid w:val="00EE32B8"/>
    <w:rsid w:val="00EE3E0A"/>
    <w:rsid w:val="00EE3E5F"/>
    <w:rsid w:val="00EF3B5B"/>
    <w:rsid w:val="00EF3FFE"/>
    <w:rsid w:val="00EF4DE1"/>
    <w:rsid w:val="00F0129C"/>
    <w:rsid w:val="00F02630"/>
    <w:rsid w:val="00F02BC7"/>
    <w:rsid w:val="00F04151"/>
    <w:rsid w:val="00F04887"/>
    <w:rsid w:val="00F079A7"/>
    <w:rsid w:val="00F104FD"/>
    <w:rsid w:val="00F10F47"/>
    <w:rsid w:val="00F151DB"/>
    <w:rsid w:val="00F2132C"/>
    <w:rsid w:val="00F21474"/>
    <w:rsid w:val="00F2197C"/>
    <w:rsid w:val="00F24398"/>
    <w:rsid w:val="00F25C85"/>
    <w:rsid w:val="00F26FE5"/>
    <w:rsid w:val="00F30824"/>
    <w:rsid w:val="00F30C6E"/>
    <w:rsid w:val="00F32366"/>
    <w:rsid w:val="00F35377"/>
    <w:rsid w:val="00F41D18"/>
    <w:rsid w:val="00F43EAE"/>
    <w:rsid w:val="00F50AB1"/>
    <w:rsid w:val="00F51E7F"/>
    <w:rsid w:val="00F52E58"/>
    <w:rsid w:val="00F535E9"/>
    <w:rsid w:val="00F547AC"/>
    <w:rsid w:val="00F55821"/>
    <w:rsid w:val="00F562C1"/>
    <w:rsid w:val="00F57CFE"/>
    <w:rsid w:val="00F57D6E"/>
    <w:rsid w:val="00F63766"/>
    <w:rsid w:val="00F64365"/>
    <w:rsid w:val="00F64776"/>
    <w:rsid w:val="00F64F3A"/>
    <w:rsid w:val="00F7085E"/>
    <w:rsid w:val="00F72117"/>
    <w:rsid w:val="00F74051"/>
    <w:rsid w:val="00F74EA1"/>
    <w:rsid w:val="00F75B50"/>
    <w:rsid w:val="00F85F87"/>
    <w:rsid w:val="00F876DF"/>
    <w:rsid w:val="00F94B95"/>
    <w:rsid w:val="00F9513F"/>
    <w:rsid w:val="00F95660"/>
    <w:rsid w:val="00F95ECA"/>
    <w:rsid w:val="00FA02AC"/>
    <w:rsid w:val="00FA0947"/>
    <w:rsid w:val="00FA36CC"/>
    <w:rsid w:val="00FA373D"/>
    <w:rsid w:val="00FA3A49"/>
    <w:rsid w:val="00FA56F7"/>
    <w:rsid w:val="00FA67C2"/>
    <w:rsid w:val="00FA7C9A"/>
    <w:rsid w:val="00FB1A50"/>
    <w:rsid w:val="00FB2D5E"/>
    <w:rsid w:val="00FB56DC"/>
    <w:rsid w:val="00FC2D9B"/>
    <w:rsid w:val="00FC4A8D"/>
    <w:rsid w:val="00FC6E80"/>
    <w:rsid w:val="00FC7510"/>
    <w:rsid w:val="00FC7E15"/>
    <w:rsid w:val="00FD4371"/>
    <w:rsid w:val="00FD59B3"/>
    <w:rsid w:val="00FE1C24"/>
    <w:rsid w:val="00FE219F"/>
    <w:rsid w:val="00FE2ED0"/>
    <w:rsid w:val="00FE2F03"/>
    <w:rsid w:val="00FE49CB"/>
    <w:rsid w:val="00FE6C1C"/>
    <w:rsid w:val="00FE7110"/>
    <w:rsid w:val="00FF1A57"/>
    <w:rsid w:val="00FF262D"/>
    <w:rsid w:val="00FF2BD4"/>
    <w:rsid w:val="00FF413F"/>
    <w:rsid w:val="00FF44B1"/>
    <w:rsid w:val="00FF57C1"/>
    <w:rsid w:val="00FF7B81"/>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82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AC4"/>
    <w:pPr>
      <w:overflowPunct w:val="0"/>
      <w:autoSpaceDE w:val="0"/>
      <w:autoSpaceDN w:val="0"/>
      <w:adjustRightInd w:val="0"/>
      <w:spacing w:after="120"/>
      <w:textAlignment w:val="baseline"/>
    </w:pPr>
    <w:rPr>
      <w:rFonts w:ascii="Times New Roman" w:eastAsia="Times New Roman" w:hAnsi="Times New Roman"/>
      <w:sz w:val="24"/>
      <w:lang w:val="en-US"/>
    </w:rPr>
  </w:style>
  <w:style w:type="paragraph" w:styleId="Heading4">
    <w:name w:val="heading 4"/>
    <w:basedOn w:val="Default"/>
    <w:next w:val="Default"/>
    <w:link w:val="Heading4Char"/>
    <w:uiPriority w:val="99"/>
    <w:qFormat/>
    <w:rsid w:val="00B060C0"/>
    <w:pPr>
      <w:widowControl/>
      <w:outlineLvl w:val="3"/>
    </w:pPr>
    <w:rPr>
      <w:rFonts w:ascii="IIJKIJ+TimesNewRoman,Bold" w:eastAsia="Calibri" w:hAnsi="IIJKIJ+TimesNewRoman,Bold" w:cs="Times New Roman"/>
      <w:color w:val="auto"/>
      <w:lang w:val="en-NZ" w:eastAsia="en-NZ"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B67BF8"/>
    <w:pPr>
      <w:spacing w:after="0"/>
      <w:jc w:val="both"/>
    </w:pPr>
  </w:style>
  <w:style w:type="character" w:customStyle="1" w:styleId="BodyText2Char">
    <w:name w:val="Body Text 2 Char"/>
    <w:basedOn w:val="DefaultParagraphFont"/>
    <w:link w:val="BodyText2"/>
    <w:rsid w:val="00B67BF8"/>
    <w:rPr>
      <w:rFonts w:ascii="Times New Roman" w:eastAsia="Times New Roman" w:hAnsi="Times New Roman" w:cs="Times New Roman"/>
      <w:sz w:val="24"/>
      <w:szCs w:val="20"/>
      <w:lang w:val="en-US" w:eastAsia="en-NZ"/>
    </w:rPr>
  </w:style>
  <w:style w:type="paragraph" w:customStyle="1" w:styleId="Default">
    <w:name w:val="Default"/>
    <w:rsid w:val="008002A7"/>
    <w:pPr>
      <w:widowControl w:val="0"/>
      <w:autoSpaceDE w:val="0"/>
      <w:autoSpaceDN w:val="0"/>
      <w:adjustRightInd w:val="0"/>
    </w:pPr>
    <w:rPr>
      <w:rFonts w:ascii="CM R 17" w:eastAsia="Times New Roman" w:hAnsi="CM R 17" w:cs="CM R 17"/>
      <w:color w:val="000000"/>
      <w:sz w:val="24"/>
      <w:szCs w:val="24"/>
      <w:lang w:val="en-US" w:eastAsia="en-US" w:bidi="th-TH"/>
    </w:rPr>
  </w:style>
  <w:style w:type="paragraph" w:customStyle="1" w:styleId="CM7">
    <w:name w:val="CM7"/>
    <w:basedOn w:val="Default"/>
    <w:next w:val="Default"/>
    <w:uiPriority w:val="99"/>
    <w:rsid w:val="008002A7"/>
    <w:pPr>
      <w:spacing w:line="478" w:lineRule="atLeast"/>
    </w:pPr>
    <w:rPr>
      <w:color w:val="auto"/>
    </w:rPr>
  </w:style>
  <w:style w:type="paragraph" w:customStyle="1" w:styleId="CM67">
    <w:name w:val="CM67"/>
    <w:basedOn w:val="Default"/>
    <w:next w:val="Default"/>
    <w:uiPriority w:val="99"/>
    <w:rsid w:val="008002A7"/>
    <w:pPr>
      <w:spacing w:after="4630"/>
    </w:pPr>
    <w:rPr>
      <w:color w:val="auto"/>
    </w:rPr>
  </w:style>
  <w:style w:type="character" w:styleId="Hyperlink">
    <w:name w:val="Hyperlink"/>
    <w:basedOn w:val="DefaultParagraphFont"/>
    <w:uiPriority w:val="99"/>
    <w:unhideWhenUsed/>
    <w:rsid w:val="004054F5"/>
    <w:rPr>
      <w:strike w:val="0"/>
      <w:dstrike w:val="0"/>
      <w:color w:val="5A597B"/>
      <w:sz w:val="24"/>
      <w:szCs w:val="24"/>
      <w:u w:val="none"/>
      <w:effect w:val="none"/>
    </w:rPr>
  </w:style>
  <w:style w:type="character" w:styleId="PlaceholderText">
    <w:name w:val="Placeholder Text"/>
    <w:basedOn w:val="DefaultParagraphFont"/>
    <w:uiPriority w:val="99"/>
    <w:semiHidden/>
    <w:rsid w:val="008933E7"/>
    <w:rPr>
      <w:color w:val="808080"/>
    </w:rPr>
  </w:style>
  <w:style w:type="paragraph" w:styleId="BalloonText">
    <w:name w:val="Balloon Text"/>
    <w:basedOn w:val="Normal"/>
    <w:link w:val="BalloonTextChar"/>
    <w:uiPriority w:val="99"/>
    <w:semiHidden/>
    <w:unhideWhenUsed/>
    <w:rsid w:val="008933E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33E7"/>
    <w:rPr>
      <w:rFonts w:ascii="Tahoma" w:eastAsia="Times New Roman" w:hAnsi="Tahoma" w:cs="Tahoma"/>
      <w:sz w:val="16"/>
      <w:szCs w:val="16"/>
      <w:lang w:val="en-US"/>
    </w:rPr>
  </w:style>
  <w:style w:type="paragraph" w:styleId="ListParagraph">
    <w:name w:val="List Paragraph"/>
    <w:basedOn w:val="Normal"/>
    <w:uiPriority w:val="34"/>
    <w:qFormat/>
    <w:rsid w:val="007E4F6B"/>
    <w:pPr>
      <w:ind w:left="720"/>
      <w:contextualSpacing/>
    </w:pPr>
  </w:style>
  <w:style w:type="paragraph" w:styleId="Header">
    <w:name w:val="header"/>
    <w:basedOn w:val="Normal"/>
    <w:link w:val="HeaderChar"/>
    <w:uiPriority w:val="99"/>
    <w:semiHidden/>
    <w:unhideWhenUsed/>
    <w:rsid w:val="008B71C4"/>
    <w:pPr>
      <w:tabs>
        <w:tab w:val="center" w:pos="4513"/>
        <w:tab w:val="right" w:pos="9026"/>
      </w:tabs>
      <w:spacing w:after="0"/>
    </w:pPr>
  </w:style>
  <w:style w:type="character" w:customStyle="1" w:styleId="HeaderChar">
    <w:name w:val="Header Char"/>
    <w:basedOn w:val="DefaultParagraphFont"/>
    <w:link w:val="Header"/>
    <w:uiPriority w:val="99"/>
    <w:semiHidden/>
    <w:rsid w:val="008B71C4"/>
    <w:rPr>
      <w:rFonts w:ascii="Times New Roman" w:eastAsia="Times New Roman" w:hAnsi="Times New Roman"/>
      <w:sz w:val="24"/>
      <w:lang w:val="en-US"/>
    </w:rPr>
  </w:style>
  <w:style w:type="paragraph" w:styleId="Footer">
    <w:name w:val="footer"/>
    <w:basedOn w:val="Normal"/>
    <w:link w:val="FooterChar"/>
    <w:uiPriority w:val="99"/>
    <w:unhideWhenUsed/>
    <w:rsid w:val="008B71C4"/>
    <w:pPr>
      <w:tabs>
        <w:tab w:val="center" w:pos="4513"/>
        <w:tab w:val="right" w:pos="9026"/>
      </w:tabs>
      <w:spacing w:after="0"/>
    </w:pPr>
  </w:style>
  <w:style w:type="character" w:customStyle="1" w:styleId="FooterChar">
    <w:name w:val="Footer Char"/>
    <w:basedOn w:val="DefaultParagraphFont"/>
    <w:link w:val="Footer"/>
    <w:uiPriority w:val="99"/>
    <w:rsid w:val="008B71C4"/>
    <w:rPr>
      <w:rFonts w:ascii="Times New Roman" w:eastAsia="Times New Roman" w:hAnsi="Times New Roman"/>
      <w:sz w:val="24"/>
      <w:lang w:val="en-US"/>
    </w:rPr>
  </w:style>
  <w:style w:type="paragraph" w:customStyle="1" w:styleId="CM44">
    <w:name w:val="CM44"/>
    <w:basedOn w:val="Default"/>
    <w:next w:val="Default"/>
    <w:uiPriority w:val="99"/>
    <w:rsid w:val="002B15FF"/>
    <w:pPr>
      <w:spacing w:line="478" w:lineRule="atLeast"/>
    </w:pPr>
    <w:rPr>
      <w:color w:val="auto"/>
    </w:rPr>
  </w:style>
  <w:style w:type="paragraph" w:customStyle="1" w:styleId="CM2">
    <w:name w:val="CM2"/>
    <w:basedOn w:val="Default"/>
    <w:next w:val="Default"/>
    <w:uiPriority w:val="99"/>
    <w:rsid w:val="009F28EB"/>
    <w:pPr>
      <w:spacing w:line="480" w:lineRule="atLeast"/>
    </w:pPr>
    <w:rPr>
      <w:color w:val="auto"/>
    </w:rPr>
  </w:style>
  <w:style w:type="table" w:styleId="TableGrid">
    <w:name w:val="Table Grid"/>
    <w:basedOn w:val="TableNormal"/>
    <w:uiPriority w:val="59"/>
    <w:rsid w:val="00580D6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580D61"/>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semiHidden/>
    <w:unhideWhenUsed/>
    <w:rsid w:val="00E0257E"/>
    <w:pPr>
      <w:overflowPunct/>
      <w:autoSpaceDE/>
      <w:autoSpaceDN/>
      <w:adjustRightInd/>
      <w:spacing w:before="100" w:beforeAutospacing="1" w:after="100" w:afterAutospacing="1" w:line="360" w:lineRule="auto"/>
      <w:textAlignment w:val="auto"/>
    </w:pPr>
    <w:rPr>
      <w:color w:val="000000"/>
      <w:szCs w:val="24"/>
      <w:lang w:val="en-NZ"/>
    </w:rPr>
  </w:style>
  <w:style w:type="character" w:styleId="Strong">
    <w:name w:val="Strong"/>
    <w:basedOn w:val="DefaultParagraphFont"/>
    <w:uiPriority w:val="22"/>
    <w:qFormat/>
    <w:rsid w:val="00E0257E"/>
    <w:rPr>
      <w:b/>
      <w:bCs/>
    </w:rPr>
  </w:style>
  <w:style w:type="character" w:customStyle="1" w:styleId="Heading4Char">
    <w:name w:val="Heading 4 Char"/>
    <w:basedOn w:val="DefaultParagraphFont"/>
    <w:link w:val="Heading4"/>
    <w:uiPriority w:val="99"/>
    <w:rsid w:val="00B060C0"/>
    <w:rPr>
      <w:rFonts w:ascii="IIJKIJ+TimesNewRoman,Bold" w:hAnsi="IIJKIJ+TimesNewRoman,Bold"/>
      <w:sz w:val="24"/>
      <w:szCs w:val="24"/>
    </w:rPr>
  </w:style>
  <w:style w:type="paragraph" w:styleId="FootnoteText">
    <w:name w:val="footnote text"/>
    <w:basedOn w:val="Normal"/>
    <w:link w:val="FootnoteTextChar"/>
    <w:uiPriority w:val="99"/>
    <w:semiHidden/>
    <w:unhideWhenUsed/>
    <w:rsid w:val="009720AC"/>
    <w:pPr>
      <w:spacing w:after="0"/>
    </w:pPr>
    <w:rPr>
      <w:sz w:val="20"/>
    </w:rPr>
  </w:style>
  <w:style w:type="character" w:customStyle="1" w:styleId="FootnoteTextChar">
    <w:name w:val="Footnote Text Char"/>
    <w:basedOn w:val="DefaultParagraphFont"/>
    <w:link w:val="FootnoteText"/>
    <w:uiPriority w:val="99"/>
    <w:semiHidden/>
    <w:rsid w:val="009720AC"/>
    <w:rPr>
      <w:rFonts w:ascii="Times New Roman" w:eastAsia="Times New Roman" w:hAnsi="Times New Roman"/>
      <w:lang w:val="en-US"/>
    </w:rPr>
  </w:style>
  <w:style w:type="character" w:styleId="FootnoteReference">
    <w:name w:val="footnote reference"/>
    <w:basedOn w:val="DefaultParagraphFont"/>
    <w:uiPriority w:val="99"/>
    <w:semiHidden/>
    <w:unhideWhenUsed/>
    <w:rsid w:val="009720AC"/>
    <w:rPr>
      <w:vertAlign w:val="superscript"/>
    </w:rPr>
  </w:style>
  <w:style w:type="character" w:styleId="CommentReference">
    <w:name w:val="annotation reference"/>
    <w:basedOn w:val="DefaultParagraphFont"/>
    <w:uiPriority w:val="99"/>
    <w:semiHidden/>
    <w:unhideWhenUsed/>
    <w:rsid w:val="00316DD3"/>
    <w:rPr>
      <w:sz w:val="16"/>
      <w:szCs w:val="16"/>
    </w:rPr>
  </w:style>
  <w:style w:type="paragraph" w:styleId="CommentText">
    <w:name w:val="annotation text"/>
    <w:basedOn w:val="Normal"/>
    <w:link w:val="CommentTextChar"/>
    <w:uiPriority w:val="99"/>
    <w:semiHidden/>
    <w:unhideWhenUsed/>
    <w:rsid w:val="00316DD3"/>
    <w:rPr>
      <w:sz w:val="20"/>
    </w:rPr>
  </w:style>
  <w:style w:type="character" w:customStyle="1" w:styleId="CommentTextChar">
    <w:name w:val="Comment Text Char"/>
    <w:basedOn w:val="DefaultParagraphFont"/>
    <w:link w:val="CommentText"/>
    <w:uiPriority w:val="99"/>
    <w:semiHidden/>
    <w:rsid w:val="00316DD3"/>
    <w:rPr>
      <w:rFonts w:ascii="Times New Roman" w:eastAsia="Times New Roman" w:hAnsi="Times New Roman"/>
      <w:lang w:val="en-US"/>
    </w:rPr>
  </w:style>
  <w:style w:type="paragraph" w:styleId="CommentSubject">
    <w:name w:val="annotation subject"/>
    <w:basedOn w:val="CommentText"/>
    <w:next w:val="CommentText"/>
    <w:link w:val="CommentSubjectChar"/>
    <w:uiPriority w:val="99"/>
    <w:semiHidden/>
    <w:unhideWhenUsed/>
    <w:rsid w:val="00316DD3"/>
    <w:rPr>
      <w:b/>
      <w:bCs/>
    </w:rPr>
  </w:style>
  <w:style w:type="character" w:customStyle="1" w:styleId="CommentSubjectChar">
    <w:name w:val="Comment Subject Char"/>
    <w:basedOn w:val="CommentTextChar"/>
    <w:link w:val="CommentSubject"/>
    <w:uiPriority w:val="99"/>
    <w:semiHidden/>
    <w:rsid w:val="00316DD3"/>
    <w:rPr>
      <w:b/>
      <w:bCs/>
    </w:rPr>
  </w:style>
  <w:style w:type="paragraph" w:styleId="PlainText">
    <w:name w:val="Plain Text"/>
    <w:basedOn w:val="Normal"/>
    <w:link w:val="PlainTextChar"/>
    <w:rsid w:val="00521781"/>
    <w:pPr>
      <w:overflowPunct/>
      <w:autoSpaceDE/>
      <w:autoSpaceDN/>
      <w:adjustRightInd/>
      <w:spacing w:after="0"/>
      <w:textAlignment w:val="auto"/>
    </w:pPr>
    <w:rPr>
      <w:rFonts w:ascii="Courier New" w:eastAsia="Batang" w:hAnsi="Courier New" w:cs="Courier New"/>
      <w:sz w:val="20"/>
      <w:lang w:eastAsia="ko-KR"/>
    </w:rPr>
  </w:style>
  <w:style w:type="character" w:customStyle="1" w:styleId="PlainTextChar">
    <w:name w:val="Plain Text Char"/>
    <w:basedOn w:val="DefaultParagraphFont"/>
    <w:link w:val="PlainText"/>
    <w:rsid w:val="00521781"/>
    <w:rPr>
      <w:rFonts w:ascii="Courier New" w:eastAsia="Batang" w:hAnsi="Courier New" w:cs="Courier New"/>
      <w:lang w:val="en-US" w:eastAsia="ko-KR"/>
    </w:rPr>
  </w:style>
  <w:style w:type="paragraph" w:styleId="BodyText">
    <w:name w:val="Body Text"/>
    <w:basedOn w:val="Normal"/>
    <w:link w:val="BodyTextChar"/>
    <w:rsid w:val="00521781"/>
    <w:pPr>
      <w:overflowPunct/>
      <w:autoSpaceDE/>
      <w:autoSpaceDN/>
      <w:adjustRightInd/>
      <w:textAlignment w:val="auto"/>
    </w:pPr>
    <w:rPr>
      <w:rFonts w:eastAsia="Batang"/>
      <w:szCs w:val="24"/>
      <w:lang w:eastAsia="ko-KR"/>
    </w:rPr>
  </w:style>
  <w:style w:type="character" w:customStyle="1" w:styleId="BodyTextChar">
    <w:name w:val="Body Text Char"/>
    <w:basedOn w:val="DefaultParagraphFont"/>
    <w:link w:val="BodyText"/>
    <w:rsid w:val="00521781"/>
    <w:rPr>
      <w:rFonts w:ascii="Times New Roman" w:eastAsia="Batang" w:hAnsi="Times New Roman"/>
      <w:sz w:val="24"/>
      <w:szCs w:val="24"/>
      <w:lang w:val="en-US" w:eastAsia="ko-KR"/>
    </w:rPr>
  </w:style>
  <w:style w:type="paragraph" w:styleId="NoSpacing">
    <w:name w:val="No Spacing"/>
    <w:uiPriority w:val="1"/>
    <w:qFormat/>
    <w:rsid w:val="00521781"/>
    <w:rPr>
      <w:rFonts w:cs="Calibri"/>
      <w:sz w:val="22"/>
      <w:szCs w:val="22"/>
      <w:lang w:eastAsia="en-US"/>
    </w:rPr>
  </w:style>
  <w:style w:type="paragraph" w:customStyle="1" w:styleId="TitlePage">
    <w:name w:val="Title Page"/>
    <w:basedOn w:val="Normal"/>
    <w:rsid w:val="00521781"/>
    <w:pPr>
      <w:widowControl w:val="0"/>
      <w:overflowPunct/>
      <w:autoSpaceDE/>
      <w:autoSpaceDN/>
      <w:adjustRightInd/>
      <w:spacing w:after="0"/>
      <w:ind w:firstLine="432"/>
      <w:jc w:val="center"/>
      <w:textAlignment w:val="auto"/>
    </w:pPr>
    <w:rPr>
      <w:szCs w:val="24"/>
      <w:lang w:eastAsia="en-US"/>
    </w:rPr>
  </w:style>
  <w:style w:type="paragraph" w:customStyle="1" w:styleId="CM3">
    <w:name w:val="CM3"/>
    <w:basedOn w:val="Default"/>
    <w:next w:val="Default"/>
    <w:rsid w:val="00521781"/>
    <w:rPr>
      <w:rFonts w:ascii="Times New Roman" w:hAnsi="Times New Roman" w:cs="Times New Roman"/>
      <w:color w:val="auto"/>
      <w:lang w:bidi="ar-SA"/>
    </w:rPr>
  </w:style>
  <w:style w:type="paragraph" w:customStyle="1" w:styleId="CM4">
    <w:name w:val="CM4"/>
    <w:basedOn w:val="Default"/>
    <w:next w:val="Default"/>
    <w:rsid w:val="00521781"/>
    <w:pPr>
      <w:spacing w:line="253" w:lineRule="atLeast"/>
    </w:pPr>
    <w:rPr>
      <w:rFonts w:ascii="Times New Roman" w:hAnsi="Times New Roman" w:cs="Times New Roman"/>
      <w:color w:val="auto"/>
      <w:lang w:bidi="ar-SA"/>
    </w:rPr>
  </w:style>
  <w:style w:type="paragraph" w:customStyle="1" w:styleId="CM23">
    <w:name w:val="CM23"/>
    <w:basedOn w:val="Default"/>
    <w:next w:val="Default"/>
    <w:rsid w:val="00521781"/>
    <w:pPr>
      <w:spacing w:after="233"/>
    </w:pPr>
    <w:rPr>
      <w:rFonts w:ascii="Times New Roman" w:hAnsi="Times New Roman" w:cs="Times New Roman"/>
      <w:color w:val="auto"/>
      <w:lang w:bidi="ar-SA"/>
    </w:rPr>
  </w:style>
</w:styles>
</file>

<file path=word/webSettings.xml><?xml version="1.0" encoding="utf-8"?>
<w:webSettings xmlns:r="http://schemas.openxmlformats.org/officeDocument/2006/relationships" xmlns:w="http://schemas.openxmlformats.org/wordprocessingml/2006/main">
  <w:divs>
    <w:div w:id="177155807">
      <w:bodyDiv w:val="1"/>
      <w:marLeft w:val="0"/>
      <w:marRight w:val="0"/>
      <w:marTop w:val="0"/>
      <w:marBottom w:val="0"/>
      <w:divBdr>
        <w:top w:val="none" w:sz="0" w:space="0" w:color="auto"/>
        <w:left w:val="none" w:sz="0" w:space="0" w:color="auto"/>
        <w:bottom w:val="none" w:sz="0" w:space="0" w:color="auto"/>
        <w:right w:val="none" w:sz="0" w:space="0" w:color="auto"/>
      </w:divBdr>
    </w:div>
    <w:div w:id="316374843">
      <w:bodyDiv w:val="1"/>
      <w:marLeft w:val="0"/>
      <w:marRight w:val="0"/>
      <w:marTop w:val="0"/>
      <w:marBottom w:val="0"/>
      <w:divBdr>
        <w:top w:val="none" w:sz="0" w:space="0" w:color="auto"/>
        <w:left w:val="none" w:sz="0" w:space="0" w:color="auto"/>
        <w:bottom w:val="none" w:sz="0" w:space="0" w:color="auto"/>
        <w:right w:val="none" w:sz="0" w:space="0" w:color="auto"/>
      </w:divBdr>
    </w:div>
    <w:div w:id="320888235">
      <w:bodyDiv w:val="1"/>
      <w:marLeft w:val="0"/>
      <w:marRight w:val="0"/>
      <w:marTop w:val="0"/>
      <w:marBottom w:val="0"/>
      <w:divBdr>
        <w:top w:val="none" w:sz="0" w:space="0" w:color="auto"/>
        <w:left w:val="none" w:sz="0" w:space="0" w:color="auto"/>
        <w:bottom w:val="none" w:sz="0" w:space="0" w:color="auto"/>
        <w:right w:val="none" w:sz="0" w:space="0" w:color="auto"/>
      </w:divBdr>
    </w:div>
    <w:div w:id="358624331">
      <w:bodyDiv w:val="1"/>
      <w:marLeft w:val="0"/>
      <w:marRight w:val="0"/>
      <w:marTop w:val="0"/>
      <w:marBottom w:val="0"/>
      <w:divBdr>
        <w:top w:val="none" w:sz="0" w:space="0" w:color="auto"/>
        <w:left w:val="none" w:sz="0" w:space="0" w:color="auto"/>
        <w:bottom w:val="none" w:sz="0" w:space="0" w:color="auto"/>
        <w:right w:val="none" w:sz="0" w:space="0" w:color="auto"/>
      </w:divBdr>
    </w:div>
    <w:div w:id="504712257">
      <w:bodyDiv w:val="1"/>
      <w:marLeft w:val="0"/>
      <w:marRight w:val="0"/>
      <w:marTop w:val="0"/>
      <w:marBottom w:val="0"/>
      <w:divBdr>
        <w:top w:val="none" w:sz="0" w:space="0" w:color="auto"/>
        <w:left w:val="none" w:sz="0" w:space="0" w:color="auto"/>
        <w:bottom w:val="none" w:sz="0" w:space="0" w:color="auto"/>
        <w:right w:val="none" w:sz="0" w:space="0" w:color="auto"/>
      </w:divBdr>
    </w:div>
    <w:div w:id="546528823">
      <w:bodyDiv w:val="1"/>
      <w:marLeft w:val="0"/>
      <w:marRight w:val="0"/>
      <w:marTop w:val="0"/>
      <w:marBottom w:val="0"/>
      <w:divBdr>
        <w:top w:val="none" w:sz="0" w:space="0" w:color="auto"/>
        <w:left w:val="none" w:sz="0" w:space="0" w:color="auto"/>
        <w:bottom w:val="none" w:sz="0" w:space="0" w:color="auto"/>
        <w:right w:val="none" w:sz="0" w:space="0" w:color="auto"/>
      </w:divBdr>
    </w:div>
    <w:div w:id="914318324">
      <w:bodyDiv w:val="1"/>
      <w:marLeft w:val="0"/>
      <w:marRight w:val="0"/>
      <w:marTop w:val="0"/>
      <w:marBottom w:val="0"/>
      <w:divBdr>
        <w:top w:val="none" w:sz="0" w:space="0" w:color="auto"/>
        <w:left w:val="none" w:sz="0" w:space="0" w:color="auto"/>
        <w:bottom w:val="none" w:sz="0" w:space="0" w:color="auto"/>
        <w:right w:val="none" w:sz="0" w:space="0" w:color="auto"/>
      </w:divBdr>
    </w:div>
    <w:div w:id="1107238817">
      <w:bodyDiv w:val="1"/>
      <w:marLeft w:val="0"/>
      <w:marRight w:val="0"/>
      <w:marTop w:val="0"/>
      <w:marBottom w:val="0"/>
      <w:divBdr>
        <w:top w:val="none" w:sz="0" w:space="0" w:color="auto"/>
        <w:left w:val="none" w:sz="0" w:space="0" w:color="auto"/>
        <w:bottom w:val="none" w:sz="0" w:space="0" w:color="auto"/>
        <w:right w:val="none" w:sz="0" w:space="0" w:color="auto"/>
      </w:divBdr>
    </w:div>
    <w:div w:id="1156845585">
      <w:bodyDiv w:val="1"/>
      <w:marLeft w:val="0"/>
      <w:marRight w:val="0"/>
      <w:marTop w:val="0"/>
      <w:marBottom w:val="0"/>
      <w:divBdr>
        <w:top w:val="none" w:sz="0" w:space="0" w:color="auto"/>
        <w:left w:val="none" w:sz="0" w:space="0" w:color="auto"/>
        <w:bottom w:val="none" w:sz="0" w:space="0" w:color="auto"/>
        <w:right w:val="none" w:sz="0" w:space="0" w:color="auto"/>
      </w:divBdr>
      <w:divsChild>
        <w:div w:id="2023970290">
          <w:marLeft w:val="1166"/>
          <w:marRight w:val="0"/>
          <w:marTop w:val="115"/>
          <w:marBottom w:val="0"/>
          <w:divBdr>
            <w:top w:val="none" w:sz="0" w:space="0" w:color="auto"/>
            <w:left w:val="none" w:sz="0" w:space="0" w:color="auto"/>
            <w:bottom w:val="none" w:sz="0" w:space="0" w:color="auto"/>
            <w:right w:val="none" w:sz="0" w:space="0" w:color="auto"/>
          </w:divBdr>
        </w:div>
      </w:divsChild>
    </w:div>
    <w:div w:id="1157111696">
      <w:bodyDiv w:val="1"/>
      <w:marLeft w:val="0"/>
      <w:marRight w:val="0"/>
      <w:marTop w:val="0"/>
      <w:marBottom w:val="0"/>
      <w:divBdr>
        <w:top w:val="none" w:sz="0" w:space="0" w:color="auto"/>
        <w:left w:val="none" w:sz="0" w:space="0" w:color="auto"/>
        <w:bottom w:val="none" w:sz="0" w:space="0" w:color="auto"/>
        <w:right w:val="none" w:sz="0" w:space="0" w:color="auto"/>
      </w:divBdr>
    </w:div>
    <w:div w:id="1257667592">
      <w:bodyDiv w:val="1"/>
      <w:marLeft w:val="0"/>
      <w:marRight w:val="0"/>
      <w:marTop w:val="0"/>
      <w:marBottom w:val="0"/>
      <w:divBdr>
        <w:top w:val="none" w:sz="0" w:space="0" w:color="auto"/>
        <w:left w:val="none" w:sz="0" w:space="0" w:color="auto"/>
        <w:bottom w:val="none" w:sz="0" w:space="0" w:color="auto"/>
        <w:right w:val="none" w:sz="0" w:space="0" w:color="auto"/>
      </w:divBdr>
    </w:div>
    <w:div w:id="1406952651">
      <w:bodyDiv w:val="1"/>
      <w:marLeft w:val="0"/>
      <w:marRight w:val="0"/>
      <w:marTop w:val="0"/>
      <w:marBottom w:val="0"/>
      <w:divBdr>
        <w:top w:val="none" w:sz="0" w:space="0" w:color="auto"/>
        <w:left w:val="none" w:sz="0" w:space="0" w:color="auto"/>
        <w:bottom w:val="none" w:sz="0" w:space="0" w:color="auto"/>
        <w:right w:val="none" w:sz="0" w:space="0" w:color="auto"/>
      </w:divBdr>
      <w:divsChild>
        <w:div w:id="1391029608">
          <w:marLeft w:val="1166"/>
          <w:marRight w:val="0"/>
          <w:marTop w:val="115"/>
          <w:marBottom w:val="0"/>
          <w:divBdr>
            <w:top w:val="none" w:sz="0" w:space="0" w:color="auto"/>
            <w:left w:val="none" w:sz="0" w:space="0" w:color="auto"/>
            <w:bottom w:val="none" w:sz="0" w:space="0" w:color="auto"/>
            <w:right w:val="none" w:sz="0" w:space="0" w:color="auto"/>
          </w:divBdr>
        </w:div>
      </w:divsChild>
    </w:div>
    <w:div w:id="1469854957">
      <w:bodyDiv w:val="1"/>
      <w:marLeft w:val="0"/>
      <w:marRight w:val="0"/>
      <w:marTop w:val="0"/>
      <w:marBottom w:val="0"/>
      <w:divBdr>
        <w:top w:val="none" w:sz="0" w:space="0" w:color="auto"/>
        <w:left w:val="none" w:sz="0" w:space="0" w:color="auto"/>
        <w:bottom w:val="none" w:sz="0" w:space="0" w:color="auto"/>
        <w:right w:val="none" w:sz="0" w:space="0" w:color="auto"/>
      </w:divBdr>
    </w:div>
    <w:div w:id="1475295539">
      <w:bodyDiv w:val="1"/>
      <w:marLeft w:val="0"/>
      <w:marRight w:val="0"/>
      <w:marTop w:val="0"/>
      <w:marBottom w:val="0"/>
      <w:divBdr>
        <w:top w:val="none" w:sz="0" w:space="0" w:color="auto"/>
        <w:left w:val="none" w:sz="0" w:space="0" w:color="auto"/>
        <w:bottom w:val="none" w:sz="0" w:space="0" w:color="auto"/>
        <w:right w:val="none" w:sz="0" w:space="0" w:color="auto"/>
      </w:divBdr>
    </w:div>
    <w:div w:id="1623613620">
      <w:bodyDiv w:val="1"/>
      <w:marLeft w:val="0"/>
      <w:marRight w:val="0"/>
      <w:marTop w:val="0"/>
      <w:marBottom w:val="0"/>
      <w:divBdr>
        <w:top w:val="none" w:sz="0" w:space="0" w:color="auto"/>
        <w:left w:val="none" w:sz="0" w:space="0" w:color="auto"/>
        <w:bottom w:val="none" w:sz="0" w:space="0" w:color="auto"/>
        <w:right w:val="none" w:sz="0" w:space="0" w:color="auto"/>
      </w:divBdr>
    </w:div>
    <w:div w:id="1630697061">
      <w:bodyDiv w:val="1"/>
      <w:marLeft w:val="0"/>
      <w:marRight w:val="0"/>
      <w:marTop w:val="0"/>
      <w:marBottom w:val="0"/>
      <w:divBdr>
        <w:top w:val="none" w:sz="0" w:space="0" w:color="auto"/>
        <w:left w:val="none" w:sz="0" w:space="0" w:color="auto"/>
        <w:bottom w:val="none" w:sz="0" w:space="0" w:color="auto"/>
        <w:right w:val="none" w:sz="0" w:space="0" w:color="auto"/>
      </w:divBdr>
      <w:divsChild>
        <w:div w:id="919677625">
          <w:marLeft w:val="547"/>
          <w:marRight w:val="0"/>
          <w:marTop w:val="134"/>
          <w:marBottom w:val="0"/>
          <w:divBdr>
            <w:top w:val="none" w:sz="0" w:space="0" w:color="auto"/>
            <w:left w:val="none" w:sz="0" w:space="0" w:color="auto"/>
            <w:bottom w:val="none" w:sz="0" w:space="0" w:color="auto"/>
            <w:right w:val="none" w:sz="0" w:space="0" w:color="auto"/>
          </w:divBdr>
        </w:div>
        <w:div w:id="386497527">
          <w:marLeft w:val="1166"/>
          <w:marRight w:val="0"/>
          <w:marTop w:val="115"/>
          <w:marBottom w:val="0"/>
          <w:divBdr>
            <w:top w:val="none" w:sz="0" w:space="0" w:color="auto"/>
            <w:left w:val="none" w:sz="0" w:space="0" w:color="auto"/>
            <w:bottom w:val="none" w:sz="0" w:space="0" w:color="auto"/>
            <w:right w:val="none" w:sz="0" w:space="0" w:color="auto"/>
          </w:divBdr>
        </w:div>
      </w:divsChild>
    </w:div>
    <w:div w:id="1748571193">
      <w:bodyDiv w:val="1"/>
      <w:marLeft w:val="0"/>
      <w:marRight w:val="0"/>
      <w:marTop w:val="0"/>
      <w:marBottom w:val="0"/>
      <w:divBdr>
        <w:top w:val="none" w:sz="0" w:space="0" w:color="auto"/>
        <w:left w:val="none" w:sz="0" w:space="0" w:color="auto"/>
        <w:bottom w:val="none" w:sz="0" w:space="0" w:color="auto"/>
        <w:right w:val="none" w:sz="0" w:space="0" w:color="auto"/>
      </w:divBdr>
    </w:div>
    <w:div w:id="1816949323">
      <w:bodyDiv w:val="1"/>
      <w:marLeft w:val="0"/>
      <w:marRight w:val="0"/>
      <w:marTop w:val="0"/>
      <w:marBottom w:val="0"/>
      <w:divBdr>
        <w:top w:val="none" w:sz="0" w:space="0" w:color="auto"/>
        <w:left w:val="none" w:sz="0" w:space="0" w:color="auto"/>
        <w:bottom w:val="none" w:sz="0" w:space="0" w:color="auto"/>
        <w:right w:val="none" w:sz="0" w:space="0" w:color="auto"/>
      </w:divBdr>
    </w:div>
    <w:div w:id="1947226574">
      <w:bodyDiv w:val="1"/>
      <w:marLeft w:val="0"/>
      <w:marRight w:val="0"/>
      <w:marTop w:val="0"/>
      <w:marBottom w:val="0"/>
      <w:divBdr>
        <w:top w:val="none" w:sz="0" w:space="0" w:color="auto"/>
        <w:left w:val="none" w:sz="0" w:space="0" w:color="auto"/>
        <w:bottom w:val="none" w:sz="0" w:space="0" w:color="auto"/>
        <w:right w:val="none" w:sz="0" w:space="0" w:color="auto"/>
      </w:divBdr>
    </w:div>
    <w:div w:id="2049648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oleObject" Target="embeddings/oleObject6.bin"/><Relationship Id="rId34" Type="http://schemas.openxmlformats.org/officeDocument/2006/relationships/image" Target="media/image13.wmf"/><Relationship Id="rId42" Type="http://schemas.openxmlformats.org/officeDocument/2006/relationships/image" Target="media/image17.wmf"/><Relationship Id="rId47" Type="http://schemas.openxmlformats.org/officeDocument/2006/relationships/oleObject" Target="embeddings/oleObject19.bin"/><Relationship Id="rId50" Type="http://schemas.openxmlformats.org/officeDocument/2006/relationships/oleObject" Target="embeddings/oleObject21.bin"/><Relationship Id="rId55" Type="http://schemas.openxmlformats.org/officeDocument/2006/relationships/image" Target="media/image23.wmf"/><Relationship Id="rId63" Type="http://schemas.openxmlformats.org/officeDocument/2006/relationships/image" Target="media/image27.wmf"/><Relationship Id="rId68" Type="http://schemas.openxmlformats.org/officeDocument/2006/relationships/oleObject" Target="embeddings/oleObject30.bin"/><Relationship Id="rId76" Type="http://schemas.openxmlformats.org/officeDocument/2006/relationships/image" Target="media/image33.wmf"/><Relationship Id="rId84" Type="http://schemas.openxmlformats.org/officeDocument/2006/relationships/image" Target="media/image37.wmf"/><Relationship Id="rId89" Type="http://schemas.openxmlformats.org/officeDocument/2006/relationships/oleObject" Target="embeddings/oleObject41.bin"/><Relationship Id="rId97" Type="http://schemas.openxmlformats.org/officeDocument/2006/relationships/fontTable" Target="fontTable.xml"/><Relationship Id="rId7" Type="http://schemas.openxmlformats.org/officeDocument/2006/relationships/comments" Target="comments.xml"/><Relationship Id="rId71" Type="http://schemas.openxmlformats.org/officeDocument/2006/relationships/image" Target="media/image31.wmf"/><Relationship Id="rId92" Type="http://schemas.openxmlformats.org/officeDocument/2006/relationships/image" Target="media/image41.wmf"/><Relationship Id="rId2" Type="http://schemas.openxmlformats.org/officeDocument/2006/relationships/styles" Target="styles.xml"/><Relationship Id="rId16" Type="http://schemas.openxmlformats.org/officeDocument/2006/relationships/image" Target="media/image4.wmf"/><Relationship Id="rId29" Type="http://schemas.openxmlformats.org/officeDocument/2006/relationships/oleObject" Target="embeddings/oleObject10.bin"/><Relationship Id="rId11" Type="http://schemas.openxmlformats.org/officeDocument/2006/relationships/oleObject" Target="embeddings/oleObject2.bin"/><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4.bin"/><Relationship Id="rId40" Type="http://schemas.openxmlformats.org/officeDocument/2006/relationships/image" Target="media/image16.wmf"/><Relationship Id="rId45" Type="http://schemas.openxmlformats.org/officeDocument/2006/relationships/oleObject" Target="embeddings/oleObject18.bin"/><Relationship Id="rId53" Type="http://schemas.openxmlformats.org/officeDocument/2006/relationships/image" Target="media/image22.wmf"/><Relationship Id="rId58" Type="http://schemas.openxmlformats.org/officeDocument/2006/relationships/oleObject" Target="embeddings/oleObject25.bin"/><Relationship Id="rId66" Type="http://schemas.openxmlformats.org/officeDocument/2006/relationships/oleObject" Target="embeddings/oleObject29.bin"/><Relationship Id="rId74" Type="http://schemas.openxmlformats.org/officeDocument/2006/relationships/oleObject" Target="embeddings/oleObject33.bin"/><Relationship Id="rId79" Type="http://schemas.openxmlformats.org/officeDocument/2006/relationships/oleObject" Target="embeddings/oleObject36.bin"/><Relationship Id="rId87" Type="http://schemas.openxmlformats.org/officeDocument/2006/relationships/oleObject" Target="embeddings/oleObject40.bin"/><Relationship Id="rId5" Type="http://schemas.openxmlformats.org/officeDocument/2006/relationships/footnotes" Target="footnotes.xml"/><Relationship Id="rId61" Type="http://schemas.openxmlformats.org/officeDocument/2006/relationships/image" Target="media/image26.wmf"/><Relationship Id="rId82" Type="http://schemas.openxmlformats.org/officeDocument/2006/relationships/image" Target="media/image36.wmf"/><Relationship Id="rId90" Type="http://schemas.openxmlformats.org/officeDocument/2006/relationships/image" Target="media/image40.wmf"/><Relationship Id="rId95" Type="http://schemas.openxmlformats.org/officeDocument/2006/relationships/chart" Target="charts/chart4.xml"/><Relationship Id="rId19" Type="http://schemas.openxmlformats.org/officeDocument/2006/relationships/oleObject" Target="embeddings/oleObject5.bin"/><Relationship Id="rId14" Type="http://schemas.openxmlformats.org/officeDocument/2006/relationships/chart" Target="charts/chart1.xml"/><Relationship Id="rId22" Type="http://schemas.openxmlformats.org/officeDocument/2006/relationships/image" Target="media/image7.wmf"/><Relationship Id="rId27" Type="http://schemas.openxmlformats.org/officeDocument/2006/relationships/oleObject" Target="embeddings/oleObject9.bin"/><Relationship Id="rId30" Type="http://schemas.openxmlformats.org/officeDocument/2006/relationships/image" Target="media/image11.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oleObject" Target="embeddings/oleObject20.bin"/><Relationship Id="rId56" Type="http://schemas.openxmlformats.org/officeDocument/2006/relationships/oleObject" Target="embeddings/oleObject24.bin"/><Relationship Id="rId64" Type="http://schemas.openxmlformats.org/officeDocument/2006/relationships/oleObject" Target="embeddings/oleObject28.bin"/><Relationship Id="rId69" Type="http://schemas.openxmlformats.org/officeDocument/2006/relationships/image" Target="media/image30.wmf"/><Relationship Id="rId77" Type="http://schemas.openxmlformats.org/officeDocument/2006/relationships/oleObject" Target="embeddings/oleObject35.bin"/><Relationship Id="rId8" Type="http://schemas.openxmlformats.org/officeDocument/2006/relationships/image" Target="media/image1.wmf"/><Relationship Id="rId51" Type="http://schemas.openxmlformats.org/officeDocument/2006/relationships/image" Target="media/image21.wmf"/><Relationship Id="rId72" Type="http://schemas.openxmlformats.org/officeDocument/2006/relationships/oleObject" Target="embeddings/oleObject32.bin"/><Relationship Id="rId80" Type="http://schemas.openxmlformats.org/officeDocument/2006/relationships/image" Target="media/image35.wmf"/><Relationship Id="rId85" Type="http://schemas.openxmlformats.org/officeDocument/2006/relationships/oleObject" Target="embeddings/oleObject39.bin"/><Relationship Id="rId93" Type="http://schemas.openxmlformats.org/officeDocument/2006/relationships/oleObject" Target="embeddings/oleObject43.bin"/><Relationship Id="rId98"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5.wmf"/><Relationship Id="rId46" Type="http://schemas.openxmlformats.org/officeDocument/2006/relationships/image" Target="media/image19.wmf"/><Relationship Id="rId59" Type="http://schemas.openxmlformats.org/officeDocument/2006/relationships/image" Target="media/image25.wmf"/><Relationship Id="rId67" Type="http://schemas.openxmlformats.org/officeDocument/2006/relationships/image" Target="media/image29.wmf"/><Relationship Id="rId20" Type="http://schemas.openxmlformats.org/officeDocument/2006/relationships/image" Target="media/image6.wmf"/><Relationship Id="rId41" Type="http://schemas.openxmlformats.org/officeDocument/2006/relationships/oleObject" Target="embeddings/oleObject16.bin"/><Relationship Id="rId54" Type="http://schemas.openxmlformats.org/officeDocument/2006/relationships/oleObject" Target="embeddings/oleObject23.bin"/><Relationship Id="rId62" Type="http://schemas.openxmlformats.org/officeDocument/2006/relationships/oleObject" Target="embeddings/oleObject27.bin"/><Relationship Id="rId70" Type="http://schemas.openxmlformats.org/officeDocument/2006/relationships/oleObject" Target="embeddings/oleObject31.bin"/><Relationship Id="rId75" Type="http://schemas.openxmlformats.org/officeDocument/2006/relationships/oleObject" Target="embeddings/oleObject34.bin"/><Relationship Id="rId83" Type="http://schemas.openxmlformats.org/officeDocument/2006/relationships/oleObject" Target="embeddings/oleObject38.bin"/><Relationship Id="rId88" Type="http://schemas.openxmlformats.org/officeDocument/2006/relationships/image" Target="media/image39.wmf"/><Relationship Id="rId91" Type="http://schemas.openxmlformats.org/officeDocument/2006/relationships/oleObject" Target="embeddings/oleObject42.bin"/><Relationship Id="rId9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hart" Target="charts/chart2.xml"/><Relationship Id="rId23" Type="http://schemas.openxmlformats.org/officeDocument/2006/relationships/oleObject" Target="embeddings/oleObject7.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image" Target="media/image20.wmf"/><Relationship Id="rId57" Type="http://schemas.openxmlformats.org/officeDocument/2006/relationships/image" Target="media/image24.wmf"/><Relationship Id="rId10" Type="http://schemas.openxmlformats.org/officeDocument/2006/relationships/image" Target="media/image2.wmf"/><Relationship Id="rId31" Type="http://schemas.openxmlformats.org/officeDocument/2006/relationships/oleObject" Target="embeddings/oleObject11.bin"/><Relationship Id="rId44" Type="http://schemas.openxmlformats.org/officeDocument/2006/relationships/image" Target="media/image18.wmf"/><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image" Target="media/image28.wmf"/><Relationship Id="rId73" Type="http://schemas.openxmlformats.org/officeDocument/2006/relationships/image" Target="media/image32.wmf"/><Relationship Id="rId78" Type="http://schemas.openxmlformats.org/officeDocument/2006/relationships/image" Target="media/image34.wmf"/><Relationship Id="rId81" Type="http://schemas.openxmlformats.org/officeDocument/2006/relationships/oleObject" Target="embeddings/oleObject37.bin"/><Relationship Id="rId86" Type="http://schemas.openxmlformats.org/officeDocument/2006/relationships/image" Target="media/image38.wmf"/><Relationship Id="rId94"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5.wmf"/><Relationship Id="rId39" Type="http://schemas.openxmlformats.org/officeDocument/2006/relationships/oleObject" Target="embeddings/oleObject15.bin"/></Relationships>
</file>

<file path=word/charts/_rels/chart1.xml.rels><?xml version="1.0" encoding="UTF-8" standalone="yes"?>
<Relationships xmlns="http://schemas.openxmlformats.org/package/2006/relationships"><Relationship Id="rId1" Type="http://schemas.openxmlformats.org/officeDocument/2006/relationships/oleObject" Target="file:///C:\Users\slim1\Documents\STEVEN\RESEARCH\growth%20rates\data.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slim1\Documents\STEVEN\RESEARCH\growth%20rates\data.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slim1\Documents\STEVEN\RESEARCH\growth%20rates\data.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slim1\Documents\STEVEN\RESEARCH\growth%20rates\data.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NZ"/>
  <c:chart>
    <c:plotArea>
      <c:layout/>
      <c:lineChart>
        <c:grouping val="standard"/>
        <c:ser>
          <c:idx val="0"/>
          <c:order val="0"/>
          <c:cat>
            <c:numRef>
              <c:f>Figure!$B$3:$B$20</c:f>
              <c:numCache>
                <c:formatCode>General</c:formatCode>
                <c:ptCount val="18"/>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numCache>
            </c:numRef>
          </c:cat>
          <c:val>
            <c:numRef>
              <c:f>Figure!$E$3:$E$20</c:f>
              <c:numCache>
                <c:formatCode>General</c:formatCode>
                <c:ptCount val="18"/>
                <c:pt idx="0">
                  <c:v>4899.7429999999995</c:v>
                </c:pt>
                <c:pt idx="1">
                  <c:v>5605.2160000000003</c:v>
                </c:pt>
                <c:pt idx="2">
                  <c:v>6791.1820000000034</c:v>
                </c:pt>
                <c:pt idx="3">
                  <c:v>8155.5250000000024</c:v>
                </c:pt>
                <c:pt idx="4">
                  <c:v>9698.2450000000008</c:v>
                </c:pt>
                <c:pt idx="5">
                  <c:v>11059.374000000002</c:v>
                </c:pt>
                <c:pt idx="6">
                  <c:v>12443.000999999846</c:v>
                </c:pt>
                <c:pt idx="7">
                  <c:v>13850.733000000018</c:v>
                </c:pt>
                <c:pt idx="8">
                  <c:v>15083.302</c:v>
                </c:pt>
                <c:pt idx="9">
                  <c:v>16368.902</c:v>
                </c:pt>
                <c:pt idx="10">
                  <c:v>17971.080999999998</c:v>
                </c:pt>
                <c:pt idx="11">
                  <c:v>19528.264000000021</c:v>
                </c:pt>
                <c:pt idx="12">
                  <c:v>21475.948000000029</c:v>
                </c:pt>
                <c:pt idx="13">
                  <c:v>24214.276000000005</c:v>
                </c:pt>
                <c:pt idx="14">
                  <c:v>27000.813999999897</c:v>
                </c:pt>
                <c:pt idx="15">
                  <c:v>30126.429</c:v>
                </c:pt>
                <c:pt idx="16">
                  <c:v>34005.726999999999</c:v>
                </c:pt>
                <c:pt idx="17">
                  <c:v>38595.31900000001</c:v>
                </c:pt>
              </c:numCache>
            </c:numRef>
          </c:val>
        </c:ser>
        <c:marker val="1"/>
        <c:axId val="111927680"/>
        <c:axId val="111929216"/>
      </c:lineChart>
      <c:catAx>
        <c:axId val="111927680"/>
        <c:scaling>
          <c:orientation val="minMax"/>
        </c:scaling>
        <c:axPos val="b"/>
        <c:numFmt formatCode="General" sourceLinked="1"/>
        <c:tickLblPos val="nextTo"/>
        <c:crossAx val="111929216"/>
        <c:crosses val="autoZero"/>
        <c:auto val="1"/>
        <c:lblAlgn val="ctr"/>
        <c:lblOffset val="100"/>
      </c:catAx>
      <c:valAx>
        <c:axId val="111929216"/>
        <c:scaling>
          <c:orientation val="minMax"/>
        </c:scaling>
        <c:axPos val="l"/>
        <c:majorGridlines/>
        <c:numFmt formatCode="General" sourceLinked="1"/>
        <c:tickLblPos val="nextTo"/>
        <c:crossAx val="111927680"/>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NZ"/>
  <c:chart>
    <c:plotArea>
      <c:layout>
        <c:manualLayout>
          <c:layoutTarget val="inner"/>
          <c:xMode val="edge"/>
          <c:yMode val="edge"/>
          <c:x val="0.11929858109590517"/>
          <c:y val="3.0341653428190056E-2"/>
          <c:w val="0.8713625560584457"/>
          <c:h val="0.81883779527559064"/>
        </c:manualLayout>
      </c:layout>
      <c:lineChart>
        <c:grouping val="standard"/>
        <c:ser>
          <c:idx val="1"/>
          <c:order val="0"/>
          <c:marker>
            <c:symbol val="none"/>
          </c:marker>
          <c:cat>
            <c:numRef>
              <c:f>Sheet2!$A$4:$A$20</c:f>
              <c:numCache>
                <c:formatCode>General</c:formatCode>
                <c:ptCount val="17"/>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numCache>
            </c:numRef>
          </c:cat>
          <c:val>
            <c:numRef>
              <c:f>Sheet2!$B$4:$B$20</c:f>
              <c:numCache>
                <c:formatCode>General</c:formatCode>
                <c:ptCount val="17"/>
                <c:pt idx="0">
                  <c:v>0.14400000000000004</c:v>
                </c:pt>
                <c:pt idx="1">
                  <c:v>0.21200000000000024</c:v>
                </c:pt>
                <c:pt idx="2">
                  <c:v>0.20100000000000001</c:v>
                </c:pt>
                <c:pt idx="3">
                  <c:v>0.18900000000000144</c:v>
                </c:pt>
                <c:pt idx="4">
                  <c:v>0.14000000000000001</c:v>
                </c:pt>
                <c:pt idx="5">
                  <c:v>0.125</c:v>
                </c:pt>
                <c:pt idx="6">
                  <c:v>0.113</c:v>
                </c:pt>
                <c:pt idx="7">
                  <c:v>8.9000000000000065E-2</c:v>
                </c:pt>
                <c:pt idx="8">
                  <c:v>8.5000000000000006E-2</c:v>
                </c:pt>
                <c:pt idx="9">
                  <c:v>9.8000000000000226E-2</c:v>
                </c:pt>
                <c:pt idx="10">
                  <c:v>8.7000000000000022E-2</c:v>
                </c:pt>
                <c:pt idx="11">
                  <c:v>0.1</c:v>
                </c:pt>
                <c:pt idx="12">
                  <c:v>0.128</c:v>
                </c:pt>
                <c:pt idx="13">
                  <c:v>0.115</c:v>
                </c:pt>
                <c:pt idx="14">
                  <c:v>0.11600000000000002</c:v>
                </c:pt>
                <c:pt idx="15">
                  <c:v>0.129</c:v>
                </c:pt>
                <c:pt idx="16">
                  <c:v>0.13500000000000001</c:v>
                </c:pt>
              </c:numCache>
            </c:numRef>
          </c:val>
        </c:ser>
        <c:marker val="1"/>
        <c:axId val="102744832"/>
        <c:axId val="102746368"/>
      </c:lineChart>
      <c:catAx>
        <c:axId val="102744832"/>
        <c:scaling>
          <c:orientation val="minMax"/>
        </c:scaling>
        <c:axPos val="b"/>
        <c:numFmt formatCode="General" sourceLinked="1"/>
        <c:tickLblPos val="nextTo"/>
        <c:crossAx val="102746368"/>
        <c:crosses val="autoZero"/>
        <c:auto val="1"/>
        <c:lblAlgn val="ctr"/>
        <c:lblOffset val="100"/>
      </c:catAx>
      <c:valAx>
        <c:axId val="102746368"/>
        <c:scaling>
          <c:orientation val="minMax"/>
        </c:scaling>
        <c:axPos val="l"/>
        <c:majorGridlines/>
        <c:numFmt formatCode="General" sourceLinked="1"/>
        <c:tickLblPos val="nextTo"/>
        <c:crossAx val="102744832"/>
        <c:crosses val="autoZero"/>
        <c:crossBetween val="between"/>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NZ"/>
  <c:chart>
    <c:plotArea>
      <c:layout/>
      <c:lineChart>
        <c:grouping val="standard"/>
        <c:ser>
          <c:idx val="0"/>
          <c:order val="0"/>
          <c:marker>
            <c:symbol val="none"/>
          </c:marker>
          <c:cat>
            <c:numRef>
              <c:f>Figure!$B$3:$B$20</c:f>
              <c:numCache>
                <c:formatCode>General</c:formatCode>
                <c:ptCount val="18"/>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numCache>
            </c:numRef>
          </c:cat>
          <c:val>
            <c:numRef>
              <c:f>Figure!$A$3:$A$20</c:f>
              <c:numCache>
                <c:formatCode>General</c:formatCode>
                <c:ptCount val="18"/>
                <c:pt idx="0">
                  <c:v>38914</c:v>
                </c:pt>
                <c:pt idx="1">
                  <c:v>39098</c:v>
                </c:pt>
                <c:pt idx="2">
                  <c:v>38699</c:v>
                </c:pt>
                <c:pt idx="3">
                  <c:v>37680</c:v>
                </c:pt>
                <c:pt idx="4">
                  <c:v>36628</c:v>
                </c:pt>
                <c:pt idx="5">
                  <c:v>35530</c:v>
                </c:pt>
                <c:pt idx="6">
                  <c:v>34820</c:v>
                </c:pt>
                <c:pt idx="7">
                  <c:v>34840</c:v>
                </c:pt>
                <c:pt idx="8">
                  <c:v>35177</c:v>
                </c:pt>
                <c:pt idx="9">
                  <c:v>35768</c:v>
                </c:pt>
                <c:pt idx="10">
                  <c:v>36043</c:v>
                </c:pt>
                <c:pt idx="11">
                  <c:v>36513</c:v>
                </c:pt>
                <c:pt idx="12">
                  <c:v>36870</c:v>
                </c:pt>
                <c:pt idx="13">
                  <c:v>36546</c:v>
                </c:pt>
                <c:pt idx="14">
                  <c:v>35269</c:v>
                </c:pt>
                <c:pt idx="15">
                  <c:v>33970</c:v>
                </c:pt>
                <c:pt idx="16">
                  <c:v>32561</c:v>
                </c:pt>
                <c:pt idx="17">
                  <c:v>31444</c:v>
                </c:pt>
              </c:numCache>
            </c:numRef>
          </c:val>
        </c:ser>
        <c:marker val="1"/>
        <c:axId val="111953408"/>
        <c:axId val="111954944"/>
      </c:lineChart>
      <c:catAx>
        <c:axId val="111953408"/>
        <c:scaling>
          <c:orientation val="minMax"/>
        </c:scaling>
        <c:axPos val="b"/>
        <c:numFmt formatCode="General" sourceLinked="1"/>
        <c:tickLblPos val="nextTo"/>
        <c:crossAx val="111954944"/>
        <c:crosses val="autoZero"/>
        <c:auto val="1"/>
        <c:lblAlgn val="ctr"/>
        <c:lblOffset val="100"/>
      </c:catAx>
      <c:valAx>
        <c:axId val="111954944"/>
        <c:scaling>
          <c:orientation val="minMax"/>
        </c:scaling>
        <c:axPos val="l"/>
        <c:majorGridlines/>
        <c:numFmt formatCode="General" sourceLinked="1"/>
        <c:tickLblPos val="nextTo"/>
        <c:crossAx val="111953408"/>
        <c:crosses val="autoZero"/>
        <c:crossBetween val="between"/>
      </c:valAx>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NZ"/>
  <c:chart>
    <c:plotArea>
      <c:layout/>
      <c:lineChart>
        <c:grouping val="standard"/>
        <c:ser>
          <c:idx val="0"/>
          <c:order val="0"/>
          <c:marker>
            <c:symbol val="none"/>
          </c:marker>
          <c:cat>
            <c:numRef>
              <c:f>Figure!$A$3:$A$20</c:f>
              <c:numCache>
                <c:formatCode>General</c:formatCode>
                <c:ptCount val="18"/>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numCache>
            </c:numRef>
          </c:cat>
          <c:val>
            <c:numRef>
              <c:f>Figure!$C$3:$C$20</c:f>
              <c:numCache>
                <c:formatCode>General</c:formatCode>
                <c:ptCount val="18"/>
                <c:pt idx="0">
                  <c:v>2083.1195416447554</c:v>
                </c:pt>
                <c:pt idx="1">
                  <c:v>2101.8676175195769</c:v>
                </c:pt>
                <c:pt idx="2">
                  <c:v>2190.1460574553798</c:v>
                </c:pt>
                <c:pt idx="3">
                  <c:v>2304.0336524430622</c:v>
                </c:pt>
                <c:pt idx="4">
                  <c:v>2377.7627293212195</c:v>
                </c:pt>
                <c:pt idx="5">
                  <c:v>2565.6059849376147</c:v>
                </c:pt>
                <c:pt idx="6">
                  <c:v>2765.7232517627313</c:v>
                </c:pt>
                <c:pt idx="7">
                  <c:v>2890.180798092073</c:v>
                </c:pt>
                <c:pt idx="8">
                  <c:v>3031.799657198585</c:v>
                </c:pt>
                <c:pt idx="9">
                  <c:v>3162.1670424581239</c:v>
                </c:pt>
                <c:pt idx="10">
                  <c:v>3206.4373810525376</c:v>
                </c:pt>
                <c:pt idx="11">
                  <c:v>3321.869126770458</c:v>
                </c:pt>
                <c:pt idx="12">
                  <c:v>3451.422022714476</c:v>
                </c:pt>
                <c:pt idx="13">
                  <c:v>3468.6791328280678</c:v>
                </c:pt>
                <c:pt idx="14">
                  <c:v>3763.5168591184297</c:v>
                </c:pt>
                <c:pt idx="15">
                  <c:v>3917.8210503423074</c:v>
                </c:pt>
                <c:pt idx="16">
                  <c:v>4129.3833870607705</c:v>
                </c:pt>
                <c:pt idx="17">
                  <c:v>4294.5587225432027</c:v>
                </c:pt>
              </c:numCache>
            </c:numRef>
          </c:val>
        </c:ser>
        <c:marker val="1"/>
        <c:axId val="111798144"/>
        <c:axId val="111799680"/>
      </c:lineChart>
      <c:catAx>
        <c:axId val="111798144"/>
        <c:scaling>
          <c:orientation val="minMax"/>
        </c:scaling>
        <c:axPos val="b"/>
        <c:numFmt formatCode="General" sourceLinked="1"/>
        <c:tickLblPos val="nextTo"/>
        <c:crossAx val="111799680"/>
        <c:crosses val="autoZero"/>
        <c:auto val="1"/>
        <c:lblAlgn val="ctr"/>
        <c:lblOffset val="100"/>
      </c:catAx>
      <c:valAx>
        <c:axId val="111799680"/>
        <c:scaling>
          <c:orientation val="minMax"/>
        </c:scaling>
        <c:axPos val="l"/>
        <c:majorGridlines>
          <c:spPr>
            <a:ln>
              <a:prstDash val="solid"/>
            </a:ln>
          </c:spPr>
        </c:majorGridlines>
        <c:numFmt formatCode="General" sourceLinked="1"/>
        <c:tickLblPos val="nextTo"/>
        <c:crossAx val="111798144"/>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18</Pages>
  <Words>6898</Words>
  <Characters>39319</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University of Waikato</Company>
  <LinksUpToDate>false</LinksUpToDate>
  <CharactersWithSpaces>46125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slim1</dc:creator>
  <cp:lastModifiedBy>Waikato Management School</cp:lastModifiedBy>
  <cp:revision>18</cp:revision>
  <cp:lastPrinted>2012-12-10T00:13:00Z</cp:lastPrinted>
  <dcterms:created xsi:type="dcterms:W3CDTF">2012-12-05T19:55:00Z</dcterms:created>
  <dcterms:modified xsi:type="dcterms:W3CDTF">2012-12-13T03:21:00Z</dcterms:modified>
</cp:coreProperties>
</file>