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32E9" w:rsidRDefault="004332E9" w:rsidP="007F60C5">
      <w:pPr>
        <w:pStyle w:val="PlainText"/>
        <w:tabs>
          <w:tab w:val="left" w:pos="284"/>
        </w:tabs>
        <w:spacing w:line="288" w:lineRule="auto"/>
        <w:jc w:val="center"/>
        <w:rPr>
          <w:rFonts w:ascii="Times New Roman" w:hAnsi="Times New Roman"/>
          <w:b/>
          <w:sz w:val="28"/>
        </w:rPr>
      </w:pPr>
    </w:p>
    <w:p w:rsidR="007F60C5" w:rsidRDefault="007F60C5" w:rsidP="007F60C5">
      <w:pPr>
        <w:pStyle w:val="PlainText"/>
        <w:tabs>
          <w:tab w:val="left" w:pos="284"/>
        </w:tabs>
        <w:spacing w:line="288" w:lineRule="auto"/>
        <w:jc w:val="center"/>
        <w:rPr>
          <w:rFonts w:ascii="Times New Roman" w:hAnsi="Times New Roman"/>
          <w:b/>
          <w:sz w:val="28"/>
        </w:rPr>
      </w:pPr>
      <w:r>
        <w:rPr>
          <w:rFonts w:ascii="Times New Roman" w:hAnsi="Times New Roman"/>
          <w:b/>
          <w:sz w:val="28"/>
        </w:rPr>
        <w:t>UNIVERSITY OF WAIKATO</w:t>
      </w:r>
    </w:p>
    <w:p w:rsidR="007F60C5" w:rsidRDefault="007F60C5" w:rsidP="007F60C5">
      <w:pPr>
        <w:pStyle w:val="PlainText"/>
        <w:tabs>
          <w:tab w:val="left" w:pos="284"/>
        </w:tabs>
        <w:spacing w:line="288" w:lineRule="auto"/>
        <w:jc w:val="center"/>
        <w:rPr>
          <w:rFonts w:ascii="Times New Roman" w:hAnsi="Times New Roman"/>
          <w:b/>
          <w:sz w:val="28"/>
        </w:rPr>
      </w:pPr>
    </w:p>
    <w:p w:rsidR="007F60C5" w:rsidRDefault="007F60C5" w:rsidP="007F60C5">
      <w:pPr>
        <w:pStyle w:val="PlainText"/>
        <w:tabs>
          <w:tab w:val="left" w:pos="284"/>
        </w:tabs>
        <w:spacing w:line="288" w:lineRule="auto"/>
        <w:jc w:val="center"/>
        <w:rPr>
          <w:rFonts w:ascii="Times New Roman" w:hAnsi="Times New Roman"/>
          <w:b/>
          <w:sz w:val="28"/>
        </w:rPr>
      </w:pPr>
      <w:r>
        <w:rPr>
          <w:rFonts w:ascii="Times New Roman" w:hAnsi="Times New Roman"/>
          <w:b/>
          <w:sz w:val="28"/>
        </w:rPr>
        <w:t>Hamilton</w:t>
      </w:r>
    </w:p>
    <w:p w:rsidR="007F60C5" w:rsidRDefault="007F60C5" w:rsidP="007F60C5">
      <w:pPr>
        <w:pStyle w:val="PlainText"/>
        <w:tabs>
          <w:tab w:val="left" w:pos="284"/>
        </w:tabs>
        <w:spacing w:line="288" w:lineRule="auto"/>
        <w:jc w:val="center"/>
        <w:rPr>
          <w:rFonts w:ascii="Times New Roman" w:hAnsi="Times New Roman"/>
          <w:b/>
          <w:sz w:val="28"/>
        </w:rPr>
      </w:pPr>
      <w:smartTag w:uri="urn:schemas-microsoft-com:office:smarttags" w:element="place">
        <w:smartTag w:uri="urn:schemas-microsoft-com:office:smarttags" w:element="country-region">
          <w:r>
            <w:rPr>
              <w:rFonts w:ascii="Times New Roman" w:hAnsi="Times New Roman"/>
              <w:b/>
              <w:sz w:val="28"/>
            </w:rPr>
            <w:t>New Zealand</w:t>
          </w:r>
        </w:smartTag>
      </w:smartTag>
    </w:p>
    <w:p w:rsidR="007F60C5" w:rsidRDefault="007F60C5" w:rsidP="007F60C5">
      <w:pPr>
        <w:pStyle w:val="PlainText"/>
        <w:tabs>
          <w:tab w:val="left" w:pos="284"/>
        </w:tabs>
        <w:spacing w:line="288" w:lineRule="auto"/>
        <w:jc w:val="center"/>
        <w:rPr>
          <w:rFonts w:ascii="Times New Roman" w:hAnsi="Times New Roman"/>
          <w:b/>
          <w:sz w:val="28"/>
        </w:rPr>
      </w:pPr>
    </w:p>
    <w:p w:rsidR="007F60C5" w:rsidRDefault="007F60C5" w:rsidP="007F60C5">
      <w:pPr>
        <w:pStyle w:val="PlainText"/>
        <w:pBdr>
          <w:top w:val="thinThickSmallGap" w:sz="24" w:space="1" w:color="auto"/>
          <w:left w:val="thinThickSmallGap" w:sz="24" w:space="4" w:color="auto"/>
          <w:bottom w:val="thickThinSmallGap" w:sz="24" w:space="1" w:color="auto"/>
          <w:right w:val="thickThinSmallGap" w:sz="24" w:space="4" w:color="auto"/>
        </w:pBdr>
        <w:tabs>
          <w:tab w:val="left" w:pos="284"/>
        </w:tabs>
        <w:spacing w:line="288" w:lineRule="auto"/>
        <w:jc w:val="center"/>
        <w:rPr>
          <w:rFonts w:ascii="Times New Roman" w:hAnsi="Times New Roman"/>
          <w:b/>
          <w:sz w:val="28"/>
        </w:rPr>
      </w:pPr>
    </w:p>
    <w:p w:rsidR="005D683C" w:rsidRDefault="005D683C" w:rsidP="007F60C5">
      <w:pPr>
        <w:pStyle w:val="PlainText"/>
        <w:pBdr>
          <w:top w:val="thinThickSmallGap" w:sz="24" w:space="1" w:color="auto"/>
          <w:left w:val="thinThickSmallGap" w:sz="24" w:space="4" w:color="auto"/>
          <w:bottom w:val="thickThinSmallGap" w:sz="24" w:space="1" w:color="auto"/>
          <w:right w:val="thickThinSmallGap" w:sz="24" w:space="4" w:color="auto"/>
        </w:pBdr>
        <w:tabs>
          <w:tab w:val="left" w:pos="284"/>
        </w:tabs>
        <w:spacing w:line="288" w:lineRule="auto"/>
        <w:jc w:val="center"/>
        <w:rPr>
          <w:rFonts w:ascii="Times New Roman" w:hAnsi="Times New Roman"/>
          <w:b/>
          <w:bCs/>
          <w:sz w:val="28"/>
          <w:szCs w:val="28"/>
        </w:rPr>
      </w:pPr>
      <w:r>
        <w:rPr>
          <w:rFonts w:ascii="Times New Roman" w:hAnsi="Times New Roman"/>
          <w:b/>
          <w:bCs/>
          <w:sz w:val="28"/>
          <w:szCs w:val="28"/>
        </w:rPr>
        <w:t xml:space="preserve">Agglomeration Externalities and 1981-2006 </w:t>
      </w:r>
    </w:p>
    <w:p w:rsidR="007F60C5" w:rsidRDefault="005D683C" w:rsidP="007F60C5">
      <w:pPr>
        <w:pStyle w:val="PlainText"/>
        <w:pBdr>
          <w:top w:val="thinThickSmallGap" w:sz="24" w:space="1" w:color="auto"/>
          <w:left w:val="thinThickSmallGap" w:sz="24" w:space="4" w:color="auto"/>
          <w:bottom w:val="thickThinSmallGap" w:sz="24" w:space="1" w:color="auto"/>
          <w:right w:val="thickThinSmallGap" w:sz="24" w:space="4" w:color="auto"/>
        </w:pBdr>
        <w:tabs>
          <w:tab w:val="left" w:pos="284"/>
        </w:tabs>
        <w:spacing w:line="288" w:lineRule="auto"/>
        <w:jc w:val="center"/>
        <w:rPr>
          <w:rFonts w:ascii="Times New Roman" w:hAnsi="Times New Roman"/>
          <w:b/>
          <w:bCs/>
          <w:sz w:val="28"/>
          <w:szCs w:val="28"/>
        </w:rPr>
      </w:pPr>
      <w:r>
        <w:rPr>
          <w:rFonts w:ascii="Times New Roman" w:hAnsi="Times New Roman"/>
          <w:b/>
          <w:bCs/>
          <w:sz w:val="28"/>
          <w:szCs w:val="28"/>
        </w:rPr>
        <w:t>Regional Growth in Brazil</w:t>
      </w:r>
    </w:p>
    <w:p w:rsidR="005D683C" w:rsidRDefault="005D683C" w:rsidP="007F60C5">
      <w:pPr>
        <w:pStyle w:val="PlainText"/>
        <w:pBdr>
          <w:top w:val="thinThickSmallGap" w:sz="24" w:space="1" w:color="auto"/>
          <w:left w:val="thinThickSmallGap" w:sz="24" w:space="4" w:color="auto"/>
          <w:bottom w:val="thickThinSmallGap" w:sz="24" w:space="1" w:color="auto"/>
          <w:right w:val="thickThinSmallGap" w:sz="24" w:space="4" w:color="auto"/>
        </w:pBdr>
        <w:tabs>
          <w:tab w:val="left" w:pos="284"/>
        </w:tabs>
        <w:spacing w:line="288" w:lineRule="auto"/>
        <w:jc w:val="center"/>
        <w:rPr>
          <w:rFonts w:ascii="Times New Roman" w:hAnsi="Times New Roman"/>
          <w:bCs/>
          <w:sz w:val="28"/>
        </w:rPr>
      </w:pPr>
    </w:p>
    <w:p w:rsidR="007F60C5" w:rsidRPr="007F60C5" w:rsidRDefault="007F60C5" w:rsidP="007F60C5">
      <w:pPr>
        <w:pStyle w:val="PlainText"/>
        <w:pBdr>
          <w:top w:val="thinThickSmallGap" w:sz="24" w:space="1" w:color="auto"/>
          <w:left w:val="thinThickSmallGap" w:sz="24" w:space="4" w:color="auto"/>
          <w:bottom w:val="thickThinSmallGap" w:sz="24" w:space="1" w:color="auto"/>
          <w:right w:val="thickThinSmallGap" w:sz="24" w:space="4" w:color="auto"/>
        </w:pBdr>
        <w:tabs>
          <w:tab w:val="left" w:pos="284"/>
        </w:tabs>
        <w:spacing w:line="288" w:lineRule="auto"/>
        <w:jc w:val="center"/>
        <w:rPr>
          <w:rFonts w:ascii="Times New Roman" w:hAnsi="Times New Roman"/>
          <w:bCs/>
          <w:sz w:val="28"/>
        </w:rPr>
      </w:pPr>
      <w:r>
        <w:rPr>
          <w:rFonts w:ascii="Times New Roman" w:hAnsi="Times New Roman"/>
          <w:bCs/>
          <w:sz w:val="28"/>
        </w:rPr>
        <w:t xml:space="preserve">Valente J. Matlaba, Mark Holmes, Philip McCann and Jacques </w:t>
      </w:r>
      <w:proofErr w:type="spellStart"/>
      <w:r>
        <w:rPr>
          <w:rFonts w:ascii="Times New Roman" w:hAnsi="Times New Roman"/>
          <w:bCs/>
          <w:sz w:val="28"/>
        </w:rPr>
        <w:t>Poot</w:t>
      </w:r>
      <w:proofErr w:type="spellEnd"/>
    </w:p>
    <w:p w:rsidR="007F60C5" w:rsidRPr="00343170" w:rsidRDefault="007F60C5" w:rsidP="007F60C5">
      <w:pPr>
        <w:pStyle w:val="PlainText"/>
        <w:pBdr>
          <w:top w:val="thinThickSmallGap" w:sz="24" w:space="1" w:color="auto"/>
          <w:left w:val="thinThickSmallGap" w:sz="24" w:space="4" w:color="auto"/>
          <w:bottom w:val="thickThinSmallGap" w:sz="24" w:space="1" w:color="auto"/>
          <w:right w:val="thickThinSmallGap" w:sz="24" w:space="4" w:color="auto"/>
        </w:pBdr>
        <w:tabs>
          <w:tab w:val="left" w:pos="284"/>
        </w:tabs>
        <w:spacing w:line="288" w:lineRule="auto"/>
        <w:jc w:val="center"/>
        <w:rPr>
          <w:rFonts w:ascii="Times New Roman" w:hAnsi="Times New Roman"/>
          <w:bCs/>
          <w:sz w:val="12"/>
          <w:szCs w:val="12"/>
        </w:rPr>
      </w:pPr>
    </w:p>
    <w:p w:rsidR="007F60C5" w:rsidRDefault="007F60C5" w:rsidP="007F60C5">
      <w:pPr>
        <w:pStyle w:val="PlainText"/>
        <w:pBdr>
          <w:top w:val="thinThickSmallGap" w:sz="24" w:space="1" w:color="auto"/>
          <w:left w:val="thinThickSmallGap" w:sz="24" w:space="4" w:color="auto"/>
          <w:bottom w:val="thickThinSmallGap" w:sz="24" w:space="1" w:color="auto"/>
          <w:right w:val="thickThinSmallGap" w:sz="24" w:space="4" w:color="auto"/>
        </w:pBdr>
        <w:tabs>
          <w:tab w:val="left" w:pos="284"/>
        </w:tabs>
        <w:spacing w:line="288" w:lineRule="auto"/>
        <w:jc w:val="center"/>
        <w:rPr>
          <w:rFonts w:ascii="Times New Roman" w:hAnsi="Times New Roman"/>
          <w:bCs/>
          <w:sz w:val="16"/>
        </w:rPr>
      </w:pPr>
    </w:p>
    <w:p w:rsidR="007F60C5" w:rsidRDefault="007F60C5" w:rsidP="007F60C5">
      <w:pPr>
        <w:pStyle w:val="PlainText"/>
        <w:tabs>
          <w:tab w:val="left" w:pos="284"/>
        </w:tabs>
        <w:spacing w:line="288" w:lineRule="auto"/>
        <w:jc w:val="both"/>
        <w:rPr>
          <w:rFonts w:ascii="Times New Roman" w:hAnsi="Times New Roman"/>
          <w:b/>
        </w:rPr>
      </w:pPr>
    </w:p>
    <w:p w:rsidR="007F60C5" w:rsidRPr="000D05AB" w:rsidRDefault="007F60C5" w:rsidP="007F60C5">
      <w:pPr>
        <w:pStyle w:val="PlainText"/>
        <w:tabs>
          <w:tab w:val="left" w:pos="284"/>
        </w:tabs>
        <w:spacing w:line="288" w:lineRule="auto"/>
        <w:jc w:val="both"/>
        <w:rPr>
          <w:rFonts w:ascii="Times New Roman" w:hAnsi="Times New Roman"/>
          <w:b/>
        </w:rPr>
      </w:pPr>
    </w:p>
    <w:p w:rsidR="002A2381" w:rsidRDefault="002A2381" w:rsidP="007F60C5">
      <w:pPr>
        <w:pStyle w:val="PlainText"/>
        <w:tabs>
          <w:tab w:val="left" w:pos="284"/>
        </w:tabs>
        <w:spacing w:line="288" w:lineRule="auto"/>
        <w:jc w:val="center"/>
        <w:rPr>
          <w:rFonts w:ascii="Times New Roman" w:hAnsi="Times New Roman"/>
          <w:b/>
          <w:bCs/>
          <w:sz w:val="28"/>
        </w:rPr>
      </w:pPr>
    </w:p>
    <w:p w:rsidR="007F60C5" w:rsidRDefault="007F60C5" w:rsidP="007F60C5">
      <w:pPr>
        <w:pStyle w:val="PlainText"/>
        <w:tabs>
          <w:tab w:val="left" w:pos="284"/>
        </w:tabs>
        <w:spacing w:line="288" w:lineRule="auto"/>
        <w:jc w:val="center"/>
        <w:rPr>
          <w:rFonts w:ascii="Times New Roman" w:hAnsi="Times New Roman"/>
          <w:b/>
          <w:bCs/>
          <w:sz w:val="28"/>
        </w:rPr>
      </w:pPr>
      <w:r>
        <w:rPr>
          <w:rFonts w:ascii="Times New Roman" w:hAnsi="Times New Roman"/>
          <w:b/>
          <w:bCs/>
          <w:sz w:val="28"/>
        </w:rPr>
        <w:t>Department of Economics</w:t>
      </w:r>
    </w:p>
    <w:p w:rsidR="002A2381" w:rsidRPr="002A2381" w:rsidRDefault="002A2381" w:rsidP="007F60C5">
      <w:pPr>
        <w:pStyle w:val="PlainText"/>
        <w:tabs>
          <w:tab w:val="left" w:pos="284"/>
        </w:tabs>
        <w:spacing w:line="288" w:lineRule="auto"/>
        <w:jc w:val="center"/>
        <w:rPr>
          <w:rFonts w:ascii="Times New Roman" w:hAnsi="Times New Roman"/>
          <w:b/>
          <w:bCs/>
          <w:sz w:val="14"/>
          <w:szCs w:val="14"/>
        </w:rPr>
      </w:pPr>
    </w:p>
    <w:p w:rsidR="007F60C5" w:rsidRPr="005D683C" w:rsidRDefault="005D683C" w:rsidP="007F60C5">
      <w:pPr>
        <w:pStyle w:val="PlainText"/>
        <w:tabs>
          <w:tab w:val="left" w:pos="284"/>
        </w:tabs>
        <w:spacing w:line="288" w:lineRule="auto"/>
        <w:jc w:val="center"/>
        <w:rPr>
          <w:rFonts w:ascii="Times New Roman" w:hAnsi="Times New Roman"/>
          <w:b/>
          <w:bCs/>
          <w:sz w:val="28"/>
        </w:rPr>
      </w:pPr>
      <w:r>
        <w:rPr>
          <w:rFonts w:ascii="Times New Roman" w:hAnsi="Times New Roman"/>
          <w:b/>
          <w:bCs/>
          <w:sz w:val="28"/>
        </w:rPr>
        <w:t>Working Paper in Economics 07</w:t>
      </w:r>
      <w:r w:rsidR="007F60C5">
        <w:rPr>
          <w:rFonts w:ascii="Times New Roman" w:hAnsi="Times New Roman"/>
          <w:b/>
          <w:bCs/>
          <w:sz w:val="28"/>
        </w:rPr>
        <w:t>/</w:t>
      </w:r>
      <w:r>
        <w:rPr>
          <w:rFonts w:ascii="Times New Roman" w:hAnsi="Times New Roman"/>
          <w:b/>
          <w:bCs/>
          <w:sz w:val="28"/>
        </w:rPr>
        <w:t>12</w:t>
      </w:r>
    </w:p>
    <w:p w:rsidR="007F60C5" w:rsidRDefault="007F60C5" w:rsidP="007F60C5">
      <w:pPr>
        <w:pStyle w:val="PlainText"/>
        <w:tabs>
          <w:tab w:val="left" w:pos="284"/>
        </w:tabs>
        <w:spacing w:line="288" w:lineRule="auto"/>
        <w:jc w:val="center"/>
        <w:rPr>
          <w:rFonts w:ascii="Times New Roman" w:hAnsi="Times New Roman"/>
          <w:sz w:val="28"/>
        </w:rPr>
      </w:pPr>
    </w:p>
    <w:p w:rsidR="007F60C5" w:rsidRPr="005D683C" w:rsidRDefault="005D683C" w:rsidP="007F60C5">
      <w:pPr>
        <w:pStyle w:val="PlainText"/>
        <w:tabs>
          <w:tab w:val="left" w:pos="284"/>
        </w:tabs>
        <w:spacing w:line="288" w:lineRule="auto"/>
        <w:jc w:val="center"/>
        <w:rPr>
          <w:rFonts w:ascii="Times New Roman" w:hAnsi="Times New Roman"/>
          <w:sz w:val="28"/>
        </w:rPr>
      </w:pPr>
      <w:r>
        <w:rPr>
          <w:rFonts w:ascii="Times New Roman" w:hAnsi="Times New Roman"/>
          <w:sz w:val="28"/>
        </w:rPr>
        <w:t>June 2012</w:t>
      </w:r>
    </w:p>
    <w:p w:rsidR="007F60C5" w:rsidRDefault="007F60C5" w:rsidP="007F60C5">
      <w:pPr>
        <w:pStyle w:val="PlainText"/>
        <w:tabs>
          <w:tab w:val="left" w:pos="284"/>
        </w:tabs>
        <w:spacing w:line="288" w:lineRule="auto"/>
        <w:jc w:val="center"/>
        <w:rPr>
          <w:rFonts w:ascii="Times New Roman" w:hAnsi="Times New Roman"/>
        </w:rPr>
      </w:pPr>
    </w:p>
    <w:p w:rsidR="007F60C5" w:rsidRPr="00815932" w:rsidRDefault="007F60C5" w:rsidP="007F60C5">
      <w:pPr>
        <w:pStyle w:val="PlainText"/>
        <w:tabs>
          <w:tab w:val="left" w:pos="284"/>
        </w:tabs>
        <w:spacing w:line="288" w:lineRule="auto"/>
        <w:jc w:val="center"/>
        <w:rPr>
          <w:rFonts w:ascii="Times New Roman" w:hAnsi="Times New Roman"/>
          <w:i/>
          <w:iCs/>
          <w:sz w:val="24"/>
          <w:szCs w:val="24"/>
        </w:rPr>
      </w:pPr>
      <w:r w:rsidRPr="00815932">
        <w:rPr>
          <w:rFonts w:ascii="Times New Roman" w:hAnsi="Times New Roman"/>
          <w:i/>
          <w:iCs/>
          <w:sz w:val="24"/>
          <w:szCs w:val="24"/>
        </w:rPr>
        <w:t>Corresponding Author</w:t>
      </w:r>
    </w:p>
    <w:p w:rsidR="007F60C5" w:rsidRPr="00815932" w:rsidRDefault="007F60C5" w:rsidP="007F60C5">
      <w:pPr>
        <w:pStyle w:val="PlainText"/>
        <w:tabs>
          <w:tab w:val="left" w:pos="284"/>
        </w:tabs>
        <w:spacing w:line="288" w:lineRule="auto"/>
        <w:jc w:val="center"/>
        <w:rPr>
          <w:rFonts w:ascii="Times New Roman" w:hAnsi="Times New Roman"/>
          <w:b/>
          <w:bCs/>
          <w:sz w:val="24"/>
          <w:szCs w:val="24"/>
        </w:rPr>
      </w:pPr>
      <w:r w:rsidRPr="00815932">
        <w:rPr>
          <w:rFonts w:ascii="Times New Roman" w:hAnsi="Times New Roman"/>
          <w:b/>
          <w:bCs/>
          <w:sz w:val="24"/>
          <w:szCs w:val="24"/>
        </w:rPr>
        <w:t>Valente Matlaba</w:t>
      </w:r>
    </w:p>
    <w:p w:rsidR="007F60C5" w:rsidRPr="00815932" w:rsidRDefault="007F60C5" w:rsidP="007F60C5">
      <w:pPr>
        <w:jc w:val="center"/>
      </w:pPr>
      <w:r w:rsidRPr="00815932">
        <w:t>Economics Department</w:t>
      </w:r>
    </w:p>
    <w:p w:rsidR="007F60C5" w:rsidRPr="00815932" w:rsidRDefault="007F60C5" w:rsidP="007F60C5">
      <w:pPr>
        <w:jc w:val="center"/>
      </w:pPr>
      <w:r w:rsidRPr="00815932">
        <w:t>University of Waikato</w:t>
      </w:r>
    </w:p>
    <w:p w:rsidR="007F60C5" w:rsidRPr="00815932" w:rsidRDefault="007F60C5" w:rsidP="007F60C5">
      <w:pPr>
        <w:jc w:val="center"/>
      </w:pPr>
      <w:r w:rsidRPr="00815932">
        <w:t>Private Bag 3105</w:t>
      </w:r>
    </w:p>
    <w:p w:rsidR="007F60C5" w:rsidRPr="00815932" w:rsidRDefault="007F60C5" w:rsidP="007F60C5">
      <w:pPr>
        <w:jc w:val="center"/>
      </w:pPr>
      <w:r w:rsidRPr="00815932">
        <w:t>Hamilton, New Zealand</w:t>
      </w:r>
    </w:p>
    <w:p w:rsidR="007F60C5" w:rsidRPr="00815932" w:rsidRDefault="007F60C5" w:rsidP="007F60C5">
      <w:pPr>
        <w:pStyle w:val="PlainText"/>
        <w:tabs>
          <w:tab w:val="left" w:pos="284"/>
        </w:tabs>
        <w:jc w:val="center"/>
        <w:rPr>
          <w:rFonts w:ascii="Times New Roman" w:hAnsi="Times New Roman"/>
          <w:sz w:val="24"/>
          <w:szCs w:val="24"/>
        </w:rPr>
      </w:pPr>
      <w:r w:rsidRPr="00815932">
        <w:rPr>
          <w:rFonts w:ascii="Times New Roman" w:hAnsi="Times New Roman"/>
          <w:sz w:val="24"/>
          <w:szCs w:val="24"/>
        </w:rPr>
        <w:t xml:space="preserve">Email: </w:t>
      </w:r>
      <w:r w:rsidRPr="00815932">
        <w:rPr>
          <w:rFonts w:ascii="Times New Roman" w:hAnsi="Times New Roman"/>
          <w:iCs/>
          <w:sz w:val="24"/>
          <w:szCs w:val="24"/>
        </w:rPr>
        <w:t>valente.matlaba@yahoo.com.br</w:t>
      </w:r>
    </w:p>
    <w:p w:rsidR="007F60C5" w:rsidRPr="00815932" w:rsidRDefault="007F60C5" w:rsidP="007F60C5"/>
    <w:p w:rsidR="007F60C5" w:rsidRPr="00815932" w:rsidRDefault="007F60C5" w:rsidP="007F60C5">
      <w:pPr>
        <w:jc w:val="center"/>
        <w:rPr>
          <w:b/>
        </w:rPr>
      </w:pPr>
      <w:r w:rsidRPr="00815932">
        <w:rPr>
          <w:b/>
        </w:rPr>
        <w:t xml:space="preserve">Mark Holmes </w:t>
      </w:r>
    </w:p>
    <w:p w:rsidR="007F60C5" w:rsidRPr="00815932" w:rsidRDefault="007F60C5" w:rsidP="007F60C5">
      <w:pPr>
        <w:jc w:val="center"/>
      </w:pPr>
      <w:r w:rsidRPr="00815932">
        <w:t>Economics Department, University of Waikato</w:t>
      </w:r>
    </w:p>
    <w:p w:rsidR="007F60C5" w:rsidRPr="00815932" w:rsidRDefault="007F60C5" w:rsidP="007F60C5">
      <w:pPr>
        <w:jc w:val="center"/>
      </w:pPr>
      <w:r w:rsidRPr="00815932">
        <w:t>Email: holmesmj@waikato.ac.nz</w:t>
      </w:r>
    </w:p>
    <w:p w:rsidR="007F60C5" w:rsidRPr="00815932" w:rsidRDefault="007F60C5" w:rsidP="007F60C5">
      <w:pPr>
        <w:jc w:val="center"/>
      </w:pPr>
    </w:p>
    <w:p w:rsidR="002050AB" w:rsidRPr="00815932" w:rsidRDefault="002050AB" w:rsidP="007F60C5">
      <w:pPr>
        <w:jc w:val="center"/>
        <w:rPr>
          <w:b/>
        </w:rPr>
      </w:pPr>
      <w:r w:rsidRPr="00815932">
        <w:rPr>
          <w:b/>
        </w:rPr>
        <w:t>Philip McCann</w:t>
      </w:r>
    </w:p>
    <w:p w:rsidR="00815932" w:rsidRPr="00815932" w:rsidRDefault="00815932" w:rsidP="007F60C5">
      <w:pPr>
        <w:jc w:val="center"/>
        <w:rPr>
          <w:b/>
        </w:rPr>
      </w:pPr>
      <w:r w:rsidRPr="00815932">
        <w:rPr>
          <w:color w:val="222222"/>
          <w:shd w:val="clear" w:color="auto" w:fill="FFFFFF"/>
        </w:rPr>
        <w:t>Department of Economic Geography, University of Groningen</w:t>
      </w:r>
      <w:r w:rsidRPr="00815932">
        <w:rPr>
          <w:rStyle w:val="apple-converted-space"/>
          <w:color w:val="222222"/>
          <w:shd w:val="clear" w:color="auto" w:fill="FFFFFF"/>
        </w:rPr>
        <w:t> </w:t>
      </w:r>
    </w:p>
    <w:p w:rsidR="002050AB" w:rsidRPr="00815932" w:rsidRDefault="00815932" w:rsidP="007F60C5">
      <w:pPr>
        <w:jc w:val="center"/>
        <w:rPr>
          <w:color w:val="000000"/>
          <w:shd w:val="clear" w:color="auto" w:fill="FFFFFF"/>
        </w:rPr>
      </w:pPr>
      <w:r w:rsidRPr="00815932">
        <w:rPr>
          <w:color w:val="000000"/>
          <w:shd w:val="clear" w:color="auto" w:fill="FFFFFF"/>
        </w:rPr>
        <w:t>Email: p.mccann@rug.nl</w:t>
      </w:r>
    </w:p>
    <w:p w:rsidR="00815932" w:rsidRPr="00815932" w:rsidRDefault="00815932" w:rsidP="007F60C5">
      <w:pPr>
        <w:jc w:val="center"/>
      </w:pPr>
    </w:p>
    <w:p w:rsidR="002050AB" w:rsidRPr="00815932" w:rsidRDefault="007F60C5" w:rsidP="007F60C5">
      <w:pPr>
        <w:jc w:val="center"/>
        <w:rPr>
          <w:b/>
        </w:rPr>
      </w:pPr>
      <w:r w:rsidRPr="00815932">
        <w:rPr>
          <w:b/>
        </w:rPr>
        <w:t xml:space="preserve">Jacques </w:t>
      </w:r>
      <w:proofErr w:type="spellStart"/>
      <w:r w:rsidRPr="00815932">
        <w:rPr>
          <w:b/>
        </w:rPr>
        <w:t>Poot</w:t>
      </w:r>
      <w:proofErr w:type="spellEnd"/>
    </w:p>
    <w:p w:rsidR="002050AB" w:rsidRPr="00815932" w:rsidRDefault="002050AB" w:rsidP="007F60C5">
      <w:pPr>
        <w:jc w:val="center"/>
      </w:pPr>
      <w:r w:rsidRPr="00815932">
        <w:t>National Institute of Demographic and Economic Analysis</w:t>
      </w:r>
    </w:p>
    <w:p w:rsidR="00871A48" w:rsidRPr="00815932" w:rsidRDefault="002050AB" w:rsidP="007F60C5">
      <w:pPr>
        <w:jc w:val="center"/>
      </w:pPr>
      <w:r w:rsidRPr="00815932">
        <w:t>University of Waikato</w:t>
      </w:r>
    </w:p>
    <w:p w:rsidR="00871A48" w:rsidRPr="00815932" w:rsidRDefault="00871A48" w:rsidP="00871A48">
      <w:pPr>
        <w:jc w:val="center"/>
      </w:pPr>
      <w:r w:rsidRPr="00815932">
        <w:t>Email: jpoot@waikato.ac.nz</w:t>
      </w:r>
    </w:p>
    <w:p w:rsidR="007F60C5" w:rsidRPr="007F60C5" w:rsidRDefault="007F60C5" w:rsidP="007F60C5">
      <w:pPr>
        <w:jc w:val="center"/>
        <w:rPr>
          <w:b/>
        </w:rPr>
      </w:pPr>
      <w:r w:rsidRPr="007F60C5">
        <w:rPr>
          <w:b/>
        </w:rPr>
        <w:br w:type="page"/>
      </w:r>
    </w:p>
    <w:p w:rsidR="007F60C5" w:rsidRPr="007F60C5" w:rsidRDefault="007F60C5" w:rsidP="007F60C5">
      <w:pPr>
        <w:pStyle w:val="Heading1"/>
        <w:rPr>
          <w:sz w:val="24"/>
          <w:szCs w:val="24"/>
        </w:rPr>
      </w:pPr>
    </w:p>
    <w:p w:rsidR="004332E9" w:rsidRDefault="004332E9" w:rsidP="007F60C5">
      <w:pPr>
        <w:pStyle w:val="Heading1"/>
        <w:spacing w:before="0" w:beforeAutospacing="0" w:after="0" w:afterAutospacing="0"/>
        <w:jc w:val="center"/>
        <w:rPr>
          <w:sz w:val="24"/>
          <w:szCs w:val="24"/>
        </w:rPr>
      </w:pPr>
    </w:p>
    <w:p w:rsidR="007F60C5" w:rsidRPr="007F60C5" w:rsidRDefault="007F60C5" w:rsidP="007F60C5">
      <w:pPr>
        <w:pStyle w:val="Heading1"/>
        <w:spacing w:before="0" w:beforeAutospacing="0" w:after="0" w:afterAutospacing="0"/>
        <w:jc w:val="center"/>
        <w:rPr>
          <w:sz w:val="24"/>
          <w:szCs w:val="24"/>
        </w:rPr>
      </w:pPr>
      <w:r w:rsidRPr="007F60C5">
        <w:rPr>
          <w:sz w:val="24"/>
          <w:szCs w:val="24"/>
        </w:rPr>
        <w:t>Abstract</w:t>
      </w:r>
    </w:p>
    <w:p w:rsidR="007F60C5" w:rsidRPr="004332E9" w:rsidRDefault="007F60C5" w:rsidP="007F60C5">
      <w:pPr>
        <w:rPr>
          <w:sz w:val="12"/>
          <w:szCs w:val="12"/>
        </w:rPr>
      </w:pPr>
    </w:p>
    <w:p w:rsidR="007F60C5" w:rsidRPr="00FA317F" w:rsidRDefault="007F60C5" w:rsidP="004332E9">
      <w:pPr>
        <w:spacing w:line="360" w:lineRule="auto"/>
        <w:jc w:val="both"/>
        <w:rPr>
          <w:lang w:eastAsia="zh-CN"/>
        </w:rPr>
      </w:pPr>
      <w:r w:rsidRPr="00FA317F">
        <w:t>This paper focuses on manufacturing employment growth across the 2</w:t>
      </w:r>
      <w:r>
        <w:t>6</w:t>
      </w:r>
      <w:r w:rsidRPr="00FA317F">
        <w:t xml:space="preserve"> states of Brazil. We employ the </w:t>
      </w:r>
      <w:proofErr w:type="spellStart"/>
      <w:r w:rsidRPr="00FA317F">
        <w:t>Glaeser</w:t>
      </w:r>
      <w:proofErr w:type="spellEnd"/>
      <w:r w:rsidRPr="00FA317F">
        <w:t xml:space="preserve"> et al. (1992) approach to identify the role played by knowledge externalities in growth and convergence. </w:t>
      </w:r>
      <w:r>
        <w:t>To assess robustness of the results, we compare</w:t>
      </w:r>
      <w:r w:rsidRPr="00FA317F">
        <w:t xml:space="preserve"> cross-section models, dynamic panel models and pooled</w:t>
      </w:r>
      <w:r>
        <w:t>-</w:t>
      </w:r>
      <w:r w:rsidRPr="00FA317F">
        <w:t>periods fixed-effect models. We find that cross-section models confirm the positive impact of Porter’s and Jacobs’ competition externalities on growth, whereas dynamic panel models and pooled-periods fixed-effect models are consistent with the predictions of Marshall-Arrow-</w:t>
      </w:r>
      <w:proofErr w:type="spellStart"/>
      <w:r w:rsidRPr="00FA317F">
        <w:t>Romer</w:t>
      </w:r>
      <w:proofErr w:type="spellEnd"/>
      <w:r w:rsidRPr="00FA317F">
        <w:t xml:space="preserve"> and Porter regarding the role of speciali</w:t>
      </w:r>
      <w:r>
        <w:t>s</w:t>
      </w:r>
      <w:r w:rsidRPr="00FA317F">
        <w:t>ation</w:t>
      </w:r>
      <w:r>
        <w:t xml:space="preserve"> in manufacturing vis-à-vis other employment</w:t>
      </w:r>
      <w:r w:rsidRPr="00FA317F">
        <w:t>. The results provide new insights into the rapid growth since 1981</w:t>
      </w:r>
      <w:r>
        <w:t xml:space="preserve"> </w:t>
      </w:r>
      <w:r w:rsidRPr="00FA317F">
        <w:t>in particularly the North and Centre West of Brazil.</w:t>
      </w:r>
    </w:p>
    <w:p w:rsidR="007F60C5" w:rsidRPr="007F60C5" w:rsidRDefault="007F60C5" w:rsidP="007F60C5">
      <w:pPr>
        <w:spacing w:before="120" w:after="120"/>
        <w:jc w:val="center"/>
        <w:rPr>
          <w:b/>
        </w:rPr>
      </w:pPr>
    </w:p>
    <w:p w:rsidR="007F60C5" w:rsidRPr="007F60C5" w:rsidRDefault="007F60C5" w:rsidP="007F60C5">
      <w:pPr>
        <w:spacing w:before="120" w:after="120"/>
        <w:jc w:val="center"/>
        <w:rPr>
          <w:b/>
        </w:rPr>
      </w:pPr>
    </w:p>
    <w:p w:rsidR="007F60C5" w:rsidRDefault="007F60C5" w:rsidP="007F60C5">
      <w:pPr>
        <w:spacing w:before="120" w:after="120"/>
        <w:jc w:val="center"/>
        <w:rPr>
          <w:b/>
        </w:rPr>
      </w:pPr>
      <w:r w:rsidRPr="007F60C5">
        <w:rPr>
          <w:b/>
        </w:rPr>
        <w:t>JEL Classification</w:t>
      </w:r>
    </w:p>
    <w:p w:rsidR="007F60C5" w:rsidRPr="004332E9" w:rsidRDefault="007F60C5" w:rsidP="007F60C5">
      <w:pPr>
        <w:spacing w:before="120" w:after="120"/>
        <w:jc w:val="center"/>
        <w:rPr>
          <w:b/>
          <w:sz w:val="12"/>
          <w:szCs w:val="12"/>
        </w:rPr>
      </w:pPr>
    </w:p>
    <w:p w:rsidR="007F60C5" w:rsidRPr="007F60C5" w:rsidRDefault="007F60C5" w:rsidP="007F60C5">
      <w:pPr>
        <w:jc w:val="center"/>
      </w:pPr>
      <w:r>
        <w:rPr>
          <w:lang w:val="it-IT"/>
        </w:rPr>
        <w:t>C52;</w:t>
      </w:r>
      <w:r w:rsidRPr="00B0497A">
        <w:rPr>
          <w:lang w:val="it-IT"/>
        </w:rPr>
        <w:t xml:space="preserve"> O1</w:t>
      </w:r>
      <w:r>
        <w:rPr>
          <w:lang w:val="it-IT"/>
        </w:rPr>
        <w:t>8; O31; N66;</w:t>
      </w:r>
      <w:r w:rsidRPr="00B0497A">
        <w:rPr>
          <w:lang w:val="it-IT"/>
        </w:rPr>
        <w:t xml:space="preserve"> R11</w:t>
      </w:r>
    </w:p>
    <w:p w:rsidR="007F60C5" w:rsidRDefault="007F60C5" w:rsidP="007F60C5"/>
    <w:p w:rsidR="004332E9" w:rsidRDefault="004332E9" w:rsidP="007F60C5"/>
    <w:p w:rsidR="004332E9" w:rsidRDefault="004332E9" w:rsidP="007F60C5"/>
    <w:p w:rsidR="004332E9" w:rsidRPr="007F60C5" w:rsidRDefault="004332E9" w:rsidP="007F60C5"/>
    <w:p w:rsidR="007F60C5" w:rsidRDefault="007F60C5" w:rsidP="004332E9">
      <w:pPr>
        <w:pStyle w:val="Heading1"/>
        <w:spacing w:before="0" w:beforeAutospacing="0" w:after="0" w:afterAutospacing="0"/>
        <w:jc w:val="center"/>
        <w:rPr>
          <w:sz w:val="24"/>
          <w:szCs w:val="24"/>
        </w:rPr>
      </w:pPr>
      <w:r w:rsidRPr="007F60C5">
        <w:rPr>
          <w:sz w:val="24"/>
          <w:szCs w:val="24"/>
        </w:rPr>
        <w:t>Keywords</w:t>
      </w:r>
    </w:p>
    <w:p w:rsidR="004332E9" w:rsidRPr="004332E9" w:rsidRDefault="004332E9" w:rsidP="004332E9">
      <w:pPr>
        <w:pStyle w:val="Heading1"/>
        <w:spacing w:before="0" w:beforeAutospacing="0" w:after="0" w:afterAutospacing="0"/>
        <w:jc w:val="center"/>
        <w:rPr>
          <w:sz w:val="12"/>
          <w:szCs w:val="12"/>
        </w:rPr>
      </w:pPr>
    </w:p>
    <w:p w:rsidR="007F60C5" w:rsidRDefault="007F60C5" w:rsidP="007F60C5">
      <w:pPr>
        <w:spacing w:line="276" w:lineRule="auto"/>
        <w:jc w:val="center"/>
        <w:rPr>
          <w:lang w:eastAsia="zh-CN"/>
        </w:rPr>
      </w:pPr>
      <w:proofErr w:type="gramStart"/>
      <w:r>
        <w:rPr>
          <w:lang w:eastAsia="zh-CN"/>
        </w:rPr>
        <w:t>convergence</w:t>
      </w:r>
      <w:proofErr w:type="gramEnd"/>
    </w:p>
    <w:p w:rsidR="007F60C5" w:rsidRDefault="007F60C5" w:rsidP="007F60C5">
      <w:pPr>
        <w:spacing w:line="276" w:lineRule="auto"/>
        <w:jc w:val="center"/>
        <w:rPr>
          <w:lang w:eastAsia="zh-CN"/>
        </w:rPr>
      </w:pPr>
      <w:proofErr w:type="gramStart"/>
      <w:r>
        <w:rPr>
          <w:lang w:eastAsia="zh-CN"/>
        </w:rPr>
        <w:t>economic</w:t>
      </w:r>
      <w:proofErr w:type="gramEnd"/>
      <w:r>
        <w:rPr>
          <w:lang w:eastAsia="zh-CN"/>
        </w:rPr>
        <w:t xml:space="preserve"> growth</w:t>
      </w:r>
    </w:p>
    <w:p w:rsidR="007F60C5" w:rsidRDefault="007F60C5" w:rsidP="007F60C5">
      <w:pPr>
        <w:spacing w:line="276" w:lineRule="auto"/>
        <w:jc w:val="center"/>
        <w:rPr>
          <w:lang w:eastAsia="zh-CN"/>
        </w:rPr>
      </w:pPr>
      <w:proofErr w:type="gramStart"/>
      <w:r>
        <w:rPr>
          <w:lang w:eastAsia="zh-CN"/>
        </w:rPr>
        <w:t>knowledge</w:t>
      </w:r>
      <w:proofErr w:type="gramEnd"/>
      <w:r w:rsidRPr="00FA317F">
        <w:rPr>
          <w:lang w:eastAsia="zh-CN"/>
        </w:rPr>
        <w:t xml:space="preserve"> externalities</w:t>
      </w:r>
    </w:p>
    <w:p w:rsidR="007F60C5" w:rsidRDefault="007F60C5" w:rsidP="007F60C5">
      <w:pPr>
        <w:spacing w:line="276" w:lineRule="auto"/>
        <w:jc w:val="center"/>
        <w:rPr>
          <w:lang w:eastAsia="zh-CN"/>
        </w:rPr>
      </w:pPr>
      <w:r>
        <w:rPr>
          <w:lang w:eastAsia="zh-CN"/>
        </w:rPr>
        <w:t>Brazil</w:t>
      </w:r>
    </w:p>
    <w:p w:rsidR="007F60C5" w:rsidRPr="007F60C5" w:rsidRDefault="007F60C5" w:rsidP="007F60C5">
      <w:pPr>
        <w:jc w:val="center"/>
      </w:pPr>
    </w:p>
    <w:p w:rsidR="007F60C5" w:rsidRPr="007F60C5" w:rsidRDefault="007F60C5" w:rsidP="007F60C5"/>
    <w:p w:rsidR="007F60C5" w:rsidRPr="007F60C5" w:rsidRDefault="007F60C5" w:rsidP="007F60C5">
      <w:pPr>
        <w:rPr>
          <w:b/>
        </w:rPr>
      </w:pPr>
    </w:p>
    <w:p w:rsidR="007F60C5" w:rsidRPr="007F60C5" w:rsidRDefault="007F60C5" w:rsidP="007F60C5">
      <w:pPr>
        <w:jc w:val="center"/>
        <w:rPr>
          <w:b/>
        </w:rPr>
      </w:pPr>
      <w:r w:rsidRPr="007F60C5">
        <w:rPr>
          <w:b/>
        </w:rPr>
        <w:t>Acknowledgements</w:t>
      </w:r>
    </w:p>
    <w:p w:rsidR="007F60C5" w:rsidRPr="004332E9" w:rsidRDefault="007F60C5" w:rsidP="007F60C5">
      <w:pPr>
        <w:jc w:val="center"/>
        <w:rPr>
          <w:b/>
          <w:sz w:val="12"/>
          <w:szCs w:val="12"/>
        </w:rPr>
      </w:pPr>
    </w:p>
    <w:p w:rsidR="007F60C5" w:rsidRPr="007F60C5" w:rsidRDefault="007F60C5" w:rsidP="007F60C5">
      <w:pPr>
        <w:pStyle w:val="FootnoteText"/>
        <w:jc w:val="both"/>
        <w:rPr>
          <w:sz w:val="22"/>
          <w:szCs w:val="22"/>
        </w:rPr>
      </w:pPr>
      <w:r w:rsidRPr="007F60C5">
        <w:rPr>
          <w:sz w:val="22"/>
          <w:szCs w:val="22"/>
        </w:rPr>
        <w:t>Earlier versions of the paper were presented at the 6</w:t>
      </w:r>
      <w:r w:rsidRPr="007F60C5">
        <w:rPr>
          <w:sz w:val="22"/>
          <w:szCs w:val="22"/>
          <w:vertAlign w:val="superscript"/>
        </w:rPr>
        <w:t>th</w:t>
      </w:r>
      <w:r w:rsidRPr="007F60C5">
        <w:rPr>
          <w:sz w:val="22"/>
          <w:szCs w:val="22"/>
        </w:rPr>
        <w:t xml:space="preserve"> Australasian Development Economics Workshop, 10-11 June 2010, Parramatta, Australia and at the 57</w:t>
      </w:r>
      <w:r w:rsidRPr="007F60C5">
        <w:rPr>
          <w:sz w:val="22"/>
          <w:szCs w:val="22"/>
          <w:vertAlign w:val="superscript"/>
        </w:rPr>
        <w:t>th</w:t>
      </w:r>
      <w:r w:rsidRPr="007F60C5">
        <w:rPr>
          <w:sz w:val="22"/>
          <w:szCs w:val="22"/>
        </w:rPr>
        <w:t xml:space="preserve"> North American meetings of the Regional Science Association International, 10-13 November 2010, Denver, USA. We thank the participants and an anonymous referee for helpful comments and suggestions. The first author also acknowledges the hospitality of the Faculty of Spatial Sciences at the University of Groningen during the revision of this paper.</w:t>
      </w:r>
    </w:p>
    <w:p w:rsidR="007F60C5" w:rsidRPr="007F60C5" w:rsidRDefault="007F60C5" w:rsidP="007F60C5">
      <w:pPr>
        <w:pStyle w:val="FootnoteText"/>
        <w:jc w:val="both"/>
        <w:rPr>
          <w:sz w:val="24"/>
          <w:szCs w:val="24"/>
        </w:rPr>
      </w:pPr>
    </w:p>
    <w:p w:rsidR="007F60C5" w:rsidRPr="007F60C5" w:rsidRDefault="007F60C5">
      <w:pPr>
        <w:rPr>
          <w:b/>
        </w:rPr>
      </w:pPr>
      <w:r w:rsidRPr="007F60C5">
        <w:rPr>
          <w:b/>
        </w:rPr>
        <w:br w:type="page"/>
      </w:r>
    </w:p>
    <w:p w:rsidR="00E82D9F" w:rsidRDefault="0089591C" w:rsidP="00A93AED">
      <w:pPr>
        <w:pStyle w:val="ListParagraph"/>
        <w:numPr>
          <w:ilvl w:val="0"/>
          <w:numId w:val="37"/>
        </w:numPr>
        <w:tabs>
          <w:tab w:val="left" w:pos="426"/>
        </w:tabs>
        <w:spacing w:line="276" w:lineRule="auto"/>
        <w:ind w:left="0" w:firstLine="0"/>
        <w:jc w:val="both"/>
        <w:rPr>
          <w:b/>
        </w:rPr>
      </w:pPr>
      <w:r w:rsidRPr="008B098C">
        <w:rPr>
          <w:b/>
        </w:rPr>
        <w:lastRenderedPageBreak/>
        <w:t>Introduction</w:t>
      </w:r>
    </w:p>
    <w:p w:rsidR="00C129F0" w:rsidRPr="00C129F0" w:rsidRDefault="00C129F0" w:rsidP="00C129F0">
      <w:pPr>
        <w:pStyle w:val="ListParagraph"/>
        <w:tabs>
          <w:tab w:val="left" w:pos="426"/>
        </w:tabs>
        <w:spacing w:line="276" w:lineRule="auto"/>
        <w:ind w:left="0"/>
        <w:jc w:val="both"/>
        <w:rPr>
          <w:b/>
          <w:sz w:val="12"/>
          <w:szCs w:val="12"/>
        </w:rPr>
      </w:pPr>
    </w:p>
    <w:p w:rsidR="00902035" w:rsidRDefault="00CE77FF" w:rsidP="00A93AED">
      <w:pPr>
        <w:pStyle w:val="ListParagraph"/>
        <w:spacing w:line="276" w:lineRule="auto"/>
        <w:ind w:left="0"/>
        <w:jc w:val="both"/>
      </w:pPr>
      <w:r w:rsidRPr="00FA317F">
        <w:t>Regional income convergence</w:t>
      </w:r>
      <w:r w:rsidRPr="00FA317F" w:rsidDel="00CE77FF">
        <w:t xml:space="preserve"> </w:t>
      </w:r>
      <w:r w:rsidR="004321B6" w:rsidRPr="00FA317F">
        <w:t xml:space="preserve">is </w:t>
      </w:r>
      <w:r w:rsidRPr="00FA317F">
        <w:t xml:space="preserve">a key area of </w:t>
      </w:r>
      <w:r w:rsidR="00F824DA">
        <w:t>concern</w:t>
      </w:r>
      <w:r w:rsidRPr="00FA317F">
        <w:t xml:space="preserve"> among economists </w:t>
      </w:r>
      <w:r w:rsidR="00880D61" w:rsidRPr="00FA317F">
        <w:t>(</w:t>
      </w:r>
      <w:proofErr w:type="spellStart"/>
      <w:r w:rsidR="00880D61" w:rsidRPr="00FA317F">
        <w:t>Barro</w:t>
      </w:r>
      <w:proofErr w:type="spellEnd"/>
      <w:r w:rsidR="00880D61" w:rsidRPr="00FA317F">
        <w:t xml:space="preserve"> </w:t>
      </w:r>
      <w:r w:rsidR="007F0DA3" w:rsidRPr="00FA317F">
        <w:t>&amp;</w:t>
      </w:r>
      <w:r w:rsidR="00880D61" w:rsidRPr="00FA317F">
        <w:t xml:space="preserve"> </w:t>
      </w:r>
      <w:proofErr w:type="spellStart"/>
      <w:r w:rsidR="00880D61" w:rsidRPr="00FA317F">
        <w:t>Sala</w:t>
      </w:r>
      <w:proofErr w:type="spellEnd"/>
      <w:r w:rsidR="00880D61" w:rsidRPr="00FA317F">
        <w:t>-</w:t>
      </w:r>
      <w:proofErr w:type="spellStart"/>
      <w:r w:rsidR="00880D61" w:rsidRPr="00FA317F">
        <w:t>i</w:t>
      </w:r>
      <w:proofErr w:type="spellEnd"/>
      <w:r w:rsidR="00880D61" w:rsidRPr="00FA317F">
        <w:t xml:space="preserve">-Martin, 2004). </w:t>
      </w:r>
      <w:r w:rsidRPr="00FA317F">
        <w:t>I</w:t>
      </w:r>
      <w:r w:rsidR="00902035" w:rsidRPr="00FA317F">
        <w:t xml:space="preserve">f regions with </w:t>
      </w:r>
      <w:r w:rsidR="00EA62D1" w:rsidRPr="00FA317F">
        <w:t>a lower real income per capita</w:t>
      </w:r>
      <w:r w:rsidR="00902035" w:rsidRPr="00FA317F">
        <w:t xml:space="preserve"> grow faster than those with </w:t>
      </w:r>
      <w:r w:rsidR="00EA62D1" w:rsidRPr="00FA317F">
        <w:t xml:space="preserve">a </w:t>
      </w:r>
      <w:r w:rsidR="00902035" w:rsidRPr="00FA317F">
        <w:t>high</w:t>
      </w:r>
      <w:r w:rsidRPr="00FA317F">
        <w:t>er</w:t>
      </w:r>
      <w:r w:rsidR="00902035" w:rsidRPr="00FA317F">
        <w:t xml:space="preserve"> </w:t>
      </w:r>
      <w:r w:rsidR="00EA62D1" w:rsidRPr="00FA317F">
        <w:t>real income per capita</w:t>
      </w:r>
      <w:r w:rsidR="000D729D" w:rsidRPr="00FA317F">
        <w:t>,</w:t>
      </w:r>
      <w:r w:rsidR="00902035" w:rsidRPr="00FA317F">
        <w:t xml:space="preserve"> </w:t>
      </w:r>
      <w:r w:rsidR="00880D61" w:rsidRPr="00FA317F">
        <w:t>economic growth ca</w:t>
      </w:r>
      <w:r w:rsidR="004321B6" w:rsidRPr="00FA317F">
        <w:t xml:space="preserve">n </w:t>
      </w:r>
      <w:r w:rsidR="00880D61" w:rsidRPr="00FA317F">
        <w:t xml:space="preserve">reduce </w:t>
      </w:r>
      <w:r w:rsidR="00A10620" w:rsidRPr="00FA317F">
        <w:t xml:space="preserve">interregional </w:t>
      </w:r>
      <w:r w:rsidR="0023751F" w:rsidRPr="00FA317F">
        <w:t xml:space="preserve">income </w:t>
      </w:r>
      <w:r w:rsidR="004321B6" w:rsidRPr="00FA317F">
        <w:t>inequality within a country</w:t>
      </w:r>
      <w:r w:rsidR="002E2AFD" w:rsidRPr="00FA317F">
        <w:t>.</w:t>
      </w:r>
      <w:r w:rsidR="004321B6" w:rsidRPr="00FA317F">
        <w:t xml:space="preserve"> </w:t>
      </w:r>
      <w:r w:rsidR="00902035" w:rsidRPr="00FA317F">
        <w:t xml:space="preserve">A standard model that explains the role of </w:t>
      </w:r>
      <w:r w:rsidR="00025167" w:rsidRPr="00FA317F">
        <w:t xml:space="preserve">knowledge </w:t>
      </w:r>
      <w:r w:rsidR="00902035" w:rsidRPr="00FA317F">
        <w:t xml:space="preserve">externalities in </w:t>
      </w:r>
      <w:r w:rsidR="00A10620" w:rsidRPr="00FA317F">
        <w:t xml:space="preserve">such </w:t>
      </w:r>
      <w:r w:rsidR="00902035" w:rsidRPr="00FA317F">
        <w:t xml:space="preserve">convergence is </w:t>
      </w:r>
      <w:r w:rsidR="002D58DD" w:rsidRPr="00FA317F">
        <w:t xml:space="preserve">the </w:t>
      </w:r>
      <w:proofErr w:type="spellStart"/>
      <w:r w:rsidR="00902035" w:rsidRPr="00FA317F">
        <w:t>Glaeser</w:t>
      </w:r>
      <w:proofErr w:type="spellEnd"/>
      <w:r w:rsidR="00902035" w:rsidRPr="00FA317F">
        <w:t xml:space="preserve"> </w:t>
      </w:r>
      <w:r w:rsidR="00902035" w:rsidRPr="00FA317F">
        <w:rPr>
          <w:i/>
          <w:iCs/>
        </w:rPr>
        <w:t>et al.</w:t>
      </w:r>
      <w:r w:rsidR="00902035" w:rsidRPr="00FA317F">
        <w:t xml:space="preserve"> (1992) model</w:t>
      </w:r>
      <w:r w:rsidR="0066108E" w:rsidRPr="00FA317F">
        <w:t xml:space="preserve"> (</w:t>
      </w:r>
      <w:r w:rsidR="00F824DA">
        <w:t>see also</w:t>
      </w:r>
      <w:r w:rsidR="001977EE" w:rsidRPr="00FA317F">
        <w:t xml:space="preserve"> Henderson </w:t>
      </w:r>
      <w:r w:rsidR="001977EE" w:rsidRPr="00FA317F">
        <w:rPr>
          <w:i/>
        </w:rPr>
        <w:t>et al</w:t>
      </w:r>
      <w:r w:rsidR="00A10620" w:rsidRPr="00FA317F">
        <w:rPr>
          <w:i/>
        </w:rPr>
        <w:t>.</w:t>
      </w:r>
      <w:r w:rsidR="001977EE" w:rsidRPr="00FA317F">
        <w:t xml:space="preserve">, 1995; </w:t>
      </w:r>
      <w:proofErr w:type="spellStart"/>
      <w:r w:rsidR="001977EE" w:rsidRPr="00FA317F">
        <w:t>Combes</w:t>
      </w:r>
      <w:proofErr w:type="spellEnd"/>
      <w:r w:rsidR="001977EE" w:rsidRPr="00FA317F">
        <w:t>, 2000</w:t>
      </w:r>
      <w:r w:rsidR="0066108E" w:rsidRPr="00FA317F">
        <w:t>)</w:t>
      </w:r>
      <w:r w:rsidR="00902035" w:rsidRPr="00FA317F">
        <w:t xml:space="preserve">. </w:t>
      </w:r>
      <w:r w:rsidR="00EA62D1" w:rsidRPr="00FA317F">
        <w:t>Using a simple Cobb-Douglas production function, th</w:t>
      </w:r>
      <w:r w:rsidR="000C0101" w:rsidRPr="00FA317F">
        <w:t>is</w:t>
      </w:r>
      <w:r w:rsidR="00EA62D1" w:rsidRPr="00FA317F">
        <w:t xml:space="preserve"> model shows that the growth rate of employment is positively related to growth of technolog</w:t>
      </w:r>
      <w:r w:rsidR="000C0101" w:rsidRPr="00FA317F">
        <w:t>ical knowhow</w:t>
      </w:r>
      <w:r w:rsidR="00EA62D1" w:rsidRPr="00FA317F">
        <w:t xml:space="preserve"> and negatively related to the growth rate of wages. Assuming that wages are spatially equali</w:t>
      </w:r>
      <w:r w:rsidR="00805AC2">
        <w:t>s</w:t>
      </w:r>
      <w:r w:rsidR="00EA62D1" w:rsidRPr="00FA317F">
        <w:t xml:space="preserve">ed, employment growth differentials are then explained </w:t>
      </w:r>
      <w:r w:rsidR="000C0101" w:rsidRPr="00FA317F">
        <w:t xml:space="preserve">by </w:t>
      </w:r>
      <w:r w:rsidR="00EA62D1" w:rsidRPr="00FA317F">
        <w:t xml:space="preserve">the </w:t>
      </w:r>
      <w:r w:rsidR="000C0101" w:rsidRPr="00FA317F">
        <w:t xml:space="preserve">region-specific </w:t>
      </w:r>
      <w:r w:rsidR="00EA62D1" w:rsidRPr="00FA317F">
        <w:t>impact</w:t>
      </w:r>
      <w:r w:rsidR="000C0101" w:rsidRPr="00FA317F">
        <w:t xml:space="preserve"> </w:t>
      </w:r>
      <w:r w:rsidR="00EA62D1" w:rsidRPr="00FA317F">
        <w:t xml:space="preserve">of </w:t>
      </w:r>
      <w:r w:rsidR="000C0101" w:rsidRPr="00FA317F">
        <w:t xml:space="preserve">knowledge externalities due to regional </w:t>
      </w:r>
      <w:r w:rsidR="00902035" w:rsidRPr="00FA317F">
        <w:t>speciali</w:t>
      </w:r>
      <w:r w:rsidR="00805AC2">
        <w:t>s</w:t>
      </w:r>
      <w:r w:rsidR="00902035" w:rsidRPr="00FA317F">
        <w:t>ation, competition and diversity</w:t>
      </w:r>
      <w:r w:rsidR="00EA62D1" w:rsidRPr="00FA317F">
        <w:t>, based on the</w:t>
      </w:r>
      <w:r w:rsidR="00722755" w:rsidRPr="00FA317F">
        <w:t xml:space="preserve"> </w:t>
      </w:r>
      <w:r w:rsidR="00902035" w:rsidRPr="00FA317F">
        <w:t>theories of Marshall-Arrow-</w:t>
      </w:r>
      <w:proofErr w:type="spellStart"/>
      <w:r w:rsidR="00902035" w:rsidRPr="00FA317F">
        <w:t>Romer</w:t>
      </w:r>
      <w:proofErr w:type="spellEnd"/>
      <w:r w:rsidR="00902035" w:rsidRPr="00FA317F">
        <w:t xml:space="preserve"> (MAR)</w:t>
      </w:r>
      <w:r w:rsidR="00EA62D1" w:rsidRPr="00FA317F">
        <w:t>,</w:t>
      </w:r>
      <w:r w:rsidR="00902035" w:rsidRPr="00FA317F">
        <w:t xml:space="preserve"> Porter and Jacobs. </w:t>
      </w:r>
      <w:r w:rsidR="00D17058" w:rsidRPr="00FA317F">
        <w:t xml:space="preserve">The </w:t>
      </w:r>
      <w:proofErr w:type="spellStart"/>
      <w:r w:rsidR="00D17058" w:rsidRPr="00FA317F">
        <w:t>Glaeser</w:t>
      </w:r>
      <w:proofErr w:type="spellEnd"/>
      <w:r w:rsidR="00D17058" w:rsidRPr="00FA317F">
        <w:t xml:space="preserve"> </w:t>
      </w:r>
      <w:r w:rsidR="00D17058" w:rsidRPr="00FA317F">
        <w:rPr>
          <w:i/>
          <w:iCs/>
        </w:rPr>
        <w:t>et al.</w:t>
      </w:r>
      <w:r w:rsidR="00D17058" w:rsidRPr="00FA317F">
        <w:t xml:space="preserve"> (1992) model aims to quantify each of these effects separately.</w:t>
      </w:r>
    </w:p>
    <w:p w:rsidR="00877A16" w:rsidRPr="00FA317F" w:rsidRDefault="00877A16" w:rsidP="00877A16">
      <w:pPr>
        <w:pStyle w:val="ListParagraph"/>
        <w:spacing w:line="276" w:lineRule="auto"/>
        <w:ind w:left="0" w:firstLine="284"/>
        <w:jc w:val="both"/>
      </w:pPr>
    </w:p>
    <w:p w:rsidR="00840E35" w:rsidRDefault="002D58DD" w:rsidP="00877A16">
      <w:pPr>
        <w:pStyle w:val="ListParagraph"/>
        <w:spacing w:line="276" w:lineRule="auto"/>
        <w:ind w:left="0" w:firstLine="360"/>
        <w:jc w:val="both"/>
      </w:pPr>
      <w:r w:rsidRPr="00FA317F">
        <w:t xml:space="preserve">The theories advocated by </w:t>
      </w:r>
      <w:proofErr w:type="spellStart"/>
      <w:r w:rsidR="00840E35" w:rsidRPr="00FA317F">
        <w:t>Romer</w:t>
      </w:r>
      <w:proofErr w:type="spellEnd"/>
      <w:r w:rsidR="00840E35" w:rsidRPr="00FA317F">
        <w:t xml:space="preserve"> (1986) and Porter (1990) </w:t>
      </w:r>
      <w:r w:rsidR="001977EE" w:rsidRPr="00FA317F">
        <w:t>argue</w:t>
      </w:r>
      <w:r w:rsidR="00840E35" w:rsidRPr="00FA317F">
        <w:t xml:space="preserve"> that </w:t>
      </w:r>
      <w:r w:rsidRPr="00FA317F">
        <w:t xml:space="preserve">the </w:t>
      </w:r>
      <w:r w:rsidR="00840E35" w:rsidRPr="00FA317F">
        <w:t>concentration of speciali</w:t>
      </w:r>
      <w:r w:rsidR="00805AC2">
        <w:t>s</w:t>
      </w:r>
      <w:r w:rsidR="00840E35" w:rsidRPr="00FA317F">
        <w:t>ed industries in a</w:t>
      </w:r>
      <w:r w:rsidR="00805AC2">
        <w:t>n area tends to benefit growth in</w:t>
      </w:r>
      <w:r w:rsidR="00840E35" w:rsidRPr="00FA317F">
        <w:t xml:space="preserve"> that area because knowledge externalities enhance </w:t>
      </w:r>
      <w:r w:rsidRPr="00FA317F">
        <w:t xml:space="preserve">the </w:t>
      </w:r>
      <w:r w:rsidR="00840E35" w:rsidRPr="00FA317F">
        <w:t>productivity of clustered firms.</w:t>
      </w:r>
      <w:r w:rsidR="000C0101" w:rsidRPr="00FA317F">
        <w:rPr>
          <w:rStyle w:val="FootnoteReference"/>
        </w:rPr>
        <w:footnoteReference w:id="1"/>
      </w:r>
      <w:r w:rsidR="00840E35" w:rsidRPr="00FA317F">
        <w:t xml:space="preserve"> In contrast, Jacobs (1969) </w:t>
      </w:r>
      <w:r w:rsidRPr="00FA317F">
        <w:t>argues</w:t>
      </w:r>
      <w:r w:rsidR="00840E35" w:rsidRPr="00FA317F">
        <w:t xml:space="preserve"> that a cluster of speciali</w:t>
      </w:r>
      <w:r w:rsidR="00805AC2">
        <w:t>s</w:t>
      </w:r>
      <w:r w:rsidR="00840E35" w:rsidRPr="00FA317F">
        <w:t xml:space="preserve">ed industries in a specific area </w:t>
      </w:r>
      <w:r w:rsidRPr="00FA317F">
        <w:t xml:space="preserve">can actually </w:t>
      </w:r>
      <w:r w:rsidR="00840E35" w:rsidRPr="00FA317F">
        <w:t>reduce growth because speciali</w:t>
      </w:r>
      <w:r w:rsidR="00805AC2">
        <w:t>s</w:t>
      </w:r>
      <w:r w:rsidR="00840E35" w:rsidRPr="00FA317F">
        <w:t xml:space="preserve">ation tends to inhibit competition </w:t>
      </w:r>
      <w:r w:rsidR="001977EE" w:rsidRPr="00FA317F">
        <w:t>among</w:t>
      </w:r>
      <w:r w:rsidR="00840E35" w:rsidRPr="00FA317F">
        <w:t xml:space="preserve"> firms</w:t>
      </w:r>
      <w:r w:rsidR="00D17058" w:rsidRPr="00FA317F">
        <w:t>,</w:t>
      </w:r>
      <w:r w:rsidRPr="00FA317F">
        <w:t xml:space="preserve"> thereby</w:t>
      </w:r>
      <w:r w:rsidR="003A4545" w:rsidRPr="00FA317F">
        <w:t xml:space="preserve"> </w:t>
      </w:r>
      <w:r w:rsidR="00840E35" w:rsidRPr="00FA317F">
        <w:t xml:space="preserve">limiting regional growth potential. When competition </w:t>
      </w:r>
      <w:r w:rsidR="00E9557B" w:rsidRPr="00FA317F">
        <w:t>among</w:t>
      </w:r>
      <w:r w:rsidR="00840E35" w:rsidRPr="00FA317F">
        <w:t xml:space="preserve"> firms is limited, there is no place for diversity</w:t>
      </w:r>
      <w:r w:rsidR="00D17058" w:rsidRPr="00FA317F">
        <w:t xml:space="preserve"> and</w:t>
      </w:r>
      <w:r w:rsidR="00840E35" w:rsidRPr="00FA317F">
        <w:t xml:space="preserve"> the effects of knowledge will be </w:t>
      </w:r>
      <w:r w:rsidRPr="00FA317F">
        <w:t>impeded insofar as not</w:t>
      </w:r>
      <w:r w:rsidR="00840E35" w:rsidRPr="00FA317F">
        <w:t xml:space="preserve"> reach</w:t>
      </w:r>
      <w:r w:rsidRPr="00FA317F">
        <w:t>ing</w:t>
      </w:r>
      <w:r w:rsidR="00840E35" w:rsidRPr="00FA317F">
        <w:t xml:space="preserve"> out </w:t>
      </w:r>
      <w:r w:rsidRPr="00FA317F">
        <w:t>to br</w:t>
      </w:r>
      <w:r w:rsidR="003A4545" w:rsidRPr="00FA317F">
        <w:t>oa</w:t>
      </w:r>
      <w:r w:rsidRPr="00FA317F">
        <w:t xml:space="preserve">der </w:t>
      </w:r>
      <w:r w:rsidR="00840E35" w:rsidRPr="00FA317F">
        <w:t xml:space="preserve">sectors. Thus, the expected relationship between </w:t>
      </w:r>
      <w:r w:rsidR="003A4545" w:rsidRPr="00FA317F">
        <w:t xml:space="preserve">manufacturing </w:t>
      </w:r>
      <w:r w:rsidR="0066108E" w:rsidRPr="00FA317F">
        <w:t xml:space="preserve">industry </w:t>
      </w:r>
      <w:r w:rsidR="00840E35" w:rsidRPr="00FA317F">
        <w:t>employment growth</w:t>
      </w:r>
      <w:r w:rsidR="00E9557B" w:rsidRPr="00FA317F">
        <w:t xml:space="preserve"> and dynamic </w:t>
      </w:r>
      <w:r w:rsidR="003A4545" w:rsidRPr="00FA317F">
        <w:t xml:space="preserve">knowledge </w:t>
      </w:r>
      <w:r w:rsidR="00E9557B" w:rsidRPr="00FA317F">
        <w:t>externalities</w:t>
      </w:r>
      <w:r w:rsidR="00840E35" w:rsidRPr="00FA317F">
        <w:t xml:space="preserve"> </w:t>
      </w:r>
      <w:r w:rsidR="00981325" w:rsidRPr="00FA317F">
        <w:t xml:space="preserve">and competition </w:t>
      </w:r>
      <w:r w:rsidR="00840E35" w:rsidRPr="00FA317F">
        <w:t>is</w:t>
      </w:r>
      <w:r w:rsidR="00722755" w:rsidRPr="00FA317F">
        <w:t xml:space="preserve"> </w:t>
      </w:r>
      <w:r w:rsidR="00981325" w:rsidRPr="00FA317F">
        <w:t>ambiguous</w:t>
      </w:r>
      <w:r w:rsidR="00722755" w:rsidRPr="00FA317F">
        <w:t xml:space="preserve"> </w:t>
      </w:r>
      <w:r w:rsidR="003A4545" w:rsidRPr="00FA317F">
        <w:t xml:space="preserve">because it depends on whether the adopted perspective is that of MAR, Porter or Jacobs </w:t>
      </w:r>
      <w:r w:rsidR="00840E35" w:rsidRPr="00FA317F">
        <w:t>(</w:t>
      </w:r>
      <w:r w:rsidR="00793469">
        <w:t>D</w:t>
      </w:r>
      <w:r w:rsidR="009C1C8B" w:rsidRPr="00FA317F">
        <w:t xml:space="preserve">e </w:t>
      </w:r>
      <w:proofErr w:type="spellStart"/>
      <w:r w:rsidR="00840E35" w:rsidRPr="00FA317F">
        <w:t>Groot</w:t>
      </w:r>
      <w:proofErr w:type="spellEnd"/>
      <w:r w:rsidR="00D17058" w:rsidRPr="00FA317F">
        <w:t xml:space="preserve"> </w:t>
      </w:r>
      <w:r w:rsidR="00D17058" w:rsidRPr="00FA317F">
        <w:rPr>
          <w:i/>
        </w:rPr>
        <w:t>et al.</w:t>
      </w:r>
      <w:r w:rsidR="0037797D" w:rsidRPr="00FA317F">
        <w:rPr>
          <w:i/>
        </w:rPr>
        <w:t>,</w:t>
      </w:r>
      <w:r w:rsidR="00840E35" w:rsidRPr="00FA317F">
        <w:t xml:space="preserve"> 2009, p. 264).</w:t>
      </w:r>
    </w:p>
    <w:p w:rsidR="00877A16" w:rsidRPr="00FA317F" w:rsidRDefault="00877A16" w:rsidP="00877A16">
      <w:pPr>
        <w:pStyle w:val="ListParagraph"/>
        <w:spacing w:line="276" w:lineRule="auto"/>
        <w:ind w:left="0" w:firstLine="360"/>
        <w:jc w:val="both"/>
      </w:pPr>
    </w:p>
    <w:p w:rsidR="007B5715" w:rsidRDefault="00D17058" w:rsidP="00877A16">
      <w:pPr>
        <w:pStyle w:val="ListParagraph"/>
        <w:spacing w:line="276" w:lineRule="auto"/>
        <w:ind w:left="0" w:firstLine="360"/>
        <w:jc w:val="both"/>
      </w:pPr>
      <w:r w:rsidRPr="00FA317F">
        <w:t>Despite the international acceptance and utili</w:t>
      </w:r>
      <w:r w:rsidR="00805AC2">
        <w:t>s</w:t>
      </w:r>
      <w:r w:rsidRPr="00FA317F">
        <w:t xml:space="preserve">ation of the </w:t>
      </w:r>
      <w:proofErr w:type="spellStart"/>
      <w:r w:rsidRPr="00FA317F">
        <w:t>Glaeser</w:t>
      </w:r>
      <w:proofErr w:type="spellEnd"/>
      <w:r w:rsidRPr="00FA317F">
        <w:t xml:space="preserve"> </w:t>
      </w:r>
      <w:r w:rsidRPr="00FA317F">
        <w:rPr>
          <w:i/>
          <w:iCs/>
        </w:rPr>
        <w:t>et al.</w:t>
      </w:r>
      <w:r w:rsidRPr="00FA317F">
        <w:t xml:space="preserve"> (1992) empirical model of the impact of these knowledge externalities, the model ha</w:t>
      </w:r>
      <w:r w:rsidR="00805AC2">
        <w:t>s</w:t>
      </w:r>
      <w:r w:rsidRPr="00FA317F">
        <w:t xml:space="preserve"> not yet been applied to Brazil. The present paper therefore estimates the model for Brazil. </w:t>
      </w:r>
      <w:r w:rsidR="003A4545" w:rsidRPr="00FA317F">
        <w:t xml:space="preserve">There has been significant income convergence among </w:t>
      </w:r>
      <w:r w:rsidR="001839E4" w:rsidRPr="00FA317F">
        <w:t xml:space="preserve">Brazilian states </w:t>
      </w:r>
      <w:r w:rsidR="003A4545" w:rsidRPr="00FA317F">
        <w:t xml:space="preserve">in recent decades. </w:t>
      </w:r>
      <w:r w:rsidR="00805AC2">
        <w:t>T</w:t>
      </w:r>
      <w:r w:rsidR="003A4545" w:rsidRPr="00FA317F">
        <w:t xml:space="preserve">his </w:t>
      </w:r>
      <w:r w:rsidR="001839E4" w:rsidRPr="00FA317F">
        <w:t>paper focus</w:t>
      </w:r>
      <w:r w:rsidR="00805AC2">
        <w:t>es</w:t>
      </w:r>
      <w:r w:rsidR="001839E4" w:rsidRPr="00FA317F">
        <w:t xml:space="preserve"> on the role played by knowledge externalit</w:t>
      </w:r>
      <w:r w:rsidRPr="00FA317F">
        <w:t xml:space="preserve">ies </w:t>
      </w:r>
      <w:r w:rsidR="001839E4" w:rsidRPr="00FA317F">
        <w:t xml:space="preserve">on </w:t>
      </w:r>
      <w:r w:rsidR="003A4545" w:rsidRPr="00FA317F">
        <w:t xml:space="preserve">growth in </w:t>
      </w:r>
      <w:r w:rsidR="001839E4" w:rsidRPr="00FA317F">
        <w:t>manufacturing industry employment</w:t>
      </w:r>
      <w:r w:rsidRPr="00FA317F">
        <w:t xml:space="preserve"> </w:t>
      </w:r>
      <w:r w:rsidR="003A4545" w:rsidRPr="00FA317F">
        <w:t>and</w:t>
      </w:r>
      <w:r w:rsidRPr="00FA317F">
        <w:t>,</w:t>
      </w:r>
      <w:r w:rsidR="003A4545" w:rsidRPr="00FA317F">
        <w:t xml:space="preserve"> by implication</w:t>
      </w:r>
      <w:r w:rsidRPr="00FA317F">
        <w:t>,</w:t>
      </w:r>
      <w:r w:rsidR="003A4545" w:rsidRPr="00FA317F">
        <w:t xml:space="preserve"> real incomes</w:t>
      </w:r>
      <w:r w:rsidRPr="00FA317F">
        <w:t xml:space="preserve"> </w:t>
      </w:r>
      <w:r w:rsidR="001839E4" w:rsidRPr="00FA317F">
        <w:t xml:space="preserve">over the period 1981 to 2006. </w:t>
      </w:r>
      <w:r w:rsidR="003A4545" w:rsidRPr="00FA317F">
        <w:t xml:space="preserve">While </w:t>
      </w:r>
      <w:r w:rsidRPr="00FA317F">
        <w:t xml:space="preserve">there are </w:t>
      </w:r>
      <w:r w:rsidR="00681263" w:rsidRPr="00FA317F">
        <w:t xml:space="preserve">many studies </w:t>
      </w:r>
      <w:r w:rsidR="001839E4" w:rsidRPr="00FA317F">
        <w:t>o</w:t>
      </w:r>
      <w:r w:rsidRPr="00FA317F">
        <w:t>f</w:t>
      </w:r>
      <w:r w:rsidR="001839E4" w:rsidRPr="00FA317F">
        <w:t xml:space="preserve"> </w:t>
      </w:r>
      <w:r w:rsidR="00681263" w:rsidRPr="00FA317F">
        <w:t xml:space="preserve">economic growth, convergence and regional </w:t>
      </w:r>
      <w:r w:rsidR="00E90050" w:rsidRPr="00FA317F">
        <w:t xml:space="preserve">income </w:t>
      </w:r>
      <w:r w:rsidR="00681263" w:rsidRPr="00FA317F">
        <w:t>inequality in Brazil</w:t>
      </w:r>
      <w:r w:rsidR="003A4545" w:rsidRPr="00FA317F">
        <w:t xml:space="preserve">, none </w:t>
      </w:r>
      <w:r w:rsidRPr="00FA317F">
        <w:t xml:space="preserve">to date </w:t>
      </w:r>
      <w:r w:rsidR="00805AC2">
        <w:t xml:space="preserve">has </w:t>
      </w:r>
      <w:r w:rsidR="003A4545" w:rsidRPr="00FA317F">
        <w:t xml:space="preserve">adopted the </w:t>
      </w:r>
      <w:proofErr w:type="spellStart"/>
      <w:r w:rsidR="00681263" w:rsidRPr="00FA317F">
        <w:t>Glaeser</w:t>
      </w:r>
      <w:proofErr w:type="spellEnd"/>
      <w:r w:rsidR="00681263" w:rsidRPr="00FA317F">
        <w:t xml:space="preserve"> </w:t>
      </w:r>
      <w:r w:rsidR="00681263" w:rsidRPr="00FA317F">
        <w:rPr>
          <w:i/>
          <w:iCs/>
        </w:rPr>
        <w:t>et al.</w:t>
      </w:r>
      <w:r w:rsidR="00681263" w:rsidRPr="00FA317F">
        <w:t xml:space="preserve"> (1992) </w:t>
      </w:r>
      <w:r w:rsidR="00F26BCA" w:rsidRPr="00FA317F">
        <w:t>model</w:t>
      </w:r>
      <w:r w:rsidR="00681263" w:rsidRPr="00FA317F">
        <w:t xml:space="preserve">. </w:t>
      </w:r>
      <w:r w:rsidR="00F824DA">
        <w:t>To assess robustness of the results, w</w:t>
      </w:r>
      <w:r w:rsidRPr="00FA317F">
        <w:t>e employ</w:t>
      </w:r>
      <w:r w:rsidR="00F824DA">
        <w:t xml:space="preserve"> </w:t>
      </w:r>
      <w:r w:rsidR="001839E4" w:rsidRPr="00FA317F">
        <w:t xml:space="preserve">a number of </w:t>
      </w:r>
      <w:r w:rsidR="00F26BCA" w:rsidRPr="00FA317F">
        <w:t xml:space="preserve">common empirical estimation </w:t>
      </w:r>
      <w:r w:rsidR="007B5715" w:rsidRPr="00FA317F">
        <w:t>approaches</w:t>
      </w:r>
      <w:r w:rsidR="00F26BCA" w:rsidRPr="00FA317F">
        <w:t>, based on cross-section data, panel data and pooled</w:t>
      </w:r>
      <w:r w:rsidRPr="00FA317F">
        <w:t>-periods</w:t>
      </w:r>
      <w:r w:rsidR="00F26BCA" w:rsidRPr="00FA317F">
        <w:t xml:space="preserve"> </w:t>
      </w:r>
      <w:r w:rsidRPr="00FA317F">
        <w:t xml:space="preserve">cross-section </w:t>
      </w:r>
      <w:r w:rsidR="00F26BCA" w:rsidRPr="00FA317F">
        <w:t xml:space="preserve">data. </w:t>
      </w:r>
      <w:r w:rsidR="001839E4" w:rsidRPr="00FA317F">
        <w:t xml:space="preserve"> </w:t>
      </w:r>
    </w:p>
    <w:p w:rsidR="00877A16" w:rsidRPr="00FA317F" w:rsidRDefault="00877A16" w:rsidP="00877A16">
      <w:pPr>
        <w:pStyle w:val="ListParagraph"/>
        <w:spacing w:line="276" w:lineRule="auto"/>
        <w:ind w:left="0" w:firstLine="360"/>
        <w:jc w:val="both"/>
      </w:pPr>
    </w:p>
    <w:p w:rsidR="001E70C4" w:rsidRPr="00FA317F" w:rsidRDefault="001839E4" w:rsidP="00877A16">
      <w:pPr>
        <w:pStyle w:val="ListParagraph"/>
        <w:spacing w:line="276" w:lineRule="auto"/>
        <w:ind w:left="0" w:firstLine="360"/>
        <w:jc w:val="both"/>
      </w:pPr>
      <w:r w:rsidRPr="00FA317F">
        <w:t xml:space="preserve">The paper is structured as follows. The following section discusses the background literature on regional income convergence in Brazil. </w:t>
      </w:r>
      <w:r w:rsidR="008B098C" w:rsidRPr="00FA317F">
        <w:t xml:space="preserve">Section </w:t>
      </w:r>
      <w:r w:rsidR="008B098C">
        <w:t>3</w:t>
      </w:r>
      <w:r w:rsidR="008B098C" w:rsidRPr="00FA317F">
        <w:t xml:space="preserve"> describes the data used and their sources. </w:t>
      </w:r>
      <w:r w:rsidRPr="00FA317F">
        <w:t xml:space="preserve">Section </w:t>
      </w:r>
      <w:r w:rsidR="008B098C">
        <w:t>4</w:t>
      </w:r>
      <w:r w:rsidRPr="00FA317F">
        <w:t xml:space="preserve"> </w:t>
      </w:r>
      <w:r w:rsidR="00F26BCA" w:rsidRPr="00FA317F">
        <w:t>provides a descriptive analysis of</w:t>
      </w:r>
      <w:r w:rsidR="00D04863" w:rsidRPr="00FA317F">
        <w:t xml:space="preserve"> </w:t>
      </w:r>
      <w:r w:rsidR="00DF439F" w:rsidRPr="00FA317F">
        <w:t xml:space="preserve">regional growth in Brazil. </w:t>
      </w:r>
      <w:r w:rsidR="0064510F" w:rsidRPr="00FA317F">
        <w:t xml:space="preserve">Section </w:t>
      </w:r>
      <w:r w:rsidR="00FA317F">
        <w:t>5</w:t>
      </w:r>
      <w:r w:rsidRPr="00FA317F">
        <w:t xml:space="preserve"> </w:t>
      </w:r>
      <w:r w:rsidR="0064510F" w:rsidRPr="00FA317F">
        <w:t>reports and discusses the regression</w:t>
      </w:r>
      <w:r w:rsidR="0084096F" w:rsidRPr="00FA317F">
        <w:t xml:space="preserve"> results</w:t>
      </w:r>
      <w:r w:rsidR="000E5AEC" w:rsidRPr="00FA317F">
        <w:t xml:space="preserve">. </w:t>
      </w:r>
      <w:r w:rsidR="00B95B51" w:rsidRPr="00FA317F">
        <w:t xml:space="preserve">Lastly, </w:t>
      </w:r>
      <w:r w:rsidR="000E5AEC" w:rsidRPr="00FA317F">
        <w:t xml:space="preserve">section </w:t>
      </w:r>
      <w:r w:rsidR="00FA317F">
        <w:t>6</w:t>
      </w:r>
      <w:r w:rsidRPr="00FA317F">
        <w:t xml:space="preserve"> </w:t>
      </w:r>
      <w:r w:rsidR="00F26BCA" w:rsidRPr="00FA317F">
        <w:t>provides concluding comments</w:t>
      </w:r>
      <w:r w:rsidR="00FE35DF" w:rsidRPr="00FA317F">
        <w:t>.</w:t>
      </w:r>
      <w:r w:rsidR="006673A6" w:rsidRPr="00FA317F">
        <w:t xml:space="preserve"> </w:t>
      </w:r>
    </w:p>
    <w:p w:rsidR="000E5AEC" w:rsidRDefault="000E5AEC" w:rsidP="00877A16">
      <w:pPr>
        <w:pStyle w:val="ListParagraph"/>
        <w:spacing w:line="276" w:lineRule="auto"/>
        <w:ind w:left="0"/>
        <w:jc w:val="both"/>
        <w:rPr>
          <w:b/>
        </w:rPr>
      </w:pPr>
    </w:p>
    <w:p w:rsidR="00877A16" w:rsidRPr="008964B6" w:rsidRDefault="00877A16" w:rsidP="00877A16">
      <w:pPr>
        <w:pStyle w:val="ListParagraph"/>
        <w:spacing w:line="276" w:lineRule="auto"/>
        <w:ind w:left="0"/>
        <w:jc w:val="both"/>
        <w:rPr>
          <w:b/>
        </w:rPr>
      </w:pPr>
    </w:p>
    <w:p w:rsidR="001839E4" w:rsidRDefault="001839E4" w:rsidP="00A93AED">
      <w:pPr>
        <w:pStyle w:val="ListParagraph"/>
        <w:numPr>
          <w:ilvl w:val="0"/>
          <w:numId w:val="37"/>
        </w:numPr>
        <w:spacing w:line="276" w:lineRule="auto"/>
        <w:ind w:left="284" w:hanging="284"/>
        <w:jc w:val="both"/>
        <w:rPr>
          <w:b/>
        </w:rPr>
      </w:pPr>
      <w:r w:rsidRPr="008B098C">
        <w:rPr>
          <w:b/>
        </w:rPr>
        <w:lastRenderedPageBreak/>
        <w:t>Literature</w:t>
      </w:r>
    </w:p>
    <w:p w:rsidR="00A93AED" w:rsidRPr="00A93AED" w:rsidRDefault="00A93AED" w:rsidP="00A93AED">
      <w:pPr>
        <w:pStyle w:val="ListParagraph"/>
        <w:spacing w:line="276" w:lineRule="auto"/>
        <w:ind w:left="284"/>
        <w:jc w:val="both"/>
        <w:rPr>
          <w:b/>
          <w:sz w:val="12"/>
          <w:szCs w:val="12"/>
        </w:rPr>
      </w:pPr>
    </w:p>
    <w:p w:rsidR="001839E4" w:rsidRPr="00024000" w:rsidRDefault="001839E4" w:rsidP="00A93AED">
      <w:pPr>
        <w:pStyle w:val="ListParagraph"/>
        <w:spacing w:line="276" w:lineRule="auto"/>
        <w:ind w:left="0"/>
        <w:jc w:val="both"/>
        <w:rPr>
          <w:lang w:eastAsia="zh-CN"/>
        </w:rPr>
      </w:pPr>
      <w:r w:rsidRPr="00024000">
        <w:t>Regional income convergence in Brazil has been widely studied</w:t>
      </w:r>
      <w:r w:rsidR="00F26BCA" w:rsidRPr="00024000">
        <w:t>.</w:t>
      </w:r>
      <w:r w:rsidRPr="00024000">
        <w:t xml:space="preserve"> </w:t>
      </w:r>
      <w:r w:rsidR="00F26BCA" w:rsidRPr="00024000">
        <w:t>T</w:t>
      </w:r>
      <w:r w:rsidRPr="00024000">
        <w:t xml:space="preserve">he literature </w:t>
      </w:r>
      <w:r w:rsidR="00F26BCA" w:rsidRPr="00024000">
        <w:t>has taken</w:t>
      </w:r>
      <w:r w:rsidRPr="00024000">
        <w:t xml:space="preserve"> four approaches. The first approach estimates regressions models using cross-section data. These regressions utili</w:t>
      </w:r>
      <w:r w:rsidR="00805AC2">
        <w:t>s</w:t>
      </w:r>
      <w:r w:rsidRPr="00024000">
        <w:t xml:space="preserve">e the growth of per capita income over a given period </w:t>
      </w:r>
      <w:r w:rsidR="00F26BCA" w:rsidRPr="00024000">
        <w:t xml:space="preserve">in a region </w:t>
      </w:r>
      <w:r w:rsidRPr="00024000">
        <w:t>as the dependent variable</w:t>
      </w:r>
      <w:r w:rsidR="00F26BCA" w:rsidRPr="00024000">
        <w:t xml:space="preserve"> and assume that this is negatively related</w:t>
      </w:r>
      <w:r w:rsidRPr="00024000">
        <w:t xml:space="preserve"> </w:t>
      </w:r>
      <w:r w:rsidR="00F26BCA" w:rsidRPr="00024000">
        <w:t>to</w:t>
      </w:r>
      <w:r w:rsidRPr="00024000">
        <w:t xml:space="preserve"> initial per capita income</w:t>
      </w:r>
      <w:r w:rsidR="0037797D" w:rsidRPr="00024000">
        <w:t xml:space="preserve">. This negative relationship </w:t>
      </w:r>
      <w:r w:rsidR="00F26BCA" w:rsidRPr="00024000">
        <w:t>is referred to as beta convergence</w:t>
      </w:r>
      <w:r w:rsidRPr="00024000">
        <w:t xml:space="preserve"> (</w:t>
      </w:r>
      <w:proofErr w:type="spellStart"/>
      <w:r w:rsidRPr="00024000">
        <w:t>Azzoni</w:t>
      </w:r>
      <w:proofErr w:type="spellEnd"/>
      <w:r w:rsidRPr="00024000">
        <w:t xml:space="preserve">, 1999; </w:t>
      </w:r>
      <w:proofErr w:type="spellStart"/>
      <w:r w:rsidRPr="00024000">
        <w:t>Azzoni</w:t>
      </w:r>
      <w:proofErr w:type="spellEnd"/>
      <w:r w:rsidRPr="00024000">
        <w:t>, 2001, 2003</w:t>
      </w:r>
      <w:r w:rsidR="00C86F55" w:rsidRPr="00024000">
        <w:t xml:space="preserve">; </w:t>
      </w:r>
      <w:proofErr w:type="spellStart"/>
      <w:r w:rsidR="00C86F55" w:rsidRPr="00024000">
        <w:rPr>
          <w:lang w:eastAsia="zh-CN"/>
        </w:rPr>
        <w:t>Silveira-Neto</w:t>
      </w:r>
      <w:proofErr w:type="spellEnd"/>
      <w:r w:rsidR="00C86F55" w:rsidRPr="00024000">
        <w:rPr>
          <w:lang w:eastAsia="zh-CN"/>
        </w:rPr>
        <w:t xml:space="preserve"> &amp; </w:t>
      </w:r>
      <w:proofErr w:type="spellStart"/>
      <w:r w:rsidR="00C86F55" w:rsidRPr="00024000">
        <w:rPr>
          <w:lang w:eastAsia="zh-CN"/>
        </w:rPr>
        <w:t>Azzoni</w:t>
      </w:r>
      <w:proofErr w:type="spellEnd"/>
      <w:r w:rsidR="009145A7" w:rsidRPr="00024000">
        <w:rPr>
          <w:lang w:eastAsia="zh-CN"/>
        </w:rPr>
        <w:t xml:space="preserve">, </w:t>
      </w:r>
      <w:r w:rsidR="00C86F55" w:rsidRPr="00024000">
        <w:rPr>
          <w:lang w:eastAsia="zh-CN"/>
        </w:rPr>
        <w:t>2006</w:t>
      </w:r>
      <w:r w:rsidRPr="00024000">
        <w:t>)</w:t>
      </w:r>
      <w:r w:rsidR="00F26BCA" w:rsidRPr="00024000">
        <w:t>. Other predictors of growth are</w:t>
      </w:r>
      <w:r w:rsidRPr="00024000">
        <w:t xml:space="preserve"> investment, education and </w:t>
      </w:r>
      <w:r w:rsidR="00F26BCA" w:rsidRPr="00024000">
        <w:t xml:space="preserve">the </w:t>
      </w:r>
      <w:r w:rsidRPr="00024000">
        <w:t>size of la</w:t>
      </w:r>
      <w:r w:rsidR="0037797D" w:rsidRPr="00024000">
        <w:t>bo</w:t>
      </w:r>
      <w:r w:rsidR="00FA317F" w:rsidRPr="00024000">
        <w:t>u</w:t>
      </w:r>
      <w:r w:rsidRPr="00024000">
        <w:t xml:space="preserve">r force (Ferreira, 2000). Other regressions </w:t>
      </w:r>
      <w:r w:rsidR="00F26BCA" w:rsidRPr="00024000">
        <w:t xml:space="preserve">explain </w:t>
      </w:r>
      <w:r w:rsidRPr="00024000">
        <w:t>per capita income of Minimum Comparable Areas (MCA</w:t>
      </w:r>
      <w:r w:rsidR="00793469">
        <w:t>s</w:t>
      </w:r>
      <w:r w:rsidRPr="00024000">
        <w:t xml:space="preserve">) </w:t>
      </w:r>
      <w:r w:rsidR="00F26BCA" w:rsidRPr="00024000">
        <w:t>in terms of</w:t>
      </w:r>
      <w:r w:rsidRPr="00024000">
        <w:t xml:space="preserve"> education, demographic indicators and </w:t>
      </w:r>
      <w:r w:rsidR="00F26BCA" w:rsidRPr="00024000">
        <w:t xml:space="preserve">the </w:t>
      </w:r>
      <w:r w:rsidRPr="00024000">
        <w:rPr>
          <w:lang w:eastAsia="zh-CN"/>
        </w:rPr>
        <w:t xml:space="preserve">ratio </w:t>
      </w:r>
      <w:r w:rsidR="00F26BCA" w:rsidRPr="00024000">
        <w:rPr>
          <w:lang w:eastAsia="zh-CN"/>
        </w:rPr>
        <w:t>of public</w:t>
      </w:r>
      <w:r w:rsidRPr="00024000">
        <w:rPr>
          <w:lang w:eastAsia="zh-CN"/>
        </w:rPr>
        <w:t xml:space="preserve"> expenditure </w:t>
      </w:r>
      <w:r w:rsidR="00F26BCA" w:rsidRPr="00024000">
        <w:rPr>
          <w:lang w:eastAsia="zh-CN"/>
        </w:rPr>
        <w:t xml:space="preserve">over </w:t>
      </w:r>
      <w:r w:rsidRPr="00024000">
        <w:rPr>
          <w:lang w:eastAsia="zh-CN"/>
        </w:rPr>
        <w:t xml:space="preserve">revenue of these areas </w:t>
      </w:r>
      <w:r w:rsidRPr="00024000">
        <w:t>(</w:t>
      </w:r>
      <w:r w:rsidRPr="00024000">
        <w:rPr>
          <w:lang w:eastAsia="zh-CN"/>
        </w:rPr>
        <w:t>Rangel</w:t>
      </w:r>
      <w:r w:rsidR="0037797D" w:rsidRPr="00024000">
        <w:rPr>
          <w:lang w:eastAsia="zh-CN"/>
        </w:rPr>
        <w:t xml:space="preserve"> </w:t>
      </w:r>
      <w:r w:rsidR="0037797D" w:rsidRPr="00024000">
        <w:rPr>
          <w:i/>
          <w:lang w:eastAsia="zh-CN"/>
        </w:rPr>
        <w:t>et al.</w:t>
      </w:r>
      <w:r w:rsidR="0037797D" w:rsidRPr="00024000">
        <w:rPr>
          <w:lang w:eastAsia="zh-CN"/>
        </w:rPr>
        <w:t>,</w:t>
      </w:r>
      <w:r w:rsidRPr="00024000">
        <w:rPr>
          <w:lang w:eastAsia="zh-CN"/>
        </w:rPr>
        <w:t xml:space="preserve"> 2008). These studies find </w:t>
      </w:r>
      <w:r w:rsidR="00F26BCA" w:rsidRPr="00024000">
        <w:rPr>
          <w:lang w:eastAsia="zh-CN"/>
        </w:rPr>
        <w:t xml:space="preserve">evidence </w:t>
      </w:r>
      <w:r w:rsidRPr="00024000">
        <w:rPr>
          <w:lang w:eastAsia="zh-CN"/>
        </w:rPr>
        <w:t xml:space="preserve">in favour of absolute income convergence across Brazil’s states. </w:t>
      </w:r>
      <w:r w:rsidR="00F26BCA" w:rsidRPr="00024000">
        <w:rPr>
          <w:lang w:eastAsia="zh-CN"/>
        </w:rPr>
        <w:t>Additionally</w:t>
      </w:r>
      <w:r w:rsidRPr="00024000">
        <w:rPr>
          <w:lang w:eastAsia="zh-CN"/>
        </w:rPr>
        <w:t xml:space="preserve">, </w:t>
      </w:r>
      <w:r w:rsidR="00793469">
        <w:rPr>
          <w:lang w:eastAsia="zh-CN"/>
        </w:rPr>
        <w:t xml:space="preserve">Coelho &amp; </w:t>
      </w:r>
      <w:proofErr w:type="spellStart"/>
      <w:r w:rsidR="00793469">
        <w:rPr>
          <w:lang w:eastAsia="zh-CN"/>
        </w:rPr>
        <w:t>Figueiredo</w:t>
      </w:r>
      <w:proofErr w:type="spellEnd"/>
      <w:r w:rsidR="00793469">
        <w:rPr>
          <w:lang w:eastAsia="zh-CN"/>
        </w:rPr>
        <w:t xml:space="preserve"> (2007) </w:t>
      </w:r>
      <w:r w:rsidR="00793469" w:rsidRPr="00024000">
        <w:rPr>
          <w:lang w:eastAsia="zh-CN"/>
        </w:rPr>
        <w:t>focus</w:t>
      </w:r>
      <w:r w:rsidR="00793469">
        <w:rPr>
          <w:lang w:eastAsia="zh-CN"/>
        </w:rPr>
        <w:t xml:space="preserve"> </w:t>
      </w:r>
      <w:r w:rsidR="00793469" w:rsidRPr="00024000">
        <w:rPr>
          <w:lang w:eastAsia="zh-CN"/>
        </w:rPr>
        <w:t xml:space="preserve">on municipalities’ per capita income growth </w:t>
      </w:r>
      <w:r w:rsidRPr="00024000">
        <w:rPr>
          <w:lang w:eastAsia="zh-CN"/>
        </w:rPr>
        <w:t xml:space="preserve">between 1970 and 2000 </w:t>
      </w:r>
      <w:r w:rsidR="00793469">
        <w:rPr>
          <w:lang w:eastAsia="zh-CN"/>
        </w:rPr>
        <w:t xml:space="preserve">and </w:t>
      </w:r>
      <w:r w:rsidRPr="00024000">
        <w:rPr>
          <w:lang w:eastAsia="zh-CN"/>
        </w:rPr>
        <w:t>explain</w:t>
      </w:r>
      <w:r w:rsidR="00793469">
        <w:rPr>
          <w:lang w:eastAsia="zh-CN"/>
        </w:rPr>
        <w:t xml:space="preserve"> </w:t>
      </w:r>
      <w:r w:rsidRPr="00024000">
        <w:rPr>
          <w:lang w:eastAsia="zh-CN"/>
        </w:rPr>
        <w:t xml:space="preserve">growth </w:t>
      </w:r>
      <w:r w:rsidR="00F26BCA" w:rsidRPr="00024000">
        <w:rPr>
          <w:lang w:eastAsia="zh-CN"/>
        </w:rPr>
        <w:t xml:space="preserve">in terms of </w:t>
      </w:r>
      <w:r w:rsidR="00C96B34" w:rsidRPr="00024000">
        <w:rPr>
          <w:lang w:eastAsia="zh-CN"/>
        </w:rPr>
        <w:t>a range of</w:t>
      </w:r>
      <w:r w:rsidRPr="00024000">
        <w:rPr>
          <w:lang w:eastAsia="zh-CN"/>
        </w:rPr>
        <w:t xml:space="preserve"> demographic and socioeconomic indicators (essentially education, per capita capital, and </w:t>
      </w:r>
      <w:r w:rsidR="00C96B34" w:rsidRPr="00024000">
        <w:rPr>
          <w:lang w:eastAsia="zh-CN"/>
        </w:rPr>
        <w:t xml:space="preserve">the crime rate). </w:t>
      </w:r>
      <w:proofErr w:type="spellStart"/>
      <w:r w:rsidR="0037797D" w:rsidRPr="00024000">
        <w:rPr>
          <w:lang w:eastAsia="zh-CN"/>
        </w:rPr>
        <w:t>Brauch</w:t>
      </w:r>
      <w:proofErr w:type="spellEnd"/>
      <w:r w:rsidR="0037797D" w:rsidRPr="00024000">
        <w:rPr>
          <w:lang w:eastAsia="zh-CN"/>
        </w:rPr>
        <w:t xml:space="preserve"> &amp; </w:t>
      </w:r>
      <w:proofErr w:type="spellStart"/>
      <w:r w:rsidR="0037797D" w:rsidRPr="00024000">
        <w:rPr>
          <w:lang w:eastAsia="zh-CN"/>
        </w:rPr>
        <w:t>Monasterio</w:t>
      </w:r>
      <w:proofErr w:type="spellEnd"/>
      <w:r w:rsidR="0037797D" w:rsidRPr="00024000">
        <w:rPr>
          <w:lang w:eastAsia="zh-CN"/>
        </w:rPr>
        <w:t xml:space="preserve"> (2007) focus on income convergence by means of </w:t>
      </w:r>
      <w:r w:rsidRPr="00024000">
        <w:rPr>
          <w:lang w:eastAsia="zh-CN"/>
        </w:rPr>
        <w:t xml:space="preserve">Exploratory Spatial Data Analysis (ESDA) </w:t>
      </w:r>
      <w:r w:rsidR="0037797D" w:rsidRPr="00024000">
        <w:rPr>
          <w:lang w:eastAsia="zh-CN"/>
        </w:rPr>
        <w:t>of</w:t>
      </w:r>
      <w:r w:rsidRPr="00024000">
        <w:rPr>
          <w:lang w:eastAsia="zh-CN"/>
        </w:rPr>
        <w:t xml:space="preserve"> the income shares of </w:t>
      </w:r>
      <w:r w:rsidR="00793469">
        <w:rPr>
          <w:lang w:eastAsia="zh-CN"/>
        </w:rPr>
        <w:t>MCAs</w:t>
      </w:r>
      <w:r w:rsidR="0037797D" w:rsidRPr="00024000">
        <w:rPr>
          <w:lang w:eastAsia="zh-CN"/>
        </w:rPr>
        <w:t>.</w:t>
      </w:r>
      <w:r w:rsidRPr="00024000">
        <w:rPr>
          <w:lang w:eastAsia="zh-CN"/>
        </w:rPr>
        <w:t xml:space="preserve"> </w:t>
      </w:r>
      <w:r w:rsidR="00F26BCA" w:rsidRPr="00024000">
        <w:rPr>
          <w:lang w:eastAsia="zh-CN"/>
        </w:rPr>
        <w:t>In an</w:t>
      </w:r>
      <w:r w:rsidRPr="00024000">
        <w:rPr>
          <w:lang w:eastAsia="zh-CN"/>
        </w:rPr>
        <w:t xml:space="preserve"> application </w:t>
      </w:r>
      <w:r w:rsidRPr="00024000">
        <w:rPr>
          <w:iCs/>
          <w:lang w:eastAsia="zh-CN"/>
        </w:rPr>
        <w:t xml:space="preserve">of </w:t>
      </w:r>
      <w:proofErr w:type="spellStart"/>
      <w:r w:rsidRPr="00024000">
        <w:rPr>
          <w:iCs/>
          <w:lang w:eastAsia="zh-CN"/>
        </w:rPr>
        <w:t>Quah’s</w:t>
      </w:r>
      <w:proofErr w:type="spellEnd"/>
      <w:r w:rsidRPr="00024000">
        <w:rPr>
          <w:iCs/>
          <w:lang w:eastAsia="zh-CN"/>
        </w:rPr>
        <w:t xml:space="preserve"> (1997) methodology </w:t>
      </w:r>
      <w:r w:rsidR="00F26BCA" w:rsidRPr="00024000">
        <w:rPr>
          <w:iCs/>
          <w:lang w:eastAsia="zh-CN"/>
        </w:rPr>
        <w:t xml:space="preserve">to </w:t>
      </w:r>
      <w:r w:rsidRPr="00024000">
        <w:rPr>
          <w:iCs/>
          <w:lang w:eastAsia="zh-CN"/>
        </w:rPr>
        <w:t>examin</w:t>
      </w:r>
      <w:r w:rsidR="00F26BCA" w:rsidRPr="00024000">
        <w:rPr>
          <w:iCs/>
          <w:lang w:eastAsia="zh-CN"/>
        </w:rPr>
        <w:t>e</w:t>
      </w:r>
      <w:r w:rsidRPr="00024000">
        <w:rPr>
          <w:iCs/>
          <w:lang w:eastAsia="zh-CN"/>
        </w:rPr>
        <w:t xml:space="preserve"> of distribution of income across Brazilian regions</w:t>
      </w:r>
      <w:r w:rsidR="00F26BCA" w:rsidRPr="00024000">
        <w:rPr>
          <w:iCs/>
          <w:lang w:eastAsia="zh-CN"/>
        </w:rPr>
        <w:t>,</w:t>
      </w:r>
      <w:r w:rsidRPr="00024000">
        <w:rPr>
          <w:iCs/>
          <w:lang w:eastAsia="zh-CN"/>
        </w:rPr>
        <w:t xml:space="preserve"> </w:t>
      </w:r>
      <w:proofErr w:type="spellStart"/>
      <w:r w:rsidRPr="00024000">
        <w:t>Gondim</w:t>
      </w:r>
      <w:proofErr w:type="spellEnd"/>
      <w:r w:rsidR="00F26BCA" w:rsidRPr="00024000">
        <w:t xml:space="preserve"> et al. (</w:t>
      </w:r>
      <w:r w:rsidRPr="00024000">
        <w:t>2007)</w:t>
      </w:r>
      <w:r w:rsidR="00F26BCA" w:rsidRPr="00024000">
        <w:t xml:space="preserve"> </w:t>
      </w:r>
      <w:r w:rsidR="00C96B34" w:rsidRPr="00024000">
        <w:rPr>
          <w:lang w:eastAsia="zh-CN"/>
        </w:rPr>
        <w:t>find</w:t>
      </w:r>
      <w:r w:rsidRPr="00024000">
        <w:rPr>
          <w:lang w:eastAsia="zh-CN"/>
        </w:rPr>
        <w:t xml:space="preserve"> convergence only within macro regions. In</w:t>
      </w:r>
      <w:r w:rsidR="00394E07" w:rsidRPr="00024000">
        <w:rPr>
          <w:lang w:eastAsia="zh-CN"/>
        </w:rPr>
        <w:t xml:space="preserve">deed, </w:t>
      </w:r>
      <w:proofErr w:type="spellStart"/>
      <w:r w:rsidRPr="00024000">
        <w:rPr>
          <w:lang w:eastAsia="zh-CN"/>
        </w:rPr>
        <w:t>Magalh</w:t>
      </w:r>
      <w:r w:rsidRPr="00024000">
        <w:t>ã</w:t>
      </w:r>
      <w:r w:rsidRPr="00024000">
        <w:rPr>
          <w:lang w:eastAsia="zh-CN"/>
        </w:rPr>
        <w:t>es</w:t>
      </w:r>
      <w:proofErr w:type="spellEnd"/>
      <w:r w:rsidR="0037797D" w:rsidRPr="00024000">
        <w:rPr>
          <w:lang w:eastAsia="zh-CN"/>
        </w:rPr>
        <w:t xml:space="preserve"> </w:t>
      </w:r>
      <w:r w:rsidR="0037797D" w:rsidRPr="00024000">
        <w:rPr>
          <w:i/>
          <w:lang w:eastAsia="zh-CN"/>
        </w:rPr>
        <w:t>et al.</w:t>
      </w:r>
      <w:r w:rsidRPr="00024000">
        <w:rPr>
          <w:lang w:eastAsia="zh-CN"/>
        </w:rPr>
        <w:t xml:space="preserve"> (2005, p. 17) point out that: </w:t>
      </w:r>
    </w:p>
    <w:p w:rsidR="001839E4" w:rsidRPr="00FA317F" w:rsidRDefault="001839E4" w:rsidP="00877A16">
      <w:pPr>
        <w:autoSpaceDE w:val="0"/>
        <w:autoSpaceDN w:val="0"/>
        <w:adjustRightInd w:val="0"/>
        <w:spacing w:line="276" w:lineRule="auto"/>
        <w:ind w:left="1134"/>
        <w:jc w:val="both"/>
        <w:rPr>
          <w:lang w:eastAsia="zh-CN"/>
        </w:rPr>
      </w:pPr>
    </w:p>
    <w:p w:rsidR="001839E4" w:rsidRPr="00FA317F" w:rsidRDefault="001839E4" w:rsidP="00A24B44">
      <w:pPr>
        <w:autoSpaceDE w:val="0"/>
        <w:autoSpaceDN w:val="0"/>
        <w:adjustRightInd w:val="0"/>
        <w:spacing w:line="276" w:lineRule="auto"/>
        <w:ind w:left="426"/>
        <w:jc w:val="both"/>
        <w:rPr>
          <w:lang w:eastAsia="zh-CN"/>
        </w:rPr>
      </w:pPr>
      <w:r w:rsidRPr="00FA317F">
        <w:rPr>
          <w:lang w:eastAsia="zh-CN"/>
        </w:rPr>
        <w:t>(…) it is possible to infer from the results in hand that, although some convergence among states is taking place, it seems to be more of a regional phenomenon or perhaps some type of club convergence than a global convergence process. States like São Paulo would be a dominant force in one club while the Northeast states would form a second group or club.</w:t>
      </w:r>
    </w:p>
    <w:p w:rsidR="001839E4" w:rsidRPr="00FA317F" w:rsidRDefault="001839E4" w:rsidP="00877A16">
      <w:pPr>
        <w:autoSpaceDE w:val="0"/>
        <w:autoSpaceDN w:val="0"/>
        <w:adjustRightInd w:val="0"/>
        <w:spacing w:line="276" w:lineRule="auto"/>
        <w:jc w:val="both"/>
        <w:rPr>
          <w:lang w:eastAsia="zh-CN"/>
        </w:rPr>
      </w:pPr>
    </w:p>
    <w:p w:rsidR="001839E4" w:rsidRDefault="00A24B44" w:rsidP="00877A16">
      <w:pPr>
        <w:tabs>
          <w:tab w:val="left" w:pos="426"/>
        </w:tabs>
        <w:autoSpaceDE w:val="0"/>
        <w:autoSpaceDN w:val="0"/>
        <w:adjustRightInd w:val="0"/>
        <w:spacing w:line="276" w:lineRule="auto"/>
        <w:jc w:val="both"/>
        <w:rPr>
          <w:lang w:eastAsia="zh-CN"/>
        </w:rPr>
      </w:pPr>
      <w:r>
        <w:rPr>
          <w:lang w:eastAsia="zh-CN"/>
        </w:rPr>
        <w:tab/>
      </w:r>
      <w:r w:rsidR="001839E4" w:rsidRPr="00FA317F">
        <w:rPr>
          <w:lang w:eastAsia="zh-CN"/>
        </w:rPr>
        <w:t xml:space="preserve">In other words, this </w:t>
      </w:r>
      <w:r w:rsidR="00F26BCA" w:rsidRPr="00FA317F">
        <w:rPr>
          <w:lang w:eastAsia="zh-CN"/>
        </w:rPr>
        <w:t xml:space="preserve">study </w:t>
      </w:r>
      <w:r w:rsidR="001839E4" w:rsidRPr="00FA317F">
        <w:rPr>
          <w:lang w:eastAsia="zh-CN"/>
        </w:rPr>
        <w:t xml:space="preserve">and </w:t>
      </w:r>
      <w:r w:rsidR="00F26BCA" w:rsidRPr="00FA317F">
        <w:rPr>
          <w:lang w:eastAsia="zh-CN"/>
        </w:rPr>
        <w:t>several others</w:t>
      </w:r>
      <w:r w:rsidR="001839E4" w:rsidRPr="00FA317F">
        <w:rPr>
          <w:lang w:eastAsia="zh-CN"/>
        </w:rPr>
        <w:t xml:space="preserve"> </w:t>
      </w:r>
      <w:r w:rsidR="008964B6" w:rsidRPr="00D62760">
        <w:rPr>
          <w:lang w:eastAsia="zh-CN"/>
        </w:rPr>
        <w:t xml:space="preserve">(e.g. </w:t>
      </w:r>
      <w:proofErr w:type="spellStart"/>
      <w:r w:rsidR="008964B6" w:rsidRPr="00D62760">
        <w:rPr>
          <w:lang w:eastAsia="zh-CN"/>
        </w:rPr>
        <w:t>Resende</w:t>
      </w:r>
      <w:proofErr w:type="spellEnd"/>
      <w:r w:rsidR="008964B6" w:rsidRPr="00D62760">
        <w:rPr>
          <w:lang w:eastAsia="zh-CN"/>
        </w:rPr>
        <w:t>, 2011</w:t>
      </w:r>
      <w:r w:rsidR="00793469">
        <w:rPr>
          <w:lang w:eastAsia="zh-CN"/>
        </w:rPr>
        <w:t>,</w:t>
      </w:r>
      <w:r w:rsidR="008964B6" w:rsidRPr="00D62760">
        <w:rPr>
          <w:lang w:eastAsia="zh-CN"/>
        </w:rPr>
        <w:t xml:space="preserve"> and references therein)</w:t>
      </w:r>
      <w:r w:rsidR="008964B6">
        <w:rPr>
          <w:lang w:eastAsia="zh-CN"/>
        </w:rPr>
        <w:t xml:space="preserve"> </w:t>
      </w:r>
      <w:r w:rsidR="001839E4" w:rsidRPr="00FA317F">
        <w:rPr>
          <w:lang w:eastAsia="zh-CN"/>
        </w:rPr>
        <w:t xml:space="preserve">found clubs of convergence – a situation in which rich states and poor states converge within their macro regions, </w:t>
      </w:r>
      <w:r w:rsidR="00F26BCA" w:rsidRPr="00FA317F">
        <w:rPr>
          <w:lang w:eastAsia="zh-CN"/>
        </w:rPr>
        <w:t xml:space="preserve">but in </w:t>
      </w:r>
      <w:r w:rsidR="001839E4" w:rsidRPr="00FA317F">
        <w:rPr>
          <w:lang w:eastAsia="zh-CN"/>
        </w:rPr>
        <w:t>which interregional income disparity</w:t>
      </w:r>
      <w:r w:rsidR="00F26BCA" w:rsidRPr="00FA317F">
        <w:rPr>
          <w:lang w:eastAsia="zh-CN"/>
        </w:rPr>
        <w:t xml:space="preserve"> actually increases</w:t>
      </w:r>
      <w:r w:rsidR="001839E4" w:rsidRPr="00FA317F">
        <w:rPr>
          <w:lang w:eastAsia="zh-CN"/>
        </w:rPr>
        <w:t>.</w:t>
      </w:r>
    </w:p>
    <w:p w:rsidR="00877A16" w:rsidRPr="00FA317F" w:rsidRDefault="00877A16" w:rsidP="00877A16">
      <w:pPr>
        <w:tabs>
          <w:tab w:val="left" w:pos="426"/>
        </w:tabs>
        <w:autoSpaceDE w:val="0"/>
        <w:autoSpaceDN w:val="0"/>
        <w:adjustRightInd w:val="0"/>
        <w:spacing w:line="276" w:lineRule="auto"/>
        <w:jc w:val="both"/>
        <w:rPr>
          <w:lang w:eastAsia="zh-CN"/>
        </w:rPr>
      </w:pPr>
    </w:p>
    <w:p w:rsidR="001839E4" w:rsidRDefault="00FA317F" w:rsidP="00877A16">
      <w:pPr>
        <w:pStyle w:val="ListParagraph"/>
        <w:tabs>
          <w:tab w:val="left" w:pos="426"/>
        </w:tabs>
        <w:spacing w:line="276" w:lineRule="auto"/>
        <w:ind w:left="0"/>
        <w:jc w:val="both"/>
        <w:rPr>
          <w:lang w:eastAsia="zh-CN"/>
        </w:rPr>
      </w:pPr>
      <w:r w:rsidRPr="00FA317F">
        <w:rPr>
          <w:lang w:eastAsia="zh-CN"/>
        </w:rPr>
        <w:tab/>
      </w:r>
      <w:r w:rsidR="001839E4" w:rsidRPr="00024000">
        <w:rPr>
          <w:lang w:eastAsia="zh-CN"/>
        </w:rPr>
        <w:t xml:space="preserve">Silva &amp; </w:t>
      </w:r>
      <w:proofErr w:type="spellStart"/>
      <w:r w:rsidR="001839E4" w:rsidRPr="00024000">
        <w:rPr>
          <w:lang w:eastAsia="zh-CN"/>
        </w:rPr>
        <w:t>Silveira</w:t>
      </w:r>
      <w:proofErr w:type="spellEnd"/>
      <w:r w:rsidR="001839E4" w:rsidRPr="00024000">
        <w:rPr>
          <w:lang w:eastAsia="zh-CN"/>
        </w:rPr>
        <w:t xml:space="preserve"> </w:t>
      </w:r>
      <w:proofErr w:type="spellStart"/>
      <w:r w:rsidR="001839E4" w:rsidRPr="00024000">
        <w:rPr>
          <w:lang w:eastAsia="zh-CN"/>
        </w:rPr>
        <w:t>Neto</w:t>
      </w:r>
      <w:proofErr w:type="spellEnd"/>
      <w:r w:rsidR="001839E4" w:rsidRPr="00024000">
        <w:rPr>
          <w:lang w:eastAsia="zh-CN"/>
        </w:rPr>
        <w:t xml:space="preserve"> (2007</w:t>
      </w:r>
      <w:r w:rsidRPr="00024000">
        <w:rPr>
          <w:lang w:eastAsia="zh-CN"/>
        </w:rPr>
        <w:t xml:space="preserve">) </w:t>
      </w:r>
      <w:r w:rsidR="001839E4" w:rsidRPr="00024000">
        <w:rPr>
          <w:lang w:eastAsia="zh-CN"/>
        </w:rPr>
        <w:t>apply</w:t>
      </w:r>
      <w:r w:rsidRPr="00024000">
        <w:rPr>
          <w:lang w:eastAsia="zh-CN"/>
        </w:rPr>
        <w:t xml:space="preserve"> </w:t>
      </w:r>
      <w:r w:rsidR="001839E4" w:rsidRPr="00024000">
        <w:rPr>
          <w:lang w:eastAsia="zh-CN"/>
        </w:rPr>
        <w:t>Hanson’s (1998)</w:t>
      </w:r>
      <w:r w:rsidR="00F26BCA" w:rsidRPr="00024000">
        <w:rPr>
          <w:lang w:eastAsia="zh-CN"/>
        </w:rPr>
        <w:t xml:space="preserve"> </w:t>
      </w:r>
      <w:r w:rsidR="001839E4" w:rsidRPr="00024000">
        <w:rPr>
          <w:lang w:eastAsia="zh-CN"/>
        </w:rPr>
        <w:t>model</w:t>
      </w:r>
      <w:r w:rsidRPr="00024000">
        <w:rPr>
          <w:lang w:eastAsia="zh-CN"/>
        </w:rPr>
        <w:t xml:space="preserve"> and </w:t>
      </w:r>
      <w:r w:rsidR="001839E4" w:rsidRPr="00024000">
        <w:rPr>
          <w:lang w:eastAsia="zh-CN"/>
        </w:rPr>
        <w:t>evaluat</w:t>
      </w:r>
      <w:r w:rsidR="00394E07" w:rsidRPr="00024000">
        <w:rPr>
          <w:lang w:eastAsia="zh-CN"/>
        </w:rPr>
        <w:t>e</w:t>
      </w:r>
      <w:r w:rsidR="001839E4" w:rsidRPr="00024000">
        <w:rPr>
          <w:lang w:eastAsia="zh-CN"/>
        </w:rPr>
        <w:t xml:space="preserve"> the role of </w:t>
      </w:r>
      <w:r w:rsidRPr="00024000">
        <w:rPr>
          <w:lang w:eastAsia="zh-CN"/>
        </w:rPr>
        <w:t xml:space="preserve">knowledge </w:t>
      </w:r>
      <w:r w:rsidR="001839E4" w:rsidRPr="00024000">
        <w:rPr>
          <w:lang w:eastAsia="zh-CN"/>
        </w:rPr>
        <w:t xml:space="preserve">externalities through </w:t>
      </w:r>
      <w:r w:rsidR="00394E07" w:rsidRPr="00024000">
        <w:rPr>
          <w:lang w:eastAsia="zh-CN"/>
        </w:rPr>
        <w:t xml:space="preserve">the </w:t>
      </w:r>
      <w:r w:rsidR="001839E4" w:rsidRPr="00024000">
        <w:rPr>
          <w:lang w:eastAsia="zh-CN"/>
        </w:rPr>
        <w:t xml:space="preserve">estimation of manufacturing industry employment growth across Brazilian states from 1994 to 2002. Manufacturing industry employment growth </w:t>
      </w:r>
      <w:r w:rsidR="00394E07" w:rsidRPr="00024000">
        <w:rPr>
          <w:lang w:eastAsia="zh-CN"/>
        </w:rPr>
        <w:t>is</w:t>
      </w:r>
      <w:r w:rsidR="001839E4" w:rsidRPr="00024000">
        <w:rPr>
          <w:lang w:eastAsia="zh-CN"/>
        </w:rPr>
        <w:t xml:space="preserve"> regressed against the following variables: average wage per worker, relative size of establishments, forward/backward linkages, agglomerations, manufacturing diversity, and distance. </w:t>
      </w:r>
      <w:r w:rsidR="00805AC2">
        <w:rPr>
          <w:lang w:eastAsia="zh-CN"/>
        </w:rPr>
        <w:t>M</w:t>
      </w:r>
      <w:r w:rsidR="001839E4" w:rsidRPr="00024000">
        <w:rPr>
          <w:lang w:eastAsia="zh-CN"/>
        </w:rPr>
        <w:t xml:space="preserve">arket linkages and manufacturing diversity are </w:t>
      </w:r>
      <w:r w:rsidR="00805AC2">
        <w:rPr>
          <w:lang w:eastAsia="zh-CN"/>
        </w:rPr>
        <w:t xml:space="preserve">both </w:t>
      </w:r>
      <w:r w:rsidR="00394E07" w:rsidRPr="00024000">
        <w:rPr>
          <w:lang w:eastAsia="zh-CN"/>
        </w:rPr>
        <w:t xml:space="preserve">found to be </w:t>
      </w:r>
      <w:r w:rsidR="001839E4" w:rsidRPr="00024000">
        <w:rPr>
          <w:lang w:eastAsia="zh-CN"/>
        </w:rPr>
        <w:t xml:space="preserve">positively associated with growth of manufacturing industry employment, thus confirming Jacobs’ and Porter’s theories, while rejecting </w:t>
      </w:r>
      <w:r w:rsidRPr="00024000">
        <w:rPr>
          <w:lang w:eastAsia="zh-CN"/>
        </w:rPr>
        <w:t>MAR</w:t>
      </w:r>
      <w:r w:rsidR="001839E4" w:rsidRPr="00024000">
        <w:rPr>
          <w:lang w:eastAsia="zh-CN"/>
        </w:rPr>
        <w:t xml:space="preserve"> theor</w:t>
      </w:r>
      <w:r w:rsidR="00F26BCA" w:rsidRPr="00024000">
        <w:rPr>
          <w:lang w:eastAsia="zh-CN"/>
        </w:rPr>
        <w:t>y</w:t>
      </w:r>
      <w:r w:rsidR="001839E4" w:rsidRPr="00024000">
        <w:rPr>
          <w:lang w:eastAsia="zh-CN"/>
        </w:rPr>
        <w:t>.</w:t>
      </w:r>
    </w:p>
    <w:p w:rsidR="00877A16" w:rsidRPr="00024000" w:rsidRDefault="00877A16" w:rsidP="00877A16">
      <w:pPr>
        <w:pStyle w:val="ListParagraph"/>
        <w:tabs>
          <w:tab w:val="left" w:pos="426"/>
        </w:tabs>
        <w:spacing w:line="276" w:lineRule="auto"/>
        <w:ind w:left="0"/>
        <w:jc w:val="both"/>
        <w:rPr>
          <w:lang w:eastAsia="zh-CN"/>
        </w:rPr>
      </w:pPr>
    </w:p>
    <w:p w:rsidR="00734C9D" w:rsidRDefault="001839E4" w:rsidP="00877A16">
      <w:pPr>
        <w:pStyle w:val="ListParagraph"/>
        <w:tabs>
          <w:tab w:val="left" w:pos="426"/>
        </w:tabs>
        <w:spacing w:line="276" w:lineRule="auto"/>
        <w:ind w:left="0"/>
        <w:jc w:val="both"/>
        <w:rPr>
          <w:lang w:eastAsia="zh-CN"/>
        </w:rPr>
      </w:pPr>
      <w:r w:rsidRPr="00FA317F">
        <w:rPr>
          <w:lang w:eastAsia="zh-CN"/>
        </w:rPr>
        <w:tab/>
        <w:t xml:space="preserve">The second approach to </w:t>
      </w:r>
      <w:r w:rsidR="00F26BCA" w:rsidRPr="00FA317F">
        <w:rPr>
          <w:lang w:eastAsia="zh-CN"/>
        </w:rPr>
        <w:t xml:space="preserve">investigate </w:t>
      </w:r>
      <w:r w:rsidRPr="00FA317F">
        <w:rPr>
          <w:lang w:eastAsia="zh-CN"/>
        </w:rPr>
        <w:t xml:space="preserve">regional income convergence </w:t>
      </w:r>
      <w:r w:rsidR="00F26BCA" w:rsidRPr="00FA317F">
        <w:rPr>
          <w:lang w:eastAsia="zh-CN"/>
        </w:rPr>
        <w:t xml:space="preserve">is to use </w:t>
      </w:r>
      <w:r w:rsidRPr="00FA317F">
        <w:rPr>
          <w:lang w:eastAsia="zh-CN"/>
        </w:rPr>
        <w:t xml:space="preserve">panel data analysis. </w:t>
      </w:r>
      <w:r w:rsidR="00C96B34" w:rsidRPr="00FA317F">
        <w:rPr>
          <w:lang w:eastAsia="zh-CN"/>
        </w:rPr>
        <w:t>To our</w:t>
      </w:r>
      <w:r w:rsidR="00F26BCA" w:rsidRPr="00FA317F">
        <w:rPr>
          <w:lang w:eastAsia="zh-CN"/>
        </w:rPr>
        <w:t xml:space="preserve"> </w:t>
      </w:r>
      <w:r w:rsidR="00C96B34" w:rsidRPr="00FA317F">
        <w:rPr>
          <w:lang w:eastAsia="zh-CN"/>
        </w:rPr>
        <w:t xml:space="preserve">knowledge, </w:t>
      </w:r>
      <w:r w:rsidRPr="00FA317F">
        <w:rPr>
          <w:lang w:eastAsia="zh-CN"/>
        </w:rPr>
        <w:t>the only study</w:t>
      </w:r>
      <w:r w:rsidR="00C96B34" w:rsidRPr="00FA317F">
        <w:rPr>
          <w:lang w:eastAsia="zh-CN"/>
        </w:rPr>
        <w:t xml:space="preserve"> </w:t>
      </w:r>
      <w:r w:rsidRPr="00FA317F">
        <w:rPr>
          <w:lang w:eastAsia="zh-CN"/>
        </w:rPr>
        <w:t xml:space="preserve">that uses this approach </w:t>
      </w:r>
      <w:r w:rsidR="00C96B34" w:rsidRPr="00FA317F">
        <w:rPr>
          <w:lang w:eastAsia="zh-CN"/>
        </w:rPr>
        <w:t xml:space="preserve">is </w:t>
      </w:r>
      <w:proofErr w:type="spellStart"/>
      <w:r w:rsidRPr="00FA317F">
        <w:rPr>
          <w:lang w:eastAsia="zh-CN"/>
        </w:rPr>
        <w:t>Azzoni</w:t>
      </w:r>
      <w:proofErr w:type="spellEnd"/>
      <w:r w:rsidR="00FA317F" w:rsidRPr="00FA317F">
        <w:rPr>
          <w:lang w:eastAsia="zh-CN"/>
        </w:rPr>
        <w:t xml:space="preserve"> </w:t>
      </w:r>
      <w:r w:rsidR="00FA317F" w:rsidRPr="00FA317F">
        <w:rPr>
          <w:i/>
          <w:lang w:eastAsia="zh-CN"/>
        </w:rPr>
        <w:t>et al.</w:t>
      </w:r>
      <w:r w:rsidRPr="00FA317F">
        <w:rPr>
          <w:lang w:eastAsia="zh-CN"/>
        </w:rPr>
        <w:t xml:space="preserve"> (2000) </w:t>
      </w:r>
      <w:r w:rsidR="00C96B34" w:rsidRPr="00FA317F">
        <w:rPr>
          <w:lang w:eastAsia="zh-CN"/>
        </w:rPr>
        <w:t>who</w:t>
      </w:r>
      <w:r w:rsidRPr="00FA317F">
        <w:rPr>
          <w:lang w:eastAsia="zh-CN"/>
        </w:rPr>
        <w:t xml:space="preserve"> explain per capita income by geographic variables, labour force and human capital variables</w:t>
      </w:r>
      <w:r w:rsidR="00734C9D" w:rsidRPr="00FA317F">
        <w:rPr>
          <w:lang w:eastAsia="zh-CN"/>
        </w:rPr>
        <w:t>. They find</w:t>
      </w:r>
      <w:r w:rsidRPr="00FA317F">
        <w:rPr>
          <w:lang w:eastAsia="zh-CN"/>
        </w:rPr>
        <w:t xml:space="preserve"> conditional income convergence across Brazilian states. </w:t>
      </w:r>
    </w:p>
    <w:p w:rsidR="00877A16" w:rsidRPr="00FA317F" w:rsidRDefault="00877A16" w:rsidP="00877A16">
      <w:pPr>
        <w:pStyle w:val="ListParagraph"/>
        <w:tabs>
          <w:tab w:val="left" w:pos="426"/>
        </w:tabs>
        <w:spacing w:line="276" w:lineRule="auto"/>
        <w:ind w:left="0"/>
        <w:jc w:val="both"/>
        <w:rPr>
          <w:lang w:eastAsia="zh-CN"/>
        </w:rPr>
      </w:pPr>
    </w:p>
    <w:p w:rsidR="00734C9D" w:rsidRDefault="00FA317F" w:rsidP="00877A16">
      <w:pPr>
        <w:pStyle w:val="ListParagraph"/>
        <w:tabs>
          <w:tab w:val="left" w:pos="426"/>
        </w:tabs>
        <w:spacing w:line="276" w:lineRule="auto"/>
        <w:ind w:left="0"/>
        <w:jc w:val="both"/>
        <w:rPr>
          <w:lang w:eastAsia="zh-CN"/>
        </w:rPr>
      </w:pPr>
      <w:r>
        <w:rPr>
          <w:lang w:eastAsia="zh-CN"/>
        </w:rPr>
        <w:lastRenderedPageBreak/>
        <w:tab/>
      </w:r>
      <w:r w:rsidR="00C96B34" w:rsidRPr="00FA317F">
        <w:rPr>
          <w:lang w:eastAsia="zh-CN"/>
        </w:rPr>
        <w:t>The</w:t>
      </w:r>
      <w:r w:rsidR="001839E4" w:rsidRPr="00FA317F">
        <w:rPr>
          <w:lang w:eastAsia="zh-CN"/>
        </w:rPr>
        <w:t xml:space="preserve"> third approach applies </w:t>
      </w:r>
      <w:r>
        <w:rPr>
          <w:lang w:eastAsia="zh-CN"/>
        </w:rPr>
        <w:t>time-</w:t>
      </w:r>
      <w:r w:rsidR="001839E4" w:rsidRPr="00FA317F">
        <w:rPr>
          <w:lang w:eastAsia="zh-CN"/>
        </w:rPr>
        <w:t xml:space="preserve">series data analysis. </w:t>
      </w:r>
      <w:r w:rsidR="00C96B34" w:rsidRPr="00FA317F">
        <w:rPr>
          <w:lang w:eastAsia="zh-CN"/>
        </w:rPr>
        <w:t xml:space="preserve">For example, </w:t>
      </w:r>
      <w:proofErr w:type="spellStart"/>
      <w:r w:rsidR="001839E4" w:rsidRPr="00FA317F">
        <w:rPr>
          <w:lang w:eastAsia="zh-CN"/>
        </w:rPr>
        <w:t>Barossi-Filho</w:t>
      </w:r>
      <w:proofErr w:type="spellEnd"/>
      <w:r w:rsidR="001839E4" w:rsidRPr="00FA317F">
        <w:rPr>
          <w:lang w:eastAsia="zh-CN"/>
        </w:rPr>
        <w:t xml:space="preserve"> &amp; </w:t>
      </w:r>
      <w:proofErr w:type="spellStart"/>
      <w:r w:rsidR="001839E4" w:rsidRPr="00FA317F">
        <w:rPr>
          <w:lang w:eastAsia="zh-CN"/>
        </w:rPr>
        <w:t>Azzoni</w:t>
      </w:r>
      <w:proofErr w:type="spellEnd"/>
      <w:r w:rsidR="001839E4" w:rsidRPr="00FA317F">
        <w:rPr>
          <w:lang w:eastAsia="zh-CN"/>
        </w:rPr>
        <w:t xml:space="preserve"> (2003) us</w:t>
      </w:r>
      <w:r w:rsidR="00C96B34" w:rsidRPr="00FA317F">
        <w:rPr>
          <w:lang w:eastAsia="zh-CN"/>
        </w:rPr>
        <w:t>e</w:t>
      </w:r>
      <w:r w:rsidR="001839E4" w:rsidRPr="00FA317F">
        <w:rPr>
          <w:lang w:eastAsia="zh-CN"/>
        </w:rPr>
        <w:t xml:space="preserve"> a sample of 20 Brazilian states </w:t>
      </w:r>
      <w:r w:rsidR="00C96B34" w:rsidRPr="00FA317F">
        <w:rPr>
          <w:lang w:eastAsia="zh-CN"/>
        </w:rPr>
        <w:t>to study the</w:t>
      </w:r>
      <w:r w:rsidR="001839E4" w:rsidRPr="00FA317F">
        <w:rPr>
          <w:lang w:eastAsia="zh-CN"/>
        </w:rPr>
        <w:t xml:space="preserve"> convergence of </w:t>
      </w:r>
      <w:r w:rsidR="00734C9D" w:rsidRPr="00FA317F">
        <w:rPr>
          <w:lang w:eastAsia="zh-CN"/>
        </w:rPr>
        <w:t xml:space="preserve">state </w:t>
      </w:r>
      <w:r w:rsidR="001839E4" w:rsidRPr="00FA317F">
        <w:rPr>
          <w:lang w:eastAsia="zh-CN"/>
        </w:rPr>
        <w:t>per capita GDP</w:t>
      </w:r>
      <w:r w:rsidR="00734C9D" w:rsidRPr="00FA317F">
        <w:rPr>
          <w:lang w:eastAsia="zh-CN"/>
        </w:rPr>
        <w:t xml:space="preserve"> in terms of</w:t>
      </w:r>
      <w:r w:rsidR="001839E4" w:rsidRPr="00FA317F">
        <w:rPr>
          <w:lang w:eastAsia="zh-CN"/>
        </w:rPr>
        <w:t xml:space="preserve"> </w:t>
      </w:r>
      <w:r w:rsidR="00793469" w:rsidRPr="00FA317F">
        <w:rPr>
          <w:lang w:eastAsia="zh-CN"/>
        </w:rPr>
        <w:t>the lag of income</w:t>
      </w:r>
      <w:r w:rsidR="00946B8F">
        <w:rPr>
          <w:lang w:eastAsia="zh-CN"/>
        </w:rPr>
        <w:t xml:space="preserve">, the </w:t>
      </w:r>
      <w:r w:rsidR="00734C9D" w:rsidRPr="00FA317F">
        <w:rPr>
          <w:lang w:eastAsia="zh-CN"/>
        </w:rPr>
        <w:t>national</w:t>
      </w:r>
      <w:r w:rsidR="001839E4" w:rsidRPr="00FA317F">
        <w:rPr>
          <w:lang w:eastAsia="zh-CN"/>
        </w:rPr>
        <w:t xml:space="preserve"> </w:t>
      </w:r>
      <w:r w:rsidR="00946B8F">
        <w:rPr>
          <w:lang w:eastAsia="zh-CN"/>
        </w:rPr>
        <w:t xml:space="preserve">business cycle and </w:t>
      </w:r>
      <w:r w:rsidR="00734C9D" w:rsidRPr="00FA317F">
        <w:rPr>
          <w:lang w:eastAsia="zh-CN"/>
        </w:rPr>
        <w:t xml:space="preserve">structural </w:t>
      </w:r>
      <w:r w:rsidR="001839E4" w:rsidRPr="00FA317F">
        <w:rPr>
          <w:lang w:eastAsia="zh-CN"/>
        </w:rPr>
        <w:t>breaks. After performing unit root tests they f</w:t>
      </w:r>
      <w:r w:rsidR="00734C9D" w:rsidRPr="00FA317F">
        <w:rPr>
          <w:lang w:eastAsia="zh-CN"/>
        </w:rPr>
        <w:t>i</w:t>
      </w:r>
      <w:r w:rsidR="001839E4" w:rsidRPr="00FA317F">
        <w:rPr>
          <w:lang w:eastAsia="zh-CN"/>
        </w:rPr>
        <w:t xml:space="preserve">nd </w:t>
      </w:r>
      <w:r w:rsidR="00C96B34" w:rsidRPr="00FA317F">
        <w:rPr>
          <w:lang w:eastAsia="zh-CN"/>
        </w:rPr>
        <w:t>state-level</w:t>
      </w:r>
      <w:r w:rsidR="001839E4" w:rsidRPr="00FA317F">
        <w:rPr>
          <w:lang w:eastAsia="zh-CN"/>
        </w:rPr>
        <w:t xml:space="preserve"> convergence within Brazilian macro-regions. </w:t>
      </w:r>
    </w:p>
    <w:p w:rsidR="00877A16" w:rsidRPr="00FA317F" w:rsidRDefault="00877A16" w:rsidP="00877A16">
      <w:pPr>
        <w:pStyle w:val="ListParagraph"/>
        <w:tabs>
          <w:tab w:val="left" w:pos="426"/>
        </w:tabs>
        <w:spacing w:line="276" w:lineRule="auto"/>
        <w:ind w:left="0"/>
        <w:jc w:val="both"/>
        <w:rPr>
          <w:lang w:eastAsia="zh-CN"/>
        </w:rPr>
      </w:pPr>
    </w:p>
    <w:p w:rsidR="001839E4" w:rsidRDefault="00FA317F" w:rsidP="00877A16">
      <w:pPr>
        <w:pStyle w:val="ListParagraph"/>
        <w:tabs>
          <w:tab w:val="left" w:pos="426"/>
        </w:tabs>
        <w:spacing w:line="276" w:lineRule="auto"/>
        <w:ind w:left="0"/>
        <w:jc w:val="both"/>
      </w:pPr>
      <w:r>
        <w:rPr>
          <w:lang w:eastAsia="zh-CN"/>
        </w:rPr>
        <w:tab/>
      </w:r>
      <w:r w:rsidR="001839E4" w:rsidRPr="00FA317F">
        <w:rPr>
          <w:lang w:eastAsia="zh-CN"/>
        </w:rPr>
        <w:t xml:space="preserve">The second and third approaches described above are </w:t>
      </w:r>
      <w:r w:rsidR="00734C9D" w:rsidRPr="00FA317F">
        <w:rPr>
          <w:lang w:eastAsia="zh-CN"/>
        </w:rPr>
        <w:t xml:space="preserve">rather </w:t>
      </w:r>
      <w:r w:rsidR="001839E4" w:rsidRPr="00FA317F">
        <w:rPr>
          <w:lang w:eastAsia="zh-CN"/>
        </w:rPr>
        <w:t>rare in the literature regarding regional income convergence in Brazil.</w:t>
      </w:r>
      <w:r w:rsidR="00C96B34" w:rsidRPr="00FA317F">
        <w:rPr>
          <w:lang w:eastAsia="zh-CN"/>
        </w:rPr>
        <w:t xml:space="preserve"> </w:t>
      </w:r>
      <w:r w:rsidR="00946B8F">
        <w:rPr>
          <w:lang w:eastAsia="zh-CN"/>
        </w:rPr>
        <w:t>A</w:t>
      </w:r>
      <w:r w:rsidR="001839E4" w:rsidRPr="00FA317F">
        <w:rPr>
          <w:lang w:eastAsia="zh-CN"/>
        </w:rPr>
        <w:t xml:space="preserve"> fourth approach</w:t>
      </w:r>
      <w:r w:rsidR="00C96B34" w:rsidRPr="00FA317F">
        <w:rPr>
          <w:lang w:eastAsia="zh-CN"/>
        </w:rPr>
        <w:t xml:space="preserve"> </w:t>
      </w:r>
      <w:r w:rsidR="00734C9D" w:rsidRPr="00FA317F">
        <w:rPr>
          <w:lang w:eastAsia="zh-CN"/>
        </w:rPr>
        <w:t xml:space="preserve">is simply descriptive and measures the </w:t>
      </w:r>
      <w:r w:rsidR="001839E4" w:rsidRPr="00FA317F">
        <w:rPr>
          <w:lang w:eastAsia="zh-CN"/>
        </w:rPr>
        <w:t xml:space="preserve">inequality pattern </w:t>
      </w:r>
      <w:r w:rsidR="00734C9D" w:rsidRPr="00FA317F">
        <w:rPr>
          <w:lang w:eastAsia="zh-CN"/>
        </w:rPr>
        <w:t>in terms of</w:t>
      </w:r>
      <w:r w:rsidR="001839E4" w:rsidRPr="00FA317F">
        <w:rPr>
          <w:lang w:eastAsia="zh-CN"/>
        </w:rPr>
        <w:t xml:space="preserve"> income inequality indicators or national income shares for selected time periods</w:t>
      </w:r>
      <w:r w:rsidR="00734C9D" w:rsidRPr="00FA317F">
        <w:rPr>
          <w:lang w:eastAsia="zh-CN"/>
        </w:rPr>
        <w:t>,</w:t>
      </w:r>
      <w:r w:rsidR="00C96B34" w:rsidRPr="00FA317F">
        <w:rPr>
          <w:lang w:eastAsia="zh-CN"/>
        </w:rPr>
        <w:t xml:space="preserve"> rather than </w:t>
      </w:r>
      <w:r w:rsidR="00734C9D" w:rsidRPr="00FA317F">
        <w:rPr>
          <w:lang w:eastAsia="zh-CN"/>
        </w:rPr>
        <w:t xml:space="preserve">by means of </w:t>
      </w:r>
      <w:r w:rsidR="00C96B34" w:rsidRPr="00FA317F">
        <w:rPr>
          <w:lang w:eastAsia="zh-CN"/>
        </w:rPr>
        <w:t>estimating structural models</w:t>
      </w:r>
      <w:r w:rsidR="009E25F3" w:rsidRPr="00FA317F">
        <w:rPr>
          <w:lang w:eastAsia="zh-CN"/>
        </w:rPr>
        <w:t>.</w:t>
      </w:r>
      <w:r w:rsidR="001839E4" w:rsidRPr="00FA317F">
        <w:rPr>
          <w:lang w:eastAsia="zh-CN"/>
        </w:rPr>
        <w:t xml:space="preserve"> This approach f</w:t>
      </w:r>
      <w:r w:rsidR="00734C9D" w:rsidRPr="00FA317F">
        <w:rPr>
          <w:lang w:eastAsia="zh-CN"/>
        </w:rPr>
        <w:t>in</w:t>
      </w:r>
      <w:r w:rsidR="001839E4" w:rsidRPr="00FA317F">
        <w:rPr>
          <w:lang w:eastAsia="zh-CN"/>
        </w:rPr>
        <w:t>d</w:t>
      </w:r>
      <w:r w:rsidR="00734C9D" w:rsidRPr="00FA317F">
        <w:rPr>
          <w:lang w:eastAsia="zh-CN"/>
        </w:rPr>
        <w:t>s</w:t>
      </w:r>
      <w:r w:rsidR="001839E4" w:rsidRPr="00FA317F">
        <w:rPr>
          <w:lang w:eastAsia="zh-CN"/>
        </w:rPr>
        <w:t xml:space="preserve"> either states’ income convergence at a national level or states’ income convergence only within macro-regions (</w:t>
      </w:r>
      <w:proofErr w:type="spellStart"/>
      <w:r w:rsidR="001839E4" w:rsidRPr="00FA317F">
        <w:rPr>
          <w:lang w:eastAsia="zh-CN"/>
        </w:rPr>
        <w:t>Rolim</w:t>
      </w:r>
      <w:proofErr w:type="spellEnd"/>
      <w:r w:rsidR="001839E4" w:rsidRPr="00FA317F">
        <w:rPr>
          <w:lang w:eastAsia="zh-CN"/>
        </w:rPr>
        <w:t xml:space="preserve">, 2008; Andrade &amp; Serra, 2001; </w:t>
      </w:r>
      <w:proofErr w:type="spellStart"/>
      <w:r w:rsidR="001839E4" w:rsidRPr="00FA317F">
        <w:rPr>
          <w:bCs/>
          <w:lang w:eastAsia="zh-CN"/>
        </w:rPr>
        <w:t>Azzoni</w:t>
      </w:r>
      <w:proofErr w:type="spellEnd"/>
      <w:r w:rsidR="001839E4" w:rsidRPr="00FA317F">
        <w:rPr>
          <w:bCs/>
          <w:lang w:eastAsia="zh-CN"/>
        </w:rPr>
        <w:t xml:space="preserve">, 1997; </w:t>
      </w:r>
      <w:proofErr w:type="spellStart"/>
      <w:r>
        <w:rPr>
          <w:lang w:eastAsia="zh-CN"/>
        </w:rPr>
        <w:t>Mossi</w:t>
      </w:r>
      <w:proofErr w:type="spellEnd"/>
      <w:r>
        <w:rPr>
          <w:lang w:eastAsia="zh-CN"/>
        </w:rPr>
        <w:t xml:space="preserve"> </w:t>
      </w:r>
      <w:r w:rsidRPr="00A24B44">
        <w:rPr>
          <w:i/>
          <w:lang w:eastAsia="zh-CN"/>
        </w:rPr>
        <w:t>et al</w:t>
      </w:r>
      <w:r>
        <w:rPr>
          <w:lang w:eastAsia="zh-CN"/>
        </w:rPr>
        <w:t>.</w:t>
      </w:r>
      <w:r w:rsidR="001839E4" w:rsidRPr="00FA317F">
        <w:rPr>
          <w:lang w:eastAsia="zh-CN"/>
        </w:rPr>
        <w:t xml:space="preserve">, </w:t>
      </w:r>
      <w:r w:rsidR="001839E4" w:rsidRPr="00FA317F">
        <w:t>2003; and Gomez, 2002).</w:t>
      </w:r>
    </w:p>
    <w:p w:rsidR="00877A16" w:rsidRPr="00FA317F" w:rsidRDefault="00877A16" w:rsidP="00877A16">
      <w:pPr>
        <w:pStyle w:val="ListParagraph"/>
        <w:tabs>
          <w:tab w:val="left" w:pos="426"/>
        </w:tabs>
        <w:spacing w:line="276" w:lineRule="auto"/>
        <w:ind w:left="0"/>
        <w:jc w:val="both"/>
        <w:rPr>
          <w:bCs/>
          <w:lang w:eastAsia="zh-CN"/>
        </w:rPr>
      </w:pPr>
    </w:p>
    <w:p w:rsidR="00DA221D" w:rsidRDefault="00DA221D" w:rsidP="00877A16">
      <w:pPr>
        <w:pStyle w:val="ListParagraph"/>
        <w:spacing w:line="276" w:lineRule="auto"/>
        <w:ind w:left="0" w:firstLine="360"/>
        <w:jc w:val="both"/>
      </w:pPr>
      <w:r w:rsidRPr="00946B8F">
        <w:t xml:space="preserve">This paper </w:t>
      </w:r>
      <w:r w:rsidR="00946B8F" w:rsidRPr="00946B8F">
        <w:t xml:space="preserve">builds on this literature by estimating </w:t>
      </w:r>
      <w:proofErr w:type="spellStart"/>
      <w:r w:rsidRPr="00946B8F">
        <w:t>Glaeser</w:t>
      </w:r>
      <w:proofErr w:type="spellEnd"/>
      <w:r w:rsidRPr="00946B8F">
        <w:t xml:space="preserve"> </w:t>
      </w:r>
      <w:r w:rsidRPr="00946B8F">
        <w:rPr>
          <w:i/>
          <w:iCs/>
        </w:rPr>
        <w:t>et al.</w:t>
      </w:r>
      <w:r w:rsidRPr="00946B8F">
        <w:t xml:space="preserve">’s </w:t>
      </w:r>
      <w:r w:rsidR="00946B8F">
        <w:t xml:space="preserve">(1992) </w:t>
      </w:r>
      <w:r w:rsidRPr="00946B8F">
        <w:t xml:space="preserve">model. </w:t>
      </w:r>
      <w:r w:rsidRPr="00FA317F">
        <w:t xml:space="preserve">The original </w:t>
      </w:r>
      <w:proofErr w:type="spellStart"/>
      <w:r w:rsidRPr="00FA317F">
        <w:t>Glaeser</w:t>
      </w:r>
      <w:proofErr w:type="spellEnd"/>
      <w:r w:rsidRPr="00FA317F">
        <w:t xml:space="preserve"> </w:t>
      </w:r>
      <w:r w:rsidR="00946B8F" w:rsidRPr="00946B8F">
        <w:rPr>
          <w:i/>
          <w:iCs/>
        </w:rPr>
        <w:t>et al.</w:t>
      </w:r>
      <w:r w:rsidR="00946B8F">
        <w:t xml:space="preserve"> (1992) </w:t>
      </w:r>
      <w:r w:rsidRPr="00FA317F">
        <w:t xml:space="preserve">model </w:t>
      </w:r>
      <w:r w:rsidR="00946B8F">
        <w:t>can be</w:t>
      </w:r>
      <w:r w:rsidRPr="00FA317F">
        <w:t xml:space="preserve"> represented by the following equation:</w:t>
      </w:r>
    </w:p>
    <w:p w:rsidR="00FA317F" w:rsidRPr="00FA317F" w:rsidRDefault="00FA317F" w:rsidP="00877A16">
      <w:pPr>
        <w:pStyle w:val="ListParagraph"/>
        <w:spacing w:line="276" w:lineRule="auto"/>
        <w:ind w:left="0" w:firstLine="360"/>
        <w:jc w:val="both"/>
      </w:pPr>
    </w:p>
    <w:p w:rsidR="00946B8F" w:rsidRDefault="0040142A" w:rsidP="00877A16">
      <w:pPr>
        <w:pStyle w:val="ListParagraph"/>
        <w:spacing w:line="276" w:lineRule="auto"/>
        <w:ind w:left="0" w:firstLine="360"/>
        <w:jc w:val="both"/>
        <w:rPr>
          <w:sz w:val="22"/>
          <w:szCs w:val="22"/>
        </w:rPr>
      </w:pPr>
      <m:oMath>
        <m:r>
          <w:rPr>
            <w:rFonts w:ascii="Cambria Math"/>
            <w:sz w:val="22"/>
            <w:szCs w:val="22"/>
          </w:rPr>
          <m:t>α</m:t>
        </m:r>
        <m:r>
          <m:rPr>
            <m:sty m:val="p"/>
          </m:rPr>
          <w:rPr>
            <w:rFonts w:ascii="Cambria Math"/>
            <w:sz w:val="22"/>
            <w:szCs w:val="22"/>
          </w:rPr>
          <m:t>log</m:t>
        </m:r>
        <m:d>
          <m:dPr>
            <m:ctrlPr>
              <w:rPr>
                <w:rFonts w:ascii="Cambria Math" w:hAnsi="Cambria Math"/>
                <w:iCs/>
                <w:sz w:val="22"/>
                <w:szCs w:val="22"/>
              </w:rPr>
            </m:ctrlPr>
          </m:dPr>
          <m:e>
            <m:f>
              <m:fPr>
                <m:ctrlPr>
                  <w:rPr>
                    <w:rFonts w:ascii="Cambria Math" w:hAnsi="Cambria Math"/>
                    <w:iCs/>
                    <w:sz w:val="22"/>
                    <w:szCs w:val="22"/>
                  </w:rPr>
                </m:ctrlPr>
              </m:fPr>
              <m:num>
                <m:sSub>
                  <m:sSubPr>
                    <m:ctrlPr>
                      <w:rPr>
                        <w:rFonts w:ascii="Cambria Math" w:hAnsi="Cambria Math"/>
                        <w:iCs/>
                        <w:sz w:val="22"/>
                        <w:szCs w:val="22"/>
                      </w:rPr>
                    </m:ctrlPr>
                  </m:sSubPr>
                  <m:e>
                    <m:r>
                      <w:rPr>
                        <w:rFonts w:ascii="Cambria Math"/>
                        <w:sz w:val="22"/>
                        <w:szCs w:val="22"/>
                      </w:rPr>
                      <m:t>l</m:t>
                    </m:r>
                  </m:e>
                  <m:sub>
                    <m:r>
                      <w:rPr>
                        <w:rFonts w:ascii="Cambria Math"/>
                        <w:sz w:val="22"/>
                        <w:szCs w:val="22"/>
                      </w:rPr>
                      <m:t>t</m:t>
                    </m:r>
                    <m:r>
                      <m:rPr>
                        <m:sty m:val="p"/>
                      </m:rPr>
                      <w:rPr>
                        <w:rFonts w:ascii="Cambria Math"/>
                        <w:sz w:val="22"/>
                        <w:szCs w:val="22"/>
                      </w:rPr>
                      <m:t>+1</m:t>
                    </m:r>
                  </m:sub>
                </m:sSub>
              </m:num>
              <m:den>
                <m:sSub>
                  <m:sSubPr>
                    <m:ctrlPr>
                      <w:rPr>
                        <w:rFonts w:ascii="Cambria Math" w:hAnsi="Cambria Math"/>
                        <w:i/>
                        <w:sz w:val="22"/>
                        <w:szCs w:val="22"/>
                      </w:rPr>
                    </m:ctrlPr>
                  </m:sSubPr>
                  <m:e>
                    <m:r>
                      <w:rPr>
                        <w:rFonts w:ascii="Cambria Math"/>
                        <w:sz w:val="22"/>
                        <w:szCs w:val="22"/>
                      </w:rPr>
                      <m:t>l</m:t>
                    </m:r>
                  </m:e>
                  <m:sub>
                    <m:r>
                      <w:rPr>
                        <w:rFonts w:ascii="Cambria Math"/>
                        <w:sz w:val="22"/>
                        <w:szCs w:val="22"/>
                      </w:rPr>
                      <m:t>t</m:t>
                    </m:r>
                  </m:sub>
                </m:sSub>
              </m:den>
            </m:f>
          </m:e>
        </m:d>
        <m:r>
          <m:rPr>
            <m:sty m:val="p"/>
          </m:rPr>
          <w:rPr>
            <w:rFonts w:ascii="Cambria Math"/>
            <w:sz w:val="22"/>
            <w:szCs w:val="22"/>
          </w:rPr>
          <m:t>=</m:t>
        </m:r>
        <m:r>
          <m:rPr>
            <m:sty m:val="p"/>
          </m:rPr>
          <w:rPr>
            <w:rFonts w:ascii="Cambria Math"/>
            <w:sz w:val="22"/>
            <w:szCs w:val="22"/>
          </w:rPr>
          <m:t>-</m:t>
        </m:r>
        <m:func>
          <m:funcPr>
            <m:ctrlPr>
              <w:rPr>
                <w:rFonts w:ascii="Cambria Math" w:hAnsi="Cambria Math"/>
                <w:iCs/>
                <w:sz w:val="22"/>
                <w:szCs w:val="22"/>
              </w:rPr>
            </m:ctrlPr>
          </m:funcPr>
          <m:fName>
            <m:r>
              <m:rPr>
                <m:sty m:val="p"/>
              </m:rPr>
              <w:rPr>
                <w:rFonts w:ascii="Cambria Math"/>
                <w:sz w:val="22"/>
                <w:szCs w:val="22"/>
              </w:rPr>
              <m:t>log</m:t>
            </m:r>
          </m:fName>
          <m:e>
            <m:d>
              <m:dPr>
                <m:ctrlPr>
                  <w:rPr>
                    <w:rFonts w:ascii="Cambria Math" w:hAnsi="Cambria Math"/>
                    <w:iCs/>
                    <w:sz w:val="22"/>
                    <w:szCs w:val="22"/>
                  </w:rPr>
                </m:ctrlPr>
              </m:dPr>
              <m:e>
                <m:f>
                  <m:fPr>
                    <m:ctrlPr>
                      <w:rPr>
                        <w:rFonts w:ascii="Cambria Math" w:hAnsi="Cambria Math"/>
                        <w:iCs/>
                        <w:sz w:val="22"/>
                        <w:szCs w:val="22"/>
                      </w:rPr>
                    </m:ctrlPr>
                  </m:fPr>
                  <m:num>
                    <m:sSub>
                      <m:sSubPr>
                        <m:ctrlPr>
                          <w:rPr>
                            <w:rFonts w:ascii="Cambria Math" w:hAnsi="Cambria Math"/>
                            <w:iCs/>
                            <w:sz w:val="22"/>
                            <w:szCs w:val="22"/>
                          </w:rPr>
                        </m:ctrlPr>
                      </m:sSubPr>
                      <m:e>
                        <m:r>
                          <w:rPr>
                            <w:rFonts w:ascii="Cambria Math"/>
                            <w:sz w:val="22"/>
                            <w:szCs w:val="22"/>
                          </w:rPr>
                          <m:t>w</m:t>
                        </m:r>
                      </m:e>
                      <m:sub>
                        <m:r>
                          <w:rPr>
                            <w:rFonts w:ascii="Cambria Math"/>
                            <w:sz w:val="22"/>
                            <w:szCs w:val="22"/>
                          </w:rPr>
                          <m:t>t</m:t>
                        </m:r>
                        <m:r>
                          <m:rPr>
                            <m:sty m:val="p"/>
                          </m:rPr>
                          <w:rPr>
                            <w:rFonts w:ascii="Cambria Math"/>
                            <w:sz w:val="22"/>
                            <w:szCs w:val="22"/>
                          </w:rPr>
                          <m:t>+1</m:t>
                        </m:r>
                      </m:sub>
                    </m:sSub>
                  </m:num>
                  <m:den>
                    <m:sSub>
                      <m:sSubPr>
                        <m:ctrlPr>
                          <w:rPr>
                            <w:rFonts w:ascii="Cambria Math" w:hAnsi="Cambria Math"/>
                            <w:i/>
                            <w:sz w:val="22"/>
                            <w:szCs w:val="22"/>
                          </w:rPr>
                        </m:ctrlPr>
                      </m:sSubPr>
                      <m:e>
                        <m:r>
                          <w:rPr>
                            <w:rFonts w:ascii="Cambria Math"/>
                            <w:sz w:val="22"/>
                            <w:szCs w:val="22"/>
                          </w:rPr>
                          <m:t>w</m:t>
                        </m:r>
                      </m:e>
                      <m:sub>
                        <m:r>
                          <w:rPr>
                            <w:rFonts w:ascii="Cambria Math"/>
                            <w:sz w:val="22"/>
                            <w:szCs w:val="22"/>
                          </w:rPr>
                          <m:t>t</m:t>
                        </m:r>
                      </m:sub>
                    </m:sSub>
                  </m:den>
                </m:f>
              </m:e>
            </m:d>
          </m:e>
        </m:func>
        <m:r>
          <m:rPr>
            <m:sty m:val="p"/>
          </m:rPr>
          <w:rPr>
            <w:rFonts w:ascii="Cambria Math"/>
            <w:sz w:val="22"/>
            <w:szCs w:val="22"/>
          </w:rPr>
          <m:t>+</m:t>
        </m:r>
        <m:func>
          <m:funcPr>
            <m:ctrlPr>
              <w:rPr>
                <w:rFonts w:ascii="Cambria Math" w:hAnsi="Cambria Math"/>
                <w:iCs/>
                <w:sz w:val="22"/>
                <w:szCs w:val="22"/>
              </w:rPr>
            </m:ctrlPr>
          </m:funcPr>
          <m:fName>
            <m:r>
              <m:rPr>
                <m:sty m:val="p"/>
              </m:rPr>
              <w:rPr>
                <w:rFonts w:ascii="Cambria Math"/>
                <w:sz w:val="22"/>
                <w:szCs w:val="22"/>
              </w:rPr>
              <m:t>log</m:t>
            </m:r>
          </m:fName>
          <m:e>
            <m:d>
              <m:dPr>
                <m:ctrlPr>
                  <w:rPr>
                    <w:rFonts w:ascii="Cambria Math" w:hAnsi="Cambria Math"/>
                    <w:iCs/>
                    <w:sz w:val="22"/>
                    <w:szCs w:val="22"/>
                  </w:rPr>
                </m:ctrlPr>
              </m:dPr>
              <m:e>
                <m:f>
                  <m:fPr>
                    <m:ctrlPr>
                      <w:rPr>
                        <w:rFonts w:ascii="Cambria Math" w:hAnsi="Cambria Math"/>
                        <w:iCs/>
                        <w:sz w:val="22"/>
                        <w:szCs w:val="22"/>
                      </w:rPr>
                    </m:ctrlPr>
                  </m:fPr>
                  <m:num>
                    <m:sSub>
                      <m:sSubPr>
                        <m:ctrlPr>
                          <w:rPr>
                            <w:rFonts w:ascii="Cambria Math" w:hAnsi="Cambria Math"/>
                            <w:iCs/>
                            <w:sz w:val="22"/>
                            <w:szCs w:val="22"/>
                          </w:rPr>
                        </m:ctrlPr>
                      </m:sSubPr>
                      <m:e>
                        <m:r>
                          <w:rPr>
                            <w:rFonts w:ascii="Cambria Math"/>
                            <w:sz w:val="22"/>
                            <w:szCs w:val="22"/>
                          </w:rPr>
                          <m:t>A</m:t>
                        </m:r>
                      </m:e>
                      <m:sub>
                        <m:r>
                          <w:rPr>
                            <w:rFonts w:ascii="Cambria Math"/>
                            <w:sz w:val="22"/>
                            <w:szCs w:val="22"/>
                          </w:rPr>
                          <m:t>national, t</m:t>
                        </m:r>
                        <m:r>
                          <m:rPr>
                            <m:sty m:val="p"/>
                          </m:rPr>
                          <w:rPr>
                            <w:rFonts w:ascii="Cambria Math"/>
                            <w:sz w:val="22"/>
                            <w:szCs w:val="22"/>
                          </w:rPr>
                          <m:t>+1</m:t>
                        </m:r>
                      </m:sub>
                    </m:sSub>
                  </m:num>
                  <m:den>
                    <m:sSub>
                      <m:sSubPr>
                        <m:ctrlPr>
                          <w:rPr>
                            <w:rFonts w:ascii="Cambria Math" w:hAnsi="Cambria Math"/>
                            <w:i/>
                            <w:sz w:val="22"/>
                            <w:szCs w:val="22"/>
                          </w:rPr>
                        </m:ctrlPr>
                      </m:sSubPr>
                      <m:e>
                        <m:r>
                          <w:rPr>
                            <w:rFonts w:ascii="Cambria Math"/>
                            <w:sz w:val="22"/>
                            <w:szCs w:val="22"/>
                          </w:rPr>
                          <m:t>A</m:t>
                        </m:r>
                      </m:e>
                      <m:sub>
                        <m:r>
                          <w:rPr>
                            <w:rFonts w:ascii="Cambria Math"/>
                            <w:sz w:val="22"/>
                            <w:szCs w:val="22"/>
                          </w:rPr>
                          <m:t>national, t</m:t>
                        </m:r>
                      </m:sub>
                    </m:sSub>
                  </m:den>
                </m:f>
              </m:e>
            </m:d>
          </m:e>
        </m:func>
      </m:oMath>
      <w:r w:rsidR="00F3019F">
        <w:rPr>
          <w:sz w:val="22"/>
          <w:szCs w:val="22"/>
        </w:rPr>
        <w:t xml:space="preserve">  </w:t>
      </w:r>
    </w:p>
    <w:p w:rsidR="00DA221D" w:rsidRPr="00F3019F" w:rsidRDefault="00946B8F" w:rsidP="002F356F">
      <w:pPr>
        <w:pStyle w:val="ListParagraph"/>
        <w:tabs>
          <w:tab w:val="right" w:pos="8931"/>
        </w:tabs>
        <w:spacing w:line="276" w:lineRule="auto"/>
        <w:ind w:left="0" w:firstLine="360"/>
        <w:jc w:val="both"/>
        <w:rPr>
          <w:sz w:val="22"/>
          <w:szCs w:val="22"/>
        </w:rPr>
      </w:pPr>
      <m:oMath>
        <m:r>
          <m:rPr>
            <m:sty m:val="p"/>
          </m:rPr>
          <w:rPr>
            <w:rFonts w:ascii="Cambria Math"/>
            <w:sz w:val="22"/>
            <w:szCs w:val="22"/>
          </w:rPr>
          <m:t>+g</m:t>
        </m:r>
        <m:d>
          <m:dPr>
            <m:ctrlPr>
              <w:rPr>
                <w:rFonts w:ascii="Cambria Math" w:hAnsi="Cambria Math"/>
                <w:iCs/>
                <w:sz w:val="22"/>
                <w:szCs w:val="22"/>
              </w:rPr>
            </m:ctrlPr>
          </m:dPr>
          <m:e>
            <m:r>
              <m:rPr>
                <m:sty m:val="p"/>
              </m:rPr>
              <w:rPr>
                <w:rFonts w:ascii="Cambria Math"/>
                <w:sz w:val="22"/>
                <w:szCs w:val="22"/>
              </w:rPr>
              <m:t>specialization, competition, diversity, initial conditions</m:t>
            </m:r>
          </m:e>
        </m:d>
        <m:r>
          <m:rPr>
            <m:sty m:val="p"/>
          </m:rPr>
          <w:rPr>
            <w:rFonts w:ascii="Cambria Math"/>
            <w:sz w:val="22"/>
            <w:szCs w:val="22"/>
          </w:rPr>
          <m:t>+</m:t>
        </m:r>
        <m:sSub>
          <m:sSubPr>
            <m:ctrlPr>
              <w:rPr>
                <w:rFonts w:ascii="Cambria Math" w:hAnsi="Cambria Math"/>
                <w:iCs/>
                <w:sz w:val="22"/>
                <w:szCs w:val="22"/>
              </w:rPr>
            </m:ctrlPr>
          </m:sSubPr>
          <m:e>
            <m:r>
              <w:rPr>
                <w:rFonts w:ascii="Cambria Math"/>
                <w:sz w:val="22"/>
                <w:szCs w:val="22"/>
              </w:rPr>
              <m:t>e</m:t>
            </m:r>
          </m:e>
          <m:sub>
            <m:r>
              <w:rPr>
                <w:rFonts w:ascii="Cambria Math"/>
                <w:sz w:val="22"/>
                <w:szCs w:val="22"/>
              </w:rPr>
              <m:t>t</m:t>
            </m:r>
            <m:r>
              <m:rPr>
                <m:sty m:val="p"/>
              </m:rPr>
              <w:rPr>
                <w:rFonts w:ascii="Cambria Math"/>
                <w:sz w:val="22"/>
                <w:szCs w:val="22"/>
              </w:rPr>
              <m:t>+1</m:t>
            </m:r>
          </m:sub>
        </m:sSub>
      </m:oMath>
      <w:r w:rsidR="00F3019F">
        <w:rPr>
          <w:sz w:val="22"/>
          <w:szCs w:val="22"/>
        </w:rPr>
        <w:t xml:space="preserve">    </w:t>
      </w:r>
      <w:r>
        <w:rPr>
          <w:sz w:val="22"/>
          <w:szCs w:val="22"/>
        </w:rPr>
        <w:tab/>
      </w:r>
      <w:r w:rsidR="00F3019F">
        <w:rPr>
          <w:sz w:val="22"/>
          <w:szCs w:val="22"/>
        </w:rPr>
        <w:t xml:space="preserve"> </w:t>
      </w:r>
      <w:r>
        <w:rPr>
          <w:sz w:val="22"/>
          <w:szCs w:val="22"/>
        </w:rPr>
        <w:t>(1)</w:t>
      </w:r>
    </w:p>
    <w:p w:rsidR="00FA317F" w:rsidRPr="00FA317F" w:rsidRDefault="00FA317F" w:rsidP="00877A16">
      <w:pPr>
        <w:pStyle w:val="ListParagraph"/>
        <w:spacing w:line="276" w:lineRule="auto"/>
        <w:ind w:left="0"/>
        <w:jc w:val="both"/>
      </w:pPr>
    </w:p>
    <w:p w:rsidR="00DA221D" w:rsidRDefault="00DF6F1C" w:rsidP="00877A16">
      <w:pPr>
        <w:pStyle w:val="ListParagraph"/>
        <w:spacing w:line="276" w:lineRule="auto"/>
        <w:ind w:left="0"/>
        <w:jc w:val="both"/>
      </w:pPr>
      <w:proofErr w:type="gramStart"/>
      <w:r>
        <w:t>which</w:t>
      </w:r>
      <w:proofErr w:type="gramEnd"/>
      <w:r>
        <w:t xml:space="preserve"> </w:t>
      </w:r>
      <w:r w:rsidR="0040142A">
        <w:t>can be</w:t>
      </w:r>
      <w:r>
        <w:t xml:space="preserve"> estimated by data on city-specific employment growth by industry. In the present application we consider, due to data limitations, manufacturing employment vis-à-vis employment in other sectors. Hence, o</w:t>
      </w:r>
      <w:r w:rsidR="00DA221D" w:rsidRPr="00FA317F">
        <w:t xml:space="preserve">n the left side of the equation (1), </w:t>
      </w:r>
      <w:r w:rsidR="00DA221D" w:rsidRPr="00FA317F">
        <w:rPr>
          <w:i/>
        </w:rPr>
        <w:t>l</w:t>
      </w:r>
      <w:r w:rsidR="00DA221D" w:rsidRPr="00FA317F">
        <w:t xml:space="preserve"> is manufacturing industry employment. Taking two points of time, and assuming </w:t>
      </w:r>
      <w:r w:rsidR="00DA221D" w:rsidRPr="0040142A">
        <w:rPr>
          <w:i/>
          <w:iCs/>
        </w:rPr>
        <w:t>α</w:t>
      </w:r>
      <w:r w:rsidR="00DA221D" w:rsidRPr="00FA317F">
        <w:t>=1</w:t>
      </w:r>
      <w:r w:rsidR="00661CBB">
        <w:t xml:space="preserve"> without loss of generality</w:t>
      </w:r>
      <w:r w:rsidR="00DA221D" w:rsidRPr="00FA317F">
        <w:t>, the depend</w:t>
      </w:r>
      <w:r w:rsidR="00734C9D" w:rsidRPr="00FA317F">
        <w:t>e</w:t>
      </w:r>
      <w:r w:rsidR="00DA221D" w:rsidRPr="00FA317F">
        <w:t xml:space="preserve">nt variable is </w:t>
      </w:r>
      <w:r w:rsidR="00734C9D" w:rsidRPr="00FA317F">
        <w:t>m</w:t>
      </w:r>
      <w:r w:rsidR="00DA221D" w:rsidRPr="00FA317F">
        <w:t xml:space="preserve">anufacturing industry employment growth between period </w:t>
      </w:r>
      <w:r w:rsidR="00DA221D" w:rsidRPr="00FA317F">
        <w:rPr>
          <w:i/>
        </w:rPr>
        <w:t>t</w:t>
      </w:r>
      <w:r w:rsidR="00DA221D" w:rsidRPr="00FA317F">
        <w:t xml:space="preserve"> and </w:t>
      </w:r>
      <w:r w:rsidR="00DA221D" w:rsidRPr="00FA317F">
        <w:rPr>
          <w:i/>
        </w:rPr>
        <w:t>t</w:t>
      </w:r>
      <w:r w:rsidR="00DA221D" w:rsidRPr="00FA317F">
        <w:t xml:space="preserve">+1. This is explained </w:t>
      </w:r>
      <w:r w:rsidR="00734C9D" w:rsidRPr="00FA317F">
        <w:t xml:space="preserve">in terms of </w:t>
      </w:r>
      <w:r w:rsidR="0040142A">
        <w:t xml:space="preserve">national </w:t>
      </w:r>
      <w:r w:rsidR="00DA221D" w:rsidRPr="00FA317F">
        <w:t>wage (</w:t>
      </w:r>
      <w:r w:rsidR="00DA221D" w:rsidRPr="00FA317F">
        <w:rPr>
          <w:i/>
        </w:rPr>
        <w:t>w</w:t>
      </w:r>
      <w:r w:rsidR="00DA221D" w:rsidRPr="00FA317F">
        <w:t>) growth</w:t>
      </w:r>
      <w:r w:rsidR="00734C9D" w:rsidRPr="00FA317F">
        <w:t xml:space="preserve"> (negatively)</w:t>
      </w:r>
      <w:r w:rsidR="00DA221D" w:rsidRPr="00FA317F">
        <w:t xml:space="preserve">, </w:t>
      </w:r>
      <w:r w:rsidR="00734C9D" w:rsidRPr="00FA317F">
        <w:t xml:space="preserve">the </w:t>
      </w:r>
      <w:r w:rsidR="00DA221D" w:rsidRPr="00FA317F">
        <w:t>national growth of technology (</w:t>
      </w:r>
      <w:r w:rsidR="00DA221D" w:rsidRPr="00FA317F">
        <w:rPr>
          <w:i/>
        </w:rPr>
        <w:t>A</w:t>
      </w:r>
      <w:r w:rsidR="00DA221D" w:rsidRPr="00FA317F">
        <w:t xml:space="preserve">), and by the </w:t>
      </w:r>
      <w:r w:rsidR="00DA221D" w:rsidRPr="00FA317F">
        <w:rPr>
          <w:i/>
          <w:iCs/>
        </w:rPr>
        <w:t>g</w:t>
      </w:r>
      <w:r w:rsidR="00DA221D" w:rsidRPr="00FA317F">
        <w:t xml:space="preserve"> function which capt</w:t>
      </w:r>
      <w:r w:rsidR="00734C9D" w:rsidRPr="00FA317F">
        <w:t>u</w:t>
      </w:r>
      <w:r w:rsidR="00DA221D" w:rsidRPr="00FA317F">
        <w:t>res speciali</w:t>
      </w:r>
      <w:r w:rsidR="007B0FEE">
        <w:t>s</w:t>
      </w:r>
      <w:r w:rsidR="00DA221D" w:rsidRPr="00FA317F">
        <w:t>ation, competition, and diversity externalities</w:t>
      </w:r>
      <w:r w:rsidR="0040142A">
        <w:t>; as well as</w:t>
      </w:r>
      <w:r w:rsidR="00DA221D" w:rsidRPr="00FA317F">
        <w:t xml:space="preserve"> initial conditions (e.g. human capital or other variables</w:t>
      </w:r>
      <w:r w:rsidR="00734C9D" w:rsidRPr="00FA317F">
        <w:t xml:space="preserve"> considered relevant by the researcher</w:t>
      </w:r>
      <w:r w:rsidR="00DA221D" w:rsidRPr="00FA317F">
        <w:t>); and lastly,</w:t>
      </w:r>
      <w:r w:rsidR="00D77E95">
        <w:t xml:space="preserve"> </w:t>
      </w:r>
      <m:oMath>
        <m:sSub>
          <m:sSubPr>
            <m:ctrlPr>
              <w:rPr>
                <w:rFonts w:ascii="Cambria Math" w:hAnsi="Cambria Math"/>
                <w:iCs/>
              </w:rPr>
            </m:ctrlPr>
          </m:sSubPr>
          <m:e>
            <m:r>
              <m:rPr>
                <m:sty m:val="p"/>
              </m:rPr>
              <w:rPr>
                <w:rFonts w:ascii="Cambria Math" w:hAnsi="Cambria Math"/>
              </w:rPr>
              <m:t>e</m:t>
            </m:r>
          </m:e>
          <m:sub>
            <m:r>
              <w:rPr>
                <w:rFonts w:ascii="Cambria Math" w:hAnsi="Cambria Math"/>
              </w:rPr>
              <m:t>t</m:t>
            </m:r>
            <m:r>
              <m:rPr>
                <m:sty m:val="p"/>
              </m:rPr>
              <w:rPr>
                <w:rFonts w:ascii="Cambria Math" w:hAnsi="Cambria Math"/>
              </w:rPr>
              <m:t>+1</m:t>
            </m:r>
          </m:sub>
        </m:sSub>
      </m:oMath>
      <w:r w:rsidR="00DA221D" w:rsidRPr="00FA317F">
        <w:t xml:space="preserve"> is a residual.</w:t>
      </w:r>
    </w:p>
    <w:p w:rsidR="00877A16" w:rsidRPr="00FA317F" w:rsidRDefault="00877A16" w:rsidP="00877A16">
      <w:pPr>
        <w:pStyle w:val="ListParagraph"/>
        <w:spacing w:line="276" w:lineRule="auto"/>
        <w:ind w:left="0"/>
        <w:jc w:val="both"/>
      </w:pPr>
    </w:p>
    <w:p w:rsidR="00DA221D" w:rsidRDefault="00DA221D" w:rsidP="00877A16">
      <w:pPr>
        <w:pStyle w:val="ListParagraph"/>
        <w:tabs>
          <w:tab w:val="left" w:pos="426"/>
        </w:tabs>
        <w:spacing w:line="276" w:lineRule="auto"/>
        <w:ind w:left="0"/>
        <w:jc w:val="both"/>
      </w:pPr>
      <w:r w:rsidRPr="00FA317F">
        <w:tab/>
      </w:r>
      <w:proofErr w:type="spellStart"/>
      <w:r w:rsidRPr="00FA317F">
        <w:t>Glaeser</w:t>
      </w:r>
      <w:proofErr w:type="spellEnd"/>
      <w:r w:rsidRPr="00FA317F">
        <w:t xml:space="preserve"> </w:t>
      </w:r>
      <w:r w:rsidR="00881347">
        <w:rPr>
          <w:i/>
          <w:iCs/>
        </w:rPr>
        <w:t>et</w:t>
      </w:r>
      <w:r w:rsidRPr="00FA317F">
        <w:rPr>
          <w:i/>
          <w:iCs/>
        </w:rPr>
        <w:t xml:space="preserve"> al.</w:t>
      </w:r>
      <w:r w:rsidRPr="00FA317F">
        <w:t xml:space="preserve">’s model was first </w:t>
      </w:r>
      <w:r w:rsidR="0040142A">
        <w:t>estimated by means of</w:t>
      </w:r>
      <w:r w:rsidRPr="00FA317F">
        <w:t xml:space="preserve"> </w:t>
      </w:r>
      <w:r w:rsidR="0040142A">
        <w:t xml:space="preserve">industry-by-city </w:t>
      </w:r>
      <w:r w:rsidRPr="00FA317F">
        <w:t xml:space="preserve">manufacturing employment data </w:t>
      </w:r>
      <w:r w:rsidR="00734C9D" w:rsidRPr="00FA317F">
        <w:t xml:space="preserve">in the US </w:t>
      </w:r>
      <w:r w:rsidRPr="00FA317F">
        <w:t>(</w:t>
      </w:r>
      <w:proofErr w:type="spellStart"/>
      <w:r w:rsidRPr="00FA317F">
        <w:t>Glaeser</w:t>
      </w:r>
      <w:proofErr w:type="spellEnd"/>
      <w:r w:rsidRPr="00FA317F">
        <w:t xml:space="preserve"> </w:t>
      </w:r>
      <w:r w:rsidRPr="0040142A">
        <w:rPr>
          <w:i/>
          <w:iCs/>
        </w:rPr>
        <w:t>et al.</w:t>
      </w:r>
      <w:r w:rsidRPr="00FA317F">
        <w:t xml:space="preserve"> 1992; Henderson </w:t>
      </w:r>
      <w:r w:rsidRPr="0040142A">
        <w:rPr>
          <w:i/>
          <w:iCs/>
        </w:rPr>
        <w:t>et al.</w:t>
      </w:r>
      <w:r w:rsidRPr="00FA317F">
        <w:t xml:space="preserve"> 1995) </w:t>
      </w:r>
      <w:r w:rsidR="00734C9D" w:rsidRPr="00FA317F">
        <w:t xml:space="preserve">and </w:t>
      </w:r>
      <w:r w:rsidR="0040142A">
        <w:t xml:space="preserve">by </w:t>
      </w:r>
      <w:r w:rsidRPr="00FA317F">
        <w:t xml:space="preserve">manufacturing </w:t>
      </w:r>
      <w:r w:rsidR="0040142A" w:rsidRPr="00FA317F">
        <w:t xml:space="preserve">and services </w:t>
      </w:r>
      <w:r w:rsidRPr="00FA317F">
        <w:t>employment data in France (</w:t>
      </w:r>
      <w:proofErr w:type="spellStart"/>
      <w:r w:rsidRPr="00FA317F">
        <w:t>Combes</w:t>
      </w:r>
      <w:proofErr w:type="spellEnd"/>
      <w:r w:rsidRPr="00FA317F">
        <w:t xml:space="preserve">, 2000) before it became </w:t>
      </w:r>
      <w:r w:rsidR="00734C9D" w:rsidRPr="00FA317F">
        <w:t>more widespread</w:t>
      </w:r>
      <w:r w:rsidRPr="00FA317F">
        <w:t xml:space="preserve">. </w:t>
      </w:r>
      <w:r w:rsidR="00734C9D" w:rsidRPr="00FA317F">
        <w:t xml:space="preserve">De </w:t>
      </w:r>
      <w:proofErr w:type="spellStart"/>
      <w:r w:rsidRPr="00FA317F">
        <w:t>Groot</w:t>
      </w:r>
      <w:proofErr w:type="spellEnd"/>
      <w:r w:rsidRPr="00FA317F">
        <w:t xml:space="preserve">, </w:t>
      </w:r>
      <w:proofErr w:type="spellStart"/>
      <w:r w:rsidRPr="00FA317F">
        <w:t>Poot</w:t>
      </w:r>
      <w:proofErr w:type="spellEnd"/>
      <w:r w:rsidRPr="00FA317F">
        <w:t xml:space="preserve"> and </w:t>
      </w:r>
      <w:proofErr w:type="spellStart"/>
      <w:r w:rsidRPr="00FA317F">
        <w:t>Smit</w:t>
      </w:r>
      <w:proofErr w:type="spellEnd"/>
      <w:r w:rsidRPr="00FA317F">
        <w:t xml:space="preserve"> (2009) summari</w:t>
      </w:r>
      <w:r w:rsidR="007B0FEE">
        <w:t>s</w:t>
      </w:r>
      <w:r w:rsidRPr="00FA317F">
        <w:t xml:space="preserve">e </w:t>
      </w:r>
      <w:r w:rsidR="00734C9D" w:rsidRPr="00FA317F">
        <w:t xml:space="preserve">the </w:t>
      </w:r>
      <w:r w:rsidRPr="00FA317F">
        <w:t xml:space="preserve">international literature covering the period </w:t>
      </w:r>
      <w:r w:rsidR="00734C9D" w:rsidRPr="00FA317F">
        <w:t>1997-</w:t>
      </w:r>
      <w:r w:rsidRPr="00FA317F">
        <w:t xml:space="preserve">2006. Based on meta-analysis – which consists </w:t>
      </w:r>
      <w:r w:rsidR="0040142A">
        <w:t>of</w:t>
      </w:r>
      <w:r w:rsidRPr="00FA317F">
        <w:t xml:space="preserve"> </w:t>
      </w:r>
      <w:r w:rsidR="00734C9D" w:rsidRPr="00FA317F">
        <w:t>combining</w:t>
      </w:r>
      <w:r w:rsidRPr="00FA317F">
        <w:t xml:space="preserve"> all empirical evidence in which </w:t>
      </w:r>
      <w:r w:rsidR="00734C9D" w:rsidRPr="00FA317F">
        <w:t xml:space="preserve">at least one </w:t>
      </w:r>
      <w:r w:rsidRPr="00FA317F">
        <w:t xml:space="preserve">of the first three elements of </w:t>
      </w:r>
      <w:r w:rsidR="00734C9D" w:rsidRPr="00FA317F">
        <w:t xml:space="preserve">the </w:t>
      </w:r>
      <w:r w:rsidRPr="00FA317F">
        <w:rPr>
          <w:i/>
        </w:rPr>
        <w:t>g</w:t>
      </w:r>
      <w:r w:rsidRPr="00FA317F">
        <w:t xml:space="preserve"> function of equation (1) </w:t>
      </w:r>
      <w:r w:rsidR="00734C9D" w:rsidRPr="00FA317F">
        <w:t xml:space="preserve">is tested for statistical significance </w:t>
      </w:r>
      <w:r w:rsidRPr="00FA317F">
        <w:t>– they found 322 articles that analy</w:t>
      </w:r>
      <w:r w:rsidR="007B0FEE">
        <w:t>s</w:t>
      </w:r>
      <w:r w:rsidRPr="00FA317F">
        <w:t>e dynamic externalities</w:t>
      </w:r>
      <w:r w:rsidR="00881347">
        <w:t xml:space="preserve"> and that</w:t>
      </w:r>
      <w:r w:rsidRPr="00FA317F">
        <w:t xml:space="preserve"> cited either </w:t>
      </w:r>
      <w:proofErr w:type="spellStart"/>
      <w:r w:rsidRPr="00FA317F">
        <w:t>Glaeser</w:t>
      </w:r>
      <w:proofErr w:type="spellEnd"/>
      <w:r w:rsidRPr="00FA317F">
        <w:t xml:space="preserve"> </w:t>
      </w:r>
      <w:r w:rsidRPr="00FA317F">
        <w:rPr>
          <w:i/>
          <w:iCs/>
        </w:rPr>
        <w:t>et</w:t>
      </w:r>
      <w:r w:rsidR="00881347">
        <w:rPr>
          <w:i/>
          <w:iCs/>
        </w:rPr>
        <w:t xml:space="preserve"> </w:t>
      </w:r>
      <w:r w:rsidRPr="00FA317F">
        <w:rPr>
          <w:i/>
          <w:iCs/>
        </w:rPr>
        <w:t>al.</w:t>
      </w:r>
      <w:r w:rsidRPr="00FA317F">
        <w:t xml:space="preserve"> (1992) or both Porter (1990) and Jacobs (1969). </w:t>
      </w:r>
    </w:p>
    <w:p w:rsidR="00877A16" w:rsidRPr="00FA317F" w:rsidRDefault="00877A16" w:rsidP="00877A16">
      <w:pPr>
        <w:pStyle w:val="ListParagraph"/>
        <w:tabs>
          <w:tab w:val="left" w:pos="426"/>
        </w:tabs>
        <w:spacing w:line="276" w:lineRule="auto"/>
        <w:ind w:left="0"/>
        <w:jc w:val="both"/>
      </w:pPr>
    </w:p>
    <w:p w:rsidR="00DA221D" w:rsidRDefault="00DA221D" w:rsidP="00877A16">
      <w:pPr>
        <w:pStyle w:val="ListParagraph"/>
        <w:tabs>
          <w:tab w:val="left" w:pos="426"/>
        </w:tabs>
        <w:spacing w:line="276" w:lineRule="auto"/>
        <w:ind w:left="0"/>
        <w:jc w:val="both"/>
      </w:pPr>
      <w:r w:rsidRPr="00FA317F">
        <w:tab/>
        <w:t xml:space="preserve">Of these 322 articles, only 31 had </w:t>
      </w:r>
      <w:r w:rsidR="00734C9D" w:rsidRPr="00FA317F">
        <w:t xml:space="preserve">a </w:t>
      </w:r>
      <w:r w:rsidRPr="00FA317F">
        <w:t xml:space="preserve">quantitative approach </w:t>
      </w:r>
      <w:r w:rsidR="00734C9D" w:rsidRPr="00FA317F">
        <w:t>that was sufficiently similar</w:t>
      </w:r>
      <w:r w:rsidRPr="00FA317F">
        <w:t xml:space="preserve"> to </w:t>
      </w:r>
      <w:proofErr w:type="spellStart"/>
      <w:r w:rsidRPr="00FA317F">
        <w:t>Glaeser</w:t>
      </w:r>
      <w:proofErr w:type="spellEnd"/>
      <w:r w:rsidRPr="00FA317F">
        <w:t xml:space="preserve"> </w:t>
      </w:r>
      <w:r w:rsidR="00881347">
        <w:rPr>
          <w:i/>
          <w:iCs/>
        </w:rPr>
        <w:t>et</w:t>
      </w:r>
      <w:r w:rsidRPr="00FA317F">
        <w:rPr>
          <w:i/>
          <w:iCs/>
        </w:rPr>
        <w:t xml:space="preserve"> al</w:t>
      </w:r>
      <w:r w:rsidR="00881347">
        <w:rPr>
          <w:i/>
          <w:iCs/>
        </w:rPr>
        <w:t>.</w:t>
      </w:r>
      <w:r w:rsidRPr="00FA317F">
        <w:t xml:space="preserve"> (1992)</w:t>
      </w:r>
      <w:r w:rsidR="00734C9D" w:rsidRPr="00FA317F">
        <w:t xml:space="preserve"> to permit a </w:t>
      </w:r>
      <w:r w:rsidR="00881347">
        <w:t xml:space="preserve">meta-analytic </w:t>
      </w:r>
      <w:r w:rsidR="00734C9D" w:rsidRPr="00FA317F">
        <w:t>comparison</w:t>
      </w:r>
      <w:r w:rsidR="00881347">
        <w:t xml:space="preserve"> </w:t>
      </w:r>
      <w:r w:rsidRPr="00FA317F">
        <w:t xml:space="preserve">and, together, these 31 articles </w:t>
      </w:r>
      <w:r w:rsidR="00734C9D" w:rsidRPr="00FA317F">
        <w:t>yielded</w:t>
      </w:r>
      <w:r w:rsidRPr="00FA317F">
        <w:t xml:space="preserve"> a total of 393 </w:t>
      </w:r>
      <w:r w:rsidR="00734C9D" w:rsidRPr="00FA317F">
        <w:t>estimates</w:t>
      </w:r>
      <w:r w:rsidRPr="00FA317F">
        <w:t xml:space="preserve">. A summary </w:t>
      </w:r>
      <w:r w:rsidR="00734C9D" w:rsidRPr="00FA317F">
        <w:t>of the significance tests conducted in th</w:t>
      </w:r>
      <w:r w:rsidR="0040142A">
        <w:t>is</w:t>
      </w:r>
      <w:r w:rsidRPr="00FA317F">
        <w:t xml:space="preserve"> international literature </w:t>
      </w:r>
      <w:r w:rsidR="00734C9D" w:rsidRPr="00FA317F">
        <w:t xml:space="preserve">is reproduced in Table </w:t>
      </w:r>
      <w:r w:rsidR="00881347">
        <w:t xml:space="preserve">1. This table </w:t>
      </w:r>
      <w:r w:rsidRPr="00FA317F">
        <w:t>shows count</w:t>
      </w:r>
      <w:r w:rsidR="00881347">
        <w:t>s and</w:t>
      </w:r>
      <w:r w:rsidRPr="00FA317F">
        <w:t xml:space="preserve"> percentage</w:t>
      </w:r>
      <w:r w:rsidR="00881347">
        <w:t>s</w:t>
      </w:r>
      <w:r w:rsidRPr="00FA317F">
        <w:t xml:space="preserve"> </w:t>
      </w:r>
      <w:r w:rsidR="00881347">
        <w:t>for</w:t>
      </w:r>
      <w:r w:rsidRPr="00FA317F">
        <w:t xml:space="preserve"> </w:t>
      </w:r>
      <w:r w:rsidRPr="00FA317F">
        <w:lastRenderedPageBreak/>
        <w:t xml:space="preserve">each result in the following </w:t>
      </w:r>
      <w:r w:rsidR="00881347">
        <w:t>classification</w:t>
      </w:r>
      <w:r w:rsidRPr="00FA317F">
        <w:t>: “negative significant”, “negative insignificant”, “positive insignificant” and “positive significant” under the following three elements of agglomeration externalities: speciali</w:t>
      </w:r>
      <w:r w:rsidR="007B0FEE">
        <w:t>s</w:t>
      </w:r>
      <w:r w:rsidRPr="00FA317F">
        <w:t xml:space="preserve">ation, competition and diversity. </w:t>
      </w:r>
    </w:p>
    <w:p w:rsidR="00881347" w:rsidRPr="00C129F0" w:rsidRDefault="00881347" w:rsidP="00877A16">
      <w:pPr>
        <w:pStyle w:val="ListParagraph"/>
        <w:tabs>
          <w:tab w:val="left" w:pos="426"/>
        </w:tabs>
        <w:spacing w:line="276" w:lineRule="auto"/>
        <w:ind w:left="0"/>
        <w:jc w:val="both"/>
        <w:rPr>
          <w:sz w:val="16"/>
          <w:szCs w:val="16"/>
        </w:rPr>
      </w:pPr>
    </w:p>
    <w:p w:rsidR="00C129F0" w:rsidRPr="00FA317F" w:rsidRDefault="00C129F0" w:rsidP="00877A16">
      <w:pPr>
        <w:pStyle w:val="ListParagraph"/>
        <w:tabs>
          <w:tab w:val="left" w:pos="426"/>
        </w:tabs>
        <w:spacing w:line="276" w:lineRule="auto"/>
        <w:ind w:left="0"/>
        <w:jc w:val="both"/>
      </w:pPr>
    </w:p>
    <w:p w:rsidR="00877A16" w:rsidRPr="00A24B44" w:rsidRDefault="00877A16" w:rsidP="00877A16">
      <w:pPr>
        <w:pStyle w:val="ListParagraph"/>
        <w:ind w:left="0"/>
        <w:jc w:val="center"/>
        <w:rPr>
          <w:b/>
          <w:bCs/>
          <w:sz w:val="22"/>
          <w:szCs w:val="22"/>
          <w:lang w:val="en-US"/>
        </w:rPr>
      </w:pPr>
      <w:r w:rsidRPr="00A24B44">
        <w:rPr>
          <w:b/>
          <w:sz w:val="22"/>
          <w:szCs w:val="22"/>
          <w:lang w:val="en-US"/>
        </w:rPr>
        <w:t xml:space="preserve">Table 1: </w:t>
      </w:r>
      <w:r w:rsidRPr="00A24B44">
        <w:rPr>
          <w:b/>
          <w:bCs/>
          <w:sz w:val="22"/>
          <w:szCs w:val="22"/>
          <w:lang w:val="en-US"/>
        </w:rPr>
        <w:t xml:space="preserve">Counts of Statistical Significance of Knowledge Externalities </w:t>
      </w:r>
    </w:p>
    <w:p w:rsidR="00877A16" w:rsidRPr="00A24B44" w:rsidRDefault="00877A16" w:rsidP="00877A16">
      <w:pPr>
        <w:pStyle w:val="ListParagraph"/>
        <w:ind w:left="0"/>
        <w:jc w:val="center"/>
        <w:rPr>
          <w:b/>
          <w:bCs/>
          <w:sz w:val="22"/>
          <w:szCs w:val="22"/>
          <w:lang w:val="en-US"/>
        </w:rPr>
      </w:pPr>
      <w:proofErr w:type="gramStart"/>
      <w:r w:rsidRPr="00A24B44">
        <w:rPr>
          <w:b/>
          <w:bCs/>
          <w:sz w:val="22"/>
          <w:szCs w:val="22"/>
          <w:lang w:val="en-US"/>
        </w:rPr>
        <w:t>in</w:t>
      </w:r>
      <w:proofErr w:type="gramEnd"/>
      <w:r w:rsidRPr="00A24B44">
        <w:rPr>
          <w:b/>
          <w:bCs/>
          <w:sz w:val="22"/>
          <w:szCs w:val="22"/>
          <w:lang w:val="en-US"/>
        </w:rPr>
        <w:t xml:space="preserve"> Empirical Estimates of the </w:t>
      </w:r>
      <w:proofErr w:type="spellStart"/>
      <w:r w:rsidRPr="00A24B44">
        <w:rPr>
          <w:b/>
          <w:bCs/>
          <w:sz w:val="22"/>
          <w:szCs w:val="22"/>
          <w:lang w:val="en-US"/>
        </w:rPr>
        <w:t>Glaeser</w:t>
      </w:r>
      <w:proofErr w:type="spellEnd"/>
      <w:r w:rsidRPr="00A24B44">
        <w:rPr>
          <w:b/>
          <w:bCs/>
          <w:sz w:val="22"/>
          <w:szCs w:val="22"/>
          <w:lang w:val="en-US"/>
        </w:rPr>
        <w:t xml:space="preserve"> et al. (1992)-Type Models</w:t>
      </w:r>
    </w:p>
    <w:tbl>
      <w:tblPr>
        <w:tblW w:w="0" w:type="auto"/>
        <w:jc w:val="center"/>
        <w:tblInd w:w="-893" w:type="dxa"/>
        <w:tblBorders>
          <w:top w:val="single" w:sz="4" w:space="0" w:color="000000"/>
          <w:bottom w:val="single" w:sz="4" w:space="0" w:color="000000"/>
        </w:tblBorders>
        <w:tblLayout w:type="fixed"/>
        <w:tblLook w:val="04A0"/>
      </w:tblPr>
      <w:tblGrid>
        <w:gridCol w:w="2389"/>
        <w:gridCol w:w="1164"/>
        <w:gridCol w:w="1071"/>
        <w:gridCol w:w="992"/>
        <w:gridCol w:w="992"/>
        <w:gridCol w:w="992"/>
        <w:gridCol w:w="1056"/>
      </w:tblGrid>
      <w:tr w:rsidR="00877A16" w:rsidRPr="00877A16" w:rsidTr="00446808">
        <w:trPr>
          <w:jc w:val="center"/>
        </w:trPr>
        <w:tc>
          <w:tcPr>
            <w:tcW w:w="2389" w:type="dxa"/>
            <w:tcBorders>
              <w:bottom w:val="nil"/>
            </w:tcBorders>
          </w:tcPr>
          <w:p w:rsidR="00877A16" w:rsidRPr="00877A16" w:rsidRDefault="00877A16" w:rsidP="00521003">
            <w:pPr>
              <w:pStyle w:val="ListParagraph"/>
              <w:ind w:left="0"/>
              <w:jc w:val="both"/>
              <w:rPr>
                <w:sz w:val="22"/>
                <w:szCs w:val="22"/>
                <w:lang w:val="en-US"/>
              </w:rPr>
            </w:pPr>
          </w:p>
        </w:tc>
        <w:tc>
          <w:tcPr>
            <w:tcW w:w="2235" w:type="dxa"/>
            <w:gridSpan w:val="2"/>
            <w:tcBorders>
              <w:bottom w:val="nil"/>
            </w:tcBorders>
          </w:tcPr>
          <w:p w:rsidR="00877A16" w:rsidRPr="00877A16" w:rsidRDefault="00446808" w:rsidP="00521003">
            <w:pPr>
              <w:pStyle w:val="ListParagraph"/>
              <w:ind w:left="0"/>
              <w:jc w:val="both"/>
              <w:rPr>
                <w:sz w:val="22"/>
                <w:szCs w:val="22"/>
                <w:lang w:val="en-US"/>
              </w:rPr>
            </w:pPr>
            <w:proofErr w:type="spellStart"/>
            <w:r>
              <w:rPr>
                <w:sz w:val="22"/>
                <w:szCs w:val="22"/>
                <w:lang w:val="en-US"/>
              </w:rPr>
              <w:t>Specialisation</w:t>
            </w:r>
            <w:proofErr w:type="spellEnd"/>
          </w:p>
        </w:tc>
        <w:tc>
          <w:tcPr>
            <w:tcW w:w="1984" w:type="dxa"/>
            <w:gridSpan w:val="2"/>
            <w:tcBorders>
              <w:bottom w:val="nil"/>
            </w:tcBorders>
          </w:tcPr>
          <w:p w:rsidR="00877A16" w:rsidRPr="00877A16" w:rsidRDefault="00446808" w:rsidP="00521003">
            <w:pPr>
              <w:pStyle w:val="ListParagraph"/>
              <w:ind w:left="0"/>
              <w:jc w:val="both"/>
              <w:rPr>
                <w:sz w:val="22"/>
                <w:szCs w:val="22"/>
                <w:lang w:val="en-US"/>
              </w:rPr>
            </w:pPr>
            <w:r>
              <w:rPr>
                <w:sz w:val="22"/>
                <w:szCs w:val="22"/>
                <w:lang w:val="en-US"/>
              </w:rPr>
              <w:t>Competition</w:t>
            </w:r>
          </w:p>
        </w:tc>
        <w:tc>
          <w:tcPr>
            <w:tcW w:w="2048" w:type="dxa"/>
            <w:gridSpan w:val="2"/>
            <w:tcBorders>
              <w:bottom w:val="nil"/>
            </w:tcBorders>
          </w:tcPr>
          <w:p w:rsidR="00877A16" w:rsidRPr="00877A16" w:rsidRDefault="00446808" w:rsidP="00521003">
            <w:pPr>
              <w:pStyle w:val="ListParagraph"/>
              <w:ind w:left="0"/>
              <w:jc w:val="both"/>
              <w:rPr>
                <w:sz w:val="22"/>
                <w:szCs w:val="22"/>
                <w:lang w:val="en-US"/>
              </w:rPr>
            </w:pPr>
            <w:proofErr w:type="spellStart"/>
            <w:r>
              <w:rPr>
                <w:sz w:val="22"/>
                <w:szCs w:val="22"/>
                <w:lang w:val="en-US"/>
              </w:rPr>
              <w:t>Divbersity</w:t>
            </w:r>
            <w:proofErr w:type="spellEnd"/>
          </w:p>
        </w:tc>
      </w:tr>
      <w:tr w:rsidR="00877A16" w:rsidRPr="00877A16" w:rsidTr="00446808">
        <w:trPr>
          <w:jc w:val="center"/>
        </w:trPr>
        <w:tc>
          <w:tcPr>
            <w:tcW w:w="2389" w:type="dxa"/>
            <w:tcBorders>
              <w:top w:val="nil"/>
              <w:bottom w:val="single" w:sz="4" w:space="0" w:color="000000"/>
            </w:tcBorders>
          </w:tcPr>
          <w:p w:rsidR="00877A16" w:rsidRPr="00877A16" w:rsidRDefault="00877A16" w:rsidP="00521003">
            <w:pPr>
              <w:pStyle w:val="ListParagraph"/>
              <w:ind w:left="0"/>
              <w:jc w:val="both"/>
              <w:rPr>
                <w:sz w:val="22"/>
                <w:szCs w:val="22"/>
                <w:lang w:val="en-US"/>
              </w:rPr>
            </w:pPr>
          </w:p>
        </w:tc>
        <w:tc>
          <w:tcPr>
            <w:tcW w:w="1164" w:type="dxa"/>
            <w:tcBorders>
              <w:top w:val="nil"/>
              <w:bottom w:val="single" w:sz="4" w:space="0" w:color="000000"/>
            </w:tcBorders>
          </w:tcPr>
          <w:p w:rsidR="00877A16" w:rsidRPr="00877A16" w:rsidRDefault="00877A16" w:rsidP="00521003">
            <w:pPr>
              <w:pStyle w:val="ListParagraph"/>
              <w:ind w:left="0"/>
              <w:jc w:val="center"/>
              <w:rPr>
                <w:sz w:val="22"/>
                <w:szCs w:val="22"/>
                <w:lang w:val="en-US"/>
              </w:rPr>
            </w:pPr>
            <w:r w:rsidRPr="00877A16">
              <w:rPr>
                <w:sz w:val="22"/>
                <w:szCs w:val="22"/>
                <w:lang w:val="en-US"/>
              </w:rPr>
              <w:t>Count</w:t>
            </w:r>
          </w:p>
        </w:tc>
        <w:tc>
          <w:tcPr>
            <w:tcW w:w="1071" w:type="dxa"/>
            <w:tcBorders>
              <w:top w:val="nil"/>
              <w:bottom w:val="single" w:sz="4" w:space="0" w:color="000000"/>
            </w:tcBorders>
          </w:tcPr>
          <w:p w:rsidR="00877A16" w:rsidRPr="00877A16" w:rsidRDefault="00877A16" w:rsidP="00521003">
            <w:pPr>
              <w:pStyle w:val="ListParagraph"/>
              <w:ind w:left="0"/>
              <w:jc w:val="center"/>
              <w:rPr>
                <w:sz w:val="22"/>
                <w:szCs w:val="22"/>
                <w:lang w:val="en-US"/>
              </w:rPr>
            </w:pPr>
            <w:r w:rsidRPr="00877A16">
              <w:rPr>
                <w:sz w:val="22"/>
                <w:szCs w:val="22"/>
                <w:lang w:val="en-US"/>
              </w:rPr>
              <w:t>%</w:t>
            </w:r>
          </w:p>
        </w:tc>
        <w:tc>
          <w:tcPr>
            <w:tcW w:w="992" w:type="dxa"/>
            <w:tcBorders>
              <w:top w:val="nil"/>
              <w:bottom w:val="single" w:sz="4" w:space="0" w:color="000000"/>
            </w:tcBorders>
          </w:tcPr>
          <w:p w:rsidR="00877A16" w:rsidRPr="00877A16" w:rsidRDefault="00877A16" w:rsidP="00521003">
            <w:pPr>
              <w:pStyle w:val="ListParagraph"/>
              <w:ind w:left="0"/>
              <w:jc w:val="center"/>
              <w:rPr>
                <w:sz w:val="22"/>
                <w:szCs w:val="22"/>
                <w:lang w:val="en-US"/>
              </w:rPr>
            </w:pPr>
            <w:r w:rsidRPr="00877A16">
              <w:rPr>
                <w:sz w:val="22"/>
                <w:szCs w:val="22"/>
                <w:lang w:val="en-US"/>
              </w:rPr>
              <w:t>Count</w:t>
            </w:r>
          </w:p>
        </w:tc>
        <w:tc>
          <w:tcPr>
            <w:tcW w:w="992" w:type="dxa"/>
            <w:tcBorders>
              <w:top w:val="nil"/>
              <w:bottom w:val="single" w:sz="4" w:space="0" w:color="000000"/>
            </w:tcBorders>
          </w:tcPr>
          <w:p w:rsidR="00877A16" w:rsidRPr="00877A16" w:rsidRDefault="00877A16" w:rsidP="00521003">
            <w:pPr>
              <w:pStyle w:val="ListParagraph"/>
              <w:ind w:left="0"/>
              <w:jc w:val="center"/>
              <w:rPr>
                <w:sz w:val="22"/>
                <w:szCs w:val="22"/>
                <w:lang w:val="en-US"/>
              </w:rPr>
            </w:pPr>
            <w:r w:rsidRPr="00877A16">
              <w:rPr>
                <w:sz w:val="22"/>
                <w:szCs w:val="22"/>
                <w:lang w:val="en-US"/>
              </w:rPr>
              <w:t>%</w:t>
            </w:r>
          </w:p>
        </w:tc>
        <w:tc>
          <w:tcPr>
            <w:tcW w:w="992" w:type="dxa"/>
            <w:tcBorders>
              <w:top w:val="nil"/>
              <w:bottom w:val="single" w:sz="4" w:space="0" w:color="000000"/>
            </w:tcBorders>
          </w:tcPr>
          <w:p w:rsidR="00877A16" w:rsidRPr="00877A16" w:rsidRDefault="00877A16" w:rsidP="00521003">
            <w:pPr>
              <w:pStyle w:val="ListParagraph"/>
              <w:ind w:left="0"/>
              <w:jc w:val="center"/>
              <w:rPr>
                <w:sz w:val="22"/>
                <w:szCs w:val="22"/>
                <w:lang w:val="en-US"/>
              </w:rPr>
            </w:pPr>
            <w:r w:rsidRPr="00877A16">
              <w:rPr>
                <w:sz w:val="22"/>
                <w:szCs w:val="22"/>
                <w:lang w:val="en-US"/>
              </w:rPr>
              <w:t>Count</w:t>
            </w:r>
          </w:p>
        </w:tc>
        <w:tc>
          <w:tcPr>
            <w:tcW w:w="1056" w:type="dxa"/>
            <w:tcBorders>
              <w:top w:val="nil"/>
              <w:bottom w:val="single" w:sz="4" w:space="0" w:color="000000"/>
            </w:tcBorders>
          </w:tcPr>
          <w:p w:rsidR="00877A16" w:rsidRPr="00877A16" w:rsidRDefault="00877A16" w:rsidP="00521003">
            <w:pPr>
              <w:pStyle w:val="ListParagraph"/>
              <w:ind w:left="0"/>
              <w:jc w:val="center"/>
              <w:rPr>
                <w:sz w:val="22"/>
                <w:szCs w:val="22"/>
                <w:lang w:val="en-US"/>
              </w:rPr>
            </w:pPr>
            <w:r w:rsidRPr="00877A16">
              <w:rPr>
                <w:sz w:val="22"/>
                <w:szCs w:val="22"/>
                <w:lang w:val="en-US"/>
              </w:rPr>
              <w:t>%</w:t>
            </w:r>
          </w:p>
        </w:tc>
      </w:tr>
      <w:tr w:rsidR="00877A16" w:rsidRPr="00877A16" w:rsidTr="00446808">
        <w:trPr>
          <w:jc w:val="center"/>
        </w:trPr>
        <w:tc>
          <w:tcPr>
            <w:tcW w:w="2389" w:type="dxa"/>
            <w:tcBorders>
              <w:top w:val="single" w:sz="4" w:space="0" w:color="000000"/>
            </w:tcBorders>
          </w:tcPr>
          <w:p w:rsidR="00877A16" w:rsidRPr="00877A16" w:rsidRDefault="00877A16" w:rsidP="00521003">
            <w:pPr>
              <w:pStyle w:val="ListParagraph"/>
              <w:ind w:left="0"/>
              <w:jc w:val="both"/>
              <w:rPr>
                <w:sz w:val="22"/>
                <w:szCs w:val="22"/>
                <w:lang w:val="en-US"/>
              </w:rPr>
            </w:pPr>
            <w:r w:rsidRPr="00877A16">
              <w:rPr>
                <w:sz w:val="22"/>
                <w:szCs w:val="22"/>
                <w:lang w:val="en-US"/>
              </w:rPr>
              <w:t>Negative significant</w:t>
            </w:r>
          </w:p>
        </w:tc>
        <w:tc>
          <w:tcPr>
            <w:tcW w:w="1164" w:type="dxa"/>
            <w:tcBorders>
              <w:top w:val="single" w:sz="4" w:space="0" w:color="000000"/>
            </w:tcBorders>
          </w:tcPr>
          <w:p w:rsidR="00877A16" w:rsidRPr="00877A16" w:rsidRDefault="00877A16" w:rsidP="00521003">
            <w:pPr>
              <w:pStyle w:val="ListParagraph"/>
              <w:ind w:left="0"/>
              <w:jc w:val="center"/>
              <w:rPr>
                <w:sz w:val="22"/>
                <w:szCs w:val="22"/>
                <w:lang w:val="en-US"/>
              </w:rPr>
            </w:pPr>
            <w:r w:rsidRPr="00877A16">
              <w:rPr>
                <w:sz w:val="22"/>
                <w:szCs w:val="22"/>
                <w:lang w:val="en-US"/>
              </w:rPr>
              <w:t>60</w:t>
            </w:r>
          </w:p>
        </w:tc>
        <w:tc>
          <w:tcPr>
            <w:tcW w:w="1071" w:type="dxa"/>
            <w:tcBorders>
              <w:top w:val="single" w:sz="4" w:space="0" w:color="000000"/>
            </w:tcBorders>
          </w:tcPr>
          <w:p w:rsidR="00877A16" w:rsidRPr="00877A16" w:rsidRDefault="00877A16" w:rsidP="00521003">
            <w:pPr>
              <w:pStyle w:val="ListParagraph"/>
              <w:ind w:left="0"/>
              <w:jc w:val="center"/>
              <w:rPr>
                <w:sz w:val="22"/>
                <w:szCs w:val="22"/>
                <w:lang w:val="en-US"/>
              </w:rPr>
            </w:pPr>
            <w:r w:rsidRPr="00877A16">
              <w:rPr>
                <w:sz w:val="22"/>
                <w:szCs w:val="22"/>
                <w:lang w:val="en-US"/>
              </w:rPr>
              <w:t>37</w:t>
            </w:r>
          </w:p>
        </w:tc>
        <w:tc>
          <w:tcPr>
            <w:tcW w:w="992" w:type="dxa"/>
            <w:tcBorders>
              <w:top w:val="single" w:sz="4" w:space="0" w:color="000000"/>
            </w:tcBorders>
          </w:tcPr>
          <w:p w:rsidR="00877A16" w:rsidRPr="00877A16" w:rsidRDefault="00877A16" w:rsidP="00521003">
            <w:pPr>
              <w:pStyle w:val="ListParagraph"/>
              <w:ind w:left="0"/>
              <w:jc w:val="center"/>
              <w:rPr>
                <w:sz w:val="22"/>
                <w:szCs w:val="22"/>
                <w:lang w:val="en-US"/>
              </w:rPr>
            </w:pPr>
            <w:r w:rsidRPr="00877A16">
              <w:rPr>
                <w:sz w:val="22"/>
                <w:szCs w:val="22"/>
                <w:lang w:val="en-US"/>
              </w:rPr>
              <w:t>16</w:t>
            </w:r>
          </w:p>
        </w:tc>
        <w:tc>
          <w:tcPr>
            <w:tcW w:w="992" w:type="dxa"/>
            <w:tcBorders>
              <w:top w:val="single" w:sz="4" w:space="0" w:color="000000"/>
            </w:tcBorders>
          </w:tcPr>
          <w:p w:rsidR="00877A16" w:rsidRPr="00877A16" w:rsidRDefault="00877A16" w:rsidP="00521003">
            <w:pPr>
              <w:pStyle w:val="ListParagraph"/>
              <w:ind w:left="0"/>
              <w:jc w:val="center"/>
              <w:rPr>
                <w:sz w:val="22"/>
                <w:szCs w:val="22"/>
                <w:lang w:val="en-US"/>
              </w:rPr>
            </w:pPr>
            <w:r w:rsidRPr="00877A16">
              <w:rPr>
                <w:sz w:val="22"/>
                <w:szCs w:val="22"/>
                <w:lang w:val="en-US"/>
              </w:rPr>
              <w:t>20</w:t>
            </w:r>
          </w:p>
        </w:tc>
        <w:tc>
          <w:tcPr>
            <w:tcW w:w="992" w:type="dxa"/>
            <w:tcBorders>
              <w:top w:val="single" w:sz="4" w:space="0" w:color="000000"/>
            </w:tcBorders>
          </w:tcPr>
          <w:p w:rsidR="00877A16" w:rsidRPr="00877A16" w:rsidRDefault="00877A16" w:rsidP="00521003">
            <w:pPr>
              <w:pStyle w:val="ListParagraph"/>
              <w:ind w:left="0"/>
              <w:jc w:val="center"/>
              <w:rPr>
                <w:sz w:val="22"/>
                <w:szCs w:val="22"/>
                <w:lang w:val="en-US"/>
              </w:rPr>
            </w:pPr>
            <w:r w:rsidRPr="00877A16">
              <w:rPr>
                <w:sz w:val="22"/>
                <w:szCs w:val="22"/>
                <w:lang w:val="en-US"/>
              </w:rPr>
              <w:t>17</w:t>
            </w:r>
          </w:p>
        </w:tc>
        <w:tc>
          <w:tcPr>
            <w:tcW w:w="1056" w:type="dxa"/>
            <w:tcBorders>
              <w:top w:val="single" w:sz="4" w:space="0" w:color="000000"/>
            </w:tcBorders>
          </w:tcPr>
          <w:p w:rsidR="00877A16" w:rsidRPr="00877A16" w:rsidRDefault="00877A16" w:rsidP="00521003">
            <w:pPr>
              <w:pStyle w:val="ListParagraph"/>
              <w:ind w:left="0"/>
              <w:jc w:val="center"/>
              <w:rPr>
                <w:sz w:val="22"/>
                <w:szCs w:val="22"/>
                <w:lang w:val="en-US"/>
              </w:rPr>
            </w:pPr>
            <w:r w:rsidRPr="00877A16">
              <w:rPr>
                <w:sz w:val="22"/>
                <w:szCs w:val="22"/>
                <w:lang w:val="en-US"/>
              </w:rPr>
              <w:t>11</w:t>
            </w:r>
          </w:p>
        </w:tc>
      </w:tr>
      <w:tr w:rsidR="00877A16" w:rsidRPr="00877A16" w:rsidTr="00446808">
        <w:trPr>
          <w:jc w:val="center"/>
        </w:trPr>
        <w:tc>
          <w:tcPr>
            <w:tcW w:w="2389" w:type="dxa"/>
          </w:tcPr>
          <w:p w:rsidR="00877A16" w:rsidRPr="00877A16" w:rsidRDefault="00877A16" w:rsidP="00521003">
            <w:pPr>
              <w:pStyle w:val="ListParagraph"/>
              <w:ind w:left="0"/>
              <w:jc w:val="both"/>
              <w:rPr>
                <w:sz w:val="22"/>
                <w:szCs w:val="22"/>
                <w:lang w:val="en-US"/>
              </w:rPr>
            </w:pPr>
            <w:r w:rsidRPr="00877A16">
              <w:rPr>
                <w:sz w:val="22"/>
                <w:szCs w:val="22"/>
                <w:lang w:val="en-US"/>
              </w:rPr>
              <w:t>Negative insignificant</w:t>
            </w:r>
          </w:p>
        </w:tc>
        <w:tc>
          <w:tcPr>
            <w:tcW w:w="1164" w:type="dxa"/>
          </w:tcPr>
          <w:p w:rsidR="00877A16" w:rsidRPr="00877A16" w:rsidRDefault="00877A16" w:rsidP="00521003">
            <w:pPr>
              <w:pStyle w:val="ListParagraph"/>
              <w:ind w:left="0"/>
              <w:jc w:val="center"/>
              <w:rPr>
                <w:sz w:val="22"/>
                <w:szCs w:val="22"/>
                <w:lang w:val="en-US"/>
              </w:rPr>
            </w:pPr>
            <w:r w:rsidRPr="00877A16">
              <w:rPr>
                <w:sz w:val="22"/>
                <w:szCs w:val="22"/>
                <w:lang w:val="en-US"/>
              </w:rPr>
              <w:t>33</w:t>
            </w:r>
          </w:p>
        </w:tc>
        <w:tc>
          <w:tcPr>
            <w:tcW w:w="1071" w:type="dxa"/>
          </w:tcPr>
          <w:p w:rsidR="00877A16" w:rsidRPr="00877A16" w:rsidRDefault="00877A16" w:rsidP="00521003">
            <w:pPr>
              <w:pStyle w:val="ListParagraph"/>
              <w:ind w:left="0"/>
              <w:jc w:val="center"/>
              <w:rPr>
                <w:sz w:val="22"/>
                <w:szCs w:val="22"/>
                <w:lang w:val="en-US"/>
              </w:rPr>
            </w:pPr>
            <w:r w:rsidRPr="00877A16">
              <w:rPr>
                <w:sz w:val="22"/>
                <w:szCs w:val="22"/>
                <w:lang w:val="en-US"/>
              </w:rPr>
              <w:t>20</w:t>
            </w:r>
          </w:p>
        </w:tc>
        <w:tc>
          <w:tcPr>
            <w:tcW w:w="992" w:type="dxa"/>
          </w:tcPr>
          <w:p w:rsidR="00877A16" w:rsidRPr="00877A16" w:rsidRDefault="00877A16" w:rsidP="00521003">
            <w:pPr>
              <w:pStyle w:val="ListParagraph"/>
              <w:ind w:left="0"/>
              <w:jc w:val="center"/>
              <w:rPr>
                <w:sz w:val="22"/>
                <w:szCs w:val="22"/>
                <w:lang w:val="en-US"/>
              </w:rPr>
            </w:pPr>
            <w:r w:rsidRPr="00877A16">
              <w:rPr>
                <w:sz w:val="22"/>
                <w:szCs w:val="22"/>
                <w:lang w:val="en-US"/>
              </w:rPr>
              <w:t>13</w:t>
            </w:r>
          </w:p>
        </w:tc>
        <w:tc>
          <w:tcPr>
            <w:tcW w:w="992" w:type="dxa"/>
          </w:tcPr>
          <w:p w:rsidR="00877A16" w:rsidRPr="00877A16" w:rsidRDefault="00877A16" w:rsidP="00521003">
            <w:pPr>
              <w:pStyle w:val="ListParagraph"/>
              <w:ind w:left="0"/>
              <w:jc w:val="center"/>
              <w:rPr>
                <w:sz w:val="22"/>
                <w:szCs w:val="22"/>
                <w:lang w:val="en-US"/>
              </w:rPr>
            </w:pPr>
            <w:r w:rsidRPr="00877A16">
              <w:rPr>
                <w:sz w:val="22"/>
                <w:szCs w:val="22"/>
                <w:lang w:val="en-US"/>
              </w:rPr>
              <w:t>16</w:t>
            </w:r>
          </w:p>
        </w:tc>
        <w:tc>
          <w:tcPr>
            <w:tcW w:w="992" w:type="dxa"/>
          </w:tcPr>
          <w:p w:rsidR="00877A16" w:rsidRPr="00877A16" w:rsidRDefault="00877A16" w:rsidP="00521003">
            <w:pPr>
              <w:pStyle w:val="ListParagraph"/>
              <w:ind w:left="0"/>
              <w:jc w:val="center"/>
              <w:rPr>
                <w:sz w:val="22"/>
                <w:szCs w:val="22"/>
                <w:lang w:val="en-US"/>
              </w:rPr>
            </w:pPr>
            <w:r w:rsidRPr="00877A16">
              <w:rPr>
                <w:sz w:val="22"/>
                <w:szCs w:val="22"/>
                <w:lang w:val="en-US"/>
              </w:rPr>
              <w:t>40</w:t>
            </w:r>
          </w:p>
        </w:tc>
        <w:tc>
          <w:tcPr>
            <w:tcW w:w="1056" w:type="dxa"/>
          </w:tcPr>
          <w:p w:rsidR="00877A16" w:rsidRPr="00877A16" w:rsidRDefault="00877A16" w:rsidP="00521003">
            <w:pPr>
              <w:pStyle w:val="ListParagraph"/>
              <w:ind w:left="0"/>
              <w:jc w:val="center"/>
              <w:rPr>
                <w:sz w:val="22"/>
                <w:szCs w:val="22"/>
                <w:lang w:val="en-US"/>
              </w:rPr>
            </w:pPr>
            <w:r w:rsidRPr="00877A16">
              <w:rPr>
                <w:sz w:val="22"/>
                <w:szCs w:val="22"/>
                <w:lang w:val="en-US"/>
              </w:rPr>
              <w:t>26</w:t>
            </w:r>
          </w:p>
        </w:tc>
      </w:tr>
      <w:tr w:rsidR="00877A16" w:rsidRPr="00877A16" w:rsidTr="00446808">
        <w:trPr>
          <w:jc w:val="center"/>
        </w:trPr>
        <w:tc>
          <w:tcPr>
            <w:tcW w:w="2389" w:type="dxa"/>
          </w:tcPr>
          <w:p w:rsidR="00877A16" w:rsidRPr="00877A16" w:rsidRDefault="00877A16" w:rsidP="00521003">
            <w:pPr>
              <w:pStyle w:val="ListParagraph"/>
              <w:ind w:left="0"/>
              <w:jc w:val="both"/>
              <w:rPr>
                <w:sz w:val="22"/>
                <w:szCs w:val="22"/>
                <w:lang w:val="en-US"/>
              </w:rPr>
            </w:pPr>
            <w:r w:rsidRPr="00877A16">
              <w:rPr>
                <w:sz w:val="22"/>
                <w:szCs w:val="22"/>
                <w:lang w:val="en-US"/>
              </w:rPr>
              <w:t>Positive insignificant</w:t>
            </w:r>
          </w:p>
        </w:tc>
        <w:tc>
          <w:tcPr>
            <w:tcW w:w="1164" w:type="dxa"/>
          </w:tcPr>
          <w:p w:rsidR="00877A16" w:rsidRPr="00877A16" w:rsidRDefault="00877A16" w:rsidP="00521003">
            <w:pPr>
              <w:pStyle w:val="ListParagraph"/>
              <w:ind w:left="0"/>
              <w:jc w:val="center"/>
              <w:rPr>
                <w:sz w:val="22"/>
                <w:szCs w:val="22"/>
                <w:lang w:val="en-US"/>
              </w:rPr>
            </w:pPr>
            <w:r w:rsidRPr="00877A16">
              <w:rPr>
                <w:sz w:val="22"/>
                <w:szCs w:val="22"/>
                <w:lang w:val="en-US"/>
              </w:rPr>
              <w:t>16</w:t>
            </w:r>
          </w:p>
        </w:tc>
        <w:tc>
          <w:tcPr>
            <w:tcW w:w="1071" w:type="dxa"/>
          </w:tcPr>
          <w:p w:rsidR="00877A16" w:rsidRPr="00877A16" w:rsidRDefault="00877A16" w:rsidP="00521003">
            <w:pPr>
              <w:pStyle w:val="ListParagraph"/>
              <w:ind w:left="0"/>
              <w:jc w:val="center"/>
              <w:rPr>
                <w:sz w:val="22"/>
                <w:szCs w:val="22"/>
                <w:lang w:val="en-US"/>
              </w:rPr>
            </w:pPr>
            <w:r w:rsidRPr="00877A16">
              <w:rPr>
                <w:sz w:val="22"/>
                <w:szCs w:val="22"/>
                <w:lang w:val="en-US"/>
              </w:rPr>
              <w:t>10</w:t>
            </w:r>
          </w:p>
        </w:tc>
        <w:tc>
          <w:tcPr>
            <w:tcW w:w="992" w:type="dxa"/>
          </w:tcPr>
          <w:p w:rsidR="00877A16" w:rsidRPr="00877A16" w:rsidRDefault="00877A16" w:rsidP="00521003">
            <w:pPr>
              <w:pStyle w:val="ListParagraph"/>
              <w:ind w:left="0"/>
              <w:jc w:val="center"/>
              <w:rPr>
                <w:sz w:val="22"/>
                <w:szCs w:val="22"/>
                <w:lang w:val="en-US"/>
              </w:rPr>
            </w:pPr>
            <w:r w:rsidRPr="00877A16">
              <w:rPr>
                <w:sz w:val="22"/>
                <w:szCs w:val="22"/>
                <w:lang w:val="en-US"/>
              </w:rPr>
              <w:t>19</w:t>
            </w:r>
          </w:p>
        </w:tc>
        <w:tc>
          <w:tcPr>
            <w:tcW w:w="992" w:type="dxa"/>
          </w:tcPr>
          <w:p w:rsidR="00877A16" w:rsidRPr="00877A16" w:rsidRDefault="00877A16" w:rsidP="00521003">
            <w:pPr>
              <w:pStyle w:val="ListParagraph"/>
              <w:ind w:left="0"/>
              <w:jc w:val="center"/>
              <w:rPr>
                <w:sz w:val="22"/>
                <w:szCs w:val="22"/>
                <w:lang w:val="en-US"/>
              </w:rPr>
            </w:pPr>
            <w:r w:rsidRPr="00877A16">
              <w:rPr>
                <w:sz w:val="22"/>
                <w:szCs w:val="22"/>
                <w:lang w:val="en-US"/>
              </w:rPr>
              <w:t>24</w:t>
            </w:r>
          </w:p>
        </w:tc>
        <w:tc>
          <w:tcPr>
            <w:tcW w:w="992" w:type="dxa"/>
          </w:tcPr>
          <w:p w:rsidR="00877A16" w:rsidRPr="00877A16" w:rsidRDefault="00877A16" w:rsidP="00521003">
            <w:pPr>
              <w:pStyle w:val="ListParagraph"/>
              <w:ind w:left="0"/>
              <w:jc w:val="center"/>
              <w:rPr>
                <w:sz w:val="22"/>
                <w:szCs w:val="22"/>
                <w:lang w:val="en-US"/>
              </w:rPr>
            </w:pPr>
            <w:r w:rsidRPr="00877A16">
              <w:rPr>
                <w:sz w:val="22"/>
                <w:szCs w:val="22"/>
                <w:lang w:val="en-US"/>
              </w:rPr>
              <w:t>37</w:t>
            </w:r>
          </w:p>
        </w:tc>
        <w:tc>
          <w:tcPr>
            <w:tcW w:w="1056" w:type="dxa"/>
          </w:tcPr>
          <w:p w:rsidR="00877A16" w:rsidRPr="00877A16" w:rsidRDefault="00877A16" w:rsidP="00521003">
            <w:pPr>
              <w:pStyle w:val="ListParagraph"/>
              <w:ind w:left="0"/>
              <w:jc w:val="center"/>
              <w:rPr>
                <w:sz w:val="22"/>
                <w:szCs w:val="22"/>
                <w:lang w:val="en-US"/>
              </w:rPr>
            </w:pPr>
            <w:r w:rsidRPr="00877A16">
              <w:rPr>
                <w:sz w:val="22"/>
                <w:szCs w:val="22"/>
                <w:lang w:val="en-US"/>
              </w:rPr>
              <w:t>24</w:t>
            </w:r>
          </w:p>
        </w:tc>
      </w:tr>
      <w:tr w:rsidR="00877A16" w:rsidRPr="00877A16" w:rsidTr="00446808">
        <w:trPr>
          <w:jc w:val="center"/>
        </w:trPr>
        <w:tc>
          <w:tcPr>
            <w:tcW w:w="2389" w:type="dxa"/>
          </w:tcPr>
          <w:p w:rsidR="00877A16" w:rsidRPr="00877A16" w:rsidRDefault="00877A16" w:rsidP="00521003">
            <w:pPr>
              <w:pStyle w:val="ListParagraph"/>
              <w:ind w:left="0"/>
              <w:jc w:val="both"/>
              <w:rPr>
                <w:sz w:val="22"/>
                <w:szCs w:val="22"/>
                <w:lang w:val="en-US"/>
              </w:rPr>
            </w:pPr>
            <w:r w:rsidRPr="00877A16">
              <w:rPr>
                <w:sz w:val="22"/>
                <w:szCs w:val="22"/>
                <w:lang w:val="en-US"/>
              </w:rPr>
              <w:t>Positive significant</w:t>
            </w:r>
          </w:p>
        </w:tc>
        <w:tc>
          <w:tcPr>
            <w:tcW w:w="1164" w:type="dxa"/>
          </w:tcPr>
          <w:p w:rsidR="00877A16" w:rsidRPr="00877A16" w:rsidRDefault="00877A16" w:rsidP="00521003">
            <w:pPr>
              <w:pStyle w:val="ListParagraph"/>
              <w:ind w:left="0"/>
              <w:jc w:val="center"/>
              <w:rPr>
                <w:sz w:val="22"/>
                <w:szCs w:val="22"/>
                <w:lang w:val="en-US"/>
              </w:rPr>
            </w:pPr>
            <w:r w:rsidRPr="00877A16">
              <w:rPr>
                <w:sz w:val="22"/>
                <w:szCs w:val="22"/>
                <w:lang w:val="en-US"/>
              </w:rPr>
              <w:t>53</w:t>
            </w:r>
          </w:p>
        </w:tc>
        <w:tc>
          <w:tcPr>
            <w:tcW w:w="1071" w:type="dxa"/>
          </w:tcPr>
          <w:p w:rsidR="00877A16" w:rsidRPr="00877A16" w:rsidRDefault="00877A16" w:rsidP="00521003">
            <w:pPr>
              <w:pStyle w:val="ListParagraph"/>
              <w:ind w:left="0"/>
              <w:jc w:val="center"/>
              <w:rPr>
                <w:sz w:val="22"/>
                <w:szCs w:val="22"/>
                <w:lang w:val="en-US"/>
              </w:rPr>
            </w:pPr>
            <w:r w:rsidRPr="00877A16">
              <w:rPr>
                <w:sz w:val="22"/>
                <w:szCs w:val="22"/>
                <w:lang w:val="en-US"/>
              </w:rPr>
              <w:t>33</w:t>
            </w:r>
          </w:p>
        </w:tc>
        <w:tc>
          <w:tcPr>
            <w:tcW w:w="992" w:type="dxa"/>
          </w:tcPr>
          <w:p w:rsidR="00877A16" w:rsidRPr="00877A16" w:rsidRDefault="00877A16" w:rsidP="00521003">
            <w:pPr>
              <w:pStyle w:val="ListParagraph"/>
              <w:ind w:left="0"/>
              <w:jc w:val="center"/>
              <w:rPr>
                <w:sz w:val="22"/>
                <w:szCs w:val="22"/>
                <w:lang w:val="en-US"/>
              </w:rPr>
            </w:pPr>
            <w:r w:rsidRPr="00877A16">
              <w:rPr>
                <w:sz w:val="22"/>
                <w:szCs w:val="22"/>
                <w:lang w:val="en-US"/>
              </w:rPr>
              <w:t>31</w:t>
            </w:r>
          </w:p>
        </w:tc>
        <w:tc>
          <w:tcPr>
            <w:tcW w:w="992" w:type="dxa"/>
          </w:tcPr>
          <w:p w:rsidR="00877A16" w:rsidRPr="00877A16" w:rsidRDefault="00877A16" w:rsidP="00521003">
            <w:pPr>
              <w:pStyle w:val="ListParagraph"/>
              <w:ind w:left="0"/>
              <w:jc w:val="center"/>
              <w:rPr>
                <w:sz w:val="22"/>
                <w:szCs w:val="22"/>
                <w:lang w:val="en-US"/>
              </w:rPr>
            </w:pPr>
            <w:r w:rsidRPr="00877A16">
              <w:rPr>
                <w:sz w:val="22"/>
                <w:szCs w:val="22"/>
                <w:lang w:val="en-US"/>
              </w:rPr>
              <w:t>39</w:t>
            </w:r>
          </w:p>
        </w:tc>
        <w:tc>
          <w:tcPr>
            <w:tcW w:w="992" w:type="dxa"/>
          </w:tcPr>
          <w:p w:rsidR="00877A16" w:rsidRPr="00877A16" w:rsidRDefault="00877A16" w:rsidP="00521003">
            <w:pPr>
              <w:pStyle w:val="ListParagraph"/>
              <w:ind w:left="0"/>
              <w:jc w:val="center"/>
              <w:rPr>
                <w:sz w:val="22"/>
                <w:szCs w:val="22"/>
                <w:lang w:val="en-US"/>
              </w:rPr>
            </w:pPr>
            <w:r w:rsidRPr="00877A16">
              <w:rPr>
                <w:sz w:val="22"/>
                <w:szCs w:val="22"/>
                <w:lang w:val="en-US"/>
              </w:rPr>
              <w:t>58</w:t>
            </w:r>
          </w:p>
        </w:tc>
        <w:tc>
          <w:tcPr>
            <w:tcW w:w="1056" w:type="dxa"/>
          </w:tcPr>
          <w:p w:rsidR="00877A16" w:rsidRPr="00877A16" w:rsidRDefault="00877A16" w:rsidP="00521003">
            <w:pPr>
              <w:pStyle w:val="ListParagraph"/>
              <w:ind w:left="0"/>
              <w:jc w:val="center"/>
              <w:rPr>
                <w:sz w:val="22"/>
                <w:szCs w:val="22"/>
                <w:lang w:val="en-US"/>
              </w:rPr>
            </w:pPr>
            <w:r w:rsidRPr="00877A16">
              <w:rPr>
                <w:sz w:val="22"/>
                <w:szCs w:val="22"/>
                <w:lang w:val="en-US"/>
              </w:rPr>
              <w:t>38</w:t>
            </w:r>
          </w:p>
        </w:tc>
      </w:tr>
      <w:tr w:rsidR="00877A16" w:rsidRPr="00877A16" w:rsidTr="00446808">
        <w:trPr>
          <w:jc w:val="center"/>
        </w:trPr>
        <w:tc>
          <w:tcPr>
            <w:tcW w:w="2389" w:type="dxa"/>
          </w:tcPr>
          <w:p w:rsidR="00877A16" w:rsidRPr="00877A16" w:rsidRDefault="00877A16" w:rsidP="00521003">
            <w:pPr>
              <w:pStyle w:val="ListParagraph"/>
              <w:ind w:left="0"/>
              <w:jc w:val="both"/>
              <w:rPr>
                <w:sz w:val="22"/>
                <w:szCs w:val="22"/>
                <w:lang w:val="en-US"/>
              </w:rPr>
            </w:pPr>
            <w:r w:rsidRPr="00877A16">
              <w:rPr>
                <w:sz w:val="22"/>
                <w:szCs w:val="22"/>
                <w:lang w:val="en-US"/>
              </w:rPr>
              <w:t>Total</w:t>
            </w:r>
          </w:p>
        </w:tc>
        <w:tc>
          <w:tcPr>
            <w:tcW w:w="1164" w:type="dxa"/>
          </w:tcPr>
          <w:p w:rsidR="00877A16" w:rsidRPr="00877A16" w:rsidRDefault="00877A16" w:rsidP="00521003">
            <w:pPr>
              <w:pStyle w:val="ListParagraph"/>
              <w:ind w:left="0"/>
              <w:jc w:val="center"/>
              <w:rPr>
                <w:sz w:val="22"/>
                <w:szCs w:val="22"/>
                <w:lang w:val="en-US"/>
              </w:rPr>
            </w:pPr>
            <w:r w:rsidRPr="00877A16">
              <w:rPr>
                <w:sz w:val="22"/>
                <w:szCs w:val="22"/>
                <w:lang w:val="en-US"/>
              </w:rPr>
              <w:t>162</w:t>
            </w:r>
          </w:p>
        </w:tc>
        <w:tc>
          <w:tcPr>
            <w:tcW w:w="1071" w:type="dxa"/>
          </w:tcPr>
          <w:p w:rsidR="00877A16" w:rsidRPr="00877A16" w:rsidRDefault="00877A16" w:rsidP="00521003">
            <w:pPr>
              <w:pStyle w:val="ListParagraph"/>
              <w:ind w:left="0"/>
              <w:jc w:val="center"/>
              <w:rPr>
                <w:sz w:val="22"/>
                <w:szCs w:val="22"/>
                <w:lang w:val="en-US"/>
              </w:rPr>
            </w:pPr>
            <w:r w:rsidRPr="00877A16">
              <w:rPr>
                <w:sz w:val="22"/>
                <w:szCs w:val="22"/>
                <w:lang w:val="en-US"/>
              </w:rPr>
              <w:t>100</w:t>
            </w:r>
          </w:p>
        </w:tc>
        <w:tc>
          <w:tcPr>
            <w:tcW w:w="992" w:type="dxa"/>
          </w:tcPr>
          <w:p w:rsidR="00877A16" w:rsidRPr="00877A16" w:rsidRDefault="00877A16" w:rsidP="00521003">
            <w:pPr>
              <w:pStyle w:val="ListParagraph"/>
              <w:ind w:left="0"/>
              <w:jc w:val="center"/>
              <w:rPr>
                <w:sz w:val="22"/>
                <w:szCs w:val="22"/>
                <w:lang w:val="en-US"/>
              </w:rPr>
            </w:pPr>
            <w:r w:rsidRPr="00877A16">
              <w:rPr>
                <w:sz w:val="22"/>
                <w:szCs w:val="22"/>
                <w:lang w:val="en-US"/>
              </w:rPr>
              <w:t>79</w:t>
            </w:r>
          </w:p>
        </w:tc>
        <w:tc>
          <w:tcPr>
            <w:tcW w:w="992" w:type="dxa"/>
          </w:tcPr>
          <w:p w:rsidR="00877A16" w:rsidRPr="00877A16" w:rsidRDefault="00877A16" w:rsidP="00521003">
            <w:pPr>
              <w:pStyle w:val="ListParagraph"/>
              <w:ind w:left="0"/>
              <w:jc w:val="center"/>
              <w:rPr>
                <w:sz w:val="22"/>
                <w:szCs w:val="22"/>
                <w:lang w:val="en-US"/>
              </w:rPr>
            </w:pPr>
            <w:r w:rsidRPr="00877A16">
              <w:rPr>
                <w:sz w:val="22"/>
                <w:szCs w:val="22"/>
                <w:lang w:val="en-US"/>
              </w:rPr>
              <w:t>100</w:t>
            </w:r>
          </w:p>
        </w:tc>
        <w:tc>
          <w:tcPr>
            <w:tcW w:w="992" w:type="dxa"/>
          </w:tcPr>
          <w:p w:rsidR="00877A16" w:rsidRPr="00877A16" w:rsidRDefault="00877A16" w:rsidP="00521003">
            <w:pPr>
              <w:pStyle w:val="ListParagraph"/>
              <w:ind w:left="0"/>
              <w:jc w:val="center"/>
              <w:rPr>
                <w:sz w:val="22"/>
                <w:szCs w:val="22"/>
                <w:lang w:val="en-US"/>
              </w:rPr>
            </w:pPr>
            <w:r w:rsidRPr="00877A16">
              <w:rPr>
                <w:sz w:val="22"/>
                <w:szCs w:val="22"/>
                <w:lang w:val="en-US"/>
              </w:rPr>
              <w:t>152</w:t>
            </w:r>
          </w:p>
        </w:tc>
        <w:tc>
          <w:tcPr>
            <w:tcW w:w="1056" w:type="dxa"/>
          </w:tcPr>
          <w:p w:rsidR="00877A16" w:rsidRPr="00877A16" w:rsidRDefault="00877A16" w:rsidP="00521003">
            <w:pPr>
              <w:pStyle w:val="ListParagraph"/>
              <w:ind w:left="0"/>
              <w:jc w:val="center"/>
              <w:rPr>
                <w:sz w:val="22"/>
                <w:szCs w:val="22"/>
                <w:lang w:val="en-US"/>
              </w:rPr>
            </w:pPr>
            <w:r w:rsidRPr="00877A16">
              <w:rPr>
                <w:sz w:val="22"/>
                <w:szCs w:val="22"/>
                <w:lang w:val="en-US"/>
              </w:rPr>
              <w:t>100</w:t>
            </w:r>
          </w:p>
        </w:tc>
      </w:tr>
    </w:tbl>
    <w:p w:rsidR="00877A16" w:rsidRPr="00877A16" w:rsidRDefault="00877A16" w:rsidP="00877A16">
      <w:pPr>
        <w:pStyle w:val="ListParagraph"/>
        <w:ind w:left="0"/>
        <w:jc w:val="center"/>
        <w:rPr>
          <w:sz w:val="6"/>
          <w:szCs w:val="6"/>
          <w:lang w:val="en-US"/>
        </w:rPr>
      </w:pPr>
    </w:p>
    <w:p w:rsidR="00877A16" w:rsidRPr="00877A16" w:rsidRDefault="00877A16" w:rsidP="00446808">
      <w:pPr>
        <w:pStyle w:val="ListParagraph"/>
        <w:ind w:left="142"/>
        <w:rPr>
          <w:sz w:val="20"/>
          <w:szCs w:val="20"/>
          <w:lang w:val="en-US"/>
        </w:rPr>
      </w:pPr>
      <w:r w:rsidRPr="00446808">
        <w:rPr>
          <w:i/>
          <w:sz w:val="20"/>
          <w:szCs w:val="20"/>
          <w:lang w:val="en-US"/>
        </w:rPr>
        <w:t>Source</w:t>
      </w:r>
      <w:r w:rsidRPr="00877A16">
        <w:rPr>
          <w:sz w:val="20"/>
          <w:szCs w:val="20"/>
          <w:lang w:val="en-US"/>
        </w:rPr>
        <w:t xml:space="preserve">: De </w:t>
      </w:r>
      <w:proofErr w:type="spellStart"/>
      <w:r w:rsidRPr="00877A16">
        <w:rPr>
          <w:sz w:val="20"/>
          <w:szCs w:val="20"/>
          <w:lang w:val="en-US"/>
        </w:rPr>
        <w:t>Groot</w:t>
      </w:r>
      <w:proofErr w:type="spellEnd"/>
      <w:r w:rsidRPr="00877A16">
        <w:rPr>
          <w:sz w:val="20"/>
          <w:szCs w:val="20"/>
          <w:lang w:val="en-US"/>
        </w:rPr>
        <w:t xml:space="preserve">, </w:t>
      </w:r>
      <w:proofErr w:type="spellStart"/>
      <w:r w:rsidRPr="00877A16">
        <w:rPr>
          <w:sz w:val="20"/>
          <w:szCs w:val="20"/>
          <w:lang w:val="en-US"/>
        </w:rPr>
        <w:t>Poot</w:t>
      </w:r>
      <w:proofErr w:type="spellEnd"/>
      <w:r w:rsidRPr="00877A16">
        <w:rPr>
          <w:sz w:val="20"/>
          <w:szCs w:val="20"/>
          <w:lang w:val="en-US"/>
        </w:rPr>
        <w:t xml:space="preserve"> </w:t>
      </w:r>
      <w:r w:rsidR="00446808">
        <w:rPr>
          <w:sz w:val="20"/>
          <w:szCs w:val="20"/>
          <w:lang w:val="en-US"/>
        </w:rPr>
        <w:t>and</w:t>
      </w:r>
      <w:r w:rsidRPr="00877A16">
        <w:rPr>
          <w:sz w:val="20"/>
          <w:szCs w:val="20"/>
          <w:lang w:val="en-US"/>
        </w:rPr>
        <w:t xml:space="preserve"> </w:t>
      </w:r>
      <w:proofErr w:type="spellStart"/>
      <w:r w:rsidRPr="00877A16">
        <w:rPr>
          <w:sz w:val="20"/>
          <w:szCs w:val="20"/>
          <w:lang w:val="en-US"/>
        </w:rPr>
        <w:t>Smit</w:t>
      </w:r>
      <w:proofErr w:type="spellEnd"/>
      <w:r w:rsidRPr="00877A16">
        <w:rPr>
          <w:sz w:val="20"/>
          <w:szCs w:val="20"/>
          <w:lang w:val="en-US"/>
        </w:rPr>
        <w:t xml:space="preserve"> (2009, p. 269)</w:t>
      </w:r>
    </w:p>
    <w:p w:rsidR="00881347" w:rsidRPr="00C129F0" w:rsidRDefault="00881347" w:rsidP="00877A16">
      <w:pPr>
        <w:pStyle w:val="ListParagraph"/>
        <w:spacing w:line="276" w:lineRule="auto"/>
        <w:ind w:left="0"/>
        <w:jc w:val="center"/>
        <w:rPr>
          <w:b/>
          <w:sz w:val="16"/>
          <w:szCs w:val="16"/>
        </w:rPr>
      </w:pPr>
    </w:p>
    <w:p w:rsidR="00C129F0" w:rsidRDefault="00C129F0" w:rsidP="00877A16">
      <w:pPr>
        <w:pStyle w:val="ListParagraph"/>
        <w:spacing w:line="276" w:lineRule="auto"/>
        <w:ind w:left="0" w:firstLine="360"/>
        <w:jc w:val="both"/>
      </w:pPr>
    </w:p>
    <w:p w:rsidR="00DA221D" w:rsidRDefault="0014330E" w:rsidP="00877A16">
      <w:pPr>
        <w:pStyle w:val="ListParagraph"/>
        <w:spacing w:line="276" w:lineRule="auto"/>
        <w:ind w:left="0" w:firstLine="360"/>
        <w:jc w:val="both"/>
      </w:pPr>
      <w:r w:rsidRPr="00FA317F">
        <w:t xml:space="preserve">On balance, Table 1 </w:t>
      </w:r>
      <w:r w:rsidR="007B0FEE">
        <w:t xml:space="preserve">indicates </w:t>
      </w:r>
      <w:r w:rsidRPr="00FA317F">
        <w:t xml:space="preserve">that there is </w:t>
      </w:r>
      <w:r w:rsidR="00881347">
        <w:t xml:space="preserve">slightly </w:t>
      </w:r>
      <w:r w:rsidRPr="00FA317F">
        <w:t xml:space="preserve">more evidence </w:t>
      </w:r>
      <w:r w:rsidR="007B0FEE">
        <w:t xml:space="preserve">to </w:t>
      </w:r>
      <w:r w:rsidRPr="00FA317F">
        <w:t>suggest the impact of speciali</w:t>
      </w:r>
      <w:r w:rsidR="007B0FEE">
        <w:t>s</w:t>
      </w:r>
      <w:r w:rsidRPr="00FA317F">
        <w:t xml:space="preserve">ation is </w:t>
      </w:r>
      <w:r w:rsidR="007B0FEE">
        <w:t xml:space="preserve">more </w:t>
      </w:r>
      <w:r w:rsidRPr="00FA317F">
        <w:t>negative than positive. In contrast, the evidence support</w:t>
      </w:r>
      <w:r w:rsidR="007B0FEE">
        <w:t>s</w:t>
      </w:r>
      <w:r w:rsidRPr="00FA317F">
        <w:t xml:space="preserve"> </w:t>
      </w:r>
      <w:r w:rsidR="0040142A" w:rsidRPr="00FA317F">
        <w:t xml:space="preserve">on average </w:t>
      </w:r>
      <w:r w:rsidRPr="00FA317F">
        <w:t>a</w:t>
      </w:r>
      <w:r w:rsidR="007B0FEE">
        <w:t xml:space="preserve"> </w:t>
      </w:r>
      <w:r w:rsidRPr="00FA317F">
        <w:t>positive effect for competition and diversity externalities. Nonetheless, there is considerable uncertainty in the empirical evidence given the percentage of statistically insignificant results</w:t>
      </w:r>
      <w:r w:rsidR="00881347">
        <w:t>. This</w:t>
      </w:r>
      <w:r w:rsidRPr="00FA317F">
        <w:t xml:space="preserve"> varies between 32 percent in the case of competition and 77 percent in the case of diversity.</w:t>
      </w:r>
    </w:p>
    <w:p w:rsidR="00B35CAD" w:rsidRPr="00FA317F" w:rsidRDefault="00B35CAD" w:rsidP="00877A16">
      <w:pPr>
        <w:pStyle w:val="ListParagraph"/>
        <w:tabs>
          <w:tab w:val="left" w:pos="426"/>
        </w:tabs>
        <w:spacing w:line="276" w:lineRule="auto"/>
        <w:ind w:left="0"/>
        <w:jc w:val="both"/>
      </w:pPr>
    </w:p>
    <w:p w:rsidR="0089591C" w:rsidRDefault="0089591C" w:rsidP="00A24B44">
      <w:pPr>
        <w:pStyle w:val="ListParagraph"/>
        <w:numPr>
          <w:ilvl w:val="0"/>
          <w:numId w:val="37"/>
        </w:numPr>
        <w:spacing w:line="276" w:lineRule="auto"/>
        <w:ind w:left="284" w:hanging="284"/>
        <w:jc w:val="both"/>
        <w:rPr>
          <w:b/>
        </w:rPr>
      </w:pPr>
      <w:r w:rsidRPr="00FA317F">
        <w:rPr>
          <w:b/>
        </w:rPr>
        <w:t>Data</w:t>
      </w:r>
    </w:p>
    <w:p w:rsidR="00446808" w:rsidRPr="00446808" w:rsidRDefault="00446808" w:rsidP="00446808">
      <w:pPr>
        <w:pStyle w:val="ListParagraph"/>
        <w:spacing w:line="276" w:lineRule="auto"/>
        <w:ind w:left="284"/>
        <w:jc w:val="both"/>
        <w:rPr>
          <w:b/>
          <w:sz w:val="12"/>
          <w:szCs w:val="12"/>
        </w:rPr>
      </w:pPr>
    </w:p>
    <w:p w:rsidR="0089591C" w:rsidRDefault="00E770C1" w:rsidP="00877A16">
      <w:pPr>
        <w:pStyle w:val="ListParagraph"/>
        <w:spacing w:line="276" w:lineRule="auto"/>
        <w:ind w:left="0"/>
        <w:jc w:val="both"/>
      </w:pPr>
      <w:r w:rsidRPr="00FA317F">
        <w:t>Th</w:t>
      </w:r>
      <w:r w:rsidR="00D35C23" w:rsidRPr="00FA317F">
        <w:t xml:space="preserve">is </w:t>
      </w:r>
      <w:r w:rsidRPr="00FA317F">
        <w:t>paper</w:t>
      </w:r>
      <w:r w:rsidR="00D35C23" w:rsidRPr="00FA317F">
        <w:t xml:space="preserve"> </w:t>
      </w:r>
      <w:r w:rsidR="0026337E" w:rsidRPr="00FA317F">
        <w:t xml:space="preserve">makes </w:t>
      </w:r>
      <w:r w:rsidR="00D35C23" w:rsidRPr="00FA317F">
        <w:t>use</w:t>
      </w:r>
      <w:r w:rsidR="0026337E" w:rsidRPr="00FA317F">
        <w:t xml:space="preserve"> of</w:t>
      </w:r>
      <w:r w:rsidR="00D35C23" w:rsidRPr="00FA317F">
        <w:t xml:space="preserve"> two </w:t>
      </w:r>
      <w:r w:rsidR="00370BED" w:rsidRPr="00FA317F">
        <w:t xml:space="preserve">official </w:t>
      </w:r>
      <w:r w:rsidR="00D35C23" w:rsidRPr="00FA317F">
        <w:t>data sources</w:t>
      </w:r>
      <w:r w:rsidR="006B6175" w:rsidRPr="00FA317F">
        <w:t xml:space="preserve"> in Brazil</w:t>
      </w:r>
      <w:r w:rsidR="00D35C23" w:rsidRPr="00FA317F">
        <w:t xml:space="preserve">. The first is </w:t>
      </w:r>
      <w:r w:rsidR="008239E8" w:rsidRPr="00FA317F">
        <w:t>IPEA</w:t>
      </w:r>
      <w:r w:rsidR="00472771">
        <w:t xml:space="preserve"> </w:t>
      </w:r>
      <w:r w:rsidR="008239E8" w:rsidRPr="00FA317F">
        <w:t xml:space="preserve">- </w:t>
      </w:r>
      <w:proofErr w:type="spellStart"/>
      <w:r w:rsidRPr="00FA317F">
        <w:t>Instituto</w:t>
      </w:r>
      <w:proofErr w:type="spellEnd"/>
      <w:r w:rsidRPr="00FA317F">
        <w:t xml:space="preserve"> de </w:t>
      </w:r>
      <w:proofErr w:type="spellStart"/>
      <w:r w:rsidRPr="00FA317F">
        <w:t>Pesquisa</w:t>
      </w:r>
      <w:proofErr w:type="spellEnd"/>
      <w:r w:rsidRPr="00FA317F">
        <w:t xml:space="preserve"> </w:t>
      </w:r>
      <w:proofErr w:type="spellStart"/>
      <w:r w:rsidRPr="00FA317F">
        <w:t>Econ</w:t>
      </w:r>
      <w:r w:rsidR="00366C73" w:rsidRPr="00FA317F">
        <w:t>ô</w:t>
      </w:r>
      <w:r w:rsidRPr="00FA317F">
        <w:t>mica</w:t>
      </w:r>
      <w:proofErr w:type="spellEnd"/>
      <w:r w:rsidRPr="00FA317F">
        <w:t xml:space="preserve"> </w:t>
      </w:r>
      <w:proofErr w:type="spellStart"/>
      <w:r w:rsidRPr="00FA317F">
        <w:t>Aplicada</w:t>
      </w:r>
      <w:proofErr w:type="spellEnd"/>
      <w:r w:rsidRPr="00FA317F">
        <w:t xml:space="preserve"> (Institute of Applied Economic Research)</w:t>
      </w:r>
      <w:r w:rsidR="00472771">
        <w:t>.</w:t>
      </w:r>
      <w:r w:rsidR="00472771" w:rsidRPr="00FA317F">
        <w:rPr>
          <w:rStyle w:val="FootnoteReference"/>
        </w:rPr>
        <w:footnoteReference w:id="2"/>
      </w:r>
      <w:r w:rsidRPr="00FA317F">
        <w:t xml:space="preserve"> </w:t>
      </w:r>
      <w:r w:rsidR="006B6175" w:rsidRPr="00FA317F">
        <w:t>T</w:t>
      </w:r>
      <w:r w:rsidR="00D35C23" w:rsidRPr="00FA317F">
        <w:t xml:space="preserve">his data source </w:t>
      </w:r>
      <w:r w:rsidR="00472771">
        <w:t>provides</w:t>
      </w:r>
      <w:r w:rsidR="00E15A51" w:rsidRPr="00FA317F">
        <w:t xml:space="preserve"> </w:t>
      </w:r>
      <w:r w:rsidR="00AD686B" w:rsidRPr="00FA317F">
        <w:t xml:space="preserve">a </w:t>
      </w:r>
      <w:r w:rsidR="00470022" w:rsidRPr="00FA317F">
        <w:t xml:space="preserve">variety of </w:t>
      </w:r>
      <w:r w:rsidR="00370BED" w:rsidRPr="00FA317F">
        <w:t>socio-</w:t>
      </w:r>
      <w:r w:rsidR="00470022" w:rsidRPr="00FA317F">
        <w:t xml:space="preserve">economic data </w:t>
      </w:r>
      <w:r w:rsidR="00C80350" w:rsidRPr="00FA317F">
        <w:t xml:space="preserve">collected from </w:t>
      </w:r>
      <w:r w:rsidR="00BB5ED5" w:rsidRPr="00FA317F">
        <w:t xml:space="preserve">public and private </w:t>
      </w:r>
      <w:r w:rsidR="00C80350" w:rsidRPr="00FA317F">
        <w:t>institution</w:t>
      </w:r>
      <w:r w:rsidR="00BB5ED5" w:rsidRPr="00FA317F">
        <w:t>s</w:t>
      </w:r>
      <w:r w:rsidR="006B6175" w:rsidRPr="00FA317F">
        <w:t xml:space="preserve">. </w:t>
      </w:r>
      <w:r w:rsidR="00472771">
        <w:t xml:space="preserve">Regional </w:t>
      </w:r>
      <w:r w:rsidR="006B6175" w:rsidRPr="00FA317F">
        <w:t xml:space="preserve">data </w:t>
      </w:r>
      <w:r w:rsidR="00E15A51" w:rsidRPr="00FA317F">
        <w:t xml:space="preserve">are </w:t>
      </w:r>
      <w:r w:rsidR="00472771">
        <w:t>available for</w:t>
      </w:r>
      <w:r w:rsidR="006B6175" w:rsidRPr="00FA317F">
        <w:t xml:space="preserve"> </w:t>
      </w:r>
      <w:r w:rsidR="0026337E" w:rsidRPr="00FA317F">
        <w:t>municipalit</w:t>
      </w:r>
      <w:r w:rsidR="00472771">
        <w:t>ies</w:t>
      </w:r>
      <w:r w:rsidR="00470022" w:rsidRPr="00FA317F">
        <w:t>, state</w:t>
      </w:r>
      <w:r w:rsidR="00472771">
        <w:t>s</w:t>
      </w:r>
      <w:r w:rsidR="00470022" w:rsidRPr="00FA317F">
        <w:t xml:space="preserve"> and macro-region</w:t>
      </w:r>
      <w:r w:rsidR="00472771">
        <w:t>s</w:t>
      </w:r>
      <w:r w:rsidR="006B6175" w:rsidRPr="00FA317F">
        <w:t>.</w:t>
      </w:r>
      <w:r w:rsidR="00470022" w:rsidRPr="00FA317F">
        <w:t xml:space="preserve"> </w:t>
      </w:r>
    </w:p>
    <w:p w:rsidR="00877A16" w:rsidRPr="00FA317F" w:rsidRDefault="00877A16" w:rsidP="00877A16">
      <w:pPr>
        <w:pStyle w:val="ListParagraph"/>
        <w:spacing w:line="276" w:lineRule="auto"/>
        <w:ind w:left="0"/>
        <w:jc w:val="both"/>
      </w:pPr>
    </w:p>
    <w:p w:rsidR="00B72ECF" w:rsidRDefault="001A1042" w:rsidP="00877A16">
      <w:pPr>
        <w:spacing w:line="276" w:lineRule="auto"/>
        <w:ind w:firstLine="360"/>
        <w:jc w:val="both"/>
      </w:pPr>
      <w:r>
        <w:t>We</w:t>
      </w:r>
      <w:r w:rsidR="0026337E" w:rsidRPr="00FA317F">
        <w:t xml:space="preserve"> employ </w:t>
      </w:r>
      <w:r w:rsidR="00E965D1" w:rsidRPr="00FA317F">
        <w:t xml:space="preserve">three types </w:t>
      </w:r>
      <w:r w:rsidR="00420475" w:rsidRPr="00FA317F">
        <w:t xml:space="preserve">of data. </w:t>
      </w:r>
      <w:r w:rsidR="00D00714" w:rsidRPr="00FA317F">
        <w:t>F</w:t>
      </w:r>
      <w:r w:rsidR="00923F3A" w:rsidRPr="00FA317F">
        <w:t>irst</w:t>
      </w:r>
      <w:r w:rsidR="00D00714" w:rsidRPr="00FA317F">
        <w:t xml:space="preserve">, </w:t>
      </w:r>
      <w:r w:rsidR="0026337E" w:rsidRPr="00FA317F">
        <w:t xml:space="preserve">we </w:t>
      </w:r>
      <w:r w:rsidR="00D00714" w:rsidRPr="00FA317F">
        <w:t xml:space="preserve">use </w:t>
      </w:r>
      <w:r w:rsidR="00C80350" w:rsidRPr="00FA317F">
        <w:t>labo</w:t>
      </w:r>
      <w:r w:rsidR="00AD686B" w:rsidRPr="00FA317F">
        <w:t>u</w:t>
      </w:r>
      <w:r w:rsidR="00C80350" w:rsidRPr="00FA317F">
        <w:t>r market data, in which w</w:t>
      </w:r>
      <w:r w:rsidR="0026337E" w:rsidRPr="00FA317F">
        <w:t>e</w:t>
      </w:r>
      <w:r w:rsidR="00D00714" w:rsidRPr="00FA317F">
        <w:t xml:space="preserve"> extracted </w:t>
      </w:r>
      <w:r w:rsidR="00C80350" w:rsidRPr="00FA317F">
        <w:t>information o</w:t>
      </w:r>
      <w:r w:rsidR="00472771">
        <w:t xml:space="preserve">n the number of </w:t>
      </w:r>
      <w:r w:rsidR="00C80350" w:rsidRPr="00FA317F">
        <w:t xml:space="preserve">employed </w:t>
      </w:r>
      <w:r w:rsidR="00020DB0" w:rsidRPr="00FA317F">
        <w:t xml:space="preserve">people </w:t>
      </w:r>
      <w:r w:rsidR="00C80350" w:rsidRPr="00FA317F">
        <w:t xml:space="preserve">in each state </w:t>
      </w:r>
      <w:r w:rsidR="004D32DB" w:rsidRPr="00FA317F">
        <w:t xml:space="preserve">from </w:t>
      </w:r>
      <w:r w:rsidR="00C80350" w:rsidRPr="00FA317F">
        <w:t>1981</w:t>
      </w:r>
      <w:r w:rsidR="004D32DB" w:rsidRPr="00FA317F">
        <w:t xml:space="preserve"> to </w:t>
      </w:r>
      <w:r w:rsidR="00C80350" w:rsidRPr="00FA317F">
        <w:t xml:space="preserve">2006. </w:t>
      </w:r>
      <w:r w:rsidR="00472771">
        <w:t>There are also state-level data on</w:t>
      </w:r>
      <w:r w:rsidR="00B72ECF" w:rsidRPr="00FA317F">
        <w:t xml:space="preserve"> </w:t>
      </w:r>
      <w:r w:rsidR="00552480" w:rsidRPr="00FA317F">
        <w:t xml:space="preserve">the </w:t>
      </w:r>
      <w:r w:rsidR="00B72ECF" w:rsidRPr="008B098C">
        <w:rPr>
          <w:i/>
          <w:iCs/>
        </w:rPr>
        <w:t>percentage</w:t>
      </w:r>
      <w:r w:rsidR="00B72ECF" w:rsidRPr="00FA317F">
        <w:t xml:space="preserve"> of </w:t>
      </w:r>
      <w:r w:rsidR="00923F3A" w:rsidRPr="00FA317F">
        <w:t xml:space="preserve">employed </w:t>
      </w:r>
      <w:r w:rsidR="00B72ECF" w:rsidRPr="00FA317F">
        <w:t xml:space="preserve">people </w:t>
      </w:r>
      <w:r w:rsidR="00472771">
        <w:t>across</w:t>
      </w:r>
      <w:r w:rsidR="00C80350" w:rsidRPr="00FA317F">
        <w:t xml:space="preserve"> nine sectors of </w:t>
      </w:r>
      <w:r w:rsidR="00472771">
        <w:t>economic activity. These are: (1) a</w:t>
      </w:r>
      <w:r w:rsidR="00B72ECF" w:rsidRPr="00FA317F">
        <w:t>griculture &amp; fishing</w:t>
      </w:r>
      <w:r w:rsidR="00472771">
        <w:t>;</w:t>
      </w:r>
      <w:r w:rsidR="00B72ECF" w:rsidRPr="00FA317F">
        <w:t xml:space="preserve"> </w:t>
      </w:r>
      <w:r w:rsidR="00472771">
        <w:t xml:space="preserve">(2) </w:t>
      </w:r>
      <w:r w:rsidR="00B72ECF" w:rsidRPr="00FA317F">
        <w:t>commerce</w:t>
      </w:r>
      <w:r w:rsidR="00472771">
        <w:t>;</w:t>
      </w:r>
      <w:r w:rsidR="00B72ECF" w:rsidRPr="00FA317F">
        <w:t xml:space="preserve"> </w:t>
      </w:r>
      <w:r w:rsidR="00472771">
        <w:t xml:space="preserve">(3) </w:t>
      </w:r>
      <w:r w:rsidR="00B72ECF" w:rsidRPr="00FA317F">
        <w:t>construction</w:t>
      </w:r>
      <w:r w:rsidR="00472771">
        <w:t>;</w:t>
      </w:r>
      <w:r w:rsidR="00B72ECF" w:rsidRPr="00FA317F">
        <w:t xml:space="preserve"> </w:t>
      </w:r>
      <w:r w:rsidR="00472771">
        <w:t xml:space="preserve">(4) </w:t>
      </w:r>
      <w:r w:rsidR="00B72ECF" w:rsidRPr="00FA317F">
        <w:t>electricity, water &amp; gas</w:t>
      </w:r>
      <w:r w:rsidR="00472771">
        <w:t>; (5) finance; (6)</w:t>
      </w:r>
      <w:r w:rsidR="00B72ECF" w:rsidRPr="00FA317F">
        <w:t xml:space="preserve"> manufactur</w:t>
      </w:r>
      <w:r w:rsidR="00472771">
        <w:t>ing; (7)</w:t>
      </w:r>
      <w:r w:rsidR="00B72ECF" w:rsidRPr="00FA317F">
        <w:t xml:space="preserve"> mining</w:t>
      </w:r>
      <w:r w:rsidR="00472771">
        <w:t xml:space="preserve">; (8) </w:t>
      </w:r>
      <w:r w:rsidR="00B72ECF" w:rsidRPr="00FA317F">
        <w:t xml:space="preserve">services and </w:t>
      </w:r>
      <w:r w:rsidR="00472771">
        <w:t>(9) t</w:t>
      </w:r>
      <w:r w:rsidR="00B72ECF" w:rsidRPr="00FA317F">
        <w:t xml:space="preserve">ransportation &amp; </w:t>
      </w:r>
      <w:r w:rsidR="00472771">
        <w:t>c</w:t>
      </w:r>
      <w:r w:rsidR="00B72ECF" w:rsidRPr="00FA317F">
        <w:t xml:space="preserve">ommunications. </w:t>
      </w:r>
      <w:r w:rsidR="001335F6" w:rsidRPr="00FA317F">
        <w:t xml:space="preserve">We </w:t>
      </w:r>
      <w:r w:rsidR="00B72ECF" w:rsidRPr="00FA317F">
        <w:t>calculate</w:t>
      </w:r>
      <w:r w:rsidR="001335F6" w:rsidRPr="00FA317F">
        <w:t xml:space="preserve">d for </w:t>
      </w:r>
      <w:r w:rsidR="00923F3A" w:rsidRPr="00FA317F">
        <w:t xml:space="preserve">each state </w:t>
      </w:r>
      <w:r w:rsidR="00472771">
        <w:t xml:space="preserve">annual </w:t>
      </w:r>
      <w:r w:rsidR="00B72ECF" w:rsidRPr="00FA317F">
        <w:t xml:space="preserve">employment </w:t>
      </w:r>
      <w:r w:rsidR="00472771">
        <w:t>by sector by</w:t>
      </w:r>
      <w:r w:rsidR="00B72ECF" w:rsidRPr="00FA317F">
        <w:t xml:space="preserve"> multiplying the percentage of </w:t>
      </w:r>
      <w:r w:rsidR="00923F3A" w:rsidRPr="00FA317F">
        <w:t xml:space="preserve">employed </w:t>
      </w:r>
      <w:r w:rsidR="00B72ECF" w:rsidRPr="00FA317F">
        <w:t xml:space="preserve">people in </w:t>
      </w:r>
      <w:r w:rsidR="003D5C6F" w:rsidRPr="00FA317F">
        <w:t xml:space="preserve">each sector </w:t>
      </w:r>
      <w:r w:rsidR="004D32DB" w:rsidRPr="00FA317F">
        <w:t xml:space="preserve">by </w:t>
      </w:r>
      <w:r w:rsidR="00B72ECF" w:rsidRPr="00FA317F">
        <w:t xml:space="preserve">the total </w:t>
      </w:r>
      <w:r w:rsidR="00472771">
        <w:t xml:space="preserve">number </w:t>
      </w:r>
      <w:r w:rsidR="00923F3A" w:rsidRPr="00FA317F">
        <w:t xml:space="preserve">employed </w:t>
      </w:r>
      <w:r w:rsidR="00B72ECF" w:rsidRPr="00FA317F">
        <w:t>people</w:t>
      </w:r>
      <w:r w:rsidR="003D5C6F" w:rsidRPr="00FA317F">
        <w:t xml:space="preserve"> of that state.</w:t>
      </w:r>
      <w:r w:rsidR="007E7B29" w:rsidRPr="00FA317F">
        <w:t xml:space="preserve"> </w:t>
      </w:r>
      <w:r w:rsidR="00472771">
        <w:t>Aggregated across all states</w:t>
      </w:r>
      <w:r w:rsidR="004D32DB" w:rsidRPr="00FA317F">
        <w:t>,</w:t>
      </w:r>
      <w:r w:rsidR="00420475" w:rsidRPr="00FA317F">
        <w:t xml:space="preserve"> </w:t>
      </w:r>
      <w:r w:rsidR="008363A1" w:rsidRPr="00FA317F">
        <w:t xml:space="preserve">calculated </w:t>
      </w:r>
      <w:r w:rsidR="007E7B29" w:rsidRPr="00FA317F">
        <w:t>employment</w:t>
      </w:r>
      <w:r w:rsidR="00420475" w:rsidRPr="00FA317F">
        <w:t xml:space="preserve"> </w:t>
      </w:r>
      <w:r w:rsidR="008B098C">
        <w:t>represents</w:t>
      </w:r>
      <w:r w:rsidR="007E7B29" w:rsidRPr="00FA317F">
        <w:t xml:space="preserve"> </w:t>
      </w:r>
      <w:r w:rsidR="00472771">
        <w:t>between</w:t>
      </w:r>
      <w:r w:rsidR="00CB2B45" w:rsidRPr="00FA317F">
        <w:t xml:space="preserve"> 92.22</w:t>
      </w:r>
      <w:r w:rsidR="00E41C8E">
        <w:t xml:space="preserve"> percent</w:t>
      </w:r>
      <w:r w:rsidR="00CB2B45" w:rsidRPr="00FA317F">
        <w:t xml:space="preserve"> and 99.21</w:t>
      </w:r>
      <w:r w:rsidR="00E41C8E">
        <w:t xml:space="preserve"> percent</w:t>
      </w:r>
      <w:r w:rsidR="00472771">
        <w:t xml:space="preserve"> of reported </w:t>
      </w:r>
      <w:r w:rsidR="00CB2B45" w:rsidRPr="00FA317F">
        <w:t>country</w:t>
      </w:r>
      <w:r w:rsidR="00472771">
        <w:t>-level</w:t>
      </w:r>
      <w:r w:rsidR="00CB2B45" w:rsidRPr="00FA317F">
        <w:t xml:space="preserve"> employment </w:t>
      </w:r>
      <w:r w:rsidR="00472771">
        <w:t>between</w:t>
      </w:r>
      <w:r w:rsidR="004D32DB" w:rsidRPr="00FA317F">
        <w:t xml:space="preserve"> </w:t>
      </w:r>
      <w:r w:rsidR="00CB2B45" w:rsidRPr="00FA317F">
        <w:t xml:space="preserve">1981 </w:t>
      </w:r>
      <w:r w:rsidR="00472771">
        <w:t>and</w:t>
      </w:r>
      <w:r w:rsidR="00CB2B45" w:rsidRPr="00FA317F">
        <w:t xml:space="preserve"> 2006</w:t>
      </w:r>
      <w:r w:rsidR="008B098C">
        <w:t xml:space="preserve"> (a</w:t>
      </w:r>
      <w:r w:rsidR="007E7B29" w:rsidRPr="00FA317F">
        <w:t xml:space="preserve">fter </w:t>
      </w:r>
      <w:r w:rsidR="00472771">
        <w:t>imput</w:t>
      </w:r>
      <w:r w:rsidR="008B098C">
        <w:t>ing</w:t>
      </w:r>
      <w:r w:rsidR="00472771">
        <w:t xml:space="preserve"> some</w:t>
      </w:r>
      <w:r w:rsidR="0026337E" w:rsidRPr="00FA317F">
        <w:t xml:space="preserve"> </w:t>
      </w:r>
      <w:r w:rsidR="007E7B29" w:rsidRPr="00FA317F">
        <w:t xml:space="preserve">values </w:t>
      </w:r>
      <w:r w:rsidR="00472771">
        <w:t xml:space="preserve">in </w:t>
      </w:r>
      <w:r w:rsidR="006B6175" w:rsidRPr="00FA317F">
        <w:t>years with</w:t>
      </w:r>
      <w:r w:rsidR="007E7B29" w:rsidRPr="00FA317F">
        <w:t xml:space="preserve"> missing data</w:t>
      </w:r>
      <w:r w:rsidR="008B098C">
        <w:t>)</w:t>
      </w:r>
      <w:r w:rsidR="00472771">
        <w:t>.</w:t>
      </w:r>
      <w:r w:rsidR="00D00714" w:rsidRPr="00FA317F">
        <w:t>S</w:t>
      </w:r>
      <w:r w:rsidR="00B72ECF" w:rsidRPr="00FA317F">
        <w:t>econd</w:t>
      </w:r>
      <w:r w:rsidR="00D00714" w:rsidRPr="00FA317F">
        <w:t xml:space="preserve">ly, </w:t>
      </w:r>
      <w:r w:rsidR="00552480" w:rsidRPr="00FA317F">
        <w:t xml:space="preserve">we </w:t>
      </w:r>
      <w:r w:rsidR="00D00714" w:rsidRPr="00FA317F">
        <w:t>consider</w:t>
      </w:r>
      <w:r w:rsidR="00552480" w:rsidRPr="00FA317F">
        <w:t>ed the</w:t>
      </w:r>
      <w:r w:rsidR="00D00714" w:rsidRPr="00FA317F">
        <w:t xml:space="preserve"> </w:t>
      </w:r>
      <w:r w:rsidR="00B72ECF" w:rsidRPr="00FA317F">
        <w:t xml:space="preserve">number of </w:t>
      </w:r>
      <w:r w:rsidR="004F32CE" w:rsidRPr="00FA317F">
        <w:t>manufacturing sector establishments</w:t>
      </w:r>
      <w:r w:rsidR="00B72ECF" w:rsidRPr="00FA317F">
        <w:t>.</w:t>
      </w:r>
      <w:r w:rsidR="00256EAF" w:rsidRPr="00FA317F">
        <w:t xml:space="preserve"> IPEA</w:t>
      </w:r>
      <w:r w:rsidR="00115033">
        <w:t xml:space="preserve"> data</w:t>
      </w:r>
      <w:r w:rsidR="00256EAF" w:rsidRPr="00FA317F">
        <w:t xml:space="preserve"> </w:t>
      </w:r>
      <w:r w:rsidR="00115033">
        <w:t>provide</w:t>
      </w:r>
      <w:r w:rsidR="00256EAF" w:rsidRPr="00FA317F">
        <w:t xml:space="preserve"> one </w:t>
      </w:r>
      <w:r w:rsidR="004A17ED" w:rsidRPr="00FA317F">
        <w:t>observa</w:t>
      </w:r>
      <w:r w:rsidR="00256EAF" w:rsidRPr="00FA317F">
        <w:t xml:space="preserve">tion </w:t>
      </w:r>
      <w:r w:rsidR="004F32CE">
        <w:t>on</w:t>
      </w:r>
      <w:r w:rsidR="00256EAF" w:rsidRPr="00FA317F">
        <w:t xml:space="preserve"> manufactur</w:t>
      </w:r>
      <w:r w:rsidR="00987438" w:rsidRPr="00FA317F">
        <w:t>ing sector</w:t>
      </w:r>
      <w:r w:rsidR="00256EAF" w:rsidRPr="00FA317F">
        <w:t xml:space="preserve"> establishments for the </w:t>
      </w:r>
      <w:r w:rsidR="007316BE" w:rsidRPr="00FA317F">
        <w:t xml:space="preserve">following </w:t>
      </w:r>
      <w:r w:rsidR="00256EAF" w:rsidRPr="00FA317F">
        <w:t>years</w:t>
      </w:r>
      <w:r w:rsidR="007316BE" w:rsidRPr="00FA317F">
        <w:t>:</w:t>
      </w:r>
      <w:r w:rsidR="00256EAF" w:rsidRPr="00FA317F">
        <w:t xml:space="preserve"> 1970, 1975, 1980, 1985 and 1995. </w:t>
      </w:r>
      <w:r w:rsidR="0026337E" w:rsidRPr="00FA317F">
        <w:t xml:space="preserve">We </w:t>
      </w:r>
      <w:r w:rsidR="007C12A2" w:rsidRPr="00FA317F">
        <w:t xml:space="preserve">used </w:t>
      </w:r>
      <w:r w:rsidR="004F32CE" w:rsidRPr="00FA317F">
        <w:t>1985</w:t>
      </w:r>
      <w:r w:rsidR="004F32CE">
        <w:t xml:space="preserve"> </w:t>
      </w:r>
      <w:r w:rsidR="0026337E" w:rsidRPr="00FA317F">
        <w:t xml:space="preserve">data </w:t>
      </w:r>
      <w:r w:rsidR="004F32CE">
        <w:t>to calculate</w:t>
      </w:r>
      <w:r w:rsidR="00256EAF" w:rsidRPr="00FA317F">
        <w:t xml:space="preserve"> </w:t>
      </w:r>
      <w:r w:rsidR="004F32CE">
        <w:t xml:space="preserve">the </w:t>
      </w:r>
      <w:r w:rsidR="00256EAF" w:rsidRPr="00FA317F">
        <w:t xml:space="preserve">competition variable </w:t>
      </w:r>
      <w:r w:rsidR="0026337E" w:rsidRPr="00FA317F">
        <w:t xml:space="preserve">that we </w:t>
      </w:r>
      <w:r w:rsidR="00D60612" w:rsidRPr="00FA317F">
        <w:t xml:space="preserve">included in </w:t>
      </w:r>
      <w:r w:rsidR="0026337E" w:rsidRPr="00FA317F">
        <w:t xml:space="preserve">the </w:t>
      </w:r>
      <w:r w:rsidR="00D60612" w:rsidRPr="00FA317F">
        <w:t xml:space="preserve">cross-section </w:t>
      </w:r>
      <w:r w:rsidR="006B6175" w:rsidRPr="00FA317F">
        <w:t xml:space="preserve">models of </w:t>
      </w:r>
      <w:r w:rsidR="004C4EAB" w:rsidRPr="00FA317F">
        <w:t xml:space="preserve">manufacturing industry employment </w:t>
      </w:r>
      <w:r w:rsidR="007C12A2" w:rsidRPr="00FA317F">
        <w:t>growth</w:t>
      </w:r>
      <w:r w:rsidR="0026337E" w:rsidRPr="00FA317F">
        <w:t xml:space="preserve"> from 1985 to 1995 </w:t>
      </w:r>
      <w:r w:rsidR="00256EAF" w:rsidRPr="00FA317F">
        <w:t xml:space="preserve">(see </w:t>
      </w:r>
      <w:r w:rsidR="00BD4693" w:rsidRPr="00FA317F">
        <w:t xml:space="preserve">Table </w:t>
      </w:r>
      <w:r w:rsidR="00C36CF1">
        <w:t>2</w:t>
      </w:r>
      <w:r w:rsidR="00BD4693" w:rsidRPr="00FA317F">
        <w:t>)</w:t>
      </w:r>
      <w:r w:rsidR="004F32CE">
        <w:t>.</w:t>
      </w:r>
    </w:p>
    <w:p w:rsidR="00C36CF1" w:rsidRDefault="00C36CF1" w:rsidP="00877A16">
      <w:pPr>
        <w:pStyle w:val="ListParagraph"/>
        <w:spacing w:line="276" w:lineRule="auto"/>
        <w:ind w:left="0" w:firstLine="360"/>
        <w:jc w:val="center"/>
        <w:rPr>
          <w:bCs/>
        </w:rPr>
      </w:pPr>
      <w:r w:rsidRPr="00877A16">
        <w:rPr>
          <w:bCs/>
        </w:rPr>
        <w:lastRenderedPageBreak/>
        <w:t xml:space="preserve">Table 2 </w:t>
      </w:r>
      <w:r w:rsidR="00022A8A">
        <w:rPr>
          <w:bCs/>
        </w:rPr>
        <w:t>(at end of paper)</w:t>
      </w:r>
    </w:p>
    <w:p w:rsidR="00A24B44" w:rsidRPr="00A24B44" w:rsidRDefault="00A24B44" w:rsidP="00877A16">
      <w:pPr>
        <w:pStyle w:val="ListParagraph"/>
        <w:spacing w:line="276" w:lineRule="auto"/>
        <w:ind w:left="0" w:firstLine="360"/>
        <w:jc w:val="center"/>
        <w:rPr>
          <w:bCs/>
          <w:sz w:val="12"/>
          <w:szCs w:val="12"/>
        </w:rPr>
      </w:pPr>
    </w:p>
    <w:p w:rsidR="00261ACC" w:rsidRDefault="00261ACC" w:rsidP="00877A16">
      <w:pPr>
        <w:pStyle w:val="ListParagraph"/>
        <w:spacing w:line="276" w:lineRule="auto"/>
        <w:ind w:left="0" w:firstLine="360"/>
        <w:jc w:val="both"/>
      </w:pPr>
      <w:r w:rsidRPr="00FA317F">
        <w:t>Third</w:t>
      </w:r>
      <w:r w:rsidR="00D00714" w:rsidRPr="00FA317F">
        <w:t xml:space="preserve">ly, we </w:t>
      </w:r>
      <w:r w:rsidR="001335F6" w:rsidRPr="00FA317F">
        <w:t>use</w:t>
      </w:r>
      <w:r w:rsidR="004D32DB" w:rsidRPr="00FA317F">
        <w:t>d</w:t>
      </w:r>
      <w:r w:rsidR="001335F6" w:rsidRPr="00FA317F">
        <w:t xml:space="preserve"> </w:t>
      </w:r>
      <w:r w:rsidRPr="00FA317F">
        <w:t>education</w:t>
      </w:r>
      <w:r w:rsidR="004F32CE">
        <w:t xml:space="preserve"> data</w:t>
      </w:r>
      <w:r w:rsidRPr="00FA317F">
        <w:t>. The IPEA</w:t>
      </w:r>
      <w:r w:rsidR="00115033">
        <w:t xml:space="preserve"> data</w:t>
      </w:r>
      <w:r w:rsidR="00552480" w:rsidRPr="00FA317F">
        <w:t xml:space="preserve"> </w:t>
      </w:r>
      <w:r w:rsidRPr="00FA317F">
        <w:t>present</w:t>
      </w:r>
      <w:r w:rsidR="00115033">
        <w:t xml:space="preserve"> </w:t>
      </w:r>
      <w:r w:rsidR="00090BE0" w:rsidRPr="00FA317F">
        <w:t xml:space="preserve">a </w:t>
      </w:r>
      <w:r w:rsidRPr="00FA317F">
        <w:t>variety of education indicators</w:t>
      </w:r>
      <w:r w:rsidR="009903DD">
        <w:t>. However, there are only f</w:t>
      </w:r>
      <w:r w:rsidR="00EA0784">
        <w:t>ive</w:t>
      </w:r>
      <w:r w:rsidR="009903DD">
        <w:t xml:space="preserve"> indicators </w:t>
      </w:r>
      <w:r w:rsidR="00AA35B3">
        <w:t xml:space="preserve">with </w:t>
      </w:r>
      <w:r w:rsidR="009903DD">
        <w:t>annual data f</w:t>
      </w:r>
      <w:r w:rsidR="00090BE0" w:rsidRPr="00FA317F">
        <w:t xml:space="preserve">rom </w:t>
      </w:r>
      <w:r w:rsidRPr="00FA317F">
        <w:t>1981</w:t>
      </w:r>
      <w:r w:rsidR="00090BE0" w:rsidRPr="00FA317F">
        <w:t xml:space="preserve"> to </w:t>
      </w:r>
      <w:r w:rsidRPr="00FA317F">
        <w:t>2007</w:t>
      </w:r>
      <w:r w:rsidR="009903DD">
        <w:t>. These are</w:t>
      </w:r>
      <w:r w:rsidR="00EA0784">
        <w:t>:</w:t>
      </w:r>
      <w:r w:rsidR="009903DD">
        <w:t xml:space="preserve"> </w:t>
      </w:r>
      <w:r w:rsidR="00AA35B3">
        <w:t xml:space="preserve">the </w:t>
      </w:r>
      <w:r w:rsidR="009903DD">
        <w:t xml:space="preserve">percentage of children </w:t>
      </w:r>
      <w:r w:rsidR="00115033">
        <w:t xml:space="preserve">who are behind in their </w:t>
      </w:r>
      <w:r w:rsidR="009903DD">
        <w:t xml:space="preserve">schooling, </w:t>
      </w:r>
      <w:r w:rsidR="00115033">
        <w:t xml:space="preserve">the percentage of </w:t>
      </w:r>
      <w:r w:rsidR="009903DD">
        <w:t>school</w:t>
      </w:r>
      <w:r w:rsidR="00EA0784" w:rsidRPr="00EA0784">
        <w:t xml:space="preserve"> </w:t>
      </w:r>
      <w:r w:rsidR="00EA0784">
        <w:t>drop-out</w:t>
      </w:r>
      <w:r w:rsidR="00115033">
        <w:t>s</w:t>
      </w:r>
      <w:r w:rsidR="009903DD">
        <w:t xml:space="preserve">, </w:t>
      </w:r>
      <w:r w:rsidR="00115033">
        <w:t xml:space="preserve">the </w:t>
      </w:r>
      <w:r w:rsidR="00EA0784">
        <w:t xml:space="preserve">percentage of children’s school attendance, </w:t>
      </w:r>
      <w:r w:rsidR="00115033">
        <w:t xml:space="preserve">the </w:t>
      </w:r>
      <w:r w:rsidR="009903DD">
        <w:t>average years of schooling (for people aged 25 years and older)</w:t>
      </w:r>
      <w:r w:rsidR="00EA0784">
        <w:t>,</w:t>
      </w:r>
      <w:r w:rsidR="009903DD">
        <w:t xml:space="preserve"> and </w:t>
      </w:r>
      <w:r w:rsidR="00115033">
        <w:t xml:space="preserve">the </w:t>
      </w:r>
      <w:r w:rsidR="009903DD">
        <w:t>literacy rate</w:t>
      </w:r>
      <w:r w:rsidR="00EA0784">
        <w:t xml:space="preserve"> (100 minus the </w:t>
      </w:r>
      <w:r w:rsidR="00EA0784" w:rsidRPr="00FA317F">
        <w:t xml:space="preserve">percentage of illiterate people aged 15 years </w:t>
      </w:r>
      <w:r w:rsidR="00EA0784">
        <w:t>and older)</w:t>
      </w:r>
      <w:r w:rsidR="006B6175" w:rsidRPr="00FA317F">
        <w:t>.</w:t>
      </w:r>
      <w:r w:rsidR="007E22D6" w:rsidRPr="00FA317F">
        <w:t xml:space="preserve"> </w:t>
      </w:r>
      <w:r w:rsidR="004D32DB" w:rsidRPr="00FA317F">
        <w:t>We</w:t>
      </w:r>
      <w:r w:rsidR="00932F55" w:rsidRPr="00FA317F">
        <w:t xml:space="preserve"> </w:t>
      </w:r>
      <w:r w:rsidR="007E22D6" w:rsidRPr="00FA317F">
        <w:t xml:space="preserve">selected </w:t>
      </w:r>
      <w:r w:rsidR="006B6175" w:rsidRPr="00FA317F">
        <w:t xml:space="preserve">the </w:t>
      </w:r>
      <w:r w:rsidR="004F32CE">
        <w:t xml:space="preserve">literacy rate </w:t>
      </w:r>
      <w:r w:rsidR="007E22D6" w:rsidRPr="00FA317F">
        <w:t xml:space="preserve">as </w:t>
      </w:r>
      <w:r w:rsidR="004F32CE">
        <w:t xml:space="preserve">the appropriate education indicator as </w:t>
      </w:r>
      <w:r w:rsidR="007E22D6" w:rsidRPr="00FA317F">
        <w:t xml:space="preserve">it </w:t>
      </w:r>
      <w:r w:rsidR="004F32CE">
        <w:t>is a standard measure of the level of development.</w:t>
      </w:r>
      <w:r w:rsidRPr="00FA317F">
        <w:t xml:space="preserve"> </w:t>
      </w:r>
    </w:p>
    <w:p w:rsidR="00877A16" w:rsidRPr="00FA317F" w:rsidRDefault="00877A16" w:rsidP="00877A16">
      <w:pPr>
        <w:pStyle w:val="ListParagraph"/>
        <w:spacing w:line="276" w:lineRule="auto"/>
        <w:ind w:left="0" w:firstLine="360"/>
        <w:jc w:val="both"/>
      </w:pPr>
    </w:p>
    <w:p w:rsidR="003D2195" w:rsidRDefault="008239E8" w:rsidP="00C129F0">
      <w:pPr>
        <w:pStyle w:val="FootnoteText"/>
        <w:spacing w:line="276" w:lineRule="auto"/>
        <w:ind w:firstLine="426"/>
        <w:jc w:val="both"/>
        <w:rPr>
          <w:sz w:val="24"/>
          <w:szCs w:val="24"/>
        </w:rPr>
      </w:pPr>
      <w:r w:rsidRPr="00FA317F">
        <w:rPr>
          <w:sz w:val="24"/>
          <w:szCs w:val="24"/>
        </w:rPr>
        <w:t>However, t</w:t>
      </w:r>
      <w:r w:rsidR="00987438" w:rsidRPr="00FA317F">
        <w:rPr>
          <w:sz w:val="24"/>
          <w:szCs w:val="24"/>
        </w:rPr>
        <w:t xml:space="preserve">here are </w:t>
      </w:r>
      <w:r w:rsidR="00090BE0" w:rsidRPr="00FA317F">
        <w:rPr>
          <w:sz w:val="24"/>
          <w:szCs w:val="24"/>
        </w:rPr>
        <w:t xml:space="preserve">two </w:t>
      </w:r>
      <w:r w:rsidR="00987438" w:rsidRPr="00FA317F">
        <w:rPr>
          <w:sz w:val="24"/>
          <w:szCs w:val="24"/>
        </w:rPr>
        <w:t>data caveats</w:t>
      </w:r>
      <w:r w:rsidR="004F32CE">
        <w:rPr>
          <w:sz w:val="24"/>
          <w:szCs w:val="24"/>
        </w:rPr>
        <w:t xml:space="preserve">. First, there are </w:t>
      </w:r>
      <w:r w:rsidR="001335F6" w:rsidRPr="00FA317F">
        <w:rPr>
          <w:sz w:val="24"/>
          <w:szCs w:val="24"/>
        </w:rPr>
        <w:t xml:space="preserve">missing </w:t>
      </w:r>
      <w:r w:rsidR="003D2195" w:rsidRPr="00FA317F">
        <w:rPr>
          <w:sz w:val="24"/>
          <w:szCs w:val="24"/>
        </w:rPr>
        <w:t xml:space="preserve">data for 1991, 1994 and 2000. </w:t>
      </w:r>
      <w:r w:rsidR="004F32CE">
        <w:rPr>
          <w:sz w:val="24"/>
          <w:szCs w:val="24"/>
        </w:rPr>
        <w:t xml:space="preserve">For </w:t>
      </w:r>
      <w:r w:rsidR="003D2195" w:rsidRPr="00FA317F">
        <w:rPr>
          <w:sz w:val="24"/>
          <w:szCs w:val="24"/>
        </w:rPr>
        <w:t xml:space="preserve">these years, </w:t>
      </w:r>
      <w:r w:rsidR="004F32CE">
        <w:rPr>
          <w:sz w:val="24"/>
          <w:szCs w:val="24"/>
        </w:rPr>
        <w:t xml:space="preserve">we interpolated the literacy rate </w:t>
      </w:r>
      <w:r w:rsidR="004D32DB" w:rsidRPr="00FA317F">
        <w:rPr>
          <w:sz w:val="24"/>
          <w:szCs w:val="24"/>
        </w:rPr>
        <w:t xml:space="preserve">by </w:t>
      </w:r>
      <w:r w:rsidR="00E850D7" w:rsidRPr="00FA317F">
        <w:rPr>
          <w:sz w:val="24"/>
          <w:szCs w:val="24"/>
        </w:rPr>
        <w:t xml:space="preserve">calculating </w:t>
      </w:r>
      <w:r w:rsidR="00A211C1" w:rsidRPr="00FA317F">
        <w:rPr>
          <w:sz w:val="24"/>
          <w:szCs w:val="24"/>
        </w:rPr>
        <w:t xml:space="preserve">the average between the </w:t>
      </w:r>
      <w:r w:rsidR="00BD7627" w:rsidRPr="00FA317F">
        <w:rPr>
          <w:sz w:val="24"/>
          <w:szCs w:val="24"/>
        </w:rPr>
        <w:t>neighbo</w:t>
      </w:r>
      <w:r w:rsidR="004F32CE">
        <w:rPr>
          <w:sz w:val="24"/>
          <w:szCs w:val="24"/>
        </w:rPr>
        <w:t>u</w:t>
      </w:r>
      <w:r w:rsidR="00BD7627" w:rsidRPr="00FA317F">
        <w:rPr>
          <w:sz w:val="24"/>
          <w:szCs w:val="24"/>
        </w:rPr>
        <w:t>r</w:t>
      </w:r>
      <w:r w:rsidR="00E41C8E">
        <w:rPr>
          <w:sz w:val="24"/>
          <w:szCs w:val="24"/>
        </w:rPr>
        <w:t xml:space="preserve">ing years </w:t>
      </w:r>
      <w:r w:rsidR="004F32CE">
        <w:rPr>
          <w:sz w:val="24"/>
          <w:szCs w:val="24"/>
        </w:rPr>
        <w:t xml:space="preserve">for </w:t>
      </w:r>
      <w:r w:rsidR="00E850D7" w:rsidRPr="00FA317F">
        <w:rPr>
          <w:sz w:val="24"/>
          <w:szCs w:val="24"/>
        </w:rPr>
        <w:t xml:space="preserve">each </w:t>
      </w:r>
      <w:r w:rsidR="00020DB0" w:rsidRPr="00FA317F">
        <w:rPr>
          <w:sz w:val="24"/>
          <w:szCs w:val="24"/>
        </w:rPr>
        <w:t xml:space="preserve">of </w:t>
      </w:r>
      <w:r w:rsidR="00CC4A03" w:rsidRPr="00FA317F">
        <w:rPr>
          <w:sz w:val="24"/>
          <w:szCs w:val="24"/>
        </w:rPr>
        <w:t xml:space="preserve">the </w:t>
      </w:r>
      <w:r w:rsidR="00A211C1" w:rsidRPr="00FA317F">
        <w:rPr>
          <w:sz w:val="24"/>
          <w:szCs w:val="24"/>
        </w:rPr>
        <w:t>year</w:t>
      </w:r>
      <w:r w:rsidR="00CC4A03" w:rsidRPr="00FA317F">
        <w:rPr>
          <w:sz w:val="24"/>
          <w:szCs w:val="24"/>
        </w:rPr>
        <w:t>s</w:t>
      </w:r>
      <w:r w:rsidR="00E850D7" w:rsidRPr="00FA317F">
        <w:rPr>
          <w:sz w:val="24"/>
          <w:szCs w:val="24"/>
        </w:rPr>
        <w:t xml:space="preserve">. </w:t>
      </w:r>
      <w:r w:rsidR="00115033">
        <w:rPr>
          <w:sz w:val="24"/>
          <w:szCs w:val="24"/>
        </w:rPr>
        <w:t>With respect</w:t>
      </w:r>
      <w:r w:rsidR="00E850D7" w:rsidRPr="00FA317F">
        <w:rPr>
          <w:sz w:val="24"/>
          <w:szCs w:val="24"/>
        </w:rPr>
        <w:t xml:space="preserve"> to employment, we </w:t>
      </w:r>
      <w:r w:rsidR="003D2195" w:rsidRPr="00FA317F">
        <w:rPr>
          <w:sz w:val="24"/>
          <w:szCs w:val="24"/>
        </w:rPr>
        <w:t>appl</w:t>
      </w:r>
      <w:r w:rsidR="00E850D7" w:rsidRPr="00FA317F">
        <w:rPr>
          <w:sz w:val="24"/>
          <w:szCs w:val="24"/>
        </w:rPr>
        <w:t xml:space="preserve">ied </w:t>
      </w:r>
      <w:r w:rsidR="003D2195" w:rsidRPr="00FA317F">
        <w:rPr>
          <w:sz w:val="24"/>
          <w:szCs w:val="24"/>
        </w:rPr>
        <w:t xml:space="preserve">the following </w:t>
      </w:r>
      <w:r w:rsidR="00115033">
        <w:rPr>
          <w:sz w:val="24"/>
          <w:szCs w:val="24"/>
        </w:rPr>
        <w:t>two-</w:t>
      </w:r>
      <w:r w:rsidR="00020DB0" w:rsidRPr="00FA317F">
        <w:rPr>
          <w:sz w:val="24"/>
          <w:szCs w:val="24"/>
        </w:rPr>
        <w:t>step</w:t>
      </w:r>
      <w:r w:rsidR="004F32CE">
        <w:rPr>
          <w:sz w:val="24"/>
          <w:szCs w:val="24"/>
        </w:rPr>
        <w:t xml:space="preserve"> </w:t>
      </w:r>
      <w:r w:rsidR="003D2195" w:rsidRPr="00FA317F">
        <w:rPr>
          <w:sz w:val="24"/>
          <w:szCs w:val="24"/>
        </w:rPr>
        <w:t xml:space="preserve">procedure: </w:t>
      </w:r>
      <w:r w:rsidR="004F32CE">
        <w:rPr>
          <w:sz w:val="24"/>
          <w:szCs w:val="24"/>
        </w:rPr>
        <w:t xml:space="preserve">first </w:t>
      </w:r>
      <w:r w:rsidR="00CC4A03" w:rsidRPr="00FA317F">
        <w:rPr>
          <w:sz w:val="24"/>
          <w:szCs w:val="24"/>
        </w:rPr>
        <w:t xml:space="preserve">we </w:t>
      </w:r>
      <w:r w:rsidR="004F32CE">
        <w:rPr>
          <w:sz w:val="24"/>
          <w:szCs w:val="24"/>
        </w:rPr>
        <w:t xml:space="preserve">took </w:t>
      </w:r>
      <w:r w:rsidR="004F32CE" w:rsidRPr="00FA317F">
        <w:rPr>
          <w:sz w:val="24"/>
          <w:szCs w:val="24"/>
        </w:rPr>
        <w:t xml:space="preserve">the average </w:t>
      </w:r>
      <w:r w:rsidR="004755D0">
        <w:rPr>
          <w:sz w:val="24"/>
          <w:szCs w:val="24"/>
        </w:rPr>
        <w:t xml:space="preserve">of </w:t>
      </w:r>
      <w:r w:rsidR="004F32CE" w:rsidRPr="00FA317F">
        <w:rPr>
          <w:sz w:val="24"/>
          <w:szCs w:val="24"/>
        </w:rPr>
        <w:t xml:space="preserve">the </w:t>
      </w:r>
      <w:r w:rsidR="004755D0">
        <w:rPr>
          <w:sz w:val="24"/>
          <w:szCs w:val="24"/>
        </w:rPr>
        <w:t xml:space="preserve">distribution of the employed population across sectors between the </w:t>
      </w:r>
      <w:r w:rsidR="004F32CE" w:rsidRPr="00FA317F">
        <w:rPr>
          <w:sz w:val="24"/>
          <w:szCs w:val="24"/>
        </w:rPr>
        <w:t>neighbo</w:t>
      </w:r>
      <w:r w:rsidR="004755D0">
        <w:rPr>
          <w:sz w:val="24"/>
          <w:szCs w:val="24"/>
        </w:rPr>
        <w:t>u</w:t>
      </w:r>
      <w:r w:rsidR="004F32CE" w:rsidRPr="00FA317F">
        <w:rPr>
          <w:sz w:val="24"/>
          <w:szCs w:val="24"/>
        </w:rPr>
        <w:t>r</w:t>
      </w:r>
      <w:r w:rsidR="00E41C8E">
        <w:rPr>
          <w:sz w:val="24"/>
          <w:szCs w:val="24"/>
        </w:rPr>
        <w:t xml:space="preserve">ing years </w:t>
      </w:r>
      <w:r w:rsidR="004755D0">
        <w:rPr>
          <w:sz w:val="24"/>
          <w:szCs w:val="24"/>
        </w:rPr>
        <w:t>f</w:t>
      </w:r>
      <w:r w:rsidR="00E41C8E">
        <w:rPr>
          <w:sz w:val="24"/>
          <w:szCs w:val="24"/>
        </w:rPr>
        <w:t>or</w:t>
      </w:r>
      <w:r w:rsidR="004755D0">
        <w:rPr>
          <w:sz w:val="24"/>
          <w:szCs w:val="24"/>
        </w:rPr>
        <w:t xml:space="preserve"> the states with missing </w:t>
      </w:r>
      <w:proofErr w:type="spellStart"/>
      <w:r w:rsidR="004755D0">
        <w:rPr>
          <w:sz w:val="24"/>
          <w:szCs w:val="24"/>
        </w:rPr>
        <w:t>sectoral</w:t>
      </w:r>
      <w:proofErr w:type="spellEnd"/>
      <w:r w:rsidR="004755D0">
        <w:rPr>
          <w:sz w:val="24"/>
          <w:szCs w:val="24"/>
        </w:rPr>
        <w:t xml:space="preserve"> employment data. Next, we applied those percentages to total employment in the state in</w:t>
      </w:r>
      <w:r w:rsidR="004F32CE" w:rsidRPr="00FA317F">
        <w:rPr>
          <w:sz w:val="24"/>
          <w:szCs w:val="24"/>
        </w:rPr>
        <w:t xml:space="preserve"> each of </w:t>
      </w:r>
      <w:r w:rsidR="004755D0">
        <w:rPr>
          <w:sz w:val="24"/>
          <w:szCs w:val="24"/>
        </w:rPr>
        <w:t xml:space="preserve">the </w:t>
      </w:r>
      <w:r w:rsidR="004F32CE" w:rsidRPr="00FA317F">
        <w:rPr>
          <w:sz w:val="24"/>
          <w:szCs w:val="24"/>
        </w:rPr>
        <w:t xml:space="preserve">years </w:t>
      </w:r>
      <w:r w:rsidR="004755D0">
        <w:rPr>
          <w:sz w:val="24"/>
          <w:szCs w:val="24"/>
        </w:rPr>
        <w:t xml:space="preserve">listed above. This yielded for </w:t>
      </w:r>
      <w:r w:rsidR="00E56A56" w:rsidRPr="00FA317F">
        <w:rPr>
          <w:sz w:val="24"/>
          <w:szCs w:val="24"/>
        </w:rPr>
        <w:t>each state</w:t>
      </w:r>
      <w:r w:rsidR="004755D0">
        <w:rPr>
          <w:sz w:val="24"/>
          <w:szCs w:val="24"/>
        </w:rPr>
        <w:t xml:space="preserve"> and each year </w:t>
      </w:r>
      <w:r w:rsidR="00A211C1" w:rsidRPr="00FA317F">
        <w:rPr>
          <w:sz w:val="24"/>
          <w:szCs w:val="24"/>
        </w:rPr>
        <w:t>manufactur</w:t>
      </w:r>
      <w:r w:rsidR="00987438" w:rsidRPr="00FA317F">
        <w:rPr>
          <w:sz w:val="24"/>
          <w:szCs w:val="24"/>
        </w:rPr>
        <w:t xml:space="preserve">ing industry </w:t>
      </w:r>
      <w:r w:rsidR="00A211C1" w:rsidRPr="00FA317F">
        <w:rPr>
          <w:sz w:val="24"/>
          <w:szCs w:val="24"/>
        </w:rPr>
        <w:t>employment and employment</w:t>
      </w:r>
      <w:r w:rsidR="004755D0" w:rsidRPr="004755D0">
        <w:rPr>
          <w:sz w:val="24"/>
          <w:szCs w:val="24"/>
        </w:rPr>
        <w:t xml:space="preserve"> </w:t>
      </w:r>
      <w:r w:rsidR="004755D0">
        <w:rPr>
          <w:sz w:val="24"/>
          <w:szCs w:val="24"/>
        </w:rPr>
        <w:t xml:space="preserve">in each of the </w:t>
      </w:r>
      <w:r w:rsidR="004755D0" w:rsidRPr="00FA317F">
        <w:rPr>
          <w:sz w:val="24"/>
          <w:szCs w:val="24"/>
        </w:rPr>
        <w:t>other eight sectors</w:t>
      </w:r>
      <w:r w:rsidR="003D2195" w:rsidRPr="00FA317F">
        <w:rPr>
          <w:sz w:val="24"/>
          <w:szCs w:val="24"/>
        </w:rPr>
        <w:t xml:space="preserve">. </w:t>
      </w:r>
      <w:r w:rsidR="004755D0">
        <w:rPr>
          <w:sz w:val="24"/>
          <w:szCs w:val="24"/>
        </w:rPr>
        <w:t>Ultimately, we created a complete</w:t>
      </w:r>
      <w:r w:rsidR="003D2195" w:rsidRPr="00FA317F">
        <w:rPr>
          <w:sz w:val="24"/>
          <w:szCs w:val="24"/>
        </w:rPr>
        <w:t xml:space="preserve"> time series of </w:t>
      </w:r>
      <w:r w:rsidR="004755D0">
        <w:rPr>
          <w:sz w:val="24"/>
          <w:szCs w:val="24"/>
        </w:rPr>
        <w:t xml:space="preserve">employment by sector and state for a period of </w:t>
      </w:r>
      <w:r w:rsidR="003D2195" w:rsidRPr="00FA317F">
        <w:rPr>
          <w:sz w:val="24"/>
          <w:szCs w:val="24"/>
        </w:rPr>
        <w:t>26 years.</w:t>
      </w:r>
    </w:p>
    <w:p w:rsidR="00877A16" w:rsidRPr="00FA317F" w:rsidRDefault="00877A16" w:rsidP="00877A16">
      <w:pPr>
        <w:pStyle w:val="FootnoteText"/>
        <w:spacing w:line="276" w:lineRule="auto"/>
        <w:ind w:firstLine="360"/>
        <w:jc w:val="both"/>
        <w:rPr>
          <w:sz w:val="24"/>
          <w:szCs w:val="24"/>
        </w:rPr>
      </w:pPr>
    </w:p>
    <w:p w:rsidR="00420475" w:rsidRDefault="00D97D5F" w:rsidP="00877A16">
      <w:pPr>
        <w:pStyle w:val="ListParagraph"/>
        <w:spacing w:line="276" w:lineRule="auto"/>
        <w:ind w:left="0" w:firstLine="360"/>
        <w:jc w:val="both"/>
      </w:pPr>
      <w:r w:rsidRPr="00FA317F">
        <w:t xml:space="preserve">The second data caveat is the </w:t>
      </w:r>
      <w:r w:rsidR="008239E8" w:rsidRPr="00FA317F">
        <w:t xml:space="preserve">level of </w:t>
      </w:r>
      <w:r w:rsidRPr="00FA317F">
        <w:t xml:space="preserve">data </w:t>
      </w:r>
      <w:r w:rsidR="008239E8" w:rsidRPr="00FA317F">
        <w:t xml:space="preserve">aggregation. </w:t>
      </w:r>
      <w:r w:rsidR="00420475" w:rsidRPr="00FA317F">
        <w:t xml:space="preserve">The level of disaggregation of </w:t>
      </w:r>
      <w:r w:rsidR="004755D0">
        <w:t xml:space="preserve">the </w:t>
      </w:r>
      <w:r w:rsidR="00420475" w:rsidRPr="00FA317F">
        <w:t>data</w:t>
      </w:r>
      <w:r w:rsidR="004755D0">
        <w:t xml:space="preserve"> </w:t>
      </w:r>
      <w:r w:rsidR="00420475" w:rsidRPr="00FA317F">
        <w:t>by region and by sector</w:t>
      </w:r>
      <w:r w:rsidR="004755D0">
        <w:t xml:space="preserve"> i</w:t>
      </w:r>
      <w:r w:rsidR="00420475" w:rsidRPr="00FA317F">
        <w:t>s an important issue f</w:t>
      </w:r>
      <w:r w:rsidR="00090BE0" w:rsidRPr="00FA317F">
        <w:t>or</w:t>
      </w:r>
      <w:r w:rsidR="00420475" w:rsidRPr="00FA317F">
        <w:t xml:space="preserve"> regional </w:t>
      </w:r>
      <w:r w:rsidR="004755D0">
        <w:t>analysis</w:t>
      </w:r>
      <w:r w:rsidR="00420475" w:rsidRPr="00FA317F">
        <w:t xml:space="preserve"> because the more disaggregated </w:t>
      </w:r>
      <w:r w:rsidR="00AC091E" w:rsidRPr="00FA317F">
        <w:t xml:space="preserve">the </w:t>
      </w:r>
      <w:r w:rsidR="00420475" w:rsidRPr="00FA317F">
        <w:t>data</w:t>
      </w:r>
      <w:r w:rsidR="00AC091E" w:rsidRPr="00FA317F">
        <w:t xml:space="preserve"> are</w:t>
      </w:r>
      <w:r w:rsidR="00420475" w:rsidRPr="00FA317F">
        <w:t xml:space="preserve">, the better </w:t>
      </w:r>
      <w:r w:rsidR="004755D0">
        <w:t>will be the potential for</w:t>
      </w:r>
      <w:r w:rsidR="00AC091E" w:rsidRPr="00FA317F">
        <w:t xml:space="preserve"> </w:t>
      </w:r>
      <w:r w:rsidR="00420475" w:rsidRPr="00FA317F">
        <w:t xml:space="preserve">understanding regional growth patterns. Comparing </w:t>
      </w:r>
      <w:r w:rsidR="004755D0">
        <w:t>our</w:t>
      </w:r>
      <w:r w:rsidR="00420475" w:rsidRPr="00FA317F">
        <w:t xml:space="preserve"> study </w:t>
      </w:r>
      <w:r w:rsidR="00D34B52" w:rsidRPr="00FA317F">
        <w:t>to</w:t>
      </w:r>
      <w:r w:rsidR="00420475" w:rsidRPr="00FA317F">
        <w:t xml:space="preserve"> </w:t>
      </w:r>
      <w:proofErr w:type="spellStart"/>
      <w:r w:rsidR="00420475" w:rsidRPr="00FA317F">
        <w:t>Glaeser</w:t>
      </w:r>
      <w:proofErr w:type="spellEnd"/>
      <w:r w:rsidR="00420475" w:rsidRPr="00FA317F">
        <w:t xml:space="preserve"> </w:t>
      </w:r>
      <w:r w:rsidR="004755D0">
        <w:rPr>
          <w:i/>
          <w:iCs/>
        </w:rPr>
        <w:t xml:space="preserve">et </w:t>
      </w:r>
      <w:r w:rsidR="00420475" w:rsidRPr="00FA317F">
        <w:rPr>
          <w:i/>
          <w:iCs/>
        </w:rPr>
        <w:t>al.</w:t>
      </w:r>
      <w:r w:rsidR="00420475" w:rsidRPr="00FA317F">
        <w:t xml:space="preserve"> (1992), </w:t>
      </w:r>
      <w:r w:rsidR="004755D0">
        <w:t>there is a</w:t>
      </w:r>
      <w:r w:rsidR="00420475" w:rsidRPr="00FA317F">
        <w:t xml:space="preserve"> limitation in our manufactur</w:t>
      </w:r>
      <w:r w:rsidR="00987438" w:rsidRPr="00FA317F">
        <w:t>ing industry</w:t>
      </w:r>
      <w:r w:rsidR="00420475" w:rsidRPr="00FA317F">
        <w:t xml:space="preserve"> </w:t>
      </w:r>
      <w:r w:rsidR="0003347B" w:rsidRPr="00FA317F">
        <w:t xml:space="preserve">employment </w:t>
      </w:r>
      <w:r w:rsidR="00420475" w:rsidRPr="00FA317F">
        <w:t xml:space="preserve">database. For example, we </w:t>
      </w:r>
      <w:r w:rsidR="004755D0">
        <w:t>can</w:t>
      </w:r>
      <w:r w:rsidR="00E41C8E">
        <w:t>no</w:t>
      </w:r>
      <w:r w:rsidR="004755D0">
        <w:t>t</w:t>
      </w:r>
      <w:r w:rsidR="00420475" w:rsidRPr="00FA317F">
        <w:t xml:space="preserve"> disaggregat</w:t>
      </w:r>
      <w:r w:rsidR="004755D0">
        <w:t>e</w:t>
      </w:r>
      <w:r w:rsidR="00420475" w:rsidRPr="00FA317F">
        <w:t xml:space="preserve"> this sector </w:t>
      </w:r>
      <w:r w:rsidR="004755D0">
        <w:t xml:space="preserve">further at the regional level </w:t>
      </w:r>
      <w:r w:rsidR="00420475" w:rsidRPr="00FA317F">
        <w:t xml:space="preserve">in order to </w:t>
      </w:r>
      <w:r w:rsidR="00115033">
        <w:t>analyse</w:t>
      </w:r>
      <w:r w:rsidR="00420475" w:rsidRPr="00FA317F">
        <w:t xml:space="preserve"> the share of steel</w:t>
      </w:r>
      <w:r w:rsidR="004755D0">
        <w:t xml:space="preserve"> production</w:t>
      </w:r>
      <w:r w:rsidR="00420475" w:rsidRPr="00FA317F">
        <w:t>, electronics</w:t>
      </w:r>
      <w:r w:rsidR="004755D0" w:rsidRPr="004755D0">
        <w:t xml:space="preserve"> </w:t>
      </w:r>
      <w:r w:rsidR="004755D0">
        <w:t>manufacturing</w:t>
      </w:r>
      <w:r w:rsidR="00420475" w:rsidRPr="00FA317F">
        <w:t>, etc</w:t>
      </w:r>
      <w:r w:rsidR="00115033">
        <w:t>.</w:t>
      </w:r>
      <w:r w:rsidR="00420475" w:rsidRPr="00FA317F">
        <w:t xml:space="preserve"> in </w:t>
      </w:r>
      <w:r w:rsidR="004755D0">
        <w:t>each region.</w:t>
      </w:r>
      <w:r w:rsidR="00420475" w:rsidRPr="00FA317F">
        <w:t xml:space="preserve"> This aggregation issue must be taken into account because with more disaggregated data</w:t>
      </w:r>
      <w:r w:rsidR="004755D0">
        <w:t>, the</w:t>
      </w:r>
      <w:r w:rsidR="00420475" w:rsidRPr="00FA317F">
        <w:t xml:space="preserve"> results found here </w:t>
      </w:r>
      <w:r w:rsidR="004755D0">
        <w:t>could still change in terms of</w:t>
      </w:r>
      <w:r w:rsidR="00420475" w:rsidRPr="00FA317F">
        <w:t xml:space="preserve"> sign and </w:t>
      </w:r>
      <w:r w:rsidR="004D32DB" w:rsidRPr="00FA317F">
        <w:t xml:space="preserve">statistical </w:t>
      </w:r>
      <w:r w:rsidR="00420475" w:rsidRPr="00FA317F">
        <w:t>significance (</w:t>
      </w:r>
      <w:r w:rsidR="00420475" w:rsidRPr="00FA317F">
        <w:rPr>
          <w:lang w:eastAsia="zh-CN"/>
        </w:rPr>
        <w:t>McCann</w:t>
      </w:r>
      <w:r w:rsidR="004755D0">
        <w:rPr>
          <w:lang w:eastAsia="zh-CN"/>
        </w:rPr>
        <w:t xml:space="preserve"> et al.,</w:t>
      </w:r>
      <w:r w:rsidR="00420475" w:rsidRPr="00FA317F">
        <w:rPr>
          <w:lang w:eastAsia="zh-CN"/>
        </w:rPr>
        <w:t xml:space="preserve"> 2008</w:t>
      </w:r>
      <w:r w:rsidR="00420475" w:rsidRPr="00FA317F">
        <w:t xml:space="preserve">). </w:t>
      </w:r>
      <w:r w:rsidR="004755D0">
        <w:t>Consequently</w:t>
      </w:r>
      <w:r w:rsidR="00420475" w:rsidRPr="00FA317F">
        <w:t xml:space="preserve">, while </w:t>
      </w:r>
      <w:r w:rsidR="004755D0">
        <w:t>we would ideally conduct</w:t>
      </w:r>
      <w:r w:rsidR="00420475" w:rsidRPr="00FA317F">
        <w:t xml:space="preserve"> this study </w:t>
      </w:r>
      <w:r w:rsidR="004755D0">
        <w:t xml:space="preserve">at the level of </w:t>
      </w:r>
      <w:r w:rsidR="00420475" w:rsidRPr="00FA317F">
        <w:t xml:space="preserve">disaggregated </w:t>
      </w:r>
      <w:r w:rsidR="00684CB8" w:rsidRPr="00FA317F">
        <w:t xml:space="preserve">data </w:t>
      </w:r>
      <w:r w:rsidR="0003347B" w:rsidRPr="00FA317F">
        <w:t xml:space="preserve">by </w:t>
      </w:r>
      <w:r w:rsidR="00AD686B" w:rsidRPr="00FA317F">
        <w:t>su</w:t>
      </w:r>
      <w:r w:rsidR="00AC091E" w:rsidRPr="00FA317F">
        <w:t>b-</w:t>
      </w:r>
      <w:r w:rsidR="0003347B" w:rsidRPr="00FA317F">
        <w:t xml:space="preserve">sector within </w:t>
      </w:r>
      <w:r w:rsidR="004755D0">
        <w:t xml:space="preserve">the </w:t>
      </w:r>
      <w:r w:rsidR="0003347B" w:rsidRPr="00FA317F">
        <w:t>manufactur</w:t>
      </w:r>
      <w:r w:rsidR="00987438" w:rsidRPr="00FA317F">
        <w:t>ing</w:t>
      </w:r>
      <w:r w:rsidR="0003347B" w:rsidRPr="00FA317F">
        <w:t xml:space="preserve"> sector and also by </w:t>
      </w:r>
      <w:r w:rsidR="00420475" w:rsidRPr="00FA317F">
        <w:t>municipal</w:t>
      </w:r>
      <w:r w:rsidR="0003347B" w:rsidRPr="00FA317F">
        <w:t>ity</w:t>
      </w:r>
      <w:r w:rsidR="00420475" w:rsidRPr="00FA317F">
        <w:t xml:space="preserve">, we </w:t>
      </w:r>
      <w:r w:rsidR="00E075AD">
        <w:t xml:space="preserve">are in fact limited to focus </w:t>
      </w:r>
      <w:r w:rsidR="00420475" w:rsidRPr="00FA317F">
        <w:t xml:space="preserve">on the </w:t>
      </w:r>
      <w:r w:rsidR="0021797F" w:rsidRPr="00FA317F">
        <w:t>whole manufactur</w:t>
      </w:r>
      <w:r w:rsidR="00987438" w:rsidRPr="00FA317F">
        <w:t>ing sector</w:t>
      </w:r>
      <w:r w:rsidR="0021797F" w:rsidRPr="00FA317F">
        <w:t xml:space="preserve"> </w:t>
      </w:r>
      <w:r w:rsidR="00115033">
        <w:t>at</w:t>
      </w:r>
      <w:r w:rsidR="0021797F" w:rsidRPr="00FA317F">
        <w:t xml:space="preserve"> the </w:t>
      </w:r>
      <w:r w:rsidR="00420475" w:rsidRPr="00FA317F">
        <w:t xml:space="preserve">smallest regional level </w:t>
      </w:r>
      <w:r w:rsidR="00E075AD">
        <w:t>for</w:t>
      </w:r>
      <w:r w:rsidR="00420475" w:rsidRPr="00FA317F">
        <w:t xml:space="preserve"> which we have data for all of our variables of interest, </w:t>
      </w:r>
      <w:r w:rsidR="00E075AD">
        <w:t xml:space="preserve">namely </w:t>
      </w:r>
      <w:r w:rsidR="00420475" w:rsidRPr="00FA317F">
        <w:t>the state level</w:t>
      </w:r>
      <w:r w:rsidR="00E075AD">
        <w:t>.</w:t>
      </w:r>
      <w:r w:rsidR="00954050" w:rsidRPr="00FA317F">
        <w:rPr>
          <w:rStyle w:val="FootnoteReference"/>
        </w:rPr>
        <w:footnoteReference w:id="3"/>
      </w:r>
    </w:p>
    <w:p w:rsidR="00877A16" w:rsidRPr="00A24B44" w:rsidRDefault="00877A16" w:rsidP="00877A16">
      <w:pPr>
        <w:pStyle w:val="ListParagraph"/>
        <w:spacing w:line="276" w:lineRule="auto"/>
        <w:ind w:left="0" w:firstLine="360"/>
        <w:jc w:val="both"/>
      </w:pPr>
    </w:p>
    <w:p w:rsidR="00877A16" w:rsidRDefault="00090BE0" w:rsidP="00877A16">
      <w:pPr>
        <w:pStyle w:val="ListParagraph"/>
        <w:spacing w:line="276" w:lineRule="auto"/>
        <w:ind w:left="0" w:firstLine="360"/>
        <w:jc w:val="both"/>
      </w:pPr>
      <w:r w:rsidRPr="00FA317F">
        <w:t xml:space="preserve">The second data source is </w:t>
      </w:r>
      <w:r w:rsidR="002C6024" w:rsidRPr="00FA317F">
        <w:t xml:space="preserve">the </w:t>
      </w:r>
      <w:r w:rsidR="00261ACC" w:rsidRPr="00FA317F">
        <w:t xml:space="preserve">Ministry of Transportation </w:t>
      </w:r>
      <w:r w:rsidR="002E438B" w:rsidRPr="00FA317F">
        <w:t>of Brazil</w:t>
      </w:r>
      <w:r w:rsidRPr="00FA317F">
        <w:t xml:space="preserve">. </w:t>
      </w:r>
      <w:r w:rsidR="00E41C8E">
        <w:t xml:space="preserve">Its </w:t>
      </w:r>
      <w:r w:rsidR="00261ACC" w:rsidRPr="00FA317F">
        <w:t>website</w:t>
      </w:r>
      <w:r w:rsidR="003A5CED" w:rsidRPr="00FA317F">
        <w:t xml:space="preserve"> </w:t>
      </w:r>
      <w:r w:rsidR="00261ACC" w:rsidRPr="00FA317F">
        <w:t>pr</w:t>
      </w:r>
      <w:r w:rsidR="00E075AD">
        <w:t>ovides</w:t>
      </w:r>
      <w:r w:rsidR="00261ACC" w:rsidRPr="00FA317F">
        <w:t xml:space="preserve"> a table of distance</w:t>
      </w:r>
      <w:r w:rsidR="009B1760" w:rsidRPr="00FA317F">
        <w:t>s</w:t>
      </w:r>
      <w:r w:rsidR="00261ACC" w:rsidRPr="00FA317F">
        <w:t xml:space="preserve"> in </w:t>
      </w:r>
      <w:r w:rsidR="00E075AD">
        <w:t>k</w:t>
      </w:r>
      <w:r w:rsidR="00F463A7" w:rsidRPr="00FA317F">
        <w:t>ilomet</w:t>
      </w:r>
      <w:r w:rsidR="00E075AD">
        <w:t>re</w:t>
      </w:r>
      <w:r w:rsidR="00F463A7" w:rsidRPr="00FA317F">
        <w:t xml:space="preserve">s </w:t>
      </w:r>
      <w:r w:rsidR="00261ACC" w:rsidRPr="00FA317F">
        <w:t xml:space="preserve">between </w:t>
      </w:r>
      <w:r w:rsidR="00E41C8E">
        <w:t xml:space="preserve">state </w:t>
      </w:r>
      <w:r w:rsidR="00261ACC" w:rsidRPr="00FA317F">
        <w:t xml:space="preserve">capitals </w:t>
      </w:r>
      <w:r w:rsidR="009B1760" w:rsidRPr="00FA317F">
        <w:t xml:space="preserve">and </w:t>
      </w:r>
      <w:r w:rsidR="00261ACC" w:rsidRPr="00FA317F">
        <w:t xml:space="preserve">other </w:t>
      </w:r>
      <w:r w:rsidR="009B1760" w:rsidRPr="00FA317F">
        <w:t xml:space="preserve">main Brazilian </w:t>
      </w:r>
      <w:r w:rsidR="00261ACC" w:rsidRPr="00FA317F">
        <w:t>cities</w:t>
      </w:r>
      <w:r w:rsidR="009B1760" w:rsidRPr="00FA317F">
        <w:t xml:space="preserve">. </w:t>
      </w:r>
      <w:r w:rsidR="003A5CED" w:rsidRPr="00FA317F">
        <w:t xml:space="preserve">We </w:t>
      </w:r>
      <w:r w:rsidR="006B3725" w:rsidRPr="00FA317F">
        <w:t>extract</w:t>
      </w:r>
      <w:r w:rsidR="003A5CED" w:rsidRPr="00FA317F">
        <w:t>ed</w:t>
      </w:r>
      <w:r w:rsidR="006B3725" w:rsidRPr="00FA317F">
        <w:t xml:space="preserve"> information o</w:t>
      </w:r>
      <w:r w:rsidR="00115033">
        <w:t>n</w:t>
      </w:r>
      <w:r w:rsidR="006B3725" w:rsidRPr="00FA317F">
        <w:t xml:space="preserve"> distance from the states’ capitals to S</w:t>
      </w:r>
      <w:r w:rsidR="004D32DB" w:rsidRPr="00FA317F">
        <w:rPr>
          <w:rFonts w:ascii="Arial" w:hAnsi="Arial" w:cs="Arial"/>
          <w:color w:val="000000"/>
          <w:sz w:val="20"/>
          <w:szCs w:val="20"/>
        </w:rPr>
        <w:t>ã</w:t>
      </w:r>
      <w:r w:rsidR="006B3725" w:rsidRPr="00FA317F">
        <w:t>o Paulo’s centre</w:t>
      </w:r>
      <w:r w:rsidR="00E075AD">
        <w:t>, which is the largest cent</w:t>
      </w:r>
      <w:r w:rsidR="00115033">
        <w:t>re of economic activity in Brazil</w:t>
      </w:r>
      <w:r w:rsidR="00E075AD">
        <w:t>.</w:t>
      </w:r>
      <w:r w:rsidR="00115033">
        <w:rPr>
          <w:rStyle w:val="FootnoteReference"/>
        </w:rPr>
        <w:footnoteReference w:id="4"/>
      </w:r>
      <w:r w:rsidR="00115033">
        <w:t xml:space="preserve"> </w:t>
      </w:r>
      <w:r w:rsidR="00D34B52" w:rsidRPr="00FA317F">
        <w:t>We</w:t>
      </w:r>
      <w:r w:rsidR="002E438B" w:rsidRPr="00FA317F">
        <w:t xml:space="preserve"> use</w:t>
      </w:r>
      <w:r w:rsidR="00D34B52" w:rsidRPr="00FA317F">
        <w:t>d</w:t>
      </w:r>
      <w:r w:rsidR="00E075AD">
        <w:t xml:space="preserve"> </w:t>
      </w:r>
      <w:r w:rsidR="002E438B" w:rsidRPr="00FA317F">
        <w:t xml:space="preserve">data </w:t>
      </w:r>
      <w:r w:rsidR="00E075AD">
        <w:t>from</w:t>
      </w:r>
      <w:r w:rsidR="002E438B" w:rsidRPr="00FA317F">
        <w:t xml:space="preserve"> </w:t>
      </w:r>
      <w:r w:rsidR="006D157D" w:rsidRPr="00FA317F">
        <w:t xml:space="preserve">the </w:t>
      </w:r>
      <w:r w:rsidR="002E438B" w:rsidRPr="00FA317F">
        <w:t xml:space="preserve">Ministry of Transportation of Brazil </w:t>
      </w:r>
      <w:r w:rsidR="00D34B52" w:rsidRPr="00FA317F">
        <w:t xml:space="preserve">because this institution has </w:t>
      </w:r>
      <w:r w:rsidR="001D1128" w:rsidRPr="00FA317F">
        <w:t xml:space="preserve">current </w:t>
      </w:r>
      <w:r w:rsidR="00301416" w:rsidRPr="00FA317F">
        <w:t>distance</w:t>
      </w:r>
      <w:r w:rsidR="001D1128" w:rsidRPr="00FA317F">
        <w:t xml:space="preserve"> </w:t>
      </w:r>
      <w:r w:rsidR="008C0D35" w:rsidRPr="00FA317F">
        <w:t xml:space="preserve">data </w:t>
      </w:r>
      <w:r w:rsidR="006E664F" w:rsidRPr="00FA317F">
        <w:t xml:space="preserve">and also </w:t>
      </w:r>
      <w:r w:rsidR="001D1128" w:rsidRPr="00FA317F">
        <w:t xml:space="preserve">knowledge of </w:t>
      </w:r>
      <w:r w:rsidR="00E075AD">
        <w:t xml:space="preserve">the </w:t>
      </w:r>
      <w:r w:rsidR="009D07E9" w:rsidRPr="00FA317F">
        <w:t>quality</w:t>
      </w:r>
      <w:r w:rsidR="008C0D35" w:rsidRPr="00FA317F">
        <w:t xml:space="preserve"> </w:t>
      </w:r>
      <w:r w:rsidR="00E075AD">
        <w:t xml:space="preserve">of </w:t>
      </w:r>
      <w:r w:rsidR="00E075AD" w:rsidRPr="00FA317F">
        <w:t xml:space="preserve">infrastructure </w:t>
      </w:r>
      <w:r w:rsidR="008C0D35" w:rsidRPr="00FA317F">
        <w:t>throughout the country</w:t>
      </w:r>
      <w:r w:rsidR="006E664F" w:rsidRPr="00FA317F">
        <w:t xml:space="preserve">, which </w:t>
      </w:r>
      <w:r w:rsidR="006B3725" w:rsidRPr="00FA317F">
        <w:t xml:space="preserve">is important for </w:t>
      </w:r>
      <w:r w:rsidR="007316BE" w:rsidRPr="00FA317F">
        <w:t xml:space="preserve">the </w:t>
      </w:r>
      <w:r w:rsidR="006B3725" w:rsidRPr="00FA317F">
        <w:t xml:space="preserve">estimation </w:t>
      </w:r>
      <w:r w:rsidR="006B3725" w:rsidRPr="00FA317F">
        <w:lastRenderedPageBreak/>
        <w:t xml:space="preserve">of distance </w:t>
      </w:r>
      <w:r w:rsidR="00B23899">
        <w:t>between</w:t>
      </w:r>
      <w:r w:rsidR="006B3725" w:rsidRPr="00FA317F">
        <w:t xml:space="preserve"> places</w:t>
      </w:r>
      <w:r w:rsidR="00AC091E" w:rsidRPr="00FA317F">
        <w:t xml:space="preserve"> (</w:t>
      </w:r>
      <w:r w:rsidR="00E075AD">
        <w:t xml:space="preserve">the actual </w:t>
      </w:r>
      <w:r w:rsidR="00AC091E" w:rsidRPr="00FA317F">
        <w:t>distance between places is not necessarily the shortest distance)</w:t>
      </w:r>
      <w:r w:rsidR="00E075AD">
        <w:t>.</w:t>
      </w:r>
      <w:r w:rsidR="00877A16">
        <w:t xml:space="preserve"> </w:t>
      </w:r>
    </w:p>
    <w:p w:rsidR="00877A16" w:rsidRDefault="00877A16" w:rsidP="00877A16">
      <w:pPr>
        <w:pStyle w:val="ListParagraph"/>
        <w:spacing w:line="276" w:lineRule="auto"/>
        <w:ind w:left="0" w:firstLine="360"/>
        <w:jc w:val="both"/>
      </w:pPr>
    </w:p>
    <w:p w:rsidR="00E075AD" w:rsidRDefault="00E075AD" w:rsidP="00877A16">
      <w:pPr>
        <w:pStyle w:val="ListParagraph"/>
        <w:spacing w:line="276" w:lineRule="auto"/>
        <w:ind w:left="0" w:firstLine="360"/>
        <w:jc w:val="both"/>
      </w:pPr>
      <w:r w:rsidRPr="00F63F46">
        <w:t xml:space="preserve">Table </w:t>
      </w:r>
      <w:r w:rsidR="00E93350" w:rsidRPr="00F63F46">
        <w:t>2</w:t>
      </w:r>
      <w:r w:rsidRPr="00F63F46">
        <w:t xml:space="preserve"> shows</w:t>
      </w:r>
      <w:r w:rsidRPr="009666CA">
        <w:t xml:space="preserve"> the nomenclature</w:t>
      </w:r>
      <w:r w:rsidR="008E2D25">
        <w:t xml:space="preserve">, </w:t>
      </w:r>
      <w:r w:rsidRPr="009666CA">
        <w:t>definitions</w:t>
      </w:r>
      <w:r w:rsidR="008E2D25">
        <w:t xml:space="preserve"> and the basic d</w:t>
      </w:r>
      <w:r w:rsidR="008E2D25" w:rsidRPr="009666CA">
        <w:t>escriptive statistics</w:t>
      </w:r>
      <w:r w:rsidR="008E2D25">
        <w:t xml:space="preserve"> (mean</w:t>
      </w:r>
      <w:r w:rsidR="00313D88">
        <w:t>s</w:t>
      </w:r>
      <w:r w:rsidR="008E2D25">
        <w:t xml:space="preserve"> and standard deviations)</w:t>
      </w:r>
      <w:r w:rsidRPr="009666CA">
        <w:t xml:space="preserve"> for the variables which are used in the econometric modelling that is discussed in section</w:t>
      </w:r>
      <w:r w:rsidR="00115033">
        <w:t xml:space="preserve"> 5</w:t>
      </w:r>
      <w:r w:rsidRPr="009666CA">
        <w:t>.</w:t>
      </w:r>
      <w:r w:rsidR="0069677C" w:rsidRPr="009666CA">
        <w:t xml:space="preserve"> </w:t>
      </w:r>
    </w:p>
    <w:p w:rsidR="0069677C" w:rsidRDefault="0069677C" w:rsidP="00877A16">
      <w:pPr>
        <w:pStyle w:val="ListParagraph"/>
        <w:spacing w:line="276" w:lineRule="auto"/>
        <w:ind w:left="0" w:firstLine="360"/>
        <w:jc w:val="both"/>
      </w:pPr>
    </w:p>
    <w:p w:rsidR="008B098C" w:rsidRDefault="005517A8" w:rsidP="005517A8">
      <w:pPr>
        <w:pStyle w:val="ListParagraph"/>
        <w:numPr>
          <w:ilvl w:val="0"/>
          <w:numId w:val="37"/>
        </w:numPr>
        <w:spacing w:line="276" w:lineRule="auto"/>
        <w:ind w:left="284" w:hanging="284"/>
        <w:jc w:val="both"/>
        <w:rPr>
          <w:b/>
        </w:rPr>
      </w:pPr>
      <w:r>
        <w:rPr>
          <w:b/>
        </w:rPr>
        <w:t>Growth in the R</w:t>
      </w:r>
      <w:r w:rsidR="008B098C" w:rsidRPr="008B098C">
        <w:rPr>
          <w:b/>
        </w:rPr>
        <w:t>egions of Brazil</w:t>
      </w:r>
    </w:p>
    <w:p w:rsidR="005517A8" w:rsidRPr="005517A8" w:rsidRDefault="005517A8" w:rsidP="00877A16">
      <w:pPr>
        <w:pStyle w:val="ListParagraph"/>
        <w:tabs>
          <w:tab w:val="left" w:pos="426"/>
        </w:tabs>
        <w:spacing w:line="276" w:lineRule="auto"/>
        <w:ind w:left="0"/>
        <w:jc w:val="both"/>
        <w:rPr>
          <w:sz w:val="12"/>
          <w:szCs w:val="12"/>
        </w:rPr>
      </w:pPr>
    </w:p>
    <w:p w:rsidR="008B098C" w:rsidRDefault="008B098C" w:rsidP="00877A16">
      <w:pPr>
        <w:pStyle w:val="ListParagraph"/>
        <w:tabs>
          <w:tab w:val="left" w:pos="426"/>
        </w:tabs>
        <w:spacing w:line="276" w:lineRule="auto"/>
        <w:ind w:left="0"/>
        <w:jc w:val="both"/>
      </w:pPr>
      <w:r>
        <w:t>In line with</w:t>
      </w:r>
      <w:r w:rsidRPr="00FA317F">
        <w:t xml:space="preserve"> the literature</w:t>
      </w:r>
      <w:r>
        <w:t xml:space="preserve"> summaris</w:t>
      </w:r>
      <w:r w:rsidRPr="00FA317F">
        <w:t xml:space="preserve">ed in </w:t>
      </w:r>
      <w:r>
        <w:t>S</w:t>
      </w:r>
      <w:r w:rsidRPr="00FA317F">
        <w:t>ection 2 we ask the question</w:t>
      </w:r>
      <w:r>
        <w:t xml:space="preserve"> whether</w:t>
      </w:r>
      <w:r w:rsidRPr="00FA317F">
        <w:t xml:space="preserve"> Brazilian states grow at </w:t>
      </w:r>
      <w:r>
        <w:t xml:space="preserve">roughly </w:t>
      </w:r>
      <w:r w:rsidRPr="00FA317F">
        <w:t>the same rate</w:t>
      </w:r>
      <w:r>
        <w:t xml:space="preserve"> and, if not, whether</w:t>
      </w:r>
      <w:r w:rsidRPr="00FA317F">
        <w:t xml:space="preserve"> </w:t>
      </w:r>
      <w:r>
        <w:t>the states</w:t>
      </w:r>
      <w:r w:rsidRPr="00FA317F">
        <w:t xml:space="preserve"> </w:t>
      </w:r>
      <w:r>
        <w:t xml:space="preserve">with the initially smallest shares of </w:t>
      </w:r>
      <w:r w:rsidRPr="00FA317F">
        <w:t xml:space="preserve">manufacturing industry employment </w:t>
      </w:r>
      <w:r>
        <w:t xml:space="preserve">have the fastest employment growth over the </w:t>
      </w:r>
      <w:r w:rsidRPr="00FA317F">
        <w:t>1981 to 2006</w:t>
      </w:r>
      <w:r>
        <w:t xml:space="preserve"> period. </w:t>
      </w:r>
    </w:p>
    <w:p w:rsidR="00877A16" w:rsidRDefault="00877A16" w:rsidP="00877A16">
      <w:pPr>
        <w:pStyle w:val="ListParagraph"/>
        <w:tabs>
          <w:tab w:val="left" w:pos="426"/>
        </w:tabs>
        <w:spacing w:line="276" w:lineRule="auto"/>
        <w:ind w:left="0"/>
        <w:jc w:val="both"/>
      </w:pPr>
    </w:p>
    <w:p w:rsidR="00877A16" w:rsidRDefault="00877A16" w:rsidP="00877A16">
      <w:pPr>
        <w:pStyle w:val="ListParagraph"/>
        <w:tabs>
          <w:tab w:val="left" w:pos="567"/>
        </w:tabs>
        <w:spacing w:line="276" w:lineRule="auto"/>
        <w:ind w:left="0"/>
        <w:jc w:val="both"/>
        <w:rPr>
          <w:bCs/>
        </w:rPr>
      </w:pPr>
      <w:r>
        <w:rPr>
          <w:bCs/>
        </w:rPr>
        <w:tab/>
      </w:r>
      <w:r w:rsidRPr="00FA317F">
        <w:rPr>
          <w:bCs/>
        </w:rPr>
        <w:t xml:space="preserve">Table </w:t>
      </w:r>
      <w:r>
        <w:rPr>
          <w:bCs/>
        </w:rPr>
        <w:t>3</w:t>
      </w:r>
      <w:r w:rsidRPr="00FA317F">
        <w:rPr>
          <w:bCs/>
        </w:rPr>
        <w:t xml:space="preserve"> shows the average annual growth rates of manufacturing industry employment from 1981 to 2006</w:t>
      </w:r>
      <w:r>
        <w:rPr>
          <w:bCs/>
        </w:rPr>
        <w:t xml:space="preserve">. </w:t>
      </w:r>
      <w:r w:rsidRPr="00FA317F">
        <w:rPr>
          <w:bCs/>
        </w:rPr>
        <w:t>At the national level, this growth rate was 2.56%. Growth rate</w:t>
      </w:r>
      <w:r>
        <w:rPr>
          <w:bCs/>
        </w:rPr>
        <w:t>s</w:t>
      </w:r>
      <w:r w:rsidRPr="00FA317F">
        <w:rPr>
          <w:bCs/>
        </w:rPr>
        <w:t xml:space="preserve"> var</w:t>
      </w:r>
      <w:r>
        <w:rPr>
          <w:bCs/>
        </w:rPr>
        <w:t>y</w:t>
      </w:r>
      <w:r w:rsidRPr="00FA317F">
        <w:rPr>
          <w:bCs/>
        </w:rPr>
        <w:t xml:space="preserve"> across macro region</w:t>
      </w:r>
      <w:r>
        <w:rPr>
          <w:bCs/>
        </w:rPr>
        <w:t xml:space="preserve">s and, within macro regions, across </w:t>
      </w:r>
      <w:r w:rsidRPr="00FA317F">
        <w:rPr>
          <w:bCs/>
        </w:rPr>
        <w:t>state</w:t>
      </w:r>
      <w:r>
        <w:rPr>
          <w:bCs/>
        </w:rPr>
        <w:t>s</w:t>
      </w:r>
      <w:r w:rsidRPr="00FA317F">
        <w:rPr>
          <w:bCs/>
        </w:rPr>
        <w:t xml:space="preserve">. At </w:t>
      </w:r>
      <w:r>
        <w:rPr>
          <w:bCs/>
        </w:rPr>
        <w:t xml:space="preserve">the </w:t>
      </w:r>
      <w:r w:rsidRPr="00FA317F">
        <w:rPr>
          <w:bCs/>
        </w:rPr>
        <w:t xml:space="preserve">macro regional level, </w:t>
      </w:r>
      <w:r>
        <w:rPr>
          <w:bCs/>
        </w:rPr>
        <w:t>the S</w:t>
      </w:r>
      <w:r w:rsidRPr="00FA317F">
        <w:rPr>
          <w:bCs/>
        </w:rPr>
        <w:t xml:space="preserve">outheast, </w:t>
      </w:r>
      <w:r>
        <w:rPr>
          <w:bCs/>
        </w:rPr>
        <w:t>S</w:t>
      </w:r>
      <w:r w:rsidRPr="00FA317F">
        <w:rPr>
          <w:bCs/>
        </w:rPr>
        <w:t xml:space="preserve">outh and </w:t>
      </w:r>
      <w:r>
        <w:rPr>
          <w:bCs/>
        </w:rPr>
        <w:t>N</w:t>
      </w:r>
      <w:r w:rsidRPr="00FA317F">
        <w:rPr>
          <w:bCs/>
        </w:rPr>
        <w:t>ortheast grew</w:t>
      </w:r>
      <w:r>
        <w:rPr>
          <w:bCs/>
        </w:rPr>
        <w:t xml:space="preserve"> </w:t>
      </w:r>
      <w:r w:rsidRPr="00FA317F">
        <w:rPr>
          <w:bCs/>
        </w:rPr>
        <w:t>at 1.59%, 3.52%, and 2.88%</w:t>
      </w:r>
      <w:r>
        <w:rPr>
          <w:bCs/>
        </w:rPr>
        <w:t xml:space="preserve"> </w:t>
      </w:r>
      <w:r w:rsidRPr="00FA317F">
        <w:rPr>
          <w:bCs/>
        </w:rPr>
        <w:t>respectively</w:t>
      </w:r>
      <w:r>
        <w:rPr>
          <w:bCs/>
        </w:rPr>
        <w:t>.</w:t>
      </w:r>
      <w:r w:rsidRPr="00FA317F">
        <w:rPr>
          <w:bCs/>
        </w:rPr>
        <w:t xml:space="preserve"> </w:t>
      </w:r>
      <w:r>
        <w:rPr>
          <w:bCs/>
        </w:rPr>
        <w:t>T</w:t>
      </w:r>
      <w:r w:rsidRPr="00FA317F">
        <w:rPr>
          <w:bCs/>
        </w:rPr>
        <w:t>hese macro regions had relatively high</w:t>
      </w:r>
      <w:r>
        <w:rPr>
          <w:bCs/>
        </w:rPr>
        <w:t xml:space="preserve"> </w:t>
      </w:r>
      <w:r w:rsidRPr="00FA317F">
        <w:rPr>
          <w:bCs/>
        </w:rPr>
        <w:t>manufacturing employment shares in 1981: 63.80%, 16.12% and 15.29%</w:t>
      </w:r>
      <w:r>
        <w:rPr>
          <w:bCs/>
        </w:rPr>
        <w:t xml:space="preserve"> respectively. </w:t>
      </w:r>
      <w:r w:rsidRPr="00FA317F">
        <w:rPr>
          <w:bCs/>
        </w:rPr>
        <w:t xml:space="preserve">In contrast, </w:t>
      </w:r>
      <w:r>
        <w:rPr>
          <w:bCs/>
        </w:rPr>
        <w:t>the C</w:t>
      </w:r>
      <w:r w:rsidRPr="00FA317F">
        <w:rPr>
          <w:bCs/>
        </w:rPr>
        <w:t xml:space="preserve">entre </w:t>
      </w:r>
      <w:r>
        <w:rPr>
          <w:bCs/>
        </w:rPr>
        <w:t>W</w:t>
      </w:r>
      <w:r w:rsidRPr="00FA317F">
        <w:rPr>
          <w:bCs/>
        </w:rPr>
        <w:t xml:space="preserve">est and </w:t>
      </w:r>
      <w:r>
        <w:rPr>
          <w:bCs/>
        </w:rPr>
        <w:t>N</w:t>
      </w:r>
      <w:r w:rsidRPr="00FA317F">
        <w:rPr>
          <w:bCs/>
        </w:rPr>
        <w:t>orth, with national manufacturing employment shares in 1981 of only 2.6</w:t>
      </w:r>
      <w:r>
        <w:rPr>
          <w:bCs/>
        </w:rPr>
        <w:t>6</w:t>
      </w:r>
      <w:r w:rsidRPr="00FA317F">
        <w:rPr>
          <w:bCs/>
        </w:rPr>
        <w:t>% and 2.0</w:t>
      </w:r>
      <w:r>
        <w:rPr>
          <w:bCs/>
        </w:rPr>
        <w:t>4</w:t>
      </w:r>
      <w:r w:rsidRPr="00FA317F">
        <w:rPr>
          <w:bCs/>
        </w:rPr>
        <w:t>% grew, respectively, at 5.38% and 7.46%</w:t>
      </w:r>
      <w:r>
        <w:rPr>
          <w:bCs/>
        </w:rPr>
        <w:t>, on average, from 1981 to 2006</w:t>
      </w:r>
      <w:r w:rsidRPr="00FA317F">
        <w:rPr>
          <w:bCs/>
        </w:rPr>
        <w:t xml:space="preserve">. At the state level, states that grew fastest are those with lower manufacturing industry employment share in 1981. For instance, in </w:t>
      </w:r>
      <w:r>
        <w:rPr>
          <w:bCs/>
        </w:rPr>
        <w:t>the N</w:t>
      </w:r>
      <w:r w:rsidRPr="00FA317F">
        <w:rPr>
          <w:bCs/>
        </w:rPr>
        <w:t xml:space="preserve">orth macro region the smallest state of </w:t>
      </w:r>
      <w:proofErr w:type="spellStart"/>
      <w:r w:rsidRPr="00FA317F">
        <w:rPr>
          <w:bCs/>
        </w:rPr>
        <w:t>Roraima</w:t>
      </w:r>
      <w:proofErr w:type="spellEnd"/>
      <w:r w:rsidRPr="00FA317F">
        <w:rPr>
          <w:bCs/>
        </w:rPr>
        <w:t xml:space="preserve"> grew at 11.25%. This growth rate is above those for the two biggest states</w:t>
      </w:r>
      <w:r>
        <w:rPr>
          <w:bCs/>
        </w:rPr>
        <w:t xml:space="preserve"> in this region</w:t>
      </w:r>
      <w:r w:rsidRPr="00FA317F">
        <w:rPr>
          <w:bCs/>
        </w:rPr>
        <w:t xml:space="preserve">, Amazonas and </w:t>
      </w:r>
      <w:proofErr w:type="spellStart"/>
      <w:r w:rsidRPr="00FA317F">
        <w:rPr>
          <w:bCs/>
        </w:rPr>
        <w:t>Pará</w:t>
      </w:r>
      <w:proofErr w:type="spellEnd"/>
      <w:r w:rsidRPr="00FA317F">
        <w:rPr>
          <w:bCs/>
        </w:rPr>
        <w:t>, which grew at only 4.86% and 8.92%</w:t>
      </w:r>
      <w:r>
        <w:rPr>
          <w:bCs/>
        </w:rPr>
        <w:t xml:space="preserve">. </w:t>
      </w:r>
      <w:r w:rsidRPr="00FA317F">
        <w:rPr>
          <w:bCs/>
        </w:rPr>
        <w:t xml:space="preserve">In </w:t>
      </w:r>
      <w:r>
        <w:rPr>
          <w:bCs/>
        </w:rPr>
        <w:t>the N</w:t>
      </w:r>
      <w:r w:rsidRPr="00FA317F">
        <w:rPr>
          <w:bCs/>
        </w:rPr>
        <w:t xml:space="preserve">ortheast, excluding </w:t>
      </w:r>
      <w:proofErr w:type="spellStart"/>
      <w:r w:rsidRPr="00FA317F">
        <w:rPr>
          <w:bCs/>
        </w:rPr>
        <w:t>Alagoas</w:t>
      </w:r>
      <w:proofErr w:type="spellEnd"/>
      <w:r w:rsidRPr="00FA317F">
        <w:rPr>
          <w:bCs/>
        </w:rPr>
        <w:t xml:space="preserve"> and </w:t>
      </w:r>
      <w:proofErr w:type="spellStart"/>
      <w:r w:rsidRPr="00FA317F">
        <w:rPr>
          <w:bCs/>
        </w:rPr>
        <w:t>Sergipe</w:t>
      </w:r>
      <w:proofErr w:type="spellEnd"/>
      <w:r w:rsidRPr="00FA317F">
        <w:rPr>
          <w:bCs/>
        </w:rPr>
        <w:t xml:space="preserve"> states, all other small states grew faster than the three </w:t>
      </w:r>
      <w:r>
        <w:rPr>
          <w:bCs/>
        </w:rPr>
        <w:t xml:space="preserve">that had the largest </w:t>
      </w:r>
      <w:r w:rsidRPr="00FA317F">
        <w:rPr>
          <w:bCs/>
        </w:rPr>
        <w:t>manufacturing employment share in 1981</w:t>
      </w:r>
      <w:r>
        <w:rPr>
          <w:bCs/>
        </w:rPr>
        <w:t xml:space="preserve">. The </w:t>
      </w:r>
      <w:r w:rsidRPr="00FA317F">
        <w:rPr>
          <w:bCs/>
        </w:rPr>
        <w:t xml:space="preserve">growth rates for these leading states were Bahia 2.82%, </w:t>
      </w:r>
      <w:proofErr w:type="spellStart"/>
      <w:r w:rsidRPr="00FA317F">
        <w:rPr>
          <w:bCs/>
        </w:rPr>
        <w:t>Ceará</w:t>
      </w:r>
      <w:proofErr w:type="spellEnd"/>
      <w:r w:rsidRPr="00FA317F">
        <w:rPr>
          <w:bCs/>
        </w:rPr>
        <w:t xml:space="preserve"> 3.08%, and </w:t>
      </w:r>
      <w:proofErr w:type="spellStart"/>
      <w:r w:rsidRPr="00FA317F">
        <w:rPr>
          <w:bCs/>
        </w:rPr>
        <w:t>Pernambuco</w:t>
      </w:r>
      <w:proofErr w:type="spellEnd"/>
      <w:r>
        <w:rPr>
          <w:bCs/>
        </w:rPr>
        <w:t xml:space="preserve"> at</w:t>
      </w:r>
      <w:r w:rsidRPr="00FA317F">
        <w:rPr>
          <w:bCs/>
        </w:rPr>
        <w:t xml:space="preserve"> 1.09%. In </w:t>
      </w:r>
      <w:r>
        <w:rPr>
          <w:bCs/>
        </w:rPr>
        <w:t>the C</w:t>
      </w:r>
      <w:r w:rsidRPr="00FA317F">
        <w:rPr>
          <w:bCs/>
        </w:rPr>
        <w:t xml:space="preserve">entre </w:t>
      </w:r>
      <w:r>
        <w:rPr>
          <w:bCs/>
        </w:rPr>
        <w:t>W</w:t>
      </w:r>
      <w:r w:rsidRPr="00FA317F">
        <w:rPr>
          <w:bCs/>
        </w:rPr>
        <w:t xml:space="preserve">est, </w:t>
      </w:r>
      <w:r>
        <w:rPr>
          <w:bCs/>
        </w:rPr>
        <w:t xml:space="preserve">employment in the </w:t>
      </w:r>
      <w:r w:rsidRPr="00FA317F">
        <w:rPr>
          <w:bCs/>
        </w:rPr>
        <w:t xml:space="preserve">leading states of </w:t>
      </w:r>
      <w:proofErr w:type="spellStart"/>
      <w:r w:rsidRPr="00FA317F">
        <w:rPr>
          <w:bCs/>
        </w:rPr>
        <w:t>Goi</w:t>
      </w:r>
      <w:r>
        <w:rPr>
          <w:bCs/>
        </w:rPr>
        <w:t>ás</w:t>
      </w:r>
      <w:proofErr w:type="spellEnd"/>
      <w:r>
        <w:rPr>
          <w:bCs/>
        </w:rPr>
        <w:t xml:space="preserve"> and </w:t>
      </w:r>
      <w:proofErr w:type="spellStart"/>
      <w:r>
        <w:rPr>
          <w:bCs/>
        </w:rPr>
        <w:t>Mato</w:t>
      </w:r>
      <w:proofErr w:type="spellEnd"/>
      <w:r>
        <w:rPr>
          <w:bCs/>
        </w:rPr>
        <w:t xml:space="preserve"> </w:t>
      </w:r>
      <w:proofErr w:type="spellStart"/>
      <w:r>
        <w:rPr>
          <w:bCs/>
        </w:rPr>
        <w:t>Grosso</w:t>
      </w:r>
      <w:proofErr w:type="spellEnd"/>
      <w:r>
        <w:rPr>
          <w:bCs/>
        </w:rPr>
        <w:t xml:space="preserve"> do </w:t>
      </w:r>
      <w:proofErr w:type="spellStart"/>
      <w:r>
        <w:rPr>
          <w:bCs/>
        </w:rPr>
        <w:t>Sul</w:t>
      </w:r>
      <w:proofErr w:type="spellEnd"/>
      <w:r>
        <w:rPr>
          <w:bCs/>
        </w:rPr>
        <w:t xml:space="preserve"> were sur</w:t>
      </w:r>
      <w:r w:rsidRPr="00FA317F">
        <w:rPr>
          <w:bCs/>
        </w:rPr>
        <w:t xml:space="preserve">passed by the smaller ones, </w:t>
      </w:r>
      <w:proofErr w:type="spellStart"/>
      <w:r w:rsidRPr="00FA317F">
        <w:rPr>
          <w:bCs/>
        </w:rPr>
        <w:t>Mato</w:t>
      </w:r>
      <w:proofErr w:type="spellEnd"/>
      <w:r w:rsidRPr="00FA317F">
        <w:rPr>
          <w:bCs/>
        </w:rPr>
        <w:t xml:space="preserve"> </w:t>
      </w:r>
      <w:proofErr w:type="spellStart"/>
      <w:r w:rsidRPr="00FA317F">
        <w:rPr>
          <w:bCs/>
        </w:rPr>
        <w:t>Grosso</w:t>
      </w:r>
      <w:proofErr w:type="spellEnd"/>
      <w:r w:rsidRPr="00FA317F">
        <w:rPr>
          <w:bCs/>
        </w:rPr>
        <w:t xml:space="preserve"> and Distrito Federal</w:t>
      </w:r>
      <w:r>
        <w:rPr>
          <w:bCs/>
        </w:rPr>
        <w:t>. The</w:t>
      </w:r>
      <w:r w:rsidRPr="00FA317F">
        <w:rPr>
          <w:bCs/>
        </w:rPr>
        <w:t xml:space="preserve"> growth rate</w:t>
      </w:r>
      <w:r>
        <w:rPr>
          <w:bCs/>
        </w:rPr>
        <w:t>s</w:t>
      </w:r>
      <w:r w:rsidRPr="00FA317F">
        <w:rPr>
          <w:bCs/>
        </w:rPr>
        <w:t xml:space="preserve"> for the former two states w</w:t>
      </w:r>
      <w:r>
        <w:rPr>
          <w:bCs/>
        </w:rPr>
        <w:t>ere</w:t>
      </w:r>
      <w:r w:rsidRPr="00FA317F">
        <w:rPr>
          <w:bCs/>
        </w:rPr>
        <w:t xml:space="preserve"> 5.19% and 3.69%</w:t>
      </w:r>
      <w:r>
        <w:rPr>
          <w:bCs/>
        </w:rPr>
        <w:t xml:space="preserve"> and </w:t>
      </w:r>
      <w:r w:rsidRPr="00FA317F">
        <w:rPr>
          <w:bCs/>
        </w:rPr>
        <w:t xml:space="preserve">for the latter two 7.61% and 6.64%. In </w:t>
      </w:r>
      <w:r>
        <w:rPr>
          <w:bCs/>
        </w:rPr>
        <w:t>the s</w:t>
      </w:r>
      <w:r w:rsidRPr="00FA317F">
        <w:rPr>
          <w:bCs/>
        </w:rPr>
        <w:t xml:space="preserve">outheast, </w:t>
      </w:r>
      <w:r>
        <w:rPr>
          <w:bCs/>
        </w:rPr>
        <w:t xml:space="preserve">employment in </w:t>
      </w:r>
      <w:r w:rsidRPr="00FA317F">
        <w:rPr>
          <w:bCs/>
        </w:rPr>
        <w:t>São Paulo and Rio de Janeiro grew less</w:t>
      </w:r>
      <w:r>
        <w:rPr>
          <w:bCs/>
        </w:rPr>
        <w:t xml:space="preserve"> </w:t>
      </w:r>
      <w:r w:rsidRPr="00FA317F">
        <w:rPr>
          <w:bCs/>
        </w:rPr>
        <w:t xml:space="preserve">than </w:t>
      </w:r>
      <w:r>
        <w:rPr>
          <w:bCs/>
        </w:rPr>
        <w:t xml:space="preserve">in </w:t>
      </w:r>
      <w:r w:rsidRPr="00FA317F">
        <w:rPr>
          <w:bCs/>
        </w:rPr>
        <w:t xml:space="preserve">Minas </w:t>
      </w:r>
      <w:proofErr w:type="spellStart"/>
      <w:r w:rsidRPr="00FA317F">
        <w:rPr>
          <w:bCs/>
        </w:rPr>
        <w:t>Gerais</w:t>
      </w:r>
      <w:proofErr w:type="spellEnd"/>
      <w:r w:rsidRPr="00FA317F">
        <w:rPr>
          <w:bCs/>
        </w:rPr>
        <w:t xml:space="preserve"> and </w:t>
      </w:r>
      <w:proofErr w:type="spellStart"/>
      <w:r w:rsidRPr="00FA317F">
        <w:rPr>
          <w:bCs/>
        </w:rPr>
        <w:t>Espirito</w:t>
      </w:r>
      <w:proofErr w:type="spellEnd"/>
      <w:r w:rsidRPr="00FA317F">
        <w:rPr>
          <w:bCs/>
        </w:rPr>
        <w:t xml:space="preserve"> Santo: the growth rate</w:t>
      </w:r>
      <w:r>
        <w:rPr>
          <w:bCs/>
        </w:rPr>
        <w:t>s</w:t>
      </w:r>
      <w:r w:rsidRPr="00FA317F">
        <w:rPr>
          <w:bCs/>
        </w:rPr>
        <w:t xml:space="preserve"> for the former two states w</w:t>
      </w:r>
      <w:r>
        <w:rPr>
          <w:bCs/>
        </w:rPr>
        <w:t>ere</w:t>
      </w:r>
      <w:r w:rsidRPr="00FA317F">
        <w:rPr>
          <w:bCs/>
        </w:rPr>
        <w:t xml:space="preserve"> 1.28% and -0.05%; for the latter two 3.94% and 3.99%</w:t>
      </w:r>
      <w:r>
        <w:rPr>
          <w:bCs/>
        </w:rPr>
        <w:t>.</w:t>
      </w:r>
      <w:r w:rsidRPr="00FA317F">
        <w:rPr>
          <w:bCs/>
        </w:rPr>
        <w:t xml:space="preserve"> Lastly, </w:t>
      </w:r>
      <w:r>
        <w:rPr>
          <w:bCs/>
        </w:rPr>
        <w:t>the S</w:t>
      </w:r>
      <w:r w:rsidRPr="00FA317F">
        <w:rPr>
          <w:bCs/>
        </w:rPr>
        <w:t>outh</w:t>
      </w:r>
      <w:r>
        <w:rPr>
          <w:bCs/>
        </w:rPr>
        <w:t>’s</w:t>
      </w:r>
      <w:r w:rsidRPr="00FA317F">
        <w:rPr>
          <w:bCs/>
        </w:rPr>
        <w:t xml:space="preserve"> biggest state, Rio Grande do </w:t>
      </w:r>
      <w:proofErr w:type="spellStart"/>
      <w:r w:rsidRPr="00FA317F">
        <w:rPr>
          <w:bCs/>
        </w:rPr>
        <w:t>Sul</w:t>
      </w:r>
      <w:proofErr w:type="spellEnd"/>
      <w:r w:rsidRPr="00FA317F">
        <w:rPr>
          <w:bCs/>
        </w:rPr>
        <w:t>, grew 2.77%, which was less</w:t>
      </w:r>
      <w:r>
        <w:rPr>
          <w:bCs/>
        </w:rPr>
        <w:t xml:space="preserve"> </w:t>
      </w:r>
      <w:r w:rsidRPr="00FA317F">
        <w:rPr>
          <w:bCs/>
        </w:rPr>
        <w:t xml:space="preserve">than 4.26% and 3.96% for Paraná and Santa </w:t>
      </w:r>
      <w:proofErr w:type="spellStart"/>
      <w:r w:rsidRPr="00FA317F">
        <w:rPr>
          <w:bCs/>
        </w:rPr>
        <w:t>Catarina</w:t>
      </w:r>
      <w:proofErr w:type="spellEnd"/>
      <w:r w:rsidRPr="00FA317F">
        <w:rPr>
          <w:bCs/>
        </w:rPr>
        <w:t>, respectively.</w:t>
      </w:r>
    </w:p>
    <w:p w:rsidR="00877A16" w:rsidRPr="00FA317F" w:rsidRDefault="00877A16" w:rsidP="00877A16">
      <w:pPr>
        <w:pStyle w:val="ListParagraph"/>
        <w:spacing w:line="276" w:lineRule="auto"/>
        <w:ind w:left="0"/>
        <w:jc w:val="both"/>
        <w:rPr>
          <w:bCs/>
        </w:rPr>
      </w:pPr>
    </w:p>
    <w:p w:rsidR="00877A16" w:rsidRDefault="00877A16" w:rsidP="00877A16">
      <w:pPr>
        <w:pStyle w:val="ListParagraph"/>
        <w:tabs>
          <w:tab w:val="left" w:pos="426"/>
        </w:tabs>
        <w:spacing w:line="276" w:lineRule="auto"/>
        <w:ind w:left="0"/>
        <w:jc w:val="both"/>
      </w:pPr>
      <w:r w:rsidRPr="00FA317F">
        <w:tab/>
        <w:t xml:space="preserve"> </w:t>
      </w:r>
      <w:proofErr w:type="spellStart"/>
      <w:r w:rsidRPr="00FA317F">
        <w:t>Barro</w:t>
      </w:r>
      <w:proofErr w:type="spellEnd"/>
      <w:r w:rsidRPr="00FA317F">
        <w:t xml:space="preserve"> &amp; </w:t>
      </w:r>
      <w:proofErr w:type="spellStart"/>
      <w:r w:rsidRPr="00FA317F">
        <w:t>Sala</w:t>
      </w:r>
      <w:proofErr w:type="spellEnd"/>
      <w:r w:rsidRPr="00FA317F">
        <w:t>-</w:t>
      </w:r>
      <w:proofErr w:type="spellStart"/>
      <w:r w:rsidRPr="00FA317F">
        <w:t>i</w:t>
      </w:r>
      <w:proofErr w:type="spellEnd"/>
      <w:r w:rsidRPr="00FA317F">
        <w:t>-Martin (2004, p. 464)</w:t>
      </w:r>
      <w:r>
        <w:t xml:space="preserve"> show how </w:t>
      </w:r>
      <w:r w:rsidRPr="00FA317F">
        <w:t xml:space="preserve">absolute convergence </w:t>
      </w:r>
      <w:r>
        <w:t xml:space="preserve">can be defined </w:t>
      </w:r>
      <w:r w:rsidRPr="00FA317F">
        <w:t xml:space="preserve">in relation to a given steady state. This is verified </w:t>
      </w:r>
      <w:r>
        <w:t xml:space="preserve">by </w:t>
      </w:r>
      <w:r w:rsidRPr="00FA317F">
        <w:t xml:space="preserve">calculating </w:t>
      </w:r>
      <w:r>
        <w:t xml:space="preserve">the </w:t>
      </w:r>
      <w:r w:rsidRPr="00FA317F">
        <w:t>variance (σ</w:t>
      </w:r>
      <w:r w:rsidRPr="00FA317F">
        <w:rPr>
          <w:vertAlign w:val="superscript"/>
        </w:rPr>
        <w:t>2</w:t>
      </w:r>
      <w:r w:rsidRPr="00FA317F">
        <w:t xml:space="preserve">) of income, product (or output) or </w:t>
      </w:r>
      <w:r>
        <w:t>an</w:t>
      </w:r>
      <w:r w:rsidRPr="00FA317F">
        <w:t xml:space="preserve">other variable of </w:t>
      </w:r>
      <w:r>
        <w:t xml:space="preserve">the </w:t>
      </w:r>
      <w:r w:rsidRPr="00FA317F">
        <w:t xml:space="preserve">researcher’s interest over time. If </w:t>
      </w:r>
      <w:r>
        <w:t xml:space="preserve">there is over time a redistribution of employment to those regions that initially have the smallest share of employment, there is absolute convergence, at least in terms of employment. </w:t>
      </w:r>
      <w:r w:rsidRPr="00FA317F">
        <w:t xml:space="preserve"> </w:t>
      </w:r>
      <w:r w:rsidRPr="00BF21D2">
        <w:t xml:space="preserve">Assuming that there is a common steady-state </w:t>
      </w:r>
      <w:r>
        <w:t>distribution of</w:t>
      </w:r>
      <w:r w:rsidRPr="00BF21D2">
        <w:t xml:space="preserve"> manufacturing </w:t>
      </w:r>
      <w:r>
        <w:t xml:space="preserve">industry </w:t>
      </w:r>
      <w:r w:rsidRPr="00BF21D2">
        <w:t xml:space="preserve">employment across Brazilian states, Figure 1 </w:t>
      </w:r>
      <w:r>
        <w:t>suggests such</w:t>
      </w:r>
      <w:r w:rsidRPr="00BF21D2">
        <w:t xml:space="preserve"> absolute convergence </w:t>
      </w:r>
      <w:r>
        <w:t xml:space="preserve">across states </w:t>
      </w:r>
      <w:r w:rsidRPr="00BF21D2">
        <w:t xml:space="preserve">with a downward trend </w:t>
      </w:r>
      <w:r>
        <w:t xml:space="preserve">in the </w:t>
      </w:r>
      <w:r w:rsidRPr="00BF21D2">
        <w:t>variance o</w:t>
      </w:r>
      <w:r>
        <w:t>f</w:t>
      </w:r>
      <w:r w:rsidRPr="00BF21D2">
        <w:t xml:space="preserve"> </w:t>
      </w:r>
      <w:r>
        <w:t xml:space="preserve">the logarithm of </w:t>
      </w:r>
      <w:r w:rsidRPr="00BF21D2">
        <w:t xml:space="preserve">manufacturing </w:t>
      </w:r>
      <w:r>
        <w:t xml:space="preserve">industry </w:t>
      </w:r>
      <w:r w:rsidRPr="00BF21D2">
        <w:t xml:space="preserve">employment from 3.68 in </w:t>
      </w:r>
      <w:r w:rsidRPr="00BF21D2">
        <w:lastRenderedPageBreak/>
        <w:t>1983 to 1.95 in 2006, t</w:t>
      </w:r>
      <w:r>
        <w:t>owards its unknown steady-state</w:t>
      </w:r>
      <w:r w:rsidRPr="00FA317F">
        <w:t>.</w:t>
      </w:r>
      <w:r w:rsidRPr="00FA317F">
        <w:rPr>
          <w:rStyle w:val="FootnoteReference"/>
        </w:rPr>
        <w:footnoteReference w:id="5"/>
      </w:r>
      <w:r w:rsidRPr="00FA317F">
        <w:t xml:space="preserve"> So, in line with </w:t>
      </w:r>
      <w:r>
        <w:t xml:space="preserve">the </w:t>
      </w:r>
      <w:r w:rsidRPr="00FA317F">
        <w:t>previous</w:t>
      </w:r>
      <w:r>
        <w:t>ly</w:t>
      </w:r>
      <w:r w:rsidRPr="00FA317F">
        <w:t xml:space="preserve"> outlined literature that demonstrated real income convergence in Brazil</w:t>
      </w:r>
      <w:r>
        <w:t xml:space="preserve">, we see that there has also been </w:t>
      </w:r>
      <w:r w:rsidRPr="00FA317F">
        <w:t>manufacturing industry employment con</w:t>
      </w:r>
      <w:r>
        <w:t>vergence. A descriptive discussion of the national and regional economic forces that led to this outcome over the 1981-2006 period can be found in Matlaba (2012, chapters 2 and 3).</w:t>
      </w:r>
    </w:p>
    <w:p w:rsidR="008B098C" w:rsidRPr="00FA317F" w:rsidRDefault="008B098C" w:rsidP="00877A16">
      <w:pPr>
        <w:pStyle w:val="ListParagraph"/>
        <w:tabs>
          <w:tab w:val="left" w:pos="426"/>
        </w:tabs>
        <w:spacing w:line="276" w:lineRule="auto"/>
        <w:ind w:left="0"/>
        <w:jc w:val="both"/>
      </w:pPr>
    </w:p>
    <w:p w:rsidR="00877A16" w:rsidRPr="00A24B44" w:rsidRDefault="00877A16" w:rsidP="00877A16">
      <w:pPr>
        <w:pStyle w:val="ListParagraph"/>
        <w:spacing w:line="276" w:lineRule="auto"/>
        <w:jc w:val="center"/>
        <w:rPr>
          <w:b/>
          <w:sz w:val="22"/>
          <w:szCs w:val="22"/>
          <w:lang w:val="en-US"/>
        </w:rPr>
      </w:pPr>
      <w:r w:rsidRPr="00A24B44">
        <w:rPr>
          <w:b/>
          <w:sz w:val="22"/>
          <w:szCs w:val="22"/>
          <w:lang w:val="en-US"/>
        </w:rPr>
        <w:t xml:space="preserve">Table 3: </w:t>
      </w:r>
      <w:r w:rsidRPr="00A24B44">
        <w:rPr>
          <w:b/>
          <w:bCs/>
          <w:sz w:val="22"/>
          <w:szCs w:val="22"/>
          <w:lang w:val="en-US"/>
        </w:rPr>
        <w:t>Evolution of Manufacturing Industry Employment in Brazil, 1981-2006</w:t>
      </w:r>
    </w:p>
    <w:p w:rsidR="00877A16" w:rsidRDefault="00EC1889" w:rsidP="00877A16">
      <w:pPr>
        <w:pStyle w:val="ListParagraph"/>
        <w:spacing w:line="276" w:lineRule="auto"/>
        <w:ind w:left="0"/>
        <w:jc w:val="center"/>
        <w:rPr>
          <w:b/>
          <w:lang w:val="en-US"/>
        </w:rPr>
      </w:pPr>
      <w:r w:rsidRPr="00EC1889">
        <w:rPr>
          <w:noProof/>
          <w:lang w:eastAsia="zh-CN"/>
        </w:rPr>
        <w:pict>
          <v:shapetype id="_x0000_t202" coordsize="21600,21600" o:spt="202" path="m,l,21600r21600,l21600,xe">
            <v:stroke joinstyle="miter"/>
            <v:path gradientshapeok="t" o:connecttype="rect"/>
          </v:shapetype>
          <v:shape id="_x0000_s1064" type="#_x0000_t202" style="position:absolute;left:0;text-align:left;margin-left:217.95pt;margin-top:228.1pt;width:45.2pt;height:16.55pt;z-index:25166336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">
            <v:textbox style="mso-next-textbox:#_x0000_s1064">
              <w:txbxContent>
                <w:p w:rsidR="00521003" w:rsidRPr="004E343F" w:rsidRDefault="00521003" w:rsidP="00877A16">
                  <w:pPr>
                    <w:rPr>
                      <w:sz w:val="18"/>
                      <w:szCs w:val="18"/>
                    </w:rPr>
                  </w:pPr>
                  <w:r>
                    <w:rPr>
                      <w:sz w:val="18"/>
                      <w:szCs w:val="18"/>
                    </w:rPr>
                    <w:t>15.29%</w:t>
                  </w:r>
                  <w:r w:rsidRPr="004E343F">
                    <w:rPr>
                      <w:sz w:val="18"/>
                      <w:szCs w:val="18"/>
                    </w:rPr>
                    <w:t>%</w:t>
                  </w:r>
                </w:p>
              </w:txbxContent>
            </v:textbox>
          </v:shape>
        </w:pict>
      </w:r>
      <w:r w:rsidRPr="00EC1889">
        <w:rPr>
          <w:noProof/>
          <w:lang w:eastAsia="zh-CN"/>
        </w:rPr>
        <w:pict>
          <v:shape id="_x0000_s1077" type="#_x0000_t202" style="position:absolute;left:0;text-align:left;margin-left:395.35pt;margin-top:391.15pt;width:56.35pt;height:12.45pt;z-index:25167667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">
            <v:textbox style="mso-next-textbox:#_x0000_s1077">
              <w:txbxContent>
                <w:p w:rsidR="00521003" w:rsidRPr="004E343F" w:rsidRDefault="00521003" w:rsidP="00877A16">
                  <w:pPr>
                    <w:rPr>
                      <w:sz w:val="18"/>
                      <w:szCs w:val="18"/>
                    </w:rPr>
                  </w:pPr>
                </w:p>
              </w:txbxContent>
            </v:textbox>
          </v:shape>
        </w:pict>
      </w:r>
      <w:r w:rsidRPr="00EC1889">
        <w:rPr>
          <w:noProof/>
          <w:lang w:eastAsia="zh-CN"/>
        </w:rPr>
        <w:pict>
          <v:shape id="_x0000_s1079" type="#_x0000_t202" style="position:absolute;left:0;text-align:left;margin-left:399.65pt;margin-top:361.9pt;width:52.05pt;height:16.55pt;z-index:25167872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">
            <v:textbox style="mso-next-textbox:#_x0000_s1079">
              <w:txbxContent>
                <w:p w:rsidR="00521003" w:rsidRPr="004E343F" w:rsidRDefault="00521003" w:rsidP="00877A16">
                  <w:pPr>
                    <w:rPr>
                      <w:sz w:val="18"/>
                      <w:szCs w:val="18"/>
                    </w:rPr>
                  </w:pPr>
                  <w:r>
                    <w:rPr>
                      <w:sz w:val="18"/>
                      <w:szCs w:val="18"/>
                    </w:rPr>
                    <w:t>1.59%</w:t>
                  </w:r>
                </w:p>
              </w:txbxContent>
            </v:textbox>
          </v:shape>
        </w:pict>
      </w:r>
      <w:r w:rsidRPr="00EC1889">
        <w:rPr>
          <w:noProof/>
          <w:lang w:eastAsia="zh-CN"/>
        </w:rPr>
        <w:pict>
          <v:shape id="_x0000_s1076" type="#_x0000_t202" style="position:absolute;left:0;text-align:left;margin-left:399.65pt;margin-top:323.45pt;width:52.05pt;height:12.85pt;z-index:25167564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">
            <v:textbox style="mso-next-textbox:#_x0000_s1076">
              <w:txbxContent>
                <w:p w:rsidR="00521003" w:rsidRPr="004E343F" w:rsidRDefault="00521003" w:rsidP="00877A16">
                  <w:pPr>
                    <w:rPr>
                      <w:sz w:val="18"/>
                      <w:szCs w:val="18"/>
                    </w:rPr>
                  </w:pPr>
                </w:p>
              </w:txbxContent>
            </v:textbox>
          </v:shape>
        </w:pict>
      </w:r>
      <w:r w:rsidRPr="00EC1889">
        <w:rPr>
          <w:noProof/>
          <w:lang w:eastAsia="zh-CN"/>
        </w:rPr>
        <w:pict>
          <v:shape id="_x0000_s1078" type="#_x0000_t202" style="position:absolute;left:0;text-align:left;margin-left:399.65pt;margin-top:295.2pt;width:52.05pt;height:16.55pt;z-index:25167769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">
            <v:textbox style="mso-next-textbox:#_x0000_s1078">
              <w:txbxContent>
                <w:p w:rsidR="00521003" w:rsidRPr="004E343F" w:rsidRDefault="00521003" w:rsidP="00877A16">
                  <w:pPr>
                    <w:rPr>
                      <w:sz w:val="18"/>
                      <w:szCs w:val="18"/>
                    </w:rPr>
                  </w:pPr>
                  <w:r>
                    <w:rPr>
                      <w:sz w:val="18"/>
                      <w:szCs w:val="18"/>
                    </w:rPr>
                    <w:t>5.38</w:t>
                  </w:r>
                  <w:r w:rsidRPr="004E343F">
                    <w:rPr>
                      <w:sz w:val="18"/>
                      <w:szCs w:val="18"/>
                    </w:rPr>
                    <w:t>%</w:t>
                  </w:r>
                </w:p>
              </w:txbxContent>
            </v:textbox>
          </v:shape>
        </w:pict>
      </w:r>
      <w:r w:rsidRPr="00EC1889">
        <w:rPr>
          <w:noProof/>
          <w:lang w:eastAsia="zh-CN"/>
        </w:rPr>
        <w:pict>
          <v:shape id="_x0000_s1075" type="#_x0000_t202" style="position:absolute;left:0;text-align:left;margin-left:395.35pt;margin-top:255.75pt;width:56.35pt;height:12.4pt;z-index:25167462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">
            <v:textbox style="mso-next-textbox:#_x0000_s1075">
              <w:txbxContent>
                <w:p w:rsidR="00521003" w:rsidRPr="004E343F" w:rsidRDefault="00521003" w:rsidP="00877A16">
                  <w:pPr>
                    <w:rPr>
                      <w:sz w:val="18"/>
                      <w:szCs w:val="18"/>
                    </w:rPr>
                  </w:pPr>
                </w:p>
              </w:txbxContent>
            </v:textbox>
          </v:shape>
        </w:pict>
      </w:r>
      <w:r w:rsidRPr="00EC1889">
        <w:rPr>
          <w:noProof/>
          <w:lang w:eastAsia="zh-CN"/>
        </w:rPr>
        <w:pict>
          <v:shape id="_x0000_s1074" type="#_x0000_t202" style="position:absolute;left:0;text-align:left;margin-left:399.65pt;margin-top:148.6pt;width:52.05pt;height:11.85pt;z-index:25167360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">
            <v:textbox style="mso-next-textbox:#_x0000_s1074">
              <w:txbxContent>
                <w:p w:rsidR="00521003" w:rsidRPr="004E343F" w:rsidRDefault="00521003" w:rsidP="00877A16">
                  <w:pPr>
                    <w:rPr>
                      <w:sz w:val="18"/>
                      <w:szCs w:val="18"/>
                    </w:rPr>
                  </w:pPr>
                </w:p>
              </w:txbxContent>
            </v:textbox>
          </v:shape>
        </w:pict>
      </w:r>
      <w:r w:rsidRPr="00EC1889">
        <w:rPr>
          <w:noProof/>
          <w:lang w:eastAsia="zh-CN"/>
        </w:rPr>
        <w:pict>
          <v:shape id="_x0000_s1073" type="#_x0000_t202" style="position:absolute;left:0;text-align:left;margin-left:399.65pt;margin-top:41pt;width:55.05pt;height:11.45pt;z-index:25167257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">
            <v:textbox style="mso-next-textbox:#_x0000_s1073">
              <w:txbxContent>
                <w:p w:rsidR="00521003" w:rsidRPr="004E343F" w:rsidRDefault="00521003" w:rsidP="00877A16">
                  <w:pPr>
                    <w:rPr>
                      <w:sz w:val="18"/>
                      <w:szCs w:val="18"/>
                    </w:rPr>
                  </w:pPr>
                </w:p>
              </w:txbxContent>
            </v:textbox>
          </v:shape>
        </w:pict>
      </w:r>
      <w:r w:rsidRPr="00EC1889">
        <w:rPr>
          <w:noProof/>
          <w:lang w:eastAsia="zh-CN"/>
        </w:rPr>
        <w:pict>
          <v:shape id="_x0000_s1080" type="#_x0000_t202" style="position:absolute;left:0;text-align:left;margin-left:399.65pt;margin-top:413.85pt;width:47.35pt;height:16.55pt;z-index:25167974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">
            <v:textbox style="mso-next-textbox:#_x0000_s1080">
              <w:txbxContent>
                <w:p w:rsidR="00521003" w:rsidRPr="004E343F" w:rsidRDefault="00521003" w:rsidP="00877A16">
                  <w:pPr>
                    <w:rPr>
                      <w:sz w:val="18"/>
                      <w:szCs w:val="18"/>
                    </w:rPr>
                  </w:pPr>
                  <w:r>
                    <w:rPr>
                      <w:sz w:val="18"/>
                      <w:szCs w:val="18"/>
                    </w:rPr>
                    <w:t>3.52</w:t>
                  </w:r>
                  <w:r w:rsidRPr="004E343F">
                    <w:rPr>
                      <w:sz w:val="18"/>
                      <w:szCs w:val="18"/>
                    </w:rPr>
                    <w:t>%</w:t>
                  </w:r>
                </w:p>
              </w:txbxContent>
            </v:textbox>
          </v:shape>
        </w:pict>
      </w:r>
      <w:r w:rsidRPr="00EC1889">
        <w:rPr>
          <w:noProof/>
          <w:lang w:eastAsia="zh-CN"/>
        </w:rPr>
        <w:pict>
          <v:shape id="_x0000_s1071" type="#_x0000_t202" style="position:absolute;left:0;text-align:left;margin-left:395.35pt;margin-top:228.1pt;width:47.35pt;height:16.55pt;z-index:25167052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">
            <v:textbox style="mso-next-textbox:#_x0000_s1071">
              <w:txbxContent>
                <w:p w:rsidR="00521003" w:rsidRPr="004E343F" w:rsidRDefault="00521003" w:rsidP="00877A16">
                  <w:pPr>
                    <w:rPr>
                      <w:sz w:val="18"/>
                      <w:szCs w:val="18"/>
                    </w:rPr>
                  </w:pPr>
                  <w:r>
                    <w:rPr>
                      <w:sz w:val="18"/>
                      <w:szCs w:val="18"/>
                    </w:rPr>
                    <w:t>2.88</w:t>
                  </w:r>
                  <w:r w:rsidRPr="004E343F">
                    <w:rPr>
                      <w:sz w:val="18"/>
                      <w:szCs w:val="18"/>
                    </w:rPr>
                    <w:t>%</w:t>
                  </w:r>
                </w:p>
              </w:txbxContent>
            </v:textbox>
          </v:shape>
        </w:pict>
      </w:r>
      <w:r w:rsidRPr="00EC1889">
        <w:rPr>
          <w:noProof/>
          <w:lang w:eastAsia="zh-CN"/>
        </w:rPr>
        <w:pict>
          <v:shape id="_x0000_s1072" type="#_x0000_t202" style="position:absolute;left:0;text-align:left;margin-left:399.65pt;margin-top:93.65pt;width:47.35pt;height:16.55pt;z-index:25167155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">
            <v:textbox style="mso-next-textbox:#_x0000_s1072">
              <w:txbxContent>
                <w:p w:rsidR="00521003" w:rsidRPr="004E343F" w:rsidRDefault="00521003" w:rsidP="00877A16">
                  <w:pPr>
                    <w:rPr>
                      <w:sz w:val="18"/>
                      <w:szCs w:val="18"/>
                    </w:rPr>
                  </w:pPr>
                  <w:r>
                    <w:rPr>
                      <w:sz w:val="18"/>
                      <w:szCs w:val="18"/>
                    </w:rPr>
                    <w:t>7.46</w:t>
                  </w:r>
                  <w:r w:rsidRPr="004E343F">
                    <w:rPr>
                      <w:sz w:val="18"/>
                      <w:szCs w:val="18"/>
                    </w:rPr>
                    <w:t>%</w:t>
                  </w:r>
                </w:p>
              </w:txbxContent>
            </v:textbox>
          </v:shape>
        </w:pict>
      </w:r>
      <w:r w:rsidRPr="00EC1889">
        <w:rPr>
          <w:noProof/>
          <w:lang w:eastAsia="zh-CN"/>
        </w:rPr>
        <w:pict>
          <v:shape id="_x0000_s1061" type="#_x0000_t202" style="position:absolute;left:0;text-align:left;margin-left:217.95pt;margin-top:417.3pt;width:45.2pt;height:16.55pt;z-index:25166028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">
            <v:textbox style="mso-next-textbox:#_x0000_s1061">
              <w:txbxContent>
                <w:p w:rsidR="00521003" w:rsidRPr="004E343F" w:rsidRDefault="00521003" w:rsidP="00877A16">
                  <w:pPr>
                    <w:rPr>
                      <w:sz w:val="18"/>
                      <w:szCs w:val="18"/>
                    </w:rPr>
                  </w:pPr>
                  <w:r>
                    <w:rPr>
                      <w:sz w:val="18"/>
                      <w:szCs w:val="18"/>
                    </w:rPr>
                    <w:t>16.12</w:t>
                  </w:r>
                  <w:r w:rsidRPr="004E343F">
                    <w:rPr>
                      <w:sz w:val="18"/>
                      <w:szCs w:val="18"/>
                    </w:rPr>
                    <w:t>%</w:t>
                  </w:r>
                </w:p>
              </w:txbxContent>
            </v:textbox>
          </v:shape>
        </w:pict>
      </w:r>
      <w:r w:rsidRPr="00EC1889">
        <w:rPr>
          <w:noProof/>
          <w:lang w:eastAsia="zh-CN"/>
        </w:rPr>
        <w:pict>
          <v:shape id="_x0000_s1070" type="#_x0000_t202" style="position:absolute;left:0;text-align:left;margin-left:300.5pt;margin-top:417.3pt;width:50.05pt;height:16.55pt;z-index:25166950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">
            <v:textbox style="mso-next-textbox:#_x0000_s1070">
              <w:txbxContent>
                <w:p w:rsidR="00521003" w:rsidRPr="004E343F" w:rsidRDefault="00521003" w:rsidP="00877A16">
                  <w:pPr>
                    <w:rPr>
                      <w:sz w:val="18"/>
                      <w:szCs w:val="18"/>
                    </w:rPr>
                  </w:pPr>
                  <w:r>
                    <w:rPr>
                      <w:sz w:val="18"/>
                      <w:szCs w:val="18"/>
                    </w:rPr>
                    <w:t>20.51</w:t>
                  </w:r>
                  <w:r w:rsidRPr="004E343F">
                    <w:rPr>
                      <w:sz w:val="18"/>
                      <w:szCs w:val="18"/>
                    </w:rPr>
                    <w:t>%</w:t>
                  </w:r>
                </w:p>
              </w:txbxContent>
            </v:textbox>
          </v:shape>
        </w:pict>
      </w:r>
      <w:r w:rsidRPr="00EC1889">
        <w:rPr>
          <w:noProof/>
          <w:lang w:eastAsia="zh-CN"/>
        </w:rPr>
        <w:pict>
          <v:shape id="_x0000_s1069" type="#_x0000_t202" style="position:absolute;left:0;text-align:left;margin-left:300.5pt;margin-top:361.9pt;width:46.2pt;height:16.55pt;z-index:25166848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">
            <v:textbox style="mso-next-textbox:#_x0000_s1069">
              <w:txbxContent>
                <w:p w:rsidR="00521003" w:rsidRPr="004E343F" w:rsidRDefault="00521003" w:rsidP="00877A16">
                  <w:pPr>
                    <w:rPr>
                      <w:sz w:val="18"/>
                      <w:szCs w:val="18"/>
                    </w:rPr>
                  </w:pPr>
                  <w:r>
                    <w:rPr>
                      <w:sz w:val="18"/>
                      <w:szCs w:val="18"/>
                    </w:rPr>
                    <w:t>56.08%</w:t>
                  </w:r>
                </w:p>
              </w:txbxContent>
            </v:textbox>
          </v:shape>
        </w:pict>
      </w:r>
      <w:r w:rsidRPr="00EC1889">
        <w:rPr>
          <w:noProof/>
          <w:lang w:eastAsia="zh-CN"/>
        </w:rPr>
        <w:pict>
          <v:shape id="_x0000_s1062" type="#_x0000_t202" style="position:absolute;left:0;text-align:left;margin-left:217.95pt;margin-top:361.9pt;width:45.2pt;height:16.55pt;z-index:25166131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">
            <v:textbox style="mso-next-textbox:#_x0000_s1062">
              <w:txbxContent>
                <w:p w:rsidR="00521003" w:rsidRPr="004E343F" w:rsidRDefault="00521003" w:rsidP="00877A16">
                  <w:pPr>
                    <w:rPr>
                      <w:sz w:val="18"/>
                      <w:szCs w:val="18"/>
                    </w:rPr>
                  </w:pPr>
                  <w:r>
                    <w:rPr>
                      <w:sz w:val="18"/>
                      <w:szCs w:val="18"/>
                    </w:rPr>
                    <w:t>63.80</w:t>
                  </w:r>
                  <w:r w:rsidRPr="004E343F">
                    <w:rPr>
                      <w:sz w:val="18"/>
                      <w:szCs w:val="18"/>
                    </w:rPr>
                    <w:t>%</w:t>
                  </w:r>
                </w:p>
              </w:txbxContent>
            </v:textbox>
          </v:shape>
        </w:pict>
      </w:r>
      <w:r w:rsidRPr="00EC1889">
        <w:rPr>
          <w:noProof/>
          <w:lang w:eastAsia="zh-CN"/>
        </w:rPr>
        <w:pict>
          <v:shape id="_x0000_s1063" type="#_x0000_t202" style="position:absolute;left:0;text-align:left;margin-left:303.2pt;margin-top:228.1pt;width:47.35pt;height:16.55pt;z-index:25166233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">
            <v:textbox style="mso-next-textbox:#_x0000_s1063">
              <w:txbxContent>
                <w:p w:rsidR="00521003" w:rsidRPr="004E343F" w:rsidRDefault="00521003" w:rsidP="00877A16">
                  <w:pPr>
                    <w:rPr>
                      <w:sz w:val="18"/>
                      <w:szCs w:val="18"/>
                    </w:rPr>
                  </w:pPr>
                  <w:r>
                    <w:rPr>
                      <w:sz w:val="18"/>
                      <w:szCs w:val="18"/>
                    </w:rPr>
                    <w:t>16.55</w:t>
                  </w:r>
                  <w:r w:rsidRPr="004E343F">
                    <w:rPr>
                      <w:sz w:val="18"/>
                      <w:szCs w:val="18"/>
                    </w:rPr>
                    <w:t>%</w:t>
                  </w:r>
                </w:p>
              </w:txbxContent>
            </v:textbox>
          </v:shape>
        </w:pict>
      </w:r>
      <w:r w:rsidRPr="00EC1889">
        <w:rPr>
          <w:noProof/>
          <w:lang w:eastAsia="zh-CN"/>
        </w:rPr>
        <w:pict>
          <v:shape id="_x0000_s1065" type="#_x0000_t202" style="position:absolute;left:0;text-align:left;margin-left:217.95pt;margin-top:93.65pt;width:40.95pt;height:16.55pt;z-index:25166438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">
            <v:textbox style="mso-next-textbox:#_x0000_s1065">
              <w:txbxContent>
                <w:p w:rsidR="00521003" w:rsidRPr="004E343F" w:rsidRDefault="00521003" w:rsidP="00877A16">
                  <w:pPr>
                    <w:rPr>
                      <w:sz w:val="18"/>
                      <w:szCs w:val="18"/>
                    </w:rPr>
                  </w:pPr>
                  <w:r w:rsidRPr="004E343F">
                    <w:rPr>
                      <w:sz w:val="18"/>
                      <w:szCs w:val="18"/>
                    </w:rPr>
                    <w:t>2.04%</w:t>
                  </w:r>
                </w:p>
              </w:txbxContent>
            </v:textbox>
          </v:shape>
        </w:pict>
      </w:r>
      <w:r w:rsidRPr="00EC1889">
        <w:rPr>
          <w:noProof/>
        </w:rPr>
        <w:pict>
          <v:shape id="Text Box 2" o:spid="_x0000_s1066" type="#_x0000_t202" style="position:absolute;left:0;text-align:left;margin-left:300.5pt;margin-top:295.2pt;width:40.95pt;height:16.55pt;z-index:25166540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">
            <v:textbox style="mso-next-textbox:#Text Box 2">
              <w:txbxContent>
                <w:p w:rsidR="00521003" w:rsidRPr="004E343F" w:rsidRDefault="00521003" w:rsidP="00877A16">
                  <w:pPr>
                    <w:rPr>
                      <w:sz w:val="18"/>
                      <w:szCs w:val="18"/>
                    </w:rPr>
                  </w:pPr>
                  <w:r>
                    <w:rPr>
                      <w:sz w:val="18"/>
                      <w:szCs w:val="18"/>
                    </w:rPr>
                    <w:t>5.37%</w:t>
                  </w:r>
                </w:p>
              </w:txbxContent>
            </v:textbox>
          </v:shape>
        </w:pict>
      </w:r>
      <w:r w:rsidRPr="00EC1889">
        <w:rPr>
          <w:noProof/>
          <w:lang w:eastAsia="zh-CN"/>
        </w:rPr>
        <w:pict>
          <v:shape id="_x0000_s1067" type="#_x0000_t202" style="position:absolute;left:0;text-align:left;margin-left:300.5pt;margin-top:93.65pt;width:40.95pt;height:16.55pt;z-index:25166643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">
            <v:textbox style="mso-next-textbox:#_x0000_s1067">
              <w:txbxContent>
                <w:p w:rsidR="00521003" w:rsidRPr="004E343F" w:rsidRDefault="00521003" w:rsidP="00877A16">
                  <w:pPr>
                    <w:rPr>
                      <w:sz w:val="18"/>
                      <w:szCs w:val="18"/>
                    </w:rPr>
                  </w:pPr>
                  <w:r>
                    <w:rPr>
                      <w:sz w:val="18"/>
                      <w:szCs w:val="18"/>
                    </w:rPr>
                    <w:t>6.96</w:t>
                  </w:r>
                  <w:r w:rsidRPr="004E343F">
                    <w:rPr>
                      <w:sz w:val="18"/>
                      <w:szCs w:val="18"/>
                    </w:rPr>
                    <w:t>%</w:t>
                  </w:r>
                </w:p>
              </w:txbxContent>
            </v:textbox>
          </v:shape>
        </w:pict>
      </w:r>
      <w:r w:rsidRPr="00EC1889">
        <w:rPr>
          <w:noProof/>
          <w:lang w:eastAsia="zh-CN"/>
        </w:rPr>
        <w:pict>
          <v:shape id="_x0000_s1068" type="#_x0000_t202" style="position:absolute;left:0;text-align:left;margin-left:217.95pt;margin-top:295.2pt;width:40.95pt;height:16.55pt;z-index:25166745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">
            <v:textbox style="mso-next-textbox:#_x0000_s1068">
              <w:txbxContent>
                <w:p w:rsidR="00521003" w:rsidRPr="004E343F" w:rsidRDefault="00521003" w:rsidP="00877A16">
                  <w:pPr>
                    <w:rPr>
                      <w:sz w:val="18"/>
                      <w:szCs w:val="18"/>
                    </w:rPr>
                  </w:pPr>
                  <w:r>
                    <w:rPr>
                      <w:sz w:val="18"/>
                      <w:szCs w:val="18"/>
                    </w:rPr>
                    <w:t>2.66</w:t>
                  </w:r>
                  <w:r w:rsidRPr="004E343F">
                    <w:rPr>
                      <w:sz w:val="18"/>
                      <w:szCs w:val="18"/>
                    </w:rPr>
                    <w:t>%</w:t>
                  </w:r>
                </w:p>
              </w:txbxContent>
            </v:textbox>
          </v:shape>
        </w:pict>
      </w:r>
      <w:r w:rsidR="00877A16">
        <w:rPr>
          <w:noProof/>
          <w:lang w:eastAsia="en-NZ"/>
        </w:rPr>
        <w:drawing>
          <wp:inline distT="0" distB="0" distL="0" distR="0">
            <wp:extent cx="5734050" cy="5667375"/>
            <wp:effectExtent l="19050" t="0" r="0" b="0"/>
            <wp:docPr id="1"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8" cstate="print"/>
                    <a:srcRect/>
                    <a:stretch>
                      <a:fillRect/>
                    </a:stretch>
                  </pic:blipFill>
                  <pic:spPr bwMode="auto">
                    <a:xfrm>
                      <a:off x="0" y="0"/>
                      <a:ext cx="5734050" cy="5667375"/>
                    </a:xfrm>
                    <a:prstGeom prst="rect">
                      <a:avLst/>
                    </a:prstGeom>
                    <a:noFill/>
                    <a:ln w="9525">
                      <a:noFill/>
                      <a:miter lim="800000"/>
                      <a:headEnd/>
                      <a:tailEnd/>
                    </a:ln>
                  </pic:spPr>
                </pic:pic>
              </a:graphicData>
            </a:graphic>
          </wp:inline>
        </w:drawing>
      </w:r>
    </w:p>
    <w:p w:rsidR="00877A16" w:rsidRDefault="00877A16" w:rsidP="00877A16">
      <w:pPr>
        <w:pStyle w:val="ListParagraph"/>
        <w:spacing w:line="276" w:lineRule="auto"/>
        <w:ind w:left="0"/>
        <w:jc w:val="both"/>
        <w:rPr>
          <w:sz w:val="20"/>
          <w:szCs w:val="20"/>
          <w:lang w:val="en-US"/>
        </w:rPr>
      </w:pPr>
      <w:r w:rsidRPr="00B332DB">
        <w:rPr>
          <w:i/>
          <w:sz w:val="20"/>
          <w:szCs w:val="20"/>
          <w:lang w:val="en-US"/>
        </w:rPr>
        <w:t>Notes</w:t>
      </w:r>
      <w:r>
        <w:rPr>
          <w:sz w:val="20"/>
          <w:szCs w:val="20"/>
          <w:lang w:val="en-US"/>
        </w:rPr>
        <w:t xml:space="preserve">: </w:t>
      </w:r>
      <w:r w:rsidRPr="00DF3C0A">
        <w:rPr>
          <w:sz w:val="20"/>
          <w:szCs w:val="20"/>
          <w:lang w:val="en-US"/>
        </w:rPr>
        <w:t xml:space="preserve">SSR81 </w:t>
      </w:r>
      <w:r>
        <w:rPr>
          <w:sz w:val="20"/>
          <w:szCs w:val="20"/>
          <w:lang w:val="en-US"/>
        </w:rPr>
        <w:t xml:space="preserve">(SSR06) </w:t>
      </w:r>
      <w:r w:rsidRPr="00DF3C0A">
        <w:rPr>
          <w:sz w:val="20"/>
          <w:szCs w:val="20"/>
          <w:lang w:val="en-US"/>
        </w:rPr>
        <w:t xml:space="preserve">and SSC81 </w:t>
      </w:r>
      <w:r>
        <w:rPr>
          <w:sz w:val="20"/>
          <w:szCs w:val="20"/>
          <w:lang w:val="en-US"/>
        </w:rPr>
        <w:t xml:space="preserve">(SSC06) </w:t>
      </w:r>
      <w:r w:rsidRPr="00DF3C0A">
        <w:rPr>
          <w:sz w:val="20"/>
          <w:szCs w:val="20"/>
          <w:lang w:val="en-US"/>
        </w:rPr>
        <w:t xml:space="preserve">are States’ </w:t>
      </w:r>
      <w:r>
        <w:rPr>
          <w:sz w:val="20"/>
          <w:szCs w:val="20"/>
          <w:lang w:val="en-US"/>
        </w:rPr>
        <w:t xml:space="preserve">Manufacturing Industry </w:t>
      </w:r>
      <w:r w:rsidRPr="00DF3C0A">
        <w:rPr>
          <w:sz w:val="20"/>
          <w:szCs w:val="20"/>
          <w:lang w:val="en-US"/>
        </w:rPr>
        <w:t>Employment Regional Share</w:t>
      </w:r>
      <w:r>
        <w:rPr>
          <w:sz w:val="20"/>
          <w:szCs w:val="20"/>
          <w:lang w:val="en-US"/>
        </w:rPr>
        <w:t>s</w:t>
      </w:r>
      <w:r w:rsidRPr="00DF3C0A">
        <w:rPr>
          <w:sz w:val="20"/>
          <w:szCs w:val="20"/>
          <w:lang w:val="en-US"/>
        </w:rPr>
        <w:t xml:space="preserve"> and States’ </w:t>
      </w:r>
      <w:r>
        <w:rPr>
          <w:sz w:val="20"/>
          <w:szCs w:val="20"/>
          <w:lang w:val="en-US"/>
        </w:rPr>
        <w:t xml:space="preserve">Manufacturing Industry </w:t>
      </w:r>
      <w:r w:rsidRPr="00DF3C0A">
        <w:rPr>
          <w:sz w:val="20"/>
          <w:szCs w:val="20"/>
          <w:lang w:val="en-US"/>
        </w:rPr>
        <w:t>Employment Country Share</w:t>
      </w:r>
      <w:r>
        <w:rPr>
          <w:sz w:val="20"/>
          <w:szCs w:val="20"/>
          <w:lang w:val="en-US"/>
        </w:rPr>
        <w:t>s</w:t>
      </w:r>
      <w:r w:rsidRPr="00DF3C0A">
        <w:rPr>
          <w:sz w:val="20"/>
          <w:szCs w:val="20"/>
          <w:lang w:val="en-US"/>
        </w:rPr>
        <w:t xml:space="preserve"> in 1981</w:t>
      </w:r>
      <w:r>
        <w:rPr>
          <w:sz w:val="20"/>
          <w:szCs w:val="20"/>
          <w:lang w:val="en-US"/>
        </w:rPr>
        <w:t xml:space="preserve"> (2006). </w:t>
      </w:r>
      <w:r w:rsidRPr="00DF3C0A">
        <w:rPr>
          <w:sz w:val="20"/>
          <w:szCs w:val="20"/>
          <w:lang w:val="en-US"/>
        </w:rPr>
        <w:t>AVAMEGS=</w:t>
      </w:r>
      <w:r>
        <w:rPr>
          <w:sz w:val="20"/>
          <w:szCs w:val="20"/>
          <w:lang w:val="en-US"/>
        </w:rPr>
        <w:t xml:space="preserve">Annual Average of Manufacturing Industry Employment Growth </w:t>
      </w:r>
      <w:r w:rsidRPr="00DF3C0A">
        <w:rPr>
          <w:sz w:val="20"/>
          <w:szCs w:val="20"/>
          <w:lang w:val="en-US"/>
        </w:rPr>
        <w:t xml:space="preserve">at </w:t>
      </w:r>
      <w:r>
        <w:rPr>
          <w:sz w:val="20"/>
          <w:szCs w:val="20"/>
          <w:lang w:val="en-US"/>
        </w:rPr>
        <w:t>the S</w:t>
      </w:r>
      <w:r w:rsidRPr="00DF3C0A">
        <w:rPr>
          <w:sz w:val="20"/>
          <w:szCs w:val="20"/>
          <w:lang w:val="en-US"/>
        </w:rPr>
        <w:t>tate level</w:t>
      </w:r>
      <w:r>
        <w:rPr>
          <w:sz w:val="20"/>
          <w:szCs w:val="20"/>
          <w:lang w:val="en-US"/>
        </w:rPr>
        <w:t>.</w:t>
      </w:r>
      <w:r w:rsidRPr="00DF3C0A">
        <w:rPr>
          <w:sz w:val="20"/>
          <w:szCs w:val="20"/>
          <w:lang w:val="en-US"/>
        </w:rPr>
        <w:t xml:space="preserve"> AVAMEGR=</w:t>
      </w:r>
      <w:r>
        <w:rPr>
          <w:sz w:val="20"/>
          <w:szCs w:val="20"/>
          <w:lang w:val="en-US"/>
        </w:rPr>
        <w:t xml:space="preserve">Annual Average of Manufacturing Industry Employment Growth </w:t>
      </w:r>
      <w:r w:rsidRPr="00DF3C0A">
        <w:rPr>
          <w:sz w:val="20"/>
          <w:szCs w:val="20"/>
          <w:lang w:val="en-US"/>
        </w:rPr>
        <w:t xml:space="preserve">at </w:t>
      </w:r>
      <w:r>
        <w:rPr>
          <w:sz w:val="20"/>
          <w:szCs w:val="20"/>
          <w:lang w:val="en-US"/>
        </w:rPr>
        <w:t>the M</w:t>
      </w:r>
      <w:r w:rsidRPr="00DF3C0A">
        <w:rPr>
          <w:sz w:val="20"/>
          <w:szCs w:val="20"/>
          <w:lang w:val="en-US"/>
        </w:rPr>
        <w:t>acro</w:t>
      </w:r>
      <w:r>
        <w:rPr>
          <w:sz w:val="20"/>
          <w:szCs w:val="20"/>
          <w:lang w:val="en-US"/>
        </w:rPr>
        <w:t xml:space="preserve"> R</w:t>
      </w:r>
      <w:r w:rsidRPr="00DF3C0A">
        <w:rPr>
          <w:sz w:val="20"/>
          <w:szCs w:val="20"/>
          <w:lang w:val="en-US"/>
        </w:rPr>
        <w:t>egio</w:t>
      </w:r>
      <w:r>
        <w:rPr>
          <w:sz w:val="20"/>
          <w:szCs w:val="20"/>
          <w:lang w:val="en-US"/>
        </w:rPr>
        <w:t xml:space="preserve">n </w:t>
      </w:r>
      <w:r w:rsidRPr="00DF3C0A">
        <w:rPr>
          <w:sz w:val="20"/>
          <w:szCs w:val="20"/>
          <w:lang w:val="en-US"/>
        </w:rPr>
        <w:t>level</w:t>
      </w:r>
      <w:r>
        <w:rPr>
          <w:sz w:val="20"/>
          <w:szCs w:val="20"/>
          <w:lang w:val="en-US"/>
        </w:rPr>
        <w:t xml:space="preserve">. The total values of the second and fourth columns are less than 100% due to data deficiencies discussed in the text. </w:t>
      </w:r>
    </w:p>
    <w:p w:rsidR="00877A16" w:rsidRDefault="00877A16" w:rsidP="00877A16">
      <w:pPr>
        <w:pStyle w:val="ListParagraph"/>
        <w:spacing w:line="276" w:lineRule="auto"/>
        <w:ind w:left="0"/>
        <w:jc w:val="both"/>
        <w:rPr>
          <w:sz w:val="20"/>
          <w:szCs w:val="20"/>
          <w:lang w:val="en-US"/>
        </w:rPr>
      </w:pPr>
      <w:r w:rsidRPr="00B332DB">
        <w:rPr>
          <w:i/>
          <w:sz w:val="20"/>
          <w:szCs w:val="20"/>
          <w:lang w:val="en-US"/>
        </w:rPr>
        <w:t>Source</w:t>
      </w:r>
      <w:r>
        <w:rPr>
          <w:sz w:val="20"/>
          <w:szCs w:val="20"/>
          <w:lang w:val="en-US"/>
        </w:rPr>
        <w:t>:  IPEA</w:t>
      </w:r>
    </w:p>
    <w:p w:rsidR="00A24B44" w:rsidRPr="005517A8" w:rsidRDefault="00521003" w:rsidP="005517A8">
      <w:pPr>
        <w:pStyle w:val="ListParagraph"/>
        <w:ind w:left="0"/>
        <w:jc w:val="center"/>
        <w:rPr>
          <w:b/>
          <w:sz w:val="22"/>
          <w:szCs w:val="22"/>
        </w:rPr>
      </w:pPr>
      <w:r w:rsidRPr="005517A8">
        <w:rPr>
          <w:b/>
          <w:bCs/>
          <w:sz w:val="22"/>
          <w:szCs w:val="22"/>
        </w:rPr>
        <w:lastRenderedPageBreak/>
        <w:t xml:space="preserve">Figure 1: </w:t>
      </w:r>
      <w:r w:rsidRPr="005517A8">
        <w:rPr>
          <w:b/>
          <w:sz w:val="22"/>
          <w:szCs w:val="22"/>
        </w:rPr>
        <w:t xml:space="preserve">Variance of Logarithm of Manufacturing Employment </w:t>
      </w:r>
    </w:p>
    <w:p w:rsidR="00521003" w:rsidRPr="005517A8" w:rsidRDefault="00521003" w:rsidP="005517A8">
      <w:pPr>
        <w:pStyle w:val="ListParagraph"/>
        <w:ind w:left="0"/>
        <w:jc w:val="center"/>
        <w:rPr>
          <w:b/>
          <w:sz w:val="22"/>
          <w:szCs w:val="22"/>
          <w:lang w:val="en-US"/>
        </w:rPr>
      </w:pPr>
      <w:r w:rsidRPr="005517A8">
        <w:rPr>
          <w:b/>
          <w:sz w:val="22"/>
          <w:szCs w:val="22"/>
        </w:rPr>
        <w:t>Across Brazilian States</w:t>
      </w:r>
    </w:p>
    <w:p w:rsidR="00521003" w:rsidRDefault="00521003" w:rsidP="00521003">
      <w:pPr>
        <w:pStyle w:val="ListParagraph"/>
        <w:spacing w:line="276" w:lineRule="auto"/>
        <w:ind w:left="0"/>
        <w:jc w:val="center"/>
        <w:rPr>
          <w:noProof/>
          <w:lang w:eastAsia="zh-CN"/>
        </w:rPr>
      </w:pPr>
      <w:r>
        <w:rPr>
          <w:noProof/>
          <w:lang w:eastAsia="en-NZ"/>
        </w:rPr>
        <w:drawing>
          <wp:inline distT="0" distB="0" distL="0" distR="0">
            <wp:extent cx="5038725" cy="2857500"/>
            <wp:effectExtent l="19050" t="0" r="9525" b="0"/>
            <wp:docPr id="2"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9" cstate="print"/>
                    <a:srcRect/>
                    <a:stretch>
                      <a:fillRect/>
                    </a:stretch>
                  </pic:blipFill>
                  <pic:spPr bwMode="auto">
                    <a:xfrm>
                      <a:off x="0" y="0"/>
                      <a:ext cx="5038725" cy="2857500"/>
                    </a:xfrm>
                    <a:prstGeom prst="rect">
                      <a:avLst/>
                    </a:prstGeom>
                    <a:noFill/>
                    <a:ln w="9525">
                      <a:noFill/>
                      <a:miter lim="800000"/>
                      <a:headEnd/>
                      <a:tailEnd/>
                    </a:ln>
                  </pic:spPr>
                </pic:pic>
              </a:graphicData>
            </a:graphic>
          </wp:inline>
        </w:drawing>
      </w:r>
    </w:p>
    <w:p w:rsidR="00521003" w:rsidRDefault="00521003" w:rsidP="00521003">
      <w:pPr>
        <w:spacing w:line="276" w:lineRule="auto"/>
        <w:rPr>
          <w:noProof/>
          <w:lang w:eastAsia="zh-CN"/>
        </w:rPr>
      </w:pPr>
      <w:r>
        <w:rPr>
          <w:noProof/>
          <w:lang w:eastAsia="zh-CN"/>
        </w:rPr>
        <w:t xml:space="preserve"> </w:t>
      </w:r>
    </w:p>
    <w:p w:rsidR="00661CBB" w:rsidRDefault="00661CBB" w:rsidP="00877A16">
      <w:pPr>
        <w:pStyle w:val="ListParagraph"/>
        <w:spacing w:line="276" w:lineRule="auto"/>
        <w:jc w:val="both"/>
        <w:rPr>
          <w:b/>
        </w:rPr>
      </w:pPr>
    </w:p>
    <w:p w:rsidR="0089591C" w:rsidRPr="008B098C" w:rsidRDefault="00AC091E" w:rsidP="00A24B44">
      <w:pPr>
        <w:pStyle w:val="ListParagraph"/>
        <w:numPr>
          <w:ilvl w:val="0"/>
          <w:numId w:val="37"/>
        </w:numPr>
        <w:tabs>
          <w:tab w:val="left" w:pos="426"/>
        </w:tabs>
        <w:spacing w:line="276" w:lineRule="auto"/>
        <w:ind w:left="0" w:firstLine="0"/>
        <w:jc w:val="both"/>
        <w:rPr>
          <w:b/>
        </w:rPr>
      </w:pPr>
      <w:r w:rsidRPr="008B098C">
        <w:rPr>
          <w:b/>
        </w:rPr>
        <w:t xml:space="preserve">Empirical </w:t>
      </w:r>
      <w:r w:rsidR="0089591C" w:rsidRPr="008B098C">
        <w:rPr>
          <w:b/>
        </w:rPr>
        <w:t>Re</w:t>
      </w:r>
      <w:r w:rsidR="00FA3CC1" w:rsidRPr="008B098C">
        <w:rPr>
          <w:b/>
        </w:rPr>
        <w:t>sult</w:t>
      </w:r>
      <w:r w:rsidR="0089591C" w:rsidRPr="008B098C">
        <w:rPr>
          <w:b/>
        </w:rPr>
        <w:t>s</w:t>
      </w:r>
      <w:r w:rsidR="00E075AD" w:rsidRPr="008B098C">
        <w:rPr>
          <w:b/>
        </w:rPr>
        <w:t xml:space="preserve"> </w:t>
      </w:r>
      <w:r w:rsidR="00805E86" w:rsidRPr="008B098C">
        <w:rPr>
          <w:b/>
        </w:rPr>
        <w:t>and Discussion</w:t>
      </w:r>
      <w:r w:rsidR="00FA3CC1" w:rsidRPr="008B098C">
        <w:rPr>
          <w:b/>
        </w:rPr>
        <w:t xml:space="preserve"> </w:t>
      </w:r>
    </w:p>
    <w:p w:rsidR="00BE6379" w:rsidRPr="005517A8" w:rsidRDefault="00BE6379" w:rsidP="00877A16">
      <w:pPr>
        <w:pStyle w:val="ListParagraph"/>
        <w:spacing w:line="276" w:lineRule="auto"/>
        <w:ind w:left="0"/>
        <w:jc w:val="both"/>
        <w:rPr>
          <w:sz w:val="12"/>
          <w:szCs w:val="12"/>
        </w:rPr>
      </w:pPr>
    </w:p>
    <w:p w:rsidR="0089591C" w:rsidRPr="00A24B44" w:rsidRDefault="00AD5BE3" w:rsidP="00877A16">
      <w:pPr>
        <w:pStyle w:val="ListParagraph"/>
        <w:spacing w:line="276" w:lineRule="auto"/>
        <w:ind w:left="0"/>
        <w:jc w:val="both"/>
        <w:rPr>
          <w:b/>
        </w:rPr>
      </w:pPr>
      <w:r w:rsidRPr="00A24B44">
        <w:rPr>
          <w:b/>
        </w:rPr>
        <w:t>Cross-s</w:t>
      </w:r>
      <w:r w:rsidR="006B499B" w:rsidRPr="00A24B44">
        <w:rPr>
          <w:b/>
        </w:rPr>
        <w:t>ection</w:t>
      </w:r>
      <w:r w:rsidR="00011849" w:rsidRPr="00A24B44">
        <w:rPr>
          <w:b/>
        </w:rPr>
        <w:t xml:space="preserve"> </w:t>
      </w:r>
      <w:r w:rsidR="0031434E" w:rsidRPr="00A24B44">
        <w:rPr>
          <w:b/>
        </w:rPr>
        <w:t>Model</w:t>
      </w:r>
      <w:r w:rsidR="006B499B" w:rsidRPr="00A24B44">
        <w:rPr>
          <w:b/>
        </w:rPr>
        <w:t>s</w:t>
      </w:r>
      <w:r w:rsidR="007E196F" w:rsidRPr="00A24B44">
        <w:rPr>
          <w:rStyle w:val="FootnoteReference"/>
          <w:b/>
        </w:rPr>
        <w:footnoteReference w:id="6"/>
      </w:r>
    </w:p>
    <w:p w:rsidR="00C31DEE" w:rsidRDefault="00AC091E" w:rsidP="00877A16">
      <w:pPr>
        <w:tabs>
          <w:tab w:val="left" w:pos="426"/>
        </w:tabs>
        <w:autoSpaceDE w:val="0"/>
        <w:autoSpaceDN w:val="0"/>
        <w:adjustRightInd w:val="0"/>
        <w:spacing w:line="276" w:lineRule="auto"/>
        <w:jc w:val="both"/>
        <w:rPr>
          <w:lang w:eastAsia="zh-CN"/>
        </w:rPr>
      </w:pPr>
      <w:r w:rsidRPr="00FA317F">
        <w:rPr>
          <w:lang w:eastAsia="zh-CN"/>
        </w:rPr>
        <w:t xml:space="preserve">Table </w:t>
      </w:r>
      <w:r w:rsidR="008E2D25">
        <w:rPr>
          <w:lang w:eastAsia="zh-CN"/>
        </w:rPr>
        <w:t>4</w:t>
      </w:r>
      <w:r w:rsidR="0069677C">
        <w:rPr>
          <w:lang w:eastAsia="zh-CN"/>
        </w:rPr>
        <w:t xml:space="preserve"> </w:t>
      </w:r>
      <w:r w:rsidR="00886569" w:rsidRPr="00FA317F">
        <w:rPr>
          <w:lang w:eastAsia="zh-CN"/>
        </w:rPr>
        <w:t>show</w:t>
      </w:r>
      <w:r w:rsidR="00645DBA" w:rsidRPr="00FA317F">
        <w:rPr>
          <w:lang w:eastAsia="zh-CN"/>
        </w:rPr>
        <w:t>s</w:t>
      </w:r>
      <w:r w:rsidR="00886569" w:rsidRPr="00FA317F">
        <w:rPr>
          <w:lang w:eastAsia="zh-CN"/>
        </w:rPr>
        <w:t xml:space="preserve"> </w:t>
      </w:r>
      <w:r w:rsidR="00DE3F00">
        <w:rPr>
          <w:lang w:eastAsia="zh-CN"/>
        </w:rPr>
        <w:t xml:space="preserve">results of two </w:t>
      </w:r>
      <w:r w:rsidR="002E1428" w:rsidRPr="00FA317F">
        <w:rPr>
          <w:lang w:eastAsia="zh-CN"/>
        </w:rPr>
        <w:t>cross-section models</w:t>
      </w:r>
      <w:r w:rsidR="000D2619">
        <w:rPr>
          <w:lang w:eastAsia="zh-CN"/>
        </w:rPr>
        <w:t xml:space="preserve">. In the </w:t>
      </w:r>
      <w:proofErr w:type="spellStart"/>
      <w:r w:rsidR="000D2619">
        <w:rPr>
          <w:lang w:eastAsia="zh-CN"/>
        </w:rPr>
        <w:t>Gleaser</w:t>
      </w:r>
      <w:proofErr w:type="spellEnd"/>
      <w:r w:rsidR="000D2619">
        <w:rPr>
          <w:lang w:eastAsia="zh-CN"/>
        </w:rPr>
        <w:t xml:space="preserve"> et al.-type model </w:t>
      </w:r>
      <w:r w:rsidR="00C03E0D">
        <w:rPr>
          <w:lang w:eastAsia="zh-CN"/>
        </w:rPr>
        <w:t xml:space="preserve">the </w:t>
      </w:r>
      <w:r w:rsidR="00C03E0D" w:rsidRPr="00FA317F">
        <w:rPr>
          <w:lang w:eastAsia="zh-CN"/>
        </w:rPr>
        <w:t xml:space="preserve">dependent variable is </w:t>
      </w:r>
      <w:r w:rsidR="00C03E0D">
        <w:rPr>
          <w:lang w:eastAsia="zh-CN"/>
        </w:rPr>
        <w:t>1985-</w:t>
      </w:r>
      <w:r w:rsidR="00C03E0D" w:rsidRPr="00FA317F">
        <w:rPr>
          <w:lang w:eastAsia="zh-CN"/>
        </w:rPr>
        <w:t>95 growth of ma</w:t>
      </w:r>
      <w:r w:rsidR="000D2619">
        <w:rPr>
          <w:lang w:eastAsia="zh-CN"/>
        </w:rPr>
        <w:t xml:space="preserve">nufacturing industry employment. </w:t>
      </w:r>
      <w:r w:rsidR="00C03E0D">
        <w:rPr>
          <w:lang w:eastAsia="zh-CN"/>
        </w:rPr>
        <w:t>S</w:t>
      </w:r>
      <w:r w:rsidR="007E34BE" w:rsidRPr="00FA317F">
        <w:rPr>
          <w:lang w:eastAsia="zh-CN"/>
        </w:rPr>
        <w:t xml:space="preserve">pecialisation </w:t>
      </w:r>
      <w:r w:rsidR="00C03E0D">
        <w:rPr>
          <w:lang w:eastAsia="zh-CN"/>
        </w:rPr>
        <w:t xml:space="preserve">and </w:t>
      </w:r>
      <w:r w:rsidR="007E34BE" w:rsidRPr="00FA317F">
        <w:rPr>
          <w:lang w:eastAsia="zh-CN"/>
        </w:rPr>
        <w:t>competition</w:t>
      </w:r>
      <w:r w:rsidR="00C03E0D">
        <w:rPr>
          <w:lang w:eastAsia="zh-CN"/>
        </w:rPr>
        <w:t xml:space="preserve"> are </w:t>
      </w:r>
      <w:r w:rsidR="007E34BE" w:rsidRPr="00FA317F">
        <w:rPr>
          <w:lang w:eastAsia="zh-CN"/>
        </w:rPr>
        <w:t>defined in</w:t>
      </w:r>
      <w:r w:rsidR="00877DA2" w:rsidRPr="00FA317F">
        <w:rPr>
          <w:lang w:eastAsia="zh-CN"/>
        </w:rPr>
        <w:t xml:space="preserve"> the same manner </w:t>
      </w:r>
      <w:r w:rsidR="00C03E0D">
        <w:rPr>
          <w:lang w:eastAsia="zh-CN"/>
        </w:rPr>
        <w:t>as</w:t>
      </w:r>
      <w:r w:rsidR="00877DA2" w:rsidRPr="00FA317F">
        <w:rPr>
          <w:lang w:eastAsia="zh-CN"/>
        </w:rPr>
        <w:t xml:space="preserve"> </w:t>
      </w:r>
      <w:r w:rsidR="000D2619">
        <w:rPr>
          <w:lang w:eastAsia="zh-CN"/>
        </w:rPr>
        <w:t xml:space="preserve">in </w:t>
      </w:r>
      <w:proofErr w:type="spellStart"/>
      <w:r w:rsidR="007E34BE" w:rsidRPr="00FA317F">
        <w:rPr>
          <w:lang w:eastAsia="zh-CN"/>
        </w:rPr>
        <w:t>Glaeser</w:t>
      </w:r>
      <w:proofErr w:type="spellEnd"/>
      <w:r w:rsidR="00877DA2" w:rsidRPr="00FA317F">
        <w:rPr>
          <w:lang w:eastAsia="zh-CN"/>
        </w:rPr>
        <w:t xml:space="preserve"> </w:t>
      </w:r>
      <w:r w:rsidR="00877DA2" w:rsidRPr="00FA317F">
        <w:rPr>
          <w:i/>
          <w:iCs/>
          <w:lang w:eastAsia="zh-CN"/>
        </w:rPr>
        <w:t>et al.</w:t>
      </w:r>
      <w:r w:rsidR="00877DA2" w:rsidRPr="00FA317F">
        <w:rPr>
          <w:lang w:eastAsia="zh-CN"/>
        </w:rPr>
        <w:t xml:space="preserve"> (1992)</w:t>
      </w:r>
      <w:r w:rsidR="00C03E0D">
        <w:rPr>
          <w:lang w:eastAsia="zh-CN"/>
        </w:rPr>
        <w:t>. D</w:t>
      </w:r>
      <w:r w:rsidR="00C03E0D" w:rsidRPr="00FA317F">
        <w:rPr>
          <w:lang w:eastAsia="zh-CN"/>
        </w:rPr>
        <w:t>iversity</w:t>
      </w:r>
      <w:r w:rsidR="00C03E0D">
        <w:rPr>
          <w:lang w:eastAsia="zh-CN"/>
        </w:rPr>
        <w:t xml:space="preserve"> is defined as in</w:t>
      </w:r>
      <w:r w:rsidR="00C03E0D" w:rsidRPr="00FA317F">
        <w:rPr>
          <w:lang w:eastAsia="zh-CN"/>
        </w:rPr>
        <w:t xml:space="preserve"> </w:t>
      </w:r>
      <w:proofErr w:type="spellStart"/>
      <w:r w:rsidR="00C03E0D" w:rsidRPr="00FA317F">
        <w:rPr>
          <w:lang w:eastAsia="zh-CN"/>
        </w:rPr>
        <w:t>Combes</w:t>
      </w:r>
      <w:proofErr w:type="spellEnd"/>
      <w:r w:rsidR="00C03E0D">
        <w:rPr>
          <w:lang w:eastAsia="zh-CN"/>
        </w:rPr>
        <w:t>’</w:t>
      </w:r>
      <w:r w:rsidR="00C03E0D" w:rsidRPr="00FA317F">
        <w:rPr>
          <w:lang w:eastAsia="zh-CN"/>
        </w:rPr>
        <w:t xml:space="preserve"> (2000) study that applied </w:t>
      </w:r>
      <w:proofErr w:type="spellStart"/>
      <w:r w:rsidR="00C03E0D" w:rsidRPr="00FA317F">
        <w:rPr>
          <w:lang w:eastAsia="zh-CN"/>
        </w:rPr>
        <w:t>Glaeser</w:t>
      </w:r>
      <w:proofErr w:type="spellEnd"/>
      <w:r w:rsidR="00C03E0D" w:rsidRPr="00FA317F">
        <w:rPr>
          <w:lang w:eastAsia="zh-CN"/>
        </w:rPr>
        <w:t xml:space="preserve"> </w:t>
      </w:r>
      <w:r w:rsidR="00C03E0D" w:rsidRPr="00FA317F">
        <w:rPr>
          <w:i/>
          <w:iCs/>
          <w:lang w:eastAsia="zh-CN"/>
        </w:rPr>
        <w:t>et al.</w:t>
      </w:r>
      <w:r w:rsidR="00C03E0D" w:rsidRPr="00FA317F">
        <w:rPr>
          <w:lang w:eastAsia="zh-CN"/>
        </w:rPr>
        <w:t xml:space="preserve">’s </w:t>
      </w:r>
      <w:r w:rsidR="00C03E0D">
        <w:rPr>
          <w:lang w:eastAsia="zh-CN"/>
        </w:rPr>
        <w:t>m</w:t>
      </w:r>
      <w:r w:rsidR="00C03E0D" w:rsidRPr="00FA317F">
        <w:rPr>
          <w:lang w:eastAsia="zh-CN"/>
        </w:rPr>
        <w:t xml:space="preserve">odel using data </w:t>
      </w:r>
      <w:r w:rsidR="00C03E0D">
        <w:rPr>
          <w:lang w:eastAsia="zh-CN"/>
        </w:rPr>
        <w:t xml:space="preserve">on </w:t>
      </w:r>
      <w:r w:rsidR="00C03E0D" w:rsidRPr="00FA317F">
        <w:rPr>
          <w:lang w:eastAsia="zh-CN"/>
        </w:rPr>
        <w:t xml:space="preserve">manufacturing and services </w:t>
      </w:r>
      <w:r w:rsidR="00C03E0D">
        <w:rPr>
          <w:lang w:eastAsia="zh-CN"/>
        </w:rPr>
        <w:t xml:space="preserve">in the </w:t>
      </w:r>
      <w:r w:rsidR="00C03E0D" w:rsidRPr="00FA317F">
        <w:rPr>
          <w:lang w:eastAsia="zh-CN"/>
        </w:rPr>
        <w:t>regions of France</w:t>
      </w:r>
      <w:r w:rsidR="00C03E0D">
        <w:rPr>
          <w:lang w:eastAsia="zh-CN"/>
        </w:rPr>
        <w:t>. D</w:t>
      </w:r>
      <w:r w:rsidR="00C03E0D" w:rsidRPr="00FA317F">
        <w:rPr>
          <w:lang w:eastAsia="zh-CN"/>
        </w:rPr>
        <w:t xml:space="preserve">istance </w:t>
      </w:r>
      <w:r w:rsidR="00C03E0D">
        <w:rPr>
          <w:lang w:eastAsia="zh-CN"/>
        </w:rPr>
        <w:t xml:space="preserve">is defined </w:t>
      </w:r>
      <w:r w:rsidR="00C03E0D" w:rsidRPr="00FA317F">
        <w:rPr>
          <w:lang w:eastAsia="zh-CN"/>
        </w:rPr>
        <w:t xml:space="preserve">as in Henderson </w:t>
      </w:r>
      <w:r w:rsidR="00C03E0D" w:rsidRPr="00C03E0D">
        <w:rPr>
          <w:i/>
          <w:lang w:eastAsia="zh-CN"/>
        </w:rPr>
        <w:t>et al.</w:t>
      </w:r>
      <w:r w:rsidR="00C03E0D">
        <w:rPr>
          <w:lang w:eastAsia="zh-CN"/>
        </w:rPr>
        <w:t>’s</w:t>
      </w:r>
      <w:r w:rsidR="00C03E0D" w:rsidRPr="00FA317F">
        <w:rPr>
          <w:lang w:eastAsia="zh-CN"/>
        </w:rPr>
        <w:t xml:space="preserve"> (1995) study of industry </w:t>
      </w:r>
      <w:r w:rsidR="009530BA">
        <w:rPr>
          <w:lang w:eastAsia="zh-CN"/>
        </w:rPr>
        <w:t xml:space="preserve">employment </w:t>
      </w:r>
      <w:r w:rsidR="00C03E0D" w:rsidRPr="00FA317F">
        <w:rPr>
          <w:lang w:eastAsia="zh-CN"/>
        </w:rPr>
        <w:t>in cities of the United States</w:t>
      </w:r>
      <w:r w:rsidR="00C03E0D">
        <w:rPr>
          <w:lang w:eastAsia="zh-CN"/>
        </w:rPr>
        <w:t>. E</w:t>
      </w:r>
      <w:r w:rsidR="00877DA2" w:rsidRPr="00FA317F">
        <w:rPr>
          <w:lang w:eastAsia="zh-CN"/>
        </w:rPr>
        <w:t xml:space="preserve">ducation </w:t>
      </w:r>
      <w:r w:rsidR="00C03E0D">
        <w:rPr>
          <w:lang w:eastAsia="zh-CN"/>
        </w:rPr>
        <w:t xml:space="preserve">is </w:t>
      </w:r>
      <w:r w:rsidR="00877DA2" w:rsidRPr="00FA317F">
        <w:rPr>
          <w:lang w:eastAsia="zh-CN"/>
        </w:rPr>
        <w:t xml:space="preserve">measured by </w:t>
      </w:r>
      <w:r w:rsidR="00C03E0D">
        <w:rPr>
          <w:lang w:eastAsia="zh-CN"/>
        </w:rPr>
        <w:t>the s</w:t>
      </w:r>
      <w:r w:rsidR="00877DA2" w:rsidRPr="00FA317F">
        <w:rPr>
          <w:lang w:eastAsia="zh-CN"/>
        </w:rPr>
        <w:t xml:space="preserve">tates’ </w:t>
      </w:r>
      <w:r w:rsidR="00C03E0D">
        <w:rPr>
          <w:lang w:eastAsia="zh-CN"/>
        </w:rPr>
        <w:t>literacy rate.</w:t>
      </w:r>
      <w:r w:rsidR="001B7A97" w:rsidRPr="00FA317F">
        <w:rPr>
          <w:lang w:eastAsia="zh-CN"/>
        </w:rPr>
        <w:t xml:space="preserve"> </w:t>
      </w:r>
    </w:p>
    <w:p w:rsidR="0069677C" w:rsidRPr="00FA317F" w:rsidRDefault="0069677C" w:rsidP="00877A16">
      <w:pPr>
        <w:tabs>
          <w:tab w:val="left" w:pos="426"/>
        </w:tabs>
        <w:autoSpaceDE w:val="0"/>
        <w:autoSpaceDN w:val="0"/>
        <w:adjustRightInd w:val="0"/>
        <w:spacing w:line="276" w:lineRule="auto"/>
        <w:jc w:val="both"/>
        <w:rPr>
          <w:lang w:eastAsia="zh-CN"/>
        </w:rPr>
      </w:pPr>
    </w:p>
    <w:p w:rsidR="00A93AED" w:rsidRPr="00A93AED" w:rsidRDefault="002F356F" w:rsidP="00A93AED">
      <w:pPr>
        <w:autoSpaceDE w:val="0"/>
        <w:autoSpaceDN w:val="0"/>
        <w:adjustRightInd w:val="0"/>
        <w:jc w:val="center"/>
        <w:rPr>
          <w:b/>
          <w:color w:val="000000"/>
          <w:sz w:val="22"/>
          <w:szCs w:val="22"/>
          <w:lang w:eastAsia="zh-CN"/>
        </w:rPr>
      </w:pPr>
      <w:r w:rsidRPr="002F356F">
        <w:rPr>
          <w:b/>
          <w:color w:val="000000"/>
          <w:sz w:val="2"/>
          <w:szCs w:val="2"/>
          <w:lang w:eastAsia="zh-CN"/>
        </w:rPr>
        <w:lastRenderedPageBreak/>
        <w:br/>
      </w:r>
      <w:r w:rsidR="00A93AED" w:rsidRPr="00A93AED">
        <w:rPr>
          <w:b/>
          <w:color w:val="000000"/>
          <w:sz w:val="22"/>
          <w:szCs w:val="22"/>
          <w:lang w:eastAsia="zh-CN"/>
        </w:rPr>
        <w:t xml:space="preserve">Table 4: </w:t>
      </w:r>
      <w:r w:rsidR="00A93AED" w:rsidRPr="00A93AED">
        <w:rPr>
          <w:b/>
          <w:bCs/>
          <w:color w:val="000000"/>
          <w:sz w:val="22"/>
          <w:szCs w:val="22"/>
          <w:lang w:eastAsia="zh-CN"/>
        </w:rPr>
        <w:t>Cross-section Models</w:t>
      </w:r>
    </w:p>
    <w:p w:rsidR="00A93AED" w:rsidRPr="00A93AED" w:rsidRDefault="00A93AED" w:rsidP="00A93AED">
      <w:pPr>
        <w:autoSpaceDE w:val="0"/>
        <w:autoSpaceDN w:val="0"/>
        <w:adjustRightInd w:val="0"/>
        <w:jc w:val="center"/>
        <w:rPr>
          <w:b/>
          <w:color w:val="000000"/>
          <w:sz w:val="6"/>
          <w:szCs w:val="6"/>
          <w:lang w:val="en-US" w:eastAsia="zh-CN"/>
        </w:rPr>
      </w:pPr>
    </w:p>
    <w:tbl>
      <w:tblPr>
        <w:tblW w:w="7797" w:type="dxa"/>
        <w:jc w:val="center"/>
        <w:tblInd w:w="-2727" w:type="dxa"/>
        <w:tblBorders>
          <w:top w:val="single" w:sz="12" w:space="0" w:color="000000"/>
          <w:bottom w:val="single" w:sz="12" w:space="0" w:color="000000"/>
        </w:tblBorders>
        <w:tblLook w:val="04A0"/>
      </w:tblPr>
      <w:tblGrid>
        <w:gridCol w:w="2929"/>
        <w:gridCol w:w="2552"/>
        <w:gridCol w:w="2316"/>
      </w:tblGrid>
      <w:tr w:rsidR="00A93AED" w:rsidRPr="00A93AED" w:rsidTr="00FE5092">
        <w:trPr>
          <w:jc w:val="center"/>
        </w:trPr>
        <w:tc>
          <w:tcPr>
            <w:tcW w:w="2929" w:type="dxa"/>
            <w:tcBorders>
              <w:top w:val="single" w:sz="6" w:space="0" w:color="000000"/>
              <w:bottom w:val="single" w:sz="6" w:space="0" w:color="000000"/>
              <w:right w:val="nil"/>
            </w:tcBorders>
            <w:shd w:val="clear" w:color="auto" w:fill="auto"/>
          </w:tcPr>
          <w:p w:rsidR="00A93AED" w:rsidRPr="00A93AED" w:rsidRDefault="00A93AED" w:rsidP="00FE5092">
            <w:pPr>
              <w:pStyle w:val="ListParagraph"/>
              <w:spacing w:before="100" w:after="100"/>
              <w:ind w:left="0"/>
              <w:jc w:val="center"/>
              <w:rPr>
                <w:iCs/>
                <w:sz w:val="22"/>
                <w:szCs w:val="22"/>
                <w:lang w:val="en-US"/>
              </w:rPr>
            </w:pPr>
            <w:r w:rsidRPr="00A93AED">
              <w:rPr>
                <w:iCs/>
                <w:sz w:val="22"/>
                <w:szCs w:val="22"/>
                <w:lang w:val="en-US"/>
              </w:rPr>
              <w:t>Variables</w:t>
            </w:r>
          </w:p>
        </w:tc>
        <w:tc>
          <w:tcPr>
            <w:tcW w:w="2552" w:type="dxa"/>
            <w:tcBorders>
              <w:top w:val="single" w:sz="6" w:space="0" w:color="000000"/>
              <w:left w:val="nil"/>
              <w:bottom w:val="single" w:sz="6" w:space="0" w:color="000000"/>
            </w:tcBorders>
            <w:shd w:val="clear" w:color="auto" w:fill="auto"/>
          </w:tcPr>
          <w:p w:rsidR="00FE5092" w:rsidRPr="00FE5092" w:rsidRDefault="00FE5092" w:rsidP="00FE5092">
            <w:pPr>
              <w:pStyle w:val="ListParagraph"/>
              <w:spacing w:before="200" w:after="100"/>
              <w:ind w:left="0"/>
              <w:rPr>
                <w:iCs/>
                <w:sz w:val="10"/>
                <w:szCs w:val="10"/>
                <w:lang w:val="en-US"/>
              </w:rPr>
            </w:pPr>
          </w:p>
          <w:p w:rsidR="00A93AED" w:rsidRPr="00A93AED" w:rsidRDefault="00A93AED" w:rsidP="00FE5092">
            <w:pPr>
              <w:pStyle w:val="ListParagraph"/>
              <w:spacing w:before="200" w:after="100"/>
              <w:ind w:left="0"/>
              <w:rPr>
                <w:iCs/>
                <w:sz w:val="22"/>
                <w:szCs w:val="22"/>
                <w:lang w:val="en-US"/>
              </w:rPr>
            </w:pPr>
            <w:proofErr w:type="spellStart"/>
            <w:r w:rsidRPr="00A93AED">
              <w:rPr>
                <w:iCs/>
                <w:sz w:val="22"/>
                <w:szCs w:val="22"/>
                <w:lang w:val="en-US"/>
              </w:rPr>
              <w:t>Glaeser</w:t>
            </w:r>
            <w:proofErr w:type="spellEnd"/>
            <w:r w:rsidRPr="00A93AED">
              <w:rPr>
                <w:iCs/>
                <w:sz w:val="22"/>
                <w:szCs w:val="22"/>
                <w:lang w:val="en-US"/>
              </w:rPr>
              <w:t xml:space="preserve"> et al. Model</w:t>
            </w:r>
          </w:p>
        </w:tc>
        <w:tc>
          <w:tcPr>
            <w:tcW w:w="2316" w:type="dxa"/>
            <w:tcBorders>
              <w:top w:val="single" w:sz="6" w:space="0" w:color="000000"/>
              <w:bottom w:val="single" w:sz="6" w:space="0" w:color="000000"/>
            </w:tcBorders>
            <w:shd w:val="clear" w:color="auto" w:fill="auto"/>
          </w:tcPr>
          <w:p w:rsidR="00A93AED" w:rsidRPr="00A93AED" w:rsidRDefault="00A93AED" w:rsidP="00FE5092">
            <w:pPr>
              <w:spacing w:before="100" w:after="100"/>
              <w:rPr>
                <w:iCs/>
                <w:sz w:val="22"/>
                <w:szCs w:val="22"/>
              </w:rPr>
            </w:pPr>
            <w:proofErr w:type="spellStart"/>
            <w:r w:rsidRPr="00A93AED">
              <w:rPr>
                <w:iCs/>
                <w:sz w:val="22"/>
                <w:szCs w:val="22"/>
                <w:lang w:val="en-US"/>
              </w:rPr>
              <w:t>Combes</w:t>
            </w:r>
            <w:proofErr w:type="spellEnd"/>
            <w:r w:rsidRPr="00A93AED">
              <w:rPr>
                <w:iCs/>
                <w:sz w:val="22"/>
                <w:szCs w:val="22"/>
                <w:lang w:val="en-US"/>
              </w:rPr>
              <w:t xml:space="preserve"> Model</w:t>
            </w:r>
          </w:p>
        </w:tc>
      </w:tr>
      <w:tr w:rsidR="00A93AED" w:rsidRPr="00A93AED" w:rsidTr="00FE5092">
        <w:trPr>
          <w:jc w:val="center"/>
        </w:trPr>
        <w:tc>
          <w:tcPr>
            <w:tcW w:w="2929" w:type="dxa"/>
            <w:tcBorders>
              <w:right w:val="nil"/>
            </w:tcBorders>
            <w:shd w:val="clear" w:color="auto" w:fill="auto"/>
          </w:tcPr>
          <w:p w:rsidR="00A93AED" w:rsidRPr="00A93AED" w:rsidRDefault="00A93AED" w:rsidP="006000E1">
            <w:pPr>
              <w:pStyle w:val="ListParagraph"/>
              <w:ind w:left="0"/>
              <w:jc w:val="both"/>
              <w:rPr>
                <w:sz w:val="22"/>
                <w:szCs w:val="22"/>
                <w:lang w:val="en-US"/>
              </w:rPr>
            </w:pPr>
            <w:r w:rsidRPr="00A93AED">
              <w:rPr>
                <w:sz w:val="22"/>
                <w:szCs w:val="22"/>
                <w:lang w:val="en-US"/>
              </w:rPr>
              <w:t>Constant</w:t>
            </w:r>
          </w:p>
        </w:tc>
        <w:tc>
          <w:tcPr>
            <w:tcW w:w="2552" w:type="dxa"/>
            <w:tcBorders>
              <w:left w:val="nil"/>
            </w:tcBorders>
            <w:shd w:val="clear" w:color="auto" w:fill="auto"/>
          </w:tcPr>
          <w:p w:rsidR="00A93AED" w:rsidRPr="00A93AED" w:rsidRDefault="00A93AED" w:rsidP="006000E1">
            <w:pPr>
              <w:pStyle w:val="ListParagraph"/>
              <w:ind w:left="0"/>
              <w:jc w:val="both"/>
              <w:rPr>
                <w:color w:val="000000"/>
                <w:sz w:val="22"/>
                <w:szCs w:val="22"/>
                <w:lang w:eastAsia="zh-CN"/>
              </w:rPr>
            </w:pPr>
            <w:r w:rsidRPr="00A93AED">
              <w:rPr>
                <w:color w:val="000000"/>
                <w:sz w:val="22"/>
                <w:szCs w:val="22"/>
                <w:lang w:eastAsia="zh-CN"/>
              </w:rPr>
              <w:t xml:space="preserve">-1.1089*** </w:t>
            </w:r>
          </w:p>
          <w:p w:rsidR="00A93AED" w:rsidRPr="00A93AED" w:rsidRDefault="00A93AED" w:rsidP="006000E1">
            <w:pPr>
              <w:pStyle w:val="ListParagraph"/>
              <w:ind w:left="0"/>
              <w:jc w:val="both"/>
              <w:rPr>
                <w:sz w:val="22"/>
                <w:szCs w:val="22"/>
                <w:lang w:val="en-US"/>
              </w:rPr>
            </w:pPr>
            <w:r w:rsidRPr="00A93AED">
              <w:rPr>
                <w:color w:val="000000"/>
                <w:sz w:val="22"/>
                <w:szCs w:val="22"/>
                <w:lang w:eastAsia="zh-CN"/>
              </w:rPr>
              <w:t>(-2.83)</w:t>
            </w:r>
          </w:p>
        </w:tc>
        <w:tc>
          <w:tcPr>
            <w:tcW w:w="2316" w:type="dxa"/>
            <w:shd w:val="clear" w:color="auto" w:fill="auto"/>
          </w:tcPr>
          <w:p w:rsidR="00A93AED" w:rsidRPr="00A93AED" w:rsidRDefault="00A93AED" w:rsidP="006000E1">
            <w:pPr>
              <w:autoSpaceDE w:val="0"/>
              <w:autoSpaceDN w:val="0"/>
              <w:adjustRightInd w:val="0"/>
              <w:ind w:right="10"/>
              <w:jc w:val="both"/>
              <w:rPr>
                <w:color w:val="000000"/>
                <w:sz w:val="22"/>
                <w:szCs w:val="22"/>
                <w:lang w:eastAsia="zh-CN"/>
              </w:rPr>
            </w:pPr>
            <w:r w:rsidRPr="00A93AED">
              <w:rPr>
                <w:color w:val="000000"/>
                <w:sz w:val="22"/>
                <w:szCs w:val="22"/>
                <w:lang w:eastAsia="zh-CN"/>
              </w:rPr>
              <w:t>-2.8412**</w:t>
            </w:r>
          </w:p>
          <w:p w:rsidR="00A93AED" w:rsidRPr="00A93AED" w:rsidRDefault="00A93AED" w:rsidP="006000E1">
            <w:pPr>
              <w:autoSpaceDE w:val="0"/>
              <w:autoSpaceDN w:val="0"/>
              <w:adjustRightInd w:val="0"/>
              <w:ind w:right="10"/>
              <w:jc w:val="both"/>
              <w:rPr>
                <w:color w:val="000000"/>
                <w:sz w:val="22"/>
                <w:szCs w:val="22"/>
                <w:lang w:eastAsia="zh-CN"/>
              </w:rPr>
            </w:pPr>
            <w:r w:rsidRPr="00A93AED">
              <w:rPr>
                <w:color w:val="000000"/>
                <w:sz w:val="22"/>
                <w:szCs w:val="22"/>
                <w:lang w:eastAsia="zh-CN"/>
              </w:rPr>
              <w:t>(-2.13)</w:t>
            </w:r>
          </w:p>
        </w:tc>
      </w:tr>
      <w:tr w:rsidR="00A93AED" w:rsidRPr="00A93AED" w:rsidTr="00FE5092">
        <w:trPr>
          <w:jc w:val="center"/>
        </w:trPr>
        <w:tc>
          <w:tcPr>
            <w:tcW w:w="2929" w:type="dxa"/>
            <w:tcBorders>
              <w:right w:val="nil"/>
            </w:tcBorders>
            <w:shd w:val="clear" w:color="auto" w:fill="auto"/>
          </w:tcPr>
          <w:p w:rsidR="00A93AED" w:rsidRPr="00A93AED" w:rsidRDefault="00A93AED" w:rsidP="006000E1">
            <w:pPr>
              <w:pStyle w:val="ListParagraph"/>
              <w:ind w:left="0"/>
              <w:jc w:val="both"/>
              <w:rPr>
                <w:sz w:val="22"/>
                <w:szCs w:val="22"/>
                <w:lang w:val="en-US"/>
              </w:rPr>
            </w:pPr>
            <w:proofErr w:type="spellStart"/>
            <w:r w:rsidRPr="00A93AED">
              <w:rPr>
                <w:sz w:val="22"/>
                <w:szCs w:val="22"/>
                <w:lang w:val="en-US"/>
              </w:rPr>
              <w:t>Specialisation</w:t>
            </w:r>
            <w:proofErr w:type="spellEnd"/>
          </w:p>
        </w:tc>
        <w:tc>
          <w:tcPr>
            <w:tcW w:w="2552" w:type="dxa"/>
            <w:tcBorders>
              <w:left w:val="nil"/>
            </w:tcBorders>
            <w:shd w:val="clear" w:color="auto" w:fill="auto"/>
          </w:tcPr>
          <w:p w:rsidR="00A93AED" w:rsidRPr="00A93AED" w:rsidRDefault="00A93AED" w:rsidP="006000E1">
            <w:pPr>
              <w:pStyle w:val="ListParagraph"/>
              <w:ind w:left="0"/>
              <w:jc w:val="both"/>
              <w:rPr>
                <w:color w:val="000000"/>
                <w:sz w:val="22"/>
                <w:szCs w:val="22"/>
                <w:lang w:eastAsia="zh-CN"/>
              </w:rPr>
            </w:pPr>
            <w:r w:rsidRPr="00A93AED">
              <w:rPr>
                <w:color w:val="000000"/>
                <w:sz w:val="22"/>
                <w:szCs w:val="22"/>
                <w:lang w:eastAsia="zh-CN"/>
              </w:rPr>
              <w:t xml:space="preserve">-0.1802 </w:t>
            </w:r>
          </w:p>
          <w:p w:rsidR="00A93AED" w:rsidRPr="00A93AED" w:rsidRDefault="00A93AED" w:rsidP="006000E1">
            <w:pPr>
              <w:pStyle w:val="ListParagraph"/>
              <w:ind w:left="0"/>
              <w:jc w:val="both"/>
              <w:rPr>
                <w:sz w:val="22"/>
                <w:szCs w:val="22"/>
                <w:lang w:val="en-US"/>
              </w:rPr>
            </w:pPr>
            <w:r w:rsidRPr="00A93AED">
              <w:rPr>
                <w:color w:val="000000"/>
                <w:sz w:val="22"/>
                <w:szCs w:val="22"/>
                <w:lang w:eastAsia="zh-CN"/>
              </w:rPr>
              <w:t>(-1.11)</w:t>
            </w:r>
          </w:p>
        </w:tc>
        <w:tc>
          <w:tcPr>
            <w:tcW w:w="2316" w:type="dxa"/>
            <w:shd w:val="clear" w:color="auto" w:fill="auto"/>
          </w:tcPr>
          <w:p w:rsidR="00A93AED" w:rsidRPr="00A93AED" w:rsidRDefault="00A93AED" w:rsidP="006000E1">
            <w:pPr>
              <w:autoSpaceDE w:val="0"/>
              <w:autoSpaceDN w:val="0"/>
              <w:adjustRightInd w:val="0"/>
              <w:ind w:right="10"/>
              <w:jc w:val="both"/>
              <w:rPr>
                <w:color w:val="000000"/>
                <w:sz w:val="22"/>
                <w:szCs w:val="22"/>
                <w:lang w:eastAsia="zh-CN"/>
              </w:rPr>
            </w:pPr>
            <w:r w:rsidRPr="00A93AED">
              <w:rPr>
                <w:color w:val="000000"/>
                <w:sz w:val="22"/>
                <w:szCs w:val="22"/>
                <w:lang w:eastAsia="zh-CN"/>
              </w:rPr>
              <w:t xml:space="preserve">-0.0257 </w:t>
            </w:r>
          </w:p>
          <w:p w:rsidR="00A93AED" w:rsidRPr="00A93AED" w:rsidRDefault="00A93AED" w:rsidP="006000E1">
            <w:pPr>
              <w:autoSpaceDE w:val="0"/>
              <w:autoSpaceDN w:val="0"/>
              <w:adjustRightInd w:val="0"/>
              <w:ind w:right="10"/>
              <w:jc w:val="both"/>
              <w:rPr>
                <w:color w:val="000000"/>
                <w:sz w:val="22"/>
                <w:szCs w:val="22"/>
                <w:lang w:eastAsia="zh-CN"/>
              </w:rPr>
            </w:pPr>
            <w:r w:rsidRPr="00A93AED">
              <w:rPr>
                <w:color w:val="000000"/>
                <w:sz w:val="22"/>
                <w:szCs w:val="22"/>
                <w:lang w:eastAsia="zh-CN"/>
              </w:rPr>
              <w:t>(-0.15)</w:t>
            </w:r>
          </w:p>
        </w:tc>
      </w:tr>
      <w:tr w:rsidR="00A93AED" w:rsidRPr="00A93AED" w:rsidTr="00FE5092">
        <w:trPr>
          <w:jc w:val="center"/>
        </w:trPr>
        <w:tc>
          <w:tcPr>
            <w:tcW w:w="2929" w:type="dxa"/>
            <w:tcBorders>
              <w:right w:val="nil"/>
            </w:tcBorders>
            <w:shd w:val="clear" w:color="auto" w:fill="auto"/>
          </w:tcPr>
          <w:p w:rsidR="00A93AED" w:rsidRPr="00A93AED" w:rsidRDefault="00A93AED" w:rsidP="006000E1">
            <w:pPr>
              <w:pStyle w:val="ListParagraph"/>
              <w:ind w:left="0"/>
              <w:jc w:val="both"/>
              <w:rPr>
                <w:sz w:val="22"/>
                <w:szCs w:val="22"/>
                <w:lang w:val="en-US"/>
              </w:rPr>
            </w:pPr>
            <w:r w:rsidRPr="00A93AED">
              <w:rPr>
                <w:sz w:val="22"/>
                <w:szCs w:val="22"/>
                <w:lang w:val="en-US"/>
              </w:rPr>
              <w:t>Competition</w:t>
            </w:r>
          </w:p>
        </w:tc>
        <w:tc>
          <w:tcPr>
            <w:tcW w:w="2552" w:type="dxa"/>
            <w:tcBorders>
              <w:left w:val="nil"/>
            </w:tcBorders>
            <w:shd w:val="clear" w:color="auto" w:fill="auto"/>
          </w:tcPr>
          <w:p w:rsidR="00A93AED" w:rsidRPr="00A93AED" w:rsidRDefault="00A93AED" w:rsidP="006000E1">
            <w:pPr>
              <w:pStyle w:val="ListParagraph"/>
              <w:ind w:left="0"/>
              <w:jc w:val="both"/>
              <w:rPr>
                <w:color w:val="000000"/>
                <w:sz w:val="22"/>
                <w:szCs w:val="22"/>
                <w:lang w:eastAsia="zh-CN"/>
              </w:rPr>
            </w:pPr>
            <w:r w:rsidRPr="00A93AED">
              <w:rPr>
                <w:color w:val="000000"/>
                <w:sz w:val="22"/>
                <w:szCs w:val="22"/>
                <w:lang w:eastAsia="zh-CN"/>
              </w:rPr>
              <w:t>0.2496**</w:t>
            </w:r>
          </w:p>
          <w:p w:rsidR="00A93AED" w:rsidRPr="00A93AED" w:rsidRDefault="00A93AED" w:rsidP="006000E1">
            <w:pPr>
              <w:pStyle w:val="ListParagraph"/>
              <w:ind w:left="0"/>
              <w:jc w:val="both"/>
              <w:rPr>
                <w:sz w:val="22"/>
                <w:szCs w:val="22"/>
                <w:lang w:val="en-US"/>
              </w:rPr>
            </w:pPr>
            <w:r w:rsidRPr="00A93AED">
              <w:rPr>
                <w:color w:val="000000"/>
                <w:sz w:val="22"/>
                <w:szCs w:val="22"/>
                <w:lang w:eastAsia="zh-CN"/>
              </w:rPr>
              <w:t>(2.22)</w:t>
            </w:r>
          </w:p>
        </w:tc>
        <w:tc>
          <w:tcPr>
            <w:tcW w:w="2316" w:type="dxa"/>
            <w:shd w:val="clear" w:color="auto" w:fill="auto"/>
          </w:tcPr>
          <w:p w:rsidR="00A93AED" w:rsidRPr="00A93AED" w:rsidRDefault="00A93AED" w:rsidP="006000E1">
            <w:pPr>
              <w:autoSpaceDE w:val="0"/>
              <w:autoSpaceDN w:val="0"/>
              <w:adjustRightInd w:val="0"/>
              <w:ind w:right="10"/>
              <w:jc w:val="both"/>
              <w:rPr>
                <w:color w:val="000000"/>
                <w:sz w:val="22"/>
                <w:szCs w:val="22"/>
                <w:lang w:eastAsia="zh-CN"/>
              </w:rPr>
            </w:pPr>
            <w:r w:rsidRPr="00A93AED">
              <w:rPr>
                <w:color w:val="000000"/>
                <w:sz w:val="22"/>
                <w:szCs w:val="22"/>
                <w:lang w:eastAsia="zh-CN"/>
              </w:rPr>
              <w:t>0.3801***</w:t>
            </w:r>
          </w:p>
          <w:p w:rsidR="00A93AED" w:rsidRPr="00A93AED" w:rsidRDefault="00A93AED" w:rsidP="006000E1">
            <w:pPr>
              <w:autoSpaceDE w:val="0"/>
              <w:autoSpaceDN w:val="0"/>
              <w:adjustRightInd w:val="0"/>
              <w:ind w:right="10"/>
              <w:jc w:val="both"/>
              <w:rPr>
                <w:color w:val="000000"/>
                <w:sz w:val="22"/>
                <w:szCs w:val="22"/>
                <w:lang w:eastAsia="zh-CN"/>
              </w:rPr>
            </w:pPr>
            <w:r w:rsidRPr="00A93AED">
              <w:rPr>
                <w:color w:val="000000"/>
                <w:sz w:val="22"/>
                <w:szCs w:val="22"/>
                <w:lang w:eastAsia="zh-CN"/>
              </w:rPr>
              <w:t>(2.60)</w:t>
            </w:r>
          </w:p>
        </w:tc>
      </w:tr>
      <w:tr w:rsidR="00A93AED" w:rsidRPr="00A93AED" w:rsidTr="00FE5092">
        <w:trPr>
          <w:jc w:val="center"/>
        </w:trPr>
        <w:tc>
          <w:tcPr>
            <w:tcW w:w="2929" w:type="dxa"/>
            <w:tcBorders>
              <w:right w:val="nil"/>
            </w:tcBorders>
            <w:shd w:val="clear" w:color="auto" w:fill="auto"/>
          </w:tcPr>
          <w:p w:rsidR="00A93AED" w:rsidRPr="00A93AED" w:rsidRDefault="00A93AED" w:rsidP="006000E1">
            <w:pPr>
              <w:pStyle w:val="ListParagraph"/>
              <w:ind w:left="0"/>
              <w:jc w:val="both"/>
              <w:rPr>
                <w:sz w:val="22"/>
                <w:szCs w:val="22"/>
                <w:lang w:val="en-US"/>
              </w:rPr>
            </w:pPr>
            <w:r w:rsidRPr="00A93AED">
              <w:rPr>
                <w:sz w:val="22"/>
                <w:szCs w:val="22"/>
                <w:lang w:val="en-US"/>
              </w:rPr>
              <w:t>Diversity</w:t>
            </w:r>
          </w:p>
        </w:tc>
        <w:tc>
          <w:tcPr>
            <w:tcW w:w="2552" w:type="dxa"/>
            <w:tcBorders>
              <w:left w:val="nil"/>
            </w:tcBorders>
            <w:shd w:val="clear" w:color="auto" w:fill="auto"/>
          </w:tcPr>
          <w:p w:rsidR="00A93AED" w:rsidRPr="00A93AED" w:rsidRDefault="00A93AED" w:rsidP="006000E1">
            <w:pPr>
              <w:pStyle w:val="ListParagraph"/>
              <w:ind w:left="0"/>
              <w:jc w:val="both"/>
              <w:rPr>
                <w:color w:val="000000"/>
                <w:sz w:val="22"/>
                <w:szCs w:val="22"/>
                <w:lang w:eastAsia="zh-CN"/>
              </w:rPr>
            </w:pPr>
            <w:r w:rsidRPr="00A93AED">
              <w:rPr>
                <w:color w:val="000000"/>
                <w:sz w:val="22"/>
                <w:szCs w:val="22"/>
                <w:lang w:eastAsia="zh-CN"/>
              </w:rPr>
              <w:t>-0.1730</w:t>
            </w:r>
          </w:p>
          <w:p w:rsidR="00A93AED" w:rsidRPr="00A93AED" w:rsidRDefault="00A93AED" w:rsidP="006000E1">
            <w:pPr>
              <w:pStyle w:val="ListParagraph"/>
              <w:ind w:left="0"/>
              <w:jc w:val="both"/>
              <w:rPr>
                <w:sz w:val="22"/>
                <w:szCs w:val="22"/>
                <w:lang w:val="en-US"/>
              </w:rPr>
            </w:pPr>
            <w:r w:rsidRPr="00A93AED">
              <w:rPr>
                <w:color w:val="000000"/>
                <w:sz w:val="22"/>
                <w:szCs w:val="22"/>
                <w:lang w:eastAsia="zh-CN"/>
              </w:rPr>
              <w:t>(-0.79)</w:t>
            </w:r>
          </w:p>
        </w:tc>
        <w:tc>
          <w:tcPr>
            <w:tcW w:w="2316" w:type="dxa"/>
            <w:shd w:val="clear" w:color="auto" w:fill="auto"/>
          </w:tcPr>
          <w:p w:rsidR="00A93AED" w:rsidRPr="00A93AED" w:rsidRDefault="00A93AED" w:rsidP="006000E1">
            <w:pPr>
              <w:autoSpaceDE w:val="0"/>
              <w:autoSpaceDN w:val="0"/>
              <w:adjustRightInd w:val="0"/>
              <w:ind w:right="10"/>
              <w:jc w:val="both"/>
              <w:rPr>
                <w:color w:val="000000"/>
                <w:sz w:val="22"/>
                <w:szCs w:val="22"/>
                <w:lang w:eastAsia="zh-CN"/>
              </w:rPr>
            </w:pPr>
            <w:r w:rsidRPr="00A93AED">
              <w:rPr>
                <w:color w:val="000000"/>
                <w:sz w:val="22"/>
                <w:szCs w:val="22"/>
                <w:lang w:eastAsia="zh-CN"/>
              </w:rPr>
              <w:t>0.1227</w:t>
            </w:r>
          </w:p>
          <w:p w:rsidR="00A93AED" w:rsidRPr="00A93AED" w:rsidRDefault="00A93AED" w:rsidP="006000E1">
            <w:pPr>
              <w:autoSpaceDE w:val="0"/>
              <w:autoSpaceDN w:val="0"/>
              <w:adjustRightInd w:val="0"/>
              <w:ind w:right="10"/>
              <w:jc w:val="both"/>
              <w:rPr>
                <w:color w:val="000000"/>
                <w:sz w:val="22"/>
                <w:szCs w:val="22"/>
                <w:lang w:eastAsia="zh-CN"/>
              </w:rPr>
            </w:pPr>
            <w:r w:rsidRPr="00A93AED">
              <w:rPr>
                <w:color w:val="000000"/>
                <w:sz w:val="22"/>
                <w:szCs w:val="22"/>
                <w:lang w:eastAsia="zh-CN"/>
              </w:rPr>
              <w:t>(0.85)</w:t>
            </w:r>
          </w:p>
        </w:tc>
      </w:tr>
      <w:tr w:rsidR="00A93AED" w:rsidRPr="00A93AED" w:rsidTr="00FE5092">
        <w:trPr>
          <w:jc w:val="center"/>
        </w:trPr>
        <w:tc>
          <w:tcPr>
            <w:tcW w:w="2929" w:type="dxa"/>
            <w:tcBorders>
              <w:right w:val="nil"/>
            </w:tcBorders>
            <w:shd w:val="clear" w:color="auto" w:fill="auto"/>
          </w:tcPr>
          <w:p w:rsidR="00A93AED" w:rsidRPr="00A93AED" w:rsidRDefault="00A93AED" w:rsidP="006000E1">
            <w:pPr>
              <w:pStyle w:val="ListParagraph"/>
              <w:ind w:left="0"/>
              <w:jc w:val="both"/>
              <w:rPr>
                <w:sz w:val="22"/>
                <w:szCs w:val="22"/>
                <w:lang w:val="en-US"/>
              </w:rPr>
            </w:pPr>
            <w:r w:rsidRPr="00A93AED">
              <w:rPr>
                <w:sz w:val="22"/>
                <w:szCs w:val="22"/>
                <w:lang w:val="en-US"/>
              </w:rPr>
              <w:t>Distance</w:t>
            </w:r>
          </w:p>
        </w:tc>
        <w:tc>
          <w:tcPr>
            <w:tcW w:w="2552" w:type="dxa"/>
            <w:tcBorders>
              <w:left w:val="nil"/>
            </w:tcBorders>
            <w:shd w:val="clear" w:color="auto" w:fill="auto"/>
          </w:tcPr>
          <w:p w:rsidR="00A93AED" w:rsidRPr="00A93AED" w:rsidRDefault="00A93AED" w:rsidP="006000E1">
            <w:pPr>
              <w:pStyle w:val="ListParagraph"/>
              <w:ind w:left="0"/>
              <w:jc w:val="both"/>
              <w:rPr>
                <w:color w:val="000000"/>
                <w:sz w:val="22"/>
                <w:szCs w:val="22"/>
                <w:lang w:eastAsia="zh-CN"/>
              </w:rPr>
            </w:pPr>
            <w:r w:rsidRPr="00A93AED">
              <w:rPr>
                <w:color w:val="000000"/>
                <w:sz w:val="22"/>
                <w:szCs w:val="22"/>
                <w:lang w:eastAsia="zh-CN"/>
              </w:rPr>
              <w:t xml:space="preserve">0.0001 </w:t>
            </w:r>
          </w:p>
          <w:p w:rsidR="00A93AED" w:rsidRPr="00A93AED" w:rsidRDefault="00A93AED" w:rsidP="006000E1">
            <w:pPr>
              <w:pStyle w:val="ListParagraph"/>
              <w:ind w:left="0"/>
              <w:jc w:val="both"/>
              <w:rPr>
                <w:sz w:val="22"/>
                <w:szCs w:val="22"/>
                <w:lang w:val="en-US"/>
              </w:rPr>
            </w:pPr>
            <w:r w:rsidRPr="00A93AED">
              <w:rPr>
                <w:color w:val="000000"/>
                <w:sz w:val="22"/>
                <w:szCs w:val="22"/>
                <w:lang w:eastAsia="zh-CN"/>
              </w:rPr>
              <w:t>(1.66)</w:t>
            </w:r>
          </w:p>
        </w:tc>
        <w:tc>
          <w:tcPr>
            <w:tcW w:w="2316" w:type="dxa"/>
            <w:shd w:val="clear" w:color="auto" w:fill="auto"/>
          </w:tcPr>
          <w:p w:rsidR="00A93AED" w:rsidRPr="00A93AED" w:rsidRDefault="00A93AED" w:rsidP="006000E1">
            <w:pPr>
              <w:autoSpaceDE w:val="0"/>
              <w:autoSpaceDN w:val="0"/>
              <w:adjustRightInd w:val="0"/>
              <w:ind w:right="10"/>
              <w:jc w:val="both"/>
              <w:rPr>
                <w:color w:val="000000"/>
                <w:sz w:val="22"/>
                <w:szCs w:val="22"/>
                <w:lang w:eastAsia="zh-CN"/>
              </w:rPr>
            </w:pPr>
            <w:r w:rsidRPr="00A93AED">
              <w:rPr>
                <w:color w:val="000000"/>
                <w:sz w:val="22"/>
                <w:szCs w:val="22"/>
                <w:lang w:eastAsia="zh-CN"/>
              </w:rPr>
              <w:t>0.0365***</w:t>
            </w:r>
          </w:p>
          <w:p w:rsidR="00A93AED" w:rsidRPr="00A93AED" w:rsidRDefault="00A93AED" w:rsidP="006000E1">
            <w:pPr>
              <w:autoSpaceDE w:val="0"/>
              <w:autoSpaceDN w:val="0"/>
              <w:adjustRightInd w:val="0"/>
              <w:ind w:right="10"/>
              <w:jc w:val="both"/>
              <w:rPr>
                <w:color w:val="000000"/>
                <w:sz w:val="22"/>
                <w:szCs w:val="22"/>
                <w:lang w:eastAsia="zh-CN"/>
              </w:rPr>
            </w:pPr>
            <w:r w:rsidRPr="00A93AED">
              <w:rPr>
                <w:color w:val="000000"/>
                <w:sz w:val="22"/>
                <w:szCs w:val="22"/>
                <w:lang w:eastAsia="zh-CN"/>
              </w:rPr>
              <w:t>(2.35)</w:t>
            </w:r>
          </w:p>
        </w:tc>
      </w:tr>
      <w:tr w:rsidR="00A93AED" w:rsidRPr="00A93AED" w:rsidTr="00FE5092">
        <w:trPr>
          <w:jc w:val="center"/>
        </w:trPr>
        <w:tc>
          <w:tcPr>
            <w:tcW w:w="2929" w:type="dxa"/>
            <w:tcBorders>
              <w:right w:val="nil"/>
            </w:tcBorders>
            <w:shd w:val="clear" w:color="auto" w:fill="auto"/>
          </w:tcPr>
          <w:p w:rsidR="00A93AED" w:rsidRPr="00A93AED" w:rsidRDefault="00A93AED" w:rsidP="006000E1">
            <w:pPr>
              <w:pStyle w:val="ListParagraph"/>
              <w:ind w:left="0"/>
              <w:jc w:val="both"/>
              <w:rPr>
                <w:sz w:val="22"/>
                <w:szCs w:val="22"/>
                <w:lang w:val="en-US"/>
              </w:rPr>
            </w:pPr>
            <w:r w:rsidRPr="00A93AED">
              <w:rPr>
                <w:sz w:val="22"/>
                <w:szCs w:val="22"/>
                <w:lang w:val="en-US"/>
              </w:rPr>
              <w:t>Literacy</w:t>
            </w:r>
          </w:p>
        </w:tc>
        <w:tc>
          <w:tcPr>
            <w:tcW w:w="2552" w:type="dxa"/>
            <w:tcBorders>
              <w:left w:val="nil"/>
            </w:tcBorders>
            <w:shd w:val="clear" w:color="auto" w:fill="auto"/>
          </w:tcPr>
          <w:p w:rsidR="00A93AED" w:rsidRPr="00A93AED" w:rsidRDefault="00A93AED" w:rsidP="006000E1">
            <w:pPr>
              <w:autoSpaceDE w:val="0"/>
              <w:autoSpaceDN w:val="0"/>
              <w:adjustRightInd w:val="0"/>
              <w:ind w:right="10"/>
              <w:jc w:val="both"/>
              <w:rPr>
                <w:color w:val="000000"/>
                <w:sz w:val="22"/>
                <w:szCs w:val="22"/>
                <w:lang w:eastAsia="zh-CN"/>
              </w:rPr>
            </w:pPr>
            <w:r w:rsidRPr="00A93AED">
              <w:rPr>
                <w:color w:val="000000"/>
                <w:sz w:val="22"/>
                <w:szCs w:val="22"/>
                <w:lang w:eastAsia="zh-CN"/>
              </w:rPr>
              <w:t>0.0150***</w:t>
            </w:r>
          </w:p>
          <w:p w:rsidR="00A93AED" w:rsidRPr="00A93AED" w:rsidRDefault="00A93AED" w:rsidP="006000E1">
            <w:pPr>
              <w:autoSpaceDE w:val="0"/>
              <w:autoSpaceDN w:val="0"/>
              <w:adjustRightInd w:val="0"/>
              <w:ind w:right="10"/>
              <w:jc w:val="both"/>
              <w:rPr>
                <w:color w:val="000000"/>
                <w:sz w:val="22"/>
                <w:szCs w:val="22"/>
                <w:lang w:eastAsia="zh-CN"/>
              </w:rPr>
            </w:pPr>
            <w:r w:rsidRPr="00A93AED">
              <w:rPr>
                <w:color w:val="000000"/>
                <w:sz w:val="22"/>
                <w:szCs w:val="22"/>
                <w:lang w:eastAsia="zh-CN"/>
              </w:rPr>
              <w:t>(2.85)</w:t>
            </w:r>
          </w:p>
        </w:tc>
        <w:tc>
          <w:tcPr>
            <w:tcW w:w="2316" w:type="dxa"/>
            <w:shd w:val="clear" w:color="auto" w:fill="auto"/>
          </w:tcPr>
          <w:p w:rsidR="00A93AED" w:rsidRPr="00A93AED" w:rsidRDefault="00A93AED" w:rsidP="006000E1">
            <w:pPr>
              <w:autoSpaceDE w:val="0"/>
              <w:autoSpaceDN w:val="0"/>
              <w:adjustRightInd w:val="0"/>
              <w:ind w:right="10"/>
              <w:jc w:val="both"/>
              <w:rPr>
                <w:color w:val="000000"/>
                <w:sz w:val="22"/>
                <w:szCs w:val="22"/>
                <w:lang w:eastAsia="zh-CN"/>
              </w:rPr>
            </w:pPr>
            <w:r w:rsidRPr="00A93AED">
              <w:rPr>
                <w:color w:val="000000"/>
                <w:sz w:val="22"/>
                <w:szCs w:val="22"/>
                <w:lang w:eastAsia="zh-CN"/>
              </w:rPr>
              <w:t xml:space="preserve">0.6166** </w:t>
            </w:r>
          </w:p>
          <w:p w:rsidR="00A93AED" w:rsidRPr="00A93AED" w:rsidRDefault="00A93AED" w:rsidP="006000E1">
            <w:pPr>
              <w:autoSpaceDE w:val="0"/>
              <w:autoSpaceDN w:val="0"/>
              <w:adjustRightInd w:val="0"/>
              <w:ind w:right="10"/>
              <w:jc w:val="both"/>
              <w:rPr>
                <w:color w:val="000000"/>
                <w:sz w:val="22"/>
                <w:szCs w:val="22"/>
                <w:lang w:eastAsia="zh-CN"/>
              </w:rPr>
            </w:pPr>
            <w:r w:rsidRPr="00A93AED">
              <w:rPr>
                <w:color w:val="000000"/>
                <w:sz w:val="22"/>
                <w:szCs w:val="22"/>
                <w:lang w:eastAsia="zh-CN"/>
              </w:rPr>
              <w:t>(2.06)</w:t>
            </w:r>
          </w:p>
        </w:tc>
      </w:tr>
      <w:tr w:rsidR="00A93AED" w:rsidRPr="00A93AED" w:rsidTr="00FE5092">
        <w:trPr>
          <w:jc w:val="center"/>
        </w:trPr>
        <w:tc>
          <w:tcPr>
            <w:tcW w:w="2929" w:type="dxa"/>
            <w:tcBorders>
              <w:right w:val="nil"/>
            </w:tcBorders>
            <w:shd w:val="clear" w:color="auto" w:fill="auto"/>
          </w:tcPr>
          <w:p w:rsidR="00A93AED" w:rsidRPr="00A93AED" w:rsidRDefault="00A93AED" w:rsidP="006000E1">
            <w:pPr>
              <w:pStyle w:val="ListParagraph"/>
              <w:ind w:left="0"/>
              <w:rPr>
                <w:sz w:val="22"/>
                <w:szCs w:val="22"/>
                <w:lang w:val="en-US"/>
              </w:rPr>
            </w:pPr>
            <w:r w:rsidRPr="00A93AED">
              <w:rPr>
                <w:sz w:val="22"/>
                <w:szCs w:val="22"/>
                <w:lang w:val="en-US"/>
              </w:rPr>
              <w:t>Number of observations</w:t>
            </w:r>
          </w:p>
        </w:tc>
        <w:tc>
          <w:tcPr>
            <w:tcW w:w="2552" w:type="dxa"/>
            <w:tcBorders>
              <w:left w:val="nil"/>
            </w:tcBorders>
            <w:shd w:val="clear" w:color="auto" w:fill="auto"/>
          </w:tcPr>
          <w:p w:rsidR="00A93AED" w:rsidRPr="00A93AED" w:rsidRDefault="00A93AED" w:rsidP="006000E1">
            <w:pPr>
              <w:pStyle w:val="ListParagraph"/>
              <w:ind w:left="0"/>
              <w:jc w:val="both"/>
              <w:rPr>
                <w:sz w:val="22"/>
                <w:szCs w:val="22"/>
                <w:lang w:val="en-US"/>
              </w:rPr>
            </w:pPr>
            <w:r w:rsidRPr="00A93AED">
              <w:rPr>
                <w:sz w:val="22"/>
                <w:szCs w:val="22"/>
                <w:lang w:val="en-US"/>
              </w:rPr>
              <w:t>26</w:t>
            </w:r>
          </w:p>
        </w:tc>
        <w:tc>
          <w:tcPr>
            <w:tcW w:w="2316" w:type="dxa"/>
            <w:shd w:val="clear" w:color="auto" w:fill="auto"/>
          </w:tcPr>
          <w:p w:rsidR="00A93AED" w:rsidRPr="00A93AED" w:rsidRDefault="00A93AED" w:rsidP="006000E1">
            <w:pPr>
              <w:jc w:val="both"/>
              <w:rPr>
                <w:sz w:val="22"/>
                <w:szCs w:val="22"/>
              </w:rPr>
            </w:pPr>
            <w:r w:rsidRPr="00A93AED">
              <w:rPr>
                <w:sz w:val="22"/>
                <w:szCs w:val="22"/>
                <w:lang w:val="en-US"/>
              </w:rPr>
              <w:t>26</w:t>
            </w:r>
          </w:p>
        </w:tc>
      </w:tr>
      <w:tr w:rsidR="00A93AED" w:rsidRPr="00A93AED" w:rsidTr="00FE5092">
        <w:trPr>
          <w:jc w:val="center"/>
        </w:trPr>
        <w:tc>
          <w:tcPr>
            <w:tcW w:w="2929" w:type="dxa"/>
            <w:tcBorders>
              <w:bottom w:val="single" w:sz="12" w:space="0" w:color="000000"/>
              <w:right w:val="nil"/>
            </w:tcBorders>
            <w:shd w:val="clear" w:color="auto" w:fill="auto"/>
          </w:tcPr>
          <w:p w:rsidR="00A93AED" w:rsidRPr="00A93AED" w:rsidRDefault="00A93AED" w:rsidP="006000E1">
            <w:pPr>
              <w:pStyle w:val="ListParagraph"/>
              <w:ind w:left="0"/>
              <w:jc w:val="both"/>
              <w:rPr>
                <w:sz w:val="22"/>
                <w:szCs w:val="22"/>
                <w:lang w:val="en-US"/>
              </w:rPr>
            </w:pPr>
            <w:r w:rsidRPr="00A93AED">
              <w:rPr>
                <w:i/>
                <w:iCs/>
                <w:sz w:val="22"/>
                <w:szCs w:val="22"/>
                <w:lang w:val="en-US"/>
              </w:rPr>
              <w:t>R</w:t>
            </w:r>
            <w:r w:rsidRPr="00A93AED">
              <w:rPr>
                <w:sz w:val="22"/>
                <w:szCs w:val="22"/>
                <w:vertAlign w:val="superscript"/>
                <w:lang w:val="en-US"/>
              </w:rPr>
              <w:t>2</w:t>
            </w:r>
          </w:p>
        </w:tc>
        <w:tc>
          <w:tcPr>
            <w:tcW w:w="2552" w:type="dxa"/>
            <w:tcBorders>
              <w:left w:val="nil"/>
            </w:tcBorders>
            <w:shd w:val="clear" w:color="auto" w:fill="auto"/>
          </w:tcPr>
          <w:p w:rsidR="00A93AED" w:rsidRPr="00A93AED" w:rsidRDefault="00A93AED" w:rsidP="006000E1">
            <w:pPr>
              <w:pStyle w:val="ListParagraph"/>
              <w:ind w:left="0"/>
              <w:jc w:val="both"/>
              <w:rPr>
                <w:sz w:val="22"/>
                <w:szCs w:val="22"/>
                <w:lang w:val="en-US"/>
              </w:rPr>
            </w:pPr>
            <w:r w:rsidRPr="00A93AED">
              <w:rPr>
                <w:color w:val="000000"/>
                <w:sz w:val="22"/>
                <w:szCs w:val="22"/>
                <w:lang w:eastAsia="zh-CN"/>
              </w:rPr>
              <w:t>0.7524</w:t>
            </w:r>
          </w:p>
        </w:tc>
        <w:tc>
          <w:tcPr>
            <w:tcW w:w="2316" w:type="dxa"/>
            <w:shd w:val="clear" w:color="auto" w:fill="auto"/>
          </w:tcPr>
          <w:p w:rsidR="00A93AED" w:rsidRPr="00A93AED" w:rsidRDefault="00A93AED" w:rsidP="006000E1">
            <w:pPr>
              <w:pStyle w:val="ListParagraph"/>
              <w:ind w:left="0"/>
              <w:jc w:val="both"/>
              <w:rPr>
                <w:sz w:val="22"/>
                <w:szCs w:val="22"/>
                <w:lang w:val="en-US"/>
              </w:rPr>
            </w:pPr>
            <w:r w:rsidRPr="00A93AED">
              <w:rPr>
                <w:color w:val="000000"/>
                <w:sz w:val="22"/>
                <w:szCs w:val="22"/>
                <w:lang w:eastAsia="zh-CN"/>
              </w:rPr>
              <w:t>0.7306</w:t>
            </w:r>
          </w:p>
        </w:tc>
      </w:tr>
    </w:tbl>
    <w:p w:rsidR="00A93AED" w:rsidRPr="00A93AED" w:rsidRDefault="00A93AED" w:rsidP="00A93AED">
      <w:pPr>
        <w:pStyle w:val="ListParagraph"/>
        <w:tabs>
          <w:tab w:val="left" w:pos="1985"/>
        </w:tabs>
        <w:ind w:left="567"/>
        <w:jc w:val="both"/>
        <w:rPr>
          <w:sz w:val="20"/>
          <w:szCs w:val="20"/>
          <w:lang w:val="en-US"/>
        </w:rPr>
      </w:pPr>
      <w:r w:rsidRPr="00A93AED">
        <w:rPr>
          <w:sz w:val="20"/>
          <w:szCs w:val="20"/>
          <w:lang w:val="en-US"/>
        </w:rPr>
        <w:t>Significance levels: *=10%, **=5%, and ***=1%.</w:t>
      </w:r>
    </w:p>
    <w:p w:rsidR="00A93AED" w:rsidRPr="00A93AED" w:rsidRDefault="00A93AED" w:rsidP="00A93AED">
      <w:pPr>
        <w:autoSpaceDE w:val="0"/>
        <w:autoSpaceDN w:val="0"/>
        <w:adjustRightInd w:val="0"/>
        <w:ind w:left="567"/>
        <w:jc w:val="both"/>
        <w:rPr>
          <w:color w:val="000000"/>
          <w:sz w:val="6"/>
          <w:szCs w:val="6"/>
          <w:lang w:eastAsia="zh-CN"/>
        </w:rPr>
      </w:pPr>
    </w:p>
    <w:p w:rsidR="00A93AED" w:rsidRDefault="00A93AED" w:rsidP="00A93AED">
      <w:pPr>
        <w:autoSpaceDE w:val="0"/>
        <w:autoSpaceDN w:val="0"/>
        <w:adjustRightInd w:val="0"/>
        <w:spacing w:line="276" w:lineRule="auto"/>
        <w:ind w:left="567"/>
        <w:jc w:val="both"/>
        <w:rPr>
          <w:sz w:val="20"/>
          <w:szCs w:val="20"/>
          <w:lang w:val="en-US"/>
        </w:rPr>
      </w:pPr>
      <w:r w:rsidRPr="00B332DB">
        <w:rPr>
          <w:i/>
          <w:color w:val="000000"/>
          <w:sz w:val="20"/>
          <w:szCs w:val="20"/>
          <w:lang w:eastAsia="zh-CN"/>
        </w:rPr>
        <w:t>Notes</w:t>
      </w:r>
      <w:r w:rsidRPr="00F21A73">
        <w:rPr>
          <w:color w:val="000000"/>
          <w:sz w:val="20"/>
          <w:szCs w:val="20"/>
          <w:lang w:eastAsia="zh-CN"/>
        </w:rPr>
        <w:t xml:space="preserve">: </w:t>
      </w:r>
      <w:r w:rsidRPr="00B332DB">
        <w:rPr>
          <w:color w:val="000000"/>
          <w:sz w:val="20"/>
          <w:szCs w:val="20"/>
          <w:lang w:eastAsia="zh-CN"/>
        </w:rPr>
        <w:t xml:space="preserve">Dependent Variable: </w:t>
      </w:r>
      <w:r>
        <w:rPr>
          <w:color w:val="000000"/>
          <w:sz w:val="20"/>
          <w:szCs w:val="20"/>
          <w:lang w:eastAsia="zh-CN"/>
        </w:rPr>
        <w:t xml:space="preserve">1985-95 </w:t>
      </w:r>
      <w:r w:rsidRPr="00B332DB">
        <w:rPr>
          <w:color w:val="000000"/>
          <w:sz w:val="20"/>
          <w:szCs w:val="20"/>
          <w:lang w:eastAsia="zh-CN"/>
        </w:rPr>
        <w:t>Manufacturing Industry Employment Growth</w:t>
      </w:r>
      <w:r>
        <w:rPr>
          <w:color w:val="000000"/>
          <w:sz w:val="20"/>
          <w:szCs w:val="20"/>
          <w:lang w:eastAsia="zh-CN"/>
        </w:rPr>
        <w:t xml:space="preserve">. </w:t>
      </w:r>
      <w:r w:rsidRPr="00B332DB">
        <w:rPr>
          <w:color w:val="000000"/>
          <w:sz w:val="20"/>
          <w:szCs w:val="20"/>
          <w:lang w:eastAsia="zh-CN"/>
        </w:rPr>
        <w:t>Estimations are with robust standard errors</w:t>
      </w:r>
      <w:r>
        <w:rPr>
          <w:color w:val="000000"/>
          <w:sz w:val="20"/>
          <w:szCs w:val="20"/>
          <w:lang w:eastAsia="zh-CN"/>
        </w:rPr>
        <w:t xml:space="preserve">. While the </w:t>
      </w:r>
      <w:r w:rsidRPr="00F21A73">
        <w:rPr>
          <w:color w:val="000000"/>
          <w:sz w:val="20"/>
          <w:szCs w:val="20"/>
          <w:lang w:eastAsia="zh-CN"/>
        </w:rPr>
        <w:t xml:space="preserve">dependent variable </w:t>
      </w:r>
      <w:r>
        <w:rPr>
          <w:color w:val="000000"/>
          <w:sz w:val="20"/>
          <w:szCs w:val="20"/>
          <w:lang w:eastAsia="zh-CN"/>
        </w:rPr>
        <w:t>i</w:t>
      </w:r>
      <w:r w:rsidRPr="00F21A73">
        <w:rPr>
          <w:color w:val="000000"/>
          <w:sz w:val="20"/>
          <w:szCs w:val="20"/>
          <w:lang w:eastAsia="zh-CN"/>
        </w:rPr>
        <w:t xml:space="preserve">n </w:t>
      </w:r>
      <w:r>
        <w:rPr>
          <w:color w:val="000000"/>
          <w:sz w:val="20"/>
          <w:szCs w:val="20"/>
          <w:lang w:eastAsia="zh-CN"/>
        </w:rPr>
        <w:t>the left column</w:t>
      </w:r>
      <w:r w:rsidRPr="00F21A73">
        <w:rPr>
          <w:color w:val="000000"/>
          <w:sz w:val="20"/>
          <w:szCs w:val="20"/>
          <w:lang w:eastAsia="zh-CN"/>
        </w:rPr>
        <w:t xml:space="preserve"> is VDEP</w:t>
      </w:r>
      <w:r>
        <w:rPr>
          <w:color w:val="000000"/>
          <w:sz w:val="20"/>
          <w:szCs w:val="20"/>
          <w:lang w:eastAsia="zh-CN"/>
        </w:rPr>
        <w:t xml:space="preserve"> (see Table 2)</w:t>
      </w:r>
      <w:r w:rsidRPr="00F21A73">
        <w:rPr>
          <w:color w:val="000000"/>
          <w:sz w:val="20"/>
          <w:szCs w:val="20"/>
          <w:lang w:eastAsia="zh-CN"/>
        </w:rPr>
        <w:t xml:space="preserve">, in </w:t>
      </w:r>
      <w:r>
        <w:rPr>
          <w:color w:val="000000"/>
          <w:sz w:val="20"/>
          <w:szCs w:val="20"/>
          <w:lang w:eastAsia="zh-CN"/>
        </w:rPr>
        <w:t>the right column</w:t>
      </w:r>
      <w:r w:rsidRPr="00F21A73">
        <w:rPr>
          <w:color w:val="000000"/>
          <w:sz w:val="20"/>
          <w:szCs w:val="20"/>
          <w:lang w:eastAsia="zh-CN"/>
        </w:rPr>
        <w:t xml:space="preserve"> it is VDEP2</w:t>
      </w:r>
      <w:r>
        <w:rPr>
          <w:color w:val="000000"/>
          <w:sz w:val="20"/>
          <w:szCs w:val="20"/>
          <w:lang w:eastAsia="zh-CN"/>
        </w:rPr>
        <w:t xml:space="preserve">. </w:t>
      </w:r>
      <w:r w:rsidRPr="00F21A73">
        <w:rPr>
          <w:color w:val="000000"/>
          <w:sz w:val="20"/>
          <w:szCs w:val="20"/>
          <w:lang w:eastAsia="zh-CN"/>
        </w:rPr>
        <w:t xml:space="preserve">Values of </w:t>
      </w:r>
      <w:r w:rsidRPr="00F21A73">
        <w:rPr>
          <w:i/>
          <w:color w:val="000000"/>
          <w:sz w:val="20"/>
          <w:szCs w:val="20"/>
          <w:lang w:eastAsia="zh-CN"/>
        </w:rPr>
        <w:t>t</w:t>
      </w:r>
      <w:r w:rsidRPr="00F21A73">
        <w:rPr>
          <w:color w:val="000000"/>
          <w:sz w:val="20"/>
          <w:szCs w:val="20"/>
          <w:lang w:eastAsia="zh-CN"/>
        </w:rPr>
        <w:t xml:space="preserve"> </w:t>
      </w:r>
      <w:r>
        <w:rPr>
          <w:color w:val="000000"/>
          <w:sz w:val="20"/>
          <w:szCs w:val="20"/>
          <w:lang w:eastAsia="zh-CN"/>
        </w:rPr>
        <w:t xml:space="preserve">statistics </w:t>
      </w:r>
      <w:r w:rsidRPr="00F21A73">
        <w:rPr>
          <w:color w:val="000000"/>
          <w:sz w:val="20"/>
          <w:szCs w:val="20"/>
          <w:lang w:eastAsia="zh-CN"/>
        </w:rPr>
        <w:t xml:space="preserve">are in brackets. </w:t>
      </w:r>
      <w:r>
        <w:rPr>
          <w:color w:val="000000"/>
          <w:sz w:val="20"/>
          <w:szCs w:val="20"/>
          <w:lang w:eastAsia="zh-CN"/>
        </w:rPr>
        <w:t>The left column also</w:t>
      </w:r>
      <w:r>
        <w:rPr>
          <w:sz w:val="20"/>
          <w:szCs w:val="20"/>
          <w:lang w:val="en-US"/>
        </w:rPr>
        <w:t xml:space="preserve"> differs </w:t>
      </w:r>
      <w:r w:rsidRPr="00F21A73">
        <w:rPr>
          <w:sz w:val="20"/>
          <w:szCs w:val="20"/>
          <w:lang w:val="en-US"/>
        </w:rPr>
        <w:t xml:space="preserve">from </w:t>
      </w:r>
      <w:r>
        <w:rPr>
          <w:sz w:val="20"/>
          <w:szCs w:val="20"/>
          <w:lang w:val="en-US"/>
        </w:rPr>
        <w:t>the right column in that</w:t>
      </w:r>
      <w:r w:rsidRPr="00F21A73">
        <w:rPr>
          <w:sz w:val="20"/>
          <w:szCs w:val="20"/>
          <w:lang w:val="en-US"/>
        </w:rPr>
        <w:t xml:space="preserve"> </w:t>
      </w:r>
      <w:r>
        <w:rPr>
          <w:sz w:val="20"/>
          <w:szCs w:val="20"/>
          <w:lang w:val="en-US"/>
        </w:rPr>
        <w:t xml:space="preserve">in the left column the </w:t>
      </w:r>
      <w:r w:rsidRPr="00F21A73">
        <w:rPr>
          <w:sz w:val="20"/>
          <w:szCs w:val="20"/>
          <w:lang w:val="en-US"/>
        </w:rPr>
        <w:t xml:space="preserve">natural logarithm </w:t>
      </w:r>
      <w:r>
        <w:rPr>
          <w:sz w:val="20"/>
          <w:szCs w:val="20"/>
          <w:lang w:val="en-US"/>
        </w:rPr>
        <w:t>has been taken for all</w:t>
      </w:r>
      <w:r w:rsidRPr="00F21A73">
        <w:rPr>
          <w:sz w:val="20"/>
          <w:szCs w:val="20"/>
          <w:lang w:val="en-US"/>
        </w:rPr>
        <w:t xml:space="preserve"> independent variables</w:t>
      </w:r>
      <w:r>
        <w:rPr>
          <w:sz w:val="20"/>
          <w:szCs w:val="20"/>
          <w:lang w:val="en-US"/>
        </w:rPr>
        <w:t xml:space="preserve">, as in </w:t>
      </w:r>
      <w:proofErr w:type="spellStart"/>
      <w:r>
        <w:rPr>
          <w:sz w:val="20"/>
          <w:szCs w:val="20"/>
          <w:lang w:val="en-US"/>
        </w:rPr>
        <w:t>Combes</w:t>
      </w:r>
      <w:proofErr w:type="spellEnd"/>
      <w:r>
        <w:rPr>
          <w:sz w:val="20"/>
          <w:szCs w:val="20"/>
          <w:lang w:val="en-US"/>
        </w:rPr>
        <w:t xml:space="preserve"> (2000).</w:t>
      </w:r>
    </w:p>
    <w:p w:rsidR="0069677C" w:rsidRDefault="0069677C" w:rsidP="00877A16">
      <w:pPr>
        <w:autoSpaceDE w:val="0"/>
        <w:autoSpaceDN w:val="0"/>
        <w:adjustRightInd w:val="0"/>
        <w:spacing w:line="276" w:lineRule="auto"/>
        <w:jc w:val="center"/>
        <w:rPr>
          <w:b/>
          <w:color w:val="000000"/>
          <w:lang w:eastAsia="zh-CN"/>
        </w:rPr>
      </w:pPr>
    </w:p>
    <w:p w:rsidR="00A24B44" w:rsidRPr="00FA317F" w:rsidRDefault="00A24B44" w:rsidP="00877A16">
      <w:pPr>
        <w:autoSpaceDE w:val="0"/>
        <w:autoSpaceDN w:val="0"/>
        <w:adjustRightInd w:val="0"/>
        <w:spacing w:line="276" w:lineRule="auto"/>
        <w:jc w:val="center"/>
        <w:rPr>
          <w:b/>
          <w:color w:val="000000"/>
          <w:lang w:eastAsia="zh-CN"/>
        </w:rPr>
      </w:pPr>
    </w:p>
    <w:p w:rsidR="0023780F" w:rsidRDefault="00A24B44" w:rsidP="00A24B44">
      <w:pPr>
        <w:tabs>
          <w:tab w:val="left" w:pos="567"/>
        </w:tabs>
        <w:autoSpaceDE w:val="0"/>
        <w:autoSpaceDN w:val="0"/>
        <w:adjustRightInd w:val="0"/>
        <w:spacing w:line="276" w:lineRule="auto"/>
        <w:jc w:val="both"/>
        <w:rPr>
          <w:lang w:eastAsia="zh-CN"/>
        </w:rPr>
      </w:pPr>
      <w:r>
        <w:rPr>
          <w:lang w:eastAsia="zh-CN"/>
        </w:rPr>
        <w:tab/>
      </w:r>
      <w:r w:rsidR="009722D0">
        <w:rPr>
          <w:lang w:eastAsia="zh-CN"/>
        </w:rPr>
        <w:t xml:space="preserve">The models have been estimated </w:t>
      </w:r>
      <w:r w:rsidR="00B7207A" w:rsidRPr="00FA317F">
        <w:rPr>
          <w:lang w:eastAsia="zh-CN"/>
        </w:rPr>
        <w:t xml:space="preserve">by </w:t>
      </w:r>
      <w:r w:rsidR="009722D0" w:rsidRPr="00FA317F">
        <w:rPr>
          <w:lang w:eastAsia="zh-CN"/>
        </w:rPr>
        <w:t xml:space="preserve">Ordinary Least Squares </w:t>
      </w:r>
      <w:r w:rsidR="009722D0">
        <w:rPr>
          <w:lang w:eastAsia="zh-CN"/>
        </w:rPr>
        <w:t xml:space="preserve">(OLS). </w:t>
      </w:r>
      <w:r w:rsidR="0051175D" w:rsidRPr="00FA317F">
        <w:rPr>
          <w:lang w:eastAsia="zh-CN"/>
        </w:rPr>
        <w:t>In terms of the significant findings</w:t>
      </w:r>
      <w:r w:rsidR="009722D0" w:rsidRPr="009722D0">
        <w:rPr>
          <w:lang w:eastAsia="zh-CN"/>
        </w:rPr>
        <w:t xml:space="preserve"> </w:t>
      </w:r>
      <w:r w:rsidR="009722D0" w:rsidRPr="00FA317F">
        <w:rPr>
          <w:lang w:eastAsia="zh-CN"/>
        </w:rPr>
        <w:t xml:space="preserve">in </w:t>
      </w:r>
      <w:r w:rsidR="000D2619">
        <w:rPr>
          <w:lang w:eastAsia="zh-CN"/>
        </w:rPr>
        <w:t xml:space="preserve">the </w:t>
      </w:r>
      <w:proofErr w:type="spellStart"/>
      <w:r w:rsidR="000D2619">
        <w:rPr>
          <w:lang w:eastAsia="zh-CN"/>
        </w:rPr>
        <w:t>Glaeser</w:t>
      </w:r>
      <w:proofErr w:type="spellEnd"/>
      <w:r w:rsidR="000D2619">
        <w:rPr>
          <w:lang w:eastAsia="zh-CN"/>
        </w:rPr>
        <w:t xml:space="preserve"> et al. model,</w:t>
      </w:r>
      <w:r w:rsidR="0051175D" w:rsidRPr="00FA317F">
        <w:rPr>
          <w:lang w:eastAsia="zh-CN"/>
        </w:rPr>
        <w:t xml:space="preserve"> it can be noted that </w:t>
      </w:r>
      <w:r w:rsidR="00613415" w:rsidRPr="00FA317F">
        <w:rPr>
          <w:lang w:eastAsia="zh-CN"/>
        </w:rPr>
        <w:t xml:space="preserve">the coefficient of </w:t>
      </w:r>
      <w:r w:rsidR="009722D0">
        <w:rPr>
          <w:lang w:eastAsia="zh-CN"/>
        </w:rPr>
        <w:t>competition</w:t>
      </w:r>
      <w:r w:rsidR="007B508B" w:rsidRPr="00FA317F">
        <w:rPr>
          <w:lang w:eastAsia="zh-CN"/>
        </w:rPr>
        <w:t xml:space="preserve"> </w:t>
      </w:r>
      <w:r w:rsidR="00613415" w:rsidRPr="00FA317F">
        <w:rPr>
          <w:lang w:eastAsia="zh-CN"/>
        </w:rPr>
        <w:t xml:space="preserve">is positive and </w:t>
      </w:r>
      <w:r w:rsidR="000A63F0" w:rsidRPr="00FA317F">
        <w:rPr>
          <w:lang w:eastAsia="zh-CN"/>
        </w:rPr>
        <w:t xml:space="preserve">statistically </w:t>
      </w:r>
      <w:r w:rsidR="00613415" w:rsidRPr="00FA317F">
        <w:rPr>
          <w:lang w:eastAsia="zh-CN"/>
        </w:rPr>
        <w:t>significant</w:t>
      </w:r>
      <w:r w:rsidR="0040333D" w:rsidRPr="00FA317F">
        <w:rPr>
          <w:lang w:eastAsia="zh-CN"/>
        </w:rPr>
        <w:t>. This result corroborates with both Porter and Jacobs</w:t>
      </w:r>
      <w:r w:rsidR="00C40142" w:rsidRPr="00FA317F">
        <w:rPr>
          <w:lang w:eastAsia="zh-CN"/>
        </w:rPr>
        <w:t>’</w:t>
      </w:r>
      <w:r w:rsidR="0040333D" w:rsidRPr="00FA317F">
        <w:rPr>
          <w:lang w:eastAsia="zh-CN"/>
        </w:rPr>
        <w:t xml:space="preserve"> externalities</w:t>
      </w:r>
      <w:r w:rsidR="0051175D" w:rsidRPr="00FA317F">
        <w:rPr>
          <w:lang w:eastAsia="zh-CN"/>
        </w:rPr>
        <w:t xml:space="preserve">. </w:t>
      </w:r>
      <w:r w:rsidR="000D2619">
        <w:rPr>
          <w:lang w:eastAsia="zh-CN"/>
        </w:rPr>
        <w:t>The</w:t>
      </w:r>
      <w:r w:rsidR="0051175D" w:rsidRPr="00FA317F">
        <w:rPr>
          <w:lang w:eastAsia="zh-CN"/>
        </w:rPr>
        <w:t xml:space="preserve"> coefficient on </w:t>
      </w:r>
      <w:r w:rsidR="009722D0">
        <w:rPr>
          <w:lang w:eastAsia="zh-CN"/>
        </w:rPr>
        <w:t>distance</w:t>
      </w:r>
      <w:r w:rsidR="0051175D" w:rsidRPr="00FA317F">
        <w:rPr>
          <w:lang w:eastAsia="zh-CN"/>
        </w:rPr>
        <w:t xml:space="preserve"> </w:t>
      </w:r>
      <w:r w:rsidR="008B7953" w:rsidRPr="00FA317F">
        <w:rPr>
          <w:lang w:eastAsia="zh-CN"/>
        </w:rPr>
        <w:t>i</w:t>
      </w:r>
      <w:r w:rsidR="00B7207A" w:rsidRPr="00FA317F">
        <w:rPr>
          <w:lang w:eastAsia="zh-CN"/>
        </w:rPr>
        <w:t xml:space="preserve">s </w:t>
      </w:r>
      <w:r w:rsidR="0051175D" w:rsidRPr="00FA317F">
        <w:rPr>
          <w:lang w:eastAsia="zh-CN"/>
        </w:rPr>
        <w:t xml:space="preserve">insignificantly different from zero </w:t>
      </w:r>
      <w:r w:rsidR="000D2619">
        <w:rPr>
          <w:lang w:eastAsia="zh-CN"/>
        </w:rPr>
        <w:t>suggesting</w:t>
      </w:r>
      <w:r w:rsidR="00D536F6" w:rsidRPr="00FA317F">
        <w:rPr>
          <w:lang w:eastAsia="zh-CN"/>
        </w:rPr>
        <w:t xml:space="preserve"> independence between distance </w:t>
      </w:r>
      <w:r w:rsidR="009722D0">
        <w:rPr>
          <w:lang w:eastAsia="zh-CN"/>
        </w:rPr>
        <w:t xml:space="preserve">from the </w:t>
      </w:r>
      <w:r w:rsidR="00B23899">
        <w:rPr>
          <w:lang w:eastAsia="zh-CN"/>
        </w:rPr>
        <w:t>largest market of</w:t>
      </w:r>
      <w:r w:rsidR="009722D0">
        <w:rPr>
          <w:lang w:eastAsia="zh-CN"/>
        </w:rPr>
        <w:t xml:space="preserve"> </w:t>
      </w:r>
      <w:r w:rsidR="009722D0">
        <w:t>São</w:t>
      </w:r>
      <w:r w:rsidR="009722D0">
        <w:rPr>
          <w:lang w:eastAsia="zh-CN"/>
        </w:rPr>
        <w:t xml:space="preserve"> Paulo </w:t>
      </w:r>
      <w:r w:rsidR="00D536F6" w:rsidRPr="00FA317F">
        <w:rPr>
          <w:lang w:eastAsia="zh-CN"/>
        </w:rPr>
        <w:t>and growt</w:t>
      </w:r>
      <w:r w:rsidR="009722D0">
        <w:rPr>
          <w:lang w:eastAsia="zh-CN"/>
        </w:rPr>
        <w:t>h.</w:t>
      </w:r>
      <w:r w:rsidR="00262D9A" w:rsidRPr="00FA317F">
        <w:rPr>
          <w:rStyle w:val="FootnoteReference"/>
          <w:lang w:eastAsia="zh-CN"/>
        </w:rPr>
        <w:footnoteReference w:id="7"/>
      </w:r>
      <w:r w:rsidR="00613415" w:rsidRPr="00FA317F">
        <w:rPr>
          <w:lang w:eastAsia="zh-CN"/>
        </w:rPr>
        <w:t xml:space="preserve"> </w:t>
      </w:r>
      <w:r w:rsidR="0051175D" w:rsidRPr="00FA317F">
        <w:rPr>
          <w:lang w:eastAsia="zh-CN"/>
        </w:rPr>
        <w:t>Finally</w:t>
      </w:r>
      <w:r w:rsidR="00613415" w:rsidRPr="00FA317F">
        <w:rPr>
          <w:lang w:eastAsia="zh-CN"/>
        </w:rPr>
        <w:t xml:space="preserve">, </w:t>
      </w:r>
      <w:r w:rsidR="00224D28" w:rsidRPr="00FA317F">
        <w:rPr>
          <w:lang w:eastAsia="zh-CN"/>
        </w:rPr>
        <w:t xml:space="preserve">the coefficient of </w:t>
      </w:r>
      <w:r w:rsidR="00FC68F3">
        <w:rPr>
          <w:lang w:eastAsia="zh-CN"/>
        </w:rPr>
        <w:t>the literacy rate</w:t>
      </w:r>
      <w:r w:rsidR="00224D28" w:rsidRPr="00FA317F">
        <w:rPr>
          <w:lang w:eastAsia="zh-CN"/>
        </w:rPr>
        <w:t xml:space="preserve"> </w:t>
      </w:r>
      <w:r w:rsidR="008B7953" w:rsidRPr="00FA317F">
        <w:rPr>
          <w:lang w:eastAsia="zh-CN"/>
        </w:rPr>
        <w:t>is</w:t>
      </w:r>
      <w:r w:rsidR="00224D28" w:rsidRPr="00FA317F">
        <w:rPr>
          <w:lang w:eastAsia="zh-CN"/>
        </w:rPr>
        <w:t xml:space="preserve"> positive a</w:t>
      </w:r>
      <w:r w:rsidR="0040333D" w:rsidRPr="00FA317F">
        <w:rPr>
          <w:lang w:eastAsia="zh-CN"/>
        </w:rPr>
        <w:t xml:space="preserve">s </w:t>
      </w:r>
      <w:r w:rsidR="00224D28" w:rsidRPr="00FA317F">
        <w:rPr>
          <w:lang w:eastAsia="zh-CN"/>
        </w:rPr>
        <w:t>expected</w:t>
      </w:r>
      <w:r w:rsidR="006F5DDE" w:rsidRPr="00FA317F">
        <w:rPr>
          <w:lang w:eastAsia="zh-CN"/>
        </w:rPr>
        <w:t xml:space="preserve"> and </w:t>
      </w:r>
      <w:r w:rsidR="002F7024" w:rsidRPr="00FA317F">
        <w:rPr>
          <w:lang w:eastAsia="zh-CN"/>
        </w:rPr>
        <w:t>also s</w:t>
      </w:r>
      <w:r w:rsidR="00224D28" w:rsidRPr="00FA317F">
        <w:rPr>
          <w:lang w:eastAsia="zh-CN"/>
        </w:rPr>
        <w:t>tatistically significant</w:t>
      </w:r>
      <w:r w:rsidR="00FC68F3">
        <w:rPr>
          <w:lang w:eastAsia="zh-CN"/>
        </w:rPr>
        <w:t xml:space="preserve">. Hence </w:t>
      </w:r>
      <w:r w:rsidR="000D2619">
        <w:rPr>
          <w:lang w:eastAsia="zh-CN"/>
        </w:rPr>
        <w:t xml:space="preserve">spatial variation in the </w:t>
      </w:r>
      <w:r w:rsidR="006B37A9" w:rsidRPr="00FA317F">
        <w:rPr>
          <w:lang w:eastAsia="zh-CN"/>
        </w:rPr>
        <w:t>litera</w:t>
      </w:r>
      <w:r w:rsidR="002F7024" w:rsidRPr="00FA317F">
        <w:rPr>
          <w:lang w:eastAsia="zh-CN"/>
        </w:rPr>
        <w:t xml:space="preserve">cy </w:t>
      </w:r>
      <w:r w:rsidR="00224D28" w:rsidRPr="00FA317F">
        <w:rPr>
          <w:lang w:eastAsia="zh-CN"/>
        </w:rPr>
        <w:t>rate</w:t>
      </w:r>
      <w:r w:rsidR="008B7953" w:rsidRPr="00FA317F">
        <w:rPr>
          <w:lang w:eastAsia="zh-CN"/>
        </w:rPr>
        <w:t xml:space="preserve"> is positively correlated with </w:t>
      </w:r>
      <w:r w:rsidR="00224D28" w:rsidRPr="00FA317F">
        <w:rPr>
          <w:lang w:eastAsia="zh-CN"/>
        </w:rPr>
        <w:t>e</w:t>
      </w:r>
      <w:r w:rsidR="00ED0E00" w:rsidRPr="00FA317F">
        <w:rPr>
          <w:lang w:eastAsia="zh-CN"/>
        </w:rPr>
        <w:t xml:space="preserve">mployment </w:t>
      </w:r>
      <w:r w:rsidR="006B37A9" w:rsidRPr="00FA317F">
        <w:rPr>
          <w:lang w:eastAsia="zh-CN"/>
        </w:rPr>
        <w:t>growth.</w:t>
      </w:r>
    </w:p>
    <w:p w:rsidR="00DB5E8D" w:rsidRPr="00FA317F" w:rsidRDefault="00DB5E8D" w:rsidP="00A24B44">
      <w:pPr>
        <w:tabs>
          <w:tab w:val="left" w:pos="567"/>
        </w:tabs>
        <w:autoSpaceDE w:val="0"/>
        <w:autoSpaceDN w:val="0"/>
        <w:adjustRightInd w:val="0"/>
        <w:spacing w:line="276" w:lineRule="auto"/>
        <w:jc w:val="both"/>
        <w:rPr>
          <w:lang w:eastAsia="zh-CN"/>
        </w:rPr>
      </w:pPr>
    </w:p>
    <w:p w:rsidR="007346BB" w:rsidRDefault="005F13BC" w:rsidP="00877A16">
      <w:pPr>
        <w:tabs>
          <w:tab w:val="left" w:pos="426"/>
        </w:tabs>
        <w:autoSpaceDE w:val="0"/>
        <w:autoSpaceDN w:val="0"/>
        <w:adjustRightInd w:val="0"/>
        <w:spacing w:line="276" w:lineRule="auto"/>
        <w:jc w:val="both"/>
        <w:rPr>
          <w:color w:val="000000"/>
          <w:lang w:eastAsia="zh-CN"/>
        </w:rPr>
      </w:pPr>
      <w:r>
        <w:rPr>
          <w:lang w:eastAsia="zh-CN"/>
        </w:rPr>
        <w:tab/>
      </w:r>
      <w:r w:rsidR="000D2619">
        <w:rPr>
          <w:lang w:eastAsia="zh-CN"/>
        </w:rPr>
        <w:t xml:space="preserve">The </w:t>
      </w:r>
      <w:proofErr w:type="spellStart"/>
      <w:r w:rsidR="000D2619">
        <w:rPr>
          <w:lang w:eastAsia="zh-CN"/>
        </w:rPr>
        <w:t>Combes</w:t>
      </w:r>
      <w:proofErr w:type="spellEnd"/>
      <w:r w:rsidR="000D2619">
        <w:rPr>
          <w:lang w:eastAsia="zh-CN"/>
        </w:rPr>
        <w:t xml:space="preserve"> model in </w:t>
      </w:r>
      <w:r w:rsidR="00FC68F3">
        <w:rPr>
          <w:lang w:eastAsia="zh-CN"/>
        </w:rPr>
        <w:t>T</w:t>
      </w:r>
      <w:r w:rsidR="00ED0E00" w:rsidRPr="00FA317F">
        <w:rPr>
          <w:lang w:eastAsia="zh-CN"/>
        </w:rPr>
        <w:t xml:space="preserve">able </w:t>
      </w:r>
      <w:r w:rsidR="008E2D25">
        <w:rPr>
          <w:lang w:eastAsia="zh-CN"/>
        </w:rPr>
        <w:t>4</w:t>
      </w:r>
      <w:r w:rsidR="00ED0E00" w:rsidRPr="00FA317F">
        <w:rPr>
          <w:lang w:eastAsia="zh-CN"/>
        </w:rPr>
        <w:t xml:space="preserve"> </w:t>
      </w:r>
      <w:r w:rsidR="000D2619">
        <w:rPr>
          <w:lang w:eastAsia="zh-CN"/>
        </w:rPr>
        <w:t>refers to the specification of</w:t>
      </w:r>
      <w:r w:rsidR="00FC68F3">
        <w:rPr>
          <w:lang w:eastAsia="zh-CN"/>
        </w:rPr>
        <w:t xml:space="preserve"> </w:t>
      </w:r>
      <w:proofErr w:type="spellStart"/>
      <w:r w:rsidR="00FC68F3">
        <w:rPr>
          <w:lang w:eastAsia="zh-CN"/>
        </w:rPr>
        <w:t>Combes</w:t>
      </w:r>
      <w:proofErr w:type="spellEnd"/>
      <w:r w:rsidR="00FC68F3">
        <w:rPr>
          <w:lang w:eastAsia="zh-CN"/>
        </w:rPr>
        <w:t xml:space="preserve"> (2000). The </w:t>
      </w:r>
      <w:r w:rsidR="00131A84" w:rsidRPr="00FA317F">
        <w:rPr>
          <w:lang w:eastAsia="zh-CN"/>
        </w:rPr>
        <w:t>dependent variable</w:t>
      </w:r>
      <w:r w:rsidR="0019446B" w:rsidRPr="00FA317F">
        <w:rPr>
          <w:lang w:eastAsia="zh-CN"/>
        </w:rPr>
        <w:t xml:space="preserve"> </w:t>
      </w:r>
      <w:r w:rsidR="00FC68F3">
        <w:rPr>
          <w:lang w:eastAsia="zh-CN"/>
        </w:rPr>
        <w:t xml:space="preserve">is </w:t>
      </w:r>
      <w:r w:rsidR="0019446B" w:rsidRPr="00FA317F">
        <w:rPr>
          <w:lang w:eastAsia="zh-CN"/>
        </w:rPr>
        <w:t>manufacturing industry employment growth</w:t>
      </w:r>
      <w:r w:rsidR="008854A0">
        <w:rPr>
          <w:lang w:eastAsia="zh-CN"/>
        </w:rPr>
        <w:t>,</w:t>
      </w:r>
      <w:r w:rsidR="00131A84" w:rsidRPr="00FA317F">
        <w:rPr>
          <w:lang w:eastAsia="zh-CN"/>
        </w:rPr>
        <w:t xml:space="preserve"> VDEP2</w:t>
      </w:r>
      <w:r w:rsidR="00FC68F3">
        <w:rPr>
          <w:lang w:eastAsia="zh-CN"/>
        </w:rPr>
        <w:t>. The</w:t>
      </w:r>
      <w:r w:rsidR="0019446B" w:rsidRPr="00FA317F">
        <w:rPr>
          <w:lang w:eastAsia="zh-CN"/>
        </w:rPr>
        <w:t xml:space="preserve"> independent variables </w:t>
      </w:r>
      <w:r w:rsidR="000D2619">
        <w:rPr>
          <w:lang w:eastAsia="zh-CN"/>
        </w:rPr>
        <w:t xml:space="preserve">are </w:t>
      </w:r>
      <w:r w:rsidR="0019446B" w:rsidRPr="00FA317F">
        <w:rPr>
          <w:lang w:eastAsia="zh-CN"/>
        </w:rPr>
        <w:t xml:space="preserve">similar to those of </w:t>
      </w:r>
      <w:r w:rsidR="000D2619">
        <w:rPr>
          <w:lang w:eastAsia="zh-CN"/>
        </w:rPr>
        <w:t xml:space="preserve">the </w:t>
      </w:r>
      <w:proofErr w:type="spellStart"/>
      <w:r w:rsidR="000D2619">
        <w:rPr>
          <w:lang w:eastAsia="zh-CN"/>
        </w:rPr>
        <w:t>Glaeser</w:t>
      </w:r>
      <w:proofErr w:type="spellEnd"/>
      <w:r w:rsidR="000D2619">
        <w:rPr>
          <w:lang w:eastAsia="zh-CN"/>
        </w:rPr>
        <w:t xml:space="preserve"> et al. model</w:t>
      </w:r>
      <w:r w:rsidR="0019446B" w:rsidRPr="00FA317F">
        <w:rPr>
          <w:lang w:eastAsia="zh-CN"/>
        </w:rPr>
        <w:t xml:space="preserve">; however, </w:t>
      </w:r>
      <w:r w:rsidR="00FC68F3">
        <w:rPr>
          <w:lang w:eastAsia="zh-CN"/>
        </w:rPr>
        <w:t xml:space="preserve">natural </w:t>
      </w:r>
      <w:r w:rsidR="0019446B" w:rsidRPr="00FA317F">
        <w:rPr>
          <w:lang w:eastAsia="zh-CN"/>
        </w:rPr>
        <w:t>logarithm</w:t>
      </w:r>
      <w:r w:rsidR="00FC68F3">
        <w:rPr>
          <w:lang w:eastAsia="zh-CN"/>
        </w:rPr>
        <w:t>s</w:t>
      </w:r>
      <w:r w:rsidR="0019446B" w:rsidRPr="00FA317F">
        <w:rPr>
          <w:lang w:eastAsia="zh-CN"/>
        </w:rPr>
        <w:t xml:space="preserve"> </w:t>
      </w:r>
      <w:r w:rsidR="00FC68F3">
        <w:rPr>
          <w:lang w:eastAsia="zh-CN"/>
        </w:rPr>
        <w:t>have been</w:t>
      </w:r>
      <w:r w:rsidR="0019446B" w:rsidRPr="00FA317F">
        <w:rPr>
          <w:lang w:eastAsia="zh-CN"/>
        </w:rPr>
        <w:t xml:space="preserve"> </w:t>
      </w:r>
      <w:r w:rsidR="00FC68F3">
        <w:rPr>
          <w:lang w:eastAsia="zh-CN"/>
        </w:rPr>
        <w:t>taken.</w:t>
      </w:r>
      <w:r w:rsidR="00DF0F2A">
        <w:rPr>
          <w:rStyle w:val="FootnoteReference"/>
          <w:lang w:eastAsia="zh-CN"/>
        </w:rPr>
        <w:t xml:space="preserve"> </w:t>
      </w:r>
      <w:r w:rsidR="00AC23DA" w:rsidRPr="00FA317F">
        <w:rPr>
          <w:lang w:eastAsia="zh-CN"/>
        </w:rPr>
        <w:t xml:space="preserve">The results </w:t>
      </w:r>
      <w:r w:rsidR="006917EF" w:rsidRPr="00FA317F">
        <w:rPr>
          <w:lang w:eastAsia="zh-CN"/>
        </w:rPr>
        <w:t>indicate that t</w:t>
      </w:r>
      <w:r w:rsidR="007346BB" w:rsidRPr="00FA317F">
        <w:rPr>
          <w:lang w:eastAsia="zh-CN"/>
        </w:rPr>
        <w:t xml:space="preserve">he </w:t>
      </w:r>
      <w:r w:rsidR="00013F07" w:rsidRPr="00FA317F">
        <w:rPr>
          <w:lang w:eastAsia="zh-CN"/>
        </w:rPr>
        <w:t xml:space="preserve">coefficient of </w:t>
      </w:r>
      <w:r w:rsidR="00E37FD1">
        <w:rPr>
          <w:color w:val="000000"/>
          <w:lang w:eastAsia="zh-CN"/>
        </w:rPr>
        <w:t>competition</w:t>
      </w:r>
      <w:r w:rsidR="00013F07" w:rsidRPr="00FA317F">
        <w:rPr>
          <w:color w:val="000000"/>
          <w:lang w:eastAsia="zh-CN"/>
        </w:rPr>
        <w:t xml:space="preserve"> </w:t>
      </w:r>
      <w:r w:rsidR="00131A84" w:rsidRPr="00FA317F">
        <w:rPr>
          <w:color w:val="000000"/>
          <w:lang w:eastAsia="zh-CN"/>
        </w:rPr>
        <w:t xml:space="preserve">is </w:t>
      </w:r>
      <w:r w:rsidR="00FC68F3">
        <w:rPr>
          <w:color w:val="000000"/>
          <w:lang w:eastAsia="zh-CN"/>
        </w:rPr>
        <w:t xml:space="preserve">again </w:t>
      </w:r>
      <w:r w:rsidR="00131A84" w:rsidRPr="00FA317F">
        <w:rPr>
          <w:color w:val="000000"/>
          <w:lang w:eastAsia="zh-CN"/>
        </w:rPr>
        <w:t>positive and</w:t>
      </w:r>
      <w:r w:rsidR="007346BB" w:rsidRPr="00FA317F">
        <w:rPr>
          <w:color w:val="000000"/>
          <w:lang w:eastAsia="zh-CN"/>
        </w:rPr>
        <w:t xml:space="preserve"> statistically </w:t>
      </w:r>
      <w:r w:rsidR="00131A84" w:rsidRPr="00FA317F">
        <w:rPr>
          <w:color w:val="000000"/>
          <w:lang w:eastAsia="zh-CN"/>
        </w:rPr>
        <w:t xml:space="preserve">significant, </w:t>
      </w:r>
      <w:r w:rsidR="00013F07" w:rsidRPr="00FA317F">
        <w:rPr>
          <w:color w:val="000000"/>
          <w:lang w:eastAsia="zh-CN"/>
        </w:rPr>
        <w:t>support</w:t>
      </w:r>
      <w:r w:rsidR="00131A84" w:rsidRPr="00FA317F">
        <w:rPr>
          <w:color w:val="000000"/>
          <w:lang w:eastAsia="zh-CN"/>
        </w:rPr>
        <w:t xml:space="preserve">ing </w:t>
      </w:r>
      <w:r w:rsidR="007346BB" w:rsidRPr="00FA317F">
        <w:rPr>
          <w:color w:val="000000"/>
          <w:lang w:eastAsia="zh-CN"/>
        </w:rPr>
        <w:t xml:space="preserve">both </w:t>
      </w:r>
      <w:r w:rsidR="00013F07" w:rsidRPr="00FA317F">
        <w:rPr>
          <w:color w:val="000000"/>
          <w:lang w:eastAsia="zh-CN"/>
        </w:rPr>
        <w:t>Porter and Jacobs</w:t>
      </w:r>
      <w:r w:rsidR="00AC23DA" w:rsidRPr="00FA317F">
        <w:rPr>
          <w:color w:val="000000"/>
          <w:lang w:eastAsia="zh-CN"/>
        </w:rPr>
        <w:t>’</w:t>
      </w:r>
      <w:r w:rsidR="007346BB" w:rsidRPr="00FA317F">
        <w:rPr>
          <w:color w:val="000000"/>
          <w:lang w:eastAsia="zh-CN"/>
        </w:rPr>
        <w:t xml:space="preserve"> externalities</w:t>
      </w:r>
      <w:r w:rsidR="00FC68F3">
        <w:rPr>
          <w:color w:val="000000"/>
          <w:lang w:eastAsia="zh-CN"/>
        </w:rPr>
        <w:t xml:space="preserve">. Moreover, </w:t>
      </w:r>
      <w:r w:rsidR="003D7250" w:rsidRPr="00FA317F">
        <w:rPr>
          <w:color w:val="000000"/>
          <w:lang w:eastAsia="zh-CN"/>
        </w:rPr>
        <w:t>the coefficient</w:t>
      </w:r>
      <w:r w:rsidR="00FC68F3">
        <w:rPr>
          <w:color w:val="000000"/>
          <w:lang w:eastAsia="zh-CN"/>
        </w:rPr>
        <w:t>s</w:t>
      </w:r>
      <w:r w:rsidR="003D7250" w:rsidRPr="00FA317F">
        <w:rPr>
          <w:color w:val="000000"/>
          <w:lang w:eastAsia="zh-CN"/>
        </w:rPr>
        <w:t xml:space="preserve"> of </w:t>
      </w:r>
      <w:r w:rsidR="00FC68F3">
        <w:rPr>
          <w:color w:val="000000"/>
          <w:lang w:eastAsia="zh-CN"/>
        </w:rPr>
        <w:t>distance</w:t>
      </w:r>
      <w:r w:rsidR="003D7250" w:rsidRPr="00FA317F">
        <w:rPr>
          <w:color w:val="000000"/>
          <w:lang w:eastAsia="zh-CN"/>
        </w:rPr>
        <w:t xml:space="preserve"> </w:t>
      </w:r>
      <w:r w:rsidR="00FC68F3">
        <w:rPr>
          <w:color w:val="000000"/>
          <w:lang w:eastAsia="zh-CN"/>
        </w:rPr>
        <w:t xml:space="preserve">from </w:t>
      </w:r>
      <w:r w:rsidR="00FC68F3">
        <w:t>São</w:t>
      </w:r>
      <w:r w:rsidR="00FC68F3">
        <w:rPr>
          <w:lang w:eastAsia="zh-CN"/>
        </w:rPr>
        <w:t xml:space="preserve"> Paulo </w:t>
      </w:r>
      <w:r w:rsidR="003D7250" w:rsidRPr="00FA317F">
        <w:rPr>
          <w:color w:val="000000"/>
          <w:lang w:eastAsia="zh-CN"/>
        </w:rPr>
        <w:t xml:space="preserve">and </w:t>
      </w:r>
      <w:r w:rsidR="00FC68F3">
        <w:rPr>
          <w:color w:val="000000"/>
          <w:lang w:eastAsia="zh-CN"/>
        </w:rPr>
        <w:t>the literacy rate</w:t>
      </w:r>
      <w:r w:rsidR="003D7250" w:rsidRPr="00FA317F">
        <w:rPr>
          <w:color w:val="000000"/>
          <w:lang w:eastAsia="zh-CN"/>
        </w:rPr>
        <w:t xml:space="preserve"> </w:t>
      </w:r>
      <w:r w:rsidR="00FC68F3">
        <w:rPr>
          <w:color w:val="000000"/>
          <w:lang w:eastAsia="zh-CN"/>
        </w:rPr>
        <w:t>are</w:t>
      </w:r>
      <w:r w:rsidR="003D7250" w:rsidRPr="00FA317F">
        <w:rPr>
          <w:color w:val="000000"/>
          <w:lang w:eastAsia="zh-CN"/>
        </w:rPr>
        <w:t xml:space="preserve"> also positive and statistically significant</w:t>
      </w:r>
      <w:r w:rsidR="00FC68F3">
        <w:rPr>
          <w:color w:val="000000"/>
          <w:lang w:eastAsia="zh-CN"/>
        </w:rPr>
        <w:t>.</w:t>
      </w:r>
    </w:p>
    <w:p w:rsidR="00DB5E8D" w:rsidRPr="00FA317F" w:rsidRDefault="00DB5E8D" w:rsidP="00877A16">
      <w:pPr>
        <w:tabs>
          <w:tab w:val="left" w:pos="426"/>
        </w:tabs>
        <w:autoSpaceDE w:val="0"/>
        <w:autoSpaceDN w:val="0"/>
        <w:adjustRightInd w:val="0"/>
        <w:spacing w:line="276" w:lineRule="auto"/>
        <w:jc w:val="both"/>
        <w:rPr>
          <w:lang w:eastAsia="zh-CN"/>
        </w:rPr>
      </w:pPr>
    </w:p>
    <w:p w:rsidR="00E9622C" w:rsidRDefault="00FC68F3" w:rsidP="00877A16">
      <w:pPr>
        <w:pStyle w:val="ListParagraph"/>
        <w:tabs>
          <w:tab w:val="left" w:pos="426"/>
        </w:tabs>
        <w:spacing w:line="276" w:lineRule="auto"/>
        <w:ind w:left="0"/>
        <w:jc w:val="both"/>
      </w:pPr>
      <w:r>
        <w:rPr>
          <w:lang w:eastAsia="zh-CN"/>
        </w:rPr>
        <w:lastRenderedPageBreak/>
        <w:tab/>
      </w:r>
      <w:r w:rsidR="00DF0F2A">
        <w:rPr>
          <w:lang w:eastAsia="zh-CN"/>
        </w:rPr>
        <w:t>All</w:t>
      </w:r>
      <w:r w:rsidR="00A34B75" w:rsidRPr="00FA317F">
        <w:rPr>
          <w:lang w:eastAsia="zh-CN"/>
        </w:rPr>
        <w:t xml:space="preserve"> cross-section models have </w:t>
      </w:r>
      <w:r w:rsidR="00521F5A" w:rsidRPr="00FA317F">
        <w:rPr>
          <w:lang w:eastAsia="zh-CN"/>
        </w:rPr>
        <w:t xml:space="preserve">high </w:t>
      </w:r>
      <w:r>
        <w:rPr>
          <w:lang w:eastAsia="zh-CN"/>
        </w:rPr>
        <w:t xml:space="preserve">explanatory power: </w:t>
      </w:r>
      <w:r w:rsidR="00AE4AD3" w:rsidRPr="00FA317F">
        <w:rPr>
          <w:lang w:eastAsia="zh-CN"/>
        </w:rPr>
        <w:t>t</w:t>
      </w:r>
      <w:r w:rsidR="00A34B75" w:rsidRPr="00FA317F">
        <w:rPr>
          <w:lang w:eastAsia="zh-CN"/>
        </w:rPr>
        <w:t xml:space="preserve">he </w:t>
      </w:r>
      <w:r>
        <w:rPr>
          <w:lang w:eastAsia="zh-CN"/>
        </w:rPr>
        <w:t>a</w:t>
      </w:r>
      <w:r w:rsidR="00A34B75" w:rsidRPr="00FA317F">
        <w:rPr>
          <w:lang w:eastAsia="zh-CN"/>
        </w:rPr>
        <w:t>djusted</w:t>
      </w:r>
      <w:r>
        <w:rPr>
          <w:lang w:eastAsia="zh-CN"/>
        </w:rPr>
        <w:t xml:space="preserve"> </w:t>
      </w:r>
      <w:r w:rsidR="00A34B75" w:rsidRPr="00FA317F">
        <w:rPr>
          <w:lang w:eastAsia="zh-CN"/>
        </w:rPr>
        <w:t>R</w:t>
      </w:r>
      <w:r w:rsidR="00A34B75" w:rsidRPr="00FA317F">
        <w:rPr>
          <w:vertAlign w:val="superscript"/>
          <w:lang w:eastAsia="zh-CN"/>
        </w:rPr>
        <w:t>2</w:t>
      </w:r>
      <w:r w:rsidR="00A34B75" w:rsidRPr="00FA317F">
        <w:rPr>
          <w:lang w:eastAsia="zh-CN"/>
        </w:rPr>
        <w:t xml:space="preserve"> </w:t>
      </w:r>
      <w:r w:rsidR="00DF0F2A">
        <w:rPr>
          <w:lang w:eastAsia="zh-CN"/>
        </w:rPr>
        <w:t xml:space="preserve">are </w:t>
      </w:r>
      <w:r w:rsidR="00A34B75" w:rsidRPr="00FA317F">
        <w:rPr>
          <w:lang w:eastAsia="zh-CN"/>
        </w:rPr>
        <w:t>0.</w:t>
      </w:r>
      <w:r w:rsidR="00F678C3" w:rsidRPr="00FA317F">
        <w:rPr>
          <w:lang w:eastAsia="zh-CN"/>
        </w:rPr>
        <w:t>7524</w:t>
      </w:r>
      <w:r w:rsidR="00DF0F2A">
        <w:rPr>
          <w:lang w:eastAsia="zh-CN"/>
        </w:rPr>
        <w:t xml:space="preserve"> and</w:t>
      </w:r>
      <w:r w:rsidR="00A34B75" w:rsidRPr="00FA317F">
        <w:rPr>
          <w:color w:val="000000"/>
          <w:lang w:eastAsia="zh-CN"/>
        </w:rPr>
        <w:t xml:space="preserve"> 0.</w:t>
      </w:r>
      <w:r w:rsidR="00F678C3" w:rsidRPr="00FA317F">
        <w:rPr>
          <w:color w:val="000000"/>
          <w:lang w:eastAsia="zh-CN"/>
        </w:rPr>
        <w:t>7306</w:t>
      </w:r>
      <w:r w:rsidR="00DF0F2A">
        <w:rPr>
          <w:color w:val="000000"/>
          <w:lang w:eastAsia="zh-CN"/>
        </w:rPr>
        <w:t xml:space="preserve"> respectively</w:t>
      </w:r>
      <w:r w:rsidR="007364D1" w:rsidRPr="00FA317F">
        <w:rPr>
          <w:color w:val="000000"/>
          <w:lang w:eastAsia="zh-CN"/>
        </w:rPr>
        <w:t>.</w:t>
      </w:r>
      <w:r>
        <w:t xml:space="preserve"> However, there are only 26 observations for each regression equation.</w:t>
      </w:r>
      <w:r w:rsidR="006B37A9" w:rsidRPr="00FA317F">
        <w:rPr>
          <w:lang w:eastAsia="zh-CN"/>
        </w:rPr>
        <w:t xml:space="preserve"> </w:t>
      </w:r>
      <w:r w:rsidR="00E9622C" w:rsidRPr="00FA317F">
        <w:t xml:space="preserve">Our cross-section models are comparable with previous studies. </w:t>
      </w:r>
      <w:r w:rsidR="007E5278" w:rsidRPr="00FA317F">
        <w:t>W</w:t>
      </w:r>
      <w:r w:rsidR="00E9622C" w:rsidRPr="00FA317F">
        <w:t xml:space="preserve">e consider </w:t>
      </w:r>
      <w:r w:rsidR="00B76C3E">
        <w:t xml:space="preserve">the </w:t>
      </w:r>
      <w:r w:rsidR="00E9622C" w:rsidRPr="00FA317F">
        <w:t xml:space="preserve">findings that are simultaneously significant in the present paper and in the previous seminal papers </w:t>
      </w:r>
      <w:r w:rsidR="00B76C3E">
        <w:t xml:space="preserve">by </w:t>
      </w:r>
      <w:proofErr w:type="spellStart"/>
      <w:r w:rsidR="00E9622C" w:rsidRPr="00FA317F">
        <w:t>Glaeser</w:t>
      </w:r>
      <w:proofErr w:type="spellEnd"/>
      <w:r w:rsidR="00E9622C" w:rsidRPr="00FA317F">
        <w:t xml:space="preserve"> </w:t>
      </w:r>
      <w:r w:rsidR="00E9622C" w:rsidRPr="00FA317F">
        <w:rPr>
          <w:i/>
          <w:iCs/>
        </w:rPr>
        <w:t>et al</w:t>
      </w:r>
      <w:r w:rsidR="00E9622C" w:rsidRPr="00FA317F">
        <w:t>.</w:t>
      </w:r>
      <w:r w:rsidR="00B76C3E">
        <w:t xml:space="preserve"> (</w:t>
      </w:r>
      <w:r w:rsidR="00E9622C" w:rsidRPr="00FA317F">
        <w:t>1992</w:t>
      </w:r>
      <w:r w:rsidR="00B76C3E">
        <w:t>)</w:t>
      </w:r>
      <w:r w:rsidR="00E9622C" w:rsidRPr="00FA317F">
        <w:t xml:space="preserve"> for the USA and </w:t>
      </w:r>
      <w:r w:rsidR="00B76C3E">
        <w:t xml:space="preserve">by </w:t>
      </w:r>
      <w:proofErr w:type="spellStart"/>
      <w:r w:rsidR="00E9622C" w:rsidRPr="00FA317F">
        <w:t>Combes</w:t>
      </w:r>
      <w:proofErr w:type="spellEnd"/>
      <w:r w:rsidR="00B76C3E">
        <w:t xml:space="preserve"> (</w:t>
      </w:r>
      <w:r w:rsidR="00E9622C" w:rsidRPr="00FA317F">
        <w:t>2000</w:t>
      </w:r>
      <w:r w:rsidR="00B76C3E">
        <w:t xml:space="preserve">) for France. </w:t>
      </w:r>
      <w:proofErr w:type="spellStart"/>
      <w:r w:rsidR="00E9622C" w:rsidRPr="00FA317F">
        <w:t>Glaeser</w:t>
      </w:r>
      <w:proofErr w:type="spellEnd"/>
      <w:r w:rsidR="00E9622C" w:rsidRPr="00FA317F">
        <w:t xml:space="preserve"> </w:t>
      </w:r>
      <w:r w:rsidR="00E9622C" w:rsidRPr="00FA317F">
        <w:rPr>
          <w:i/>
          <w:iCs/>
        </w:rPr>
        <w:t>et al.</w:t>
      </w:r>
      <w:r w:rsidR="00E9622C" w:rsidRPr="00FA317F">
        <w:t xml:space="preserve"> (1992) </w:t>
      </w:r>
      <w:r w:rsidR="00B76C3E">
        <w:t>estimate</w:t>
      </w:r>
      <w:r w:rsidR="00E9622C" w:rsidRPr="00FA317F">
        <w:t xml:space="preserve"> three regression models in </w:t>
      </w:r>
      <w:r w:rsidR="004223AF">
        <w:t xml:space="preserve">city-industry in </w:t>
      </w:r>
      <w:r w:rsidR="00E9622C" w:rsidRPr="00FA317F">
        <w:t xml:space="preserve">which the dependent variable is </w:t>
      </w:r>
      <w:r w:rsidR="004223AF" w:rsidRPr="00FA317F">
        <w:t>1956</w:t>
      </w:r>
      <w:r w:rsidR="004223AF">
        <w:t>-</w:t>
      </w:r>
      <w:r w:rsidR="004223AF" w:rsidRPr="00FA317F">
        <w:t>1987</w:t>
      </w:r>
      <w:r w:rsidR="004223AF">
        <w:t xml:space="preserve"> </w:t>
      </w:r>
      <w:r w:rsidR="00E9622C" w:rsidRPr="00FA317F">
        <w:t xml:space="preserve">employment </w:t>
      </w:r>
      <w:r w:rsidR="004223AF">
        <w:t xml:space="preserve">growth, </w:t>
      </w:r>
      <w:r w:rsidR="004223AF" w:rsidRPr="00FA317F">
        <w:t>1956</w:t>
      </w:r>
      <w:r w:rsidR="004223AF">
        <w:t>-</w:t>
      </w:r>
      <w:r w:rsidR="004223AF" w:rsidRPr="00FA317F">
        <w:t>1987</w:t>
      </w:r>
      <w:r w:rsidR="004223AF">
        <w:t xml:space="preserve"> </w:t>
      </w:r>
      <w:r w:rsidR="00E9622C" w:rsidRPr="00FA317F">
        <w:t xml:space="preserve">wage </w:t>
      </w:r>
      <w:r w:rsidR="004223AF">
        <w:t xml:space="preserve">growth, </w:t>
      </w:r>
      <w:r w:rsidR="00E9622C" w:rsidRPr="00FA317F">
        <w:t xml:space="preserve">and </w:t>
      </w:r>
      <w:r w:rsidR="00B76C3E">
        <w:t>the</w:t>
      </w:r>
      <w:r w:rsidR="004223AF">
        <w:t xml:space="preserve"> </w:t>
      </w:r>
      <w:r w:rsidR="004223AF" w:rsidRPr="00FA317F">
        <w:t>1956</w:t>
      </w:r>
      <w:r w:rsidR="004223AF">
        <w:t>-</w:t>
      </w:r>
      <w:r w:rsidR="004223AF" w:rsidRPr="00FA317F">
        <w:t>1987</w:t>
      </w:r>
      <w:r w:rsidR="004223AF">
        <w:t xml:space="preserve"> </w:t>
      </w:r>
      <w:r w:rsidR="00E9622C" w:rsidRPr="00FA317F">
        <w:t xml:space="preserve">employment </w:t>
      </w:r>
      <w:r w:rsidR="004223AF">
        <w:t xml:space="preserve">growth </w:t>
      </w:r>
      <w:r w:rsidR="00B76C3E">
        <w:t>after excluding</w:t>
      </w:r>
      <w:r w:rsidR="00E9622C" w:rsidRPr="00FA317F">
        <w:t xml:space="preserve"> the four biggest industries. </w:t>
      </w:r>
    </w:p>
    <w:p w:rsidR="00DB5E8D" w:rsidRPr="00FA317F" w:rsidRDefault="00DB5E8D" w:rsidP="00877A16">
      <w:pPr>
        <w:pStyle w:val="ListParagraph"/>
        <w:tabs>
          <w:tab w:val="left" w:pos="426"/>
        </w:tabs>
        <w:spacing w:line="276" w:lineRule="auto"/>
        <w:ind w:left="0"/>
        <w:jc w:val="both"/>
        <w:rPr>
          <w:lang w:eastAsia="zh-CN"/>
        </w:rPr>
      </w:pPr>
    </w:p>
    <w:p w:rsidR="00E9622C" w:rsidRDefault="00E9622C" w:rsidP="00877A16">
      <w:pPr>
        <w:pStyle w:val="FootnoteText"/>
        <w:tabs>
          <w:tab w:val="left" w:pos="426"/>
        </w:tabs>
        <w:spacing w:line="276" w:lineRule="auto"/>
        <w:jc w:val="both"/>
        <w:rPr>
          <w:sz w:val="24"/>
          <w:szCs w:val="24"/>
        </w:rPr>
      </w:pPr>
      <w:r w:rsidRPr="00FA317F">
        <w:rPr>
          <w:sz w:val="24"/>
          <w:szCs w:val="24"/>
        </w:rPr>
        <w:tab/>
      </w:r>
      <w:r w:rsidR="007364D1" w:rsidRPr="00FA317F">
        <w:rPr>
          <w:sz w:val="24"/>
          <w:szCs w:val="24"/>
        </w:rPr>
        <w:t>W</w:t>
      </w:r>
      <w:r w:rsidRPr="00FA317F">
        <w:rPr>
          <w:sz w:val="24"/>
          <w:szCs w:val="24"/>
        </w:rPr>
        <w:t xml:space="preserve">e compare our results with those of </w:t>
      </w:r>
      <w:proofErr w:type="spellStart"/>
      <w:r w:rsidRPr="00FA317F">
        <w:rPr>
          <w:sz w:val="24"/>
          <w:szCs w:val="24"/>
        </w:rPr>
        <w:t>Glaeser</w:t>
      </w:r>
      <w:proofErr w:type="spellEnd"/>
      <w:r w:rsidRPr="00FA317F">
        <w:rPr>
          <w:sz w:val="24"/>
          <w:szCs w:val="24"/>
        </w:rPr>
        <w:t xml:space="preserve"> </w:t>
      </w:r>
      <w:r w:rsidRPr="00FA317F">
        <w:rPr>
          <w:i/>
          <w:iCs/>
          <w:sz w:val="24"/>
          <w:szCs w:val="24"/>
        </w:rPr>
        <w:t>et al.</w:t>
      </w:r>
      <w:r w:rsidRPr="00FA317F">
        <w:rPr>
          <w:sz w:val="24"/>
          <w:szCs w:val="24"/>
        </w:rPr>
        <w:t xml:space="preserve">’s first regression model. </w:t>
      </w:r>
      <w:r w:rsidR="007C1899">
        <w:rPr>
          <w:sz w:val="24"/>
          <w:szCs w:val="24"/>
        </w:rPr>
        <w:t>For</w:t>
      </w:r>
      <w:r w:rsidRPr="00FA317F">
        <w:rPr>
          <w:sz w:val="24"/>
          <w:szCs w:val="24"/>
        </w:rPr>
        <w:t xml:space="preserve"> this model the</w:t>
      </w:r>
      <w:r w:rsidR="007364D1" w:rsidRPr="00FA317F">
        <w:rPr>
          <w:sz w:val="24"/>
          <w:szCs w:val="24"/>
        </w:rPr>
        <w:t>se</w:t>
      </w:r>
      <w:r w:rsidRPr="00FA317F">
        <w:rPr>
          <w:sz w:val="24"/>
          <w:szCs w:val="24"/>
        </w:rPr>
        <w:t xml:space="preserve"> authors </w:t>
      </w:r>
      <w:r w:rsidR="007C1899">
        <w:rPr>
          <w:sz w:val="24"/>
          <w:szCs w:val="24"/>
        </w:rPr>
        <w:t>estimated</w:t>
      </w:r>
      <w:r w:rsidRPr="00FA317F">
        <w:rPr>
          <w:sz w:val="24"/>
          <w:szCs w:val="24"/>
        </w:rPr>
        <w:t xml:space="preserve"> </w:t>
      </w:r>
      <w:r w:rsidR="007C1899">
        <w:rPr>
          <w:sz w:val="24"/>
          <w:szCs w:val="24"/>
        </w:rPr>
        <w:t>four</w:t>
      </w:r>
      <w:r w:rsidRPr="00FA317F">
        <w:rPr>
          <w:sz w:val="24"/>
          <w:szCs w:val="24"/>
        </w:rPr>
        <w:t xml:space="preserve"> equations </w:t>
      </w:r>
      <w:r w:rsidR="007C1899">
        <w:rPr>
          <w:sz w:val="24"/>
          <w:szCs w:val="24"/>
        </w:rPr>
        <w:t>with</w:t>
      </w:r>
      <w:r w:rsidR="00750096">
        <w:rPr>
          <w:sz w:val="24"/>
          <w:szCs w:val="24"/>
        </w:rPr>
        <w:t xml:space="preserve"> specialis</w:t>
      </w:r>
      <w:r w:rsidRPr="00FA317F">
        <w:rPr>
          <w:sz w:val="24"/>
          <w:szCs w:val="24"/>
        </w:rPr>
        <w:t>ation in the 1</w:t>
      </w:r>
      <w:r w:rsidRPr="00FA317F">
        <w:rPr>
          <w:sz w:val="24"/>
          <w:szCs w:val="24"/>
          <w:vertAlign w:val="superscript"/>
        </w:rPr>
        <w:t>st</w:t>
      </w:r>
      <w:r w:rsidRPr="00FA317F">
        <w:rPr>
          <w:sz w:val="24"/>
          <w:szCs w:val="24"/>
        </w:rPr>
        <w:t xml:space="preserve"> and 4</w:t>
      </w:r>
      <w:r w:rsidRPr="00FA317F">
        <w:rPr>
          <w:sz w:val="24"/>
          <w:szCs w:val="24"/>
          <w:vertAlign w:val="superscript"/>
        </w:rPr>
        <w:t>th</w:t>
      </w:r>
      <w:r w:rsidRPr="00FA317F">
        <w:rPr>
          <w:sz w:val="24"/>
          <w:szCs w:val="24"/>
        </w:rPr>
        <w:t xml:space="preserve"> estimations and competition in the 2</w:t>
      </w:r>
      <w:r w:rsidRPr="00FA317F">
        <w:rPr>
          <w:sz w:val="24"/>
          <w:szCs w:val="24"/>
          <w:vertAlign w:val="superscript"/>
        </w:rPr>
        <w:t>nd</w:t>
      </w:r>
      <w:r w:rsidRPr="00FA317F">
        <w:rPr>
          <w:sz w:val="24"/>
          <w:szCs w:val="24"/>
        </w:rPr>
        <w:t xml:space="preserve"> and 4</w:t>
      </w:r>
      <w:r w:rsidRPr="00FA317F">
        <w:rPr>
          <w:sz w:val="24"/>
          <w:szCs w:val="24"/>
          <w:vertAlign w:val="superscript"/>
        </w:rPr>
        <w:t>th</w:t>
      </w:r>
      <w:r w:rsidRPr="00FA317F">
        <w:rPr>
          <w:sz w:val="24"/>
          <w:szCs w:val="24"/>
        </w:rPr>
        <w:t>. The</w:t>
      </w:r>
      <w:r w:rsidR="007364D1" w:rsidRPr="00FA317F">
        <w:rPr>
          <w:sz w:val="24"/>
          <w:szCs w:val="24"/>
        </w:rPr>
        <w:t xml:space="preserve">y </w:t>
      </w:r>
      <w:r w:rsidR="007C1899">
        <w:rPr>
          <w:sz w:val="24"/>
          <w:szCs w:val="24"/>
        </w:rPr>
        <w:t>found</w:t>
      </w:r>
      <w:r w:rsidRPr="00FA317F">
        <w:rPr>
          <w:sz w:val="24"/>
          <w:szCs w:val="24"/>
        </w:rPr>
        <w:t xml:space="preserve"> </w:t>
      </w:r>
      <w:r w:rsidR="007C1899">
        <w:rPr>
          <w:sz w:val="24"/>
          <w:szCs w:val="24"/>
        </w:rPr>
        <w:t xml:space="preserve">a </w:t>
      </w:r>
      <w:r w:rsidR="00750096">
        <w:rPr>
          <w:sz w:val="24"/>
          <w:szCs w:val="24"/>
        </w:rPr>
        <w:t>coefficient of specialis</w:t>
      </w:r>
      <w:r w:rsidRPr="00FA317F">
        <w:rPr>
          <w:sz w:val="24"/>
          <w:szCs w:val="24"/>
        </w:rPr>
        <w:t>ation</w:t>
      </w:r>
      <w:r w:rsidR="007C1899">
        <w:rPr>
          <w:sz w:val="24"/>
          <w:szCs w:val="24"/>
        </w:rPr>
        <w:t xml:space="preserve"> that </w:t>
      </w:r>
      <w:r w:rsidRPr="00FA317F">
        <w:rPr>
          <w:sz w:val="24"/>
          <w:szCs w:val="24"/>
        </w:rPr>
        <w:t>is, respectively, -0.0128 and -0.00799</w:t>
      </w:r>
      <w:r w:rsidR="007C1899">
        <w:rPr>
          <w:sz w:val="24"/>
          <w:szCs w:val="24"/>
        </w:rPr>
        <w:t xml:space="preserve">. This </w:t>
      </w:r>
      <w:r w:rsidRPr="00FA317F">
        <w:rPr>
          <w:sz w:val="24"/>
          <w:szCs w:val="24"/>
        </w:rPr>
        <w:t>support</w:t>
      </w:r>
      <w:r w:rsidR="007364D1" w:rsidRPr="00FA317F">
        <w:rPr>
          <w:sz w:val="24"/>
          <w:szCs w:val="24"/>
        </w:rPr>
        <w:t xml:space="preserve">s </w:t>
      </w:r>
      <w:r w:rsidRPr="00FA317F">
        <w:rPr>
          <w:sz w:val="24"/>
          <w:szCs w:val="24"/>
        </w:rPr>
        <w:t xml:space="preserve">Jacobs’ externalities. This result is rejected </w:t>
      </w:r>
      <w:r w:rsidR="00750096">
        <w:rPr>
          <w:sz w:val="24"/>
          <w:szCs w:val="24"/>
        </w:rPr>
        <w:t>for Brazil because our specialis</w:t>
      </w:r>
      <w:r w:rsidRPr="00FA317F">
        <w:rPr>
          <w:sz w:val="24"/>
          <w:szCs w:val="24"/>
        </w:rPr>
        <w:t xml:space="preserve">ation coefficient </w:t>
      </w:r>
      <w:r w:rsidR="007C1899">
        <w:rPr>
          <w:sz w:val="24"/>
          <w:szCs w:val="24"/>
        </w:rPr>
        <w:t>in</w:t>
      </w:r>
      <w:r w:rsidRPr="00FA317F">
        <w:rPr>
          <w:sz w:val="24"/>
          <w:szCs w:val="24"/>
        </w:rPr>
        <w:t xml:space="preserve"> </w:t>
      </w:r>
      <w:r w:rsidR="00DF0F2A">
        <w:rPr>
          <w:sz w:val="24"/>
          <w:szCs w:val="24"/>
        </w:rPr>
        <w:t xml:space="preserve">Table 4 is negative but </w:t>
      </w:r>
      <w:r w:rsidRPr="00FA317F">
        <w:rPr>
          <w:sz w:val="24"/>
          <w:szCs w:val="24"/>
        </w:rPr>
        <w:t>not statistically significant</w:t>
      </w:r>
      <w:r w:rsidR="007C1899">
        <w:rPr>
          <w:sz w:val="24"/>
          <w:szCs w:val="24"/>
        </w:rPr>
        <w:t>. For c</w:t>
      </w:r>
      <w:r w:rsidRPr="00FA317F">
        <w:rPr>
          <w:sz w:val="24"/>
          <w:szCs w:val="24"/>
        </w:rPr>
        <w:t>ompetition</w:t>
      </w:r>
      <w:r w:rsidR="007364D1" w:rsidRPr="00FA317F">
        <w:rPr>
          <w:sz w:val="24"/>
          <w:szCs w:val="24"/>
        </w:rPr>
        <w:t xml:space="preserve">: </w:t>
      </w:r>
      <w:proofErr w:type="spellStart"/>
      <w:r w:rsidRPr="00FA317F">
        <w:rPr>
          <w:sz w:val="24"/>
          <w:szCs w:val="24"/>
        </w:rPr>
        <w:t>Glaeser</w:t>
      </w:r>
      <w:proofErr w:type="spellEnd"/>
      <w:r w:rsidRPr="00FA317F">
        <w:rPr>
          <w:sz w:val="24"/>
          <w:szCs w:val="24"/>
        </w:rPr>
        <w:t xml:space="preserve"> et al. (1992) found</w:t>
      </w:r>
      <w:r w:rsidR="007C1899">
        <w:rPr>
          <w:sz w:val="24"/>
          <w:szCs w:val="24"/>
        </w:rPr>
        <w:t xml:space="preserve"> </w:t>
      </w:r>
      <w:r w:rsidRPr="00FA317F">
        <w:rPr>
          <w:sz w:val="24"/>
          <w:szCs w:val="24"/>
        </w:rPr>
        <w:t>0.587 and 0.561</w:t>
      </w:r>
      <w:r w:rsidR="007364D1" w:rsidRPr="00FA317F">
        <w:rPr>
          <w:sz w:val="24"/>
          <w:szCs w:val="24"/>
        </w:rPr>
        <w:t xml:space="preserve"> which is </w:t>
      </w:r>
      <w:r w:rsidRPr="00FA317F">
        <w:rPr>
          <w:sz w:val="24"/>
          <w:szCs w:val="24"/>
        </w:rPr>
        <w:t xml:space="preserve">consistent with Porter and Jacobs’ hypothesis. Although our values are </w:t>
      </w:r>
      <w:r w:rsidR="007C1899">
        <w:rPr>
          <w:sz w:val="24"/>
          <w:szCs w:val="24"/>
        </w:rPr>
        <w:t>less than half</w:t>
      </w:r>
      <w:r w:rsidRPr="00FA317F">
        <w:rPr>
          <w:sz w:val="24"/>
          <w:szCs w:val="24"/>
        </w:rPr>
        <w:t xml:space="preserve">, </w:t>
      </w:r>
      <w:r w:rsidR="007364D1" w:rsidRPr="00FA317F">
        <w:rPr>
          <w:sz w:val="24"/>
          <w:szCs w:val="24"/>
        </w:rPr>
        <w:t xml:space="preserve">we </w:t>
      </w:r>
      <w:r w:rsidRPr="00FA317F">
        <w:rPr>
          <w:sz w:val="24"/>
          <w:szCs w:val="24"/>
        </w:rPr>
        <w:t>f</w:t>
      </w:r>
      <w:r w:rsidR="007C1899">
        <w:rPr>
          <w:sz w:val="24"/>
          <w:szCs w:val="24"/>
        </w:rPr>
        <w:t>ind qualitatively</w:t>
      </w:r>
      <w:r w:rsidR="007364D1" w:rsidRPr="00FA317F">
        <w:rPr>
          <w:sz w:val="24"/>
          <w:szCs w:val="24"/>
        </w:rPr>
        <w:t xml:space="preserve"> </w:t>
      </w:r>
      <w:r w:rsidR="00DF0F2A">
        <w:rPr>
          <w:sz w:val="24"/>
          <w:szCs w:val="24"/>
        </w:rPr>
        <w:t>similar</w:t>
      </w:r>
      <w:r w:rsidR="007364D1" w:rsidRPr="00FA317F">
        <w:rPr>
          <w:sz w:val="24"/>
          <w:szCs w:val="24"/>
        </w:rPr>
        <w:t xml:space="preserve"> result</w:t>
      </w:r>
      <w:r w:rsidR="007C1899">
        <w:rPr>
          <w:sz w:val="24"/>
          <w:szCs w:val="24"/>
        </w:rPr>
        <w:t>s.</w:t>
      </w:r>
    </w:p>
    <w:p w:rsidR="00DB5E8D" w:rsidRPr="00FA317F" w:rsidRDefault="00DB5E8D" w:rsidP="00877A16">
      <w:pPr>
        <w:pStyle w:val="FootnoteText"/>
        <w:tabs>
          <w:tab w:val="left" w:pos="426"/>
        </w:tabs>
        <w:spacing w:line="276" w:lineRule="auto"/>
        <w:jc w:val="both"/>
        <w:rPr>
          <w:sz w:val="24"/>
          <w:szCs w:val="24"/>
        </w:rPr>
      </w:pPr>
    </w:p>
    <w:p w:rsidR="00E9622C" w:rsidRDefault="00E9622C" w:rsidP="00877A16">
      <w:pPr>
        <w:pStyle w:val="FootnoteText"/>
        <w:tabs>
          <w:tab w:val="left" w:pos="426"/>
        </w:tabs>
        <w:spacing w:line="276" w:lineRule="auto"/>
        <w:jc w:val="both"/>
        <w:rPr>
          <w:sz w:val="24"/>
          <w:szCs w:val="24"/>
        </w:rPr>
      </w:pPr>
      <w:r w:rsidRPr="00FA317F">
        <w:rPr>
          <w:sz w:val="24"/>
          <w:szCs w:val="24"/>
        </w:rPr>
        <w:tab/>
        <w:t xml:space="preserve">Although </w:t>
      </w:r>
      <w:proofErr w:type="spellStart"/>
      <w:r w:rsidRPr="00FA317F">
        <w:rPr>
          <w:sz w:val="24"/>
          <w:szCs w:val="24"/>
        </w:rPr>
        <w:t>Combes</w:t>
      </w:r>
      <w:proofErr w:type="spellEnd"/>
      <w:r w:rsidRPr="00FA317F">
        <w:rPr>
          <w:sz w:val="24"/>
          <w:szCs w:val="24"/>
        </w:rPr>
        <w:t xml:space="preserve"> (2000) applied </w:t>
      </w:r>
      <w:proofErr w:type="spellStart"/>
      <w:r w:rsidRPr="00FA317F">
        <w:rPr>
          <w:sz w:val="24"/>
          <w:szCs w:val="24"/>
        </w:rPr>
        <w:t>Tobit</w:t>
      </w:r>
      <w:proofErr w:type="spellEnd"/>
      <w:r w:rsidRPr="00FA317F">
        <w:rPr>
          <w:sz w:val="24"/>
          <w:szCs w:val="24"/>
        </w:rPr>
        <w:t xml:space="preserve"> (for externalities indicators) and </w:t>
      </w:r>
      <w:proofErr w:type="spellStart"/>
      <w:r w:rsidRPr="00FA317F">
        <w:rPr>
          <w:sz w:val="24"/>
          <w:szCs w:val="24"/>
        </w:rPr>
        <w:t>Probit</w:t>
      </w:r>
      <w:proofErr w:type="spellEnd"/>
      <w:r w:rsidRPr="00FA317F">
        <w:rPr>
          <w:sz w:val="24"/>
          <w:szCs w:val="24"/>
        </w:rPr>
        <w:t xml:space="preserve"> (for regional dummies and density of employment) estimation methods</w:t>
      </w:r>
      <w:r w:rsidR="00BB1DE2">
        <w:rPr>
          <w:sz w:val="24"/>
          <w:szCs w:val="24"/>
        </w:rPr>
        <w:t xml:space="preserve"> </w:t>
      </w:r>
      <w:r w:rsidRPr="00FA317F">
        <w:rPr>
          <w:sz w:val="24"/>
          <w:szCs w:val="24"/>
        </w:rPr>
        <w:t xml:space="preserve">rather than OLS, to address the problem of truncated data </w:t>
      </w:r>
      <w:r w:rsidR="00750096">
        <w:rPr>
          <w:sz w:val="24"/>
          <w:szCs w:val="24"/>
        </w:rPr>
        <w:t>because</w:t>
      </w:r>
      <w:r w:rsidRPr="00FA317F">
        <w:rPr>
          <w:sz w:val="24"/>
          <w:szCs w:val="24"/>
        </w:rPr>
        <w:t xml:space="preserve"> his sample in</w:t>
      </w:r>
      <w:r w:rsidR="00361561" w:rsidRPr="00FA317F">
        <w:rPr>
          <w:sz w:val="24"/>
          <w:szCs w:val="24"/>
        </w:rPr>
        <w:t>volve</w:t>
      </w:r>
      <w:r w:rsidR="00BB1DE2">
        <w:rPr>
          <w:sz w:val="24"/>
          <w:szCs w:val="24"/>
        </w:rPr>
        <w:t>d</w:t>
      </w:r>
      <w:r w:rsidR="00361561" w:rsidRPr="00FA317F">
        <w:rPr>
          <w:sz w:val="24"/>
          <w:szCs w:val="24"/>
        </w:rPr>
        <w:t xml:space="preserve"> </w:t>
      </w:r>
      <w:r w:rsidRPr="00FA317F">
        <w:rPr>
          <w:sz w:val="24"/>
          <w:szCs w:val="24"/>
        </w:rPr>
        <w:t xml:space="preserve">French plants of more than 20 workers, </w:t>
      </w:r>
      <w:r w:rsidR="00BB1DE2">
        <w:rPr>
          <w:sz w:val="24"/>
          <w:szCs w:val="24"/>
        </w:rPr>
        <w:t xml:space="preserve">a </w:t>
      </w:r>
      <w:r w:rsidRPr="00FA317F">
        <w:rPr>
          <w:sz w:val="24"/>
          <w:szCs w:val="24"/>
        </w:rPr>
        <w:t xml:space="preserve">comparison between </w:t>
      </w:r>
      <w:proofErr w:type="spellStart"/>
      <w:r w:rsidR="00A3269C">
        <w:rPr>
          <w:sz w:val="24"/>
          <w:szCs w:val="24"/>
        </w:rPr>
        <w:t>Combes</w:t>
      </w:r>
      <w:proofErr w:type="spellEnd"/>
      <w:r w:rsidRPr="00FA317F">
        <w:rPr>
          <w:sz w:val="24"/>
          <w:szCs w:val="24"/>
        </w:rPr>
        <w:t xml:space="preserve">’ results and ours can </w:t>
      </w:r>
      <w:r w:rsidR="00BB1DE2">
        <w:rPr>
          <w:sz w:val="24"/>
          <w:szCs w:val="24"/>
        </w:rPr>
        <w:t>still be made</w:t>
      </w:r>
      <w:r w:rsidRPr="00FA317F">
        <w:rPr>
          <w:sz w:val="24"/>
          <w:szCs w:val="24"/>
        </w:rPr>
        <w:t>. Th</w:t>
      </w:r>
      <w:r w:rsidR="00361561" w:rsidRPr="00FA317F">
        <w:rPr>
          <w:sz w:val="24"/>
          <w:szCs w:val="24"/>
        </w:rPr>
        <w:t xml:space="preserve">is is because </w:t>
      </w:r>
      <w:proofErr w:type="spellStart"/>
      <w:r w:rsidR="00A3269C">
        <w:rPr>
          <w:sz w:val="24"/>
          <w:szCs w:val="24"/>
        </w:rPr>
        <w:t>Combes</w:t>
      </w:r>
      <w:proofErr w:type="spellEnd"/>
      <w:r w:rsidRPr="00FA317F">
        <w:rPr>
          <w:sz w:val="24"/>
          <w:szCs w:val="24"/>
        </w:rPr>
        <w:t xml:space="preserve"> also compared his results to those of </w:t>
      </w:r>
      <w:proofErr w:type="spellStart"/>
      <w:r w:rsidRPr="00FA317F">
        <w:rPr>
          <w:sz w:val="24"/>
          <w:szCs w:val="24"/>
        </w:rPr>
        <w:t>Glaeser</w:t>
      </w:r>
      <w:proofErr w:type="spellEnd"/>
      <w:r w:rsidRPr="00FA317F">
        <w:rPr>
          <w:sz w:val="24"/>
          <w:szCs w:val="24"/>
        </w:rPr>
        <w:t xml:space="preserve"> </w:t>
      </w:r>
      <w:r w:rsidRPr="00FA317F">
        <w:rPr>
          <w:i/>
          <w:iCs/>
          <w:sz w:val="24"/>
          <w:szCs w:val="24"/>
        </w:rPr>
        <w:t>et</w:t>
      </w:r>
      <w:r w:rsidR="00BB1DE2">
        <w:rPr>
          <w:i/>
          <w:iCs/>
          <w:sz w:val="24"/>
          <w:szCs w:val="24"/>
        </w:rPr>
        <w:t xml:space="preserve"> </w:t>
      </w:r>
      <w:r w:rsidRPr="00FA317F">
        <w:rPr>
          <w:i/>
          <w:iCs/>
          <w:sz w:val="24"/>
          <w:szCs w:val="24"/>
        </w:rPr>
        <w:t>al.</w:t>
      </w:r>
      <w:r w:rsidR="00BB1DE2">
        <w:rPr>
          <w:sz w:val="24"/>
          <w:szCs w:val="24"/>
        </w:rPr>
        <w:t xml:space="preserve"> </w:t>
      </w:r>
      <w:r w:rsidRPr="00FA317F">
        <w:rPr>
          <w:sz w:val="24"/>
          <w:szCs w:val="24"/>
        </w:rPr>
        <w:t xml:space="preserve">who </w:t>
      </w:r>
      <w:r w:rsidR="00361561" w:rsidRPr="00FA317F">
        <w:rPr>
          <w:sz w:val="24"/>
          <w:szCs w:val="24"/>
        </w:rPr>
        <w:t xml:space="preserve">employed </w:t>
      </w:r>
      <w:r w:rsidRPr="00FA317F">
        <w:rPr>
          <w:sz w:val="24"/>
          <w:szCs w:val="24"/>
        </w:rPr>
        <w:t xml:space="preserve">OLS instead of </w:t>
      </w:r>
      <w:proofErr w:type="spellStart"/>
      <w:r w:rsidRPr="00FA317F">
        <w:rPr>
          <w:sz w:val="24"/>
          <w:szCs w:val="24"/>
        </w:rPr>
        <w:t>Probit</w:t>
      </w:r>
      <w:proofErr w:type="spellEnd"/>
      <w:r w:rsidRPr="00FA317F">
        <w:rPr>
          <w:sz w:val="24"/>
          <w:szCs w:val="24"/>
        </w:rPr>
        <w:t xml:space="preserve"> and </w:t>
      </w:r>
      <w:proofErr w:type="spellStart"/>
      <w:r w:rsidRPr="00FA317F">
        <w:rPr>
          <w:sz w:val="24"/>
          <w:szCs w:val="24"/>
        </w:rPr>
        <w:t>Tobit</w:t>
      </w:r>
      <w:proofErr w:type="spellEnd"/>
      <w:r w:rsidRPr="00FA317F">
        <w:rPr>
          <w:sz w:val="24"/>
          <w:szCs w:val="24"/>
        </w:rPr>
        <w:t xml:space="preserve"> methods. </w:t>
      </w:r>
      <w:proofErr w:type="spellStart"/>
      <w:r w:rsidRPr="00FA317F">
        <w:rPr>
          <w:sz w:val="24"/>
          <w:szCs w:val="24"/>
        </w:rPr>
        <w:t>Combes</w:t>
      </w:r>
      <w:proofErr w:type="spellEnd"/>
      <w:r w:rsidRPr="00FA317F">
        <w:rPr>
          <w:sz w:val="24"/>
          <w:szCs w:val="24"/>
        </w:rPr>
        <w:t xml:space="preserve"> presents Global Regressions </w:t>
      </w:r>
      <w:r w:rsidR="00361561" w:rsidRPr="00FA317F">
        <w:rPr>
          <w:sz w:val="24"/>
          <w:szCs w:val="24"/>
        </w:rPr>
        <w:t>E</w:t>
      </w:r>
      <w:r w:rsidRPr="00FA317F">
        <w:rPr>
          <w:sz w:val="24"/>
          <w:szCs w:val="24"/>
        </w:rPr>
        <w:t>stimations (Table 1, p. 340) a</w:t>
      </w:r>
      <w:r w:rsidR="006D7293">
        <w:rPr>
          <w:sz w:val="24"/>
          <w:szCs w:val="24"/>
        </w:rPr>
        <w:t xml:space="preserve">nd </w:t>
      </w:r>
      <w:r w:rsidRPr="00FA317F">
        <w:rPr>
          <w:sz w:val="24"/>
          <w:szCs w:val="24"/>
        </w:rPr>
        <w:t xml:space="preserve">Annual Global Regressions (Table 4, p. 352) </w:t>
      </w:r>
      <w:r w:rsidR="00A3269C" w:rsidRPr="00FA317F">
        <w:rPr>
          <w:sz w:val="24"/>
          <w:szCs w:val="24"/>
        </w:rPr>
        <w:t xml:space="preserve">for </w:t>
      </w:r>
      <w:r w:rsidR="006D7293" w:rsidRPr="00FA317F">
        <w:rPr>
          <w:sz w:val="24"/>
          <w:szCs w:val="24"/>
        </w:rPr>
        <w:t xml:space="preserve">both </w:t>
      </w:r>
      <w:r w:rsidRPr="00FA317F">
        <w:rPr>
          <w:sz w:val="24"/>
          <w:szCs w:val="24"/>
        </w:rPr>
        <w:t xml:space="preserve">manufacturing employment and services. We compare </w:t>
      </w:r>
      <w:r w:rsidR="00361561" w:rsidRPr="00FA317F">
        <w:rPr>
          <w:sz w:val="24"/>
          <w:szCs w:val="24"/>
        </w:rPr>
        <w:t xml:space="preserve">his </w:t>
      </w:r>
      <w:r w:rsidRPr="00FA317F">
        <w:rPr>
          <w:sz w:val="24"/>
          <w:szCs w:val="24"/>
        </w:rPr>
        <w:t xml:space="preserve">finding </w:t>
      </w:r>
      <w:r w:rsidR="00361561" w:rsidRPr="00FA317F">
        <w:rPr>
          <w:sz w:val="24"/>
          <w:szCs w:val="24"/>
        </w:rPr>
        <w:t xml:space="preserve">for </w:t>
      </w:r>
      <w:r w:rsidRPr="00FA317F">
        <w:rPr>
          <w:sz w:val="24"/>
          <w:szCs w:val="24"/>
        </w:rPr>
        <w:t xml:space="preserve">manufacturing employment with </w:t>
      </w:r>
      <w:r w:rsidR="00361561" w:rsidRPr="00FA317F">
        <w:rPr>
          <w:sz w:val="24"/>
          <w:szCs w:val="24"/>
        </w:rPr>
        <w:t xml:space="preserve">our estimations. </w:t>
      </w:r>
    </w:p>
    <w:p w:rsidR="00DB5E8D" w:rsidRPr="00FA317F" w:rsidRDefault="00DB5E8D" w:rsidP="00877A16">
      <w:pPr>
        <w:pStyle w:val="FootnoteText"/>
        <w:tabs>
          <w:tab w:val="left" w:pos="426"/>
        </w:tabs>
        <w:spacing w:line="276" w:lineRule="auto"/>
        <w:jc w:val="both"/>
        <w:rPr>
          <w:sz w:val="24"/>
          <w:szCs w:val="24"/>
        </w:rPr>
      </w:pPr>
    </w:p>
    <w:p w:rsidR="00E9622C" w:rsidRDefault="00E9622C" w:rsidP="00877A16">
      <w:pPr>
        <w:pStyle w:val="FootnoteText"/>
        <w:tabs>
          <w:tab w:val="left" w:pos="426"/>
        </w:tabs>
        <w:spacing w:line="276" w:lineRule="auto"/>
        <w:jc w:val="both"/>
        <w:rPr>
          <w:sz w:val="24"/>
          <w:szCs w:val="24"/>
        </w:rPr>
      </w:pPr>
      <w:r w:rsidRPr="00FA317F">
        <w:rPr>
          <w:sz w:val="24"/>
          <w:szCs w:val="24"/>
        </w:rPr>
        <w:tab/>
      </w:r>
      <w:proofErr w:type="spellStart"/>
      <w:r w:rsidR="00A3269C" w:rsidRPr="00A3269C">
        <w:rPr>
          <w:sz w:val="24"/>
          <w:szCs w:val="24"/>
        </w:rPr>
        <w:t>Combes</w:t>
      </w:r>
      <w:proofErr w:type="spellEnd"/>
      <w:r w:rsidR="00A3269C" w:rsidRPr="00A3269C">
        <w:rPr>
          <w:sz w:val="24"/>
          <w:szCs w:val="24"/>
        </w:rPr>
        <w:t xml:space="preserve"> found -0.088 for specialisation on Global Regressions (p. 340) and -0.033 for specialisation on Annual Global Regressions (p. 352).</w:t>
      </w:r>
      <w:r w:rsidRPr="00A3269C">
        <w:rPr>
          <w:sz w:val="24"/>
          <w:szCs w:val="24"/>
        </w:rPr>
        <w:t xml:space="preserve"> </w:t>
      </w:r>
      <w:r w:rsidR="00361561" w:rsidRPr="00A3269C">
        <w:rPr>
          <w:sz w:val="24"/>
          <w:szCs w:val="24"/>
        </w:rPr>
        <w:t xml:space="preserve">We </w:t>
      </w:r>
      <w:r w:rsidR="00BB1DE2" w:rsidRPr="00A3269C">
        <w:rPr>
          <w:sz w:val="24"/>
          <w:szCs w:val="24"/>
        </w:rPr>
        <w:t>also g</w:t>
      </w:r>
      <w:r w:rsidR="00A3269C">
        <w:rPr>
          <w:sz w:val="24"/>
          <w:szCs w:val="24"/>
        </w:rPr>
        <w:t>o</w:t>
      </w:r>
      <w:r w:rsidR="00BB1DE2" w:rsidRPr="00A3269C">
        <w:rPr>
          <w:sz w:val="24"/>
          <w:szCs w:val="24"/>
        </w:rPr>
        <w:t xml:space="preserve">t </w:t>
      </w:r>
      <w:r w:rsidR="00DF0F2A">
        <w:rPr>
          <w:sz w:val="24"/>
          <w:szCs w:val="24"/>
        </w:rPr>
        <w:t xml:space="preserve">a </w:t>
      </w:r>
      <w:r w:rsidR="00BB1DE2" w:rsidRPr="00A3269C">
        <w:rPr>
          <w:sz w:val="24"/>
          <w:szCs w:val="24"/>
        </w:rPr>
        <w:t>negative coefficient</w:t>
      </w:r>
      <w:r w:rsidR="00DF0F2A">
        <w:rPr>
          <w:sz w:val="24"/>
          <w:szCs w:val="24"/>
        </w:rPr>
        <w:t xml:space="preserve"> for speci</w:t>
      </w:r>
      <w:r w:rsidR="00936208">
        <w:rPr>
          <w:sz w:val="24"/>
          <w:szCs w:val="24"/>
        </w:rPr>
        <w:t>ali</w:t>
      </w:r>
      <w:r w:rsidR="00DF0F2A">
        <w:rPr>
          <w:sz w:val="24"/>
          <w:szCs w:val="24"/>
        </w:rPr>
        <w:t>sation</w:t>
      </w:r>
      <w:r w:rsidRPr="00A3269C">
        <w:rPr>
          <w:sz w:val="24"/>
          <w:szCs w:val="24"/>
        </w:rPr>
        <w:t xml:space="preserve"> </w:t>
      </w:r>
      <w:r w:rsidR="00361561" w:rsidRPr="00A3269C">
        <w:rPr>
          <w:sz w:val="24"/>
          <w:szCs w:val="24"/>
        </w:rPr>
        <w:t xml:space="preserve">in Brazil </w:t>
      </w:r>
      <w:r w:rsidR="00BB1DE2" w:rsidRPr="00A3269C">
        <w:rPr>
          <w:sz w:val="24"/>
          <w:szCs w:val="24"/>
        </w:rPr>
        <w:t xml:space="preserve">in </w:t>
      </w:r>
      <w:r w:rsidR="00DF0F2A">
        <w:rPr>
          <w:sz w:val="24"/>
          <w:szCs w:val="24"/>
        </w:rPr>
        <w:t xml:space="preserve">the </w:t>
      </w:r>
      <w:r w:rsidR="00361561" w:rsidRPr="00A3269C">
        <w:rPr>
          <w:sz w:val="24"/>
          <w:szCs w:val="24"/>
        </w:rPr>
        <w:t>estimat</w:t>
      </w:r>
      <w:r w:rsidR="00DF0F2A">
        <w:rPr>
          <w:sz w:val="24"/>
          <w:szCs w:val="24"/>
        </w:rPr>
        <w:t>es of the right column of Table 4</w:t>
      </w:r>
      <w:r w:rsidR="00BB1DE2" w:rsidRPr="00A3269C">
        <w:rPr>
          <w:sz w:val="24"/>
          <w:szCs w:val="24"/>
        </w:rPr>
        <w:t xml:space="preserve">, but </w:t>
      </w:r>
      <w:r w:rsidR="00DF0F2A">
        <w:rPr>
          <w:sz w:val="24"/>
          <w:szCs w:val="24"/>
        </w:rPr>
        <w:t>it is</w:t>
      </w:r>
      <w:r w:rsidR="00BB1DE2" w:rsidRPr="00A3269C">
        <w:rPr>
          <w:sz w:val="24"/>
          <w:szCs w:val="24"/>
        </w:rPr>
        <w:t xml:space="preserve"> statistically insignificant. For</w:t>
      </w:r>
      <w:r w:rsidRPr="00A3269C">
        <w:rPr>
          <w:sz w:val="24"/>
          <w:szCs w:val="24"/>
        </w:rPr>
        <w:t xml:space="preserve"> </w:t>
      </w:r>
      <w:r w:rsidR="00BB1DE2" w:rsidRPr="00A3269C">
        <w:rPr>
          <w:sz w:val="24"/>
          <w:szCs w:val="24"/>
        </w:rPr>
        <w:t>c</w:t>
      </w:r>
      <w:r w:rsidRPr="00A3269C">
        <w:rPr>
          <w:sz w:val="24"/>
          <w:szCs w:val="24"/>
        </w:rPr>
        <w:t>ompetition</w:t>
      </w:r>
      <w:r w:rsidR="00BB1DE2" w:rsidRPr="00A3269C">
        <w:rPr>
          <w:sz w:val="24"/>
          <w:szCs w:val="24"/>
        </w:rPr>
        <w:t xml:space="preserve">, </w:t>
      </w:r>
      <w:proofErr w:type="spellStart"/>
      <w:r w:rsidRPr="00A3269C">
        <w:rPr>
          <w:sz w:val="24"/>
          <w:szCs w:val="24"/>
        </w:rPr>
        <w:t>Combes</w:t>
      </w:r>
      <w:proofErr w:type="spellEnd"/>
      <w:r w:rsidR="00BB1DE2" w:rsidRPr="00A3269C">
        <w:rPr>
          <w:sz w:val="24"/>
          <w:szCs w:val="24"/>
        </w:rPr>
        <w:t xml:space="preserve"> </w:t>
      </w:r>
      <w:r w:rsidR="00361561" w:rsidRPr="00A3269C">
        <w:rPr>
          <w:sz w:val="24"/>
          <w:szCs w:val="24"/>
        </w:rPr>
        <w:t xml:space="preserve">found </w:t>
      </w:r>
      <w:r w:rsidRPr="00A3269C">
        <w:rPr>
          <w:sz w:val="24"/>
          <w:szCs w:val="24"/>
        </w:rPr>
        <w:t>for the aforementioned regressions -0.154 and</w:t>
      </w:r>
      <w:r w:rsidRPr="00FA317F">
        <w:rPr>
          <w:sz w:val="24"/>
          <w:szCs w:val="24"/>
        </w:rPr>
        <w:t xml:space="preserve"> -0.013</w:t>
      </w:r>
      <w:r w:rsidR="00361561" w:rsidRPr="00FA317F">
        <w:rPr>
          <w:sz w:val="24"/>
          <w:szCs w:val="24"/>
        </w:rPr>
        <w:t>, respectively</w:t>
      </w:r>
      <w:r w:rsidR="00BB1DE2">
        <w:rPr>
          <w:sz w:val="24"/>
          <w:szCs w:val="24"/>
        </w:rPr>
        <w:t xml:space="preserve"> whereas </w:t>
      </w:r>
      <w:r w:rsidR="00BB1DE2" w:rsidRPr="00FA317F">
        <w:rPr>
          <w:sz w:val="24"/>
          <w:szCs w:val="24"/>
        </w:rPr>
        <w:t>we f</w:t>
      </w:r>
      <w:r w:rsidR="00BB1DE2">
        <w:rPr>
          <w:sz w:val="24"/>
          <w:szCs w:val="24"/>
        </w:rPr>
        <w:t xml:space="preserve">ind </w:t>
      </w:r>
      <w:r w:rsidR="00DF0F2A">
        <w:rPr>
          <w:sz w:val="24"/>
          <w:szCs w:val="24"/>
        </w:rPr>
        <w:t xml:space="preserve">0.3801, </w:t>
      </w:r>
      <w:r w:rsidR="00BB1DE2" w:rsidRPr="00FA317F">
        <w:rPr>
          <w:sz w:val="24"/>
          <w:szCs w:val="24"/>
        </w:rPr>
        <w:t>which supports both Porter and Jacobs’ externalities</w:t>
      </w:r>
      <w:r w:rsidR="00BB1DE2">
        <w:rPr>
          <w:sz w:val="24"/>
          <w:szCs w:val="24"/>
        </w:rPr>
        <w:t xml:space="preserve">. However, </w:t>
      </w:r>
      <w:proofErr w:type="spellStart"/>
      <w:r w:rsidR="00BB1DE2" w:rsidRPr="00BB1DE2">
        <w:rPr>
          <w:sz w:val="24"/>
          <w:lang w:val="en-US"/>
        </w:rPr>
        <w:t>Combes</w:t>
      </w:r>
      <w:proofErr w:type="spellEnd"/>
      <w:r w:rsidR="00BB1DE2" w:rsidRPr="00BB1DE2">
        <w:rPr>
          <w:sz w:val="24"/>
          <w:lang w:val="en-US"/>
        </w:rPr>
        <w:t xml:space="preserve"> used the </w:t>
      </w:r>
      <w:r w:rsidR="00BB1DE2" w:rsidRPr="00936208">
        <w:rPr>
          <w:i/>
          <w:iCs/>
          <w:sz w:val="24"/>
          <w:lang w:val="en-US"/>
        </w:rPr>
        <w:t>inverse</w:t>
      </w:r>
      <w:r w:rsidR="00BB1DE2" w:rsidRPr="00BB1DE2">
        <w:rPr>
          <w:sz w:val="24"/>
          <w:lang w:val="en-US"/>
        </w:rPr>
        <w:t xml:space="preserve"> of our competition variable, which he name</w:t>
      </w:r>
      <w:r w:rsidR="00BB1DE2">
        <w:rPr>
          <w:sz w:val="24"/>
          <w:lang w:val="en-US"/>
        </w:rPr>
        <w:t>d</w:t>
      </w:r>
      <w:r w:rsidR="00BB1DE2" w:rsidRPr="00BB1DE2">
        <w:rPr>
          <w:sz w:val="24"/>
          <w:lang w:val="en-US"/>
        </w:rPr>
        <w:t xml:space="preserve"> </w:t>
      </w:r>
      <w:r w:rsidR="00BB1DE2">
        <w:rPr>
          <w:sz w:val="24"/>
          <w:lang w:val="en-US"/>
        </w:rPr>
        <w:t xml:space="preserve">the </w:t>
      </w:r>
      <w:r w:rsidR="00BB1DE2" w:rsidRPr="00BB1DE2">
        <w:rPr>
          <w:sz w:val="24"/>
          <w:lang w:val="en-US"/>
        </w:rPr>
        <w:t xml:space="preserve">size of plants. </w:t>
      </w:r>
      <w:r w:rsidR="00BB1DE2" w:rsidRPr="00BB1DE2">
        <w:rPr>
          <w:sz w:val="24"/>
        </w:rPr>
        <w:t>The expression is, “</w:t>
      </w:r>
      <m:oMath>
        <m:sSub>
          <m:sSubPr>
            <m:ctrlPr>
              <w:rPr>
                <w:rFonts w:ascii="Cambria Math" w:hAnsi="Cambria Math"/>
                <w:iCs/>
                <w:sz w:val="24"/>
                <w:szCs w:val="24"/>
              </w:rPr>
            </m:ctrlPr>
          </m:sSubPr>
          <m:e>
            <m:r>
              <m:rPr>
                <m:sty m:val="p"/>
              </m:rPr>
              <w:rPr>
                <w:rFonts w:ascii="Cambria Math" w:hAnsi="Cambria Math"/>
                <w:sz w:val="24"/>
                <w:szCs w:val="24"/>
              </w:rPr>
              <m:t>size</m:t>
            </m:r>
          </m:e>
          <m:sub>
            <m:r>
              <m:rPr>
                <m:sty m:val="p"/>
              </m:rPr>
              <w:rPr>
                <w:rFonts w:ascii="Cambria Math" w:hAnsi="Cambria Math"/>
                <w:sz w:val="24"/>
                <w:szCs w:val="24"/>
              </w:rPr>
              <m:t>z, s</m:t>
            </m:r>
          </m:sub>
        </m:sSub>
        <m:r>
          <m:rPr>
            <m:sty m:val="p"/>
          </m:rPr>
          <w:rPr>
            <w:rFonts w:ascii="Cambria Math" w:hAnsi="Cambria Math"/>
            <w:sz w:val="24"/>
            <w:szCs w:val="24"/>
          </w:rPr>
          <m:t>=</m:t>
        </m:r>
        <m:f>
          <m:fPr>
            <m:ctrlPr>
              <w:rPr>
                <w:rFonts w:ascii="Cambria Math" w:hAnsi="Cambria Math"/>
                <w:iCs/>
                <w:sz w:val="24"/>
                <w:szCs w:val="24"/>
              </w:rPr>
            </m:ctrlPr>
          </m:fPr>
          <m:num>
            <m:sSub>
              <m:sSubPr>
                <m:ctrlPr>
                  <w:rPr>
                    <w:rFonts w:ascii="Cambria Math" w:hAnsi="Cambria Math"/>
                    <w:iCs/>
                    <w:sz w:val="24"/>
                    <w:szCs w:val="24"/>
                  </w:rPr>
                </m:ctrlPr>
              </m:sSubPr>
              <m:e>
                <m:r>
                  <m:rPr>
                    <m:sty m:val="p"/>
                  </m:rPr>
                  <w:rPr>
                    <w:rFonts w:ascii="Cambria Math" w:hAnsi="Cambria Math"/>
                    <w:sz w:val="24"/>
                    <w:szCs w:val="24"/>
                  </w:rPr>
                  <m:t>emp</m:t>
                </m:r>
              </m:e>
              <m:sub>
                <m:r>
                  <m:rPr>
                    <m:sty m:val="p"/>
                  </m:rPr>
                  <w:rPr>
                    <w:rFonts w:ascii="Cambria Math" w:hAnsi="Cambria Math"/>
                    <w:sz w:val="24"/>
                    <w:szCs w:val="24"/>
                  </w:rPr>
                  <m:t xml:space="preserve">z,s </m:t>
                </m:r>
              </m:sub>
            </m:sSub>
            <m:r>
              <m:rPr>
                <m:sty m:val="p"/>
              </m:rPr>
              <w:rPr>
                <w:rFonts w:ascii="Cambria Math" w:hAnsi="Cambria Math"/>
                <w:sz w:val="24"/>
                <w:szCs w:val="24"/>
              </w:rPr>
              <m:t>/</m:t>
            </m:r>
            <m:sSub>
              <m:sSubPr>
                <m:ctrlPr>
                  <w:rPr>
                    <w:rFonts w:ascii="Cambria Math" w:hAnsi="Cambria Math"/>
                    <w:iCs/>
                    <w:sz w:val="24"/>
                    <w:szCs w:val="24"/>
                  </w:rPr>
                </m:ctrlPr>
              </m:sSubPr>
              <m:e>
                <m:r>
                  <m:rPr>
                    <m:sty m:val="p"/>
                  </m:rPr>
                  <w:rPr>
                    <w:rFonts w:ascii="Cambria Math" w:hAnsi="Cambria Math"/>
                    <w:sz w:val="24"/>
                    <w:szCs w:val="24"/>
                  </w:rPr>
                  <m:t>nbr</m:t>
                </m:r>
              </m:e>
              <m:sub>
                <m:r>
                  <m:rPr>
                    <m:sty m:val="p"/>
                  </m:rPr>
                  <w:rPr>
                    <w:rFonts w:ascii="Cambria Math" w:hAnsi="Cambria Math"/>
                    <w:sz w:val="24"/>
                    <w:szCs w:val="24"/>
                  </w:rPr>
                  <m:t>z, s</m:t>
                </m:r>
              </m:sub>
            </m:sSub>
          </m:num>
          <m:den>
            <m:sSub>
              <m:sSubPr>
                <m:ctrlPr>
                  <w:rPr>
                    <w:rFonts w:ascii="Cambria Math" w:hAnsi="Cambria Math"/>
                    <w:iCs/>
                    <w:sz w:val="24"/>
                    <w:szCs w:val="24"/>
                  </w:rPr>
                </m:ctrlPr>
              </m:sSubPr>
              <m:e>
                <m:r>
                  <m:rPr>
                    <m:sty m:val="p"/>
                  </m:rPr>
                  <w:rPr>
                    <w:rFonts w:ascii="Cambria Math" w:hAnsi="Cambria Math"/>
                    <w:sz w:val="24"/>
                    <w:szCs w:val="24"/>
                  </w:rPr>
                  <m:t>emp</m:t>
                </m:r>
              </m:e>
              <m:sub>
                <m:r>
                  <m:rPr>
                    <m:sty m:val="p"/>
                  </m:rPr>
                  <w:rPr>
                    <w:rFonts w:ascii="Cambria Math" w:hAnsi="Cambria Math"/>
                    <w:sz w:val="24"/>
                    <w:szCs w:val="24"/>
                  </w:rPr>
                  <m:t>s</m:t>
                </m:r>
              </m:sub>
            </m:sSub>
            <m:r>
              <m:rPr>
                <m:sty m:val="p"/>
              </m:rPr>
              <w:rPr>
                <w:rFonts w:ascii="Cambria Math" w:hAnsi="Cambria Math"/>
                <w:sz w:val="24"/>
                <w:szCs w:val="24"/>
              </w:rPr>
              <m:t>/</m:t>
            </m:r>
            <m:sSub>
              <m:sSubPr>
                <m:ctrlPr>
                  <w:rPr>
                    <w:rFonts w:ascii="Cambria Math" w:hAnsi="Cambria Math"/>
                    <w:iCs/>
                    <w:sz w:val="24"/>
                    <w:szCs w:val="24"/>
                  </w:rPr>
                </m:ctrlPr>
              </m:sSubPr>
              <m:e>
                <m:r>
                  <m:rPr>
                    <m:sty m:val="p"/>
                  </m:rPr>
                  <w:rPr>
                    <w:rFonts w:ascii="Cambria Math" w:hAnsi="Cambria Math"/>
                    <w:sz w:val="24"/>
                    <w:szCs w:val="24"/>
                  </w:rPr>
                  <m:t>nbr</m:t>
                </m:r>
              </m:e>
              <m:sub>
                <m:r>
                  <m:rPr>
                    <m:sty m:val="p"/>
                  </m:rPr>
                  <w:rPr>
                    <w:rFonts w:ascii="Cambria Math" w:hAnsi="Cambria Math"/>
                    <w:sz w:val="24"/>
                    <w:szCs w:val="24"/>
                  </w:rPr>
                  <m:t>s</m:t>
                </m:r>
              </m:sub>
            </m:sSub>
          </m:den>
        </m:f>
      </m:oMath>
      <w:r w:rsidR="00BB1DE2" w:rsidRPr="00BB1DE2">
        <w:rPr>
          <w:sz w:val="24"/>
          <w:lang w:eastAsia="zh-CN"/>
        </w:rPr>
        <w:t>, where nbr</w:t>
      </w:r>
      <w:proofErr w:type="spellStart"/>
      <w:r w:rsidR="00BB1DE2" w:rsidRPr="00BB1DE2">
        <w:rPr>
          <w:i/>
          <w:iCs/>
          <w:sz w:val="24"/>
          <w:vertAlign w:val="subscript"/>
          <w:lang w:eastAsia="zh-CN"/>
        </w:rPr>
        <w:t>z</w:t>
      </w:r>
      <w:proofErr w:type="gramStart"/>
      <w:r w:rsidR="00BB1DE2" w:rsidRPr="00BB1DE2">
        <w:rPr>
          <w:sz w:val="24"/>
          <w:vertAlign w:val="subscript"/>
          <w:lang w:eastAsia="zh-CN"/>
        </w:rPr>
        <w:t>,</w:t>
      </w:r>
      <w:r w:rsidR="00BB1DE2" w:rsidRPr="00BB1DE2">
        <w:rPr>
          <w:i/>
          <w:iCs/>
          <w:sz w:val="24"/>
          <w:vertAlign w:val="subscript"/>
          <w:lang w:eastAsia="zh-CN"/>
        </w:rPr>
        <w:t>s</w:t>
      </w:r>
      <w:proofErr w:type="spellEnd"/>
      <w:proofErr w:type="gramEnd"/>
      <w:r w:rsidR="00BB1DE2" w:rsidRPr="00BB1DE2">
        <w:rPr>
          <w:i/>
          <w:iCs/>
          <w:sz w:val="24"/>
          <w:lang w:eastAsia="zh-CN"/>
        </w:rPr>
        <w:t xml:space="preserve"> </w:t>
      </w:r>
      <w:r w:rsidR="00BB1DE2" w:rsidRPr="00BB1DE2">
        <w:rPr>
          <w:sz w:val="24"/>
          <w:lang w:eastAsia="zh-CN"/>
        </w:rPr>
        <w:t xml:space="preserve">and </w:t>
      </w:r>
      <w:proofErr w:type="spellStart"/>
      <w:r w:rsidR="00BB1DE2" w:rsidRPr="00BB1DE2">
        <w:rPr>
          <w:sz w:val="24"/>
          <w:lang w:eastAsia="zh-CN"/>
        </w:rPr>
        <w:t>nbr</w:t>
      </w:r>
      <w:r w:rsidR="00BB1DE2" w:rsidRPr="00BB1DE2">
        <w:rPr>
          <w:i/>
          <w:iCs/>
          <w:sz w:val="24"/>
          <w:vertAlign w:val="subscript"/>
          <w:lang w:eastAsia="zh-CN"/>
        </w:rPr>
        <w:t>s</w:t>
      </w:r>
      <w:proofErr w:type="spellEnd"/>
      <w:r w:rsidR="00BB1DE2" w:rsidRPr="00BB1DE2">
        <w:rPr>
          <w:i/>
          <w:iCs/>
          <w:sz w:val="24"/>
          <w:lang w:eastAsia="zh-CN"/>
        </w:rPr>
        <w:t xml:space="preserve"> </w:t>
      </w:r>
      <w:r w:rsidR="00BB1DE2" w:rsidRPr="00BB1DE2">
        <w:rPr>
          <w:sz w:val="24"/>
          <w:lang w:eastAsia="zh-CN"/>
        </w:rPr>
        <w:t xml:space="preserve">are the number of plants belonging to sector </w:t>
      </w:r>
      <w:r w:rsidR="00BB1DE2" w:rsidRPr="00BB1DE2">
        <w:rPr>
          <w:i/>
          <w:iCs/>
          <w:sz w:val="24"/>
          <w:lang w:eastAsia="zh-CN"/>
        </w:rPr>
        <w:t xml:space="preserve">s </w:t>
      </w:r>
      <w:r w:rsidR="00BB1DE2" w:rsidRPr="00BB1DE2">
        <w:rPr>
          <w:sz w:val="24"/>
          <w:lang w:eastAsia="zh-CN"/>
        </w:rPr>
        <w:t xml:space="preserve">in ZE </w:t>
      </w:r>
      <w:r w:rsidR="00BB1DE2" w:rsidRPr="00BB1DE2">
        <w:rPr>
          <w:i/>
          <w:iCs/>
          <w:sz w:val="24"/>
          <w:lang w:eastAsia="zh-CN"/>
        </w:rPr>
        <w:t xml:space="preserve">z </w:t>
      </w:r>
      <w:r w:rsidR="00BB1DE2" w:rsidRPr="00BB1DE2">
        <w:rPr>
          <w:sz w:val="24"/>
          <w:lang w:eastAsia="zh-CN"/>
        </w:rPr>
        <w:t>and France, respectively” (</w:t>
      </w:r>
      <w:proofErr w:type="spellStart"/>
      <w:r w:rsidR="00BB1DE2" w:rsidRPr="00BB1DE2">
        <w:rPr>
          <w:sz w:val="24"/>
        </w:rPr>
        <w:t>Combes</w:t>
      </w:r>
      <w:proofErr w:type="spellEnd"/>
      <w:r w:rsidR="00BB1DE2" w:rsidRPr="00BB1DE2">
        <w:rPr>
          <w:sz w:val="24"/>
        </w:rPr>
        <w:t>, 2000, p. 337)</w:t>
      </w:r>
      <w:r w:rsidR="00BB1DE2" w:rsidRPr="00BB1DE2">
        <w:rPr>
          <w:sz w:val="24"/>
          <w:lang w:eastAsia="zh-CN"/>
        </w:rPr>
        <w:t>.</w:t>
      </w:r>
      <w:r w:rsidR="00BB1DE2">
        <w:rPr>
          <w:sz w:val="24"/>
          <w:lang w:eastAsia="zh-CN"/>
        </w:rPr>
        <w:t xml:space="preserve"> Consequently, our findings </w:t>
      </w:r>
      <w:r w:rsidR="00936208">
        <w:rPr>
          <w:sz w:val="24"/>
          <w:lang w:eastAsia="zh-CN"/>
        </w:rPr>
        <w:t xml:space="preserve">reconfirm those of </w:t>
      </w:r>
      <w:proofErr w:type="spellStart"/>
      <w:r w:rsidR="00936208">
        <w:rPr>
          <w:sz w:val="24"/>
          <w:lang w:eastAsia="zh-CN"/>
        </w:rPr>
        <w:t>Combes</w:t>
      </w:r>
      <w:proofErr w:type="spellEnd"/>
      <w:r w:rsidR="00BB1DE2">
        <w:rPr>
          <w:sz w:val="24"/>
          <w:lang w:eastAsia="zh-CN"/>
        </w:rPr>
        <w:t xml:space="preserve"> with respect to competition. </w:t>
      </w:r>
      <w:r w:rsidR="00FB67E8">
        <w:rPr>
          <w:sz w:val="24"/>
          <w:szCs w:val="24"/>
        </w:rPr>
        <w:t xml:space="preserve">For diversity, </w:t>
      </w:r>
      <w:proofErr w:type="spellStart"/>
      <w:r w:rsidRPr="00FA317F">
        <w:rPr>
          <w:sz w:val="24"/>
          <w:szCs w:val="24"/>
        </w:rPr>
        <w:t>Combes</w:t>
      </w:r>
      <w:proofErr w:type="spellEnd"/>
      <w:r w:rsidRPr="00FA317F">
        <w:rPr>
          <w:sz w:val="24"/>
          <w:szCs w:val="24"/>
        </w:rPr>
        <w:t xml:space="preserve"> found </w:t>
      </w:r>
      <w:r w:rsidR="00936208" w:rsidRPr="00FA317F">
        <w:rPr>
          <w:sz w:val="24"/>
          <w:szCs w:val="24"/>
        </w:rPr>
        <w:t>-0.051 and -0.026</w:t>
      </w:r>
      <w:r w:rsidR="00936208">
        <w:rPr>
          <w:sz w:val="24"/>
          <w:szCs w:val="24"/>
        </w:rPr>
        <w:t xml:space="preserve"> </w:t>
      </w:r>
      <w:r w:rsidRPr="00FA317F">
        <w:rPr>
          <w:sz w:val="24"/>
          <w:szCs w:val="24"/>
        </w:rPr>
        <w:t xml:space="preserve">for </w:t>
      </w:r>
      <w:r w:rsidR="00FB67E8">
        <w:rPr>
          <w:sz w:val="24"/>
          <w:szCs w:val="24"/>
        </w:rPr>
        <w:t>the</w:t>
      </w:r>
      <w:r w:rsidRPr="00FA317F">
        <w:rPr>
          <w:sz w:val="24"/>
          <w:szCs w:val="24"/>
        </w:rPr>
        <w:t xml:space="preserve"> Global and Annual Global Regressions</w:t>
      </w:r>
      <w:r w:rsidR="00361561" w:rsidRPr="00FA317F">
        <w:rPr>
          <w:sz w:val="24"/>
          <w:szCs w:val="24"/>
        </w:rPr>
        <w:t>, respectively</w:t>
      </w:r>
      <w:r w:rsidRPr="00FA317F">
        <w:rPr>
          <w:sz w:val="24"/>
          <w:szCs w:val="24"/>
        </w:rPr>
        <w:t>. Th</w:t>
      </w:r>
      <w:r w:rsidR="00936208">
        <w:rPr>
          <w:sz w:val="24"/>
          <w:szCs w:val="24"/>
        </w:rPr>
        <w:t>ese</w:t>
      </w:r>
      <w:r w:rsidRPr="00FA317F">
        <w:rPr>
          <w:sz w:val="24"/>
          <w:szCs w:val="24"/>
        </w:rPr>
        <w:t xml:space="preserve"> </w:t>
      </w:r>
      <w:r w:rsidR="00361561" w:rsidRPr="00FA317F">
        <w:rPr>
          <w:sz w:val="24"/>
          <w:szCs w:val="24"/>
        </w:rPr>
        <w:t>result</w:t>
      </w:r>
      <w:r w:rsidR="00936208">
        <w:rPr>
          <w:sz w:val="24"/>
          <w:szCs w:val="24"/>
        </w:rPr>
        <w:t>s</w:t>
      </w:r>
      <w:r w:rsidR="00361561" w:rsidRPr="00FA317F">
        <w:rPr>
          <w:sz w:val="24"/>
          <w:szCs w:val="24"/>
        </w:rPr>
        <w:t xml:space="preserve"> </w:t>
      </w:r>
      <w:r w:rsidR="00FB67E8">
        <w:rPr>
          <w:sz w:val="24"/>
          <w:szCs w:val="24"/>
        </w:rPr>
        <w:t>support</w:t>
      </w:r>
      <w:r w:rsidR="00936208">
        <w:rPr>
          <w:sz w:val="24"/>
          <w:szCs w:val="24"/>
        </w:rPr>
        <w:t xml:space="preserve"> </w:t>
      </w:r>
      <w:r w:rsidRPr="00FA317F">
        <w:rPr>
          <w:sz w:val="24"/>
          <w:szCs w:val="24"/>
        </w:rPr>
        <w:t xml:space="preserve">both MAR’s and Porter’s externalities. </w:t>
      </w:r>
      <w:r w:rsidR="00FB67E8">
        <w:rPr>
          <w:sz w:val="24"/>
          <w:szCs w:val="24"/>
        </w:rPr>
        <w:t>The coefficient</w:t>
      </w:r>
      <w:r w:rsidR="00936208">
        <w:rPr>
          <w:sz w:val="24"/>
          <w:szCs w:val="24"/>
        </w:rPr>
        <w:t xml:space="preserve"> </w:t>
      </w:r>
      <w:r w:rsidR="00FB67E8">
        <w:rPr>
          <w:sz w:val="24"/>
          <w:szCs w:val="24"/>
        </w:rPr>
        <w:t xml:space="preserve">of diversity </w:t>
      </w:r>
      <w:r w:rsidR="00936208">
        <w:rPr>
          <w:sz w:val="24"/>
          <w:szCs w:val="24"/>
        </w:rPr>
        <w:t>in the right column of Table 4</w:t>
      </w:r>
      <w:r w:rsidR="00FB67E8">
        <w:rPr>
          <w:sz w:val="24"/>
          <w:szCs w:val="24"/>
        </w:rPr>
        <w:t xml:space="preserve"> </w:t>
      </w:r>
      <w:r w:rsidR="00936208">
        <w:rPr>
          <w:sz w:val="24"/>
          <w:szCs w:val="24"/>
        </w:rPr>
        <w:t>is positive, but statistically insignificant</w:t>
      </w:r>
      <w:r w:rsidRPr="00FA317F">
        <w:rPr>
          <w:sz w:val="24"/>
          <w:szCs w:val="24"/>
        </w:rPr>
        <w:t xml:space="preserve">. </w:t>
      </w:r>
    </w:p>
    <w:p w:rsidR="00A85E3D" w:rsidRDefault="00A85E3D" w:rsidP="00877A16">
      <w:pPr>
        <w:pStyle w:val="ListParagraph"/>
        <w:spacing w:line="276" w:lineRule="auto"/>
        <w:ind w:left="0"/>
        <w:jc w:val="both"/>
        <w:rPr>
          <w:b/>
          <w:i/>
          <w:iCs/>
        </w:rPr>
      </w:pPr>
    </w:p>
    <w:p w:rsidR="00A93AED" w:rsidRDefault="00A93AED" w:rsidP="00877A16">
      <w:pPr>
        <w:pStyle w:val="ListParagraph"/>
        <w:spacing w:line="276" w:lineRule="auto"/>
        <w:ind w:left="0"/>
        <w:jc w:val="both"/>
        <w:rPr>
          <w:b/>
          <w:i/>
          <w:iCs/>
        </w:rPr>
      </w:pPr>
    </w:p>
    <w:p w:rsidR="00991D4C" w:rsidRPr="00A24B44" w:rsidRDefault="00991D4C" w:rsidP="00877A16">
      <w:pPr>
        <w:pStyle w:val="ListParagraph"/>
        <w:spacing w:line="276" w:lineRule="auto"/>
        <w:ind w:left="0"/>
        <w:jc w:val="both"/>
        <w:rPr>
          <w:b/>
          <w:iCs/>
        </w:rPr>
      </w:pPr>
      <w:r w:rsidRPr="00A24B44">
        <w:rPr>
          <w:b/>
          <w:iCs/>
        </w:rPr>
        <w:lastRenderedPageBreak/>
        <w:t xml:space="preserve">Annual Panel Models </w:t>
      </w:r>
    </w:p>
    <w:p w:rsidR="00FB67E8" w:rsidRDefault="00936208" w:rsidP="00877A16">
      <w:pPr>
        <w:pStyle w:val="ListParagraph"/>
        <w:tabs>
          <w:tab w:val="left" w:pos="426"/>
        </w:tabs>
        <w:spacing w:line="276" w:lineRule="auto"/>
        <w:ind w:left="0"/>
        <w:jc w:val="both"/>
      </w:pPr>
      <w:r>
        <w:t>E</w:t>
      </w:r>
      <w:r w:rsidR="00622A98" w:rsidRPr="00FA317F">
        <w:t xml:space="preserve">stimated coefficients of </w:t>
      </w:r>
      <w:r>
        <w:t>four p</w:t>
      </w:r>
      <w:r w:rsidR="00B2188A" w:rsidRPr="00FA317F">
        <w:t xml:space="preserve">anel </w:t>
      </w:r>
      <w:r>
        <w:t>m</w:t>
      </w:r>
      <w:r w:rsidR="00B2188A" w:rsidRPr="00FA317F">
        <w:t>odels</w:t>
      </w:r>
      <w:r w:rsidR="001C4D65" w:rsidRPr="00FA317F">
        <w:t xml:space="preserve"> </w:t>
      </w:r>
      <w:r>
        <w:t xml:space="preserve">with annual data are </w:t>
      </w:r>
      <w:r w:rsidR="001C4D65" w:rsidRPr="00FA317F">
        <w:t xml:space="preserve">shown </w:t>
      </w:r>
      <w:r w:rsidR="002E1428" w:rsidRPr="00FA317F">
        <w:t xml:space="preserve">in Table </w:t>
      </w:r>
      <w:r w:rsidR="008E2D25">
        <w:t>5</w:t>
      </w:r>
      <w:r w:rsidR="00FB67E8">
        <w:t>.</w:t>
      </w:r>
      <w:r w:rsidR="00085C35" w:rsidRPr="00FA317F">
        <w:rPr>
          <w:rStyle w:val="FootnoteReference"/>
        </w:rPr>
        <w:footnoteReference w:id="8"/>
      </w:r>
      <w:r w:rsidR="00FB67E8">
        <w:t xml:space="preserve"> </w:t>
      </w:r>
      <w:r w:rsidR="00B2188A" w:rsidRPr="00FA317F">
        <w:t xml:space="preserve">In </w:t>
      </w:r>
      <w:r w:rsidR="008430B6">
        <w:t>e</w:t>
      </w:r>
      <w:r w:rsidR="00B150FD" w:rsidRPr="00FA317F">
        <w:t>q</w:t>
      </w:r>
      <w:r w:rsidR="009A262A" w:rsidRPr="00FA317F">
        <w:t xml:space="preserve">uations </w:t>
      </w:r>
      <w:r w:rsidR="00B150FD" w:rsidRPr="00FA317F">
        <w:t>5.1</w:t>
      </w:r>
      <w:r w:rsidR="00FB67E8">
        <w:t xml:space="preserve"> </w:t>
      </w:r>
      <w:r w:rsidR="00B9298F">
        <w:t>and 5.2</w:t>
      </w:r>
      <w:r w:rsidR="00B150FD" w:rsidRPr="00FA317F">
        <w:t xml:space="preserve"> </w:t>
      </w:r>
      <w:r w:rsidR="00FB67E8">
        <w:t xml:space="preserve">the </w:t>
      </w:r>
      <w:r w:rsidR="00B2188A" w:rsidRPr="00FA317F">
        <w:t>dependent variable is VDEP</w:t>
      </w:r>
      <w:r w:rsidR="00FB67E8">
        <w:t xml:space="preserve">, following </w:t>
      </w:r>
      <w:proofErr w:type="spellStart"/>
      <w:r w:rsidR="003E0739" w:rsidRPr="00FA317F">
        <w:t>Glaeser</w:t>
      </w:r>
      <w:proofErr w:type="spellEnd"/>
      <w:r w:rsidR="003E0739" w:rsidRPr="00FA317F">
        <w:t xml:space="preserve"> </w:t>
      </w:r>
      <w:r w:rsidR="003E0739" w:rsidRPr="00FA317F">
        <w:rPr>
          <w:i/>
          <w:iCs/>
        </w:rPr>
        <w:t>et al</w:t>
      </w:r>
      <w:r w:rsidR="003E0739" w:rsidRPr="00FA317F">
        <w:t>.</w:t>
      </w:r>
      <w:r w:rsidR="00FB67E8">
        <w:t xml:space="preserve"> (</w:t>
      </w:r>
      <w:r w:rsidR="003E0739" w:rsidRPr="00FA317F">
        <w:t>1992)</w:t>
      </w:r>
      <w:r w:rsidR="000B7CCC" w:rsidRPr="00FA317F">
        <w:t xml:space="preserve">, whereas in </w:t>
      </w:r>
      <w:r w:rsidR="008430B6">
        <w:t>e</w:t>
      </w:r>
      <w:r w:rsidR="000B7CCC" w:rsidRPr="00FA317F">
        <w:t>quations 5.</w:t>
      </w:r>
      <w:r w:rsidR="00B9298F">
        <w:t>3</w:t>
      </w:r>
      <w:r w:rsidR="00FB67E8">
        <w:t xml:space="preserve"> to </w:t>
      </w:r>
      <w:r w:rsidR="000B7CCC" w:rsidRPr="00FA317F">
        <w:t>5.</w:t>
      </w:r>
      <w:r w:rsidR="00B9298F">
        <w:t>4</w:t>
      </w:r>
      <w:r w:rsidR="000B7CCC" w:rsidRPr="00FA317F">
        <w:t xml:space="preserve"> it is VDEP2</w:t>
      </w:r>
      <w:r w:rsidR="00FB67E8">
        <w:t xml:space="preserve">, following </w:t>
      </w:r>
      <w:proofErr w:type="spellStart"/>
      <w:r w:rsidR="003E0739" w:rsidRPr="00FA317F">
        <w:t>Combes</w:t>
      </w:r>
      <w:proofErr w:type="spellEnd"/>
      <w:r w:rsidR="00FB67E8">
        <w:t xml:space="preserve"> (</w:t>
      </w:r>
      <w:r w:rsidR="003E0739" w:rsidRPr="00FA317F">
        <w:t>2000)</w:t>
      </w:r>
      <w:r w:rsidR="00ED1B20" w:rsidRPr="00FA317F">
        <w:t xml:space="preserve">. </w:t>
      </w:r>
      <w:r w:rsidR="000B7CCC" w:rsidRPr="00FA317F">
        <w:t xml:space="preserve">The </w:t>
      </w:r>
      <w:r w:rsidR="00ED1B20" w:rsidRPr="00FA317F">
        <w:t>role of education in growth</w:t>
      </w:r>
      <w:r w:rsidR="000B7CCC" w:rsidRPr="00FA317F">
        <w:t xml:space="preserve"> was addressed</w:t>
      </w:r>
      <w:r w:rsidR="00015F81" w:rsidRPr="00FA317F">
        <w:t xml:space="preserve"> by inclusion </w:t>
      </w:r>
      <w:r w:rsidR="00D106FD" w:rsidRPr="00FA317F">
        <w:t xml:space="preserve">of </w:t>
      </w:r>
      <w:r w:rsidR="00FB67E8">
        <w:t>the literacy rate</w:t>
      </w:r>
      <w:r w:rsidR="00015F81" w:rsidRPr="00FA317F">
        <w:t xml:space="preserve"> </w:t>
      </w:r>
      <w:r w:rsidR="00ED1B20" w:rsidRPr="00FA317F">
        <w:t xml:space="preserve">in </w:t>
      </w:r>
      <w:r w:rsidR="000B7CCC" w:rsidRPr="00FA317F">
        <w:t>equations 5.1 and 5.</w:t>
      </w:r>
      <w:r w:rsidR="00B9298F">
        <w:t>3</w:t>
      </w:r>
      <w:r w:rsidR="000B7CCC" w:rsidRPr="00FA317F">
        <w:t xml:space="preserve"> </w:t>
      </w:r>
      <w:r w:rsidR="00015F81" w:rsidRPr="00FA317F">
        <w:t>as well as its annual change</w:t>
      </w:r>
      <w:r w:rsidR="00FB67E8">
        <w:t xml:space="preserve"> in</w:t>
      </w:r>
      <w:r w:rsidR="00015F81" w:rsidRPr="00FA317F">
        <w:t xml:space="preserve"> equ</w:t>
      </w:r>
      <w:r w:rsidR="00B150FD" w:rsidRPr="00FA317F">
        <w:t>ation</w:t>
      </w:r>
      <w:r w:rsidR="00015F81" w:rsidRPr="00FA317F">
        <w:t>s</w:t>
      </w:r>
      <w:r w:rsidR="00B150FD" w:rsidRPr="00FA317F">
        <w:t xml:space="preserve"> </w:t>
      </w:r>
      <w:r w:rsidR="00015F81" w:rsidRPr="00FA317F">
        <w:t>5.2</w:t>
      </w:r>
      <w:r w:rsidR="00B9298F">
        <w:t xml:space="preserve"> and</w:t>
      </w:r>
      <w:r w:rsidR="00FB67E8">
        <w:t xml:space="preserve"> </w:t>
      </w:r>
      <w:r w:rsidR="00D106FD" w:rsidRPr="00FA317F">
        <w:t>5.</w:t>
      </w:r>
      <w:r w:rsidR="00B9298F">
        <w:t xml:space="preserve">4. </w:t>
      </w:r>
      <w:r w:rsidR="00D106FD" w:rsidRPr="00FA317F">
        <w:t>Equations 5.2 and 5.</w:t>
      </w:r>
      <w:r w:rsidR="00B9298F">
        <w:t>4</w:t>
      </w:r>
      <w:r w:rsidR="00D106FD" w:rsidRPr="00FA317F">
        <w:t xml:space="preserve"> </w:t>
      </w:r>
      <w:r w:rsidR="00FB67E8">
        <w:t>differ from 5.</w:t>
      </w:r>
      <w:r w:rsidR="00B9298F">
        <w:t>1</w:t>
      </w:r>
      <w:r w:rsidR="00FB67E8">
        <w:t xml:space="preserve"> and 5.</w:t>
      </w:r>
      <w:r w:rsidR="00B9298F">
        <w:t>3</w:t>
      </w:r>
      <w:r w:rsidR="00FB67E8">
        <w:t xml:space="preserve"> in that that the former include</w:t>
      </w:r>
      <w:r w:rsidR="00D106FD" w:rsidRPr="00FA317F">
        <w:t xml:space="preserve"> year and state dumm</w:t>
      </w:r>
      <w:r w:rsidR="00B9298F">
        <w:t>y variables</w:t>
      </w:r>
      <w:r w:rsidR="00B150FD" w:rsidRPr="00FA317F">
        <w:t xml:space="preserve">. </w:t>
      </w:r>
      <w:r w:rsidR="00FB67E8">
        <w:t>The natural l</w:t>
      </w:r>
      <w:r w:rsidR="005303E0" w:rsidRPr="00FA317F">
        <w:t xml:space="preserve">ogarithm is taken </w:t>
      </w:r>
      <w:r w:rsidR="00FB67E8">
        <w:t>f</w:t>
      </w:r>
      <w:r w:rsidR="00EE3612">
        <w:t>or</w:t>
      </w:r>
      <w:r w:rsidR="00FB67E8">
        <w:t xml:space="preserve"> the </w:t>
      </w:r>
      <w:r w:rsidR="005303E0" w:rsidRPr="00FA317F">
        <w:t>speciali</w:t>
      </w:r>
      <w:r w:rsidR="008430B6">
        <w:t>s</w:t>
      </w:r>
      <w:r w:rsidR="005303E0" w:rsidRPr="00FA317F">
        <w:t xml:space="preserve">ation, diversity and distance </w:t>
      </w:r>
      <w:r w:rsidR="00FB67E8">
        <w:t xml:space="preserve">variables </w:t>
      </w:r>
      <w:r w:rsidR="005303E0" w:rsidRPr="00FA317F">
        <w:t xml:space="preserve">in </w:t>
      </w:r>
      <w:r w:rsidR="00FB67E8">
        <w:t>e</w:t>
      </w:r>
      <w:r w:rsidR="00455570" w:rsidRPr="00FA317F">
        <w:t>quations 5.</w:t>
      </w:r>
      <w:r w:rsidR="00B9298F">
        <w:t>3</w:t>
      </w:r>
      <w:r w:rsidR="00FB67E8">
        <w:t xml:space="preserve"> </w:t>
      </w:r>
      <w:r w:rsidR="00B9298F">
        <w:t>and 5.4</w:t>
      </w:r>
      <w:r w:rsidR="00AE4AD3" w:rsidRPr="00FA317F">
        <w:t xml:space="preserve"> and</w:t>
      </w:r>
      <w:r w:rsidR="005303E0" w:rsidRPr="00FA317F">
        <w:t xml:space="preserve"> </w:t>
      </w:r>
      <w:r w:rsidR="00FB67E8">
        <w:t>f</w:t>
      </w:r>
      <w:r w:rsidR="00EE3612">
        <w:t>or</w:t>
      </w:r>
      <w:r w:rsidR="00FB67E8">
        <w:t xml:space="preserve"> </w:t>
      </w:r>
      <w:r w:rsidR="00ED3234" w:rsidRPr="00FA317F">
        <w:t>the</w:t>
      </w:r>
      <w:r w:rsidR="005303E0" w:rsidRPr="00FA317F">
        <w:t xml:space="preserve"> </w:t>
      </w:r>
      <w:r w:rsidR="00AE4AD3" w:rsidRPr="00FA317F">
        <w:t>literacy rate</w:t>
      </w:r>
      <w:r w:rsidR="005303E0" w:rsidRPr="00FA317F">
        <w:t xml:space="preserve"> in the </w:t>
      </w:r>
      <w:r w:rsidR="008430B6">
        <w:t>e</w:t>
      </w:r>
      <w:r w:rsidR="005303E0" w:rsidRPr="00FA317F">
        <w:t>quation 5.</w:t>
      </w:r>
      <w:r w:rsidR="00B9298F">
        <w:t>3</w:t>
      </w:r>
      <w:r w:rsidR="00AE4AD3" w:rsidRPr="00FA317F">
        <w:t xml:space="preserve">. </w:t>
      </w:r>
    </w:p>
    <w:p w:rsidR="00E37FD1" w:rsidRDefault="00E37FD1" w:rsidP="00877A16">
      <w:pPr>
        <w:pStyle w:val="ListParagraph"/>
        <w:spacing w:line="276" w:lineRule="auto"/>
        <w:ind w:left="0"/>
        <w:jc w:val="center"/>
      </w:pPr>
    </w:p>
    <w:p w:rsidR="00A93AED" w:rsidRPr="00A24B44" w:rsidRDefault="00A93AED" w:rsidP="00A93AED">
      <w:pPr>
        <w:pStyle w:val="ListParagraph"/>
        <w:jc w:val="center"/>
        <w:rPr>
          <w:b/>
          <w:sz w:val="22"/>
          <w:szCs w:val="22"/>
          <w:lang w:val="en-US"/>
        </w:rPr>
      </w:pPr>
      <w:r w:rsidRPr="00A24B44">
        <w:rPr>
          <w:b/>
          <w:sz w:val="22"/>
          <w:szCs w:val="22"/>
          <w:lang w:val="en-US"/>
        </w:rPr>
        <w:t xml:space="preserve">Table 5: </w:t>
      </w:r>
      <w:r w:rsidRPr="00A24B44">
        <w:rPr>
          <w:b/>
          <w:bCs/>
          <w:sz w:val="22"/>
          <w:szCs w:val="22"/>
          <w:lang w:val="en-US"/>
        </w:rPr>
        <w:t>Panel Models with Annual Data</w:t>
      </w:r>
    </w:p>
    <w:p w:rsidR="00A93AED" w:rsidRPr="00A93AED" w:rsidRDefault="00A93AED" w:rsidP="00A93AED">
      <w:pPr>
        <w:pStyle w:val="ListParagraph"/>
        <w:jc w:val="both"/>
        <w:rPr>
          <w:b/>
          <w:sz w:val="6"/>
          <w:szCs w:val="6"/>
          <w:lang w:val="en-US"/>
        </w:rPr>
      </w:pPr>
    </w:p>
    <w:tbl>
      <w:tblPr>
        <w:tblW w:w="8221" w:type="dxa"/>
        <w:jc w:val="center"/>
        <w:tblBorders>
          <w:top w:val="single" w:sz="12" w:space="0" w:color="000000"/>
          <w:bottom w:val="single" w:sz="12" w:space="0" w:color="000000"/>
        </w:tblBorders>
        <w:tblLook w:val="04A0"/>
      </w:tblPr>
      <w:tblGrid>
        <w:gridCol w:w="2163"/>
        <w:gridCol w:w="1382"/>
        <w:gridCol w:w="1643"/>
        <w:gridCol w:w="1422"/>
        <w:gridCol w:w="1611"/>
      </w:tblGrid>
      <w:tr w:rsidR="00A93AED" w:rsidRPr="00A93AED" w:rsidTr="00C129F0">
        <w:trPr>
          <w:trHeight w:val="1269"/>
          <w:jc w:val="center"/>
        </w:trPr>
        <w:tc>
          <w:tcPr>
            <w:tcW w:w="2163" w:type="dxa"/>
            <w:tcBorders>
              <w:top w:val="single" w:sz="12" w:space="0" w:color="000000"/>
              <w:bottom w:val="single" w:sz="6" w:space="0" w:color="000000"/>
              <w:right w:val="nil"/>
            </w:tcBorders>
            <w:shd w:val="clear" w:color="auto" w:fill="auto"/>
          </w:tcPr>
          <w:p w:rsidR="00A93AED" w:rsidRPr="00A24B44" w:rsidRDefault="00A93AED" w:rsidP="006000E1">
            <w:pPr>
              <w:pStyle w:val="ListParagraph"/>
              <w:ind w:left="0"/>
              <w:jc w:val="center"/>
              <w:rPr>
                <w:iCs/>
                <w:sz w:val="22"/>
                <w:szCs w:val="22"/>
                <w:lang w:val="en-US"/>
              </w:rPr>
            </w:pPr>
          </w:p>
          <w:p w:rsidR="00A93AED" w:rsidRPr="00A24B44" w:rsidRDefault="00A93AED" w:rsidP="006000E1">
            <w:pPr>
              <w:pStyle w:val="ListParagraph"/>
              <w:ind w:left="0"/>
              <w:jc w:val="center"/>
              <w:rPr>
                <w:iCs/>
                <w:sz w:val="22"/>
                <w:szCs w:val="22"/>
                <w:lang w:val="en-US"/>
              </w:rPr>
            </w:pPr>
          </w:p>
          <w:p w:rsidR="00A93AED" w:rsidRPr="00A24B44" w:rsidRDefault="00A93AED" w:rsidP="006000E1">
            <w:pPr>
              <w:pStyle w:val="ListParagraph"/>
              <w:ind w:left="0"/>
              <w:jc w:val="center"/>
              <w:rPr>
                <w:iCs/>
                <w:sz w:val="22"/>
                <w:szCs w:val="22"/>
                <w:lang w:val="en-US"/>
              </w:rPr>
            </w:pPr>
            <w:r w:rsidRPr="00A24B44">
              <w:rPr>
                <w:iCs/>
                <w:sz w:val="22"/>
                <w:szCs w:val="22"/>
                <w:lang w:val="en-US"/>
              </w:rPr>
              <w:t>Variables</w:t>
            </w:r>
          </w:p>
        </w:tc>
        <w:tc>
          <w:tcPr>
            <w:tcW w:w="1382" w:type="dxa"/>
            <w:tcBorders>
              <w:left w:val="nil"/>
              <w:bottom w:val="single" w:sz="6" w:space="0" w:color="000000"/>
            </w:tcBorders>
            <w:shd w:val="clear" w:color="auto" w:fill="auto"/>
          </w:tcPr>
          <w:p w:rsidR="00C129F0" w:rsidRDefault="00A93AED" w:rsidP="006000E1">
            <w:pPr>
              <w:pStyle w:val="ListParagraph"/>
              <w:ind w:left="0"/>
              <w:jc w:val="center"/>
              <w:rPr>
                <w:iCs/>
                <w:sz w:val="22"/>
                <w:szCs w:val="22"/>
                <w:lang w:val="en-US"/>
              </w:rPr>
            </w:pPr>
            <w:r w:rsidRPr="00A24B44">
              <w:rPr>
                <w:iCs/>
                <w:sz w:val="22"/>
                <w:szCs w:val="22"/>
                <w:lang w:val="en-US"/>
              </w:rPr>
              <w:t xml:space="preserve">Eq. 5.1: </w:t>
            </w:r>
          </w:p>
          <w:p w:rsidR="00C129F0" w:rsidRDefault="00A93AED" w:rsidP="006000E1">
            <w:pPr>
              <w:pStyle w:val="ListParagraph"/>
              <w:ind w:left="0"/>
              <w:jc w:val="center"/>
              <w:rPr>
                <w:iCs/>
                <w:sz w:val="22"/>
                <w:szCs w:val="22"/>
                <w:lang w:val="en-US"/>
              </w:rPr>
            </w:pPr>
            <w:r w:rsidRPr="00A24B44">
              <w:rPr>
                <w:iCs/>
                <w:sz w:val="22"/>
                <w:szCs w:val="22"/>
                <w:lang w:val="en-US"/>
              </w:rPr>
              <w:t xml:space="preserve">OLS </w:t>
            </w:r>
          </w:p>
          <w:p w:rsidR="00A93AED" w:rsidRPr="00A24B44" w:rsidRDefault="00A93AED" w:rsidP="006000E1">
            <w:pPr>
              <w:pStyle w:val="ListParagraph"/>
              <w:ind w:left="0"/>
              <w:jc w:val="center"/>
              <w:rPr>
                <w:iCs/>
                <w:sz w:val="22"/>
                <w:szCs w:val="22"/>
                <w:lang w:val="en-US"/>
              </w:rPr>
            </w:pPr>
            <w:r w:rsidRPr="00A24B44">
              <w:rPr>
                <w:iCs/>
                <w:sz w:val="22"/>
                <w:szCs w:val="22"/>
                <w:lang w:val="en-US"/>
              </w:rPr>
              <w:t>Model</w:t>
            </w:r>
          </w:p>
        </w:tc>
        <w:tc>
          <w:tcPr>
            <w:tcW w:w="1643" w:type="dxa"/>
            <w:tcBorders>
              <w:bottom w:val="single" w:sz="6" w:space="0" w:color="000000"/>
            </w:tcBorders>
            <w:shd w:val="clear" w:color="auto" w:fill="auto"/>
          </w:tcPr>
          <w:p w:rsidR="00A93AED" w:rsidRPr="00A24B44" w:rsidRDefault="00A93AED" w:rsidP="006000E1">
            <w:pPr>
              <w:jc w:val="center"/>
              <w:rPr>
                <w:iCs/>
                <w:sz w:val="22"/>
                <w:szCs w:val="22"/>
                <w:lang w:val="en-US"/>
              </w:rPr>
            </w:pPr>
            <w:r w:rsidRPr="00A24B44">
              <w:rPr>
                <w:iCs/>
                <w:sz w:val="22"/>
                <w:szCs w:val="22"/>
                <w:lang w:val="en-US"/>
              </w:rPr>
              <w:t xml:space="preserve">Eq. 5.2: </w:t>
            </w:r>
          </w:p>
          <w:p w:rsidR="00A93AED" w:rsidRPr="00A24B44" w:rsidRDefault="00A93AED" w:rsidP="006000E1">
            <w:pPr>
              <w:jc w:val="center"/>
              <w:rPr>
                <w:iCs/>
                <w:sz w:val="22"/>
                <w:szCs w:val="22"/>
              </w:rPr>
            </w:pPr>
            <w:r w:rsidRPr="00A24B44">
              <w:rPr>
                <w:iCs/>
                <w:sz w:val="22"/>
                <w:szCs w:val="22"/>
                <w:lang w:val="en-US"/>
              </w:rPr>
              <w:t>OLS Model with Year and State Fixed Effects</w:t>
            </w:r>
          </w:p>
        </w:tc>
        <w:tc>
          <w:tcPr>
            <w:tcW w:w="1422" w:type="dxa"/>
            <w:tcBorders>
              <w:bottom w:val="single" w:sz="6" w:space="0" w:color="000000"/>
            </w:tcBorders>
            <w:shd w:val="clear" w:color="auto" w:fill="auto"/>
          </w:tcPr>
          <w:p w:rsidR="00C129F0" w:rsidRDefault="00A93AED" w:rsidP="006000E1">
            <w:pPr>
              <w:jc w:val="center"/>
              <w:rPr>
                <w:iCs/>
                <w:sz w:val="22"/>
                <w:szCs w:val="22"/>
                <w:lang w:val="en-US"/>
              </w:rPr>
            </w:pPr>
            <w:r w:rsidRPr="00A24B44">
              <w:rPr>
                <w:iCs/>
                <w:sz w:val="22"/>
                <w:szCs w:val="22"/>
                <w:lang w:val="en-US"/>
              </w:rPr>
              <w:t xml:space="preserve">Eq. 5.3: </w:t>
            </w:r>
          </w:p>
          <w:p w:rsidR="00C129F0" w:rsidRDefault="00A93AED" w:rsidP="006000E1">
            <w:pPr>
              <w:jc w:val="center"/>
              <w:rPr>
                <w:iCs/>
                <w:sz w:val="22"/>
                <w:szCs w:val="22"/>
                <w:lang w:val="en-US"/>
              </w:rPr>
            </w:pPr>
            <w:r w:rsidRPr="00A24B44">
              <w:rPr>
                <w:iCs/>
                <w:sz w:val="22"/>
                <w:szCs w:val="22"/>
                <w:lang w:val="en-US"/>
              </w:rPr>
              <w:t xml:space="preserve">OLS </w:t>
            </w:r>
          </w:p>
          <w:p w:rsidR="00A93AED" w:rsidRPr="00A24B44" w:rsidRDefault="00A93AED" w:rsidP="006000E1">
            <w:pPr>
              <w:jc w:val="center"/>
              <w:rPr>
                <w:iCs/>
                <w:sz w:val="22"/>
                <w:szCs w:val="22"/>
              </w:rPr>
            </w:pPr>
            <w:r w:rsidRPr="00A24B44">
              <w:rPr>
                <w:iCs/>
                <w:sz w:val="22"/>
                <w:szCs w:val="22"/>
                <w:lang w:val="en-US"/>
              </w:rPr>
              <w:t>Model</w:t>
            </w:r>
          </w:p>
        </w:tc>
        <w:tc>
          <w:tcPr>
            <w:tcW w:w="1611" w:type="dxa"/>
            <w:tcBorders>
              <w:bottom w:val="single" w:sz="6" w:space="0" w:color="000000"/>
            </w:tcBorders>
            <w:shd w:val="clear" w:color="auto" w:fill="auto"/>
          </w:tcPr>
          <w:p w:rsidR="00A93AED" w:rsidRPr="00A24B44" w:rsidRDefault="00A93AED" w:rsidP="006000E1">
            <w:pPr>
              <w:jc w:val="center"/>
              <w:rPr>
                <w:iCs/>
                <w:sz w:val="22"/>
                <w:szCs w:val="22"/>
                <w:lang w:val="en-US"/>
              </w:rPr>
            </w:pPr>
            <w:r w:rsidRPr="00A24B44">
              <w:rPr>
                <w:iCs/>
                <w:sz w:val="22"/>
                <w:szCs w:val="22"/>
                <w:lang w:val="en-US"/>
              </w:rPr>
              <w:t xml:space="preserve">Eq. 5.4: </w:t>
            </w:r>
          </w:p>
          <w:p w:rsidR="00A93AED" w:rsidRPr="00A24B44" w:rsidRDefault="00A93AED" w:rsidP="006000E1">
            <w:pPr>
              <w:jc w:val="center"/>
              <w:rPr>
                <w:iCs/>
                <w:sz w:val="22"/>
                <w:szCs w:val="22"/>
              </w:rPr>
            </w:pPr>
            <w:r w:rsidRPr="00A24B44">
              <w:rPr>
                <w:iCs/>
                <w:sz w:val="22"/>
                <w:szCs w:val="22"/>
                <w:lang w:val="en-US"/>
              </w:rPr>
              <w:t>OLS Model with Year and State Fixed Effects</w:t>
            </w:r>
          </w:p>
        </w:tc>
      </w:tr>
      <w:tr w:rsidR="00A93AED" w:rsidRPr="00A93AED" w:rsidTr="00C129F0">
        <w:trPr>
          <w:trHeight w:val="513"/>
          <w:jc w:val="center"/>
        </w:trPr>
        <w:tc>
          <w:tcPr>
            <w:tcW w:w="2163" w:type="dxa"/>
            <w:tcBorders>
              <w:right w:val="nil"/>
            </w:tcBorders>
            <w:shd w:val="clear" w:color="auto" w:fill="auto"/>
          </w:tcPr>
          <w:p w:rsidR="00A93AED" w:rsidRPr="00A93AED" w:rsidRDefault="00A93AED" w:rsidP="006000E1">
            <w:pPr>
              <w:pStyle w:val="ListParagraph"/>
              <w:ind w:left="0"/>
              <w:rPr>
                <w:sz w:val="22"/>
                <w:szCs w:val="22"/>
                <w:lang w:val="en-US"/>
              </w:rPr>
            </w:pPr>
            <w:r w:rsidRPr="00A93AED">
              <w:rPr>
                <w:sz w:val="22"/>
                <w:szCs w:val="22"/>
                <w:lang w:val="en-US"/>
              </w:rPr>
              <w:t>Constant</w:t>
            </w:r>
          </w:p>
        </w:tc>
        <w:tc>
          <w:tcPr>
            <w:tcW w:w="1382" w:type="dxa"/>
            <w:tcBorders>
              <w:left w:val="nil"/>
            </w:tcBorders>
            <w:shd w:val="clear" w:color="auto" w:fill="auto"/>
          </w:tcPr>
          <w:p w:rsidR="00A93AED" w:rsidRPr="00A93AED" w:rsidRDefault="00A93AED" w:rsidP="006000E1">
            <w:pPr>
              <w:pStyle w:val="ListParagraph"/>
              <w:ind w:left="0"/>
              <w:jc w:val="both"/>
              <w:rPr>
                <w:sz w:val="22"/>
                <w:szCs w:val="22"/>
                <w:lang w:val="en-US"/>
              </w:rPr>
            </w:pPr>
            <w:r w:rsidRPr="00A93AED">
              <w:rPr>
                <w:sz w:val="22"/>
                <w:szCs w:val="22"/>
                <w:lang w:val="en-US"/>
              </w:rPr>
              <w:t>-0.1158**</w:t>
            </w:r>
          </w:p>
          <w:p w:rsidR="00A93AED" w:rsidRPr="00A93AED" w:rsidRDefault="00A93AED" w:rsidP="006000E1">
            <w:pPr>
              <w:pStyle w:val="ListParagraph"/>
              <w:ind w:left="0"/>
              <w:jc w:val="both"/>
              <w:rPr>
                <w:sz w:val="22"/>
                <w:szCs w:val="22"/>
                <w:lang w:val="en-US"/>
              </w:rPr>
            </w:pPr>
            <w:r w:rsidRPr="00A93AED">
              <w:rPr>
                <w:sz w:val="22"/>
                <w:szCs w:val="22"/>
                <w:lang w:val="en-US"/>
              </w:rPr>
              <w:t>(-2.55)</w:t>
            </w:r>
          </w:p>
        </w:tc>
        <w:tc>
          <w:tcPr>
            <w:tcW w:w="1643" w:type="dxa"/>
            <w:shd w:val="clear" w:color="auto" w:fill="auto"/>
          </w:tcPr>
          <w:p w:rsidR="00A93AED" w:rsidRPr="00A93AED" w:rsidRDefault="00A93AED" w:rsidP="006000E1">
            <w:pPr>
              <w:pStyle w:val="ListParagraph"/>
              <w:ind w:left="0"/>
              <w:jc w:val="both"/>
              <w:rPr>
                <w:sz w:val="22"/>
                <w:szCs w:val="22"/>
                <w:lang w:val="en-US"/>
              </w:rPr>
            </w:pPr>
            <w:r w:rsidRPr="00A93AED">
              <w:rPr>
                <w:sz w:val="22"/>
                <w:szCs w:val="22"/>
                <w:lang w:val="en-US"/>
              </w:rPr>
              <w:t xml:space="preserve">-0.5912** </w:t>
            </w:r>
          </w:p>
          <w:p w:rsidR="00A93AED" w:rsidRPr="00A93AED" w:rsidRDefault="00A93AED" w:rsidP="006000E1">
            <w:pPr>
              <w:pStyle w:val="ListParagraph"/>
              <w:ind w:left="0"/>
              <w:jc w:val="both"/>
              <w:rPr>
                <w:sz w:val="22"/>
                <w:szCs w:val="22"/>
                <w:lang w:val="en-US"/>
              </w:rPr>
            </w:pPr>
            <w:r w:rsidRPr="00A93AED">
              <w:rPr>
                <w:sz w:val="22"/>
                <w:szCs w:val="22"/>
                <w:lang w:val="en-US"/>
              </w:rPr>
              <w:t>(-2.42)</w:t>
            </w:r>
          </w:p>
        </w:tc>
        <w:tc>
          <w:tcPr>
            <w:tcW w:w="1422" w:type="dxa"/>
            <w:shd w:val="clear" w:color="auto" w:fill="auto"/>
          </w:tcPr>
          <w:p w:rsidR="00A93AED" w:rsidRPr="00A93AED" w:rsidRDefault="00A93AED" w:rsidP="006000E1">
            <w:pPr>
              <w:pStyle w:val="ListParagraph"/>
              <w:ind w:left="0"/>
              <w:jc w:val="both"/>
              <w:rPr>
                <w:sz w:val="22"/>
                <w:szCs w:val="22"/>
                <w:lang w:val="en-US"/>
              </w:rPr>
            </w:pPr>
            <w:r w:rsidRPr="00A93AED">
              <w:rPr>
                <w:sz w:val="22"/>
                <w:szCs w:val="22"/>
                <w:lang w:val="en-US"/>
              </w:rPr>
              <w:t xml:space="preserve">-0.0351 </w:t>
            </w:r>
          </w:p>
          <w:p w:rsidR="00A93AED" w:rsidRPr="00A93AED" w:rsidRDefault="00A93AED" w:rsidP="006000E1">
            <w:pPr>
              <w:pStyle w:val="ListParagraph"/>
              <w:ind w:left="0"/>
              <w:jc w:val="both"/>
              <w:rPr>
                <w:sz w:val="22"/>
                <w:szCs w:val="22"/>
                <w:lang w:val="en-US"/>
              </w:rPr>
            </w:pPr>
            <w:r w:rsidRPr="00A93AED">
              <w:rPr>
                <w:sz w:val="22"/>
                <w:szCs w:val="22"/>
                <w:lang w:val="en-US"/>
              </w:rPr>
              <w:t>(-0.15)</w:t>
            </w:r>
          </w:p>
        </w:tc>
        <w:tc>
          <w:tcPr>
            <w:tcW w:w="1611" w:type="dxa"/>
            <w:shd w:val="clear" w:color="auto" w:fill="auto"/>
          </w:tcPr>
          <w:p w:rsidR="00A93AED" w:rsidRPr="00A93AED" w:rsidRDefault="00A93AED" w:rsidP="006000E1">
            <w:pPr>
              <w:pStyle w:val="ListParagraph"/>
              <w:ind w:left="0"/>
              <w:jc w:val="both"/>
              <w:rPr>
                <w:sz w:val="22"/>
                <w:szCs w:val="22"/>
                <w:lang w:val="en-US"/>
              </w:rPr>
            </w:pPr>
            <w:r w:rsidRPr="00A93AED">
              <w:rPr>
                <w:sz w:val="22"/>
                <w:szCs w:val="22"/>
                <w:lang w:val="en-US"/>
              </w:rPr>
              <w:t xml:space="preserve">-0.2695*** </w:t>
            </w:r>
          </w:p>
          <w:p w:rsidR="00A93AED" w:rsidRPr="00A93AED" w:rsidRDefault="00A93AED" w:rsidP="006000E1">
            <w:pPr>
              <w:pStyle w:val="ListParagraph"/>
              <w:ind w:left="0"/>
              <w:jc w:val="both"/>
              <w:rPr>
                <w:sz w:val="22"/>
                <w:szCs w:val="22"/>
                <w:lang w:val="en-US"/>
              </w:rPr>
            </w:pPr>
            <w:r w:rsidRPr="00A93AED">
              <w:rPr>
                <w:sz w:val="22"/>
                <w:szCs w:val="22"/>
                <w:lang w:val="en-US"/>
              </w:rPr>
              <w:t>(-3.85)</w:t>
            </w:r>
          </w:p>
        </w:tc>
      </w:tr>
      <w:tr w:rsidR="00A93AED" w:rsidRPr="00A93AED" w:rsidTr="00C129F0">
        <w:trPr>
          <w:trHeight w:val="513"/>
          <w:jc w:val="center"/>
        </w:trPr>
        <w:tc>
          <w:tcPr>
            <w:tcW w:w="2163" w:type="dxa"/>
            <w:tcBorders>
              <w:right w:val="nil"/>
            </w:tcBorders>
            <w:shd w:val="clear" w:color="auto" w:fill="auto"/>
          </w:tcPr>
          <w:p w:rsidR="00A93AED" w:rsidRPr="00A93AED" w:rsidRDefault="00A93AED" w:rsidP="006000E1">
            <w:pPr>
              <w:pStyle w:val="ListParagraph"/>
              <w:ind w:left="0"/>
              <w:rPr>
                <w:sz w:val="22"/>
                <w:szCs w:val="22"/>
                <w:lang w:val="en-US"/>
              </w:rPr>
            </w:pPr>
            <w:r w:rsidRPr="00A93AED">
              <w:rPr>
                <w:sz w:val="22"/>
                <w:szCs w:val="22"/>
                <w:lang w:val="en-US"/>
              </w:rPr>
              <w:t>Lag of the dependent variable</w:t>
            </w:r>
          </w:p>
        </w:tc>
        <w:tc>
          <w:tcPr>
            <w:tcW w:w="1382" w:type="dxa"/>
            <w:tcBorders>
              <w:left w:val="nil"/>
            </w:tcBorders>
            <w:shd w:val="clear" w:color="auto" w:fill="auto"/>
          </w:tcPr>
          <w:p w:rsidR="00A93AED" w:rsidRPr="00A93AED" w:rsidRDefault="00A93AED" w:rsidP="006000E1">
            <w:pPr>
              <w:pStyle w:val="ListParagraph"/>
              <w:ind w:left="0"/>
              <w:jc w:val="both"/>
              <w:rPr>
                <w:sz w:val="22"/>
                <w:szCs w:val="22"/>
                <w:lang w:val="en-US"/>
              </w:rPr>
            </w:pPr>
            <w:r w:rsidRPr="00A93AED">
              <w:rPr>
                <w:sz w:val="22"/>
                <w:szCs w:val="22"/>
                <w:lang w:val="en-US"/>
              </w:rPr>
              <w:t>-0.2956***</w:t>
            </w:r>
          </w:p>
          <w:p w:rsidR="00A93AED" w:rsidRPr="00A93AED" w:rsidRDefault="00A93AED" w:rsidP="006000E1">
            <w:pPr>
              <w:pStyle w:val="ListParagraph"/>
              <w:ind w:left="0"/>
              <w:jc w:val="both"/>
              <w:rPr>
                <w:sz w:val="22"/>
                <w:szCs w:val="22"/>
                <w:lang w:val="en-US"/>
              </w:rPr>
            </w:pPr>
            <w:r w:rsidRPr="00A93AED">
              <w:rPr>
                <w:sz w:val="22"/>
                <w:szCs w:val="22"/>
                <w:lang w:val="en-US"/>
              </w:rPr>
              <w:t>(-4.46)</w:t>
            </w:r>
          </w:p>
        </w:tc>
        <w:tc>
          <w:tcPr>
            <w:tcW w:w="1643" w:type="dxa"/>
            <w:shd w:val="clear" w:color="auto" w:fill="auto"/>
          </w:tcPr>
          <w:p w:rsidR="00A93AED" w:rsidRPr="00A93AED" w:rsidRDefault="00A93AED" w:rsidP="006000E1">
            <w:pPr>
              <w:pStyle w:val="ListParagraph"/>
              <w:ind w:left="0"/>
              <w:jc w:val="both"/>
              <w:rPr>
                <w:sz w:val="22"/>
                <w:szCs w:val="22"/>
                <w:lang w:val="en-US"/>
              </w:rPr>
            </w:pPr>
            <w:r w:rsidRPr="00A93AED">
              <w:rPr>
                <w:sz w:val="22"/>
                <w:szCs w:val="22"/>
                <w:lang w:val="en-US"/>
              </w:rPr>
              <w:t xml:space="preserve">-0.3622*** </w:t>
            </w:r>
          </w:p>
          <w:p w:rsidR="00A93AED" w:rsidRPr="00A93AED" w:rsidRDefault="00A93AED" w:rsidP="006000E1">
            <w:pPr>
              <w:pStyle w:val="ListParagraph"/>
              <w:ind w:left="0"/>
              <w:jc w:val="both"/>
              <w:rPr>
                <w:sz w:val="22"/>
                <w:szCs w:val="22"/>
                <w:lang w:val="en-US"/>
              </w:rPr>
            </w:pPr>
            <w:r w:rsidRPr="00A93AED">
              <w:rPr>
                <w:sz w:val="22"/>
                <w:szCs w:val="22"/>
                <w:lang w:val="en-US"/>
              </w:rPr>
              <w:t>(-8.02)</w:t>
            </w:r>
          </w:p>
        </w:tc>
        <w:tc>
          <w:tcPr>
            <w:tcW w:w="1422" w:type="dxa"/>
            <w:shd w:val="clear" w:color="auto" w:fill="auto"/>
          </w:tcPr>
          <w:p w:rsidR="00A93AED" w:rsidRPr="00A93AED" w:rsidRDefault="00A93AED" w:rsidP="006000E1">
            <w:pPr>
              <w:pStyle w:val="ListParagraph"/>
              <w:ind w:left="0"/>
              <w:jc w:val="both"/>
              <w:rPr>
                <w:sz w:val="22"/>
                <w:szCs w:val="22"/>
                <w:lang w:val="en-US"/>
              </w:rPr>
            </w:pPr>
            <w:r w:rsidRPr="00A93AED">
              <w:rPr>
                <w:sz w:val="22"/>
                <w:szCs w:val="22"/>
                <w:lang w:val="en-US"/>
              </w:rPr>
              <w:t xml:space="preserve">-0.3344*** </w:t>
            </w:r>
          </w:p>
          <w:p w:rsidR="00A93AED" w:rsidRPr="00A93AED" w:rsidRDefault="00A93AED" w:rsidP="006000E1">
            <w:pPr>
              <w:pStyle w:val="ListParagraph"/>
              <w:ind w:left="0"/>
              <w:jc w:val="both"/>
              <w:rPr>
                <w:sz w:val="22"/>
                <w:szCs w:val="22"/>
                <w:lang w:val="en-US"/>
              </w:rPr>
            </w:pPr>
            <w:r w:rsidRPr="00A93AED">
              <w:rPr>
                <w:sz w:val="22"/>
                <w:szCs w:val="22"/>
                <w:lang w:val="en-US"/>
              </w:rPr>
              <w:t>(-5.21)</w:t>
            </w:r>
          </w:p>
        </w:tc>
        <w:tc>
          <w:tcPr>
            <w:tcW w:w="1611" w:type="dxa"/>
            <w:shd w:val="clear" w:color="auto" w:fill="auto"/>
          </w:tcPr>
          <w:p w:rsidR="00A93AED" w:rsidRPr="00A93AED" w:rsidRDefault="00A93AED" w:rsidP="006000E1">
            <w:pPr>
              <w:pStyle w:val="ListParagraph"/>
              <w:ind w:left="0"/>
              <w:jc w:val="both"/>
              <w:rPr>
                <w:sz w:val="22"/>
                <w:szCs w:val="22"/>
                <w:lang w:val="en-US"/>
              </w:rPr>
            </w:pPr>
            <w:r w:rsidRPr="00A93AED">
              <w:rPr>
                <w:sz w:val="22"/>
                <w:szCs w:val="22"/>
                <w:lang w:val="en-US"/>
              </w:rPr>
              <w:t xml:space="preserve">-0.3801*** </w:t>
            </w:r>
          </w:p>
          <w:p w:rsidR="00A93AED" w:rsidRPr="00A93AED" w:rsidRDefault="00A93AED" w:rsidP="006000E1">
            <w:pPr>
              <w:pStyle w:val="ListParagraph"/>
              <w:ind w:left="0"/>
              <w:jc w:val="both"/>
              <w:rPr>
                <w:sz w:val="22"/>
                <w:szCs w:val="22"/>
                <w:lang w:val="en-US"/>
              </w:rPr>
            </w:pPr>
            <w:r w:rsidRPr="00A93AED">
              <w:rPr>
                <w:sz w:val="22"/>
                <w:szCs w:val="22"/>
                <w:lang w:val="en-US"/>
              </w:rPr>
              <w:t>(-7.66)</w:t>
            </w:r>
          </w:p>
        </w:tc>
      </w:tr>
      <w:tr w:rsidR="00A93AED" w:rsidRPr="00A93AED" w:rsidTr="00C129F0">
        <w:trPr>
          <w:trHeight w:val="513"/>
          <w:jc w:val="center"/>
        </w:trPr>
        <w:tc>
          <w:tcPr>
            <w:tcW w:w="2163" w:type="dxa"/>
            <w:tcBorders>
              <w:right w:val="nil"/>
            </w:tcBorders>
            <w:shd w:val="clear" w:color="auto" w:fill="auto"/>
          </w:tcPr>
          <w:p w:rsidR="00A93AED" w:rsidRPr="00A93AED" w:rsidRDefault="00A93AED" w:rsidP="006000E1">
            <w:pPr>
              <w:pStyle w:val="ListParagraph"/>
              <w:ind w:left="0"/>
              <w:rPr>
                <w:sz w:val="22"/>
                <w:szCs w:val="22"/>
                <w:lang w:val="en-US"/>
              </w:rPr>
            </w:pPr>
            <w:proofErr w:type="spellStart"/>
            <w:r w:rsidRPr="00A93AED">
              <w:rPr>
                <w:sz w:val="22"/>
                <w:szCs w:val="22"/>
                <w:lang w:val="en-US"/>
              </w:rPr>
              <w:t>Specialisation</w:t>
            </w:r>
            <w:proofErr w:type="spellEnd"/>
          </w:p>
        </w:tc>
        <w:tc>
          <w:tcPr>
            <w:tcW w:w="1382" w:type="dxa"/>
            <w:tcBorders>
              <w:left w:val="nil"/>
            </w:tcBorders>
            <w:shd w:val="clear" w:color="auto" w:fill="auto"/>
          </w:tcPr>
          <w:p w:rsidR="00A93AED" w:rsidRPr="00A93AED" w:rsidRDefault="00A93AED" w:rsidP="006000E1">
            <w:pPr>
              <w:pStyle w:val="ListParagraph"/>
              <w:ind w:left="0"/>
              <w:jc w:val="both"/>
              <w:rPr>
                <w:sz w:val="22"/>
                <w:szCs w:val="22"/>
                <w:lang w:val="en-US"/>
              </w:rPr>
            </w:pPr>
            <w:r w:rsidRPr="00A93AED">
              <w:rPr>
                <w:sz w:val="22"/>
                <w:szCs w:val="22"/>
                <w:lang w:val="en-US"/>
              </w:rPr>
              <w:t>0.0298</w:t>
            </w:r>
          </w:p>
          <w:p w:rsidR="00A93AED" w:rsidRPr="00A93AED" w:rsidRDefault="00A93AED" w:rsidP="006000E1">
            <w:pPr>
              <w:pStyle w:val="ListParagraph"/>
              <w:ind w:left="0"/>
              <w:jc w:val="both"/>
              <w:rPr>
                <w:sz w:val="22"/>
                <w:szCs w:val="22"/>
                <w:lang w:val="en-US"/>
              </w:rPr>
            </w:pPr>
            <w:r w:rsidRPr="00A93AED">
              <w:rPr>
                <w:sz w:val="22"/>
                <w:szCs w:val="22"/>
                <w:lang w:val="en-US"/>
              </w:rPr>
              <w:t>(1.07)</w:t>
            </w:r>
          </w:p>
        </w:tc>
        <w:tc>
          <w:tcPr>
            <w:tcW w:w="1643" w:type="dxa"/>
            <w:shd w:val="clear" w:color="auto" w:fill="auto"/>
          </w:tcPr>
          <w:p w:rsidR="00A93AED" w:rsidRPr="00A93AED" w:rsidRDefault="00A93AED" w:rsidP="006000E1">
            <w:pPr>
              <w:pStyle w:val="ListParagraph"/>
              <w:ind w:left="0"/>
              <w:jc w:val="both"/>
              <w:rPr>
                <w:sz w:val="22"/>
                <w:szCs w:val="22"/>
                <w:lang w:val="en-US"/>
              </w:rPr>
            </w:pPr>
            <w:r w:rsidRPr="00A93AED">
              <w:rPr>
                <w:sz w:val="22"/>
                <w:szCs w:val="22"/>
                <w:lang w:val="en-US"/>
              </w:rPr>
              <w:t>0.4676***</w:t>
            </w:r>
          </w:p>
          <w:p w:rsidR="00A93AED" w:rsidRPr="00A93AED" w:rsidRDefault="00A93AED" w:rsidP="006000E1">
            <w:pPr>
              <w:pStyle w:val="ListParagraph"/>
              <w:ind w:left="0"/>
              <w:jc w:val="both"/>
              <w:rPr>
                <w:sz w:val="22"/>
                <w:szCs w:val="22"/>
                <w:lang w:val="en-US"/>
              </w:rPr>
            </w:pPr>
            <w:r w:rsidRPr="00A93AED">
              <w:rPr>
                <w:sz w:val="22"/>
                <w:szCs w:val="22"/>
                <w:lang w:val="en-US"/>
              </w:rPr>
              <w:t>(3.49)</w:t>
            </w:r>
          </w:p>
        </w:tc>
        <w:tc>
          <w:tcPr>
            <w:tcW w:w="1422" w:type="dxa"/>
            <w:shd w:val="clear" w:color="auto" w:fill="auto"/>
          </w:tcPr>
          <w:p w:rsidR="00A93AED" w:rsidRPr="00A93AED" w:rsidRDefault="00A93AED" w:rsidP="006000E1">
            <w:pPr>
              <w:pStyle w:val="ListParagraph"/>
              <w:ind w:left="0"/>
              <w:jc w:val="both"/>
              <w:rPr>
                <w:sz w:val="22"/>
                <w:szCs w:val="22"/>
                <w:lang w:val="en-US"/>
              </w:rPr>
            </w:pPr>
            <w:r w:rsidRPr="00A93AED">
              <w:rPr>
                <w:sz w:val="22"/>
                <w:szCs w:val="22"/>
                <w:lang w:val="en-US"/>
              </w:rPr>
              <w:t xml:space="preserve">0.0616* </w:t>
            </w:r>
          </w:p>
          <w:p w:rsidR="00A93AED" w:rsidRPr="00A93AED" w:rsidRDefault="00A93AED" w:rsidP="006000E1">
            <w:pPr>
              <w:pStyle w:val="ListParagraph"/>
              <w:ind w:left="0"/>
              <w:jc w:val="both"/>
              <w:rPr>
                <w:sz w:val="22"/>
                <w:szCs w:val="22"/>
                <w:lang w:val="en-US"/>
              </w:rPr>
            </w:pPr>
            <w:r w:rsidRPr="00A93AED">
              <w:rPr>
                <w:sz w:val="22"/>
                <w:szCs w:val="22"/>
                <w:lang w:val="en-US"/>
              </w:rPr>
              <w:t>(1.92)</w:t>
            </w:r>
          </w:p>
        </w:tc>
        <w:tc>
          <w:tcPr>
            <w:tcW w:w="1611" w:type="dxa"/>
            <w:shd w:val="clear" w:color="auto" w:fill="auto"/>
          </w:tcPr>
          <w:p w:rsidR="00A93AED" w:rsidRPr="00A93AED" w:rsidRDefault="00A93AED" w:rsidP="006000E1">
            <w:pPr>
              <w:pStyle w:val="ListParagraph"/>
              <w:ind w:left="0"/>
              <w:jc w:val="both"/>
              <w:rPr>
                <w:sz w:val="22"/>
                <w:szCs w:val="22"/>
                <w:lang w:val="en-US"/>
              </w:rPr>
            </w:pPr>
            <w:r w:rsidRPr="00A93AED">
              <w:rPr>
                <w:sz w:val="22"/>
                <w:szCs w:val="22"/>
                <w:lang w:val="en-US"/>
              </w:rPr>
              <w:t xml:space="preserve">0.4370*** </w:t>
            </w:r>
          </w:p>
          <w:p w:rsidR="00A93AED" w:rsidRPr="00A93AED" w:rsidRDefault="00A93AED" w:rsidP="006000E1">
            <w:pPr>
              <w:pStyle w:val="ListParagraph"/>
              <w:ind w:left="0"/>
              <w:jc w:val="both"/>
              <w:rPr>
                <w:sz w:val="22"/>
                <w:szCs w:val="22"/>
                <w:lang w:val="en-US"/>
              </w:rPr>
            </w:pPr>
            <w:r w:rsidRPr="00A93AED">
              <w:rPr>
                <w:sz w:val="22"/>
                <w:szCs w:val="22"/>
                <w:lang w:val="en-US"/>
              </w:rPr>
              <w:t>(4.73)</w:t>
            </w:r>
          </w:p>
        </w:tc>
      </w:tr>
      <w:tr w:rsidR="00A93AED" w:rsidRPr="00A93AED" w:rsidTr="00C129F0">
        <w:trPr>
          <w:trHeight w:val="513"/>
          <w:jc w:val="center"/>
        </w:trPr>
        <w:tc>
          <w:tcPr>
            <w:tcW w:w="2163" w:type="dxa"/>
            <w:tcBorders>
              <w:right w:val="nil"/>
            </w:tcBorders>
            <w:shd w:val="clear" w:color="auto" w:fill="auto"/>
          </w:tcPr>
          <w:p w:rsidR="00A93AED" w:rsidRPr="00A93AED" w:rsidRDefault="00A93AED" w:rsidP="006000E1">
            <w:pPr>
              <w:pStyle w:val="ListParagraph"/>
              <w:ind w:left="0"/>
              <w:rPr>
                <w:sz w:val="22"/>
                <w:szCs w:val="22"/>
                <w:lang w:val="en-US"/>
              </w:rPr>
            </w:pPr>
            <w:r w:rsidRPr="00A93AED">
              <w:rPr>
                <w:sz w:val="22"/>
                <w:szCs w:val="22"/>
                <w:lang w:val="en-US"/>
              </w:rPr>
              <w:t>Diversity</w:t>
            </w:r>
          </w:p>
        </w:tc>
        <w:tc>
          <w:tcPr>
            <w:tcW w:w="1382" w:type="dxa"/>
            <w:tcBorders>
              <w:left w:val="nil"/>
            </w:tcBorders>
            <w:shd w:val="clear" w:color="auto" w:fill="auto"/>
          </w:tcPr>
          <w:p w:rsidR="00A93AED" w:rsidRPr="00A93AED" w:rsidRDefault="00A93AED" w:rsidP="006000E1">
            <w:pPr>
              <w:pStyle w:val="ListParagraph"/>
              <w:ind w:left="0"/>
              <w:jc w:val="both"/>
              <w:rPr>
                <w:sz w:val="22"/>
                <w:szCs w:val="22"/>
                <w:lang w:val="en-US"/>
              </w:rPr>
            </w:pPr>
            <w:r w:rsidRPr="00A93AED">
              <w:rPr>
                <w:sz w:val="22"/>
                <w:szCs w:val="22"/>
                <w:lang w:val="en-US"/>
              </w:rPr>
              <w:t>0.0126</w:t>
            </w:r>
          </w:p>
          <w:p w:rsidR="00A93AED" w:rsidRPr="00A93AED" w:rsidRDefault="00A93AED" w:rsidP="006000E1">
            <w:pPr>
              <w:pStyle w:val="ListParagraph"/>
              <w:ind w:left="0"/>
              <w:jc w:val="both"/>
              <w:rPr>
                <w:sz w:val="22"/>
                <w:szCs w:val="22"/>
                <w:lang w:val="en-US"/>
              </w:rPr>
            </w:pPr>
            <w:r w:rsidRPr="00A93AED">
              <w:rPr>
                <w:sz w:val="22"/>
                <w:szCs w:val="22"/>
                <w:lang w:val="en-US"/>
              </w:rPr>
              <w:t>(0.32)</w:t>
            </w:r>
          </w:p>
        </w:tc>
        <w:tc>
          <w:tcPr>
            <w:tcW w:w="1643" w:type="dxa"/>
            <w:shd w:val="clear" w:color="auto" w:fill="auto"/>
          </w:tcPr>
          <w:p w:rsidR="00A93AED" w:rsidRPr="00A93AED" w:rsidRDefault="00A93AED" w:rsidP="006000E1">
            <w:pPr>
              <w:pStyle w:val="ListParagraph"/>
              <w:ind w:left="0"/>
              <w:jc w:val="both"/>
              <w:rPr>
                <w:sz w:val="22"/>
                <w:szCs w:val="22"/>
                <w:lang w:val="en-US"/>
              </w:rPr>
            </w:pPr>
            <w:r w:rsidRPr="00A93AED">
              <w:rPr>
                <w:sz w:val="22"/>
                <w:szCs w:val="22"/>
                <w:lang w:val="en-US"/>
              </w:rPr>
              <w:t xml:space="preserve">-0.0381 </w:t>
            </w:r>
          </w:p>
          <w:p w:rsidR="00A93AED" w:rsidRPr="00A93AED" w:rsidRDefault="00A93AED" w:rsidP="006000E1">
            <w:pPr>
              <w:pStyle w:val="ListParagraph"/>
              <w:ind w:left="0"/>
              <w:jc w:val="both"/>
              <w:rPr>
                <w:sz w:val="22"/>
                <w:szCs w:val="22"/>
                <w:lang w:val="en-US"/>
              </w:rPr>
            </w:pPr>
            <w:r w:rsidRPr="00A93AED">
              <w:rPr>
                <w:sz w:val="22"/>
                <w:szCs w:val="22"/>
                <w:lang w:val="en-US"/>
              </w:rPr>
              <w:t>(-0.68)</w:t>
            </w:r>
          </w:p>
        </w:tc>
        <w:tc>
          <w:tcPr>
            <w:tcW w:w="1422" w:type="dxa"/>
            <w:shd w:val="clear" w:color="auto" w:fill="auto"/>
          </w:tcPr>
          <w:p w:rsidR="00A93AED" w:rsidRPr="00A93AED" w:rsidRDefault="00A93AED" w:rsidP="006000E1">
            <w:pPr>
              <w:pStyle w:val="ListParagraph"/>
              <w:ind w:left="0"/>
              <w:jc w:val="both"/>
              <w:rPr>
                <w:sz w:val="22"/>
                <w:szCs w:val="22"/>
                <w:lang w:val="en-US"/>
              </w:rPr>
            </w:pPr>
            <w:r w:rsidRPr="00A93AED">
              <w:rPr>
                <w:sz w:val="22"/>
                <w:szCs w:val="22"/>
                <w:lang w:val="en-US"/>
              </w:rPr>
              <w:t xml:space="preserve">0.0639 </w:t>
            </w:r>
          </w:p>
          <w:p w:rsidR="00A93AED" w:rsidRPr="00A93AED" w:rsidRDefault="00A93AED" w:rsidP="006000E1">
            <w:pPr>
              <w:pStyle w:val="ListParagraph"/>
              <w:ind w:left="0"/>
              <w:jc w:val="both"/>
              <w:rPr>
                <w:sz w:val="22"/>
                <w:szCs w:val="22"/>
                <w:lang w:val="en-US"/>
              </w:rPr>
            </w:pPr>
            <w:r w:rsidRPr="00A93AED">
              <w:rPr>
                <w:sz w:val="22"/>
                <w:szCs w:val="22"/>
                <w:lang w:val="en-US"/>
              </w:rPr>
              <w:t>(1.30)</w:t>
            </w:r>
          </w:p>
        </w:tc>
        <w:tc>
          <w:tcPr>
            <w:tcW w:w="1611" w:type="dxa"/>
            <w:shd w:val="clear" w:color="auto" w:fill="auto"/>
          </w:tcPr>
          <w:p w:rsidR="00A93AED" w:rsidRPr="00A93AED" w:rsidRDefault="00A93AED" w:rsidP="006000E1">
            <w:pPr>
              <w:pStyle w:val="ListParagraph"/>
              <w:ind w:left="0"/>
              <w:jc w:val="both"/>
              <w:rPr>
                <w:sz w:val="22"/>
                <w:szCs w:val="22"/>
                <w:lang w:val="en-US"/>
              </w:rPr>
            </w:pPr>
            <w:r w:rsidRPr="00A93AED">
              <w:rPr>
                <w:sz w:val="22"/>
                <w:szCs w:val="22"/>
                <w:lang w:val="en-US"/>
              </w:rPr>
              <w:t xml:space="preserve">-0.0443 </w:t>
            </w:r>
          </w:p>
          <w:p w:rsidR="00A93AED" w:rsidRPr="00A93AED" w:rsidRDefault="00A93AED" w:rsidP="006000E1">
            <w:pPr>
              <w:pStyle w:val="ListParagraph"/>
              <w:ind w:left="0"/>
              <w:jc w:val="both"/>
              <w:rPr>
                <w:sz w:val="22"/>
                <w:szCs w:val="22"/>
                <w:lang w:val="en-US"/>
              </w:rPr>
            </w:pPr>
            <w:r w:rsidRPr="00A93AED">
              <w:rPr>
                <w:sz w:val="22"/>
                <w:szCs w:val="22"/>
                <w:lang w:val="en-US"/>
              </w:rPr>
              <w:t>(-0.60)</w:t>
            </w:r>
          </w:p>
        </w:tc>
      </w:tr>
      <w:tr w:rsidR="00A93AED" w:rsidRPr="00A93AED" w:rsidTr="00C129F0">
        <w:trPr>
          <w:trHeight w:val="513"/>
          <w:jc w:val="center"/>
        </w:trPr>
        <w:tc>
          <w:tcPr>
            <w:tcW w:w="2163" w:type="dxa"/>
            <w:tcBorders>
              <w:right w:val="nil"/>
            </w:tcBorders>
            <w:shd w:val="clear" w:color="auto" w:fill="auto"/>
          </w:tcPr>
          <w:p w:rsidR="00A93AED" w:rsidRPr="00A93AED" w:rsidRDefault="00A93AED" w:rsidP="006000E1">
            <w:pPr>
              <w:pStyle w:val="ListParagraph"/>
              <w:ind w:left="0"/>
              <w:rPr>
                <w:sz w:val="22"/>
                <w:szCs w:val="22"/>
                <w:lang w:val="en-US"/>
              </w:rPr>
            </w:pPr>
            <w:r w:rsidRPr="00A93AED">
              <w:rPr>
                <w:sz w:val="22"/>
                <w:szCs w:val="22"/>
                <w:lang w:val="en-US"/>
              </w:rPr>
              <w:t>Distance</w:t>
            </w:r>
          </w:p>
        </w:tc>
        <w:tc>
          <w:tcPr>
            <w:tcW w:w="1382" w:type="dxa"/>
            <w:tcBorders>
              <w:left w:val="nil"/>
            </w:tcBorders>
            <w:shd w:val="clear" w:color="auto" w:fill="auto"/>
          </w:tcPr>
          <w:p w:rsidR="00A93AED" w:rsidRPr="00A93AED" w:rsidRDefault="00A93AED" w:rsidP="006000E1">
            <w:pPr>
              <w:pStyle w:val="ListParagraph"/>
              <w:ind w:left="0"/>
              <w:jc w:val="both"/>
              <w:rPr>
                <w:sz w:val="22"/>
                <w:szCs w:val="22"/>
                <w:lang w:val="en-US"/>
              </w:rPr>
            </w:pPr>
            <w:r w:rsidRPr="00A93AED">
              <w:rPr>
                <w:sz w:val="22"/>
                <w:szCs w:val="22"/>
                <w:lang w:val="en-US"/>
              </w:rPr>
              <w:t>0.0192**</w:t>
            </w:r>
          </w:p>
          <w:p w:rsidR="00A93AED" w:rsidRPr="00A93AED" w:rsidRDefault="00A93AED" w:rsidP="006000E1">
            <w:pPr>
              <w:pStyle w:val="ListParagraph"/>
              <w:ind w:left="0"/>
              <w:jc w:val="both"/>
              <w:rPr>
                <w:sz w:val="22"/>
                <w:szCs w:val="22"/>
                <w:lang w:val="en-US"/>
              </w:rPr>
            </w:pPr>
            <w:r w:rsidRPr="00A93AED">
              <w:rPr>
                <w:sz w:val="22"/>
                <w:szCs w:val="22"/>
                <w:lang w:val="en-US"/>
              </w:rPr>
              <w:t>(2.36)</w:t>
            </w:r>
          </w:p>
        </w:tc>
        <w:tc>
          <w:tcPr>
            <w:tcW w:w="1643" w:type="dxa"/>
            <w:shd w:val="clear" w:color="auto" w:fill="auto"/>
          </w:tcPr>
          <w:p w:rsidR="00A93AED" w:rsidRPr="00A93AED" w:rsidRDefault="00A93AED" w:rsidP="006000E1">
            <w:pPr>
              <w:pStyle w:val="ListParagraph"/>
              <w:ind w:left="0"/>
              <w:jc w:val="both"/>
              <w:rPr>
                <w:sz w:val="22"/>
                <w:szCs w:val="22"/>
                <w:lang w:val="en-US"/>
              </w:rPr>
            </w:pPr>
            <w:r w:rsidRPr="00A93AED">
              <w:rPr>
                <w:sz w:val="22"/>
                <w:szCs w:val="22"/>
                <w:lang w:val="en-US"/>
              </w:rPr>
              <w:t>0.0001***</w:t>
            </w:r>
          </w:p>
          <w:p w:rsidR="00A93AED" w:rsidRPr="00A93AED" w:rsidRDefault="00A93AED" w:rsidP="006000E1">
            <w:pPr>
              <w:pStyle w:val="ListParagraph"/>
              <w:ind w:left="0"/>
              <w:jc w:val="both"/>
              <w:rPr>
                <w:sz w:val="22"/>
                <w:szCs w:val="22"/>
                <w:lang w:val="en-US"/>
              </w:rPr>
            </w:pPr>
            <w:r w:rsidRPr="00A93AED">
              <w:rPr>
                <w:sz w:val="22"/>
                <w:szCs w:val="22"/>
                <w:lang w:val="en-US"/>
              </w:rPr>
              <w:t>(4.26)</w:t>
            </w:r>
          </w:p>
        </w:tc>
        <w:tc>
          <w:tcPr>
            <w:tcW w:w="1422" w:type="dxa"/>
            <w:shd w:val="clear" w:color="auto" w:fill="auto"/>
          </w:tcPr>
          <w:p w:rsidR="00A93AED" w:rsidRPr="00A93AED" w:rsidRDefault="00A93AED" w:rsidP="006000E1">
            <w:pPr>
              <w:pStyle w:val="ListParagraph"/>
              <w:ind w:left="0"/>
              <w:jc w:val="both"/>
              <w:rPr>
                <w:sz w:val="22"/>
                <w:szCs w:val="22"/>
                <w:lang w:val="en-US"/>
              </w:rPr>
            </w:pPr>
            <w:r w:rsidRPr="00A93AED">
              <w:rPr>
                <w:sz w:val="22"/>
                <w:szCs w:val="22"/>
                <w:lang w:val="en-US"/>
              </w:rPr>
              <w:t>0.0161** (2.41)</w:t>
            </w:r>
          </w:p>
        </w:tc>
        <w:tc>
          <w:tcPr>
            <w:tcW w:w="1611" w:type="dxa"/>
            <w:shd w:val="clear" w:color="auto" w:fill="auto"/>
          </w:tcPr>
          <w:p w:rsidR="00A93AED" w:rsidRPr="00A93AED" w:rsidRDefault="00A93AED" w:rsidP="006000E1">
            <w:pPr>
              <w:pStyle w:val="ListParagraph"/>
              <w:ind w:left="0"/>
              <w:jc w:val="both"/>
              <w:rPr>
                <w:sz w:val="22"/>
                <w:szCs w:val="22"/>
                <w:lang w:val="en-US"/>
              </w:rPr>
            </w:pPr>
            <w:r w:rsidRPr="00A93AED">
              <w:rPr>
                <w:sz w:val="22"/>
                <w:szCs w:val="22"/>
                <w:lang w:val="en-US"/>
              </w:rPr>
              <w:t xml:space="preserve">0.0226*** </w:t>
            </w:r>
          </w:p>
          <w:p w:rsidR="00A93AED" w:rsidRPr="00A93AED" w:rsidRDefault="00A93AED" w:rsidP="006000E1">
            <w:pPr>
              <w:pStyle w:val="ListParagraph"/>
              <w:ind w:left="0"/>
              <w:jc w:val="both"/>
              <w:rPr>
                <w:sz w:val="22"/>
                <w:szCs w:val="22"/>
                <w:lang w:val="en-US"/>
              </w:rPr>
            </w:pPr>
            <w:r w:rsidRPr="00A93AED">
              <w:rPr>
                <w:sz w:val="22"/>
                <w:szCs w:val="22"/>
                <w:lang w:val="en-US"/>
              </w:rPr>
              <w:t>(5.67)</w:t>
            </w:r>
          </w:p>
        </w:tc>
      </w:tr>
      <w:tr w:rsidR="00A93AED" w:rsidRPr="00A93AED" w:rsidTr="00C129F0">
        <w:trPr>
          <w:trHeight w:val="513"/>
          <w:jc w:val="center"/>
        </w:trPr>
        <w:tc>
          <w:tcPr>
            <w:tcW w:w="2163" w:type="dxa"/>
            <w:tcBorders>
              <w:right w:val="nil"/>
            </w:tcBorders>
            <w:shd w:val="clear" w:color="auto" w:fill="auto"/>
          </w:tcPr>
          <w:p w:rsidR="00A93AED" w:rsidRPr="00A93AED" w:rsidRDefault="00A93AED" w:rsidP="006000E1">
            <w:pPr>
              <w:pStyle w:val="ListParagraph"/>
              <w:ind w:left="0"/>
              <w:rPr>
                <w:sz w:val="22"/>
                <w:szCs w:val="22"/>
                <w:lang w:val="en-US"/>
              </w:rPr>
            </w:pPr>
            <w:r w:rsidRPr="00A93AED">
              <w:rPr>
                <w:sz w:val="22"/>
                <w:szCs w:val="22"/>
                <w:lang w:val="en-US"/>
              </w:rPr>
              <w:t>Literacy rate</w:t>
            </w:r>
          </w:p>
        </w:tc>
        <w:tc>
          <w:tcPr>
            <w:tcW w:w="1382" w:type="dxa"/>
            <w:tcBorders>
              <w:left w:val="nil"/>
            </w:tcBorders>
            <w:shd w:val="clear" w:color="auto" w:fill="auto"/>
          </w:tcPr>
          <w:p w:rsidR="00A93AED" w:rsidRPr="00A93AED" w:rsidRDefault="00A93AED" w:rsidP="006000E1">
            <w:pPr>
              <w:pStyle w:val="ListParagraph"/>
              <w:ind w:left="0"/>
              <w:jc w:val="both"/>
              <w:rPr>
                <w:sz w:val="22"/>
                <w:szCs w:val="22"/>
                <w:lang w:val="en-US"/>
              </w:rPr>
            </w:pPr>
            <w:r w:rsidRPr="00A93AED">
              <w:rPr>
                <w:sz w:val="22"/>
                <w:szCs w:val="22"/>
                <w:lang w:val="en-US"/>
              </w:rPr>
              <w:t>0.0012*</w:t>
            </w:r>
          </w:p>
          <w:p w:rsidR="00A93AED" w:rsidRPr="00A93AED" w:rsidRDefault="00A93AED" w:rsidP="006000E1">
            <w:pPr>
              <w:pStyle w:val="ListParagraph"/>
              <w:ind w:left="0"/>
              <w:jc w:val="both"/>
              <w:rPr>
                <w:sz w:val="22"/>
                <w:szCs w:val="22"/>
                <w:lang w:val="en-US"/>
              </w:rPr>
            </w:pPr>
            <w:r w:rsidRPr="00A93AED">
              <w:rPr>
                <w:sz w:val="22"/>
                <w:szCs w:val="22"/>
                <w:lang w:val="en-US"/>
              </w:rPr>
              <w:t>(2.08)</w:t>
            </w:r>
          </w:p>
        </w:tc>
        <w:tc>
          <w:tcPr>
            <w:tcW w:w="1643" w:type="dxa"/>
            <w:shd w:val="clear" w:color="auto" w:fill="auto"/>
          </w:tcPr>
          <w:p w:rsidR="00A93AED" w:rsidRPr="00A93AED" w:rsidRDefault="00A93AED" w:rsidP="006000E1">
            <w:pPr>
              <w:pStyle w:val="ListParagraph"/>
              <w:ind w:left="0"/>
              <w:jc w:val="both"/>
              <w:rPr>
                <w:sz w:val="22"/>
                <w:szCs w:val="22"/>
                <w:lang w:val="en-US"/>
              </w:rPr>
            </w:pPr>
          </w:p>
        </w:tc>
        <w:tc>
          <w:tcPr>
            <w:tcW w:w="1422" w:type="dxa"/>
            <w:shd w:val="clear" w:color="auto" w:fill="auto"/>
          </w:tcPr>
          <w:p w:rsidR="00A93AED" w:rsidRPr="00A93AED" w:rsidRDefault="00A93AED" w:rsidP="006000E1">
            <w:pPr>
              <w:pStyle w:val="ListParagraph"/>
              <w:ind w:left="0"/>
              <w:jc w:val="both"/>
              <w:rPr>
                <w:sz w:val="22"/>
                <w:szCs w:val="22"/>
                <w:lang w:val="en-US"/>
              </w:rPr>
            </w:pPr>
            <w:r w:rsidRPr="00A93AED">
              <w:rPr>
                <w:sz w:val="22"/>
                <w:szCs w:val="22"/>
                <w:lang w:val="en-US"/>
              </w:rPr>
              <w:t>-0.0060</w:t>
            </w:r>
          </w:p>
          <w:p w:rsidR="00A93AED" w:rsidRPr="00A93AED" w:rsidRDefault="00A93AED" w:rsidP="006000E1">
            <w:pPr>
              <w:pStyle w:val="ListParagraph"/>
              <w:ind w:left="0"/>
              <w:jc w:val="both"/>
              <w:rPr>
                <w:sz w:val="22"/>
                <w:szCs w:val="22"/>
                <w:lang w:val="en-US"/>
              </w:rPr>
            </w:pPr>
            <w:r w:rsidRPr="00A93AED">
              <w:rPr>
                <w:sz w:val="22"/>
                <w:szCs w:val="22"/>
                <w:lang w:val="en-US"/>
              </w:rPr>
              <w:t>(-0.11)</w:t>
            </w:r>
          </w:p>
        </w:tc>
        <w:tc>
          <w:tcPr>
            <w:tcW w:w="1611" w:type="dxa"/>
            <w:shd w:val="clear" w:color="auto" w:fill="auto"/>
          </w:tcPr>
          <w:p w:rsidR="00A93AED" w:rsidRPr="00A93AED" w:rsidRDefault="00A93AED" w:rsidP="006000E1">
            <w:pPr>
              <w:pStyle w:val="ListParagraph"/>
              <w:ind w:left="0"/>
              <w:jc w:val="both"/>
              <w:rPr>
                <w:sz w:val="22"/>
                <w:szCs w:val="22"/>
                <w:lang w:val="en-US"/>
              </w:rPr>
            </w:pPr>
          </w:p>
        </w:tc>
      </w:tr>
      <w:tr w:rsidR="00A93AED" w:rsidRPr="00A93AED" w:rsidTr="00C129F0">
        <w:trPr>
          <w:trHeight w:val="513"/>
          <w:jc w:val="center"/>
        </w:trPr>
        <w:tc>
          <w:tcPr>
            <w:tcW w:w="2163" w:type="dxa"/>
            <w:tcBorders>
              <w:right w:val="nil"/>
            </w:tcBorders>
            <w:shd w:val="clear" w:color="auto" w:fill="auto"/>
          </w:tcPr>
          <w:p w:rsidR="00A93AED" w:rsidRPr="00A93AED" w:rsidRDefault="00A93AED" w:rsidP="006000E1">
            <w:pPr>
              <w:pStyle w:val="ListParagraph"/>
              <w:ind w:left="0"/>
              <w:rPr>
                <w:sz w:val="22"/>
                <w:szCs w:val="22"/>
                <w:lang w:val="en-US"/>
              </w:rPr>
            </w:pPr>
            <w:r w:rsidRPr="00A93AED">
              <w:rPr>
                <w:sz w:val="22"/>
                <w:szCs w:val="22"/>
                <w:lang w:val="en-US"/>
              </w:rPr>
              <w:t>Annual change in the literacy rate</w:t>
            </w:r>
          </w:p>
        </w:tc>
        <w:tc>
          <w:tcPr>
            <w:tcW w:w="1382" w:type="dxa"/>
            <w:tcBorders>
              <w:left w:val="nil"/>
            </w:tcBorders>
            <w:shd w:val="clear" w:color="auto" w:fill="auto"/>
          </w:tcPr>
          <w:p w:rsidR="00A93AED" w:rsidRPr="00A93AED" w:rsidRDefault="00A93AED" w:rsidP="006000E1">
            <w:pPr>
              <w:pStyle w:val="ListParagraph"/>
              <w:ind w:left="0"/>
              <w:jc w:val="both"/>
              <w:rPr>
                <w:sz w:val="22"/>
                <w:szCs w:val="22"/>
                <w:lang w:val="en-US"/>
              </w:rPr>
            </w:pPr>
          </w:p>
        </w:tc>
        <w:tc>
          <w:tcPr>
            <w:tcW w:w="1643" w:type="dxa"/>
            <w:shd w:val="clear" w:color="auto" w:fill="auto"/>
          </w:tcPr>
          <w:p w:rsidR="00A93AED" w:rsidRPr="00A93AED" w:rsidRDefault="00A93AED" w:rsidP="006000E1">
            <w:pPr>
              <w:pStyle w:val="ListParagraph"/>
              <w:ind w:left="0"/>
              <w:jc w:val="both"/>
              <w:rPr>
                <w:sz w:val="22"/>
                <w:szCs w:val="22"/>
                <w:lang w:val="en-US"/>
              </w:rPr>
            </w:pPr>
            <w:r w:rsidRPr="00A93AED">
              <w:rPr>
                <w:sz w:val="22"/>
                <w:szCs w:val="22"/>
                <w:lang w:val="en-US"/>
              </w:rPr>
              <w:t>-1.0081</w:t>
            </w:r>
          </w:p>
          <w:p w:rsidR="00A93AED" w:rsidRPr="00A93AED" w:rsidRDefault="00A93AED" w:rsidP="006000E1">
            <w:pPr>
              <w:pStyle w:val="ListParagraph"/>
              <w:ind w:left="0"/>
              <w:jc w:val="both"/>
              <w:rPr>
                <w:sz w:val="22"/>
                <w:szCs w:val="22"/>
                <w:lang w:val="en-US"/>
              </w:rPr>
            </w:pPr>
            <w:r w:rsidRPr="00A93AED">
              <w:rPr>
                <w:sz w:val="22"/>
                <w:szCs w:val="22"/>
                <w:lang w:val="en-US"/>
              </w:rPr>
              <w:t>(-1.34)</w:t>
            </w:r>
          </w:p>
        </w:tc>
        <w:tc>
          <w:tcPr>
            <w:tcW w:w="1422" w:type="dxa"/>
            <w:shd w:val="clear" w:color="auto" w:fill="auto"/>
          </w:tcPr>
          <w:p w:rsidR="00A93AED" w:rsidRPr="00A93AED" w:rsidRDefault="00A93AED" w:rsidP="006000E1">
            <w:pPr>
              <w:pStyle w:val="ListParagraph"/>
              <w:ind w:left="0"/>
              <w:jc w:val="both"/>
              <w:rPr>
                <w:sz w:val="22"/>
                <w:szCs w:val="22"/>
                <w:lang w:val="en-US"/>
              </w:rPr>
            </w:pPr>
          </w:p>
        </w:tc>
        <w:tc>
          <w:tcPr>
            <w:tcW w:w="1611" w:type="dxa"/>
            <w:shd w:val="clear" w:color="auto" w:fill="auto"/>
          </w:tcPr>
          <w:p w:rsidR="00A93AED" w:rsidRPr="00A93AED" w:rsidRDefault="00A93AED" w:rsidP="006000E1">
            <w:pPr>
              <w:pStyle w:val="ListParagraph"/>
              <w:ind w:left="0"/>
              <w:jc w:val="both"/>
              <w:rPr>
                <w:sz w:val="22"/>
                <w:szCs w:val="22"/>
                <w:lang w:val="en-US"/>
              </w:rPr>
            </w:pPr>
            <w:r w:rsidRPr="00A93AED">
              <w:rPr>
                <w:sz w:val="22"/>
                <w:szCs w:val="22"/>
                <w:lang w:val="en-US"/>
              </w:rPr>
              <w:t>-0.4527</w:t>
            </w:r>
          </w:p>
          <w:p w:rsidR="00A93AED" w:rsidRPr="00A93AED" w:rsidRDefault="00A93AED" w:rsidP="006000E1">
            <w:pPr>
              <w:pStyle w:val="ListParagraph"/>
              <w:ind w:left="0"/>
              <w:jc w:val="both"/>
              <w:rPr>
                <w:sz w:val="22"/>
                <w:szCs w:val="22"/>
                <w:lang w:val="en-US"/>
              </w:rPr>
            </w:pPr>
            <w:r w:rsidRPr="00A93AED">
              <w:rPr>
                <w:sz w:val="22"/>
                <w:szCs w:val="22"/>
                <w:lang w:val="en-US"/>
              </w:rPr>
              <w:t>(-0.78)</w:t>
            </w:r>
          </w:p>
        </w:tc>
      </w:tr>
      <w:tr w:rsidR="00A93AED" w:rsidRPr="00A93AED" w:rsidTr="00C129F0">
        <w:trPr>
          <w:trHeight w:val="513"/>
          <w:jc w:val="center"/>
        </w:trPr>
        <w:tc>
          <w:tcPr>
            <w:tcW w:w="2163" w:type="dxa"/>
            <w:tcBorders>
              <w:right w:val="nil"/>
            </w:tcBorders>
            <w:shd w:val="clear" w:color="auto" w:fill="auto"/>
          </w:tcPr>
          <w:p w:rsidR="00A93AED" w:rsidRPr="00A93AED" w:rsidRDefault="00A93AED" w:rsidP="006000E1">
            <w:pPr>
              <w:pStyle w:val="ListParagraph"/>
              <w:ind w:left="0"/>
              <w:rPr>
                <w:sz w:val="22"/>
                <w:szCs w:val="22"/>
                <w:lang w:val="en-US"/>
              </w:rPr>
            </w:pPr>
            <w:r w:rsidRPr="00A93AED">
              <w:rPr>
                <w:sz w:val="22"/>
                <w:szCs w:val="22"/>
                <w:lang w:val="en-US"/>
              </w:rPr>
              <w:t>Number of observations</w:t>
            </w:r>
          </w:p>
        </w:tc>
        <w:tc>
          <w:tcPr>
            <w:tcW w:w="1382" w:type="dxa"/>
            <w:tcBorders>
              <w:left w:val="nil"/>
            </w:tcBorders>
            <w:shd w:val="clear" w:color="auto" w:fill="auto"/>
          </w:tcPr>
          <w:p w:rsidR="00A93AED" w:rsidRPr="00A93AED" w:rsidRDefault="00A93AED" w:rsidP="006000E1">
            <w:pPr>
              <w:pStyle w:val="ListParagraph"/>
              <w:ind w:left="0"/>
              <w:jc w:val="both"/>
              <w:rPr>
                <w:sz w:val="22"/>
                <w:szCs w:val="22"/>
                <w:lang w:val="en-US"/>
              </w:rPr>
            </w:pPr>
            <w:r w:rsidRPr="00A93AED">
              <w:rPr>
                <w:sz w:val="22"/>
                <w:szCs w:val="22"/>
                <w:lang w:val="en-US"/>
              </w:rPr>
              <w:t>624</w:t>
            </w:r>
          </w:p>
        </w:tc>
        <w:tc>
          <w:tcPr>
            <w:tcW w:w="1643" w:type="dxa"/>
            <w:shd w:val="clear" w:color="auto" w:fill="auto"/>
          </w:tcPr>
          <w:p w:rsidR="00A93AED" w:rsidRPr="00A93AED" w:rsidRDefault="00A93AED" w:rsidP="006000E1">
            <w:pPr>
              <w:pStyle w:val="ListParagraph"/>
              <w:ind w:left="0"/>
              <w:jc w:val="both"/>
              <w:rPr>
                <w:sz w:val="22"/>
                <w:szCs w:val="22"/>
                <w:lang w:val="en-US"/>
              </w:rPr>
            </w:pPr>
            <w:r w:rsidRPr="00A93AED">
              <w:rPr>
                <w:sz w:val="22"/>
                <w:szCs w:val="22"/>
                <w:lang w:val="en-US"/>
              </w:rPr>
              <w:t>624</w:t>
            </w:r>
          </w:p>
        </w:tc>
        <w:tc>
          <w:tcPr>
            <w:tcW w:w="1422" w:type="dxa"/>
            <w:shd w:val="clear" w:color="auto" w:fill="auto"/>
          </w:tcPr>
          <w:p w:rsidR="00A93AED" w:rsidRPr="00A93AED" w:rsidRDefault="00A93AED" w:rsidP="006000E1">
            <w:pPr>
              <w:pStyle w:val="ListParagraph"/>
              <w:ind w:left="0"/>
              <w:jc w:val="both"/>
              <w:rPr>
                <w:sz w:val="22"/>
                <w:szCs w:val="22"/>
                <w:lang w:val="en-US"/>
              </w:rPr>
            </w:pPr>
            <w:r w:rsidRPr="00A93AED">
              <w:rPr>
                <w:sz w:val="22"/>
                <w:szCs w:val="22"/>
                <w:lang w:val="en-US"/>
              </w:rPr>
              <w:t>624</w:t>
            </w:r>
          </w:p>
        </w:tc>
        <w:tc>
          <w:tcPr>
            <w:tcW w:w="1611" w:type="dxa"/>
            <w:shd w:val="clear" w:color="auto" w:fill="auto"/>
          </w:tcPr>
          <w:p w:rsidR="00A93AED" w:rsidRPr="00A93AED" w:rsidRDefault="00A93AED" w:rsidP="006000E1">
            <w:pPr>
              <w:pStyle w:val="ListParagraph"/>
              <w:ind w:left="0"/>
              <w:jc w:val="both"/>
              <w:rPr>
                <w:sz w:val="22"/>
                <w:szCs w:val="22"/>
                <w:lang w:val="en-US"/>
              </w:rPr>
            </w:pPr>
            <w:r w:rsidRPr="00A93AED">
              <w:rPr>
                <w:sz w:val="22"/>
                <w:szCs w:val="22"/>
                <w:lang w:val="en-US"/>
              </w:rPr>
              <w:t>624</w:t>
            </w:r>
          </w:p>
        </w:tc>
      </w:tr>
      <w:tr w:rsidR="00A93AED" w:rsidRPr="00A93AED" w:rsidTr="00C129F0">
        <w:trPr>
          <w:trHeight w:val="243"/>
          <w:jc w:val="center"/>
        </w:trPr>
        <w:tc>
          <w:tcPr>
            <w:tcW w:w="2163" w:type="dxa"/>
            <w:tcBorders>
              <w:bottom w:val="single" w:sz="12" w:space="0" w:color="000000"/>
              <w:right w:val="nil"/>
            </w:tcBorders>
            <w:shd w:val="clear" w:color="auto" w:fill="auto"/>
          </w:tcPr>
          <w:p w:rsidR="00A93AED" w:rsidRPr="00A93AED" w:rsidRDefault="00A93AED" w:rsidP="006000E1">
            <w:pPr>
              <w:pStyle w:val="ListParagraph"/>
              <w:ind w:left="0"/>
              <w:jc w:val="both"/>
              <w:rPr>
                <w:sz w:val="22"/>
                <w:szCs w:val="22"/>
                <w:lang w:val="en-US"/>
              </w:rPr>
            </w:pPr>
            <w:r w:rsidRPr="00A93AED">
              <w:rPr>
                <w:sz w:val="22"/>
                <w:szCs w:val="22"/>
                <w:lang w:val="en-US"/>
              </w:rPr>
              <w:t>Adjusted</w:t>
            </w:r>
            <w:r w:rsidRPr="00A93AED">
              <w:rPr>
                <w:i/>
                <w:iCs/>
                <w:sz w:val="22"/>
                <w:szCs w:val="22"/>
                <w:lang w:val="en-US"/>
              </w:rPr>
              <w:t xml:space="preserve"> R</w:t>
            </w:r>
            <w:r w:rsidRPr="00A93AED">
              <w:rPr>
                <w:sz w:val="22"/>
                <w:szCs w:val="22"/>
                <w:vertAlign w:val="superscript"/>
                <w:lang w:val="en-US"/>
              </w:rPr>
              <w:t>2</w:t>
            </w:r>
          </w:p>
        </w:tc>
        <w:tc>
          <w:tcPr>
            <w:tcW w:w="1382" w:type="dxa"/>
            <w:tcBorders>
              <w:left w:val="nil"/>
            </w:tcBorders>
            <w:shd w:val="clear" w:color="auto" w:fill="auto"/>
          </w:tcPr>
          <w:p w:rsidR="00A93AED" w:rsidRPr="00A93AED" w:rsidRDefault="00A93AED" w:rsidP="006000E1">
            <w:pPr>
              <w:pStyle w:val="ListParagraph"/>
              <w:ind w:left="0"/>
              <w:jc w:val="both"/>
              <w:rPr>
                <w:sz w:val="22"/>
                <w:szCs w:val="22"/>
                <w:lang w:val="en-US"/>
              </w:rPr>
            </w:pPr>
            <w:r w:rsidRPr="00A93AED">
              <w:rPr>
                <w:sz w:val="22"/>
                <w:szCs w:val="22"/>
                <w:lang w:val="en-US"/>
              </w:rPr>
              <w:t>0.1029</w:t>
            </w:r>
          </w:p>
        </w:tc>
        <w:tc>
          <w:tcPr>
            <w:tcW w:w="1643" w:type="dxa"/>
            <w:shd w:val="clear" w:color="auto" w:fill="auto"/>
          </w:tcPr>
          <w:p w:rsidR="00A93AED" w:rsidRPr="00A93AED" w:rsidRDefault="00A93AED" w:rsidP="006000E1">
            <w:pPr>
              <w:pStyle w:val="ListParagraph"/>
              <w:ind w:left="0"/>
              <w:jc w:val="both"/>
              <w:rPr>
                <w:sz w:val="22"/>
                <w:szCs w:val="22"/>
                <w:lang w:val="en-US"/>
              </w:rPr>
            </w:pPr>
            <w:r w:rsidRPr="00A93AED">
              <w:rPr>
                <w:sz w:val="22"/>
                <w:szCs w:val="22"/>
                <w:lang w:val="en-US"/>
              </w:rPr>
              <w:t>0.3308</w:t>
            </w:r>
          </w:p>
        </w:tc>
        <w:tc>
          <w:tcPr>
            <w:tcW w:w="1422" w:type="dxa"/>
            <w:shd w:val="clear" w:color="auto" w:fill="auto"/>
          </w:tcPr>
          <w:p w:rsidR="00A93AED" w:rsidRPr="00A93AED" w:rsidRDefault="00A93AED" w:rsidP="006000E1">
            <w:pPr>
              <w:pStyle w:val="ListParagraph"/>
              <w:ind w:left="0"/>
              <w:jc w:val="both"/>
              <w:rPr>
                <w:sz w:val="22"/>
                <w:szCs w:val="22"/>
                <w:lang w:val="en-US"/>
              </w:rPr>
            </w:pPr>
            <w:r w:rsidRPr="00A93AED">
              <w:rPr>
                <w:sz w:val="22"/>
                <w:szCs w:val="22"/>
                <w:lang w:val="en-US"/>
              </w:rPr>
              <w:t>0.1396</w:t>
            </w:r>
          </w:p>
        </w:tc>
        <w:tc>
          <w:tcPr>
            <w:tcW w:w="1611" w:type="dxa"/>
            <w:shd w:val="clear" w:color="auto" w:fill="auto"/>
          </w:tcPr>
          <w:p w:rsidR="00A93AED" w:rsidRPr="00A93AED" w:rsidRDefault="00A93AED" w:rsidP="006000E1">
            <w:pPr>
              <w:pStyle w:val="ListParagraph"/>
              <w:ind w:left="0"/>
              <w:jc w:val="both"/>
              <w:rPr>
                <w:sz w:val="22"/>
                <w:szCs w:val="22"/>
                <w:lang w:val="en-US"/>
              </w:rPr>
            </w:pPr>
            <w:r w:rsidRPr="00A93AED">
              <w:rPr>
                <w:sz w:val="22"/>
                <w:szCs w:val="22"/>
                <w:lang w:val="en-US"/>
              </w:rPr>
              <w:t>0.3584</w:t>
            </w:r>
          </w:p>
        </w:tc>
      </w:tr>
    </w:tbl>
    <w:p w:rsidR="00A93AED" w:rsidRPr="00A93AED" w:rsidRDefault="00A93AED" w:rsidP="00A93AED">
      <w:pPr>
        <w:pStyle w:val="ListParagraph"/>
        <w:ind w:left="426"/>
        <w:jc w:val="both"/>
        <w:rPr>
          <w:sz w:val="22"/>
          <w:szCs w:val="22"/>
          <w:lang w:val="en-US"/>
        </w:rPr>
      </w:pPr>
      <w:r w:rsidRPr="00A93AED">
        <w:rPr>
          <w:sz w:val="22"/>
          <w:szCs w:val="22"/>
          <w:lang w:val="en-US"/>
        </w:rPr>
        <w:t>Significance levels: *=10%, **=5%, and ***=1%.</w:t>
      </w:r>
    </w:p>
    <w:p w:rsidR="00A93AED" w:rsidRPr="00A93AED" w:rsidRDefault="00A93AED" w:rsidP="00A93AED">
      <w:pPr>
        <w:pStyle w:val="ListParagraph"/>
        <w:spacing w:line="276" w:lineRule="auto"/>
        <w:jc w:val="both"/>
        <w:rPr>
          <w:b/>
          <w:sz w:val="10"/>
          <w:szCs w:val="10"/>
          <w:lang w:val="en-US"/>
        </w:rPr>
      </w:pPr>
    </w:p>
    <w:p w:rsidR="00A93AED" w:rsidRDefault="00A93AED" w:rsidP="00A93AED">
      <w:pPr>
        <w:pStyle w:val="ListParagraph"/>
        <w:spacing w:line="276" w:lineRule="auto"/>
        <w:ind w:left="426"/>
        <w:jc w:val="both"/>
        <w:rPr>
          <w:sz w:val="20"/>
          <w:szCs w:val="20"/>
          <w:lang w:val="en-US"/>
        </w:rPr>
      </w:pPr>
      <w:r w:rsidRPr="00066CF5">
        <w:rPr>
          <w:i/>
          <w:sz w:val="20"/>
          <w:szCs w:val="20"/>
          <w:lang w:val="en-US"/>
        </w:rPr>
        <w:t>Notes:</w:t>
      </w:r>
      <w:r w:rsidRPr="007B1C78">
        <w:rPr>
          <w:sz w:val="20"/>
          <w:szCs w:val="20"/>
          <w:lang w:val="en-US"/>
        </w:rPr>
        <w:t xml:space="preserve"> </w:t>
      </w:r>
      <w:r>
        <w:rPr>
          <w:sz w:val="20"/>
          <w:szCs w:val="20"/>
          <w:lang w:val="en-US"/>
        </w:rPr>
        <w:t>The d</w:t>
      </w:r>
      <w:r w:rsidRPr="00B332DB">
        <w:rPr>
          <w:sz w:val="20"/>
          <w:szCs w:val="20"/>
          <w:lang w:val="en-US"/>
        </w:rPr>
        <w:t xml:space="preserve">ependent </w:t>
      </w:r>
      <w:r>
        <w:rPr>
          <w:sz w:val="20"/>
          <w:szCs w:val="20"/>
          <w:lang w:val="en-US"/>
        </w:rPr>
        <w:t>v</w:t>
      </w:r>
      <w:r w:rsidRPr="00B332DB">
        <w:rPr>
          <w:sz w:val="20"/>
          <w:szCs w:val="20"/>
          <w:lang w:val="en-US"/>
        </w:rPr>
        <w:t>ariable</w:t>
      </w:r>
      <w:r>
        <w:rPr>
          <w:sz w:val="20"/>
          <w:szCs w:val="20"/>
          <w:lang w:val="en-US"/>
        </w:rPr>
        <w:t xml:space="preserve"> is m</w:t>
      </w:r>
      <w:r w:rsidRPr="00B332DB">
        <w:rPr>
          <w:sz w:val="20"/>
          <w:szCs w:val="20"/>
          <w:lang w:val="en-US"/>
        </w:rPr>
        <w:t xml:space="preserve">anufacturing </w:t>
      </w:r>
      <w:r>
        <w:rPr>
          <w:sz w:val="20"/>
          <w:szCs w:val="20"/>
          <w:lang w:val="en-US"/>
        </w:rPr>
        <w:t>i</w:t>
      </w:r>
      <w:r w:rsidRPr="00B332DB">
        <w:rPr>
          <w:sz w:val="20"/>
          <w:szCs w:val="20"/>
          <w:lang w:val="en-US"/>
        </w:rPr>
        <w:t xml:space="preserve">ndustry </w:t>
      </w:r>
      <w:r>
        <w:rPr>
          <w:sz w:val="20"/>
          <w:szCs w:val="20"/>
          <w:lang w:val="en-US"/>
        </w:rPr>
        <w:t>e</w:t>
      </w:r>
      <w:r w:rsidRPr="00B332DB">
        <w:rPr>
          <w:sz w:val="20"/>
          <w:szCs w:val="20"/>
          <w:lang w:val="en-US"/>
        </w:rPr>
        <w:t xml:space="preserve">mployment </w:t>
      </w:r>
      <w:r>
        <w:rPr>
          <w:sz w:val="20"/>
          <w:szCs w:val="20"/>
          <w:lang w:val="en-US"/>
        </w:rPr>
        <w:t>g</w:t>
      </w:r>
      <w:r w:rsidRPr="00B332DB">
        <w:rPr>
          <w:sz w:val="20"/>
          <w:szCs w:val="20"/>
          <w:lang w:val="en-US"/>
        </w:rPr>
        <w:t>rowth</w:t>
      </w:r>
      <w:r>
        <w:rPr>
          <w:sz w:val="20"/>
          <w:szCs w:val="20"/>
          <w:lang w:val="en-US"/>
        </w:rPr>
        <w:t xml:space="preserve">. </w:t>
      </w:r>
      <w:r w:rsidRPr="00B332DB">
        <w:rPr>
          <w:sz w:val="20"/>
          <w:szCs w:val="20"/>
          <w:lang w:val="en-US"/>
        </w:rPr>
        <w:t>Estimations are with robust standard errors</w:t>
      </w:r>
      <w:r>
        <w:rPr>
          <w:sz w:val="20"/>
          <w:szCs w:val="20"/>
          <w:lang w:val="en-US"/>
        </w:rPr>
        <w:t>.</w:t>
      </w:r>
      <w:r w:rsidRPr="00B332DB">
        <w:rPr>
          <w:sz w:val="20"/>
          <w:szCs w:val="20"/>
          <w:lang w:val="en-US"/>
        </w:rPr>
        <w:t xml:space="preserve"> </w:t>
      </w:r>
      <w:r w:rsidRPr="007B1C78">
        <w:rPr>
          <w:sz w:val="20"/>
          <w:szCs w:val="20"/>
          <w:lang w:val="en-US"/>
        </w:rPr>
        <w:t xml:space="preserve">Values of </w:t>
      </w:r>
      <w:r w:rsidRPr="007B1C78">
        <w:rPr>
          <w:i/>
          <w:sz w:val="20"/>
          <w:szCs w:val="20"/>
          <w:lang w:val="en-US"/>
        </w:rPr>
        <w:t>t</w:t>
      </w:r>
      <w:r w:rsidRPr="007B1C78">
        <w:rPr>
          <w:sz w:val="20"/>
          <w:szCs w:val="20"/>
          <w:lang w:val="en-US"/>
        </w:rPr>
        <w:t xml:space="preserve"> </w:t>
      </w:r>
      <w:r>
        <w:rPr>
          <w:sz w:val="20"/>
          <w:szCs w:val="20"/>
          <w:lang w:val="en-US"/>
        </w:rPr>
        <w:t xml:space="preserve">statistics </w:t>
      </w:r>
      <w:r w:rsidRPr="007B1C78">
        <w:rPr>
          <w:sz w:val="20"/>
          <w:szCs w:val="20"/>
          <w:lang w:val="en-US"/>
        </w:rPr>
        <w:t>are in brackets</w:t>
      </w:r>
      <w:r>
        <w:rPr>
          <w:sz w:val="20"/>
          <w:szCs w:val="20"/>
          <w:lang w:val="en-US"/>
        </w:rPr>
        <w:t xml:space="preserve">. The </w:t>
      </w:r>
      <w:r w:rsidRPr="007B1C78">
        <w:rPr>
          <w:sz w:val="20"/>
          <w:szCs w:val="20"/>
          <w:lang w:val="en-US"/>
        </w:rPr>
        <w:t>dependent variable</w:t>
      </w:r>
      <w:r>
        <w:rPr>
          <w:sz w:val="20"/>
          <w:szCs w:val="20"/>
          <w:lang w:val="en-US"/>
        </w:rPr>
        <w:t xml:space="preserve"> in equation 5.1 and 5.2 </w:t>
      </w:r>
      <w:r w:rsidRPr="007B1C78">
        <w:rPr>
          <w:sz w:val="20"/>
          <w:szCs w:val="20"/>
          <w:lang w:val="en-US"/>
        </w:rPr>
        <w:t>is VDEP</w:t>
      </w:r>
      <w:r>
        <w:rPr>
          <w:sz w:val="20"/>
          <w:szCs w:val="20"/>
          <w:lang w:val="en-US"/>
        </w:rPr>
        <w:t>, in e</w:t>
      </w:r>
      <w:r w:rsidRPr="007B1C78">
        <w:rPr>
          <w:sz w:val="20"/>
          <w:szCs w:val="20"/>
          <w:lang w:val="en-US"/>
        </w:rPr>
        <w:t>quations 5.</w:t>
      </w:r>
      <w:r>
        <w:rPr>
          <w:sz w:val="20"/>
          <w:szCs w:val="20"/>
          <w:lang w:val="en-US"/>
        </w:rPr>
        <w:t>3</w:t>
      </w:r>
      <w:r w:rsidRPr="007B1C78">
        <w:rPr>
          <w:sz w:val="20"/>
          <w:szCs w:val="20"/>
          <w:lang w:val="en-US"/>
        </w:rPr>
        <w:t xml:space="preserve"> to 5.</w:t>
      </w:r>
      <w:r>
        <w:rPr>
          <w:sz w:val="20"/>
          <w:szCs w:val="20"/>
          <w:lang w:val="en-US"/>
        </w:rPr>
        <w:t>4</w:t>
      </w:r>
      <w:r w:rsidRPr="007B1C78">
        <w:rPr>
          <w:sz w:val="20"/>
          <w:szCs w:val="20"/>
          <w:lang w:val="en-US"/>
        </w:rPr>
        <w:t xml:space="preserve"> </w:t>
      </w:r>
      <w:r>
        <w:rPr>
          <w:sz w:val="20"/>
          <w:szCs w:val="20"/>
          <w:lang w:val="en-US"/>
        </w:rPr>
        <w:t xml:space="preserve">it is </w:t>
      </w:r>
      <w:r w:rsidRPr="007B1C78">
        <w:rPr>
          <w:sz w:val="20"/>
          <w:szCs w:val="20"/>
          <w:lang w:val="en-US"/>
        </w:rPr>
        <w:t>VDEP2.</w:t>
      </w:r>
      <w:r>
        <w:rPr>
          <w:sz w:val="20"/>
          <w:szCs w:val="20"/>
          <w:lang w:val="en-US"/>
        </w:rPr>
        <w:t xml:space="preserve"> Coefficients of year fixed effects </w:t>
      </w:r>
      <w:r w:rsidRPr="00E44CC9">
        <w:rPr>
          <w:sz w:val="20"/>
          <w:szCs w:val="20"/>
          <w:lang w:val="en-US"/>
        </w:rPr>
        <w:t>for 1983, 1984-1985, 1987-1988, 1990-2001, 2003, 2005 and 2006 are negative and statistically significant</w:t>
      </w:r>
      <w:r>
        <w:rPr>
          <w:sz w:val="20"/>
          <w:szCs w:val="20"/>
          <w:lang w:val="en-US"/>
        </w:rPr>
        <w:t>. State d</w:t>
      </w:r>
      <w:r w:rsidRPr="007B1C78">
        <w:rPr>
          <w:sz w:val="20"/>
          <w:szCs w:val="20"/>
          <w:lang w:val="en-US"/>
        </w:rPr>
        <w:t>ummies</w:t>
      </w:r>
      <w:r>
        <w:rPr>
          <w:sz w:val="20"/>
          <w:szCs w:val="20"/>
          <w:lang w:val="en-US"/>
        </w:rPr>
        <w:t xml:space="preserve"> for </w:t>
      </w:r>
      <w:proofErr w:type="spellStart"/>
      <w:r w:rsidRPr="007B1C78">
        <w:rPr>
          <w:sz w:val="20"/>
          <w:szCs w:val="20"/>
          <w:lang w:val="en-US"/>
        </w:rPr>
        <w:t>Roraima</w:t>
      </w:r>
      <w:proofErr w:type="spellEnd"/>
      <w:r w:rsidRPr="007B1C78">
        <w:rPr>
          <w:sz w:val="20"/>
          <w:szCs w:val="20"/>
          <w:lang w:val="en-US"/>
        </w:rPr>
        <w:t xml:space="preserve"> and S</w:t>
      </w:r>
      <w:r>
        <w:rPr>
          <w:sz w:val="20"/>
          <w:szCs w:val="20"/>
          <w:lang w:val="en-US"/>
        </w:rPr>
        <w:t>ã</w:t>
      </w:r>
      <w:r w:rsidRPr="007B1C78">
        <w:rPr>
          <w:sz w:val="20"/>
          <w:szCs w:val="20"/>
          <w:lang w:val="en-US"/>
        </w:rPr>
        <w:t>o</w:t>
      </w:r>
      <w:r>
        <w:rPr>
          <w:sz w:val="20"/>
          <w:szCs w:val="20"/>
          <w:lang w:val="en-US"/>
        </w:rPr>
        <w:t xml:space="preserve"> </w:t>
      </w:r>
      <w:r w:rsidRPr="007B1C78">
        <w:rPr>
          <w:sz w:val="20"/>
          <w:szCs w:val="20"/>
          <w:lang w:val="en-US"/>
        </w:rPr>
        <w:t>Paulo were dropped</w:t>
      </w:r>
      <w:r>
        <w:rPr>
          <w:sz w:val="20"/>
          <w:szCs w:val="20"/>
          <w:lang w:val="en-US"/>
        </w:rPr>
        <w:t>. C</w:t>
      </w:r>
      <w:r w:rsidRPr="00E44CC9">
        <w:rPr>
          <w:sz w:val="20"/>
          <w:szCs w:val="20"/>
          <w:lang w:val="en-US"/>
        </w:rPr>
        <w:t xml:space="preserve">oefficients </w:t>
      </w:r>
      <w:r>
        <w:rPr>
          <w:sz w:val="20"/>
          <w:szCs w:val="20"/>
          <w:lang w:val="en-US"/>
        </w:rPr>
        <w:t xml:space="preserve">of state fixed effects in equation 5.2 </w:t>
      </w:r>
      <w:r w:rsidRPr="00E44CC9">
        <w:rPr>
          <w:sz w:val="20"/>
          <w:szCs w:val="20"/>
          <w:lang w:val="en-US"/>
        </w:rPr>
        <w:t xml:space="preserve">are positive and statistically significant for Acre, </w:t>
      </w:r>
      <w:proofErr w:type="spellStart"/>
      <w:r w:rsidRPr="00E44CC9">
        <w:rPr>
          <w:sz w:val="20"/>
          <w:szCs w:val="20"/>
          <w:lang w:val="en-US"/>
        </w:rPr>
        <w:t>Amapa</w:t>
      </w:r>
      <w:proofErr w:type="spellEnd"/>
      <w:r w:rsidRPr="00E44CC9">
        <w:rPr>
          <w:sz w:val="20"/>
          <w:szCs w:val="20"/>
          <w:lang w:val="en-US"/>
        </w:rPr>
        <w:t xml:space="preserve">, Para, </w:t>
      </w:r>
      <w:proofErr w:type="spellStart"/>
      <w:r w:rsidRPr="00E44CC9">
        <w:rPr>
          <w:sz w:val="20"/>
          <w:szCs w:val="20"/>
          <w:lang w:val="en-US"/>
        </w:rPr>
        <w:t>Rondonia</w:t>
      </w:r>
      <w:proofErr w:type="spellEnd"/>
      <w:r w:rsidRPr="00E44CC9">
        <w:rPr>
          <w:sz w:val="20"/>
          <w:szCs w:val="20"/>
          <w:lang w:val="en-US"/>
        </w:rPr>
        <w:t xml:space="preserve">, Bahia, </w:t>
      </w:r>
      <w:proofErr w:type="spellStart"/>
      <w:r w:rsidRPr="00E44CC9">
        <w:rPr>
          <w:sz w:val="20"/>
          <w:szCs w:val="20"/>
          <w:lang w:val="en-US"/>
        </w:rPr>
        <w:t>Maranh</w:t>
      </w:r>
      <w:r w:rsidRPr="00E44CC9">
        <w:rPr>
          <w:color w:val="000000"/>
          <w:sz w:val="20"/>
          <w:szCs w:val="20"/>
        </w:rPr>
        <w:t>ão</w:t>
      </w:r>
      <w:proofErr w:type="spellEnd"/>
      <w:r w:rsidRPr="00E44CC9">
        <w:rPr>
          <w:sz w:val="20"/>
          <w:szCs w:val="20"/>
          <w:lang w:val="en-US"/>
        </w:rPr>
        <w:t xml:space="preserve">, Paraiba, </w:t>
      </w:r>
      <w:proofErr w:type="spellStart"/>
      <w:r w:rsidRPr="00E44CC9">
        <w:rPr>
          <w:sz w:val="20"/>
          <w:szCs w:val="20"/>
          <w:lang w:val="en-US"/>
        </w:rPr>
        <w:t>Piaui</w:t>
      </w:r>
      <w:proofErr w:type="spellEnd"/>
      <w:r w:rsidRPr="00E44CC9">
        <w:rPr>
          <w:sz w:val="20"/>
          <w:szCs w:val="20"/>
          <w:lang w:val="en-US"/>
        </w:rPr>
        <w:t xml:space="preserve">, </w:t>
      </w:r>
      <w:proofErr w:type="spellStart"/>
      <w:r w:rsidRPr="00E44CC9">
        <w:rPr>
          <w:sz w:val="20"/>
          <w:szCs w:val="20"/>
          <w:lang w:val="en-US"/>
        </w:rPr>
        <w:t>Sergipe</w:t>
      </w:r>
      <w:proofErr w:type="spellEnd"/>
      <w:r w:rsidRPr="00E44CC9">
        <w:rPr>
          <w:sz w:val="20"/>
          <w:szCs w:val="20"/>
          <w:lang w:val="en-US"/>
        </w:rPr>
        <w:t xml:space="preserve">, </w:t>
      </w:r>
      <w:r w:rsidRPr="00E44CC9">
        <w:rPr>
          <w:color w:val="000000"/>
          <w:sz w:val="20"/>
          <w:szCs w:val="20"/>
        </w:rPr>
        <w:t xml:space="preserve">Distrito Federal, </w:t>
      </w:r>
      <w:proofErr w:type="spellStart"/>
      <w:r w:rsidRPr="00E44CC9">
        <w:rPr>
          <w:color w:val="000000"/>
          <w:sz w:val="20"/>
          <w:szCs w:val="20"/>
        </w:rPr>
        <w:t>Goiás</w:t>
      </w:r>
      <w:proofErr w:type="spellEnd"/>
      <w:r w:rsidRPr="00E44CC9">
        <w:rPr>
          <w:color w:val="000000"/>
          <w:sz w:val="20"/>
          <w:szCs w:val="20"/>
        </w:rPr>
        <w:t xml:space="preserve">, </w:t>
      </w:r>
      <w:proofErr w:type="spellStart"/>
      <w:r w:rsidRPr="00E44CC9">
        <w:rPr>
          <w:color w:val="000000"/>
          <w:sz w:val="20"/>
          <w:szCs w:val="20"/>
        </w:rPr>
        <w:t>Mato</w:t>
      </w:r>
      <w:proofErr w:type="spellEnd"/>
      <w:r w:rsidRPr="00E44CC9">
        <w:rPr>
          <w:color w:val="000000"/>
          <w:sz w:val="20"/>
          <w:szCs w:val="20"/>
        </w:rPr>
        <w:t xml:space="preserve"> </w:t>
      </w:r>
      <w:proofErr w:type="spellStart"/>
      <w:r w:rsidRPr="00E44CC9">
        <w:rPr>
          <w:color w:val="000000"/>
          <w:sz w:val="20"/>
          <w:szCs w:val="20"/>
        </w:rPr>
        <w:t>Grosso</w:t>
      </w:r>
      <w:proofErr w:type="spellEnd"/>
      <w:r w:rsidRPr="00E44CC9">
        <w:rPr>
          <w:color w:val="000000"/>
          <w:sz w:val="20"/>
          <w:szCs w:val="20"/>
        </w:rPr>
        <w:t xml:space="preserve"> do </w:t>
      </w:r>
      <w:proofErr w:type="spellStart"/>
      <w:r w:rsidRPr="00E44CC9">
        <w:rPr>
          <w:color w:val="000000"/>
          <w:sz w:val="20"/>
          <w:szCs w:val="20"/>
        </w:rPr>
        <w:t>Sul</w:t>
      </w:r>
      <w:proofErr w:type="spellEnd"/>
      <w:r w:rsidRPr="00E44CC9">
        <w:rPr>
          <w:color w:val="000000"/>
          <w:sz w:val="20"/>
          <w:szCs w:val="20"/>
        </w:rPr>
        <w:t xml:space="preserve">, </w:t>
      </w:r>
      <w:proofErr w:type="spellStart"/>
      <w:r w:rsidRPr="00E44CC9">
        <w:rPr>
          <w:color w:val="000000"/>
          <w:sz w:val="20"/>
          <w:szCs w:val="20"/>
        </w:rPr>
        <w:t>Mato</w:t>
      </w:r>
      <w:proofErr w:type="spellEnd"/>
      <w:r w:rsidRPr="00E44CC9">
        <w:rPr>
          <w:color w:val="000000"/>
          <w:sz w:val="20"/>
          <w:szCs w:val="20"/>
        </w:rPr>
        <w:t xml:space="preserve"> </w:t>
      </w:r>
      <w:proofErr w:type="spellStart"/>
      <w:r w:rsidRPr="00E44CC9">
        <w:rPr>
          <w:color w:val="000000"/>
          <w:sz w:val="20"/>
          <w:szCs w:val="20"/>
        </w:rPr>
        <w:t>Grosso</w:t>
      </w:r>
      <w:proofErr w:type="spellEnd"/>
      <w:r w:rsidRPr="00E44CC9">
        <w:rPr>
          <w:color w:val="000000"/>
          <w:sz w:val="20"/>
          <w:szCs w:val="20"/>
        </w:rPr>
        <w:t xml:space="preserve">, </w:t>
      </w:r>
      <w:proofErr w:type="spellStart"/>
      <w:r w:rsidRPr="00E44CC9">
        <w:rPr>
          <w:color w:val="000000"/>
          <w:sz w:val="20"/>
          <w:szCs w:val="20"/>
        </w:rPr>
        <w:t>Espírito</w:t>
      </w:r>
      <w:proofErr w:type="spellEnd"/>
      <w:r w:rsidRPr="00E44CC9">
        <w:rPr>
          <w:color w:val="000000"/>
          <w:sz w:val="20"/>
          <w:szCs w:val="20"/>
        </w:rPr>
        <w:t xml:space="preserve"> Santo, Minas </w:t>
      </w:r>
      <w:proofErr w:type="spellStart"/>
      <w:r w:rsidRPr="00E44CC9">
        <w:rPr>
          <w:color w:val="000000"/>
          <w:sz w:val="20"/>
          <w:szCs w:val="20"/>
        </w:rPr>
        <w:t>Gerais</w:t>
      </w:r>
      <w:proofErr w:type="spellEnd"/>
      <w:r w:rsidRPr="00E44CC9">
        <w:rPr>
          <w:color w:val="000000"/>
          <w:sz w:val="20"/>
          <w:szCs w:val="20"/>
        </w:rPr>
        <w:t xml:space="preserve">, Rio de Janeiro, São Paulo, </w:t>
      </w:r>
      <w:proofErr w:type="spellStart"/>
      <w:r w:rsidRPr="00E44CC9">
        <w:rPr>
          <w:sz w:val="20"/>
          <w:szCs w:val="20"/>
          <w:lang w:val="en-US"/>
        </w:rPr>
        <w:t>Paran</w:t>
      </w:r>
      <w:proofErr w:type="spellEnd"/>
      <w:r w:rsidRPr="00E44CC9">
        <w:rPr>
          <w:color w:val="000000"/>
          <w:sz w:val="20"/>
          <w:szCs w:val="20"/>
        </w:rPr>
        <w:t xml:space="preserve">á and Rio Grande do </w:t>
      </w:r>
      <w:proofErr w:type="spellStart"/>
      <w:r w:rsidRPr="00E44CC9">
        <w:rPr>
          <w:color w:val="000000"/>
          <w:sz w:val="20"/>
          <w:szCs w:val="20"/>
        </w:rPr>
        <w:t>Sul</w:t>
      </w:r>
      <w:proofErr w:type="spellEnd"/>
      <w:r w:rsidRPr="00E44CC9">
        <w:rPr>
          <w:sz w:val="20"/>
          <w:szCs w:val="20"/>
          <w:lang w:val="en-US"/>
        </w:rPr>
        <w:t xml:space="preserve">; those for Amazonas and </w:t>
      </w:r>
      <w:proofErr w:type="spellStart"/>
      <w:r w:rsidRPr="00E44CC9">
        <w:rPr>
          <w:sz w:val="20"/>
          <w:szCs w:val="20"/>
          <w:lang w:val="en-US"/>
        </w:rPr>
        <w:t>Ceará</w:t>
      </w:r>
      <w:proofErr w:type="spellEnd"/>
      <w:r w:rsidRPr="00E44CC9">
        <w:rPr>
          <w:sz w:val="20"/>
          <w:szCs w:val="20"/>
          <w:lang w:val="en-US"/>
        </w:rPr>
        <w:t xml:space="preserve"> are negative and statistically significant. All states’ dummies coefficients </w:t>
      </w:r>
      <w:r>
        <w:rPr>
          <w:sz w:val="20"/>
          <w:szCs w:val="20"/>
          <w:lang w:val="en-US"/>
        </w:rPr>
        <w:t xml:space="preserve">in equation 5.4 </w:t>
      </w:r>
      <w:r w:rsidRPr="00E44CC9">
        <w:rPr>
          <w:sz w:val="20"/>
          <w:szCs w:val="20"/>
          <w:lang w:val="en-US"/>
        </w:rPr>
        <w:t xml:space="preserve">are positive and statistically significant, except for Rio Grande do </w:t>
      </w:r>
      <w:proofErr w:type="spellStart"/>
      <w:r w:rsidRPr="00E44CC9">
        <w:rPr>
          <w:sz w:val="20"/>
          <w:szCs w:val="20"/>
          <w:lang w:val="en-US"/>
        </w:rPr>
        <w:t>Sul</w:t>
      </w:r>
      <w:proofErr w:type="spellEnd"/>
      <w:r w:rsidRPr="00E44CC9">
        <w:rPr>
          <w:sz w:val="20"/>
          <w:szCs w:val="20"/>
          <w:lang w:val="en-US"/>
        </w:rPr>
        <w:t xml:space="preserve">, which had a negative and statistically significant coefficient and Santa </w:t>
      </w:r>
      <w:proofErr w:type="spellStart"/>
      <w:r w:rsidRPr="00E44CC9">
        <w:rPr>
          <w:sz w:val="20"/>
          <w:szCs w:val="20"/>
          <w:lang w:val="en-US"/>
        </w:rPr>
        <w:t>Catarina</w:t>
      </w:r>
      <w:proofErr w:type="spellEnd"/>
      <w:r w:rsidRPr="00E44CC9">
        <w:rPr>
          <w:sz w:val="20"/>
          <w:szCs w:val="20"/>
          <w:lang w:val="en-US"/>
        </w:rPr>
        <w:t xml:space="preserve">, for which the dummy coefficient is not statistically significant. </w:t>
      </w:r>
      <w:r>
        <w:rPr>
          <w:sz w:val="20"/>
          <w:szCs w:val="20"/>
          <w:lang w:val="en-US"/>
        </w:rPr>
        <w:t>S</w:t>
      </w:r>
      <w:r w:rsidRPr="007B1C78">
        <w:rPr>
          <w:sz w:val="20"/>
          <w:szCs w:val="20"/>
          <w:lang w:val="en-US"/>
        </w:rPr>
        <w:t>tate</w:t>
      </w:r>
      <w:r>
        <w:rPr>
          <w:sz w:val="20"/>
          <w:szCs w:val="20"/>
          <w:lang w:val="en-US"/>
        </w:rPr>
        <w:t xml:space="preserve"> </w:t>
      </w:r>
      <w:r w:rsidRPr="007B1C78">
        <w:rPr>
          <w:sz w:val="20"/>
          <w:szCs w:val="20"/>
          <w:lang w:val="en-US"/>
        </w:rPr>
        <w:t>dumm</w:t>
      </w:r>
      <w:r>
        <w:rPr>
          <w:sz w:val="20"/>
          <w:szCs w:val="20"/>
          <w:lang w:val="en-US"/>
        </w:rPr>
        <w:t xml:space="preserve">ies for </w:t>
      </w:r>
      <w:r w:rsidRPr="007B1C78">
        <w:rPr>
          <w:sz w:val="20"/>
          <w:szCs w:val="20"/>
          <w:lang w:val="en-US"/>
        </w:rPr>
        <w:t>Amazonas and S</w:t>
      </w:r>
      <w:proofErr w:type="spellStart"/>
      <w:r w:rsidRPr="007B1C78">
        <w:rPr>
          <w:color w:val="000000"/>
          <w:sz w:val="20"/>
          <w:szCs w:val="20"/>
        </w:rPr>
        <w:t>ão</w:t>
      </w:r>
      <w:proofErr w:type="spellEnd"/>
      <w:r w:rsidRPr="007B1C78">
        <w:rPr>
          <w:color w:val="000000"/>
          <w:sz w:val="20"/>
          <w:szCs w:val="20"/>
        </w:rPr>
        <w:t xml:space="preserve"> </w:t>
      </w:r>
      <w:r w:rsidRPr="007B1C78">
        <w:rPr>
          <w:sz w:val="20"/>
          <w:szCs w:val="20"/>
          <w:lang w:val="en-US"/>
        </w:rPr>
        <w:t xml:space="preserve">Paulo </w:t>
      </w:r>
      <w:r>
        <w:rPr>
          <w:sz w:val="20"/>
          <w:szCs w:val="20"/>
          <w:lang w:val="en-US"/>
        </w:rPr>
        <w:t>were dropped.</w:t>
      </w:r>
    </w:p>
    <w:p w:rsidR="005517A8" w:rsidRPr="00E44CC9" w:rsidRDefault="005517A8" w:rsidP="00A93AED">
      <w:pPr>
        <w:pStyle w:val="ListParagraph"/>
        <w:spacing w:line="276" w:lineRule="auto"/>
        <w:ind w:left="426"/>
        <w:jc w:val="both"/>
        <w:rPr>
          <w:sz w:val="20"/>
          <w:szCs w:val="20"/>
          <w:lang w:val="en-US"/>
        </w:rPr>
      </w:pPr>
    </w:p>
    <w:p w:rsidR="005517A8" w:rsidRDefault="00E84782" w:rsidP="00877A16">
      <w:pPr>
        <w:pStyle w:val="ListParagraph"/>
        <w:spacing w:line="276" w:lineRule="auto"/>
        <w:ind w:left="0" w:firstLine="426"/>
        <w:jc w:val="both"/>
      </w:pPr>
      <w:r w:rsidRPr="00FA317F">
        <w:lastRenderedPageBreak/>
        <w:t xml:space="preserve">In all </w:t>
      </w:r>
      <w:r w:rsidR="00B9298F">
        <w:t>four</w:t>
      </w:r>
      <w:r w:rsidRPr="00FA317F">
        <w:t xml:space="preserve"> models, t</w:t>
      </w:r>
      <w:r w:rsidR="00455570" w:rsidRPr="00FA317F">
        <w:t xml:space="preserve">he </w:t>
      </w:r>
      <w:r w:rsidR="00277405" w:rsidRPr="00FA317F">
        <w:t xml:space="preserve">coefficient of </w:t>
      </w:r>
      <w:r w:rsidR="00E37FD1">
        <w:t>the lag of the dependent variable</w:t>
      </w:r>
      <w:r w:rsidR="00E37FD1">
        <w:rPr>
          <w:rStyle w:val="FootnoteReference"/>
        </w:rPr>
        <w:t xml:space="preserve"> </w:t>
      </w:r>
      <w:r w:rsidRPr="00FA317F">
        <w:t xml:space="preserve">is negative as </w:t>
      </w:r>
      <w:r w:rsidR="00277405" w:rsidRPr="00FA317F">
        <w:t>expected</w:t>
      </w:r>
      <w:r w:rsidR="009845F8" w:rsidRPr="00FA317F">
        <w:t xml:space="preserve"> and </w:t>
      </w:r>
      <w:r w:rsidRPr="00FA317F">
        <w:t xml:space="preserve">also statistically </w:t>
      </w:r>
      <w:r w:rsidR="00277405" w:rsidRPr="00FA317F">
        <w:t>significant</w:t>
      </w:r>
      <w:r w:rsidR="00E37FD1">
        <w:t xml:space="preserve">. Because the dependent variable is in growth rates, the negative coefficient on the lagged growth rate is consistent with an autoregressive process in levels. The autocorrelation coefficient is one minus the reported coefficient and is therefore around 0.6 to 0.7. </w:t>
      </w:r>
      <w:r w:rsidR="00996241" w:rsidRPr="00FA317F">
        <w:t xml:space="preserve">In </w:t>
      </w:r>
      <w:r w:rsidR="000252DC">
        <w:t xml:space="preserve">all four columns, the coefficient of specialisation is positive and statistically significant in all but the first column. Hence the results are broadly </w:t>
      </w:r>
      <w:r w:rsidRPr="00FA317F">
        <w:t>support</w:t>
      </w:r>
      <w:r w:rsidR="000252DC">
        <w:t>ive of</w:t>
      </w:r>
      <w:r w:rsidRPr="00FA317F">
        <w:t xml:space="preserve"> both MAR</w:t>
      </w:r>
      <w:r w:rsidR="00E37FD1">
        <w:t xml:space="preserve"> </w:t>
      </w:r>
      <w:r w:rsidRPr="00FA317F">
        <w:t>and Porter</w:t>
      </w:r>
      <w:r w:rsidR="000252DC">
        <w:t xml:space="preserve"> </w:t>
      </w:r>
      <w:r w:rsidRPr="00FA317F">
        <w:t>externalities</w:t>
      </w:r>
      <w:r w:rsidR="002A64F2" w:rsidRPr="00FA317F">
        <w:t xml:space="preserve">. </w:t>
      </w:r>
      <w:r w:rsidR="001D5C3F" w:rsidRPr="00FA317F">
        <w:t xml:space="preserve">The coefficient of </w:t>
      </w:r>
      <w:r w:rsidR="00E37FD1">
        <w:t>diversity</w:t>
      </w:r>
      <w:r w:rsidR="001D5C3F" w:rsidRPr="00FA317F">
        <w:t xml:space="preserve"> is not statistically significant</w:t>
      </w:r>
      <w:r w:rsidR="00E37FD1">
        <w:t xml:space="preserve">. </w:t>
      </w:r>
    </w:p>
    <w:p w:rsidR="005517A8" w:rsidRDefault="005517A8" w:rsidP="00877A16">
      <w:pPr>
        <w:pStyle w:val="ListParagraph"/>
        <w:spacing w:line="276" w:lineRule="auto"/>
        <w:ind w:left="0" w:firstLine="426"/>
        <w:jc w:val="both"/>
      </w:pPr>
    </w:p>
    <w:p w:rsidR="00DF2C7B" w:rsidRPr="00E37FD1" w:rsidRDefault="005517A8" w:rsidP="005517A8">
      <w:pPr>
        <w:pStyle w:val="ListParagraph"/>
        <w:tabs>
          <w:tab w:val="left" w:pos="567"/>
        </w:tabs>
        <w:spacing w:line="276" w:lineRule="auto"/>
        <w:ind w:left="0" w:firstLine="426"/>
        <w:jc w:val="both"/>
      </w:pPr>
      <w:r>
        <w:tab/>
      </w:r>
      <w:r w:rsidR="00E37FD1">
        <w:t>The coefficients on the distance variable show that employment growth in Brazil is faster the further the state is from São</w:t>
      </w:r>
      <w:r w:rsidR="00E37FD1">
        <w:rPr>
          <w:lang w:eastAsia="zh-CN"/>
        </w:rPr>
        <w:t xml:space="preserve"> Paulo. </w:t>
      </w:r>
      <w:r w:rsidR="002E0D80" w:rsidRPr="00E37FD1">
        <w:rPr>
          <w:iCs/>
        </w:rPr>
        <w:t>In equ</w:t>
      </w:r>
      <w:r w:rsidR="002E0D80" w:rsidRPr="00E37FD1">
        <w:t xml:space="preserve">ation 5.1 the coefficient of </w:t>
      </w:r>
      <w:r w:rsidR="0009229D">
        <w:t>the literacy rate</w:t>
      </w:r>
      <w:r w:rsidR="002E0D80" w:rsidRPr="00E37FD1">
        <w:t xml:space="preserve"> is</w:t>
      </w:r>
      <w:r w:rsidR="008D420A" w:rsidRPr="00E37FD1">
        <w:t>,</w:t>
      </w:r>
      <w:r w:rsidR="002E0D80" w:rsidRPr="00E37FD1">
        <w:t xml:space="preserve"> </w:t>
      </w:r>
      <w:r w:rsidR="008D420A" w:rsidRPr="00E37FD1">
        <w:t>as expect</w:t>
      </w:r>
      <w:r w:rsidR="008D420A" w:rsidRPr="00E37FD1">
        <w:rPr>
          <w:iCs/>
        </w:rPr>
        <w:t xml:space="preserve">ed, </w:t>
      </w:r>
      <w:r w:rsidR="00F52ECC" w:rsidRPr="00E37FD1">
        <w:rPr>
          <w:iCs/>
        </w:rPr>
        <w:t>po</w:t>
      </w:r>
      <w:r w:rsidR="00F52ECC" w:rsidRPr="00E37FD1">
        <w:t>sitive</w:t>
      </w:r>
      <w:r w:rsidR="008D420A" w:rsidRPr="00E37FD1">
        <w:t xml:space="preserve"> and </w:t>
      </w:r>
      <w:r w:rsidR="002E0D80" w:rsidRPr="00E37FD1">
        <w:t>sta</w:t>
      </w:r>
      <w:r w:rsidR="002E0D80" w:rsidRPr="00E37FD1">
        <w:rPr>
          <w:iCs/>
        </w:rPr>
        <w:t>tistic</w:t>
      </w:r>
      <w:r w:rsidR="002E0D80" w:rsidRPr="00E37FD1">
        <w:t>ally significant.</w:t>
      </w:r>
      <w:r w:rsidR="002E0D80" w:rsidRPr="00E37FD1">
        <w:rPr>
          <w:iCs/>
        </w:rPr>
        <w:t xml:space="preserve"> That i</w:t>
      </w:r>
      <w:r w:rsidR="002E0D80" w:rsidRPr="00E37FD1">
        <w:t xml:space="preserve">s, the higher </w:t>
      </w:r>
      <w:r w:rsidR="008430B6">
        <w:t xml:space="preserve">the </w:t>
      </w:r>
      <w:r w:rsidR="002E0D80" w:rsidRPr="00E37FD1">
        <w:t>literacy</w:t>
      </w:r>
      <w:r w:rsidR="009837DF" w:rsidRPr="00E37FD1">
        <w:t xml:space="preserve"> rate</w:t>
      </w:r>
      <w:r w:rsidR="0009229D">
        <w:t>,</w:t>
      </w:r>
      <w:r w:rsidR="00110DFF" w:rsidRPr="00E37FD1">
        <w:t xml:space="preserve"> </w:t>
      </w:r>
      <w:r w:rsidR="002E0D80" w:rsidRPr="00E37FD1">
        <w:t>t</w:t>
      </w:r>
      <w:r w:rsidR="002E0D80" w:rsidRPr="00E37FD1">
        <w:rPr>
          <w:iCs/>
        </w:rPr>
        <w:t>he high</w:t>
      </w:r>
      <w:r w:rsidR="002E0D80" w:rsidRPr="00E37FD1">
        <w:t xml:space="preserve">er </w:t>
      </w:r>
      <w:r w:rsidR="009837DF" w:rsidRPr="00E37FD1">
        <w:t xml:space="preserve">economic </w:t>
      </w:r>
      <w:r w:rsidR="002E0D80" w:rsidRPr="00E37FD1">
        <w:t xml:space="preserve">growth. </w:t>
      </w:r>
      <w:r w:rsidR="000252DC">
        <w:t xml:space="preserve">However, the literacy rate is not statistically significant in models that include time fixed effects. The reason is that the literacy rate tends to only slowly change over time and has therefore now predictive power alongside a time trend. However, the rate of change in the literacy level is more variable but generally inversely related with the level of literacy, i.e. there is </w:t>
      </w:r>
      <w:proofErr w:type="spellStart"/>
      <w:r w:rsidR="000252DC">
        <w:t>spatila</w:t>
      </w:r>
      <w:proofErr w:type="spellEnd"/>
      <w:r w:rsidR="000252DC">
        <w:t xml:space="preserve"> literacy convergence. This implies that we would expect the coefficient on the </w:t>
      </w:r>
      <w:proofErr w:type="spellStart"/>
      <w:r w:rsidR="000252DC">
        <w:t>annula</w:t>
      </w:r>
      <w:proofErr w:type="spellEnd"/>
      <w:r w:rsidR="000252DC">
        <w:t xml:space="preserve"> change in the literacy rate to be negative: a high rate of change in literacy is equivalent to a low level of literacy. The latter suggests a low level of human capital that would be an impediment to growth. </w:t>
      </w:r>
      <w:r w:rsidR="002E0D80" w:rsidRPr="00E37FD1">
        <w:t xml:space="preserve">Nevertheless, </w:t>
      </w:r>
      <w:r w:rsidR="000252DC">
        <w:t xml:space="preserve">while the coefficient of the annual change in literacy is negative as expected in columns 5.2 and 5.4, these coefficients are statistically insignificant. </w:t>
      </w:r>
      <w:r w:rsidR="00511AFF" w:rsidRPr="00E37FD1">
        <w:rPr>
          <w:iCs/>
        </w:rPr>
        <w:t>The e</w:t>
      </w:r>
      <w:r w:rsidR="008C4BA6" w:rsidRPr="00E37FD1">
        <w:rPr>
          <w:iCs/>
        </w:rPr>
        <w:t>xpl</w:t>
      </w:r>
      <w:r w:rsidR="0009229D">
        <w:rPr>
          <w:iCs/>
        </w:rPr>
        <w:t>anatory</w:t>
      </w:r>
      <w:r w:rsidR="008C4BA6" w:rsidRPr="00E37FD1">
        <w:t xml:space="preserve"> power </w:t>
      </w:r>
      <w:r w:rsidR="008F304C" w:rsidRPr="00E37FD1">
        <w:t xml:space="preserve">is </w:t>
      </w:r>
      <w:r w:rsidR="000656E6" w:rsidRPr="00E37FD1">
        <w:rPr>
          <w:iCs/>
        </w:rPr>
        <w:t>rela</w:t>
      </w:r>
      <w:r w:rsidR="000656E6" w:rsidRPr="00E37FD1">
        <w:t>tively low</w:t>
      </w:r>
      <w:r w:rsidR="000656E6" w:rsidRPr="00E37FD1">
        <w:rPr>
          <w:iCs/>
        </w:rPr>
        <w:t xml:space="preserve"> </w:t>
      </w:r>
      <w:r w:rsidR="00511AFF" w:rsidRPr="00E37FD1">
        <w:rPr>
          <w:iCs/>
        </w:rPr>
        <w:t>for equati</w:t>
      </w:r>
      <w:r w:rsidR="00511AFF" w:rsidRPr="00E37FD1">
        <w:t>ons 5.</w:t>
      </w:r>
      <w:r w:rsidR="00511AFF" w:rsidRPr="00E37FD1">
        <w:rPr>
          <w:iCs/>
        </w:rPr>
        <w:t>1</w:t>
      </w:r>
      <w:r w:rsidR="000252DC">
        <w:rPr>
          <w:iCs/>
        </w:rPr>
        <w:t xml:space="preserve"> and 5.3</w:t>
      </w:r>
      <w:r w:rsidR="00A201EF">
        <w:rPr>
          <w:iCs/>
        </w:rPr>
        <w:t xml:space="preserve">, with adjusted </w:t>
      </w:r>
      <w:r w:rsidR="00A201EF" w:rsidRPr="00E37FD1">
        <w:t>R</w:t>
      </w:r>
      <w:r w:rsidR="00A201EF" w:rsidRPr="00E37FD1">
        <w:rPr>
          <w:vertAlign w:val="superscript"/>
        </w:rPr>
        <w:t>2</w:t>
      </w:r>
      <w:r w:rsidR="00A201EF">
        <w:rPr>
          <w:vertAlign w:val="superscript"/>
        </w:rPr>
        <w:t xml:space="preserve"> </w:t>
      </w:r>
      <w:r w:rsidR="00A201EF">
        <w:t xml:space="preserve">of </w:t>
      </w:r>
      <w:r w:rsidR="008C4BA6" w:rsidRPr="00E37FD1">
        <w:rPr>
          <w:iCs/>
        </w:rPr>
        <w:t>0.</w:t>
      </w:r>
      <w:r w:rsidR="008D420A" w:rsidRPr="00E37FD1">
        <w:rPr>
          <w:iCs/>
        </w:rPr>
        <w:t>1029</w:t>
      </w:r>
      <w:r w:rsidR="00A201EF">
        <w:rPr>
          <w:iCs/>
        </w:rPr>
        <w:t xml:space="preserve"> and </w:t>
      </w:r>
      <w:r w:rsidR="000656E6" w:rsidRPr="00E37FD1">
        <w:t>0</w:t>
      </w:r>
      <w:r w:rsidR="000656E6" w:rsidRPr="00E37FD1">
        <w:rPr>
          <w:iCs/>
        </w:rPr>
        <w:t>.13</w:t>
      </w:r>
      <w:r w:rsidR="008D420A" w:rsidRPr="00E37FD1">
        <w:rPr>
          <w:iCs/>
        </w:rPr>
        <w:t>9</w:t>
      </w:r>
      <w:r w:rsidR="00511AFF" w:rsidRPr="00E37FD1">
        <w:rPr>
          <w:iCs/>
        </w:rPr>
        <w:t>6</w:t>
      </w:r>
      <w:r w:rsidR="00FB1201">
        <w:rPr>
          <w:iCs/>
        </w:rPr>
        <w:t xml:space="preserve"> </w:t>
      </w:r>
      <w:r w:rsidR="00FB1201" w:rsidRPr="00E37FD1">
        <w:rPr>
          <w:iCs/>
        </w:rPr>
        <w:t>re</w:t>
      </w:r>
      <w:r w:rsidR="00FB1201" w:rsidRPr="00E37FD1">
        <w:t>spectively</w:t>
      </w:r>
      <w:r w:rsidR="00511AFF" w:rsidRPr="00E37FD1">
        <w:rPr>
          <w:iCs/>
        </w:rPr>
        <w:t xml:space="preserve">. </w:t>
      </w:r>
      <w:r w:rsidR="008F304C" w:rsidRPr="00E37FD1">
        <w:rPr>
          <w:iCs/>
        </w:rPr>
        <w:t xml:space="preserve">However, </w:t>
      </w:r>
      <w:r w:rsidR="0009229D">
        <w:rPr>
          <w:iCs/>
        </w:rPr>
        <w:t xml:space="preserve">as expected, the </w:t>
      </w:r>
      <w:r w:rsidR="00A201EF">
        <w:rPr>
          <w:iCs/>
        </w:rPr>
        <w:t xml:space="preserve">adjusted </w:t>
      </w:r>
      <w:r w:rsidR="0009229D" w:rsidRPr="00E37FD1">
        <w:t>R</w:t>
      </w:r>
      <w:r w:rsidR="0009229D" w:rsidRPr="00E37FD1">
        <w:rPr>
          <w:vertAlign w:val="superscript"/>
        </w:rPr>
        <w:t>2</w:t>
      </w:r>
      <w:r w:rsidR="0009229D">
        <w:rPr>
          <w:vertAlign w:val="superscript"/>
        </w:rPr>
        <w:t xml:space="preserve"> </w:t>
      </w:r>
      <w:r w:rsidR="00511AFF" w:rsidRPr="00E37FD1">
        <w:t>i</w:t>
      </w:r>
      <w:r w:rsidR="00FB1201">
        <w:t>s</w:t>
      </w:r>
      <w:r w:rsidR="00511AFF" w:rsidRPr="00E37FD1">
        <w:t xml:space="preserve"> </w:t>
      </w:r>
      <w:r w:rsidR="0009229D">
        <w:t>much higher for</w:t>
      </w:r>
      <w:r w:rsidR="000656E6" w:rsidRPr="00E37FD1">
        <w:t xml:space="preserve"> </w:t>
      </w:r>
      <w:r w:rsidR="00FB1201">
        <w:t>e</w:t>
      </w:r>
      <w:r w:rsidR="000656E6" w:rsidRPr="00E37FD1">
        <w:t>qu</w:t>
      </w:r>
      <w:r w:rsidR="000656E6" w:rsidRPr="00E37FD1">
        <w:rPr>
          <w:iCs/>
        </w:rPr>
        <w:t xml:space="preserve">ations </w:t>
      </w:r>
      <w:r w:rsidR="00511AFF" w:rsidRPr="00E37FD1">
        <w:t>5.2 and 5.</w:t>
      </w:r>
      <w:r w:rsidR="00A201EF">
        <w:t>4</w:t>
      </w:r>
      <w:r w:rsidR="00511AFF" w:rsidRPr="00E37FD1">
        <w:rPr>
          <w:iCs/>
        </w:rPr>
        <w:t xml:space="preserve">, which </w:t>
      </w:r>
      <w:r w:rsidR="003E0739" w:rsidRPr="00E37FD1">
        <w:rPr>
          <w:iCs/>
        </w:rPr>
        <w:t>are b</w:t>
      </w:r>
      <w:r w:rsidR="003E0739" w:rsidRPr="00E37FD1">
        <w:t>oth m</w:t>
      </w:r>
      <w:r w:rsidR="003E0739" w:rsidRPr="00E37FD1">
        <w:rPr>
          <w:iCs/>
        </w:rPr>
        <w:t>odels w</w:t>
      </w:r>
      <w:r w:rsidR="003E0739" w:rsidRPr="00E37FD1">
        <w:t xml:space="preserve">ith time and </w:t>
      </w:r>
      <w:r w:rsidR="00AF6F9B" w:rsidRPr="00E37FD1">
        <w:t>s</w:t>
      </w:r>
      <w:r w:rsidR="003E0739" w:rsidRPr="00E37FD1">
        <w:rPr>
          <w:iCs/>
        </w:rPr>
        <w:t xml:space="preserve">tate </w:t>
      </w:r>
      <w:r w:rsidR="003E0739" w:rsidRPr="00E37FD1">
        <w:t>dummies</w:t>
      </w:r>
      <w:r w:rsidR="0009229D">
        <w:t>.</w:t>
      </w:r>
    </w:p>
    <w:p w:rsidR="005557BC" w:rsidRPr="00A24B44" w:rsidRDefault="005557BC" w:rsidP="00877A16">
      <w:pPr>
        <w:pStyle w:val="ListParagraph"/>
        <w:spacing w:line="276" w:lineRule="auto"/>
        <w:ind w:left="0"/>
        <w:jc w:val="both"/>
      </w:pPr>
    </w:p>
    <w:p w:rsidR="00991D4C" w:rsidRPr="00A24B44" w:rsidRDefault="00991D4C" w:rsidP="00877A16">
      <w:pPr>
        <w:pStyle w:val="ListParagraph"/>
        <w:spacing w:line="276" w:lineRule="auto"/>
        <w:ind w:left="0"/>
        <w:jc w:val="both"/>
        <w:rPr>
          <w:b/>
          <w:iCs/>
        </w:rPr>
      </w:pPr>
      <w:r w:rsidRPr="00A24B44">
        <w:rPr>
          <w:b/>
          <w:iCs/>
        </w:rPr>
        <w:t>Pooled</w:t>
      </w:r>
      <w:r w:rsidR="00EE3612" w:rsidRPr="00A24B44">
        <w:rPr>
          <w:b/>
          <w:iCs/>
        </w:rPr>
        <w:t>-Period</w:t>
      </w:r>
      <w:r w:rsidR="00DE3F00" w:rsidRPr="00A24B44">
        <w:rPr>
          <w:b/>
          <w:iCs/>
        </w:rPr>
        <w:t xml:space="preserve">s </w:t>
      </w:r>
      <w:r w:rsidRPr="00A24B44">
        <w:rPr>
          <w:b/>
          <w:iCs/>
        </w:rPr>
        <w:t>Model</w:t>
      </w:r>
      <w:r w:rsidR="00110DFF" w:rsidRPr="00A24B44">
        <w:rPr>
          <w:b/>
          <w:iCs/>
        </w:rPr>
        <w:t>s</w:t>
      </w:r>
    </w:p>
    <w:p w:rsidR="009873A9" w:rsidRDefault="00F37FCA" w:rsidP="00877A16">
      <w:pPr>
        <w:pStyle w:val="ListParagraph"/>
        <w:spacing w:line="276" w:lineRule="auto"/>
        <w:ind w:left="0"/>
        <w:jc w:val="both"/>
      </w:pPr>
      <w:r w:rsidRPr="00FA317F">
        <w:t>T</w:t>
      </w:r>
      <w:r w:rsidR="00320831" w:rsidRPr="00FA317F">
        <w:t>his sub-section present</w:t>
      </w:r>
      <w:r w:rsidRPr="00FA317F">
        <w:t>s</w:t>
      </w:r>
      <w:r w:rsidR="00320831" w:rsidRPr="00FA317F">
        <w:t xml:space="preserve"> </w:t>
      </w:r>
      <w:r w:rsidR="00745873">
        <w:t>models of a</w:t>
      </w:r>
      <w:r w:rsidR="00320831" w:rsidRPr="00FA317F">
        <w:t xml:space="preserve">verage </w:t>
      </w:r>
      <w:r w:rsidR="00745873">
        <w:t>a</w:t>
      </w:r>
      <w:r w:rsidR="00745873" w:rsidRPr="00FA317F">
        <w:t xml:space="preserve">nnual </w:t>
      </w:r>
      <w:r w:rsidR="001A4A56">
        <w:t xml:space="preserve">manufacturing </w:t>
      </w:r>
      <w:r w:rsidR="00745873">
        <w:t>e</w:t>
      </w:r>
      <w:r w:rsidRPr="00FA317F">
        <w:t xml:space="preserve">mployment </w:t>
      </w:r>
      <w:r w:rsidR="00745873">
        <w:t>g</w:t>
      </w:r>
      <w:r w:rsidR="00320831" w:rsidRPr="00FA317F">
        <w:t>rowth</w:t>
      </w:r>
      <w:r w:rsidR="00745873">
        <w:t xml:space="preserve"> for</w:t>
      </w:r>
      <w:r w:rsidR="00320831" w:rsidRPr="00FA317F">
        <w:t xml:space="preserve"> </w:t>
      </w:r>
      <w:r w:rsidR="00745873">
        <w:t>p</w:t>
      </w:r>
      <w:r w:rsidR="00320831" w:rsidRPr="00FA317F">
        <w:t xml:space="preserve">ooled </w:t>
      </w:r>
      <w:r w:rsidR="00745873">
        <w:t>periods</w:t>
      </w:r>
      <w:r w:rsidR="00EE3612">
        <w:t xml:space="preserve">. </w:t>
      </w:r>
      <w:r w:rsidR="00745873" w:rsidRPr="00745873">
        <w:rPr>
          <w:szCs w:val="20"/>
          <w:lang w:val="en-US"/>
        </w:rPr>
        <w:t>The periods are 1981-1990, 1991-1998 and 1999-2006.</w:t>
      </w:r>
      <w:r w:rsidR="00745873">
        <w:rPr>
          <w:sz w:val="32"/>
        </w:rPr>
        <w:t xml:space="preserve"> </w:t>
      </w:r>
      <w:r w:rsidR="00745873">
        <w:t>This yields a</w:t>
      </w:r>
      <w:r w:rsidR="00F0670F" w:rsidRPr="00FA317F">
        <w:t xml:space="preserve"> total of 78 observations.</w:t>
      </w:r>
      <w:r w:rsidR="00A201EF">
        <w:t xml:space="preserve"> </w:t>
      </w:r>
      <w:r w:rsidR="002B3F49" w:rsidRPr="00FA317F">
        <w:t>We estimat</w:t>
      </w:r>
      <w:r w:rsidR="00313372" w:rsidRPr="00FA317F">
        <w:t>e</w:t>
      </w:r>
      <w:r w:rsidR="002B3F49" w:rsidRPr="00FA317F">
        <w:t xml:space="preserve"> </w:t>
      </w:r>
      <w:r w:rsidR="00A201EF">
        <w:t>again four</w:t>
      </w:r>
      <w:r w:rsidR="00BB7A2E" w:rsidRPr="00FA317F">
        <w:t xml:space="preserve"> </w:t>
      </w:r>
      <w:r w:rsidR="002F4C7F" w:rsidRPr="00FA317F">
        <w:t>models</w:t>
      </w:r>
      <w:r w:rsidR="002B3F49" w:rsidRPr="00FA317F">
        <w:t xml:space="preserve">. </w:t>
      </w:r>
      <w:r w:rsidR="00745873">
        <w:t>In all models,</w:t>
      </w:r>
      <w:r w:rsidR="007044A5" w:rsidRPr="00FA317F">
        <w:t xml:space="preserve"> </w:t>
      </w:r>
      <w:r w:rsidR="004725C7" w:rsidRPr="00FA317F">
        <w:t>the</w:t>
      </w:r>
      <w:r w:rsidR="006712AE" w:rsidRPr="00FA317F">
        <w:t xml:space="preserve"> change </w:t>
      </w:r>
      <w:r w:rsidR="00745873">
        <w:t xml:space="preserve">in </w:t>
      </w:r>
      <w:r w:rsidR="006712AE" w:rsidRPr="00FA317F">
        <w:t xml:space="preserve">literacy </w:t>
      </w:r>
      <w:r w:rsidR="00210CE7" w:rsidRPr="00FA317F">
        <w:t xml:space="preserve">is </w:t>
      </w:r>
      <w:r w:rsidR="006712AE" w:rsidRPr="00FA317F">
        <w:t xml:space="preserve">used rather than </w:t>
      </w:r>
      <w:r w:rsidR="007044A5" w:rsidRPr="00FA317F">
        <w:t>literacy rate</w:t>
      </w:r>
      <w:r w:rsidR="00745873">
        <w:t xml:space="preserve"> itself</w:t>
      </w:r>
      <w:r w:rsidR="004725C7" w:rsidRPr="00FA317F">
        <w:t xml:space="preserve">. Table </w:t>
      </w:r>
      <w:r w:rsidR="00595FBE">
        <w:t>6</w:t>
      </w:r>
      <w:r w:rsidR="004725C7" w:rsidRPr="00FA317F">
        <w:t xml:space="preserve"> </w:t>
      </w:r>
      <w:r w:rsidR="007044A5" w:rsidRPr="00FA317F">
        <w:t>show</w:t>
      </w:r>
      <w:r w:rsidR="00247A19" w:rsidRPr="00FA317F">
        <w:t>s</w:t>
      </w:r>
      <w:r w:rsidR="007044A5" w:rsidRPr="00FA317F">
        <w:t xml:space="preserve"> </w:t>
      </w:r>
      <w:r w:rsidR="00745873">
        <w:t xml:space="preserve">the results. </w:t>
      </w:r>
      <w:r w:rsidR="00B16DB1" w:rsidRPr="00FA317F">
        <w:t xml:space="preserve">In </w:t>
      </w:r>
      <w:r w:rsidR="00E40C55">
        <w:t>e</w:t>
      </w:r>
      <w:r w:rsidR="00B16DB1" w:rsidRPr="00FA317F">
        <w:t xml:space="preserve">quations </w:t>
      </w:r>
      <w:r w:rsidR="00A201EF">
        <w:t>6.1</w:t>
      </w:r>
      <w:r w:rsidR="00B16DB1">
        <w:t xml:space="preserve"> </w:t>
      </w:r>
      <w:r w:rsidR="00A201EF">
        <w:t>and 6.2</w:t>
      </w:r>
      <w:r w:rsidR="00B16DB1" w:rsidRPr="00FA317F">
        <w:t xml:space="preserve"> </w:t>
      </w:r>
      <w:r w:rsidR="00B16DB1">
        <w:t xml:space="preserve">the </w:t>
      </w:r>
      <w:r w:rsidR="00B16DB1" w:rsidRPr="00FA317F">
        <w:t xml:space="preserve">dependent variable is </w:t>
      </w:r>
      <w:r w:rsidR="00B16DB1">
        <w:t xml:space="preserve">based on </w:t>
      </w:r>
      <w:proofErr w:type="spellStart"/>
      <w:r w:rsidR="00B16DB1" w:rsidRPr="00FA317F">
        <w:t>Glaeser</w:t>
      </w:r>
      <w:proofErr w:type="spellEnd"/>
      <w:r w:rsidR="00B16DB1" w:rsidRPr="00FA317F">
        <w:t xml:space="preserve"> </w:t>
      </w:r>
      <w:r w:rsidR="00B16DB1" w:rsidRPr="00FA317F">
        <w:rPr>
          <w:i/>
          <w:iCs/>
        </w:rPr>
        <w:t>et al</w:t>
      </w:r>
      <w:r w:rsidR="00B16DB1" w:rsidRPr="00FA317F">
        <w:t>.</w:t>
      </w:r>
      <w:r w:rsidR="00B16DB1">
        <w:t xml:space="preserve"> (</w:t>
      </w:r>
      <w:r w:rsidR="00B16DB1" w:rsidRPr="00FA317F">
        <w:t xml:space="preserve">1992), whereas in </w:t>
      </w:r>
      <w:r w:rsidR="00E40C55">
        <w:t>e</w:t>
      </w:r>
      <w:r w:rsidR="00B16DB1" w:rsidRPr="00FA317F">
        <w:t xml:space="preserve">quations </w:t>
      </w:r>
      <w:r w:rsidR="00A201EF">
        <w:t>6.3 and 6.4</w:t>
      </w:r>
      <w:r w:rsidR="00B16DB1" w:rsidRPr="00FA317F">
        <w:t xml:space="preserve"> </w:t>
      </w:r>
      <w:r w:rsidR="00B16DB1">
        <w:t xml:space="preserve">we follow </w:t>
      </w:r>
      <w:proofErr w:type="spellStart"/>
      <w:r w:rsidR="00B16DB1" w:rsidRPr="00FA317F">
        <w:t>Combes</w:t>
      </w:r>
      <w:proofErr w:type="spellEnd"/>
      <w:r w:rsidR="00B16DB1">
        <w:t xml:space="preserve"> (</w:t>
      </w:r>
      <w:r w:rsidR="00B16DB1" w:rsidRPr="00FA317F">
        <w:t xml:space="preserve">2000). </w:t>
      </w:r>
      <w:r w:rsidR="00A201EF">
        <w:t>All models include</w:t>
      </w:r>
      <w:r w:rsidR="004725C7" w:rsidRPr="00FA317F">
        <w:t xml:space="preserve"> </w:t>
      </w:r>
      <w:r w:rsidR="00110DFF" w:rsidRPr="00FA317F">
        <w:t xml:space="preserve">the following explanatory variables: </w:t>
      </w:r>
      <w:r w:rsidR="00E40C55">
        <w:t>specialis</w:t>
      </w:r>
      <w:r w:rsidR="004725C7" w:rsidRPr="00FA317F">
        <w:t>ation, diversity</w:t>
      </w:r>
      <w:r w:rsidR="005F1C16" w:rsidRPr="00FA317F">
        <w:t>, distance</w:t>
      </w:r>
      <w:r w:rsidR="00E40C55">
        <w:t>,</w:t>
      </w:r>
      <w:r w:rsidR="005F1C16" w:rsidRPr="00FA317F">
        <w:t xml:space="preserve"> a</w:t>
      </w:r>
      <w:r w:rsidR="00E40C55">
        <w:t xml:space="preserve">nd </w:t>
      </w:r>
      <w:r w:rsidR="005F1C16" w:rsidRPr="00FA317F">
        <w:t xml:space="preserve">change </w:t>
      </w:r>
      <w:r w:rsidR="00B16DB1">
        <w:t>in the</w:t>
      </w:r>
      <w:r w:rsidR="00247A19" w:rsidRPr="00FA317F">
        <w:t xml:space="preserve"> </w:t>
      </w:r>
      <w:r w:rsidR="007044A5" w:rsidRPr="00FA317F">
        <w:t>literacy rate</w:t>
      </w:r>
      <w:r w:rsidR="00B16DB1">
        <w:t xml:space="preserve">. </w:t>
      </w:r>
      <w:r w:rsidR="00A201EF">
        <w:t xml:space="preserve">Additionally there are </w:t>
      </w:r>
      <w:r w:rsidR="00F74F50" w:rsidRPr="00FA317F">
        <w:t>year</w:t>
      </w:r>
      <w:r w:rsidR="002B3F49" w:rsidRPr="00FA317F">
        <w:t xml:space="preserve"> and state dummies</w:t>
      </w:r>
      <w:r w:rsidR="00F035EF" w:rsidRPr="00FA317F">
        <w:t xml:space="preserve"> </w:t>
      </w:r>
      <w:r w:rsidR="00B16DB1">
        <w:t xml:space="preserve">in </w:t>
      </w:r>
      <w:r w:rsidR="00E40C55">
        <w:t>e</w:t>
      </w:r>
      <w:r w:rsidR="00B16DB1">
        <w:t>quations</w:t>
      </w:r>
      <w:r w:rsidR="00F035EF" w:rsidRPr="00FA317F">
        <w:t xml:space="preserve"> </w:t>
      </w:r>
      <w:r w:rsidR="00A201EF">
        <w:t>6.</w:t>
      </w:r>
      <w:r w:rsidR="00F035EF" w:rsidRPr="00FA317F">
        <w:t xml:space="preserve">2 and </w:t>
      </w:r>
      <w:r w:rsidR="00A201EF">
        <w:t>6.4</w:t>
      </w:r>
      <w:r w:rsidR="00B16DB1">
        <w:t>.</w:t>
      </w:r>
      <w:r w:rsidR="00BB7A2E" w:rsidRPr="00FA317F">
        <w:rPr>
          <w:rStyle w:val="FootnoteReference"/>
        </w:rPr>
        <w:footnoteReference w:id="9"/>
      </w:r>
      <w:r w:rsidR="00F035EF" w:rsidRPr="00FA317F">
        <w:t xml:space="preserve"> </w:t>
      </w:r>
      <w:r w:rsidR="00B16DB1">
        <w:t>In</w:t>
      </w:r>
      <w:r w:rsidR="00BB7A2E" w:rsidRPr="00FA317F">
        <w:t xml:space="preserve"> </w:t>
      </w:r>
      <w:r w:rsidR="00E40C55">
        <w:t>e</w:t>
      </w:r>
      <w:r w:rsidR="00BB7A2E" w:rsidRPr="00FA317F">
        <w:t>q</w:t>
      </w:r>
      <w:r w:rsidR="009873A9" w:rsidRPr="00FA317F">
        <w:t xml:space="preserve">uations </w:t>
      </w:r>
      <w:r w:rsidR="00A201EF">
        <w:t>6.3 and 6.4</w:t>
      </w:r>
      <w:r w:rsidR="009873A9" w:rsidRPr="00FA317F">
        <w:t xml:space="preserve"> the natural logarithm was taken for all independent variables, except for the </w:t>
      </w:r>
      <w:r w:rsidR="00B16DB1">
        <w:t>change in literacy</w:t>
      </w:r>
      <w:r w:rsidR="00A201EF">
        <w:t xml:space="preserve"> over successive periods</w:t>
      </w:r>
      <w:r w:rsidR="00B16DB1">
        <w:t>.</w:t>
      </w:r>
    </w:p>
    <w:p w:rsidR="00B43760" w:rsidRPr="00FA317F" w:rsidRDefault="00B43760" w:rsidP="00877A16">
      <w:pPr>
        <w:pStyle w:val="ListParagraph"/>
        <w:spacing w:line="276" w:lineRule="auto"/>
        <w:ind w:left="0"/>
        <w:jc w:val="center"/>
        <w:rPr>
          <w:b/>
        </w:rPr>
      </w:pPr>
    </w:p>
    <w:p w:rsidR="00AE5F64" w:rsidRDefault="00A93AED" w:rsidP="005517A8">
      <w:pPr>
        <w:pStyle w:val="ListParagraph"/>
        <w:tabs>
          <w:tab w:val="left" w:pos="567"/>
        </w:tabs>
        <w:spacing w:line="276" w:lineRule="auto"/>
        <w:ind w:left="0"/>
        <w:jc w:val="both"/>
        <w:rPr>
          <w:lang w:eastAsia="zh-CN"/>
        </w:rPr>
      </w:pPr>
      <w:r>
        <w:tab/>
      </w:r>
      <w:r w:rsidR="00A201EF">
        <w:t>The</w:t>
      </w:r>
      <w:r w:rsidR="0004733D" w:rsidRPr="00FA317F">
        <w:t xml:space="preserve"> coefficient of </w:t>
      </w:r>
      <w:r w:rsidR="00B16DB1">
        <w:t>distance</w:t>
      </w:r>
      <w:r w:rsidR="0004733D" w:rsidRPr="00FA317F">
        <w:t xml:space="preserve"> is positive and statistically significant</w:t>
      </w:r>
      <w:r w:rsidR="00A201EF">
        <w:t xml:space="preserve"> in all four columns</w:t>
      </w:r>
      <w:r w:rsidR="0004733D" w:rsidRPr="00FA317F">
        <w:t xml:space="preserve">. </w:t>
      </w:r>
      <w:r w:rsidR="00B16DB1">
        <w:t>Again, growth is stronger the further the region is from São</w:t>
      </w:r>
      <w:r w:rsidR="00B16DB1">
        <w:rPr>
          <w:lang w:eastAsia="zh-CN"/>
        </w:rPr>
        <w:t xml:space="preserve"> Paulo. </w:t>
      </w:r>
      <w:r w:rsidR="003D3DEB" w:rsidRPr="00FA317F">
        <w:t>T</w:t>
      </w:r>
      <w:r w:rsidR="00C84BF1" w:rsidRPr="00FA317F">
        <w:t xml:space="preserve">he coefficient of </w:t>
      </w:r>
      <w:r w:rsidR="00AE5F64">
        <w:t>the change in literacy</w:t>
      </w:r>
      <w:r w:rsidR="00C84BF1" w:rsidRPr="00FA317F">
        <w:t xml:space="preserve"> is </w:t>
      </w:r>
      <w:r w:rsidR="00A03426" w:rsidRPr="00FA317F">
        <w:t>negative</w:t>
      </w:r>
      <w:r w:rsidR="00C84BF1" w:rsidRPr="00FA317F">
        <w:t xml:space="preserve"> and </w:t>
      </w:r>
      <w:r w:rsidR="00A03426" w:rsidRPr="00FA317F">
        <w:t>statistically significant</w:t>
      </w:r>
      <w:r w:rsidR="00A201EF">
        <w:t xml:space="preserve"> in equations 6.1 and 6.3. </w:t>
      </w:r>
      <w:r w:rsidR="00AE5F64">
        <w:t xml:space="preserve">Both the distance effect and the change in literacy effect are consistent with neoclassical </w:t>
      </w:r>
      <w:r w:rsidR="003A1BE1">
        <w:t xml:space="preserve">growth </w:t>
      </w:r>
      <w:r w:rsidR="003A1BE1">
        <w:lastRenderedPageBreak/>
        <w:t>theory</w:t>
      </w:r>
      <w:r w:rsidR="00AE5F64">
        <w:t>. Since São</w:t>
      </w:r>
      <w:r w:rsidR="00AE5F64">
        <w:rPr>
          <w:lang w:eastAsia="zh-CN"/>
        </w:rPr>
        <w:t xml:space="preserve"> Paulo has the highest level of income and the regions furthest away from </w:t>
      </w:r>
      <w:r w:rsidR="00AE5F64">
        <w:t>São</w:t>
      </w:r>
      <w:r w:rsidR="00AE5F64">
        <w:rPr>
          <w:lang w:eastAsia="zh-CN"/>
        </w:rPr>
        <w:t xml:space="preserve"> Paulo are the least developed, those regions will have the fastest growth rates. </w:t>
      </w:r>
      <w:r w:rsidR="003A1BE1">
        <w:rPr>
          <w:lang w:eastAsia="zh-CN"/>
        </w:rPr>
        <w:t>Additionally</w:t>
      </w:r>
      <w:r w:rsidR="00AE5F64">
        <w:rPr>
          <w:lang w:eastAsia="zh-CN"/>
        </w:rPr>
        <w:t xml:space="preserve">, the rate of literacy increases </w:t>
      </w:r>
      <w:r w:rsidR="003A1BE1">
        <w:rPr>
          <w:lang w:eastAsia="zh-CN"/>
        </w:rPr>
        <w:t xml:space="preserve">the fastest where the level of human capital per capita is the lowest </w:t>
      </w:r>
      <w:r w:rsidR="00AE5F64">
        <w:rPr>
          <w:lang w:eastAsia="zh-CN"/>
        </w:rPr>
        <w:t xml:space="preserve">and this </w:t>
      </w:r>
      <w:r w:rsidR="003A1BE1">
        <w:rPr>
          <w:lang w:eastAsia="zh-CN"/>
        </w:rPr>
        <w:t>depresses growth</w:t>
      </w:r>
      <w:r w:rsidR="00AE5F64">
        <w:rPr>
          <w:lang w:eastAsia="zh-CN"/>
        </w:rPr>
        <w:t>.</w:t>
      </w:r>
    </w:p>
    <w:p w:rsidR="00A93AED" w:rsidRDefault="00A93AED" w:rsidP="00877A16">
      <w:pPr>
        <w:pStyle w:val="ListParagraph"/>
        <w:spacing w:line="276" w:lineRule="auto"/>
        <w:ind w:left="0"/>
        <w:jc w:val="both"/>
        <w:rPr>
          <w:lang w:eastAsia="zh-CN"/>
        </w:rPr>
      </w:pPr>
    </w:p>
    <w:p w:rsidR="00A93AED" w:rsidRPr="00A93AED" w:rsidRDefault="00A93AED" w:rsidP="00A93AED">
      <w:pPr>
        <w:pStyle w:val="ListParagraph"/>
        <w:jc w:val="center"/>
        <w:rPr>
          <w:b/>
          <w:sz w:val="22"/>
          <w:szCs w:val="22"/>
          <w:lang w:val="en-US"/>
        </w:rPr>
      </w:pPr>
      <w:r w:rsidRPr="00A93AED">
        <w:rPr>
          <w:b/>
          <w:sz w:val="22"/>
          <w:szCs w:val="22"/>
          <w:lang w:val="en-US"/>
        </w:rPr>
        <w:t xml:space="preserve">Table 6: </w:t>
      </w:r>
      <w:r w:rsidRPr="00A93AED">
        <w:rPr>
          <w:b/>
          <w:bCs/>
          <w:sz w:val="22"/>
          <w:szCs w:val="22"/>
          <w:lang w:val="en-US"/>
        </w:rPr>
        <w:t>Pooled-Periods Cross-Section Models</w:t>
      </w:r>
    </w:p>
    <w:p w:rsidR="00A93AED" w:rsidRPr="00A93AED" w:rsidRDefault="00A93AED" w:rsidP="00A93AED">
      <w:pPr>
        <w:pStyle w:val="ListParagraph"/>
        <w:jc w:val="center"/>
        <w:rPr>
          <w:b/>
          <w:sz w:val="6"/>
          <w:szCs w:val="6"/>
          <w:lang w:val="en-US"/>
        </w:rPr>
      </w:pPr>
    </w:p>
    <w:tbl>
      <w:tblPr>
        <w:tblW w:w="7372" w:type="dxa"/>
        <w:jc w:val="center"/>
        <w:tblInd w:w="-743" w:type="dxa"/>
        <w:tblBorders>
          <w:top w:val="single" w:sz="12" w:space="0" w:color="000000"/>
          <w:bottom w:val="single" w:sz="12" w:space="0" w:color="000000"/>
        </w:tblBorders>
        <w:tblLayout w:type="fixed"/>
        <w:tblLook w:val="04A0"/>
      </w:tblPr>
      <w:tblGrid>
        <w:gridCol w:w="1867"/>
        <w:gridCol w:w="1504"/>
        <w:gridCol w:w="1308"/>
        <w:gridCol w:w="1393"/>
        <w:gridCol w:w="1300"/>
      </w:tblGrid>
      <w:tr w:rsidR="00A93AED" w:rsidRPr="00A93AED" w:rsidTr="005517A8">
        <w:trPr>
          <w:trHeight w:val="1283"/>
          <w:jc w:val="center"/>
        </w:trPr>
        <w:tc>
          <w:tcPr>
            <w:tcW w:w="1867" w:type="dxa"/>
            <w:tcBorders>
              <w:top w:val="single" w:sz="6" w:space="0" w:color="000000"/>
              <w:bottom w:val="single" w:sz="6" w:space="0" w:color="000000"/>
              <w:right w:val="nil"/>
            </w:tcBorders>
            <w:shd w:val="clear" w:color="auto" w:fill="auto"/>
          </w:tcPr>
          <w:p w:rsidR="00A93AED" w:rsidRPr="00A93AED" w:rsidRDefault="00A93AED" w:rsidP="006000E1">
            <w:pPr>
              <w:pStyle w:val="ListParagraph"/>
              <w:ind w:left="0"/>
              <w:jc w:val="center"/>
              <w:rPr>
                <w:iCs/>
                <w:sz w:val="22"/>
                <w:szCs w:val="22"/>
                <w:lang w:val="en-US"/>
              </w:rPr>
            </w:pPr>
          </w:p>
          <w:p w:rsidR="00A93AED" w:rsidRPr="00A93AED" w:rsidRDefault="00A93AED" w:rsidP="006000E1">
            <w:pPr>
              <w:pStyle w:val="ListParagraph"/>
              <w:ind w:left="0"/>
              <w:jc w:val="center"/>
              <w:rPr>
                <w:iCs/>
                <w:sz w:val="22"/>
                <w:szCs w:val="22"/>
                <w:lang w:val="en-US"/>
              </w:rPr>
            </w:pPr>
          </w:p>
          <w:p w:rsidR="00A93AED" w:rsidRPr="00A93AED" w:rsidRDefault="00A93AED" w:rsidP="006000E1">
            <w:pPr>
              <w:pStyle w:val="ListParagraph"/>
              <w:ind w:left="0"/>
              <w:jc w:val="center"/>
              <w:rPr>
                <w:iCs/>
                <w:sz w:val="22"/>
                <w:szCs w:val="22"/>
                <w:lang w:val="en-US"/>
              </w:rPr>
            </w:pPr>
            <w:r w:rsidRPr="00A93AED">
              <w:rPr>
                <w:iCs/>
                <w:sz w:val="22"/>
                <w:szCs w:val="22"/>
                <w:lang w:val="en-US"/>
              </w:rPr>
              <w:t>Variables</w:t>
            </w:r>
          </w:p>
        </w:tc>
        <w:tc>
          <w:tcPr>
            <w:tcW w:w="1504" w:type="dxa"/>
            <w:tcBorders>
              <w:top w:val="single" w:sz="6" w:space="0" w:color="000000"/>
              <w:left w:val="nil"/>
              <w:bottom w:val="single" w:sz="6" w:space="0" w:color="000000"/>
            </w:tcBorders>
            <w:shd w:val="clear" w:color="auto" w:fill="auto"/>
          </w:tcPr>
          <w:p w:rsidR="005517A8" w:rsidRDefault="00A93AED" w:rsidP="006000E1">
            <w:pPr>
              <w:pStyle w:val="ListParagraph"/>
              <w:ind w:left="0"/>
              <w:jc w:val="center"/>
              <w:rPr>
                <w:iCs/>
                <w:sz w:val="22"/>
                <w:szCs w:val="22"/>
                <w:lang w:val="en-US"/>
              </w:rPr>
            </w:pPr>
            <w:r w:rsidRPr="00A93AED">
              <w:rPr>
                <w:iCs/>
                <w:sz w:val="22"/>
                <w:szCs w:val="22"/>
                <w:lang w:val="en-US"/>
              </w:rPr>
              <w:t xml:space="preserve">Eq. 6.1: </w:t>
            </w:r>
          </w:p>
          <w:p w:rsidR="005517A8" w:rsidRDefault="00A93AED" w:rsidP="006000E1">
            <w:pPr>
              <w:pStyle w:val="ListParagraph"/>
              <w:ind w:left="0"/>
              <w:jc w:val="center"/>
              <w:rPr>
                <w:iCs/>
                <w:sz w:val="22"/>
                <w:szCs w:val="22"/>
                <w:lang w:val="en-US"/>
              </w:rPr>
            </w:pPr>
            <w:r w:rsidRPr="00A93AED">
              <w:rPr>
                <w:iCs/>
                <w:sz w:val="22"/>
                <w:szCs w:val="22"/>
                <w:lang w:val="en-US"/>
              </w:rPr>
              <w:t xml:space="preserve">OLS </w:t>
            </w:r>
          </w:p>
          <w:p w:rsidR="00A93AED" w:rsidRPr="00A93AED" w:rsidRDefault="00A93AED" w:rsidP="006000E1">
            <w:pPr>
              <w:pStyle w:val="ListParagraph"/>
              <w:ind w:left="0"/>
              <w:jc w:val="center"/>
              <w:rPr>
                <w:iCs/>
                <w:sz w:val="22"/>
                <w:szCs w:val="22"/>
                <w:lang w:val="en-US"/>
              </w:rPr>
            </w:pPr>
            <w:r w:rsidRPr="00A93AED">
              <w:rPr>
                <w:iCs/>
                <w:sz w:val="22"/>
                <w:szCs w:val="22"/>
                <w:lang w:val="en-US"/>
              </w:rPr>
              <w:t>Model</w:t>
            </w:r>
          </w:p>
        </w:tc>
        <w:tc>
          <w:tcPr>
            <w:tcW w:w="1308" w:type="dxa"/>
            <w:tcBorders>
              <w:top w:val="single" w:sz="6" w:space="0" w:color="000000"/>
              <w:bottom w:val="single" w:sz="6" w:space="0" w:color="000000"/>
            </w:tcBorders>
            <w:shd w:val="clear" w:color="auto" w:fill="auto"/>
          </w:tcPr>
          <w:p w:rsidR="00A93AED" w:rsidRPr="00A93AED" w:rsidRDefault="00A93AED" w:rsidP="006000E1">
            <w:pPr>
              <w:jc w:val="center"/>
              <w:rPr>
                <w:iCs/>
                <w:sz w:val="22"/>
                <w:szCs w:val="22"/>
                <w:lang w:val="en-US"/>
              </w:rPr>
            </w:pPr>
            <w:r w:rsidRPr="00A93AED">
              <w:rPr>
                <w:iCs/>
                <w:sz w:val="22"/>
                <w:szCs w:val="22"/>
                <w:lang w:val="en-US"/>
              </w:rPr>
              <w:t xml:space="preserve">Eq. 6.2: </w:t>
            </w:r>
          </w:p>
          <w:p w:rsidR="00A93AED" w:rsidRPr="00A93AED" w:rsidRDefault="00A93AED" w:rsidP="006000E1">
            <w:pPr>
              <w:jc w:val="center"/>
              <w:rPr>
                <w:iCs/>
                <w:sz w:val="22"/>
                <w:szCs w:val="22"/>
              </w:rPr>
            </w:pPr>
            <w:r w:rsidRPr="00A93AED">
              <w:rPr>
                <w:iCs/>
                <w:sz w:val="22"/>
                <w:szCs w:val="22"/>
                <w:lang w:val="en-US"/>
              </w:rPr>
              <w:t>OLS Model with Year and State Fixed Effects</w:t>
            </w:r>
          </w:p>
        </w:tc>
        <w:tc>
          <w:tcPr>
            <w:tcW w:w="1393" w:type="dxa"/>
            <w:tcBorders>
              <w:top w:val="single" w:sz="6" w:space="0" w:color="000000"/>
              <w:bottom w:val="single" w:sz="6" w:space="0" w:color="000000"/>
            </w:tcBorders>
            <w:shd w:val="clear" w:color="auto" w:fill="auto"/>
          </w:tcPr>
          <w:p w:rsidR="00A93AED" w:rsidRPr="00A93AED" w:rsidRDefault="00A93AED" w:rsidP="006000E1">
            <w:pPr>
              <w:pStyle w:val="ListParagraph"/>
              <w:ind w:left="0"/>
              <w:jc w:val="center"/>
              <w:rPr>
                <w:iCs/>
                <w:sz w:val="22"/>
                <w:szCs w:val="22"/>
                <w:lang w:val="en-US"/>
              </w:rPr>
            </w:pPr>
            <w:r w:rsidRPr="00A93AED">
              <w:rPr>
                <w:iCs/>
                <w:sz w:val="22"/>
                <w:szCs w:val="22"/>
                <w:lang w:val="en-US"/>
              </w:rPr>
              <w:t xml:space="preserve">Eq. 6.3: </w:t>
            </w:r>
          </w:p>
          <w:p w:rsidR="005517A8" w:rsidRDefault="00A93AED" w:rsidP="006000E1">
            <w:pPr>
              <w:pStyle w:val="ListParagraph"/>
              <w:ind w:left="0"/>
              <w:jc w:val="center"/>
              <w:rPr>
                <w:iCs/>
                <w:sz w:val="22"/>
                <w:szCs w:val="22"/>
                <w:lang w:val="en-US"/>
              </w:rPr>
            </w:pPr>
            <w:r w:rsidRPr="00A93AED">
              <w:rPr>
                <w:iCs/>
                <w:sz w:val="22"/>
                <w:szCs w:val="22"/>
                <w:lang w:val="en-US"/>
              </w:rPr>
              <w:t xml:space="preserve">OLS </w:t>
            </w:r>
          </w:p>
          <w:p w:rsidR="00A93AED" w:rsidRPr="00A93AED" w:rsidRDefault="00A93AED" w:rsidP="006000E1">
            <w:pPr>
              <w:pStyle w:val="ListParagraph"/>
              <w:ind w:left="0"/>
              <w:jc w:val="center"/>
              <w:rPr>
                <w:iCs/>
                <w:sz w:val="22"/>
                <w:szCs w:val="22"/>
                <w:lang w:val="en-US"/>
              </w:rPr>
            </w:pPr>
            <w:r w:rsidRPr="00A93AED">
              <w:rPr>
                <w:iCs/>
                <w:sz w:val="22"/>
                <w:szCs w:val="22"/>
                <w:lang w:val="en-US"/>
              </w:rPr>
              <w:t>Model</w:t>
            </w:r>
          </w:p>
        </w:tc>
        <w:tc>
          <w:tcPr>
            <w:tcW w:w="1300" w:type="dxa"/>
            <w:tcBorders>
              <w:top w:val="single" w:sz="6" w:space="0" w:color="000000"/>
              <w:bottom w:val="single" w:sz="6" w:space="0" w:color="000000"/>
            </w:tcBorders>
          </w:tcPr>
          <w:p w:rsidR="00A93AED" w:rsidRPr="00A93AED" w:rsidRDefault="00A93AED" w:rsidP="006000E1">
            <w:pPr>
              <w:jc w:val="center"/>
              <w:rPr>
                <w:iCs/>
                <w:sz w:val="22"/>
                <w:szCs w:val="22"/>
                <w:lang w:val="en-US"/>
              </w:rPr>
            </w:pPr>
            <w:r w:rsidRPr="00A93AED">
              <w:rPr>
                <w:iCs/>
                <w:sz w:val="22"/>
                <w:szCs w:val="22"/>
                <w:lang w:val="en-US"/>
              </w:rPr>
              <w:t xml:space="preserve">Eq. 6.4: </w:t>
            </w:r>
          </w:p>
          <w:p w:rsidR="00A93AED" w:rsidRPr="00A93AED" w:rsidRDefault="00A93AED" w:rsidP="006000E1">
            <w:pPr>
              <w:jc w:val="center"/>
              <w:rPr>
                <w:iCs/>
                <w:sz w:val="22"/>
                <w:szCs w:val="22"/>
                <w:lang w:val="en-US"/>
              </w:rPr>
            </w:pPr>
            <w:r w:rsidRPr="00A93AED">
              <w:rPr>
                <w:iCs/>
                <w:sz w:val="22"/>
                <w:szCs w:val="22"/>
                <w:lang w:val="en-US"/>
              </w:rPr>
              <w:t>OLS Model</w:t>
            </w:r>
          </w:p>
          <w:p w:rsidR="00A93AED" w:rsidRPr="00A93AED" w:rsidRDefault="00A93AED" w:rsidP="006000E1">
            <w:pPr>
              <w:jc w:val="center"/>
              <w:rPr>
                <w:iCs/>
                <w:sz w:val="22"/>
                <w:szCs w:val="22"/>
              </w:rPr>
            </w:pPr>
            <w:r w:rsidRPr="00A93AED">
              <w:rPr>
                <w:iCs/>
                <w:sz w:val="22"/>
                <w:szCs w:val="22"/>
                <w:lang w:val="en-US"/>
              </w:rPr>
              <w:t xml:space="preserve">with Year and State Fixed Effects </w:t>
            </w:r>
          </w:p>
        </w:tc>
      </w:tr>
      <w:tr w:rsidR="00A93AED" w:rsidRPr="00A93AED" w:rsidTr="005517A8">
        <w:trPr>
          <w:trHeight w:val="517"/>
          <w:jc w:val="center"/>
        </w:trPr>
        <w:tc>
          <w:tcPr>
            <w:tcW w:w="1867" w:type="dxa"/>
            <w:tcBorders>
              <w:right w:val="nil"/>
            </w:tcBorders>
            <w:shd w:val="clear" w:color="auto" w:fill="auto"/>
          </w:tcPr>
          <w:p w:rsidR="00A93AED" w:rsidRPr="00A93AED" w:rsidRDefault="00A93AED" w:rsidP="006000E1">
            <w:pPr>
              <w:pStyle w:val="ListParagraph"/>
              <w:ind w:left="0"/>
              <w:rPr>
                <w:sz w:val="22"/>
                <w:szCs w:val="22"/>
                <w:lang w:val="en-US"/>
              </w:rPr>
            </w:pPr>
            <w:r w:rsidRPr="00A93AED">
              <w:rPr>
                <w:sz w:val="22"/>
                <w:szCs w:val="22"/>
                <w:lang w:val="en-US"/>
              </w:rPr>
              <w:t>Constant</w:t>
            </w:r>
          </w:p>
        </w:tc>
        <w:tc>
          <w:tcPr>
            <w:tcW w:w="1504" w:type="dxa"/>
            <w:tcBorders>
              <w:left w:val="nil"/>
            </w:tcBorders>
            <w:shd w:val="clear" w:color="auto" w:fill="auto"/>
          </w:tcPr>
          <w:p w:rsidR="00A93AED" w:rsidRPr="00A93AED" w:rsidRDefault="00A93AED" w:rsidP="006000E1">
            <w:pPr>
              <w:pStyle w:val="ListParagraph"/>
              <w:ind w:left="0"/>
              <w:jc w:val="both"/>
              <w:rPr>
                <w:sz w:val="22"/>
                <w:szCs w:val="22"/>
                <w:lang w:val="en-US"/>
              </w:rPr>
            </w:pPr>
            <w:r w:rsidRPr="00A93AED">
              <w:rPr>
                <w:sz w:val="22"/>
                <w:szCs w:val="22"/>
                <w:lang w:val="en-US"/>
              </w:rPr>
              <w:t xml:space="preserve">0.0466 </w:t>
            </w:r>
          </w:p>
          <w:p w:rsidR="00A93AED" w:rsidRPr="00A93AED" w:rsidRDefault="00A93AED" w:rsidP="006000E1">
            <w:pPr>
              <w:pStyle w:val="ListParagraph"/>
              <w:ind w:left="0"/>
              <w:jc w:val="both"/>
              <w:rPr>
                <w:sz w:val="22"/>
                <w:szCs w:val="22"/>
                <w:lang w:val="en-US"/>
              </w:rPr>
            </w:pPr>
            <w:r w:rsidRPr="00A93AED">
              <w:rPr>
                <w:sz w:val="22"/>
                <w:szCs w:val="22"/>
                <w:lang w:val="en-US"/>
              </w:rPr>
              <w:t>(1.40)</w:t>
            </w:r>
          </w:p>
        </w:tc>
        <w:tc>
          <w:tcPr>
            <w:tcW w:w="1308" w:type="dxa"/>
            <w:shd w:val="clear" w:color="auto" w:fill="auto"/>
          </w:tcPr>
          <w:p w:rsidR="00A93AED" w:rsidRPr="00A93AED" w:rsidRDefault="00A93AED" w:rsidP="006000E1">
            <w:pPr>
              <w:pStyle w:val="ListParagraph"/>
              <w:ind w:left="0"/>
              <w:jc w:val="both"/>
              <w:rPr>
                <w:sz w:val="22"/>
                <w:szCs w:val="22"/>
                <w:lang w:val="en-US"/>
              </w:rPr>
            </w:pPr>
            <w:r w:rsidRPr="00A93AED">
              <w:rPr>
                <w:sz w:val="22"/>
                <w:szCs w:val="22"/>
                <w:lang w:val="en-US"/>
              </w:rPr>
              <w:t>-0.1365**</w:t>
            </w:r>
          </w:p>
          <w:p w:rsidR="00A93AED" w:rsidRPr="00A93AED" w:rsidRDefault="00A93AED" w:rsidP="006000E1">
            <w:pPr>
              <w:pStyle w:val="ListParagraph"/>
              <w:ind w:left="0"/>
              <w:jc w:val="both"/>
              <w:rPr>
                <w:sz w:val="22"/>
                <w:szCs w:val="22"/>
                <w:lang w:val="en-US"/>
              </w:rPr>
            </w:pPr>
            <w:r w:rsidRPr="00A93AED">
              <w:rPr>
                <w:sz w:val="22"/>
                <w:szCs w:val="22"/>
                <w:lang w:val="en-US"/>
              </w:rPr>
              <w:t>(-2.01)</w:t>
            </w:r>
          </w:p>
        </w:tc>
        <w:tc>
          <w:tcPr>
            <w:tcW w:w="1393" w:type="dxa"/>
            <w:shd w:val="clear" w:color="auto" w:fill="auto"/>
          </w:tcPr>
          <w:p w:rsidR="00A93AED" w:rsidRPr="00A93AED" w:rsidRDefault="00A93AED" w:rsidP="006000E1">
            <w:pPr>
              <w:pStyle w:val="ListParagraph"/>
              <w:ind w:left="0"/>
              <w:jc w:val="both"/>
              <w:rPr>
                <w:sz w:val="22"/>
                <w:szCs w:val="22"/>
                <w:lang w:val="en-US"/>
              </w:rPr>
            </w:pPr>
            <w:r w:rsidRPr="00A93AED">
              <w:rPr>
                <w:sz w:val="22"/>
                <w:szCs w:val="22"/>
                <w:lang w:val="en-US"/>
              </w:rPr>
              <w:t xml:space="preserve">0.0073 </w:t>
            </w:r>
          </w:p>
          <w:p w:rsidR="00A93AED" w:rsidRPr="00A93AED" w:rsidRDefault="00A93AED" w:rsidP="006000E1">
            <w:pPr>
              <w:pStyle w:val="ListParagraph"/>
              <w:ind w:left="0"/>
              <w:jc w:val="both"/>
              <w:rPr>
                <w:sz w:val="22"/>
                <w:szCs w:val="22"/>
                <w:lang w:val="en-US"/>
              </w:rPr>
            </w:pPr>
            <w:r w:rsidRPr="00A93AED">
              <w:rPr>
                <w:sz w:val="22"/>
                <w:szCs w:val="22"/>
                <w:lang w:val="en-US"/>
              </w:rPr>
              <w:t>(0.39)</w:t>
            </w:r>
          </w:p>
        </w:tc>
        <w:tc>
          <w:tcPr>
            <w:tcW w:w="1300" w:type="dxa"/>
          </w:tcPr>
          <w:p w:rsidR="00A93AED" w:rsidRPr="00A93AED" w:rsidRDefault="00A93AED" w:rsidP="006000E1">
            <w:pPr>
              <w:pStyle w:val="ListParagraph"/>
              <w:ind w:left="0"/>
              <w:jc w:val="both"/>
              <w:rPr>
                <w:sz w:val="22"/>
                <w:szCs w:val="22"/>
                <w:lang w:val="en-US"/>
              </w:rPr>
            </w:pPr>
            <w:r w:rsidRPr="00A93AED">
              <w:rPr>
                <w:sz w:val="22"/>
                <w:szCs w:val="22"/>
                <w:lang w:val="en-US"/>
              </w:rPr>
              <w:t xml:space="preserve">-0.0251 </w:t>
            </w:r>
          </w:p>
          <w:p w:rsidR="00A93AED" w:rsidRPr="00A93AED" w:rsidRDefault="00A93AED" w:rsidP="006000E1">
            <w:pPr>
              <w:pStyle w:val="ListParagraph"/>
              <w:ind w:left="0"/>
              <w:jc w:val="both"/>
              <w:rPr>
                <w:sz w:val="22"/>
                <w:szCs w:val="22"/>
                <w:lang w:val="en-US"/>
              </w:rPr>
            </w:pPr>
            <w:r w:rsidRPr="00A93AED">
              <w:rPr>
                <w:sz w:val="22"/>
                <w:szCs w:val="22"/>
                <w:lang w:val="en-US"/>
              </w:rPr>
              <w:t>(-1.37)</w:t>
            </w:r>
          </w:p>
        </w:tc>
      </w:tr>
      <w:tr w:rsidR="00A93AED" w:rsidRPr="00A93AED" w:rsidTr="005517A8">
        <w:trPr>
          <w:trHeight w:val="517"/>
          <w:jc w:val="center"/>
        </w:trPr>
        <w:tc>
          <w:tcPr>
            <w:tcW w:w="1867" w:type="dxa"/>
            <w:tcBorders>
              <w:right w:val="nil"/>
            </w:tcBorders>
            <w:shd w:val="clear" w:color="auto" w:fill="auto"/>
          </w:tcPr>
          <w:p w:rsidR="00A93AED" w:rsidRPr="00A93AED" w:rsidRDefault="00A93AED" w:rsidP="006000E1">
            <w:pPr>
              <w:pStyle w:val="ListParagraph"/>
              <w:ind w:left="0"/>
              <w:rPr>
                <w:sz w:val="22"/>
                <w:szCs w:val="22"/>
                <w:lang w:val="en-US"/>
              </w:rPr>
            </w:pPr>
            <w:proofErr w:type="spellStart"/>
            <w:r w:rsidRPr="00A93AED">
              <w:rPr>
                <w:sz w:val="22"/>
                <w:szCs w:val="22"/>
                <w:lang w:val="en-US"/>
              </w:rPr>
              <w:t>Specialisation</w:t>
            </w:r>
            <w:proofErr w:type="spellEnd"/>
          </w:p>
        </w:tc>
        <w:tc>
          <w:tcPr>
            <w:tcW w:w="1504" w:type="dxa"/>
            <w:tcBorders>
              <w:left w:val="nil"/>
            </w:tcBorders>
            <w:shd w:val="clear" w:color="auto" w:fill="auto"/>
          </w:tcPr>
          <w:p w:rsidR="00A93AED" w:rsidRPr="00A93AED" w:rsidRDefault="00A93AED" w:rsidP="006000E1">
            <w:pPr>
              <w:pStyle w:val="ListParagraph"/>
              <w:ind w:left="0"/>
              <w:jc w:val="both"/>
              <w:rPr>
                <w:sz w:val="22"/>
                <w:szCs w:val="22"/>
                <w:lang w:val="en-US"/>
              </w:rPr>
            </w:pPr>
            <w:r w:rsidRPr="00A93AED">
              <w:rPr>
                <w:sz w:val="22"/>
                <w:szCs w:val="22"/>
                <w:lang w:val="en-US"/>
              </w:rPr>
              <w:t>-0.0079</w:t>
            </w:r>
          </w:p>
          <w:p w:rsidR="00A93AED" w:rsidRPr="00A93AED" w:rsidRDefault="00A93AED" w:rsidP="006000E1">
            <w:pPr>
              <w:pStyle w:val="ListParagraph"/>
              <w:ind w:left="0"/>
              <w:jc w:val="both"/>
              <w:rPr>
                <w:sz w:val="22"/>
                <w:szCs w:val="22"/>
                <w:lang w:val="en-US"/>
              </w:rPr>
            </w:pPr>
            <w:r w:rsidRPr="00A93AED">
              <w:rPr>
                <w:sz w:val="22"/>
                <w:szCs w:val="22"/>
                <w:lang w:val="en-US"/>
              </w:rPr>
              <w:t>(-0.59)</w:t>
            </w:r>
          </w:p>
        </w:tc>
        <w:tc>
          <w:tcPr>
            <w:tcW w:w="1308" w:type="dxa"/>
            <w:shd w:val="clear" w:color="auto" w:fill="auto"/>
          </w:tcPr>
          <w:p w:rsidR="00A93AED" w:rsidRPr="00A93AED" w:rsidRDefault="00A93AED" w:rsidP="006000E1">
            <w:pPr>
              <w:pStyle w:val="ListParagraph"/>
              <w:ind w:left="0"/>
              <w:jc w:val="both"/>
              <w:rPr>
                <w:sz w:val="22"/>
                <w:szCs w:val="22"/>
                <w:lang w:val="en-US"/>
              </w:rPr>
            </w:pPr>
            <w:r w:rsidRPr="00A93AED">
              <w:rPr>
                <w:sz w:val="22"/>
                <w:szCs w:val="22"/>
                <w:lang w:val="en-US"/>
              </w:rPr>
              <w:t xml:space="preserve">0.1256*** </w:t>
            </w:r>
          </w:p>
          <w:p w:rsidR="00A93AED" w:rsidRPr="00A93AED" w:rsidRDefault="00A93AED" w:rsidP="006000E1">
            <w:pPr>
              <w:pStyle w:val="ListParagraph"/>
              <w:ind w:left="0"/>
              <w:jc w:val="both"/>
              <w:rPr>
                <w:sz w:val="22"/>
                <w:szCs w:val="22"/>
                <w:lang w:val="en-US"/>
              </w:rPr>
            </w:pPr>
            <w:r w:rsidRPr="00A93AED">
              <w:rPr>
                <w:sz w:val="22"/>
                <w:szCs w:val="22"/>
                <w:lang w:val="en-US"/>
              </w:rPr>
              <w:t>(3.94)</w:t>
            </w:r>
          </w:p>
        </w:tc>
        <w:tc>
          <w:tcPr>
            <w:tcW w:w="1393" w:type="dxa"/>
            <w:shd w:val="clear" w:color="auto" w:fill="auto"/>
          </w:tcPr>
          <w:p w:rsidR="00A93AED" w:rsidRPr="00A93AED" w:rsidRDefault="00A93AED" w:rsidP="006000E1">
            <w:pPr>
              <w:pStyle w:val="ListParagraph"/>
              <w:ind w:left="0"/>
              <w:jc w:val="both"/>
              <w:rPr>
                <w:sz w:val="22"/>
                <w:szCs w:val="22"/>
                <w:lang w:val="en-US"/>
              </w:rPr>
            </w:pPr>
            <w:r w:rsidRPr="00A93AED">
              <w:rPr>
                <w:sz w:val="22"/>
                <w:szCs w:val="22"/>
                <w:lang w:val="en-US"/>
              </w:rPr>
              <w:t>-0.0033</w:t>
            </w:r>
          </w:p>
          <w:p w:rsidR="00A93AED" w:rsidRPr="00A93AED" w:rsidRDefault="00A93AED" w:rsidP="006000E1">
            <w:pPr>
              <w:pStyle w:val="ListParagraph"/>
              <w:ind w:left="0"/>
              <w:jc w:val="both"/>
              <w:rPr>
                <w:sz w:val="22"/>
                <w:szCs w:val="22"/>
                <w:lang w:val="en-US"/>
              </w:rPr>
            </w:pPr>
            <w:r w:rsidRPr="00A93AED">
              <w:rPr>
                <w:sz w:val="22"/>
                <w:szCs w:val="22"/>
                <w:lang w:val="en-US"/>
              </w:rPr>
              <w:t xml:space="preserve"> (-0.25)</w:t>
            </w:r>
          </w:p>
        </w:tc>
        <w:tc>
          <w:tcPr>
            <w:tcW w:w="1300" w:type="dxa"/>
          </w:tcPr>
          <w:p w:rsidR="00A93AED" w:rsidRPr="00A93AED" w:rsidRDefault="00A93AED" w:rsidP="006000E1">
            <w:pPr>
              <w:pStyle w:val="ListParagraph"/>
              <w:ind w:left="0"/>
              <w:jc w:val="both"/>
              <w:rPr>
                <w:sz w:val="22"/>
                <w:szCs w:val="22"/>
                <w:lang w:val="en-US"/>
              </w:rPr>
            </w:pPr>
            <w:r w:rsidRPr="00A93AED">
              <w:rPr>
                <w:sz w:val="22"/>
                <w:szCs w:val="22"/>
                <w:lang w:val="en-US"/>
              </w:rPr>
              <w:t xml:space="preserve">0.0988*** </w:t>
            </w:r>
          </w:p>
          <w:p w:rsidR="00A93AED" w:rsidRPr="00A93AED" w:rsidRDefault="00A93AED" w:rsidP="006000E1">
            <w:pPr>
              <w:pStyle w:val="ListParagraph"/>
              <w:ind w:left="0"/>
              <w:jc w:val="both"/>
              <w:rPr>
                <w:sz w:val="22"/>
                <w:szCs w:val="22"/>
                <w:lang w:val="en-US"/>
              </w:rPr>
            </w:pPr>
            <w:r w:rsidRPr="00A93AED">
              <w:rPr>
                <w:sz w:val="22"/>
                <w:szCs w:val="22"/>
                <w:lang w:val="en-US"/>
              </w:rPr>
              <w:t>(4.32)</w:t>
            </w:r>
          </w:p>
        </w:tc>
      </w:tr>
      <w:tr w:rsidR="00A93AED" w:rsidRPr="00A93AED" w:rsidTr="005517A8">
        <w:trPr>
          <w:trHeight w:val="517"/>
          <w:jc w:val="center"/>
        </w:trPr>
        <w:tc>
          <w:tcPr>
            <w:tcW w:w="1867" w:type="dxa"/>
            <w:tcBorders>
              <w:right w:val="nil"/>
            </w:tcBorders>
            <w:shd w:val="clear" w:color="auto" w:fill="auto"/>
          </w:tcPr>
          <w:p w:rsidR="00A93AED" w:rsidRPr="00A93AED" w:rsidRDefault="00A93AED" w:rsidP="006000E1">
            <w:pPr>
              <w:pStyle w:val="ListParagraph"/>
              <w:ind w:left="0"/>
              <w:rPr>
                <w:sz w:val="22"/>
                <w:szCs w:val="22"/>
                <w:lang w:val="en-US"/>
              </w:rPr>
            </w:pPr>
            <w:r w:rsidRPr="00A93AED">
              <w:rPr>
                <w:sz w:val="22"/>
                <w:szCs w:val="22"/>
                <w:lang w:val="en-US"/>
              </w:rPr>
              <w:t>Diversity</w:t>
            </w:r>
          </w:p>
        </w:tc>
        <w:tc>
          <w:tcPr>
            <w:tcW w:w="1504" w:type="dxa"/>
            <w:tcBorders>
              <w:left w:val="nil"/>
            </w:tcBorders>
            <w:shd w:val="clear" w:color="auto" w:fill="auto"/>
          </w:tcPr>
          <w:p w:rsidR="00A93AED" w:rsidRPr="00A93AED" w:rsidRDefault="00A93AED" w:rsidP="006000E1">
            <w:pPr>
              <w:pStyle w:val="ListParagraph"/>
              <w:ind w:left="0"/>
              <w:jc w:val="both"/>
              <w:rPr>
                <w:sz w:val="22"/>
                <w:szCs w:val="22"/>
                <w:lang w:val="en-US"/>
              </w:rPr>
            </w:pPr>
            <w:r w:rsidRPr="00A93AED">
              <w:rPr>
                <w:sz w:val="22"/>
                <w:szCs w:val="22"/>
                <w:lang w:val="en-US"/>
              </w:rPr>
              <w:t xml:space="preserve">0.0044 </w:t>
            </w:r>
          </w:p>
          <w:p w:rsidR="00A93AED" w:rsidRPr="00A93AED" w:rsidRDefault="00A93AED" w:rsidP="006000E1">
            <w:pPr>
              <w:pStyle w:val="ListParagraph"/>
              <w:ind w:left="0"/>
              <w:jc w:val="both"/>
              <w:rPr>
                <w:sz w:val="22"/>
                <w:szCs w:val="22"/>
                <w:lang w:val="en-US"/>
              </w:rPr>
            </w:pPr>
            <w:r w:rsidRPr="00A93AED">
              <w:rPr>
                <w:sz w:val="22"/>
                <w:szCs w:val="22"/>
                <w:lang w:val="en-US"/>
              </w:rPr>
              <w:t>(0.12)</w:t>
            </w:r>
          </w:p>
        </w:tc>
        <w:tc>
          <w:tcPr>
            <w:tcW w:w="1308" w:type="dxa"/>
            <w:shd w:val="clear" w:color="auto" w:fill="auto"/>
          </w:tcPr>
          <w:p w:rsidR="00A93AED" w:rsidRPr="00A93AED" w:rsidRDefault="00A93AED" w:rsidP="006000E1">
            <w:pPr>
              <w:pStyle w:val="ListParagraph"/>
              <w:ind w:left="0"/>
              <w:jc w:val="both"/>
              <w:rPr>
                <w:sz w:val="22"/>
                <w:szCs w:val="22"/>
                <w:lang w:val="en-US"/>
              </w:rPr>
            </w:pPr>
            <w:r w:rsidRPr="00A93AED">
              <w:rPr>
                <w:sz w:val="22"/>
                <w:szCs w:val="22"/>
                <w:lang w:val="en-US"/>
              </w:rPr>
              <w:t>-0.0472</w:t>
            </w:r>
          </w:p>
          <w:p w:rsidR="00A93AED" w:rsidRPr="00A93AED" w:rsidRDefault="00A93AED" w:rsidP="006000E1">
            <w:pPr>
              <w:pStyle w:val="ListParagraph"/>
              <w:ind w:left="0"/>
              <w:jc w:val="both"/>
              <w:rPr>
                <w:sz w:val="22"/>
                <w:szCs w:val="22"/>
                <w:lang w:val="en-US"/>
              </w:rPr>
            </w:pPr>
            <w:r w:rsidRPr="00A93AED">
              <w:rPr>
                <w:sz w:val="22"/>
                <w:szCs w:val="22"/>
                <w:lang w:val="en-US"/>
              </w:rPr>
              <w:t>(-0.66)</w:t>
            </w:r>
          </w:p>
        </w:tc>
        <w:tc>
          <w:tcPr>
            <w:tcW w:w="1393" w:type="dxa"/>
            <w:shd w:val="clear" w:color="auto" w:fill="auto"/>
          </w:tcPr>
          <w:p w:rsidR="00A93AED" w:rsidRPr="00A93AED" w:rsidRDefault="00A93AED" w:rsidP="006000E1">
            <w:pPr>
              <w:pStyle w:val="ListParagraph"/>
              <w:ind w:left="0"/>
              <w:jc w:val="both"/>
              <w:rPr>
                <w:sz w:val="22"/>
                <w:szCs w:val="22"/>
                <w:lang w:val="en-US"/>
              </w:rPr>
            </w:pPr>
            <w:r w:rsidRPr="00A93AED">
              <w:rPr>
                <w:sz w:val="22"/>
                <w:szCs w:val="22"/>
                <w:lang w:val="en-US"/>
              </w:rPr>
              <w:t>-0.0039</w:t>
            </w:r>
          </w:p>
          <w:p w:rsidR="00A93AED" w:rsidRPr="00A93AED" w:rsidRDefault="00A93AED" w:rsidP="006000E1">
            <w:pPr>
              <w:pStyle w:val="ListParagraph"/>
              <w:ind w:left="0"/>
              <w:jc w:val="both"/>
              <w:rPr>
                <w:sz w:val="22"/>
                <w:szCs w:val="22"/>
                <w:lang w:val="en-US"/>
              </w:rPr>
            </w:pPr>
            <w:r w:rsidRPr="00A93AED">
              <w:rPr>
                <w:sz w:val="22"/>
                <w:szCs w:val="22"/>
                <w:lang w:val="en-US"/>
              </w:rPr>
              <w:t xml:space="preserve"> (-0.11)</w:t>
            </w:r>
          </w:p>
        </w:tc>
        <w:tc>
          <w:tcPr>
            <w:tcW w:w="1300" w:type="dxa"/>
          </w:tcPr>
          <w:p w:rsidR="00A93AED" w:rsidRPr="00A93AED" w:rsidRDefault="00A93AED" w:rsidP="006000E1">
            <w:pPr>
              <w:pStyle w:val="ListParagraph"/>
              <w:ind w:left="0"/>
              <w:jc w:val="both"/>
              <w:rPr>
                <w:sz w:val="22"/>
                <w:szCs w:val="22"/>
                <w:lang w:val="en-US"/>
              </w:rPr>
            </w:pPr>
            <w:r w:rsidRPr="00A93AED">
              <w:rPr>
                <w:sz w:val="22"/>
                <w:szCs w:val="22"/>
                <w:lang w:val="en-US"/>
              </w:rPr>
              <w:t xml:space="preserve">-0.0265 </w:t>
            </w:r>
          </w:p>
          <w:p w:rsidR="00A93AED" w:rsidRPr="00A93AED" w:rsidRDefault="00A93AED" w:rsidP="006000E1">
            <w:pPr>
              <w:pStyle w:val="ListParagraph"/>
              <w:ind w:left="0"/>
              <w:jc w:val="both"/>
              <w:rPr>
                <w:sz w:val="22"/>
                <w:szCs w:val="22"/>
                <w:lang w:val="en-US"/>
              </w:rPr>
            </w:pPr>
            <w:r w:rsidRPr="00A93AED">
              <w:rPr>
                <w:sz w:val="22"/>
                <w:szCs w:val="22"/>
                <w:lang w:val="en-US"/>
              </w:rPr>
              <w:t>(-0.44)</w:t>
            </w:r>
          </w:p>
        </w:tc>
      </w:tr>
      <w:tr w:rsidR="00A93AED" w:rsidRPr="00A93AED" w:rsidTr="005517A8">
        <w:trPr>
          <w:trHeight w:val="517"/>
          <w:jc w:val="center"/>
        </w:trPr>
        <w:tc>
          <w:tcPr>
            <w:tcW w:w="1867" w:type="dxa"/>
            <w:tcBorders>
              <w:right w:val="nil"/>
            </w:tcBorders>
            <w:shd w:val="clear" w:color="auto" w:fill="auto"/>
          </w:tcPr>
          <w:p w:rsidR="00A93AED" w:rsidRPr="00A93AED" w:rsidRDefault="00A93AED" w:rsidP="006000E1">
            <w:pPr>
              <w:pStyle w:val="ListParagraph"/>
              <w:ind w:left="0"/>
              <w:rPr>
                <w:sz w:val="22"/>
                <w:szCs w:val="22"/>
                <w:lang w:val="en-US"/>
              </w:rPr>
            </w:pPr>
            <w:r w:rsidRPr="00A93AED">
              <w:rPr>
                <w:sz w:val="22"/>
                <w:szCs w:val="22"/>
                <w:lang w:val="en-US"/>
              </w:rPr>
              <w:t>Distance</w:t>
            </w:r>
          </w:p>
        </w:tc>
        <w:tc>
          <w:tcPr>
            <w:tcW w:w="1504" w:type="dxa"/>
            <w:tcBorders>
              <w:left w:val="nil"/>
            </w:tcBorders>
            <w:shd w:val="clear" w:color="auto" w:fill="auto"/>
          </w:tcPr>
          <w:p w:rsidR="00A93AED" w:rsidRPr="00A93AED" w:rsidRDefault="00A93AED" w:rsidP="006000E1">
            <w:pPr>
              <w:pStyle w:val="ListParagraph"/>
              <w:ind w:left="0"/>
              <w:jc w:val="both"/>
              <w:rPr>
                <w:sz w:val="22"/>
                <w:szCs w:val="22"/>
                <w:lang w:val="en-US"/>
              </w:rPr>
            </w:pPr>
            <w:r w:rsidRPr="00A93AED">
              <w:rPr>
                <w:sz w:val="22"/>
                <w:szCs w:val="22"/>
                <w:lang w:val="en-US"/>
              </w:rPr>
              <w:t xml:space="preserve">0.0115*** </w:t>
            </w:r>
          </w:p>
          <w:p w:rsidR="00A93AED" w:rsidRPr="00A93AED" w:rsidRDefault="00A93AED" w:rsidP="006000E1">
            <w:pPr>
              <w:pStyle w:val="ListParagraph"/>
              <w:ind w:left="0"/>
              <w:jc w:val="both"/>
              <w:rPr>
                <w:sz w:val="22"/>
                <w:szCs w:val="22"/>
                <w:lang w:val="en-US"/>
              </w:rPr>
            </w:pPr>
            <w:r w:rsidRPr="00A93AED">
              <w:rPr>
                <w:sz w:val="22"/>
                <w:szCs w:val="22"/>
                <w:lang w:val="en-US"/>
              </w:rPr>
              <w:t>(3.42)</w:t>
            </w:r>
          </w:p>
        </w:tc>
        <w:tc>
          <w:tcPr>
            <w:tcW w:w="1308" w:type="dxa"/>
            <w:shd w:val="clear" w:color="auto" w:fill="auto"/>
          </w:tcPr>
          <w:p w:rsidR="00A93AED" w:rsidRPr="00A93AED" w:rsidRDefault="00A93AED" w:rsidP="006000E1">
            <w:pPr>
              <w:pStyle w:val="ListParagraph"/>
              <w:ind w:left="0"/>
              <w:jc w:val="both"/>
              <w:rPr>
                <w:sz w:val="22"/>
                <w:szCs w:val="22"/>
                <w:lang w:val="en-US"/>
              </w:rPr>
            </w:pPr>
            <w:r w:rsidRPr="00A93AED">
              <w:rPr>
                <w:sz w:val="22"/>
                <w:szCs w:val="22"/>
                <w:lang w:val="en-US"/>
              </w:rPr>
              <w:t xml:space="preserve">0.0001*** </w:t>
            </w:r>
          </w:p>
          <w:p w:rsidR="00A93AED" w:rsidRPr="00A93AED" w:rsidRDefault="00A93AED" w:rsidP="006000E1">
            <w:pPr>
              <w:pStyle w:val="ListParagraph"/>
              <w:ind w:left="0"/>
              <w:jc w:val="both"/>
              <w:rPr>
                <w:sz w:val="22"/>
                <w:szCs w:val="22"/>
                <w:lang w:val="en-US"/>
              </w:rPr>
            </w:pPr>
            <w:r w:rsidRPr="00A93AED">
              <w:rPr>
                <w:sz w:val="22"/>
                <w:szCs w:val="22"/>
                <w:lang w:val="en-US"/>
              </w:rPr>
              <w:t>(7.08)</w:t>
            </w:r>
          </w:p>
        </w:tc>
        <w:tc>
          <w:tcPr>
            <w:tcW w:w="1393" w:type="dxa"/>
            <w:shd w:val="clear" w:color="auto" w:fill="auto"/>
          </w:tcPr>
          <w:p w:rsidR="00A93AED" w:rsidRPr="00A93AED" w:rsidRDefault="00A93AED" w:rsidP="006000E1">
            <w:pPr>
              <w:pStyle w:val="ListParagraph"/>
              <w:ind w:left="0"/>
              <w:jc w:val="both"/>
              <w:rPr>
                <w:sz w:val="22"/>
                <w:szCs w:val="22"/>
                <w:lang w:val="en-US"/>
              </w:rPr>
            </w:pPr>
            <w:r w:rsidRPr="00A93AED">
              <w:rPr>
                <w:sz w:val="22"/>
                <w:szCs w:val="22"/>
                <w:lang w:val="en-US"/>
              </w:rPr>
              <w:t xml:space="preserve">0.0085*** </w:t>
            </w:r>
          </w:p>
          <w:p w:rsidR="00A93AED" w:rsidRPr="00A93AED" w:rsidRDefault="00A93AED" w:rsidP="006000E1">
            <w:pPr>
              <w:pStyle w:val="ListParagraph"/>
              <w:ind w:left="0"/>
              <w:jc w:val="both"/>
              <w:rPr>
                <w:sz w:val="22"/>
                <w:szCs w:val="22"/>
                <w:lang w:val="en-US"/>
              </w:rPr>
            </w:pPr>
            <w:r w:rsidRPr="00A93AED">
              <w:rPr>
                <w:sz w:val="22"/>
                <w:szCs w:val="22"/>
                <w:lang w:val="en-US"/>
              </w:rPr>
              <w:t>(3.00)</w:t>
            </w:r>
          </w:p>
        </w:tc>
        <w:tc>
          <w:tcPr>
            <w:tcW w:w="1300" w:type="dxa"/>
          </w:tcPr>
          <w:p w:rsidR="00A93AED" w:rsidRPr="00A93AED" w:rsidRDefault="00A93AED" w:rsidP="006000E1">
            <w:pPr>
              <w:pStyle w:val="ListParagraph"/>
              <w:ind w:left="0"/>
              <w:jc w:val="both"/>
              <w:rPr>
                <w:sz w:val="22"/>
                <w:szCs w:val="22"/>
                <w:lang w:val="en-US"/>
              </w:rPr>
            </w:pPr>
            <w:r w:rsidRPr="00A93AED">
              <w:rPr>
                <w:sz w:val="22"/>
                <w:szCs w:val="22"/>
                <w:lang w:val="en-US"/>
              </w:rPr>
              <w:t xml:space="preserve">0.0095*** </w:t>
            </w:r>
          </w:p>
          <w:p w:rsidR="00A93AED" w:rsidRPr="00A93AED" w:rsidRDefault="00A93AED" w:rsidP="006000E1">
            <w:pPr>
              <w:pStyle w:val="ListParagraph"/>
              <w:ind w:left="0"/>
              <w:jc w:val="both"/>
              <w:rPr>
                <w:sz w:val="22"/>
                <w:szCs w:val="22"/>
                <w:lang w:val="en-US"/>
              </w:rPr>
            </w:pPr>
            <w:r w:rsidRPr="00A93AED">
              <w:rPr>
                <w:sz w:val="22"/>
                <w:szCs w:val="22"/>
                <w:lang w:val="en-US"/>
              </w:rPr>
              <w:t>(4.64)</w:t>
            </w:r>
          </w:p>
        </w:tc>
      </w:tr>
      <w:tr w:rsidR="00A93AED" w:rsidRPr="00A93AED" w:rsidTr="005517A8">
        <w:trPr>
          <w:trHeight w:val="517"/>
          <w:jc w:val="center"/>
        </w:trPr>
        <w:tc>
          <w:tcPr>
            <w:tcW w:w="1867" w:type="dxa"/>
            <w:tcBorders>
              <w:right w:val="nil"/>
            </w:tcBorders>
            <w:shd w:val="clear" w:color="auto" w:fill="auto"/>
          </w:tcPr>
          <w:p w:rsidR="00A93AED" w:rsidRPr="00A93AED" w:rsidRDefault="00A93AED" w:rsidP="006000E1">
            <w:pPr>
              <w:pStyle w:val="ListParagraph"/>
              <w:ind w:left="0"/>
              <w:rPr>
                <w:sz w:val="22"/>
                <w:szCs w:val="22"/>
                <w:lang w:val="en-US"/>
              </w:rPr>
            </w:pPr>
            <w:r w:rsidRPr="00A93AED">
              <w:rPr>
                <w:sz w:val="22"/>
                <w:szCs w:val="22"/>
                <w:lang w:val="en-US"/>
              </w:rPr>
              <w:t>Change in literacy over successive periods</w:t>
            </w:r>
          </w:p>
        </w:tc>
        <w:tc>
          <w:tcPr>
            <w:tcW w:w="1504" w:type="dxa"/>
            <w:tcBorders>
              <w:left w:val="nil"/>
            </w:tcBorders>
            <w:shd w:val="clear" w:color="auto" w:fill="auto"/>
          </w:tcPr>
          <w:p w:rsidR="00A93AED" w:rsidRPr="00A93AED" w:rsidRDefault="00A93AED" w:rsidP="006000E1">
            <w:pPr>
              <w:pStyle w:val="ListParagraph"/>
              <w:ind w:left="0"/>
              <w:jc w:val="both"/>
              <w:rPr>
                <w:sz w:val="22"/>
                <w:szCs w:val="22"/>
                <w:lang w:val="en-US"/>
              </w:rPr>
            </w:pPr>
            <w:r w:rsidRPr="00A93AED">
              <w:rPr>
                <w:sz w:val="22"/>
                <w:szCs w:val="22"/>
                <w:lang w:val="en-US"/>
              </w:rPr>
              <w:t>-0.3788***</w:t>
            </w:r>
          </w:p>
          <w:p w:rsidR="00A93AED" w:rsidRPr="00A93AED" w:rsidRDefault="00A93AED" w:rsidP="006000E1">
            <w:pPr>
              <w:pStyle w:val="ListParagraph"/>
              <w:ind w:left="0"/>
              <w:jc w:val="both"/>
              <w:rPr>
                <w:sz w:val="22"/>
                <w:szCs w:val="22"/>
                <w:lang w:val="en-US"/>
              </w:rPr>
            </w:pPr>
            <w:r w:rsidRPr="00A93AED">
              <w:rPr>
                <w:sz w:val="22"/>
                <w:szCs w:val="22"/>
                <w:lang w:val="en-US"/>
              </w:rPr>
              <w:t>(-4.21)</w:t>
            </w:r>
          </w:p>
        </w:tc>
        <w:tc>
          <w:tcPr>
            <w:tcW w:w="1308" w:type="dxa"/>
            <w:shd w:val="clear" w:color="auto" w:fill="auto"/>
          </w:tcPr>
          <w:p w:rsidR="00A93AED" w:rsidRPr="00A93AED" w:rsidRDefault="00A93AED" w:rsidP="006000E1">
            <w:pPr>
              <w:pStyle w:val="ListParagraph"/>
              <w:ind w:left="0"/>
              <w:jc w:val="both"/>
              <w:rPr>
                <w:sz w:val="22"/>
                <w:szCs w:val="22"/>
                <w:lang w:val="en-US"/>
              </w:rPr>
            </w:pPr>
            <w:r w:rsidRPr="00A93AED">
              <w:rPr>
                <w:sz w:val="22"/>
                <w:szCs w:val="22"/>
                <w:lang w:val="en-US"/>
              </w:rPr>
              <w:t xml:space="preserve">0.1810 </w:t>
            </w:r>
          </w:p>
          <w:p w:rsidR="00A93AED" w:rsidRPr="00A93AED" w:rsidRDefault="00A93AED" w:rsidP="006000E1">
            <w:pPr>
              <w:pStyle w:val="ListParagraph"/>
              <w:ind w:left="0"/>
              <w:jc w:val="both"/>
              <w:rPr>
                <w:sz w:val="22"/>
                <w:szCs w:val="22"/>
                <w:lang w:val="en-US"/>
              </w:rPr>
            </w:pPr>
            <w:r w:rsidRPr="00A93AED">
              <w:rPr>
                <w:sz w:val="22"/>
                <w:szCs w:val="22"/>
                <w:lang w:val="en-US"/>
              </w:rPr>
              <w:t>(1.09)</w:t>
            </w:r>
          </w:p>
        </w:tc>
        <w:tc>
          <w:tcPr>
            <w:tcW w:w="1393" w:type="dxa"/>
            <w:shd w:val="clear" w:color="auto" w:fill="auto"/>
          </w:tcPr>
          <w:p w:rsidR="00A93AED" w:rsidRPr="00A93AED" w:rsidRDefault="00A93AED" w:rsidP="006000E1">
            <w:pPr>
              <w:pStyle w:val="ListParagraph"/>
              <w:ind w:left="0"/>
              <w:jc w:val="both"/>
              <w:rPr>
                <w:sz w:val="22"/>
                <w:szCs w:val="22"/>
                <w:lang w:val="en-US"/>
              </w:rPr>
            </w:pPr>
            <w:r w:rsidRPr="00A93AED">
              <w:rPr>
                <w:sz w:val="22"/>
                <w:szCs w:val="22"/>
                <w:lang w:val="en-US"/>
              </w:rPr>
              <w:t>-0.3999***</w:t>
            </w:r>
          </w:p>
          <w:p w:rsidR="00A93AED" w:rsidRPr="00A93AED" w:rsidRDefault="00A93AED" w:rsidP="006000E1">
            <w:pPr>
              <w:pStyle w:val="ListParagraph"/>
              <w:ind w:left="0"/>
              <w:jc w:val="both"/>
              <w:rPr>
                <w:sz w:val="22"/>
                <w:szCs w:val="22"/>
                <w:lang w:val="en-US"/>
              </w:rPr>
            </w:pPr>
            <w:r w:rsidRPr="00A93AED">
              <w:rPr>
                <w:sz w:val="22"/>
                <w:szCs w:val="22"/>
                <w:lang w:val="en-US"/>
              </w:rPr>
              <w:t>(-3.87)</w:t>
            </w:r>
          </w:p>
        </w:tc>
        <w:tc>
          <w:tcPr>
            <w:tcW w:w="1300" w:type="dxa"/>
          </w:tcPr>
          <w:p w:rsidR="00A93AED" w:rsidRPr="00A93AED" w:rsidRDefault="00A93AED" w:rsidP="006000E1">
            <w:pPr>
              <w:pStyle w:val="ListParagraph"/>
              <w:ind w:left="0"/>
              <w:jc w:val="both"/>
              <w:rPr>
                <w:sz w:val="22"/>
                <w:szCs w:val="22"/>
                <w:lang w:val="en-US"/>
              </w:rPr>
            </w:pPr>
            <w:r w:rsidRPr="00A93AED">
              <w:rPr>
                <w:sz w:val="22"/>
                <w:szCs w:val="22"/>
                <w:lang w:val="en-US"/>
              </w:rPr>
              <w:t xml:space="preserve">0.1952 </w:t>
            </w:r>
          </w:p>
          <w:p w:rsidR="00A93AED" w:rsidRPr="00A93AED" w:rsidRDefault="00A93AED" w:rsidP="006000E1">
            <w:pPr>
              <w:pStyle w:val="ListParagraph"/>
              <w:ind w:left="0"/>
              <w:jc w:val="both"/>
              <w:rPr>
                <w:sz w:val="22"/>
                <w:szCs w:val="22"/>
                <w:lang w:val="en-US"/>
              </w:rPr>
            </w:pPr>
            <w:r w:rsidRPr="00A93AED">
              <w:rPr>
                <w:sz w:val="22"/>
                <w:szCs w:val="22"/>
                <w:lang w:val="en-US"/>
              </w:rPr>
              <w:t>(1.22)</w:t>
            </w:r>
          </w:p>
        </w:tc>
      </w:tr>
      <w:tr w:rsidR="00A93AED" w:rsidRPr="00A93AED" w:rsidTr="005517A8">
        <w:trPr>
          <w:trHeight w:val="517"/>
          <w:jc w:val="center"/>
        </w:trPr>
        <w:tc>
          <w:tcPr>
            <w:tcW w:w="1867" w:type="dxa"/>
            <w:tcBorders>
              <w:bottom w:val="nil"/>
              <w:right w:val="nil"/>
            </w:tcBorders>
            <w:shd w:val="clear" w:color="auto" w:fill="auto"/>
          </w:tcPr>
          <w:p w:rsidR="00A93AED" w:rsidRPr="00A93AED" w:rsidRDefault="00A93AED" w:rsidP="006000E1">
            <w:pPr>
              <w:pStyle w:val="ListParagraph"/>
              <w:ind w:left="0"/>
              <w:rPr>
                <w:sz w:val="22"/>
                <w:szCs w:val="22"/>
                <w:lang w:val="en-US"/>
              </w:rPr>
            </w:pPr>
            <w:r w:rsidRPr="00A93AED">
              <w:rPr>
                <w:sz w:val="22"/>
                <w:szCs w:val="22"/>
                <w:lang w:val="en-US"/>
              </w:rPr>
              <w:t>Number of observations</w:t>
            </w:r>
          </w:p>
        </w:tc>
        <w:tc>
          <w:tcPr>
            <w:tcW w:w="1504" w:type="dxa"/>
            <w:tcBorders>
              <w:left w:val="nil"/>
              <w:bottom w:val="nil"/>
            </w:tcBorders>
            <w:shd w:val="clear" w:color="auto" w:fill="auto"/>
          </w:tcPr>
          <w:p w:rsidR="00A93AED" w:rsidRPr="00A93AED" w:rsidRDefault="00A93AED" w:rsidP="006000E1">
            <w:pPr>
              <w:pStyle w:val="ListParagraph"/>
              <w:ind w:left="0"/>
              <w:jc w:val="both"/>
              <w:rPr>
                <w:sz w:val="22"/>
                <w:szCs w:val="22"/>
                <w:lang w:val="en-US"/>
              </w:rPr>
            </w:pPr>
          </w:p>
          <w:p w:rsidR="00A93AED" w:rsidRPr="00A93AED" w:rsidRDefault="00A93AED" w:rsidP="006000E1">
            <w:pPr>
              <w:pStyle w:val="ListParagraph"/>
              <w:ind w:left="0"/>
              <w:jc w:val="both"/>
              <w:rPr>
                <w:sz w:val="22"/>
                <w:szCs w:val="22"/>
                <w:lang w:val="en-US"/>
              </w:rPr>
            </w:pPr>
            <w:r w:rsidRPr="00A93AED">
              <w:rPr>
                <w:sz w:val="22"/>
                <w:szCs w:val="22"/>
                <w:lang w:val="en-US"/>
              </w:rPr>
              <w:t>78</w:t>
            </w:r>
          </w:p>
        </w:tc>
        <w:tc>
          <w:tcPr>
            <w:tcW w:w="1308" w:type="dxa"/>
            <w:tcBorders>
              <w:bottom w:val="nil"/>
            </w:tcBorders>
            <w:shd w:val="clear" w:color="auto" w:fill="auto"/>
          </w:tcPr>
          <w:p w:rsidR="00A93AED" w:rsidRPr="00A93AED" w:rsidRDefault="00A93AED" w:rsidP="006000E1">
            <w:pPr>
              <w:pStyle w:val="ListParagraph"/>
              <w:ind w:left="0"/>
              <w:jc w:val="both"/>
              <w:rPr>
                <w:sz w:val="22"/>
                <w:szCs w:val="22"/>
                <w:lang w:val="en-US"/>
              </w:rPr>
            </w:pPr>
          </w:p>
          <w:p w:rsidR="00A93AED" w:rsidRPr="00A93AED" w:rsidRDefault="00A93AED" w:rsidP="006000E1">
            <w:pPr>
              <w:pStyle w:val="ListParagraph"/>
              <w:ind w:left="0"/>
              <w:jc w:val="both"/>
              <w:rPr>
                <w:sz w:val="22"/>
                <w:szCs w:val="22"/>
                <w:lang w:val="en-US"/>
              </w:rPr>
            </w:pPr>
            <w:r w:rsidRPr="00A93AED">
              <w:rPr>
                <w:sz w:val="22"/>
                <w:szCs w:val="22"/>
                <w:lang w:val="en-US"/>
              </w:rPr>
              <w:t>78</w:t>
            </w:r>
          </w:p>
        </w:tc>
        <w:tc>
          <w:tcPr>
            <w:tcW w:w="1393" w:type="dxa"/>
            <w:tcBorders>
              <w:bottom w:val="nil"/>
            </w:tcBorders>
            <w:shd w:val="clear" w:color="auto" w:fill="auto"/>
          </w:tcPr>
          <w:p w:rsidR="00A93AED" w:rsidRPr="00A93AED" w:rsidRDefault="00A93AED" w:rsidP="006000E1">
            <w:pPr>
              <w:pStyle w:val="ListParagraph"/>
              <w:ind w:left="0"/>
              <w:jc w:val="both"/>
              <w:rPr>
                <w:sz w:val="22"/>
                <w:szCs w:val="22"/>
                <w:lang w:val="en-US"/>
              </w:rPr>
            </w:pPr>
          </w:p>
          <w:p w:rsidR="00A93AED" w:rsidRPr="00A93AED" w:rsidRDefault="00A93AED" w:rsidP="006000E1">
            <w:pPr>
              <w:pStyle w:val="ListParagraph"/>
              <w:ind w:left="0"/>
              <w:jc w:val="both"/>
              <w:rPr>
                <w:sz w:val="22"/>
                <w:szCs w:val="22"/>
                <w:lang w:val="en-US"/>
              </w:rPr>
            </w:pPr>
            <w:r w:rsidRPr="00A93AED">
              <w:rPr>
                <w:sz w:val="22"/>
                <w:szCs w:val="22"/>
                <w:lang w:val="en-US"/>
              </w:rPr>
              <w:t>78</w:t>
            </w:r>
          </w:p>
        </w:tc>
        <w:tc>
          <w:tcPr>
            <w:tcW w:w="1300" w:type="dxa"/>
            <w:tcBorders>
              <w:bottom w:val="nil"/>
            </w:tcBorders>
          </w:tcPr>
          <w:p w:rsidR="00A93AED" w:rsidRPr="00A93AED" w:rsidRDefault="00A93AED" w:rsidP="006000E1">
            <w:pPr>
              <w:pStyle w:val="ListParagraph"/>
              <w:ind w:left="0"/>
              <w:jc w:val="both"/>
              <w:rPr>
                <w:sz w:val="22"/>
                <w:szCs w:val="22"/>
                <w:lang w:val="en-US"/>
              </w:rPr>
            </w:pPr>
          </w:p>
          <w:p w:rsidR="00A93AED" w:rsidRPr="00A93AED" w:rsidRDefault="00A93AED" w:rsidP="006000E1">
            <w:pPr>
              <w:pStyle w:val="ListParagraph"/>
              <w:ind w:left="0"/>
              <w:jc w:val="both"/>
              <w:rPr>
                <w:sz w:val="22"/>
                <w:szCs w:val="22"/>
                <w:lang w:val="en-US"/>
              </w:rPr>
            </w:pPr>
            <w:r w:rsidRPr="00A93AED">
              <w:rPr>
                <w:sz w:val="22"/>
                <w:szCs w:val="22"/>
                <w:lang w:val="en-US"/>
              </w:rPr>
              <w:t>78</w:t>
            </w:r>
          </w:p>
        </w:tc>
      </w:tr>
      <w:tr w:rsidR="00A93AED" w:rsidRPr="00A93AED" w:rsidTr="005517A8">
        <w:trPr>
          <w:trHeight w:val="440"/>
          <w:jc w:val="center"/>
        </w:trPr>
        <w:tc>
          <w:tcPr>
            <w:tcW w:w="1867" w:type="dxa"/>
            <w:tcBorders>
              <w:top w:val="nil"/>
              <w:bottom w:val="single" w:sz="6" w:space="0" w:color="000000"/>
              <w:right w:val="nil"/>
            </w:tcBorders>
            <w:shd w:val="clear" w:color="auto" w:fill="auto"/>
          </w:tcPr>
          <w:p w:rsidR="00A93AED" w:rsidRPr="00A93AED" w:rsidRDefault="00A93AED" w:rsidP="006000E1">
            <w:pPr>
              <w:pStyle w:val="ListParagraph"/>
              <w:ind w:left="0"/>
              <w:rPr>
                <w:sz w:val="22"/>
                <w:szCs w:val="22"/>
                <w:lang w:val="en-US"/>
              </w:rPr>
            </w:pPr>
            <w:r w:rsidRPr="00A93AED">
              <w:rPr>
                <w:i/>
                <w:iCs/>
                <w:sz w:val="22"/>
                <w:szCs w:val="22"/>
                <w:lang w:val="en-US"/>
              </w:rPr>
              <w:t>R</w:t>
            </w:r>
            <w:r w:rsidRPr="00A93AED">
              <w:rPr>
                <w:sz w:val="22"/>
                <w:szCs w:val="22"/>
                <w:vertAlign w:val="superscript"/>
                <w:lang w:val="en-US"/>
              </w:rPr>
              <w:t>2</w:t>
            </w:r>
          </w:p>
        </w:tc>
        <w:tc>
          <w:tcPr>
            <w:tcW w:w="1504" w:type="dxa"/>
            <w:tcBorders>
              <w:top w:val="nil"/>
              <w:left w:val="nil"/>
              <w:bottom w:val="single" w:sz="6" w:space="0" w:color="000000"/>
            </w:tcBorders>
            <w:shd w:val="clear" w:color="auto" w:fill="auto"/>
          </w:tcPr>
          <w:p w:rsidR="00A93AED" w:rsidRPr="00A93AED" w:rsidRDefault="00A93AED" w:rsidP="006000E1">
            <w:pPr>
              <w:pStyle w:val="ListParagraph"/>
              <w:ind w:left="0"/>
              <w:jc w:val="both"/>
              <w:rPr>
                <w:sz w:val="22"/>
                <w:szCs w:val="22"/>
                <w:lang w:val="en-US"/>
              </w:rPr>
            </w:pPr>
            <w:r w:rsidRPr="00A93AED">
              <w:rPr>
                <w:sz w:val="22"/>
                <w:szCs w:val="22"/>
                <w:lang w:val="en-US"/>
              </w:rPr>
              <w:t>0.1990</w:t>
            </w:r>
          </w:p>
        </w:tc>
        <w:tc>
          <w:tcPr>
            <w:tcW w:w="1308" w:type="dxa"/>
            <w:tcBorders>
              <w:top w:val="nil"/>
              <w:bottom w:val="single" w:sz="6" w:space="0" w:color="000000"/>
            </w:tcBorders>
            <w:shd w:val="clear" w:color="auto" w:fill="auto"/>
          </w:tcPr>
          <w:p w:rsidR="00A93AED" w:rsidRPr="00A93AED" w:rsidRDefault="00A93AED" w:rsidP="006000E1">
            <w:pPr>
              <w:pStyle w:val="ListParagraph"/>
              <w:ind w:left="0"/>
              <w:jc w:val="both"/>
              <w:rPr>
                <w:sz w:val="22"/>
                <w:szCs w:val="22"/>
                <w:lang w:val="en-US"/>
              </w:rPr>
            </w:pPr>
            <w:r w:rsidRPr="00A93AED">
              <w:rPr>
                <w:sz w:val="22"/>
                <w:szCs w:val="22"/>
                <w:lang w:val="en-US"/>
              </w:rPr>
              <w:t>0.7030</w:t>
            </w:r>
          </w:p>
        </w:tc>
        <w:tc>
          <w:tcPr>
            <w:tcW w:w="1393" w:type="dxa"/>
            <w:tcBorders>
              <w:top w:val="nil"/>
              <w:bottom w:val="single" w:sz="6" w:space="0" w:color="000000"/>
            </w:tcBorders>
            <w:shd w:val="clear" w:color="auto" w:fill="auto"/>
          </w:tcPr>
          <w:p w:rsidR="00A93AED" w:rsidRPr="00A93AED" w:rsidRDefault="00A93AED" w:rsidP="006000E1">
            <w:pPr>
              <w:pStyle w:val="ListParagraph"/>
              <w:ind w:left="0"/>
              <w:jc w:val="both"/>
              <w:rPr>
                <w:sz w:val="22"/>
                <w:szCs w:val="22"/>
                <w:lang w:val="en-US"/>
              </w:rPr>
            </w:pPr>
            <w:r w:rsidRPr="00A93AED">
              <w:rPr>
                <w:sz w:val="22"/>
                <w:szCs w:val="22"/>
                <w:lang w:val="en-US"/>
              </w:rPr>
              <w:t>0.1813</w:t>
            </w:r>
          </w:p>
        </w:tc>
        <w:tc>
          <w:tcPr>
            <w:tcW w:w="1300" w:type="dxa"/>
            <w:tcBorders>
              <w:top w:val="nil"/>
              <w:bottom w:val="single" w:sz="6" w:space="0" w:color="000000"/>
            </w:tcBorders>
          </w:tcPr>
          <w:p w:rsidR="00A93AED" w:rsidRPr="00A93AED" w:rsidRDefault="00A93AED" w:rsidP="006000E1">
            <w:pPr>
              <w:pStyle w:val="ListParagraph"/>
              <w:ind w:left="0"/>
              <w:jc w:val="both"/>
              <w:rPr>
                <w:sz w:val="22"/>
                <w:szCs w:val="22"/>
                <w:lang w:val="en-US"/>
              </w:rPr>
            </w:pPr>
            <w:r w:rsidRPr="00A93AED">
              <w:rPr>
                <w:sz w:val="22"/>
                <w:szCs w:val="22"/>
                <w:lang w:val="en-US"/>
              </w:rPr>
              <w:t>0.7086</w:t>
            </w:r>
          </w:p>
        </w:tc>
      </w:tr>
    </w:tbl>
    <w:p w:rsidR="00A93AED" w:rsidRPr="00A93AED" w:rsidRDefault="00A93AED" w:rsidP="00A93AED">
      <w:pPr>
        <w:pStyle w:val="ListParagraph"/>
        <w:ind w:left="709"/>
        <w:jc w:val="both"/>
        <w:rPr>
          <w:sz w:val="20"/>
          <w:szCs w:val="20"/>
          <w:lang w:val="en-US"/>
        </w:rPr>
      </w:pPr>
      <w:r w:rsidRPr="00A93AED">
        <w:rPr>
          <w:sz w:val="20"/>
          <w:szCs w:val="20"/>
          <w:lang w:val="en-US"/>
        </w:rPr>
        <w:t>Significance levels: *=10%, **=5%, and ***=1%.</w:t>
      </w:r>
    </w:p>
    <w:p w:rsidR="00A93AED" w:rsidRPr="00A93AED" w:rsidRDefault="00A93AED" w:rsidP="00A93AED">
      <w:pPr>
        <w:pStyle w:val="ListParagraph"/>
        <w:jc w:val="both"/>
        <w:rPr>
          <w:sz w:val="20"/>
          <w:szCs w:val="20"/>
          <w:lang w:val="en-US"/>
        </w:rPr>
      </w:pPr>
    </w:p>
    <w:p w:rsidR="00A93AED" w:rsidRPr="00A93AED" w:rsidRDefault="00A93AED" w:rsidP="00A93AED">
      <w:pPr>
        <w:pStyle w:val="ListParagraph"/>
        <w:jc w:val="both"/>
        <w:rPr>
          <w:sz w:val="20"/>
          <w:szCs w:val="20"/>
          <w:lang w:val="en-US"/>
        </w:rPr>
      </w:pPr>
      <w:r w:rsidRPr="00A93AED">
        <w:rPr>
          <w:i/>
          <w:sz w:val="20"/>
          <w:szCs w:val="20"/>
          <w:lang w:val="en-US"/>
        </w:rPr>
        <w:t>Notes:</w:t>
      </w:r>
      <w:r w:rsidRPr="00A93AED">
        <w:rPr>
          <w:sz w:val="20"/>
          <w:szCs w:val="20"/>
          <w:lang w:val="en-US"/>
        </w:rPr>
        <w:t xml:space="preserve"> The dependent variable is the rate of average annual manufacturing industry employment growth per period. The periods are 1981-1990, 1991-1998 and 1999-2006. Estimations are with robust standard errors. Values of </w:t>
      </w:r>
      <w:r w:rsidRPr="00A93AED">
        <w:rPr>
          <w:i/>
          <w:sz w:val="20"/>
          <w:szCs w:val="20"/>
          <w:lang w:val="en-US"/>
        </w:rPr>
        <w:t>t</w:t>
      </w:r>
      <w:r w:rsidRPr="00A93AED">
        <w:rPr>
          <w:sz w:val="20"/>
          <w:szCs w:val="20"/>
          <w:lang w:val="en-US"/>
        </w:rPr>
        <w:t xml:space="preserve"> statistics are in brackets. In equation 6.2 the dummies for </w:t>
      </w:r>
      <w:proofErr w:type="spellStart"/>
      <w:r w:rsidRPr="00A93AED">
        <w:rPr>
          <w:sz w:val="20"/>
          <w:szCs w:val="20"/>
          <w:lang w:val="en-US"/>
        </w:rPr>
        <w:t>Roraima</w:t>
      </w:r>
      <w:proofErr w:type="spellEnd"/>
      <w:r w:rsidRPr="00A93AED">
        <w:rPr>
          <w:sz w:val="20"/>
          <w:szCs w:val="20"/>
          <w:lang w:val="en-US"/>
        </w:rPr>
        <w:t xml:space="preserve"> and S</w:t>
      </w:r>
      <w:r w:rsidRPr="00A93AED">
        <w:rPr>
          <w:color w:val="000000"/>
          <w:sz w:val="20"/>
          <w:szCs w:val="20"/>
        </w:rPr>
        <w:t>ã</w:t>
      </w:r>
      <w:r w:rsidRPr="00A93AED">
        <w:rPr>
          <w:sz w:val="20"/>
          <w:szCs w:val="20"/>
          <w:lang w:val="en-US"/>
        </w:rPr>
        <w:t xml:space="preserve">o Paulo were dropped. Only dummy coefficients for Amazonas and Bahia are negative and statistically significant. Only dummy coefficients for </w:t>
      </w:r>
      <w:proofErr w:type="spellStart"/>
      <w:r w:rsidRPr="00A93AED">
        <w:rPr>
          <w:sz w:val="20"/>
          <w:szCs w:val="20"/>
          <w:lang w:val="en-US"/>
        </w:rPr>
        <w:t>Amap</w:t>
      </w:r>
      <w:proofErr w:type="spellEnd"/>
      <w:r w:rsidRPr="00A93AED">
        <w:rPr>
          <w:color w:val="000000"/>
          <w:sz w:val="20"/>
          <w:szCs w:val="20"/>
        </w:rPr>
        <w:t>á</w:t>
      </w:r>
      <w:r w:rsidRPr="00A93AED">
        <w:rPr>
          <w:sz w:val="20"/>
          <w:szCs w:val="20"/>
          <w:lang w:val="en-US"/>
        </w:rPr>
        <w:t>, Par</w:t>
      </w:r>
      <w:r w:rsidRPr="00A93AED">
        <w:rPr>
          <w:color w:val="000000"/>
          <w:sz w:val="20"/>
          <w:szCs w:val="20"/>
        </w:rPr>
        <w:t>á</w:t>
      </w:r>
      <w:r w:rsidRPr="00A93AED">
        <w:rPr>
          <w:sz w:val="20"/>
          <w:szCs w:val="20"/>
          <w:lang w:val="en-US"/>
        </w:rPr>
        <w:t xml:space="preserve">, </w:t>
      </w:r>
      <w:proofErr w:type="spellStart"/>
      <w:r w:rsidRPr="00A93AED">
        <w:rPr>
          <w:sz w:val="20"/>
          <w:szCs w:val="20"/>
          <w:lang w:val="en-US"/>
        </w:rPr>
        <w:t>Rondonia</w:t>
      </w:r>
      <w:proofErr w:type="spellEnd"/>
      <w:r w:rsidRPr="00A93AED">
        <w:rPr>
          <w:sz w:val="20"/>
          <w:szCs w:val="20"/>
          <w:lang w:val="en-US"/>
        </w:rPr>
        <w:t xml:space="preserve">, </w:t>
      </w:r>
      <w:r w:rsidRPr="00A93AED">
        <w:rPr>
          <w:color w:val="000000"/>
          <w:sz w:val="20"/>
          <w:szCs w:val="20"/>
        </w:rPr>
        <w:t xml:space="preserve">Distrito Federal, </w:t>
      </w:r>
      <w:proofErr w:type="spellStart"/>
      <w:r w:rsidRPr="00A93AED">
        <w:rPr>
          <w:color w:val="000000"/>
          <w:sz w:val="20"/>
          <w:szCs w:val="20"/>
        </w:rPr>
        <w:t>Goiás</w:t>
      </w:r>
      <w:proofErr w:type="spellEnd"/>
      <w:r w:rsidRPr="00A93AED">
        <w:rPr>
          <w:color w:val="000000"/>
          <w:sz w:val="20"/>
          <w:szCs w:val="20"/>
        </w:rPr>
        <w:t xml:space="preserve">, </w:t>
      </w:r>
      <w:proofErr w:type="spellStart"/>
      <w:proofErr w:type="gramStart"/>
      <w:r w:rsidRPr="00A93AED">
        <w:rPr>
          <w:color w:val="000000"/>
          <w:sz w:val="20"/>
          <w:szCs w:val="20"/>
        </w:rPr>
        <w:t>Mato</w:t>
      </w:r>
      <w:proofErr w:type="spellEnd"/>
      <w:proofErr w:type="gramEnd"/>
      <w:r w:rsidRPr="00A93AED">
        <w:rPr>
          <w:color w:val="000000"/>
          <w:sz w:val="20"/>
          <w:szCs w:val="20"/>
        </w:rPr>
        <w:t xml:space="preserve"> </w:t>
      </w:r>
      <w:proofErr w:type="spellStart"/>
      <w:r w:rsidRPr="00A93AED">
        <w:rPr>
          <w:color w:val="000000"/>
          <w:sz w:val="20"/>
          <w:szCs w:val="20"/>
        </w:rPr>
        <w:t>Grosso</w:t>
      </w:r>
      <w:proofErr w:type="spellEnd"/>
      <w:r w:rsidRPr="00A93AED">
        <w:rPr>
          <w:color w:val="000000"/>
          <w:sz w:val="20"/>
          <w:szCs w:val="20"/>
        </w:rPr>
        <w:t xml:space="preserve"> do </w:t>
      </w:r>
      <w:proofErr w:type="spellStart"/>
      <w:r w:rsidRPr="00A93AED">
        <w:rPr>
          <w:color w:val="000000"/>
          <w:sz w:val="20"/>
          <w:szCs w:val="20"/>
        </w:rPr>
        <w:t>Sul</w:t>
      </w:r>
      <w:proofErr w:type="spellEnd"/>
      <w:r w:rsidRPr="00A93AED">
        <w:rPr>
          <w:color w:val="000000"/>
          <w:sz w:val="20"/>
          <w:szCs w:val="20"/>
        </w:rPr>
        <w:t xml:space="preserve">, </w:t>
      </w:r>
      <w:proofErr w:type="spellStart"/>
      <w:r w:rsidRPr="00A93AED">
        <w:rPr>
          <w:color w:val="000000"/>
          <w:sz w:val="20"/>
          <w:szCs w:val="20"/>
        </w:rPr>
        <w:t>Mato</w:t>
      </w:r>
      <w:proofErr w:type="spellEnd"/>
      <w:r w:rsidRPr="00A93AED">
        <w:rPr>
          <w:color w:val="000000"/>
          <w:sz w:val="20"/>
          <w:szCs w:val="20"/>
        </w:rPr>
        <w:t xml:space="preserve"> </w:t>
      </w:r>
      <w:proofErr w:type="spellStart"/>
      <w:r w:rsidRPr="00A93AED">
        <w:rPr>
          <w:color w:val="000000"/>
          <w:sz w:val="20"/>
          <w:szCs w:val="20"/>
        </w:rPr>
        <w:t>Grosso</w:t>
      </w:r>
      <w:proofErr w:type="spellEnd"/>
      <w:r w:rsidRPr="00A93AED">
        <w:rPr>
          <w:color w:val="000000"/>
          <w:sz w:val="20"/>
          <w:szCs w:val="20"/>
        </w:rPr>
        <w:t xml:space="preserve">, </w:t>
      </w:r>
      <w:proofErr w:type="spellStart"/>
      <w:r w:rsidRPr="00A93AED">
        <w:rPr>
          <w:color w:val="000000"/>
          <w:sz w:val="20"/>
          <w:szCs w:val="20"/>
        </w:rPr>
        <w:t>Espírito</w:t>
      </w:r>
      <w:proofErr w:type="spellEnd"/>
      <w:r w:rsidRPr="00A93AED">
        <w:rPr>
          <w:color w:val="000000"/>
          <w:sz w:val="20"/>
          <w:szCs w:val="20"/>
        </w:rPr>
        <w:t xml:space="preserve"> Santo, Minas </w:t>
      </w:r>
      <w:proofErr w:type="spellStart"/>
      <w:r w:rsidRPr="00A93AED">
        <w:rPr>
          <w:color w:val="000000"/>
          <w:sz w:val="20"/>
          <w:szCs w:val="20"/>
        </w:rPr>
        <w:t>Gerais</w:t>
      </w:r>
      <w:proofErr w:type="spellEnd"/>
      <w:r w:rsidRPr="00A93AED">
        <w:rPr>
          <w:color w:val="000000"/>
          <w:sz w:val="20"/>
          <w:szCs w:val="20"/>
        </w:rPr>
        <w:t xml:space="preserve">, Rio de Janeiro and Paraná are </w:t>
      </w:r>
      <w:r w:rsidRPr="00A93AED">
        <w:rPr>
          <w:sz w:val="20"/>
          <w:szCs w:val="20"/>
          <w:lang w:val="en-US"/>
        </w:rPr>
        <w:t xml:space="preserve">positive and statistically significant. </w:t>
      </w:r>
    </w:p>
    <w:p w:rsidR="00A93AED" w:rsidRPr="00A93AED" w:rsidRDefault="00A93AED" w:rsidP="00A93AED">
      <w:pPr>
        <w:pStyle w:val="ListParagraph"/>
        <w:jc w:val="both"/>
        <w:rPr>
          <w:sz w:val="20"/>
          <w:szCs w:val="20"/>
          <w:lang w:val="en-US"/>
        </w:rPr>
      </w:pPr>
      <w:r w:rsidRPr="00A93AED">
        <w:rPr>
          <w:sz w:val="20"/>
          <w:szCs w:val="20"/>
          <w:lang w:val="en-US"/>
        </w:rPr>
        <w:t>In equations 6.3 and 6.4, the natural logarithm was taken for all independent variables, except for the change in literacy. In equation 6.4, the dummies for Amazonas and S</w:t>
      </w:r>
      <w:r w:rsidRPr="00A93AED">
        <w:rPr>
          <w:color w:val="000000"/>
          <w:sz w:val="20"/>
          <w:szCs w:val="20"/>
        </w:rPr>
        <w:t>ã</w:t>
      </w:r>
      <w:r w:rsidRPr="00A93AED">
        <w:rPr>
          <w:sz w:val="20"/>
          <w:szCs w:val="20"/>
          <w:lang w:val="en-US"/>
        </w:rPr>
        <w:t xml:space="preserve">o Paulo were dropped. Only dummy coefficients for Acre, </w:t>
      </w:r>
      <w:proofErr w:type="spellStart"/>
      <w:r w:rsidRPr="00A93AED">
        <w:rPr>
          <w:sz w:val="20"/>
          <w:szCs w:val="20"/>
          <w:lang w:val="en-US"/>
        </w:rPr>
        <w:t>Amap</w:t>
      </w:r>
      <w:proofErr w:type="spellEnd"/>
      <w:r w:rsidRPr="00A93AED">
        <w:rPr>
          <w:color w:val="000000"/>
          <w:sz w:val="20"/>
          <w:szCs w:val="20"/>
        </w:rPr>
        <w:t>á</w:t>
      </w:r>
      <w:r w:rsidRPr="00A93AED">
        <w:rPr>
          <w:sz w:val="20"/>
          <w:szCs w:val="20"/>
          <w:lang w:val="en-US"/>
        </w:rPr>
        <w:t>, Par</w:t>
      </w:r>
      <w:r w:rsidRPr="00A93AED">
        <w:rPr>
          <w:color w:val="000000"/>
          <w:sz w:val="20"/>
          <w:szCs w:val="20"/>
        </w:rPr>
        <w:t>á</w:t>
      </w:r>
      <w:r w:rsidRPr="00A93AED">
        <w:rPr>
          <w:sz w:val="20"/>
          <w:szCs w:val="20"/>
          <w:lang w:val="en-US"/>
        </w:rPr>
        <w:t xml:space="preserve">, </w:t>
      </w:r>
      <w:proofErr w:type="spellStart"/>
      <w:r w:rsidRPr="00A93AED">
        <w:rPr>
          <w:sz w:val="20"/>
          <w:szCs w:val="20"/>
          <w:lang w:val="en-US"/>
        </w:rPr>
        <w:t>Rondonia</w:t>
      </w:r>
      <w:proofErr w:type="spellEnd"/>
      <w:r w:rsidRPr="00A93AED">
        <w:rPr>
          <w:sz w:val="20"/>
          <w:szCs w:val="20"/>
          <w:lang w:val="en-US"/>
        </w:rPr>
        <w:t xml:space="preserve">, </w:t>
      </w:r>
      <w:proofErr w:type="spellStart"/>
      <w:r w:rsidRPr="00A93AED">
        <w:rPr>
          <w:sz w:val="20"/>
          <w:szCs w:val="20"/>
          <w:lang w:val="en-US"/>
        </w:rPr>
        <w:t>Roraima</w:t>
      </w:r>
      <w:proofErr w:type="spellEnd"/>
      <w:r w:rsidRPr="00A93AED">
        <w:rPr>
          <w:sz w:val="20"/>
          <w:szCs w:val="20"/>
          <w:lang w:val="en-US"/>
        </w:rPr>
        <w:t xml:space="preserve">, </w:t>
      </w:r>
      <w:proofErr w:type="spellStart"/>
      <w:r w:rsidRPr="00A93AED">
        <w:rPr>
          <w:sz w:val="20"/>
          <w:szCs w:val="20"/>
          <w:lang w:val="en-US"/>
        </w:rPr>
        <w:t>Alagoas</w:t>
      </w:r>
      <w:proofErr w:type="spellEnd"/>
      <w:r w:rsidRPr="00A93AED">
        <w:rPr>
          <w:sz w:val="20"/>
          <w:szCs w:val="20"/>
          <w:lang w:val="en-US"/>
        </w:rPr>
        <w:t xml:space="preserve">, </w:t>
      </w:r>
      <w:proofErr w:type="spellStart"/>
      <w:r w:rsidRPr="00A93AED">
        <w:rPr>
          <w:sz w:val="20"/>
          <w:szCs w:val="20"/>
          <w:lang w:val="en-US"/>
        </w:rPr>
        <w:t>Cear</w:t>
      </w:r>
      <w:proofErr w:type="spellEnd"/>
      <w:r w:rsidRPr="00A93AED">
        <w:rPr>
          <w:color w:val="000000"/>
          <w:sz w:val="20"/>
          <w:szCs w:val="20"/>
        </w:rPr>
        <w:t>á</w:t>
      </w:r>
      <w:r w:rsidRPr="00A93AED">
        <w:rPr>
          <w:sz w:val="20"/>
          <w:szCs w:val="20"/>
          <w:lang w:val="en-US"/>
        </w:rPr>
        <w:t xml:space="preserve">, Distrito Federal, </w:t>
      </w:r>
      <w:proofErr w:type="spellStart"/>
      <w:r w:rsidRPr="00A93AED">
        <w:rPr>
          <w:sz w:val="20"/>
          <w:szCs w:val="20"/>
          <w:lang w:val="en-US"/>
        </w:rPr>
        <w:t>Goi</w:t>
      </w:r>
      <w:proofErr w:type="spellEnd"/>
      <w:r w:rsidRPr="00A93AED">
        <w:rPr>
          <w:color w:val="000000"/>
          <w:sz w:val="20"/>
          <w:szCs w:val="20"/>
        </w:rPr>
        <w:t>á</w:t>
      </w:r>
      <w:r w:rsidRPr="00A93AED">
        <w:rPr>
          <w:sz w:val="20"/>
          <w:szCs w:val="20"/>
          <w:lang w:val="en-US"/>
        </w:rPr>
        <w:t xml:space="preserve">s, </w:t>
      </w:r>
      <w:proofErr w:type="spellStart"/>
      <w:r w:rsidRPr="00A93AED">
        <w:rPr>
          <w:sz w:val="20"/>
          <w:szCs w:val="20"/>
          <w:lang w:val="en-US"/>
        </w:rPr>
        <w:t>Mato</w:t>
      </w:r>
      <w:proofErr w:type="spellEnd"/>
      <w:r w:rsidRPr="00A93AED">
        <w:rPr>
          <w:sz w:val="20"/>
          <w:szCs w:val="20"/>
          <w:lang w:val="en-US"/>
        </w:rPr>
        <w:t xml:space="preserve"> </w:t>
      </w:r>
      <w:proofErr w:type="spellStart"/>
      <w:r w:rsidRPr="00A93AED">
        <w:rPr>
          <w:sz w:val="20"/>
          <w:szCs w:val="20"/>
          <w:lang w:val="en-US"/>
        </w:rPr>
        <w:t>Grosso</w:t>
      </w:r>
      <w:proofErr w:type="spellEnd"/>
      <w:r w:rsidRPr="00A93AED">
        <w:rPr>
          <w:sz w:val="20"/>
          <w:szCs w:val="20"/>
          <w:lang w:val="en-US"/>
        </w:rPr>
        <w:t xml:space="preserve"> do </w:t>
      </w:r>
      <w:proofErr w:type="spellStart"/>
      <w:r w:rsidRPr="00A93AED">
        <w:rPr>
          <w:sz w:val="20"/>
          <w:szCs w:val="20"/>
          <w:lang w:val="en-US"/>
        </w:rPr>
        <w:t>Sul</w:t>
      </w:r>
      <w:proofErr w:type="spellEnd"/>
      <w:r w:rsidRPr="00A93AED">
        <w:rPr>
          <w:sz w:val="20"/>
          <w:szCs w:val="20"/>
          <w:lang w:val="en-US"/>
        </w:rPr>
        <w:t xml:space="preserve">, </w:t>
      </w:r>
      <w:proofErr w:type="spellStart"/>
      <w:r w:rsidRPr="00A93AED">
        <w:rPr>
          <w:sz w:val="20"/>
          <w:szCs w:val="20"/>
          <w:lang w:val="en-US"/>
        </w:rPr>
        <w:t>Mato</w:t>
      </w:r>
      <w:proofErr w:type="spellEnd"/>
      <w:r w:rsidRPr="00A93AED">
        <w:rPr>
          <w:sz w:val="20"/>
          <w:szCs w:val="20"/>
          <w:lang w:val="en-US"/>
        </w:rPr>
        <w:t xml:space="preserve"> </w:t>
      </w:r>
      <w:proofErr w:type="spellStart"/>
      <w:r w:rsidRPr="00A93AED">
        <w:rPr>
          <w:sz w:val="20"/>
          <w:szCs w:val="20"/>
          <w:lang w:val="en-US"/>
        </w:rPr>
        <w:t>Grosso</w:t>
      </w:r>
      <w:proofErr w:type="spellEnd"/>
      <w:r w:rsidRPr="00A93AED">
        <w:rPr>
          <w:sz w:val="20"/>
          <w:szCs w:val="20"/>
          <w:lang w:val="en-US"/>
        </w:rPr>
        <w:t xml:space="preserve">, </w:t>
      </w:r>
      <w:proofErr w:type="spellStart"/>
      <w:r w:rsidRPr="00A93AED">
        <w:rPr>
          <w:sz w:val="20"/>
          <w:szCs w:val="20"/>
          <w:lang w:val="en-US"/>
        </w:rPr>
        <w:t>Paran</w:t>
      </w:r>
      <w:proofErr w:type="spellEnd"/>
      <w:r w:rsidRPr="00A93AED">
        <w:rPr>
          <w:color w:val="000000"/>
          <w:sz w:val="20"/>
          <w:szCs w:val="20"/>
        </w:rPr>
        <w:t xml:space="preserve">á, </w:t>
      </w:r>
      <w:proofErr w:type="spellStart"/>
      <w:r w:rsidRPr="00A93AED">
        <w:rPr>
          <w:color w:val="000000"/>
          <w:sz w:val="20"/>
          <w:szCs w:val="20"/>
        </w:rPr>
        <w:t>Alagoas</w:t>
      </w:r>
      <w:proofErr w:type="spellEnd"/>
      <w:r w:rsidRPr="00A93AED">
        <w:rPr>
          <w:sz w:val="20"/>
          <w:szCs w:val="20"/>
          <w:lang w:val="en-US"/>
        </w:rPr>
        <w:t>,</w:t>
      </w:r>
      <w:r w:rsidRPr="00A93AED">
        <w:rPr>
          <w:color w:val="000000"/>
          <w:sz w:val="20"/>
          <w:szCs w:val="20"/>
        </w:rPr>
        <w:t xml:space="preserve"> </w:t>
      </w:r>
      <w:proofErr w:type="spellStart"/>
      <w:r w:rsidRPr="00A93AED">
        <w:rPr>
          <w:color w:val="000000"/>
          <w:sz w:val="20"/>
          <w:szCs w:val="20"/>
        </w:rPr>
        <w:t>Paraíba</w:t>
      </w:r>
      <w:proofErr w:type="spellEnd"/>
      <w:r w:rsidRPr="00A93AED">
        <w:rPr>
          <w:sz w:val="20"/>
          <w:szCs w:val="20"/>
          <w:lang w:val="en-US"/>
        </w:rPr>
        <w:t xml:space="preserve">, </w:t>
      </w:r>
      <w:proofErr w:type="spellStart"/>
      <w:r w:rsidRPr="00A93AED">
        <w:rPr>
          <w:color w:val="000000"/>
          <w:sz w:val="20"/>
          <w:szCs w:val="20"/>
        </w:rPr>
        <w:t>Piauí</w:t>
      </w:r>
      <w:proofErr w:type="spellEnd"/>
      <w:r w:rsidRPr="00A93AED">
        <w:rPr>
          <w:sz w:val="20"/>
          <w:szCs w:val="20"/>
          <w:lang w:val="en-US"/>
        </w:rPr>
        <w:t xml:space="preserve">, </w:t>
      </w:r>
      <w:r w:rsidRPr="00A93AED">
        <w:rPr>
          <w:color w:val="000000"/>
          <w:sz w:val="20"/>
          <w:szCs w:val="20"/>
        </w:rPr>
        <w:t xml:space="preserve">Rio Grande do </w:t>
      </w:r>
      <w:proofErr w:type="spellStart"/>
      <w:r w:rsidRPr="00A93AED">
        <w:rPr>
          <w:color w:val="000000"/>
          <w:sz w:val="20"/>
          <w:szCs w:val="20"/>
        </w:rPr>
        <w:t>Norte</w:t>
      </w:r>
      <w:proofErr w:type="spellEnd"/>
      <w:r w:rsidRPr="00A93AED">
        <w:rPr>
          <w:color w:val="000000"/>
          <w:sz w:val="20"/>
          <w:szCs w:val="20"/>
        </w:rPr>
        <w:t xml:space="preserve">, </w:t>
      </w:r>
      <w:proofErr w:type="spellStart"/>
      <w:r w:rsidRPr="00A93AED">
        <w:rPr>
          <w:color w:val="000000"/>
          <w:sz w:val="20"/>
          <w:szCs w:val="20"/>
        </w:rPr>
        <w:t>Sergipe</w:t>
      </w:r>
      <w:proofErr w:type="spellEnd"/>
      <w:r w:rsidRPr="00A93AED">
        <w:rPr>
          <w:color w:val="000000"/>
          <w:sz w:val="20"/>
          <w:szCs w:val="20"/>
        </w:rPr>
        <w:t xml:space="preserve"> and</w:t>
      </w:r>
      <w:r w:rsidRPr="00A93AED">
        <w:rPr>
          <w:sz w:val="20"/>
          <w:szCs w:val="20"/>
          <w:lang w:val="en-US"/>
        </w:rPr>
        <w:t xml:space="preserve"> </w:t>
      </w:r>
      <w:r w:rsidRPr="00A93AED">
        <w:rPr>
          <w:color w:val="000000"/>
          <w:sz w:val="20"/>
          <w:szCs w:val="20"/>
        </w:rPr>
        <w:t xml:space="preserve">Minas </w:t>
      </w:r>
      <w:proofErr w:type="spellStart"/>
      <w:r w:rsidRPr="00A93AED">
        <w:rPr>
          <w:color w:val="000000"/>
          <w:sz w:val="20"/>
          <w:szCs w:val="20"/>
        </w:rPr>
        <w:t>Gerais</w:t>
      </w:r>
      <w:proofErr w:type="spellEnd"/>
      <w:r w:rsidRPr="00A93AED">
        <w:rPr>
          <w:sz w:val="20"/>
          <w:szCs w:val="20"/>
          <w:lang w:val="en-US"/>
        </w:rPr>
        <w:t xml:space="preserve"> are positive and statistically significant; those for Rio Grande do </w:t>
      </w:r>
      <w:proofErr w:type="spellStart"/>
      <w:r w:rsidRPr="00A93AED">
        <w:rPr>
          <w:sz w:val="20"/>
          <w:szCs w:val="20"/>
          <w:lang w:val="en-US"/>
        </w:rPr>
        <w:t>Sul</w:t>
      </w:r>
      <w:proofErr w:type="spellEnd"/>
      <w:r w:rsidRPr="00A93AED">
        <w:rPr>
          <w:sz w:val="20"/>
          <w:szCs w:val="20"/>
          <w:lang w:val="en-US"/>
        </w:rPr>
        <w:t xml:space="preserve"> and Santa </w:t>
      </w:r>
      <w:proofErr w:type="spellStart"/>
      <w:r w:rsidRPr="00A93AED">
        <w:rPr>
          <w:sz w:val="20"/>
          <w:szCs w:val="20"/>
          <w:lang w:val="en-US"/>
        </w:rPr>
        <w:t>Catarina</w:t>
      </w:r>
      <w:proofErr w:type="spellEnd"/>
      <w:r w:rsidRPr="00A93AED">
        <w:rPr>
          <w:sz w:val="20"/>
          <w:szCs w:val="20"/>
          <w:lang w:val="en-US"/>
        </w:rPr>
        <w:t xml:space="preserve"> are negative and statistically significant.</w:t>
      </w:r>
    </w:p>
    <w:p w:rsidR="00A93AED" w:rsidRDefault="00A93AED" w:rsidP="00877A16">
      <w:pPr>
        <w:pStyle w:val="ListParagraph"/>
        <w:spacing w:line="276" w:lineRule="auto"/>
        <w:ind w:left="0"/>
        <w:jc w:val="both"/>
        <w:rPr>
          <w:lang w:eastAsia="zh-CN"/>
        </w:rPr>
      </w:pPr>
    </w:p>
    <w:p w:rsidR="00A93AED" w:rsidRDefault="00A93AED" w:rsidP="00877A16">
      <w:pPr>
        <w:pStyle w:val="ListParagraph"/>
        <w:spacing w:line="276" w:lineRule="auto"/>
        <w:ind w:left="0"/>
        <w:jc w:val="both"/>
      </w:pPr>
    </w:p>
    <w:p w:rsidR="00E9622C" w:rsidRDefault="00C84BF1" w:rsidP="00877A16">
      <w:pPr>
        <w:pStyle w:val="ListParagraph"/>
        <w:spacing w:line="276" w:lineRule="auto"/>
        <w:ind w:left="0" w:firstLine="567"/>
        <w:jc w:val="both"/>
      </w:pPr>
      <w:r w:rsidRPr="00FA317F">
        <w:t xml:space="preserve">OLS </w:t>
      </w:r>
      <w:r w:rsidR="00210CE7" w:rsidRPr="00FA317F">
        <w:t xml:space="preserve">estimation </w:t>
      </w:r>
      <w:r w:rsidRPr="00FA317F">
        <w:t xml:space="preserve">with </w:t>
      </w:r>
      <w:r w:rsidR="00F74F50" w:rsidRPr="00FA317F">
        <w:t>year</w:t>
      </w:r>
      <w:r w:rsidRPr="00FA317F">
        <w:t xml:space="preserve"> and state </w:t>
      </w:r>
      <w:r w:rsidR="00AE5F64">
        <w:t>dummy variables</w:t>
      </w:r>
      <w:r w:rsidRPr="00FA317F">
        <w:t xml:space="preserve"> (equations </w:t>
      </w:r>
      <w:r w:rsidR="003A1BE1">
        <w:t>6</w:t>
      </w:r>
      <w:r w:rsidRPr="00FA317F">
        <w:t xml:space="preserve">.2 and </w:t>
      </w:r>
      <w:r w:rsidR="003A1BE1">
        <w:t>6.4</w:t>
      </w:r>
      <w:r w:rsidRPr="00FA317F">
        <w:t>)</w:t>
      </w:r>
      <w:r w:rsidR="00210CE7" w:rsidRPr="00FA317F">
        <w:t xml:space="preserve"> finds that t</w:t>
      </w:r>
      <w:r w:rsidRPr="00FA317F">
        <w:t xml:space="preserve">he coefficient </w:t>
      </w:r>
      <w:r w:rsidR="00210CE7" w:rsidRPr="00FA317F">
        <w:t xml:space="preserve">on </w:t>
      </w:r>
      <w:r w:rsidR="00E40C55">
        <w:t>specialis</w:t>
      </w:r>
      <w:r w:rsidR="00AE5F64">
        <w:t>ation</w:t>
      </w:r>
      <w:r w:rsidRPr="00FA317F">
        <w:t xml:space="preserve"> is positive and statistically significant, which confirms both MAR and Porter</w:t>
      </w:r>
      <w:r w:rsidR="00634F72" w:rsidRPr="00FA317F">
        <w:t>’s</w:t>
      </w:r>
      <w:r w:rsidRPr="00FA317F">
        <w:t xml:space="preserve"> externalities</w:t>
      </w:r>
      <w:r w:rsidR="00AE5F64">
        <w:t>. The</w:t>
      </w:r>
      <w:r w:rsidR="00D034DF" w:rsidRPr="00FA317F">
        <w:t xml:space="preserve"> </w:t>
      </w:r>
      <w:r w:rsidR="00E75698" w:rsidRPr="00FA317F">
        <w:t>coefficient</w:t>
      </w:r>
      <w:r w:rsidR="00AB6572" w:rsidRPr="00FA317F">
        <w:t xml:space="preserve"> </w:t>
      </w:r>
      <w:r w:rsidR="00AE5F64">
        <w:t>of diversity is not</w:t>
      </w:r>
      <w:r w:rsidR="00D745FF" w:rsidRPr="00FA317F">
        <w:t xml:space="preserve"> </w:t>
      </w:r>
      <w:r w:rsidR="00AB6572" w:rsidRPr="00FA317F">
        <w:t>significant</w:t>
      </w:r>
      <w:r w:rsidR="00AE5F64">
        <w:t xml:space="preserve"> in any of the models</w:t>
      </w:r>
      <w:r w:rsidR="00BE1B64" w:rsidRPr="00FA317F">
        <w:t>.</w:t>
      </w:r>
      <w:r w:rsidR="00A13A5E" w:rsidRPr="00FA317F">
        <w:t xml:space="preserve"> </w:t>
      </w:r>
      <w:r w:rsidR="003A1BE1">
        <w:t>However, s</w:t>
      </w:r>
      <w:r w:rsidR="00AE5F64">
        <w:t xml:space="preserve">imilar to </w:t>
      </w:r>
      <w:r w:rsidR="00AE5F64" w:rsidRPr="00FA317F">
        <w:t xml:space="preserve">McCann </w:t>
      </w:r>
      <w:r w:rsidR="00AE5F64" w:rsidRPr="00FA317F">
        <w:rPr>
          <w:i/>
          <w:iCs/>
        </w:rPr>
        <w:t>et</w:t>
      </w:r>
      <w:r w:rsidR="00AE5F64">
        <w:rPr>
          <w:i/>
          <w:iCs/>
        </w:rPr>
        <w:t xml:space="preserve"> </w:t>
      </w:r>
      <w:r w:rsidR="00AE5F64" w:rsidRPr="00FA317F">
        <w:rPr>
          <w:i/>
          <w:iCs/>
        </w:rPr>
        <w:t>al.</w:t>
      </w:r>
      <w:r w:rsidR="00AE5F64" w:rsidRPr="00FA317F">
        <w:t xml:space="preserve"> </w:t>
      </w:r>
      <w:r w:rsidR="00AE5F64">
        <w:t>(</w:t>
      </w:r>
      <w:r w:rsidR="00AE5F64" w:rsidRPr="00FA317F">
        <w:t>2008</w:t>
      </w:r>
      <w:r w:rsidR="00AE5F64">
        <w:t xml:space="preserve">), we see that there is an issue of </w:t>
      </w:r>
      <w:r w:rsidR="00E9622C" w:rsidRPr="00FA317F">
        <w:t xml:space="preserve">stability of sign </w:t>
      </w:r>
      <w:r w:rsidR="00AE5F64">
        <w:t xml:space="preserve">and statistical significance. </w:t>
      </w:r>
      <w:r w:rsidR="00E9622C" w:rsidRPr="00FA317F">
        <w:t>By moving from the basic cross-section</w:t>
      </w:r>
      <w:r w:rsidR="00AE5F64">
        <w:t xml:space="preserve"> models</w:t>
      </w:r>
      <w:r w:rsidR="00E9622C" w:rsidRPr="00FA317F">
        <w:t xml:space="preserve"> to the panel model</w:t>
      </w:r>
      <w:r w:rsidR="00AE5F64">
        <w:t xml:space="preserve">s, the </w:t>
      </w:r>
      <w:r w:rsidR="00E9622C" w:rsidRPr="00FA317F">
        <w:t xml:space="preserve">results </w:t>
      </w:r>
      <w:r w:rsidR="00AE5F64">
        <w:t>with respect to the impact of the</w:t>
      </w:r>
      <w:r w:rsidR="00E9622C" w:rsidRPr="00FA317F">
        <w:t xml:space="preserve"> externalities </w:t>
      </w:r>
      <w:r w:rsidR="00AE5F64">
        <w:t>appear</w:t>
      </w:r>
      <w:r w:rsidR="00E9622C" w:rsidRPr="00FA317F">
        <w:t xml:space="preserve"> unstable: while </w:t>
      </w:r>
      <w:r w:rsidR="006F2FC1" w:rsidRPr="00FA317F">
        <w:t xml:space="preserve">cross-section models confirm </w:t>
      </w:r>
      <w:r w:rsidR="00E9622C" w:rsidRPr="00FA317F">
        <w:t>competition externalities</w:t>
      </w:r>
      <w:r w:rsidR="006F2FC1" w:rsidRPr="00FA317F">
        <w:t xml:space="preserve">, </w:t>
      </w:r>
      <w:r w:rsidR="00E9622C" w:rsidRPr="00FA317F">
        <w:t>panel and pooled models</w:t>
      </w:r>
      <w:r w:rsidR="006F2FC1" w:rsidRPr="00FA317F">
        <w:t xml:space="preserve"> </w:t>
      </w:r>
      <w:r w:rsidR="001829BB">
        <w:t>“</w:t>
      </w:r>
      <w:r w:rsidR="006F2FC1" w:rsidRPr="00FA317F">
        <w:t>prove</w:t>
      </w:r>
      <w:r w:rsidR="001829BB">
        <w:t>”</w:t>
      </w:r>
      <w:r w:rsidR="006F2FC1" w:rsidRPr="00FA317F">
        <w:t xml:space="preserve"> </w:t>
      </w:r>
      <w:r w:rsidR="001829BB">
        <w:t xml:space="preserve">the </w:t>
      </w:r>
      <w:r w:rsidR="005109C7">
        <w:lastRenderedPageBreak/>
        <w:t>specialis</w:t>
      </w:r>
      <w:r w:rsidR="00E9622C" w:rsidRPr="00FA317F">
        <w:t>ation externality.</w:t>
      </w:r>
      <w:r w:rsidR="00AE5F64" w:rsidRPr="00FA317F">
        <w:rPr>
          <w:rStyle w:val="FootnoteReference"/>
        </w:rPr>
        <w:footnoteReference w:id="10"/>
      </w:r>
      <w:r w:rsidR="001829BB">
        <w:t xml:space="preserve"> With respect to competition</w:t>
      </w:r>
      <w:r w:rsidR="006F2FC1" w:rsidRPr="00FA317F">
        <w:t xml:space="preserve"> </w:t>
      </w:r>
      <w:r w:rsidR="001829BB">
        <w:t xml:space="preserve">externalities </w:t>
      </w:r>
      <w:r w:rsidR="00E9622C" w:rsidRPr="00FA317F">
        <w:t>we f</w:t>
      </w:r>
      <w:r w:rsidR="003A1BE1">
        <w:t>ind</w:t>
      </w:r>
      <w:r w:rsidR="001829BB">
        <w:t xml:space="preserve"> that these </w:t>
      </w:r>
      <w:r w:rsidR="003A1BE1">
        <w:t>are</w:t>
      </w:r>
      <w:r w:rsidR="001829BB">
        <w:t xml:space="preserve"> </w:t>
      </w:r>
      <w:r w:rsidR="003A1BE1">
        <w:t xml:space="preserve">positive and </w:t>
      </w:r>
      <w:r w:rsidR="001829BB">
        <w:t>confirmed in</w:t>
      </w:r>
      <w:r w:rsidR="001829BB" w:rsidRPr="00FA317F">
        <w:t xml:space="preserve"> cross-section models </w:t>
      </w:r>
      <w:r w:rsidR="001829BB">
        <w:t>and</w:t>
      </w:r>
      <w:r w:rsidR="001829BB" w:rsidRPr="00FA317F">
        <w:t xml:space="preserve"> </w:t>
      </w:r>
      <w:r w:rsidR="003A1BE1">
        <w:t>thereby lend support for</w:t>
      </w:r>
      <w:r w:rsidR="001829BB" w:rsidRPr="00FA317F">
        <w:t xml:space="preserve"> Porter’s and Jacobs’ theories. However, because of </w:t>
      </w:r>
      <w:r w:rsidR="001829BB">
        <w:t xml:space="preserve">a </w:t>
      </w:r>
      <w:r w:rsidR="001829BB" w:rsidRPr="00FA317F">
        <w:t xml:space="preserve">lack of </w:t>
      </w:r>
      <w:r w:rsidR="003A1BE1" w:rsidRPr="00FA317F">
        <w:t xml:space="preserve">data </w:t>
      </w:r>
      <w:r w:rsidR="003A1BE1">
        <w:t xml:space="preserve">on </w:t>
      </w:r>
      <w:r w:rsidR="001829BB" w:rsidRPr="00FA317F">
        <w:t>establishments (</w:t>
      </w:r>
      <w:r w:rsidR="003A1BE1">
        <w:t xml:space="preserve">recall from </w:t>
      </w:r>
      <w:r w:rsidR="001829BB">
        <w:t xml:space="preserve">the </w:t>
      </w:r>
      <w:r w:rsidR="001829BB" w:rsidRPr="00FA317F">
        <w:t xml:space="preserve">expression </w:t>
      </w:r>
      <w:r w:rsidR="001829BB">
        <w:t xml:space="preserve">for </w:t>
      </w:r>
      <w:r w:rsidR="001829BB" w:rsidRPr="00FA317F">
        <w:t xml:space="preserve">competition </w:t>
      </w:r>
      <w:r w:rsidR="001829BB">
        <w:t>in</w:t>
      </w:r>
      <w:r w:rsidR="001829BB" w:rsidRPr="00FA317F">
        <w:t xml:space="preserve"> Table </w:t>
      </w:r>
      <w:r w:rsidR="007E4BB0">
        <w:t>3</w:t>
      </w:r>
      <w:r w:rsidR="003A1BE1">
        <w:t xml:space="preserve"> how this depends on the number of establishments</w:t>
      </w:r>
      <w:r w:rsidR="001829BB" w:rsidRPr="00FA317F">
        <w:t>)</w:t>
      </w:r>
      <w:proofErr w:type="gramStart"/>
      <w:r w:rsidR="001829BB" w:rsidRPr="00FA317F">
        <w:t>,</w:t>
      </w:r>
      <w:proofErr w:type="gramEnd"/>
      <w:r w:rsidR="001829BB" w:rsidRPr="00FA317F">
        <w:t xml:space="preserve"> </w:t>
      </w:r>
      <w:r w:rsidR="001829BB">
        <w:t xml:space="preserve">the </w:t>
      </w:r>
      <w:r w:rsidR="001829BB" w:rsidRPr="00FA317F">
        <w:t xml:space="preserve">competition </w:t>
      </w:r>
      <w:r w:rsidR="001829BB">
        <w:t xml:space="preserve">externality </w:t>
      </w:r>
      <w:r w:rsidR="001829BB" w:rsidRPr="00FA317F">
        <w:t>appears only in cross-section models</w:t>
      </w:r>
      <w:r w:rsidR="001829BB">
        <w:t>. Therefore this</w:t>
      </w:r>
      <w:r w:rsidR="001829BB" w:rsidRPr="00FA317F">
        <w:t xml:space="preserve"> is not comparable across models. </w:t>
      </w:r>
      <w:r w:rsidR="001829BB">
        <w:t>With respect to s</w:t>
      </w:r>
      <w:r w:rsidR="005109C7">
        <w:t>pecialis</w:t>
      </w:r>
      <w:r w:rsidR="001829BB" w:rsidRPr="00FA317F">
        <w:t>ation</w:t>
      </w:r>
      <w:r w:rsidR="001829BB">
        <w:t xml:space="preserve"> we find that </w:t>
      </w:r>
      <w:r w:rsidR="001829BB" w:rsidRPr="00FA317F">
        <w:t>this externality was rejected</w:t>
      </w:r>
      <w:r w:rsidR="001829BB">
        <w:t xml:space="preserve"> </w:t>
      </w:r>
      <w:r w:rsidR="001829BB" w:rsidRPr="00FA317F">
        <w:t>in cross-section and simple pooled OLS models</w:t>
      </w:r>
      <w:r w:rsidR="001829BB">
        <w:t>. H</w:t>
      </w:r>
      <w:r w:rsidR="001829BB" w:rsidRPr="00FA317F">
        <w:t>owever, it has been confirmed in annual panel and pooled</w:t>
      </w:r>
      <w:r w:rsidR="001829BB">
        <w:t xml:space="preserve"> models</w:t>
      </w:r>
      <w:r w:rsidR="001829BB" w:rsidRPr="00FA317F">
        <w:t xml:space="preserve"> with year and state dumm</w:t>
      </w:r>
      <w:r w:rsidR="005109C7">
        <w:t>y</w:t>
      </w:r>
      <w:r w:rsidR="003A1BE1">
        <w:t xml:space="preserve"> models</w:t>
      </w:r>
      <w:r w:rsidR="001829BB" w:rsidRPr="00FA317F">
        <w:t xml:space="preserve">, and in </w:t>
      </w:r>
      <w:r w:rsidR="005109C7">
        <w:t>f</w:t>
      </w:r>
      <w:r w:rsidR="001829BB" w:rsidRPr="00FA317F">
        <w:t xml:space="preserve">ixed </w:t>
      </w:r>
      <w:r w:rsidR="005109C7">
        <w:t>e</w:t>
      </w:r>
      <w:r w:rsidR="001829BB" w:rsidRPr="00FA317F">
        <w:t xml:space="preserve">ffects </w:t>
      </w:r>
      <w:r w:rsidR="005109C7">
        <w:t>m</w:t>
      </w:r>
      <w:r w:rsidR="001829BB" w:rsidRPr="00FA317F">
        <w:t xml:space="preserve">odels. </w:t>
      </w:r>
      <w:r w:rsidR="003A1BE1">
        <w:t>These</w:t>
      </w:r>
      <w:r w:rsidR="001829BB" w:rsidRPr="00FA317F">
        <w:t xml:space="preserve"> results </w:t>
      </w:r>
      <w:r w:rsidR="001829BB">
        <w:t>provide</w:t>
      </w:r>
      <w:r w:rsidR="003A1BE1">
        <w:t xml:space="preserve"> </w:t>
      </w:r>
      <w:r w:rsidR="001829BB">
        <w:t>support for both</w:t>
      </w:r>
      <w:r w:rsidR="001829BB" w:rsidRPr="00FA317F">
        <w:t xml:space="preserve"> MAR and Porter’s theories. </w:t>
      </w:r>
      <w:r w:rsidR="001829BB">
        <w:t xml:space="preserve">Finally, </w:t>
      </w:r>
      <w:r w:rsidR="003A1BE1">
        <w:t>it can be shown that</w:t>
      </w:r>
      <w:r w:rsidR="001829BB">
        <w:t xml:space="preserve"> presence of diversity externalities </w:t>
      </w:r>
      <w:r w:rsidR="003A1BE1">
        <w:t xml:space="preserve">can only be </w:t>
      </w:r>
      <w:r w:rsidR="001829BB">
        <w:t xml:space="preserve">confirmed </w:t>
      </w:r>
      <w:r w:rsidR="001829BB" w:rsidRPr="00FA317F">
        <w:t xml:space="preserve">in cross-section model without </w:t>
      </w:r>
      <w:r w:rsidR="001829BB">
        <w:t xml:space="preserve">the </w:t>
      </w:r>
      <w:r w:rsidR="001829BB" w:rsidRPr="00FA317F">
        <w:t>education</w:t>
      </w:r>
      <w:r w:rsidR="001829BB">
        <w:t xml:space="preserve"> variable</w:t>
      </w:r>
      <w:r w:rsidR="003A1BE1">
        <w:t xml:space="preserve"> (results available upon request)</w:t>
      </w:r>
      <w:r w:rsidR="001829BB" w:rsidRPr="00FA317F">
        <w:t>.</w:t>
      </w:r>
    </w:p>
    <w:p w:rsidR="00B43760" w:rsidRPr="00FA317F" w:rsidRDefault="00B43760" w:rsidP="00877A16">
      <w:pPr>
        <w:pStyle w:val="ListParagraph"/>
        <w:spacing w:line="276" w:lineRule="auto"/>
        <w:ind w:left="0"/>
        <w:jc w:val="center"/>
        <w:rPr>
          <w:b/>
        </w:rPr>
      </w:pPr>
    </w:p>
    <w:p w:rsidR="0089591C" w:rsidRDefault="0089591C" w:rsidP="00A24B44">
      <w:pPr>
        <w:pStyle w:val="ListParagraph"/>
        <w:numPr>
          <w:ilvl w:val="0"/>
          <w:numId w:val="37"/>
        </w:numPr>
        <w:tabs>
          <w:tab w:val="left" w:pos="426"/>
        </w:tabs>
        <w:spacing w:line="276" w:lineRule="auto"/>
        <w:ind w:left="0" w:firstLine="0"/>
        <w:jc w:val="both"/>
        <w:rPr>
          <w:b/>
        </w:rPr>
      </w:pPr>
      <w:r w:rsidRPr="00FA317F">
        <w:rPr>
          <w:b/>
        </w:rPr>
        <w:t>Conclusion</w:t>
      </w:r>
      <w:r w:rsidR="00A93AED">
        <w:rPr>
          <w:b/>
        </w:rPr>
        <w:t>s</w:t>
      </w:r>
    </w:p>
    <w:p w:rsidR="00C129F0" w:rsidRPr="00C129F0" w:rsidRDefault="00C129F0" w:rsidP="00C129F0">
      <w:pPr>
        <w:pStyle w:val="ListParagraph"/>
        <w:tabs>
          <w:tab w:val="left" w:pos="426"/>
        </w:tabs>
        <w:spacing w:line="276" w:lineRule="auto"/>
        <w:ind w:left="0"/>
        <w:jc w:val="both"/>
        <w:rPr>
          <w:b/>
          <w:sz w:val="12"/>
          <w:szCs w:val="12"/>
        </w:rPr>
      </w:pPr>
    </w:p>
    <w:p w:rsidR="00B12D54" w:rsidRDefault="002622BD" w:rsidP="00877A16">
      <w:pPr>
        <w:pStyle w:val="ListParagraph"/>
        <w:spacing w:line="276" w:lineRule="auto"/>
        <w:ind w:left="0"/>
        <w:jc w:val="both"/>
      </w:pPr>
      <w:r w:rsidRPr="00FA317F">
        <w:t xml:space="preserve">Many </w:t>
      </w:r>
      <w:r w:rsidR="00281C1F" w:rsidRPr="00FA317F">
        <w:t xml:space="preserve">studies have documented </w:t>
      </w:r>
      <w:r w:rsidR="00DE26FF" w:rsidRPr="00FA317F">
        <w:t xml:space="preserve">real income </w:t>
      </w:r>
      <w:r w:rsidR="00281C1F" w:rsidRPr="00FA317F">
        <w:t xml:space="preserve">convergence </w:t>
      </w:r>
      <w:r w:rsidR="001829BB">
        <w:t xml:space="preserve">among the </w:t>
      </w:r>
      <w:r w:rsidR="00281C1F" w:rsidRPr="00FA317F">
        <w:t xml:space="preserve">Brazilian states. </w:t>
      </w:r>
      <w:r w:rsidR="00C664D5" w:rsidRPr="00FA317F">
        <w:t xml:space="preserve">This </w:t>
      </w:r>
      <w:r w:rsidR="00422436" w:rsidRPr="00FA317F">
        <w:t xml:space="preserve">convergence </w:t>
      </w:r>
      <w:r w:rsidR="00C664D5" w:rsidRPr="00FA317F">
        <w:t xml:space="preserve">was also reinforced by </w:t>
      </w:r>
      <w:r w:rsidR="00B12D54" w:rsidRPr="00FA317F">
        <w:t xml:space="preserve">this study through </w:t>
      </w:r>
      <w:r w:rsidR="00C664D5" w:rsidRPr="00FA317F">
        <w:t>assess</w:t>
      </w:r>
      <w:r w:rsidR="00DE26FF" w:rsidRPr="00FA317F">
        <w:t>ment</w:t>
      </w:r>
      <w:r w:rsidR="00C664D5" w:rsidRPr="00FA317F">
        <w:t xml:space="preserve"> </w:t>
      </w:r>
      <w:r w:rsidR="00DE26FF" w:rsidRPr="00FA317F">
        <w:t xml:space="preserve">of </w:t>
      </w:r>
      <w:r w:rsidR="00C664D5" w:rsidRPr="00FA317F">
        <w:t>Brazilian states manufactur</w:t>
      </w:r>
      <w:r w:rsidR="0023780F" w:rsidRPr="00FA317F">
        <w:t>ing industry</w:t>
      </w:r>
      <w:r w:rsidR="001829BB">
        <w:t xml:space="preserve"> employment growth which </w:t>
      </w:r>
      <w:r w:rsidR="00C664D5" w:rsidRPr="00FA317F">
        <w:t>show</w:t>
      </w:r>
      <w:r w:rsidR="00DE26FF" w:rsidRPr="00FA317F">
        <w:t>s</w:t>
      </w:r>
      <w:r w:rsidR="00C664D5" w:rsidRPr="00FA317F">
        <w:t xml:space="preserve"> that poor states grew faster than rich ones from 1981 to 2006. The main question </w:t>
      </w:r>
      <w:r w:rsidR="00B12D54" w:rsidRPr="00FA317F">
        <w:t xml:space="preserve">of this study </w:t>
      </w:r>
      <w:r w:rsidR="005109C7">
        <w:t>i</w:t>
      </w:r>
      <w:r w:rsidR="00C664D5" w:rsidRPr="00FA317F">
        <w:t xml:space="preserve">s why this happened. </w:t>
      </w:r>
      <w:r w:rsidR="00281C1F" w:rsidRPr="00FA317F">
        <w:t xml:space="preserve">This paper </w:t>
      </w:r>
      <w:r w:rsidR="00C664D5" w:rsidRPr="00FA317F">
        <w:t xml:space="preserve">attempted to answer this question </w:t>
      </w:r>
      <w:r w:rsidR="001829BB">
        <w:t xml:space="preserve">by </w:t>
      </w:r>
      <w:r w:rsidR="000937A3" w:rsidRPr="00FA317F">
        <w:t>analy</w:t>
      </w:r>
      <w:r w:rsidR="005109C7">
        <w:t>s</w:t>
      </w:r>
      <w:r w:rsidR="00C664D5" w:rsidRPr="00FA317F">
        <w:t xml:space="preserve">ing </w:t>
      </w:r>
      <w:r w:rsidR="00281C1F" w:rsidRPr="00FA317F">
        <w:t xml:space="preserve">the </w:t>
      </w:r>
      <w:r w:rsidR="000937A3" w:rsidRPr="00FA317F">
        <w:t xml:space="preserve">importance of </w:t>
      </w:r>
      <w:r w:rsidR="001829BB">
        <w:t xml:space="preserve">the theories of </w:t>
      </w:r>
      <w:r w:rsidR="00281C1F" w:rsidRPr="00FA317F">
        <w:t xml:space="preserve">dynamic externalities </w:t>
      </w:r>
      <w:r w:rsidR="001829BB">
        <w:t>proposed by</w:t>
      </w:r>
      <w:r w:rsidR="00281C1F" w:rsidRPr="00FA317F">
        <w:t xml:space="preserve"> Marshal-Arrow-</w:t>
      </w:r>
      <w:proofErr w:type="spellStart"/>
      <w:r w:rsidR="00281C1F" w:rsidRPr="00FA317F">
        <w:t>Romer</w:t>
      </w:r>
      <w:proofErr w:type="spellEnd"/>
      <w:r w:rsidR="006B1F0E" w:rsidRPr="00FA317F">
        <w:t xml:space="preserve"> (1986)</w:t>
      </w:r>
      <w:r w:rsidR="00281C1F" w:rsidRPr="00FA317F">
        <w:t xml:space="preserve">, </w:t>
      </w:r>
      <w:r w:rsidR="00B85C60" w:rsidRPr="00FA317F">
        <w:t>Porter</w:t>
      </w:r>
      <w:r w:rsidR="006B1F0E" w:rsidRPr="00FA317F">
        <w:t xml:space="preserve"> (1990)</w:t>
      </w:r>
      <w:r w:rsidR="00B85C60" w:rsidRPr="00FA317F">
        <w:t xml:space="preserve"> and </w:t>
      </w:r>
      <w:r w:rsidR="00281C1F" w:rsidRPr="00FA317F">
        <w:t>Jacobs</w:t>
      </w:r>
      <w:r w:rsidR="006B1F0E" w:rsidRPr="00FA317F">
        <w:t xml:space="preserve"> (1969)</w:t>
      </w:r>
      <w:r w:rsidR="000937A3" w:rsidRPr="00FA317F">
        <w:t xml:space="preserve"> for </w:t>
      </w:r>
      <w:r w:rsidR="00CD1BAA" w:rsidRPr="00FA317F">
        <w:t xml:space="preserve">the </w:t>
      </w:r>
      <w:r w:rsidR="00C664D5" w:rsidRPr="00FA317F">
        <w:t xml:space="preserve">explanation of that </w:t>
      </w:r>
      <w:r w:rsidR="000937A3" w:rsidRPr="00FA317F">
        <w:t>convergence</w:t>
      </w:r>
      <w:r w:rsidR="006416A6" w:rsidRPr="00FA317F">
        <w:t xml:space="preserve"> using </w:t>
      </w:r>
      <w:r w:rsidR="0023780F" w:rsidRPr="00FA317F">
        <w:t xml:space="preserve">Brazil’s </w:t>
      </w:r>
      <w:r w:rsidR="006416A6" w:rsidRPr="00FA317F">
        <w:t>employment data</w:t>
      </w:r>
      <w:r w:rsidR="00281C1F" w:rsidRPr="00FA317F">
        <w:t xml:space="preserve">. </w:t>
      </w:r>
    </w:p>
    <w:p w:rsidR="00A93AED" w:rsidRPr="00FA317F" w:rsidRDefault="00A93AED" w:rsidP="00877A16">
      <w:pPr>
        <w:pStyle w:val="ListParagraph"/>
        <w:spacing w:line="276" w:lineRule="auto"/>
        <w:ind w:left="0"/>
        <w:jc w:val="both"/>
      </w:pPr>
    </w:p>
    <w:p w:rsidR="007F51AC" w:rsidRDefault="00DE26FF" w:rsidP="00877A16">
      <w:pPr>
        <w:pStyle w:val="ListParagraph"/>
        <w:spacing w:line="276" w:lineRule="auto"/>
        <w:ind w:left="0" w:firstLine="567"/>
        <w:jc w:val="both"/>
      </w:pPr>
      <w:r w:rsidRPr="00FA317F">
        <w:t xml:space="preserve">We found that </w:t>
      </w:r>
      <w:r w:rsidR="00AA37B3" w:rsidRPr="00FA317F">
        <w:t>th</w:t>
      </w:r>
      <w:r w:rsidR="007F51AC" w:rsidRPr="00FA317F">
        <w:t xml:space="preserve">e aforementioned </w:t>
      </w:r>
      <w:r w:rsidR="00AA37B3" w:rsidRPr="00FA317F">
        <w:t xml:space="preserve">theories </w:t>
      </w:r>
      <w:r w:rsidR="001829BB">
        <w:t xml:space="preserve">of </w:t>
      </w:r>
      <w:r w:rsidR="005109C7">
        <w:t xml:space="preserve">dynamic </w:t>
      </w:r>
      <w:r w:rsidR="001829BB" w:rsidRPr="00FA317F">
        <w:t xml:space="preserve">externalities </w:t>
      </w:r>
      <w:r w:rsidR="00AA37B3" w:rsidRPr="00FA317F">
        <w:t>help to explain convergence</w:t>
      </w:r>
      <w:r w:rsidR="001829BB" w:rsidRPr="001829BB">
        <w:t xml:space="preserve"> </w:t>
      </w:r>
      <w:r w:rsidR="001829BB">
        <w:t xml:space="preserve">among </w:t>
      </w:r>
      <w:r w:rsidR="001829BB" w:rsidRPr="00FA317F">
        <w:t>Brazilian states</w:t>
      </w:r>
      <w:r w:rsidR="007F51AC" w:rsidRPr="00FA317F">
        <w:t xml:space="preserve">. First, </w:t>
      </w:r>
      <w:r w:rsidR="009E5292" w:rsidRPr="00FA317F">
        <w:t xml:space="preserve">the </w:t>
      </w:r>
      <w:r w:rsidR="00AA37B3" w:rsidRPr="00FA317F">
        <w:t xml:space="preserve">estimated </w:t>
      </w:r>
      <w:r w:rsidR="007F51AC" w:rsidRPr="00FA317F">
        <w:t xml:space="preserve">cross-section </w:t>
      </w:r>
      <w:r w:rsidR="00AA37B3" w:rsidRPr="00FA317F">
        <w:t xml:space="preserve">models confirm </w:t>
      </w:r>
      <w:r w:rsidR="007F51AC" w:rsidRPr="00FA317F">
        <w:t xml:space="preserve">competition </w:t>
      </w:r>
      <w:r w:rsidR="001829BB">
        <w:t>along the lines of</w:t>
      </w:r>
      <w:r w:rsidR="007F51AC" w:rsidRPr="00FA317F">
        <w:t xml:space="preserve"> Porter and Jacobs</w:t>
      </w:r>
      <w:r w:rsidR="00F32D7A">
        <w:t xml:space="preserve">. </w:t>
      </w:r>
      <w:r w:rsidR="007F51AC" w:rsidRPr="00FA317F">
        <w:t xml:space="preserve">Even though our findings partially contrast previous studies </w:t>
      </w:r>
      <w:r w:rsidR="001829BB">
        <w:t>such as</w:t>
      </w:r>
      <w:r w:rsidR="00E32E66">
        <w:t xml:space="preserve"> those by </w:t>
      </w:r>
      <w:proofErr w:type="spellStart"/>
      <w:r w:rsidR="007F51AC" w:rsidRPr="00FA317F">
        <w:t>Glaeser</w:t>
      </w:r>
      <w:proofErr w:type="spellEnd"/>
      <w:r w:rsidR="007F51AC" w:rsidRPr="00FA317F">
        <w:t xml:space="preserve"> </w:t>
      </w:r>
      <w:r w:rsidR="007F51AC" w:rsidRPr="00FA317F">
        <w:rPr>
          <w:i/>
          <w:iCs/>
        </w:rPr>
        <w:t>et al</w:t>
      </w:r>
      <w:r w:rsidR="007F51AC" w:rsidRPr="00FA317F">
        <w:t>.</w:t>
      </w:r>
      <w:r w:rsidR="001829BB">
        <w:t xml:space="preserve"> (</w:t>
      </w:r>
      <w:r w:rsidR="007F51AC" w:rsidRPr="00FA317F">
        <w:t>1992</w:t>
      </w:r>
      <w:r w:rsidR="001829BB">
        <w:t>)</w:t>
      </w:r>
      <w:r w:rsidR="007F51AC" w:rsidRPr="00FA317F">
        <w:t xml:space="preserve"> and </w:t>
      </w:r>
      <w:proofErr w:type="spellStart"/>
      <w:r w:rsidR="007F51AC" w:rsidRPr="00FA317F">
        <w:t>Combes</w:t>
      </w:r>
      <w:proofErr w:type="spellEnd"/>
      <w:r w:rsidR="001829BB">
        <w:t xml:space="preserve"> (</w:t>
      </w:r>
      <w:r w:rsidR="007F51AC" w:rsidRPr="00FA317F">
        <w:t>2000), they are in accordance with othe</w:t>
      </w:r>
      <w:r w:rsidR="00E32E66">
        <w:t>r international studies summaris</w:t>
      </w:r>
      <w:r w:rsidR="007F51AC" w:rsidRPr="00FA317F">
        <w:t xml:space="preserve">ed by </w:t>
      </w:r>
      <w:r w:rsidR="001829BB">
        <w:t xml:space="preserve">De </w:t>
      </w:r>
      <w:proofErr w:type="spellStart"/>
      <w:r w:rsidR="007F51AC" w:rsidRPr="00FA317F">
        <w:t>Groot</w:t>
      </w:r>
      <w:proofErr w:type="spellEnd"/>
      <w:r w:rsidR="001829BB">
        <w:t xml:space="preserve"> et al.</w:t>
      </w:r>
      <w:r w:rsidR="007F51AC" w:rsidRPr="00FA317F">
        <w:t xml:space="preserve"> (2009). However, this partial confirmation must be </w:t>
      </w:r>
      <w:r w:rsidR="001829BB">
        <w:t xml:space="preserve">judged with </w:t>
      </w:r>
      <w:r w:rsidR="007F51AC" w:rsidRPr="00FA317F">
        <w:t xml:space="preserve">caution because the data used in the </w:t>
      </w:r>
      <w:r w:rsidRPr="00FA317F">
        <w:t xml:space="preserve">above </w:t>
      </w:r>
      <w:r w:rsidR="007F51AC" w:rsidRPr="00FA317F">
        <w:t xml:space="preserve">studies are more detailed </w:t>
      </w:r>
      <w:r w:rsidR="001829BB">
        <w:t xml:space="preserve">with respect to </w:t>
      </w:r>
      <w:r w:rsidR="00F65A32" w:rsidRPr="00FA317F">
        <w:t xml:space="preserve">manufacturing industry employment </w:t>
      </w:r>
      <w:r w:rsidR="007F51AC" w:rsidRPr="00FA317F">
        <w:t>than our data.</w:t>
      </w:r>
    </w:p>
    <w:p w:rsidR="00A93AED" w:rsidRPr="00FA317F" w:rsidRDefault="00A93AED" w:rsidP="00877A16">
      <w:pPr>
        <w:pStyle w:val="ListParagraph"/>
        <w:spacing w:line="276" w:lineRule="auto"/>
        <w:ind w:left="0" w:firstLine="567"/>
        <w:jc w:val="both"/>
      </w:pPr>
    </w:p>
    <w:p w:rsidR="00B45F99" w:rsidRDefault="007F51AC" w:rsidP="00877A16">
      <w:pPr>
        <w:pStyle w:val="ListParagraph"/>
        <w:spacing w:line="276" w:lineRule="auto"/>
        <w:ind w:left="0" w:firstLine="567"/>
        <w:jc w:val="both"/>
        <w:rPr>
          <w:lang w:eastAsia="zh-CN"/>
        </w:rPr>
      </w:pPr>
      <w:r w:rsidRPr="00FA317F">
        <w:t>Second</w:t>
      </w:r>
      <w:r w:rsidR="00E32E66">
        <w:t>ly</w:t>
      </w:r>
      <w:r w:rsidRPr="00FA317F">
        <w:t xml:space="preserve">, </w:t>
      </w:r>
      <w:r w:rsidR="009E5292" w:rsidRPr="00FA317F">
        <w:t>using</w:t>
      </w:r>
      <w:r w:rsidR="00F65A32" w:rsidRPr="00FA317F">
        <w:t xml:space="preserve"> models not </w:t>
      </w:r>
      <w:r w:rsidR="009E5292" w:rsidRPr="00FA317F">
        <w:t>previously applied in this context</w:t>
      </w:r>
      <w:r w:rsidR="005460E8">
        <w:t xml:space="preserve"> by </w:t>
      </w:r>
      <w:proofErr w:type="spellStart"/>
      <w:r w:rsidR="005460E8" w:rsidRPr="00FA317F">
        <w:t>Glaeser</w:t>
      </w:r>
      <w:proofErr w:type="spellEnd"/>
      <w:r w:rsidR="005460E8" w:rsidRPr="00FA317F">
        <w:t xml:space="preserve"> </w:t>
      </w:r>
      <w:r w:rsidR="005460E8" w:rsidRPr="00FA317F">
        <w:rPr>
          <w:i/>
          <w:iCs/>
        </w:rPr>
        <w:t>et al</w:t>
      </w:r>
      <w:r w:rsidR="005460E8" w:rsidRPr="00FA317F">
        <w:t>.</w:t>
      </w:r>
      <w:r w:rsidR="005460E8">
        <w:t xml:space="preserve"> (</w:t>
      </w:r>
      <w:r w:rsidR="005460E8" w:rsidRPr="00FA317F">
        <w:t>1992</w:t>
      </w:r>
      <w:r w:rsidR="005460E8">
        <w:t>)</w:t>
      </w:r>
      <w:r w:rsidR="005460E8" w:rsidRPr="00FA317F">
        <w:t xml:space="preserve"> and </w:t>
      </w:r>
      <w:r w:rsidR="005460E8">
        <w:t xml:space="preserve">by </w:t>
      </w:r>
      <w:proofErr w:type="spellStart"/>
      <w:r w:rsidR="005460E8" w:rsidRPr="00FA317F">
        <w:t>Combes</w:t>
      </w:r>
      <w:proofErr w:type="spellEnd"/>
      <w:r w:rsidR="005460E8">
        <w:t xml:space="preserve"> (</w:t>
      </w:r>
      <w:r w:rsidR="005460E8" w:rsidRPr="00FA317F">
        <w:t>2000</w:t>
      </w:r>
      <w:r w:rsidR="005460E8">
        <w:t xml:space="preserve">) in Tables </w:t>
      </w:r>
      <w:r w:rsidR="00595FBE">
        <w:t>5</w:t>
      </w:r>
      <w:r w:rsidR="005460E8">
        <w:t xml:space="preserve"> and </w:t>
      </w:r>
      <w:r w:rsidR="00595FBE">
        <w:t>6</w:t>
      </w:r>
      <w:r w:rsidR="005460E8">
        <w:t xml:space="preserve">, </w:t>
      </w:r>
      <w:r w:rsidR="009E5292" w:rsidRPr="00FA317F">
        <w:t xml:space="preserve">we </w:t>
      </w:r>
      <w:r w:rsidR="00F65A32" w:rsidRPr="00FA317F">
        <w:t>confirm MAR</w:t>
      </w:r>
      <w:r w:rsidR="00E32E66">
        <w:t xml:space="preserve"> and Porter’s specialis</w:t>
      </w:r>
      <w:r w:rsidR="00F65A32" w:rsidRPr="00FA317F">
        <w:t>ation externalities</w:t>
      </w:r>
      <w:r w:rsidR="00CD1BAA" w:rsidRPr="00FA317F">
        <w:t>.</w:t>
      </w:r>
      <w:r w:rsidR="00F65A32" w:rsidRPr="00FA317F">
        <w:t xml:space="preserve"> </w:t>
      </w:r>
      <w:r w:rsidR="00F65A32" w:rsidRPr="00FA317F">
        <w:rPr>
          <w:lang w:eastAsia="zh-CN"/>
        </w:rPr>
        <w:t>Third</w:t>
      </w:r>
      <w:r w:rsidR="00E32E66">
        <w:rPr>
          <w:lang w:eastAsia="zh-CN"/>
        </w:rPr>
        <w:t>ly</w:t>
      </w:r>
      <w:r w:rsidR="00ED4F3D" w:rsidRPr="00FA317F">
        <w:rPr>
          <w:lang w:eastAsia="zh-CN"/>
        </w:rPr>
        <w:t>, a</w:t>
      </w:r>
      <w:r w:rsidR="00DF2C7B" w:rsidRPr="00FA317F">
        <w:rPr>
          <w:lang w:eastAsia="zh-CN"/>
        </w:rPr>
        <w:t xml:space="preserve">nalysis of sign stability showed that </w:t>
      </w:r>
      <w:r w:rsidR="006A0574" w:rsidRPr="00FA317F">
        <w:rPr>
          <w:lang w:eastAsia="zh-CN"/>
        </w:rPr>
        <w:t xml:space="preserve">while for </w:t>
      </w:r>
      <w:r w:rsidR="00DF2C7B" w:rsidRPr="00FA317F">
        <w:rPr>
          <w:lang w:eastAsia="zh-CN"/>
        </w:rPr>
        <w:t>cross</w:t>
      </w:r>
      <w:r w:rsidR="00B12D54" w:rsidRPr="00FA317F">
        <w:rPr>
          <w:lang w:eastAsia="zh-CN"/>
        </w:rPr>
        <w:t>-</w:t>
      </w:r>
      <w:r w:rsidR="00DF2C7B" w:rsidRPr="00FA317F">
        <w:rPr>
          <w:lang w:eastAsia="zh-CN"/>
        </w:rPr>
        <w:t>section</w:t>
      </w:r>
      <w:r w:rsidR="006A0574" w:rsidRPr="00FA317F">
        <w:rPr>
          <w:lang w:eastAsia="zh-CN"/>
        </w:rPr>
        <w:t xml:space="preserve"> </w:t>
      </w:r>
      <w:r w:rsidR="002D31C5" w:rsidRPr="00FA317F">
        <w:rPr>
          <w:lang w:eastAsia="zh-CN"/>
        </w:rPr>
        <w:t xml:space="preserve">models </w:t>
      </w:r>
      <w:r w:rsidR="00C637AA" w:rsidRPr="00FA317F">
        <w:rPr>
          <w:lang w:eastAsia="zh-CN"/>
        </w:rPr>
        <w:t xml:space="preserve">competition </w:t>
      </w:r>
      <w:r w:rsidR="004F372A" w:rsidRPr="00FA317F">
        <w:rPr>
          <w:lang w:eastAsia="zh-CN"/>
        </w:rPr>
        <w:t xml:space="preserve">externalities </w:t>
      </w:r>
      <w:r w:rsidR="00C637AA" w:rsidRPr="00FA317F">
        <w:rPr>
          <w:lang w:eastAsia="zh-CN"/>
        </w:rPr>
        <w:t>under Porter and Jacobs</w:t>
      </w:r>
      <w:r w:rsidR="004F372A" w:rsidRPr="00FA317F">
        <w:rPr>
          <w:lang w:eastAsia="zh-CN"/>
        </w:rPr>
        <w:t>’ theories</w:t>
      </w:r>
      <w:r w:rsidR="006A0574" w:rsidRPr="00FA317F">
        <w:rPr>
          <w:lang w:eastAsia="zh-CN"/>
        </w:rPr>
        <w:t xml:space="preserve"> </w:t>
      </w:r>
      <w:r w:rsidR="00E32E66">
        <w:rPr>
          <w:lang w:eastAsia="zh-CN"/>
        </w:rPr>
        <w:t>are</w:t>
      </w:r>
      <w:r w:rsidR="005460E8">
        <w:rPr>
          <w:lang w:eastAsia="zh-CN"/>
        </w:rPr>
        <w:t xml:space="preserve"> confirmed</w:t>
      </w:r>
      <w:r w:rsidR="00C637AA" w:rsidRPr="00FA317F">
        <w:rPr>
          <w:lang w:eastAsia="zh-CN"/>
        </w:rPr>
        <w:t>,</w:t>
      </w:r>
      <w:r w:rsidR="006A0574" w:rsidRPr="00FA317F">
        <w:rPr>
          <w:lang w:eastAsia="zh-CN"/>
        </w:rPr>
        <w:t xml:space="preserve"> for </w:t>
      </w:r>
      <w:r w:rsidR="004F372A" w:rsidRPr="00FA317F">
        <w:rPr>
          <w:lang w:eastAsia="zh-CN"/>
        </w:rPr>
        <w:t xml:space="preserve">the </w:t>
      </w:r>
      <w:r w:rsidR="00593920" w:rsidRPr="00FA317F">
        <w:rPr>
          <w:lang w:eastAsia="zh-CN"/>
        </w:rPr>
        <w:t xml:space="preserve">pooled OLS with </w:t>
      </w:r>
      <w:r w:rsidR="005460E8">
        <w:rPr>
          <w:lang w:eastAsia="zh-CN"/>
        </w:rPr>
        <w:t>year and state dumm</w:t>
      </w:r>
      <w:r w:rsidR="00E32E66">
        <w:rPr>
          <w:lang w:eastAsia="zh-CN"/>
        </w:rPr>
        <w:t>y</w:t>
      </w:r>
      <w:r w:rsidR="005460E8">
        <w:rPr>
          <w:lang w:eastAsia="zh-CN"/>
        </w:rPr>
        <w:t xml:space="preserve"> models and </w:t>
      </w:r>
      <w:r w:rsidR="00E32E66">
        <w:rPr>
          <w:lang w:eastAsia="zh-CN"/>
        </w:rPr>
        <w:t>f</w:t>
      </w:r>
      <w:r w:rsidR="005460E8">
        <w:rPr>
          <w:lang w:eastAsia="zh-CN"/>
        </w:rPr>
        <w:t xml:space="preserve">ixed </w:t>
      </w:r>
      <w:r w:rsidR="00E32E66">
        <w:rPr>
          <w:lang w:eastAsia="zh-CN"/>
        </w:rPr>
        <w:t>e</w:t>
      </w:r>
      <w:r w:rsidR="005460E8">
        <w:rPr>
          <w:lang w:eastAsia="zh-CN"/>
        </w:rPr>
        <w:t xml:space="preserve">ffects models, </w:t>
      </w:r>
      <w:r w:rsidR="00F53340" w:rsidRPr="00FA317F">
        <w:rPr>
          <w:lang w:eastAsia="zh-CN"/>
        </w:rPr>
        <w:t>speciali</w:t>
      </w:r>
      <w:r w:rsidR="00E32E66">
        <w:rPr>
          <w:lang w:eastAsia="zh-CN"/>
        </w:rPr>
        <w:t>s</w:t>
      </w:r>
      <w:r w:rsidR="00F53340" w:rsidRPr="00FA317F">
        <w:rPr>
          <w:lang w:eastAsia="zh-CN"/>
        </w:rPr>
        <w:t>ation</w:t>
      </w:r>
      <w:r w:rsidR="00C637AA" w:rsidRPr="00FA317F">
        <w:rPr>
          <w:lang w:eastAsia="zh-CN"/>
        </w:rPr>
        <w:t xml:space="preserve"> </w:t>
      </w:r>
      <w:r w:rsidR="004F372A" w:rsidRPr="00FA317F">
        <w:rPr>
          <w:lang w:eastAsia="zh-CN"/>
        </w:rPr>
        <w:t xml:space="preserve">externalities </w:t>
      </w:r>
      <w:r w:rsidR="00C637AA" w:rsidRPr="00FA317F">
        <w:rPr>
          <w:lang w:eastAsia="zh-CN"/>
        </w:rPr>
        <w:t>become observed</w:t>
      </w:r>
      <w:r w:rsidR="00F53340" w:rsidRPr="00FA317F">
        <w:rPr>
          <w:lang w:eastAsia="zh-CN"/>
        </w:rPr>
        <w:t xml:space="preserve"> </w:t>
      </w:r>
      <w:r w:rsidR="002D31C5" w:rsidRPr="00FA317F">
        <w:rPr>
          <w:lang w:eastAsia="zh-CN"/>
        </w:rPr>
        <w:t>onl</w:t>
      </w:r>
      <w:r w:rsidR="00F53340" w:rsidRPr="00FA317F">
        <w:rPr>
          <w:lang w:eastAsia="zh-CN"/>
        </w:rPr>
        <w:t>y under MAR’s</w:t>
      </w:r>
      <w:r w:rsidR="006A0574" w:rsidRPr="00FA317F">
        <w:rPr>
          <w:lang w:eastAsia="zh-CN"/>
        </w:rPr>
        <w:t xml:space="preserve"> </w:t>
      </w:r>
      <w:r w:rsidR="004F372A" w:rsidRPr="00FA317F">
        <w:rPr>
          <w:lang w:eastAsia="zh-CN"/>
        </w:rPr>
        <w:t>theory</w:t>
      </w:r>
      <w:r w:rsidR="00593920" w:rsidRPr="00FA317F">
        <w:rPr>
          <w:lang w:eastAsia="zh-CN"/>
        </w:rPr>
        <w:t>.</w:t>
      </w:r>
      <w:r w:rsidR="00F53340" w:rsidRPr="00FA317F">
        <w:rPr>
          <w:lang w:eastAsia="zh-CN"/>
        </w:rPr>
        <w:t xml:space="preserve"> </w:t>
      </w:r>
      <w:r w:rsidR="00120B1E" w:rsidRPr="00FA317F">
        <w:rPr>
          <w:lang w:eastAsia="zh-CN"/>
        </w:rPr>
        <w:t>T</w:t>
      </w:r>
      <w:r w:rsidR="001242F4" w:rsidRPr="00FA317F">
        <w:rPr>
          <w:lang w:eastAsia="zh-CN"/>
        </w:rPr>
        <w:t>his suggests</w:t>
      </w:r>
      <w:r w:rsidR="00A6744C" w:rsidRPr="00FA317F">
        <w:rPr>
          <w:lang w:eastAsia="zh-CN"/>
        </w:rPr>
        <w:t xml:space="preserve"> that</w:t>
      </w:r>
      <w:r w:rsidR="001242F4" w:rsidRPr="00FA317F">
        <w:rPr>
          <w:lang w:eastAsia="zh-CN"/>
        </w:rPr>
        <w:t xml:space="preserve"> while </w:t>
      </w:r>
      <w:r w:rsidR="00E87347" w:rsidRPr="00FA317F">
        <w:rPr>
          <w:lang w:eastAsia="zh-CN"/>
        </w:rPr>
        <w:t>MAR and Porter</w:t>
      </w:r>
      <w:r w:rsidR="00961E75" w:rsidRPr="00FA317F">
        <w:rPr>
          <w:lang w:eastAsia="zh-CN"/>
        </w:rPr>
        <w:t>’s</w:t>
      </w:r>
      <w:r w:rsidR="00E87347" w:rsidRPr="00FA317F">
        <w:rPr>
          <w:lang w:eastAsia="zh-CN"/>
        </w:rPr>
        <w:t xml:space="preserve"> (low competition</w:t>
      </w:r>
      <w:r w:rsidR="00E32E66">
        <w:rPr>
          <w:lang w:eastAsia="zh-CN"/>
        </w:rPr>
        <w:t xml:space="preserve"> or more specialis</w:t>
      </w:r>
      <w:r w:rsidR="00A77E00" w:rsidRPr="00FA317F">
        <w:rPr>
          <w:lang w:eastAsia="zh-CN"/>
        </w:rPr>
        <w:t>ation</w:t>
      </w:r>
      <w:r w:rsidR="00E87347" w:rsidRPr="00FA317F">
        <w:rPr>
          <w:lang w:eastAsia="zh-CN"/>
        </w:rPr>
        <w:t xml:space="preserve">) </w:t>
      </w:r>
      <w:r w:rsidR="004F372A" w:rsidRPr="00FA317F">
        <w:rPr>
          <w:lang w:eastAsia="zh-CN"/>
        </w:rPr>
        <w:t xml:space="preserve">theories are valid </w:t>
      </w:r>
      <w:r w:rsidR="00E87347" w:rsidRPr="00FA317F">
        <w:rPr>
          <w:lang w:eastAsia="zh-CN"/>
        </w:rPr>
        <w:t>in s</w:t>
      </w:r>
      <w:r w:rsidR="00A6744C" w:rsidRPr="00FA317F">
        <w:rPr>
          <w:lang w:eastAsia="zh-CN"/>
        </w:rPr>
        <w:t xml:space="preserve">ome </w:t>
      </w:r>
      <w:r w:rsidR="00E87347" w:rsidRPr="00FA317F">
        <w:rPr>
          <w:lang w:eastAsia="zh-CN"/>
        </w:rPr>
        <w:t>macro</w:t>
      </w:r>
      <w:r w:rsidR="004F372A" w:rsidRPr="00FA317F">
        <w:rPr>
          <w:lang w:eastAsia="zh-CN"/>
        </w:rPr>
        <w:t>-</w:t>
      </w:r>
      <w:r w:rsidR="00A6744C" w:rsidRPr="00FA317F">
        <w:rPr>
          <w:lang w:eastAsia="zh-CN"/>
        </w:rPr>
        <w:t>regions</w:t>
      </w:r>
      <w:r w:rsidR="001242F4" w:rsidRPr="00FA317F">
        <w:rPr>
          <w:lang w:eastAsia="zh-CN"/>
        </w:rPr>
        <w:t xml:space="preserve">, </w:t>
      </w:r>
      <w:r w:rsidR="00A6744C" w:rsidRPr="00FA317F">
        <w:rPr>
          <w:lang w:eastAsia="zh-CN"/>
        </w:rPr>
        <w:t>Jacobs</w:t>
      </w:r>
      <w:r w:rsidR="00961E75" w:rsidRPr="00FA317F">
        <w:rPr>
          <w:lang w:eastAsia="zh-CN"/>
        </w:rPr>
        <w:t>’</w:t>
      </w:r>
      <w:r w:rsidR="00A6744C" w:rsidRPr="00FA317F">
        <w:rPr>
          <w:lang w:eastAsia="zh-CN"/>
        </w:rPr>
        <w:t xml:space="preserve"> (high competition</w:t>
      </w:r>
      <w:r w:rsidR="00A77E00" w:rsidRPr="00FA317F">
        <w:rPr>
          <w:lang w:eastAsia="zh-CN"/>
        </w:rPr>
        <w:t xml:space="preserve"> or diversity</w:t>
      </w:r>
      <w:r w:rsidR="00A6744C" w:rsidRPr="00FA317F">
        <w:rPr>
          <w:lang w:eastAsia="zh-CN"/>
        </w:rPr>
        <w:t>)</w:t>
      </w:r>
      <w:r w:rsidR="00B15983" w:rsidRPr="00FA317F">
        <w:rPr>
          <w:lang w:eastAsia="zh-CN"/>
        </w:rPr>
        <w:t xml:space="preserve"> </w:t>
      </w:r>
      <w:r w:rsidR="004F372A" w:rsidRPr="00FA317F">
        <w:rPr>
          <w:lang w:eastAsia="zh-CN"/>
        </w:rPr>
        <w:t xml:space="preserve">theory is </w:t>
      </w:r>
      <w:r w:rsidR="00E87347" w:rsidRPr="00FA317F">
        <w:rPr>
          <w:lang w:eastAsia="zh-CN"/>
        </w:rPr>
        <w:t xml:space="preserve">important </w:t>
      </w:r>
      <w:r w:rsidR="004F372A" w:rsidRPr="00FA317F">
        <w:rPr>
          <w:lang w:eastAsia="zh-CN"/>
        </w:rPr>
        <w:t>for</w:t>
      </w:r>
      <w:r w:rsidR="00E87347" w:rsidRPr="00FA317F">
        <w:rPr>
          <w:lang w:eastAsia="zh-CN"/>
        </w:rPr>
        <w:t xml:space="preserve"> </w:t>
      </w:r>
      <w:r w:rsidR="001242F4" w:rsidRPr="00FA317F">
        <w:rPr>
          <w:lang w:eastAsia="zh-CN"/>
        </w:rPr>
        <w:t xml:space="preserve">the </w:t>
      </w:r>
      <w:r w:rsidR="00E87347" w:rsidRPr="00FA317F">
        <w:rPr>
          <w:lang w:eastAsia="zh-CN"/>
        </w:rPr>
        <w:t>other</w:t>
      </w:r>
      <w:r w:rsidR="00A77E00" w:rsidRPr="00FA317F">
        <w:rPr>
          <w:lang w:eastAsia="zh-CN"/>
        </w:rPr>
        <w:t xml:space="preserve"> region</w:t>
      </w:r>
      <w:r w:rsidR="00E87347" w:rsidRPr="00FA317F">
        <w:rPr>
          <w:lang w:eastAsia="zh-CN"/>
        </w:rPr>
        <w:t>s</w:t>
      </w:r>
      <w:r w:rsidR="004F372A" w:rsidRPr="00FA317F">
        <w:rPr>
          <w:lang w:eastAsia="zh-CN"/>
        </w:rPr>
        <w:t xml:space="preserve">. This result </w:t>
      </w:r>
      <w:r w:rsidR="00A6744C" w:rsidRPr="00FA317F">
        <w:rPr>
          <w:lang w:eastAsia="zh-CN"/>
        </w:rPr>
        <w:t xml:space="preserve">is consistent with </w:t>
      </w:r>
      <w:r w:rsidR="00B15983" w:rsidRPr="00FA317F">
        <w:rPr>
          <w:lang w:eastAsia="zh-CN"/>
        </w:rPr>
        <w:t xml:space="preserve">the </w:t>
      </w:r>
      <w:r w:rsidR="00A77E00" w:rsidRPr="00FA317F">
        <w:rPr>
          <w:lang w:eastAsia="zh-CN"/>
        </w:rPr>
        <w:t>‘</w:t>
      </w:r>
      <w:r w:rsidR="00A6744C" w:rsidRPr="00FA317F">
        <w:rPr>
          <w:lang w:eastAsia="zh-CN"/>
        </w:rPr>
        <w:t>clubs of convergence</w:t>
      </w:r>
      <w:r w:rsidR="00A77E00" w:rsidRPr="00FA317F">
        <w:rPr>
          <w:lang w:eastAsia="zh-CN"/>
        </w:rPr>
        <w:t xml:space="preserve">’ </w:t>
      </w:r>
      <w:r w:rsidR="001242F4" w:rsidRPr="00FA317F">
        <w:rPr>
          <w:lang w:eastAsia="zh-CN"/>
        </w:rPr>
        <w:t xml:space="preserve">hypothesis </w:t>
      </w:r>
      <w:r w:rsidR="007F1F16" w:rsidRPr="00FA317F">
        <w:rPr>
          <w:lang w:eastAsia="zh-CN"/>
        </w:rPr>
        <w:t xml:space="preserve">of </w:t>
      </w:r>
      <w:r w:rsidR="005460E8">
        <w:rPr>
          <w:lang w:eastAsia="zh-CN"/>
        </w:rPr>
        <w:t xml:space="preserve">the </w:t>
      </w:r>
      <w:r w:rsidR="007F1F16" w:rsidRPr="00FA317F">
        <w:t>convergence</w:t>
      </w:r>
      <w:r w:rsidR="006A0574" w:rsidRPr="00FA317F">
        <w:t xml:space="preserve"> literature for Brazil</w:t>
      </w:r>
      <w:r w:rsidR="00F80C3F">
        <w:t xml:space="preserve"> (</w:t>
      </w:r>
      <w:r w:rsidR="005460E8">
        <w:t>see</w:t>
      </w:r>
      <w:r w:rsidR="00F80C3F">
        <w:t>,</w:t>
      </w:r>
      <w:r w:rsidR="005460E8">
        <w:t xml:space="preserve"> for example</w:t>
      </w:r>
      <w:r w:rsidR="00F80C3F">
        <w:t>,</w:t>
      </w:r>
      <w:r w:rsidR="005460E8">
        <w:t xml:space="preserve"> </w:t>
      </w:r>
      <w:proofErr w:type="spellStart"/>
      <w:r w:rsidR="006A0574" w:rsidRPr="00FA317F">
        <w:rPr>
          <w:lang w:eastAsia="zh-CN"/>
        </w:rPr>
        <w:t>Brauch</w:t>
      </w:r>
      <w:proofErr w:type="spellEnd"/>
      <w:r w:rsidR="006A0574" w:rsidRPr="00FA317F">
        <w:rPr>
          <w:lang w:eastAsia="zh-CN"/>
        </w:rPr>
        <w:t xml:space="preserve"> </w:t>
      </w:r>
      <w:r w:rsidR="004F372A" w:rsidRPr="00FA317F">
        <w:rPr>
          <w:lang w:eastAsia="zh-CN"/>
        </w:rPr>
        <w:t>&amp;</w:t>
      </w:r>
      <w:r w:rsidR="006A0574" w:rsidRPr="00FA317F">
        <w:rPr>
          <w:lang w:eastAsia="zh-CN"/>
        </w:rPr>
        <w:t xml:space="preserve"> </w:t>
      </w:r>
      <w:proofErr w:type="spellStart"/>
      <w:r w:rsidR="006A0574" w:rsidRPr="00FA317F">
        <w:rPr>
          <w:lang w:eastAsia="zh-CN"/>
        </w:rPr>
        <w:t>Monasterio</w:t>
      </w:r>
      <w:proofErr w:type="spellEnd"/>
      <w:r w:rsidR="00F80C3F">
        <w:rPr>
          <w:lang w:eastAsia="zh-CN"/>
        </w:rPr>
        <w:t>,</w:t>
      </w:r>
      <w:r w:rsidR="005460E8">
        <w:rPr>
          <w:lang w:eastAsia="zh-CN"/>
        </w:rPr>
        <w:t xml:space="preserve"> </w:t>
      </w:r>
      <w:r w:rsidR="006A0574" w:rsidRPr="00FA317F">
        <w:rPr>
          <w:lang w:eastAsia="zh-CN"/>
        </w:rPr>
        <w:t>2007</w:t>
      </w:r>
      <w:r w:rsidR="004F372A" w:rsidRPr="00FA317F">
        <w:rPr>
          <w:lang w:eastAsia="zh-CN"/>
        </w:rPr>
        <w:t xml:space="preserve">; </w:t>
      </w:r>
      <w:proofErr w:type="spellStart"/>
      <w:r w:rsidR="006A0574" w:rsidRPr="00FA317F">
        <w:t>Gondim</w:t>
      </w:r>
      <w:proofErr w:type="spellEnd"/>
      <w:r w:rsidR="005460E8">
        <w:t xml:space="preserve"> et al.</w:t>
      </w:r>
      <w:r w:rsidR="00F80C3F">
        <w:t xml:space="preserve">, </w:t>
      </w:r>
      <w:r w:rsidR="006A0574" w:rsidRPr="00FA317F">
        <w:t>2007</w:t>
      </w:r>
      <w:r w:rsidR="004F372A" w:rsidRPr="00FA317F">
        <w:t xml:space="preserve">; </w:t>
      </w:r>
      <w:r w:rsidR="006A0574" w:rsidRPr="00FA317F">
        <w:rPr>
          <w:lang w:eastAsia="zh-CN"/>
        </w:rPr>
        <w:t xml:space="preserve">Coelho </w:t>
      </w:r>
      <w:r w:rsidR="004F372A" w:rsidRPr="00FA317F">
        <w:rPr>
          <w:lang w:eastAsia="zh-CN"/>
        </w:rPr>
        <w:t>&amp;</w:t>
      </w:r>
      <w:r w:rsidR="006A0574" w:rsidRPr="00FA317F">
        <w:rPr>
          <w:lang w:eastAsia="zh-CN"/>
        </w:rPr>
        <w:t xml:space="preserve"> </w:t>
      </w:r>
      <w:proofErr w:type="spellStart"/>
      <w:r w:rsidR="006A0574" w:rsidRPr="00FA317F">
        <w:rPr>
          <w:lang w:eastAsia="zh-CN"/>
        </w:rPr>
        <w:t>Figueiredo</w:t>
      </w:r>
      <w:proofErr w:type="spellEnd"/>
      <w:r w:rsidR="00F80C3F">
        <w:rPr>
          <w:lang w:eastAsia="zh-CN"/>
        </w:rPr>
        <w:t xml:space="preserve">, </w:t>
      </w:r>
      <w:r w:rsidR="006A0574" w:rsidRPr="00FA317F">
        <w:rPr>
          <w:lang w:eastAsia="zh-CN"/>
        </w:rPr>
        <w:t>2007</w:t>
      </w:r>
      <w:r w:rsidR="004F372A" w:rsidRPr="00FA317F">
        <w:rPr>
          <w:lang w:eastAsia="zh-CN"/>
        </w:rPr>
        <w:t>;</w:t>
      </w:r>
      <w:r w:rsidR="006A0574" w:rsidRPr="00FA317F">
        <w:t xml:space="preserve"> and </w:t>
      </w:r>
      <w:proofErr w:type="spellStart"/>
      <w:r w:rsidR="006A0574" w:rsidRPr="00FA317F">
        <w:rPr>
          <w:lang w:eastAsia="zh-CN"/>
        </w:rPr>
        <w:t>Magalh</w:t>
      </w:r>
      <w:r w:rsidR="006A0574" w:rsidRPr="00FA317F">
        <w:t>ã</w:t>
      </w:r>
      <w:r w:rsidR="006A0574" w:rsidRPr="00FA317F">
        <w:rPr>
          <w:lang w:eastAsia="zh-CN"/>
        </w:rPr>
        <w:t>es</w:t>
      </w:r>
      <w:proofErr w:type="spellEnd"/>
      <w:r w:rsidR="005460E8">
        <w:rPr>
          <w:lang w:eastAsia="zh-CN"/>
        </w:rPr>
        <w:t xml:space="preserve"> et al.</w:t>
      </w:r>
      <w:r w:rsidR="00F80C3F">
        <w:rPr>
          <w:lang w:eastAsia="zh-CN"/>
        </w:rPr>
        <w:t xml:space="preserve">, </w:t>
      </w:r>
      <w:r w:rsidR="006A0574" w:rsidRPr="00FA317F">
        <w:rPr>
          <w:lang w:eastAsia="zh-CN"/>
        </w:rPr>
        <w:t>2005).</w:t>
      </w:r>
    </w:p>
    <w:p w:rsidR="00DB5E8D" w:rsidRPr="00FA317F" w:rsidRDefault="00DB5E8D" w:rsidP="00877A16">
      <w:pPr>
        <w:pStyle w:val="ListParagraph"/>
        <w:spacing w:line="276" w:lineRule="auto"/>
        <w:ind w:left="0" w:firstLine="567"/>
        <w:jc w:val="both"/>
        <w:rPr>
          <w:lang w:eastAsia="zh-CN"/>
        </w:rPr>
      </w:pPr>
    </w:p>
    <w:p w:rsidR="00397E90" w:rsidRDefault="005460E8" w:rsidP="00877A16">
      <w:pPr>
        <w:spacing w:line="276" w:lineRule="auto"/>
        <w:ind w:firstLine="567"/>
        <w:jc w:val="both"/>
      </w:pPr>
      <w:r>
        <w:rPr>
          <w:lang w:eastAsia="zh-CN"/>
        </w:rPr>
        <w:lastRenderedPageBreak/>
        <w:t>Finally</w:t>
      </w:r>
      <w:r w:rsidR="0025406A">
        <w:rPr>
          <w:lang w:eastAsia="zh-CN"/>
        </w:rPr>
        <w:t>,</w:t>
      </w:r>
      <w:r>
        <w:rPr>
          <w:lang w:eastAsia="zh-CN"/>
        </w:rPr>
        <w:t xml:space="preserve"> th</w:t>
      </w:r>
      <w:r w:rsidR="0025406A">
        <w:rPr>
          <w:lang w:eastAsia="zh-CN"/>
        </w:rPr>
        <w:t xml:space="preserve">is </w:t>
      </w:r>
      <w:r>
        <w:rPr>
          <w:lang w:eastAsia="zh-CN"/>
        </w:rPr>
        <w:t>study has</w:t>
      </w:r>
      <w:r w:rsidR="00120B1E" w:rsidRPr="00FA317F">
        <w:rPr>
          <w:lang w:eastAsia="zh-CN"/>
        </w:rPr>
        <w:t xml:space="preserve"> </w:t>
      </w:r>
      <w:r w:rsidR="007E196F" w:rsidRPr="007D695E">
        <w:rPr>
          <w:lang w:eastAsia="zh-CN"/>
        </w:rPr>
        <w:t>t</w:t>
      </w:r>
      <w:r w:rsidR="00823D4B">
        <w:rPr>
          <w:lang w:eastAsia="zh-CN"/>
        </w:rPr>
        <w:t>wo</w:t>
      </w:r>
      <w:r w:rsidR="007E196F" w:rsidRPr="007D695E">
        <w:rPr>
          <w:lang w:eastAsia="zh-CN"/>
        </w:rPr>
        <w:t xml:space="preserve"> </w:t>
      </w:r>
      <w:r w:rsidR="00B45F99" w:rsidRPr="00FA317F">
        <w:rPr>
          <w:lang w:eastAsia="zh-CN"/>
        </w:rPr>
        <w:t xml:space="preserve">caveats. First, </w:t>
      </w:r>
      <w:r w:rsidR="00924E56" w:rsidRPr="00FA317F">
        <w:t>to understand Brazil</w:t>
      </w:r>
      <w:r w:rsidR="00C637AA" w:rsidRPr="00FA317F">
        <w:t xml:space="preserve">ian </w:t>
      </w:r>
      <w:r w:rsidR="00924E56" w:rsidRPr="00FA317F">
        <w:t>macro</w:t>
      </w:r>
      <w:r w:rsidR="004F372A" w:rsidRPr="00FA317F">
        <w:t>-</w:t>
      </w:r>
      <w:r w:rsidR="00924E56" w:rsidRPr="00FA317F">
        <w:t>regions behavio</w:t>
      </w:r>
      <w:r w:rsidR="00D11F9B" w:rsidRPr="00FA317F">
        <w:t>u</w:t>
      </w:r>
      <w:r w:rsidR="00924E56" w:rsidRPr="00FA317F">
        <w:t>r</w:t>
      </w:r>
      <w:r w:rsidR="00EA46FC" w:rsidRPr="00FA317F">
        <w:t xml:space="preserve">, </w:t>
      </w:r>
      <w:r w:rsidR="00AE64D4" w:rsidRPr="00FA317F">
        <w:t xml:space="preserve">it </w:t>
      </w:r>
      <w:r w:rsidR="00EA46FC" w:rsidRPr="00FA317F">
        <w:t xml:space="preserve">is important to </w:t>
      </w:r>
      <w:r w:rsidR="00AE64D4" w:rsidRPr="00FA317F">
        <w:t xml:space="preserve">employ </w:t>
      </w:r>
      <w:r>
        <w:t xml:space="preserve">disaggregated </w:t>
      </w:r>
      <w:r w:rsidR="00AE64D4" w:rsidRPr="00FA317F">
        <w:t xml:space="preserve">panel models </w:t>
      </w:r>
      <w:r w:rsidR="00120B1E" w:rsidRPr="00FA317F">
        <w:t xml:space="preserve">that </w:t>
      </w:r>
      <w:r w:rsidR="00B948A7" w:rsidRPr="00FA317F">
        <w:t xml:space="preserve">focus </w:t>
      </w:r>
      <w:r w:rsidR="00DC4C39" w:rsidRPr="00FA317F">
        <w:t xml:space="preserve">on </w:t>
      </w:r>
      <w:r>
        <w:t xml:space="preserve">individual </w:t>
      </w:r>
      <w:r w:rsidR="00AE64D4" w:rsidRPr="00FA317F">
        <w:t xml:space="preserve">regions </w:t>
      </w:r>
      <w:r w:rsidR="00B948A7" w:rsidRPr="00FA317F">
        <w:t xml:space="preserve">because externalities </w:t>
      </w:r>
      <w:r>
        <w:t xml:space="preserve">operate </w:t>
      </w:r>
      <w:r w:rsidR="00B948A7" w:rsidRPr="00FA317F">
        <w:t>differently</w:t>
      </w:r>
      <w:r w:rsidR="00B11263" w:rsidRPr="00FA317F">
        <w:t xml:space="preserve"> </w:t>
      </w:r>
      <w:r>
        <w:t xml:space="preserve">in different parts of </w:t>
      </w:r>
      <w:r w:rsidR="00B11263" w:rsidRPr="00FA317F">
        <w:t>the country</w:t>
      </w:r>
      <w:r w:rsidR="00B948A7" w:rsidRPr="00FA317F">
        <w:t xml:space="preserve">. </w:t>
      </w:r>
      <w:r w:rsidR="00B45F99" w:rsidRPr="00FA317F">
        <w:t>Second</w:t>
      </w:r>
      <w:r w:rsidR="00E32E66">
        <w:t>ly</w:t>
      </w:r>
      <w:r w:rsidR="00B45F99" w:rsidRPr="00FA317F">
        <w:t xml:space="preserve">, </w:t>
      </w:r>
      <w:r w:rsidR="00E32E66">
        <w:t xml:space="preserve">each </w:t>
      </w:r>
      <w:r w:rsidR="00F8556E" w:rsidRPr="00FA317F">
        <w:t>type</w:t>
      </w:r>
      <w:r w:rsidR="00E32E66">
        <w:t xml:space="preserve"> of </w:t>
      </w:r>
      <w:r w:rsidR="00E32E66" w:rsidRPr="00FA317F">
        <w:t>externalities</w:t>
      </w:r>
      <w:r w:rsidR="004F372A" w:rsidRPr="00FA317F">
        <w:t xml:space="preserve"> appear</w:t>
      </w:r>
      <w:r w:rsidR="00E32E66">
        <w:t>s</w:t>
      </w:r>
      <w:r w:rsidR="004F372A" w:rsidRPr="00FA317F">
        <w:t xml:space="preserve"> </w:t>
      </w:r>
      <w:r w:rsidR="00F8556E" w:rsidRPr="00FA317F">
        <w:t>captured by specific models</w:t>
      </w:r>
      <w:r w:rsidR="00DC4C39" w:rsidRPr="00FA317F">
        <w:t xml:space="preserve">: </w:t>
      </w:r>
      <w:r w:rsidR="004F372A" w:rsidRPr="00FA317F">
        <w:t xml:space="preserve">on the one hand, </w:t>
      </w:r>
      <w:r w:rsidR="00F8556E" w:rsidRPr="00FA317F">
        <w:t xml:space="preserve">cross-section models </w:t>
      </w:r>
      <w:r w:rsidR="007F1F16" w:rsidRPr="00FA317F">
        <w:t xml:space="preserve">picture </w:t>
      </w:r>
      <w:r w:rsidR="00F8556E" w:rsidRPr="00FA317F">
        <w:t xml:space="preserve">competition </w:t>
      </w:r>
      <w:r w:rsidR="004F372A" w:rsidRPr="00FA317F">
        <w:t xml:space="preserve">externalities </w:t>
      </w:r>
      <w:r w:rsidR="00F8556E" w:rsidRPr="00FA317F">
        <w:t xml:space="preserve">under </w:t>
      </w:r>
      <w:r w:rsidR="00C26491" w:rsidRPr="00FA317F">
        <w:t xml:space="preserve">both </w:t>
      </w:r>
      <w:r w:rsidR="00F8556E" w:rsidRPr="00FA317F">
        <w:t>Porter and Jacobs</w:t>
      </w:r>
      <w:r w:rsidR="007F1F16" w:rsidRPr="00FA317F">
        <w:t>’ theories</w:t>
      </w:r>
      <w:r w:rsidR="00C26491" w:rsidRPr="00FA317F">
        <w:t xml:space="preserve"> and </w:t>
      </w:r>
      <w:r w:rsidR="00F32D7A">
        <w:t xml:space="preserve">possibly </w:t>
      </w:r>
      <w:r w:rsidR="00C26491" w:rsidRPr="00FA317F">
        <w:t>diversity also under Jacobs’ theory</w:t>
      </w:r>
      <w:r w:rsidR="004F372A" w:rsidRPr="00FA317F">
        <w:t>; on the other hand</w:t>
      </w:r>
      <w:r w:rsidR="007F1F16" w:rsidRPr="00FA317F">
        <w:t>,</w:t>
      </w:r>
      <w:r w:rsidR="004F372A" w:rsidRPr="00FA317F">
        <w:t xml:space="preserve"> </w:t>
      </w:r>
      <w:r w:rsidR="00C26491" w:rsidRPr="00FA317F">
        <w:t xml:space="preserve">annual panel and </w:t>
      </w:r>
      <w:r w:rsidR="00F8556E" w:rsidRPr="00FA317F">
        <w:t>poo</w:t>
      </w:r>
      <w:r w:rsidR="004F372A" w:rsidRPr="00FA317F">
        <w:t>l</w:t>
      </w:r>
      <w:r w:rsidR="00F8556E" w:rsidRPr="00FA317F">
        <w:t xml:space="preserve">ed models </w:t>
      </w:r>
      <w:r w:rsidR="007F1F16" w:rsidRPr="00FA317F">
        <w:t xml:space="preserve">capture </w:t>
      </w:r>
      <w:r w:rsidR="00397E90">
        <w:t>specialis</w:t>
      </w:r>
      <w:r w:rsidR="00F8556E" w:rsidRPr="00FA317F">
        <w:t>ation</w:t>
      </w:r>
      <w:r w:rsidR="00DC4C39" w:rsidRPr="00FA317F">
        <w:t xml:space="preserve"> </w:t>
      </w:r>
      <w:r w:rsidR="00734FC4" w:rsidRPr="00FA317F">
        <w:t xml:space="preserve">externalities under MAR and Porter if those models </w:t>
      </w:r>
      <w:r w:rsidR="00DC4C39" w:rsidRPr="00FA317F">
        <w:t xml:space="preserve">are </w:t>
      </w:r>
      <w:r w:rsidR="006B1F0E" w:rsidRPr="00FA317F">
        <w:t xml:space="preserve">estimated by </w:t>
      </w:r>
      <w:r w:rsidR="00DC4C39" w:rsidRPr="00FA317F">
        <w:t xml:space="preserve">OLS with </w:t>
      </w:r>
      <w:r w:rsidR="00734FC4" w:rsidRPr="00FA317F">
        <w:t xml:space="preserve">both </w:t>
      </w:r>
      <w:r w:rsidR="00F74F50" w:rsidRPr="00FA317F">
        <w:t>year</w:t>
      </w:r>
      <w:r w:rsidR="00DC4C39" w:rsidRPr="00FA317F">
        <w:t xml:space="preserve"> and state dummies</w:t>
      </w:r>
      <w:r w:rsidR="008B4D17" w:rsidRPr="00FA317F">
        <w:t xml:space="preserve"> or </w:t>
      </w:r>
      <w:r>
        <w:t>with</w:t>
      </w:r>
      <w:r w:rsidR="008B4D17" w:rsidRPr="00FA317F">
        <w:t xml:space="preserve"> </w:t>
      </w:r>
      <w:r w:rsidR="00DC4C39" w:rsidRPr="00FA317F">
        <w:t>fixed effect</w:t>
      </w:r>
      <w:r w:rsidR="008B4D17" w:rsidRPr="00FA317F">
        <w:t>s.</w:t>
      </w:r>
      <w:r w:rsidR="00DC4C39" w:rsidRPr="00FA317F">
        <w:t xml:space="preserve"> </w:t>
      </w:r>
      <w:r>
        <w:t>Further research is needed on why changing the model specification from a cross-section to a panel approach leads to such apparently contradicting results.</w:t>
      </w:r>
      <w:r w:rsidR="00397E90">
        <w:t xml:space="preserve"> </w:t>
      </w:r>
      <w:r w:rsidR="00397E90" w:rsidRPr="00EC004D">
        <w:t>These t</w:t>
      </w:r>
      <w:r w:rsidR="00397E90">
        <w:t>wo</w:t>
      </w:r>
      <w:r w:rsidR="00397E90" w:rsidRPr="00EC004D">
        <w:t xml:space="preserve"> caveats will be investigated in future research.</w:t>
      </w:r>
    </w:p>
    <w:p w:rsidR="00281C1F" w:rsidRPr="00343521" w:rsidRDefault="005460E8" w:rsidP="00877A16">
      <w:pPr>
        <w:pStyle w:val="ListParagraph"/>
        <w:spacing w:line="276" w:lineRule="auto"/>
        <w:ind w:left="0" w:firstLine="567"/>
        <w:jc w:val="both"/>
      </w:pPr>
      <w:r>
        <w:t xml:space="preserve"> </w:t>
      </w:r>
    </w:p>
    <w:p w:rsidR="0089591C" w:rsidRPr="002D4939" w:rsidRDefault="0089591C" w:rsidP="00877A16">
      <w:pPr>
        <w:pStyle w:val="ListParagraph"/>
        <w:spacing w:line="276" w:lineRule="auto"/>
        <w:ind w:left="0"/>
        <w:jc w:val="both"/>
        <w:rPr>
          <w:lang w:eastAsia="zh-CN"/>
        </w:rPr>
      </w:pPr>
      <w:r w:rsidRPr="00F26BF2">
        <w:rPr>
          <w:b/>
          <w:lang w:val="en-US"/>
        </w:rPr>
        <w:t>References</w:t>
      </w:r>
    </w:p>
    <w:p w:rsidR="00485F0A" w:rsidRPr="00A93AED" w:rsidRDefault="00485F0A" w:rsidP="00877A16">
      <w:pPr>
        <w:pStyle w:val="ListParagraph"/>
        <w:spacing w:line="276" w:lineRule="auto"/>
        <w:ind w:hanging="720"/>
        <w:jc w:val="both"/>
        <w:rPr>
          <w:sz w:val="12"/>
          <w:szCs w:val="12"/>
          <w:lang w:val="en-US"/>
        </w:rPr>
      </w:pPr>
    </w:p>
    <w:p w:rsidR="008F4825" w:rsidRPr="00DB5E8D" w:rsidRDefault="008F4825" w:rsidP="00A93AED">
      <w:pPr>
        <w:pStyle w:val="ListParagraph"/>
        <w:ind w:left="426" w:hanging="426"/>
        <w:jc w:val="both"/>
        <w:rPr>
          <w:sz w:val="22"/>
          <w:szCs w:val="22"/>
          <w:lang w:val="en-US"/>
        </w:rPr>
      </w:pPr>
      <w:proofErr w:type="spellStart"/>
      <w:r w:rsidRPr="00DB5E8D">
        <w:rPr>
          <w:sz w:val="22"/>
          <w:szCs w:val="22"/>
          <w:lang w:val="en-US"/>
        </w:rPr>
        <w:t>Abreu</w:t>
      </w:r>
      <w:proofErr w:type="spellEnd"/>
      <w:r w:rsidRPr="00DB5E8D">
        <w:rPr>
          <w:sz w:val="22"/>
          <w:szCs w:val="22"/>
          <w:lang w:val="en-US"/>
        </w:rPr>
        <w:t xml:space="preserve">, M. P. (2008). </w:t>
      </w:r>
      <w:proofErr w:type="gramStart"/>
      <w:r w:rsidRPr="00DB5E8D">
        <w:rPr>
          <w:sz w:val="22"/>
          <w:szCs w:val="22"/>
          <w:lang w:val="en-US"/>
        </w:rPr>
        <w:t>The Brazilian economy, 1980-1994.</w:t>
      </w:r>
      <w:proofErr w:type="gramEnd"/>
      <w:r w:rsidRPr="00DB5E8D">
        <w:rPr>
          <w:sz w:val="22"/>
          <w:szCs w:val="22"/>
          <w:lang w:val="en-US"/>
        </w:rPr>
        <w:t xml:space="preserve"> </w:t>
      </w:r>
      <w:proofErr w:type="gramStart"/>
      <w:r w:rsidRPr="00DB5E8D">
        <w:rPr>
          <w:sz w:val="22"/>
          <w:szCs w:val="22"/>
          <w:lang w:val="en-US"/>
        </w:rPr>
        <w:t xml:space="preserve">In L. Bethel (Ed.), </w:t>
      </w:r>
      <w:r w:rsidRPr="00DB5E8D">
        <w:rPr>
          <w:i/>
          <w:sz w:val="22"/>
          <w:szCs w:val="22"/>
          <w:lang w:val="en-US"/>
        </w:rPr>
        <w:t xml:space="preserve">The Cambridge history of Latin America </w:t>
      </w:r>
      <w:r w:rsidRPr="00DB5E8D">
        <w:rPr>
          <w:sz w:val="22"/>
          <w:szCs w:val="22"/>
          <w:lang w:val="en-US"/>
        </w:rPr>
        <w:t>(Vol. IX) (pp. 395-430).</w:t>
      </w:r>
      <w:proofErr w:type="gramEnd"/>
      <w:r w:rsidRPr="00DB5E8D">
        <w:rPr>
          <w:sz w:val="22"/>
          <w:szCs w:val="22"/>
          <w:lang w:val="en-US"/>
        </w:rPr>
        <w:t xml:space="preserve"> Cambridge, England: Cambridge University Press.</w:t>
      </w:r>
    </w:p>
    <w:p w:rsidR="008F4825" w:rsidRPr="00DB5E8D" w:rsidRDefault="008F4825" w:rsidP="00A93AED">
      <w:pPr>
        <w:pStyle w:val="ListParagraph"/>
        <w:ind w:left="425" w:hanging="425"/>
        <w:jc w:val="both"/>
        <w:rPr>
          <w:sz w:val="22"/>
          <w:szCs w:val="22"/>
          <w:lang w:val="en-US"/>
        </w:rPr>
      </w:pPr>
      <w:r w:rsidRPr="00DB5E8D">
        <w:rPr>
          <w:sz w:val="22"/>
          <w:szCs w:val="22"/>
          <w:lang w:val="de-DE"/>
        </w:rPr>
        <w:t xml:space="preserve">Abreu, M. P., &amp; Werneck, R. L. F. (2008). </w:t>
      </w:r>
      <w:proofErr w:type="gramStart"/>
      <w:r w:rsidRPr="00DB5E8D">
        <w:rPr>
          <w:sz w:val="22"/>
          <w:szCs w:val="22"/>
          <w:lang w:val="en-US"/>
        </w:rPr>
        <w:t>The Brazilian economy, 1994-2004.</w:t>
      </w:r>
      <w:proofErr w:type="gramEnd"/>
      <w:r w:rsidRPr="00DB5E8D">
        <w:rPr>
          <w:sz w:val="22"/>
          <w:szCs w:val="22"/>
          <w:lang w:val="en-US"/>
        </w:rPr>
        <w:t xml:space="preserve"> </w:t>
      </w:r>
      <w:proofErr w:type="gramStart"/>
      <w:r w:rsidRPr="00DB5E8D">
        <w:rPr>
          <w:sz w:val="22"/>
          <w:szCs w:val="22"/>
          <w:lang w:val="en-US"/>
        </w:rPr>
        <w:t xml:space="preserve">In L. Bethel (Ed.), </w:t>
      </w:r>
      <w:r w:rsidRPr="00DB5E8D">
        <w:rPr>
          <w:i/>
          <w:sz w:val="22"/>
          <w:szCs w:val="22"/>
          <w:lang w:val="en-US"/>
        </w:rPr>
        <w:t xml:space="preserve">The Cambridge history of Latin America </w:t>
      </w:r>
      <w:r w:rsidRPr="00DB5E8D">
        <w:rPr>
          <w:sz w:val="22"/>
          <w:szCs w:val="22"/>
          <w:lang w:val="en-US"/>
        </w:rPr>
        <w:t>(Vol. X) (pp. 431-454).</w:t>
      </w:r>
      <w:proofErr w:type="gramEnd"/>
      <w:r w:rsidRPr="00DB5E8D">
        <w:rPr>
          <w:sz w:val="22"/>
          <w:szCs w:val="22"/>
          <w:lang w:val="en-US"/>
        </w:rPr>
        <w:t xml:space="preserve"> Cambridge, England: Cambridge University Press.</w:t>
      </w:r>
    </w:p>
    <w:p w:rsidR="00CB7303" w:rsidRPr="00DB5E8D" w:rsidRDefault="00CB7303" w:rsidP="00A93AED">
      <w:pPr>
        <w:autoSpaceDE w:val="0"/>
        <w:autoSpaceDN w:val="0"/>
        <w:adjustRightInd w:val="0"/>
        <w:ind w:left="426" w:hanging="426"/>
        <w:jc w:val="both"/>
        <w:rPr>
          <w:color w:val="333333"/>
          <w:sz w:val="22"/>
          <w:szCs w:val="22"/>
        </w:rPr>
      </w:pPr>
      <w:proofErr w:type="gramStart"/>
      <w:r w:rsidRPr="00DB5E8D">
        <w:rPr>
          <w:sz w:val="22"/>
          <w:szCs w:val="22"/>
          <w:lang w:eastAsia="zh-CN"/>
        </w:rPr>
        <w:t>Andrade, T. A., &amp; Serra, R. V. (2001).</w:t>
      </w:r>
      <w:proofErr w:type="gramEnd"/>
      <w:r w:rsidRPr="00DB5E8D">
        <w:rPr>
          <w:sz w:val="22"/>
          <w:szCs w:val="22"/>
          <w:lang w:eastAsia="zh-CN"/>
        </w:rPr>
        <w:t xml:space="preserve"> </w:t>
      </w:r>
      <w:proofErr w:type="spellStart"/>
      <w:r w:rsidRPr="00DB5E8D">
        <w:rPr>
          <w:bCs/>
          <w:i/>
          <w:sz w:val="22"/>
          <w:szCs w:val="22"/>
          <w:lang w:val="es-ES" w:eastAsia="zh-CN"/>
        </w:rPr>
        <w:t>Análise</w:t>
      </w:r>
      <w:proofErr w:type="spellEnd"/>
      <w:r w:rsidRPr="00DB5E8D">
        <w:rPr>
          <w:bCs/>
          <w:i/>
          <w:sz w:val="22"/>
          <w:szCs w:val="22"/>
          <w:lang w:val="es-ES" w:eastAsia="zh-CN"/>
        </w:rPr>
        <w:t xml:space="preserve"> do </w:t>
      </w:r>
      <w:proofErr w:type="spellStart"/>
      <w:r w:rsidRPr="00DB5E8D">
        <w:rPr>
          <w:bCs/>
          <w:i/>
          <w:sz w:val="22"/>
          <w:szCs w:val="22"/>
          <w:lang w:val="es-ES" w:eastAsia="zh-CN"/>
        </w:rPr>
        <w:t>desempenho</w:t>
      </w:r>
      <w:proofErr w:type="spellEnd"/>
      <w:r w:rsidRPr="00DB5E8D">
        <w:rPr>
          <w:bCs/>
          <w:i/>
          <w:sz w:val="22"/>
          <w:szCs w:val="22"/>
          <w:lang w:val="es-ES" w:eastAsia="zh-CN"/>
        </w:rPr>
        <w:t xml:space="preserve"> </w:t>
      </w:r>
      <w:proofErr w:type="spellStart"/>
      <w:r w:rsidRPr="00DB5E8D">
        <w:rPr>
          <w:bCs/>
          <w:i/>
          <w:sz w:val="22"/>
          <w:szCs w:val="22"/>
          <w:lang w:val="es-ES" w:eastAsia="zh-CN"/>
        </w:rPr>
        <w:t>produtivo</w:t>
      </w:r>
      <w:proofErr w:type="spellEnd"/>
      <w:r w:rsidRPr="00DB5E8D">
        <w:rPr>
          <w:bCs/>
          <w:i/>
          <w:sz w:val="22"/>
          <w:szCs w:val="22"/>
          <w:lang w:val="es-ES" w:eastAsia="zh-CN"/>
        </w:rPr>
        <w:t xml:space="preserve"> dos centros urbanos brasileiros no período 1975/96</w:t>
      </w:r>
      <w:r w:rsidR="00112481" w:rsidRPr="00DB5E8D">
        <w:rPr>
          <w:bCs/>
          <w:iCs/>
          <w:sz w:val="22"/>
          <w:szCs w:val="22"/>
          <w:lang w:val="es-ES" w:eastAsia="zh-CN"/>
        </w:rPr>
        <w:t>.</w:t>
      </w:r>
      <w:r w:rsidRPr="00DB5E8D">
        <w:rPr>
          <w:bCs/>
          <w:sz w:val="22"/>
          <w:szCs w:val="22"/>
          <w:lang w:val="es-ES" w:eastAsia="zh-CN"/>
        </w:rPr>
        <w:t xml:space="preserve"> </w:t>
      </w:r>
      <w:r w:rsidRPr="00DB5E8D">
        <w:rPr>
          <w:sz w:val="22"/>
          <w:szCs w:val="22"/>
          <w:lang w:eastAsia="zh-CN"/>
        </w:rPr>
        <w:t>Available from</w:t>
      </w:r>
      <w:r w:rsidR="00112481" w:rsidRPr="00DB5E8D">
        <w:rPr>
          <w:sz w:val="22"/>
          <w:szCs w:val="22"/>
          <w:lang w:eastAsia="zh-CN"/>
        </w:rPr>
        <w:t>:</w:t>
      </w:r>
      <w:r w:rsidRPr="00DB5E8D">
        <w:rPr>
          <w:sz w:val="22"/>
          <w:szCs w:val="22"/>
          <w:lang w:eastAsia="zh-CN"/>
        </w:rPr>
        <w:t xml:space="preserve"> http://www.nemesis.org.br/</w:t>
      </w:r>
    </w:p>
    <w:p w:rsidR="00FE0789" w:rsidRPr="00DB5E8D" w:rsidRDefault="00FE0789" w:rsidP="00A93AED">
      <w:pPr>
        <w:autoSpaceDE w:val="0"/>
        <w:autoSpaceDN w:val="0"/>
        <w:adjustRightInd w:val="0"/>
        <w:ind w:left="426" w:hanging="426"/>
        <w:jc w:val="both"/>
        <w:rPr>
          <w:color w:val="333333"/>
          <w:sz w:val="22"/>
          <w:szCs w:val="22"/>
        </w:rPr>
      </w:pPr>
      <w:proofErr w:type="spellStart"/>
      <w:r w:rsidRPr="00DB5E8D">
        <w:rPr>
          <w:bCs/>
          <w:sz w:val="22"/>
          <w:szCs w:val="22"/>
          <w:lang w:eastAsia="zh-CN"/>
        </w:rPr>
        <w:t>Azzoni</w:t>
      </w:r>
      <w:proofErr w:type="spellEnd"/>
      <w:r w:rsidRPr="00DB5E8D">
        <w:rPr>
          <w:bCs/>
          <w:sz w:val="22"/>
          <w:szCs w:val="22"/>
          <w:lang w:eastAsia="zh-CN"/>
        </w:rPr>
        <w:t xml:space="preserve">, C. R. (1997). </w:t>
      </w:r>
      <w:proofErr w:type="spellStart"/>
      <w:r w:rsidRPr="00DB5E8D">
        <w:rPr>
          <w:bCs/>
          <w:i/>
          <w:sz w:val="22"/>
          <w:szCs w:val="22"/>
          <w:lang w:val="es-ES" w:eastAsia="zh-CN"/>
        </w:rPr>
        <w:t>Distribuição</w:t>
      </w:r>
      <w:proofErr w:type="spellEnd"/>
      <w:r w:rsidRPr="00DB5E8D">
        <w:rPr>
          <w:bCs/>
          <w:i/>
          <w:sz w:val="22"/>
          <w:szCs w:val="22"/>
          <w:lang w:val="es-ES" w:eastAsia="zh-CN"/>
        </w:rPr>
        <w:t xml:space="preserve"> </w:t>
      </w:r>
      <w:proofErr w:type="spellStart"/>
      <w:r w:rsidRPr="00DB5E8D">
        <w:rPr>
          <w:bCs/>
          <w:i/>
          <w:sz w:val="22"/>
          <w:szCs w:val="22"/>
          <w:lang w:val="es-ES" w:eastAsia="zh-CN"/>
        </w:rPr>
        <w:t>pessoal</w:t>
      </w:r>
      <w:proofErr w:type="spellEnd"/>
      <w:r w:rsidRPr="00DB5E8D">
        <w:rPr>
          <w:bCs/>
          <w:i/>
          <w:sz w:val="22"/>
          <w:szCs w:val="22"/>
          <w:lang w:val="es-ES" w:eastAsia="zh-CN"/>
        </w:rPr>
        <w:t xml:space="preserve"> de renda nos estados e </w:t>
      </w:r>
      <w:proofErr w:type="spellStart"/>
      <w:r w:rsidRPr="00DB5E8D">
        <w:rPr>
          <w:bCs/>
          <w:i/>
          <w:sz w:val="22"/>
          <w:szCs w:val="22"/>
          <w:lang w:val="es-ES" w:eastAsia="zh-CN"/>
        </w:rPr>
        <w:t>desigualdade</w:t>
      </w:r>
      <w:proofErr w:type="spellEnd"/>
      <w:r w:rsidRPr="00DB5E8D">
        <w:rPr>
          <w:bCs/>
          <w:i/>
          <w:sz w:val="22"/>
          <w:szCs w:val="22"/>
          <w:lang w:val="es-ES" w:eastAsia="zh-CN"/>
        </w:rPr>
        <w:t xml:space="preserve"> de renda entre estados no Brasil: 1960, 70, 80 e 91</w:t>
      </w:r>
      <w:r w:rsidRPr="00DB5E8D">
        <w:rPr>
          <w:bCs/>
          <w:sz w:val="22"/>
          <w:szCs w:val="22"/>
          <w:lang w:val="es-ES" w:eastAsia="zh-CN"/>
        </w:rPr>
        <w:t xml:space="preserve">. </w:t>
      </w:r>
      <w:r w:rsidRPr="00DB5E8D">
        <w:rPr>
          <w:sz w:val="22"/>
          <w:szCs w:val="22"/>
          <w:lang w:eastAsia="zh-CN"/>
        </w:rPr>
        <w:t>Available from</w:t>
      </w:r>
      <w:r w:rsidR="00112481" w:rsidRPr="00DB5E8D">
        <w:rPr>
          <w:sz w:val="22"/>
          <w:szCs w:val="22"/>
          <w:lang w:eastAsia="zh-CN"/>
        </w:rPr>
        <w:t xml:space="preserve">: </w:t>
      </w:r>
      <w:r w:rsidRPr="00DB5E8D">
        <w:rPr>
          <w:sz w:val="22"/>
          <w:szCs w:val="22"/>
          <w:lang w:eastAsia="zh-CN"/>
        </w:rPr>
        <w:t>http://www.nemesis.org.br/</w:t>
      </w:r>
    </w:p>
    <w:p w:rsidR="00AE73DF" w:rsidRPr="00DB5E8D" w:rsidRDefault="00AE73DF" w:rsidP="00A93AED">
      <w:pPr>
        <w:autoSpaceDE w:val="0"/>
        <w:autoSpaceDN w:val="0"/>
        <w:adjustRightInd w:val="0"/>
        <w:ind w:left="426" w:hanging="426"/>
        <w:jc w:val="both"/>
        <w:rPr>
          <w:sz w:val="22"/>
          <w:szCs w:val="22"/>
          <w:lang w:eastAsia="zh-CN"/>
        </w:rPr>
      </w:pPr>
      <w:proofErr w:type="spellStart"/>
      <w:r w:rsidRPr="00DB5E8D">
        <w:rPr>
          <w:sz w:val="22"/>
          <w:szCs w:val="22"/>
          <w:lang w:eastAsia="zh-CN"/>
        </w:rPr>
        <w:t>Azzoni</w:t>
      </w:r>
      <w:proofErr w:type="spellEnd"/>
      <w:r w:rsidRPr="00DB5E8D">
        <w:rPr>
          <w:sz w:val="22"/>
          <w:szCs w:val="22"/>
          <w:lang w:eastAsia="zh-CN"/>
        </w:rPr>
        <w:t xml:space="preserve">, C. R. (1999). </w:t>
      </w:r>
      <w:r w:rsidRPr="00DB5E8D">
        <w:rPr>
          <w:bCs/>
          <w:sz w:val="22"/>
          <w:szCs w:val="22"/>
          <w:lang w:eastAsia="zh-CN"/>
        </w:rPr>
        <w:t xml:space="preserve">Regional income inequalities by income class in Brazil: Is inequality higher among rich or poor people? </w:t>
      </w:r>
      <w:proofErr w:type="gramStart"/>
      <w:r w:rsidRPr="00DB5E8D">
        <w:rPr>
          <w:i/>
          <w:sz w:val="22"/>
          <w:szCs w:val="22"/>
        </w:rPr>
        <w:t>Work</w:t>
      </w:r>
      <w:r w:rsidRPr="00DB5E8D">
        <w:rPr>
          <w:rStyle w:val="searchword"/>
          <w:i/>
          <w:sz w:val="22"/>
          <w:szCs w:val="22"/>
        </w:rPr>
        <w:t>in</w:t>
      </w:r>
      <w:r w:rsidRPr="00DB5E8D">
        <w:rPr>
          <w:i/>
          <w:sz w:val="22"/>
          <w:szCs w:val="22"/>
        </w:rPr>
        <w:t>g Paper Series.</w:t>
      </w:r>
      <w:proofErr w:type="gramEnd"/>
      <w:r w:rsidRPr="00DB5E8D">
        <w:rPr>
          <w:sz w:val="22"/>
          <w:szCs w:val="22"/>
        </w:rPr>
        <w:t xml:space="preserve"> </w:t>
      </w:r>
      <w:proofErr w:type="spellStart"/>
      <w:proofErr w:type="gramStart"/>
      <w:r w:rsidRPr="00DB5E8D">
        <w:rPr>
          <w:sz w:val="22"/>
          <w:szCs w:val="22"/>
        </w:rPr>
        <w:t>doi</w:t>
      </w:r>
      <w:proofErr w:type="spellEnd"/>
      <w:proofErr w:type="gramEnd"/>
      <w:r w:rsidRPr="00DB5E8D">
        <w:rPr>
          <w:sz w:val="22"/>
          <w:szCs w:val="22"/>
          <w:lang w:eastAsia="zh-CN"/>
        </w:rPr>
        <w:t>: 10.2139/ssrn.202688</w:t>
      </w:r>
      <w:r w:rsidR="001026A7" w:rsidRPr="00DB5E8D">
        <w:rPr>
          <w:sz w:val="22"/>
          <w:szCs w:val="22"/>
          <w:lang w:eastAsia="zh-CN"/>
        </w:rPr>
        <w:t>.</w:t>
      </w:r>
    </w:p>
    <w:p w:rsidR="00AE73DF" w:rsidRPr="00DB5E8D" w:rsidRDefault="003C3C21" w:rsidP="00A93AED">
      <w:pPr>
        <w:pStyle w:val="ListParagraph"/>
        <w:ind w:left="426" w:hanging="426"/>
        <w:jc w:val="both"/>
        <w:rPr>
          <w:b/>
          <w:sz w:val="22"/>
          <w:szCs w:val="22"/>
        </w:rPr>
      </w:pPr>
      <w:proofErr w:type="spellStart"/>
      <w:r w:rsidRPr="00DB5E8D">
        <w:rPr>
          <w:sz w:val="22"/>
          <w:szCs w:val="22"/>
          <w:lang w:eastAsia="zh-CN"/>
        </w:rPr>
        <w:t>Azzoni</w:t>
      </w:r>
      <w:proofErr w:type="spellEnd"/>
      <w:r w:rsidRPr="00DB5E8D">
        <w:rPr>
          <w:sz w:val="22"/>
          <w:szCs w:val="22"/>
          <w:lang w:eastAsia="zh-CN"/>
        </w:rPr>
        <w:t xml:space="preserve">, C. R. (2001). </w:t>
      </w:r>
      <w:proofErr w:type="gramStart"/>
      <w:r w:rsidRPr="00DB5E8D">
        <w:rPr>
          <w:sz w:val="22"/>
          <w:szCs w:val="22"/>
          <w:lang w:eastAsia="zh-CN"/>
        </w:rPr>
        <w:t>Economic growth and regional income inequality in Brazil.</w:t>
      </w:r>
      <w:proofErr w:type="gramEnd"/>
      <w:r w:rsidRPr="00DB5E8D">
        <w:rPr>
          <w:sz w:val="22"/>
          <w:szCs w:val="22"/>
          <w:lang w:eastAsia="zh-CN"/>
        </w:rPr>
        <w:t xml:space="preserve"> </w:t>
      </w:r>
      <w:r w:rsidRPr="00DB5E8D">
        <w:rPr>
          <w:bCs/>
          <w:i/>
          <w:sz w:val="22"/>
          <w:szCs w:val="22"/>
          <w:lang w:eastAsia="zh-CN"/>
        </w:rPr>
        <w:t xml:space="preserve">The Annals of Regional Science, </w:t>
      </w:r>
      <w:r w:rsidRPr="00DB5E8D">
        <w:rPr>
          <w:i/>
          <w:sz w:val="22"/>
          <w:szCs w:val="22"/>
          <w:lang w:eastAsia="zh-CN"/>
        </w:rPr>
        <w:t>35</w:t>
      </w:r>
      <w:r w:rsidRPr="00DB5E8D">
        <w:rPr>
          <w:sz w:val="22"/>
          <w:szCs w:val="22"/>
          <w:lang w:eastAsia="zh-CN"/>
        </w:rPr>
        <w:t>, 133-152.</w:t>
      </w:r>
    </w:p>
    <w:p w:rsidR="003C3C21" w:rsidRPr="00DB5E8D" w:rsidRDefault="003C3C21" w:rsidP="00A93AED">
      <w:pPr>
        <w:autoSpaceDE w:val="0"/>
        <w:autoSpaceDN w:val="0"/>
        <w:adjustRightInd w:val="0"/>
        <w:ind w:left="426" w:hanging="426"/>
        <w:jc w:val="both"/>
        <w:rPr>
          <w:sz w:val="22"/>
          <w:szCs w:val="22"/>
          <w:lang w:eastAsia="zh-CN"/>
        </w:rPr>
      </w:pPr>
      <w:proofErr w:type="spellStart"/>
      <w:r w:rsidRPr="00DB5E8D">
        <w:rPr>
          <w:sz w:val="22"/>
          <w:szCs w:val="22"/>
        </w:rPr>
        <w:t>Azzoni</w:t>
      </w:r>
      <w:proofErr w:type="spellEnd"/>
      <w:r w:rsidRPr="00DB5E8D">
        <w:rPr>
          <w:sz w:val="22"/>
          <w:szCs w:val="22"/>
        </w:rPr>
        <w:t xml:space="preserve">, C. R. (2003). </w:t>
      </w:r>
      <w:proofErr w:type="spellStart"/>
      <w:proofErr w:type="gramStart"/>
      <w:r w:rsidRPr="00DB5E8D">
        <w:rPr>
          <w:bCs/>
          <w:sz w:val="22"/>
          <w:szCs w:val="22"/>
        </w:rPr>
        <w:t>Sobre</w:t>
      </w:r>
      <w:proofErr w:type="spellEnd"/>
      <w:r w:rsidRPr="00DB5E8D">
        <w:rPr>
          <w:bCs/>
          <w:sz w:val="22"/>
          <w:szCs w:val="22"/>
        </w:rPr>
        <w:t xml:space="preserve"> a </w:t>
      </w:r>
      <w:proofErr w:type="spellStart"/>
      <w:r w:rsidRPr="00DB5E8D">
        <w:rPr>
          <w:bCs/>
          <w:sz w:val="22"/>
          <w:szCs w:val="22"/>
        </w:rPr>
        <w:t>necessidade</w:t>
      </w:r>
      <w:proofErr w:type="spellEnd"/>
      <w:r w:rsidRPr="00DB5E8D">
        <w:rPr>
          <w:bCs/>
          <w:sz w:val="22"/>
          <w:szCs w:val="22"/>
        </w:rPr>
        <w:t xml:space="preserve"> </w:t>
      </w:r>
      <w:proofErr w:type="spellStart"/>
      <w:r w:rsidRPr="00DB5E8D">
        <w:rPr>
          <w:bCs/>
          <w:sz w:val="22"/>
          <w:szCs w:val="22"/>
        </w:rPr>
        <w:t>da</w:t>
      </w:r>
      <w:proofErr w:type="spellEnd"/>
      <w:r w:rsidRPr="00DB5E8D">
        <w:rPr>
          <w:bCs/>
          <w:sz w:val="22"/>
          <w:szCs w:val="22"/>
        </w:rPr>
        <w:t xml:space="preserve"> </w:t>
      </w:r>
      <w:proofErr w:type="spellStart"/>
      <w:r w:rsidRPr="00DB5E8D">
        <w:rPr>
          <w:bCs/>
          <w:sz w:val="22"/>
          <w:szCs w:val="22"/>
        </w:rPr>
        <w:t>política</w:t>
      </w:r>
      <w:proofErr w:type="spellEnd"/>
      <w:r w:rsidRPr="00DB5E8D">
        <w:rPr>
          <w:bCs/>
          <w:sz w:val="22"/>
          <w:szCs w:val="22"/>
        </w:rPr>
        <w:t xml:space="preserve"> regional</w:t>
      </w:r>
      <w:r w:rsidRPr="00DB5E8D">
        <w:rPr>
          <w:sz w:val="22"/>
          <w:szCs w:val="22"/>
        </w:rPr>
        <w:t>.</w:t>
      </w:r>
      <w:proofErr w:type="gramEnd"/>
      <w:r w:rsidRPr="00DB5E8D">
        <w:rPr>
          <w:bCs/>
          <w:i/>
          <w:sz w:val="22"/>
          <w:szCs w:val="22"/>
        </w:rPr>
        <w:t xml:space="preserve"> </w:t>
      </w:r>
      <w:proofErr w:type="spellStart"/>
      <w:proofErr w:type="gramStart"/>
      <w:r w:rsidRPr="00DB5E8D">
        <w:rPr>
          <w:bCs/>
          <w:i/>
          <w:sz w:val="22"/>
          <w:szCs w:val="22"/>
        </w:rPr>
        <w:t>Nereus</w:t>
      </w:r>
      <w:proofErr w:type="spellEnd"/>
      <w:r w:rsidR="00112481" w:rsidRPr="00DB5E8D">
        <w:rPr>
          <w:bCs/>
          <w:i/>
          <w:sz w:val="22"/>
          <w:szCs w:val="22"/>
        </w:rPr>
        <w:t xml:space="preserve"> Working Paper </w:t>
      </w:r>
      <w:r w:rsidR="001F3C44" w:rsidRPr="00DB5E8D">
        <w:rPr>
          <w:bCs/>
          <w:i/>
          <w:sz w:val="22"/>
          <w:szCs w:val="22"/>
        </w:rPr>
        <w:t>#</w:t>
      </w:r>
      <w:r w:rsidRPr="00DB5E8D">
        <w:rPr>
          <w:bCs/>
          <w:i/>
          <w:sz w:val="22"/>
          <w:szCs w:val="22"/>
        </w:rPr>
        <w:t>08.</w:t>
      </w:r>
      <w:proofErr w:type="gramEnd"/>
      <w:r w:rsidRPr="00DB5E8D">
        <w:rPr>
          <w:sz w:val="22"/>
          <w:szCs w:val="22"/>
          <w:lang w:eastAsia="zh-CN"/>
        </w:rPr>
        <w:t xml:space="preserve"> Available from</w:t>
      </w:r>
      <w:r w:rsidR="00112481" w:rsidRPr="00DB5E8D">
        <w:rPr>
          <w:sz w:val="22"/>
          <w:szCs w:val="22"/>
          <w:lang w:eastAsia="zh-CN"/>
        </w:rPr>
        <w:t xml:space="preserve">: </w:t>
      </w:r>
      <w:hyperlink r:id="rId10" w:history="1">
        <w:r w:rsidRPr="00DB5E8D">
          <w:rPr>
            <w:rStyle w:val="Hyperlink"/>
            <w:color w:val="auto"/>
            <w:sz w:val="22"/>
            <w:szCs w:val="22"/>
            <w:u w:val="none"/>
            <w:lang w:eastAsia="zh-CN"/>
          </w:rPr>
          <w:t>www.econ.fea.usp.br/nereus</w:t>
        </w:r>
      </w:hyperlink>
      <w:r w:rsidR="006D157D" w:rsidRPr="00DB5E8D">
        <w:rPr>
          <w:sz w:val="22"/>
          <w:szCs w:val="22"/>
          <w:lang w:eastAsia="zh-CN"/>
        </w:rPr>
        <w:t>.</w:t>
      </w:r>
    </w:p>
    <w:p w:rsidR="003C3C21" w:rsidRPr="00DB5E8D" w:rsidRDefault="003C3C21" w:rsidP="00A93AED">
      <w:pPr>
        <w:autoSpaceDE w:val="0"/>
        <w:autoSpaceDN w:val="0"/>
        <w:adjustRightInd w:val="0"/>
        <w:ind w:left="426" w:hanging="426"/>
        <w:jc w:val="both"/>
        <w:rPr>
          <w:sz w:val="22"/>
          <w:szCs w:val="22"/>
          <w:lang w:eastAsia="zh-CN"/>
        </w:rPr>
      </w:pPr>
      <w:proofErr w:type="spellStart"/>
      <w:r w:rsidRPr="00DB5E8D">
        <w:rPr>
          <w:sz w:val="22"/>
          <w:szCs w:val="22"/>
          <w:lang w:val="es-ES" w:eastAsia="zh-CN"/>
        </w:rPr>
        <w:t>Azzoni</w:t>
      </w:r>
      <w:proofErr w:type="spellEnd"/>
      <w:r w:rsidRPr="00DB5E8D">
        <w:rPr>
          <w:sz w:val="22"/>
          <w:szCs w:val="22"/>
          <w:lang w:val="es-ES" w:eastAsia="zh-CN"/>
        </w:rPr>
        <w:t>, C.</w:t>
      </w:r>
      <w:r w:rsidR="00632D88" w:rsidRPr="00DB5E8D">
        <w:rPr>
          <w:sz w:val="22"/>
          <w:szCs w:val="22"/>
          <w:lang w:val="es-ES" w:eastAsia="zh-CN"/>
        </w:rPr>
        <w:t xml:space="preserve"> </w:t>
      </w:r>
      <w:r w:rsidRPr="00DB5E8D">
        <w:rPr>
          <w:sz w:val="22"/>
          <w:szCs w:val="22"/>
          <w:lang w:val="es-ES" w:eastAsia="zh-CN"/>
        </w:rPr>
        <w:t xml:space="preserve">R., </w:t>
      </w:r>
      <w:proofErr w:type="spellStart"/>
      <w:r w:rsidRPr="00DB5E8D">
        <w:rPr>
          <w:sz w:val="22"/>
          <w:szCs w:val="22"/>
          <w:lang w:val="es-ES" w:eastAsia="zh-CN"/>
        </w:rPr>
        <w:t>Menezes-Filho</w:t>
      </w:r>
      <w:proofErr w:type="spellEnd"/>
      <w:r w:rsidRPr="00DB5E8D">
        <w:rPr>
          <w:sz w:val="22"/>
          <w:szCs w:val="22"/>
          <w:lang w:val="es-ES" w:eastAsia="zh-CN"/>
        </w:rPr>
        <w:t xml:space="preserve">, N., </w:t>
      </w:r>
      <w:proofErr w:type="spellStart"/>
      <w:r w:rsidRPr="00DB5E8D">
        <w:rPr>
          <w:sz w:val="22"/>
          <w:szCs w:val="22"/>
          <w:lang w:val="es-ES" w:eastAsia="zh-CN"/>
        </w:rPr>
        <w:t>Menezes</w:t>
      </w:r>
      <w:proofErr w:type="spellEnd"/>
      <w:r w:rsidRPr="00DB5E8D">
        <w:rPr>
          <w:sz w:val="22"/>
          <w:szCs w:val="22"/>
          <w:lang w:val="es-ES" w:eastAsia="zh-CN"/>
        </w:rPr>
        <w:t xml:space="preserve">, T., &amp; Silveira-Neto, R. (2000). </w:t>
      </w:r>
      <w:proofErr w:type="gramStart"/>
      <w:r w:rsidRPr="00DB5E8D">
        <w:rPr>
          <w:i/>
          <w:sz w:val="22"/>
          <w:szCs w:val="22"/>
          <w:lang w:eastAsia="zh-CN"/>
        </w:rPr>
        <w:t>Geography and income convergence among Brazilian states</w:t>
      </w:r>
      <w:r w:rsidRPr="00DB5E8D">
        <w:rPr>
          <w:sz w:val="22"/>
          <w:szCs w:val="22"/>
          <w:lang w:eastAsia="zh-CN"/>
        </w:rPr>
        <w:t>.</w:t>
      </w:r>
      <w:proofErr w:type="gramEnd"/>
      <w:r w:rsidRPr="00DB5E8D">
        <w:rPr>
          <w:sz w:val="22"/>
          <w:szCs w:val="22"/>
          <w:lang w:eastAsia="zh-CN"/>
        </w:rPr>
        <w:t xml:space="preserve"> R</w:t>
      </w:r>
      <w:r w:rsidRPr="00DB5E8D">
        <w:rPr>
          <w:sz w:val="22"/>
          <w:szCs w:val="22"/>
        </w:rPr>
        <w:t xml:space="preserve">etrieved July 21, 2008 from </w:t>
      </w:r>
      <w:r w:rsidRPr="00DB5E8D">
        <w:rPr>
          <w:sz w:val="22"/>
          <w:szCs w:val="22"/>
          <w:lang w:eastAsia="zh-CN"/>
        </w:rPr>
        <w:t>Inter-American Development Bank Research Department website: http://www.iadb.org/res/pub_desc.cfm?pub_id=R-395</w:t>
      </w:r>
      <w:r w:rsidR="006D157D" w:rsidRPr="00DB5E8D">
        <w:rPr>
          <w:sz w:val="22"/>
          <w:szCs w:val="22"/>
          <w:lang w:eastAsia="zh-CN"/>
        </w:rPr>
        <w:t>.</w:t>
      </w:r>
    </w:p>
    <w:p w:rsidR="00AE73DF" w:rsidRPr="00DB5E8D" w:rsidRDefault="00AE73DF" w:rsidP="00A93AED">
      <w:pPr>
        <w:pStyle w:val="ListParagraph"/>
        <w:ind w:left="426" w:hanging="426"/>
        <w:jc w:val="both"/>
        <w:rPr>
          <w:sz w:val="22"/>
          <w:szCs w:val="22"/>
          <w:highlight w:val="yellow"/>
          <w:lang w:val="it-IT" w:eastAsia="zh-CN"/>
        </w:rPr>
      </w:pPr>
      <w:proofErr w:type="gramStart"/>
      <w:r w:rsidRPr="00DB5E8D">
        <w:rPr>
          <w:sz w:val="22"/>
          <w:szCs w:val="22"/>
          <w:lang w:val="en-US"/>
        </w:rPr>
        <w:t>Baer, W. (2008).</w:t>
      </w:r>
      <w:proofErr w:type="gramEnd"/>
      <w:r w:rsidRPr="00DB5E8D">
        <w:rPr>
          <w:sz w:val="22"/>
          <w:szCs w:val="22"/>
          <w:lang w:val="en-US"/>
        </w:rPr>
        <w:t xml:space="preserve"> </w:t>
      </w:r>
      <w:r w:rsidRPr="00DB5E8D">
        <w:rPr>
          <w:i/>
          <w:sz w:val="22"/>
          <w:szCs w:val="22"/>
          <w:lang w:val="en-US"/>
        </w:rPr>
        <w:t xml:space="preserve">The Brazilian </w:t>
      </w:r>
      <w:r w:rsidR="008F4825" w:rsidRPr="00DB5E8D">
        <w:rPr>
          <w:i/>
          <w:sz w:val="22"/>
          <w:szCs w:val="22"/>
          <w:lang w:val="en-US"/>
        </w:rPr>
        <w:t>e</w:t>
      </w:r>
      <w:r w:rsidRPr="00DB5E8D">
        <w:rPr>
          <w:i/>
          <w:sz w:val="22"/>
          <w:szCs w:val="22"/>
          <w:lang w:val="en-US"/>
        </w:rPr>
        <w:t xml:space="preserve">conomy: Growth and </w:t>
      </w:r>
      <w:r w:rsidR="008F4825" w:rsidRPr="00DB5E8D">
        <w:rPr>
          <w:i/>
          <w:sz w:val="22"/>
          <w:szCs w:val="22"/>
          <w:lang w:val="en-US"/>
        </w:rPr>
        <w:t>d</w:t>
      </w:r>
      <w:r w:rsidRPr="00DB5E8D">
        <w:rPr>
          <w:i/>
          <w:sz w:val="22"/>
          <w:szCs w:val="22"/>
          <w:lang w:val="en-US"/>
        </w:rPr>
        <w:t xml:space="preserve">evelopment </w:t>
      </w:r>
      <w:r w:rsidRPr="00DB5E8D">
        <w:rPr>
          <w:sz w:val="22"/>
          <w:szCs w:val="22"/>
          <w:lang w:val="en-US"/>
        </w:rPr>
        <w:t>(6</w:t>
      </w:r>
      <w:r w:rsidRPr="00DB5E8D">
        <w:rPr>
          <w:sz w:val="22"/>
          <w:szCs w:val="22"/>
          <w:vertAlign w:val="superscript"/>
          <w:lang w:val="en-US"/>
        </w:rPr>
        <w:t>th</w:t>
      </w:r>
      <w:r w:rsidRPr="00DB5E8D">
        <w:rPr>
          <w:sz w:val="22"/>
          <w:szCs w:val="22"/>
          <w:lang w:val="en-US"/>
        </w:rPr>
        <w:t xml:space="preserve"> Ed.). </w:t>
      </w:r>
      <w:r w:rsidRPr="00DB5E8D">
        <w:rPr>
          <w:sz w:val="22"/>
          <w:szCs w:val="22"/>
          <w:lang w:val="it-IT" w:eastAsia="zh-CN"/>
        </w:rPr>
        <w:t>Boulder, CO: Lynne Rienner.</w:t>
      </w:r>
    </w:p>
    <w:p w:rsidR="003C3C21" w:rsidRPr="00DB5E8D" w:rsidRDefault="003C3C21" w:rsidP="00A93AED">
      <w:pPr>
        <w:autoSpaceDE w:val="0"/>
        <w:autoSpaceDN w:val="0"/>
        <w:adjustRightInd w:val="0"/>
        <w:ind w:left="426" w:hanging="426"/>
        <w:jc w:val="both"/>
        <w:rPr>
          <w:sz w:val="22"/>
          <w:szCs w:val="22"/>
          <w:lang w:eastAsia="zh-CN"/>
        </w:rPr>
      </w:pPr>
      <w:r w:rsidRPr="00DB5E8D">
        <w:rPr>
          <w:sz w:val="22"/>
          <w:szCs w:val="22"/>
          <w:lang w:val="it-IT" w:eastAsia="zh-CN"/>
        </w:rPr>
        <w:t xml:space="preserve">Barossi-Filho, M., </w:t>
      </w:r>
      <w:r w:rsidR="00963975" w:rsidRPr="00DB5E8D">
        <w:rPr>
          <w:sz w:val="22"/>
          <w:szCs w:val="22"/>
          <w:lang w:val="it-IT" w:eastAsia="zh-CN"/>
        </w:rPr>
        <w:t xml:space="preserve">&amp; </w:t>
      </w:r>
      <w:r w:rsidRPr="00DB5E8D">
        <w:rPr>
          <w:sz w:val="22"/>
          <w:szCs w:val="22"/>
          <w:lang w:val="it-IT" w:eastAsia="zh-CN"/>
        </w:rPr>
        <w:t xml:space="preserve">Azzoni, C. R. (2003). </w:t>
      </w:r>
      <w:proofErr w:type="gramStart"/>
      <w:r w:rsidRPr="00DB5E8D">
        <w:rPr>
          <w:bCs/>
          <w:sz w:val="22"/>
          <w:szCs w:val="22"/>
          <w:lang w:eastAsia="zh-CN"/>
        </w:rPr>
        <w:t>A time series analysis of regional income convergence in Brazil.</w:t>
      </w:r>
      <w:proofErr w:type="gramEnd"/>
      <w:r w:rsidRPr="00DB5E8D">
        <w:rPr>
          <w:bCs/>
          <w:i/>
          <w:sz w:val="22"/>
          <w:szCs w:val="22"/>
          <w:lang w:eastAsia="zh-CN"/>
        </w:rPr>
        <w:t xml:space="preserve"> </w:t>
      </w:r>
      <w:proofErr w:type="spellStart"/>
      <w:proofErr w:type="gramStart"/>
      <w:r w:rsidRPr="00DB5E8D">
        <w:rPr>
          <w:bCs/>
          <w:i/>
          <w:sz w:val="22"/>
          <w:szCs w:val="22"/>
          <w:lang w:eastAsia="zh-CN"/>
        </w:rPr>
        <w:t>Nereus</w:t>
      </w:r>
      <w:proofErr w:type="spellEnd"/>
      <w:r w:rsidR="001F3C44" w:rsidRPr="00DB5E8D">
        <w:rPr>
          <w:bCs/>
          <w:i/>
          <w:sz w:val="22"/>
          <w:szCs w:val="22"/>
          <w:lang w:eastAsia="zh-CN"/>
        </w:rPr>
        <w:t xml:space="preserve"> </w:t>
      </w:r>
      <w:r w:rsidR="001F3C44" w:rsidRPr="00DB5E8D">
        <w:rPr>
          <w:bCs/>
          <w:i/>
          <w:sz w:val="22"/>
          <w:szCs w:val="22"/>
        </w:rPr>
        <w:t>Working Paper #</w:t>
      </w:r>
      <w:r w:rsidRPr="00DB5E8D">
        <w:rPr>
          <w:bCs/>
          <w:i/>
          <w:sz w:val="22"/>
          <w:szCs w:val="22"/>
          <w:lang w:eastAsia="zh-CN"/>
        </w:rPr>
        <w:t>09.</w:t>
      </w:r>
      <w:proofErr w:type="gramEnd"/>
      <w:r w:rsidRPr="00DB5E8D">
        <w:rPr>
          <w:bCs/>
          <w:sz w:val="22"/>
          <w:szCs w:val="22"/>
          <w:lang w:eastAsia="zh-CN"/>
        </w:rPr>
        <w:t xml:space="preserve"> </w:t>
      </w:r>
      <w:r w:rsidRPr="00DB5E8D">
        <w:rPr>
          <w:sz w:val="22"/>
          <w:szCs w:val="22"/>
          <w:lang w:eastAsia="zh-CN"/>
        </w:rPr>
        <w:t>Available from</w:t>
      </w:r>
      <w:r w:rsidR="001F3C44" w:rsidRPr="00DB5E8D">
        <w:rPr>
          <w:sz w:val="22"/>
          <w:szCs w:val="22"/>
          <w:lang w:eastAsia="zh-CN"/>
        </w:rPr>
        <w:t xml:space="preserve">: </w:t>
      </w:r>
      <w:hyperlink r:id="rId11" w:history="1">
        <w:r w:rsidRPr="00DB5E8D">
          <w:rPr>
            <w:rStyle w:val="Hyperlink"/>
            <w:color w:val="auto"/>
            <w:sz w:val="22"/>
            <w:szCs w:val="22"/>
            <w:u w:val="none"/>
            <w:lang w:eastAsia="zh-CN"/>
          </w:rPr>
          <w:t>www.econ.fea.usp.br/nereus</w:t>
        </w:r>
      </w:hyperlink>
      <w:r w:rsidR="006D157D" w:rsidRPr="00DB5E8D">
        <w:rPr>
          <w:sz w:val="22"/>
          <w:szCs w:val="22"/>
          <w:lang w:eastAsia="zh-CN"/>
        </w:rPr>
        <w:t>.</w:t>
      </w:r>
    </w:p>
    <w:p w:rsidR="00D73772" w:rsidRPr="00DB5E8D" w:rsidRDefault="00D73772" w:rsidP="00A93AED">
      <w:pPr>
        <w:autoSpaceDE w:val="0"/>
        <w:autoSpaceDN w:val="0"/>
        <w:adjustRightInd w:val="0"/>
        <w:ind w:left="426" w:hanging="426"/>
        <w:jc w:val="both"/>
        <w:rPr>
          <w:sz w:val="22"/>
          <w:szCs w:val="22"/>
          <w:lang w:eastAsia="zh-CN"/>
        </w:rPr>
      </w:pPr>
      <w:r w:rsidRPr="00DB5E8D">
        <w:rPr>
          <w:sz w:val="22"/>
          <w:szCs w:val="22"/>
          <w:lang w:val="it-IT"/>
        </w:rPr>
        <w:t>Barro,</w:t>
      </w:r>
      <w:r w:rsidR="00BA6DF0" w:rsidRPr="00DB5E8D">
        <w:rPr>
          <w:sz w:val="22"/>
          <w:szCs w:val="22"/>
          <w:lang w:val="it-IT"/>
        </w:rPr>
        <w:t xml:space="preserve"> R. J., &amp; </w:t>
      </w:r>
      <w:r w:rsidRPr="00DB5E8D">
        <w:rPr>
          <w:sz w:val="22"/>
          <w:szCs w:val="22"/>
          <w:lang w:val="it-IT"/>
        </w:rPr>
        <w:t>Sala-i-Martin</w:t>
      </w:r>
      <w:r w:rsidR="00BA6DF0" w:rsidRPr="00DB5E8D">
        <w:rPr>
          <w:sz w:val="22"/>
          <w:szCs w:val="22"/>
          <w:lang w:val="it-IT"/>
        </w:rPr>
        <w:t>, X</w:t>
      </w:r>
      <w:r w:rsidRPr="00DB5E8D">
        <w:rPr>
          <w:sz w:val="22"/>
          <w:szCs w:val="22"/>
          <w:lang w:val="it-IT"/>
        </w:rPr>
        <w:t>.</w:t>
      </w:r>
      <w:r w:rsidR="00BA6DF0" w:rsidRPr="00DB5E8D">
        <w:rPr>
          <w:sz w:val="22"/>
          <w:szCs w:val="22"/>
          <w:lang w:val="it-IT"/>
        </w:rPr>
        <w:t xml:space="preserve"> (2004). </w:t>
      </w:r>
      <w:proofErr w:type="gramStart"/>
      <w:r w:rsidR="00BA6DF0" w:rsidRPr="00DB5E8D">
        <w:rPr>
          <w:i/>
          <w:sz w:val="22"/>
          <w:szCs w:val="22"/>
        </w:rPr>
        <w:t>Economic growth</w:t>
      </w:r>
      <w:r w:rsidR="00BA6DF0" w:rsidRPr="00DB5E8D">
        <w:rPr>
          <w:sz w:val="22"/>
          <w:szCs w:val="22"/>
        </w:rPr>
        <w:t>.</w:t>
      </w:r>
      <w:proofErr w:type="gramEnd"/>
      <w:r w:rsidR="00BA6DF0" w:rsidRPr="00DB5E8D">
        <w:rPr>
          <w:sz w:val="22"/>
          <w:szCs w:val="22"/>
        </w:rPr>
        <w:t xml:space="preserve"> Cambridge, MA: MIT Press.</w:t>
      </w:r>
    </w:p>
    <w:p w:rsidR="003C3C21" w:rsidRPr="00DB5E8D" w:rsidRDefault="003C3C21" w:rsidP="00A93AED">
      <w:pPr>
        <w:autoSpaceDE w:val="0"/>
        <w:autoSpaceDN w:val="0"/>
        <w:adjustRightInd w:val="0"/>
        <w:ind w:left="426" w:hanging="426"/>
        <w:jc w:val="both"/>
        <w:rPr>
          <w:color w:val="333333"/>
          <w:sz w:val="22"/>
          <w:szCs w:val="22"/>
          <w:lang w:val="es-ES"/>
        </w:rPr>
      </w:pPr>
      <w:r w:rsidRPr="00DB5E8D">
        <w:rPr>
          <w:sz w:val="22"/>
          <w:szCs w:val="22"/>
          <w:lang w:val="de-DE" w:eastAsia="zh-CN"/>
        </w:rPr>
        <w:t xml:space="preserve">Brauch, M. D., &amp; Monasterio, L. M. (2007). </w:t>
      </w:r>
      <w:r w:rsidRPr="00DB5E8D">
        <w:rPr>
          <w:bCs/>
          <w:i/>
          <w:sz w:val="22"/>
          <w:szCs w:val="22"/>
          <w:lang w:eastAsia="zh-CN"/>
        </w:rPr>
        <w:t>Spatial dynamics of economic growth in Brazil (1970-2000):</w:t>
      </w:r>
      <w:r w:rsidR="0025406A" w:rsidRPr="00DB5E8D">
        <w:rPr>
          <w:bCs/>
          <w:i/>
          <w:sz w:val="22"/>
          <w:szCs w:val="22"/>
          <w:lang w:eastAsia="zh-CN"/>
        </w:rPr>
        <w:t xml:space="preserve"> </w:t>
      </w:r>
      <w:r w:rsidRPr="00DB5E8D">
        <w:rPr>
          <w:bCs/>
          <w:i/>
          <w:sz w:val="22"/>
          <w:szCs w:val="22"/>
          <w:lang w:eastAsia="zh-CN"/>
        </w:rPr>
        <w:t xml:space="preserve">An empirical approach. </w:t>
      </w:r>
      <w:proofErr w:type="spellStart"/>
      <w:r w:rsidRPr="00DB5E8D">
        <w:rPr>
          <w:sz w:val="22"/>
          <w:szCs w:val="22"/>
          <w:lang w:val="es-ES" w:eastAsia="zh-CN"/>
        </w:rPr>
        <w:t>Available</w:t>
      </w:r>
      <w:proofErr w:type="spellEnd"/>
      <w:r w:rsidRPr="00DB5E8D">
        <w:rPr>
          <w:sz w:val="22"/>
          <w:szCs w:val="22"/>
          <w:lang w:val="es-ES" w:eastAsia="zh-CN"/>
        </w:rPr>
        <w:t xml:space="preserve"> </w:t>
      </w:r>
      <w:proofErr w:type="spellStart"/>
      <w:r w:rsidRPr="00DB5E8D">
        <w:rPr>
          <w:sz w:val="22"/>
          <w:szCs w:val="22"/>
          <w:lang w:val="es-ES" w:eastAsia="zh-CN"/>
        </w:rPr>
        <w:t>from</w:t>
      </w:r>
      <w:proofErr w:type="spellEnd"/>
      <w:r w:rsidR="001F3C44" w:rsidRPr="00DB5E8D">
        <w:rPr>
          <w:sz w:val="22"/>
          <w:szCs w:val="22"/>
          <w:lang w:val="es-ES" w:eastAsia="zh-CN"/>
        </w:rPr>
        <w:t xml:space="preserve">: </w:t>
      </w:r>
      <w:r w:rsidRPr="00DB5E8D">
        <w:rPr>
          <w:sz w:val="22"/>
          <w:szCs w:val="22"/>
          <w:lang w:val="es-ES" w:eastAsia="zh-CN"/>
        </w:rPr>
        <w:t>http://www.nemesis.org.br/</w:t>
      </w:r>
    </w:p>
    <w:p w:rsidR="003C3C21" w:rsidRPr="00DB5E8D" w:rsidRDefault="003C3C21" w:rsidP="00A93AED">
      <w:pPr>
        <w:pStyle w:val="ListParagraph"/>
        <w:ind w:left="426" w:hanging="426"/>
        <w:jc w:val="both"/>
        <w:rPr>
          <w:sz w:val="22"/>
          <w:szCs w:val="22"/>
          <w:highlight w:val="yellow"/>
          <w:lang w:eastAsia="zh-CN"/>
        </w:rPr>
      </w:pPr>
      <w:r w:rsidRPr="00DB5E8D">
        <w:rPr>
          <w:sz w:val="22"/>
          <w:szCs w:val="22"/>
          <w:lang w:val="es-ES" w:eastAsia="zh-CN"/>
        </w:rPr>
        <w:t xml:space="preserve">Coelho, R. L. P., &amp; </w:t>
      </w:r>
      <w:proofErr w:type="spellStart"/>
      <w:r w:rsidRPr="00DB5E8D">
        <w:rPr>
          <w:sz w:val="22"/>
          <w:szCs w:val="22"/>
          <w:lang w:val="es-ES" w:eastAsia="zh-CN"/>
        </w:rPr>
        <w:t>Figueiredo</w:t>
      </w:r>
      <w:proofErr w:type="spellEnd"/>
      <w:r w:rsidRPr="00DB5E8D">
        <w:rPr>
          <w:sz w:val="22"/>
          <w:szCs w:val="22"/>
          <w:lang w:val="es-ES" w:eastAsia="zh-CN"/>
        </w:rPr>
        <w:t xml:space="preserve">, L. (2007). </w:t>
      </w:r>
      <w:proofErr w:type="spellStart"/>
      <w:r w:rsidRPr="00DB5E8D">
        <w:rPr>
          <w:bCs/>
          <w:sz w:val="22"/>
          <w:szCs w:val="22"/>
          <w:lang w:val="es-ES" w:eastAsia="zh-CN"/>
        </w:rPr>
        <w:t>Uma</w:t>
      </w:r>
      <w:proofErr w:type="spellEnd"/>
      <w:r w:rsidRPr="00DB5E8D">
        <w:rPr>
          <w:bCs/>
          <w:sz w:val="22"/>
          <w:szCs w:val="22"/>
          <w:lang w:val="es-ES" w:eastAsia="zh-CN"/>
        </w:rPr>
        <w:t xml:space="preserve"> </w:t>
      </w:r>
      <w:proofErr w:type="spellStart"/>
      <w:r w:rsidRPr="00DB5E8D">
        <w:rPr>
          <w:bCs/>
          <w:sz w:val="22"/>
          <w:szCs w:val="22"/>
          <w:lang w:val="es-ES" w:eastAsia="zh-CN"/>
        </w:rPr>
        <w:t>análise</w:t>
      </w:r>
      <w:proofErr w:type="spellEnd"/>
      <w:r w:rsidRPr="00DB5E8D">
        <w:rPr>
          <w:bCs/>
          <w:sz w:val="22"/>
          <w:szCs w:val="22"/>
          <w:lang w:val="es-ES" w:eastAsia="zh-CN"/>
        </w:rPr>
        <w:t xml:space="preserve"> da </w:t>
      </w:r>
      <w:proofErr w:type="spellStart"/>
      <w:r w:rsidRPr="00DB5E8D">
        <w:rPr>
          <w:bCs/>
          <w:sz w:val="22"/>
          <w:szCs w:val="22"/>
          <w:lang w:val="es-ES" w:eastAsia="zh-CN"/>
        </w:rPr>
        <w:t>hipótese</w:t>
      </w:r>
      <w:proofErr w:type="spellEnd"/>
      <w:r w:rsidRPr="00DB5E8D">
        <w:rPr>
          <w:bCs/>
          <w:sz w:val="22"/>
          <w:szCs w:val="22"/>
          <w:lang w:val="es-ES" w:eastAsia="zh-CN"/>
        </w:rPr>
        <w:t xml:space="preserve"> da </w:t>
      </w:r>
      <w:proofErr w:type="spellStart"/>
      <w:r w:rsidRPr="00DB5E8D">
        <w:rPr>
          <w:bCs/>
          <w:sz w:val="22"/>
          <w:szCs w:val="22"/>
          <w:lang w:val="es-ES" w:eastAsia="zh-CN"/>
        </w:rPr>
        <w:t>convergência</w:t>
      </w:r>
      <w:proofErr w:type="spellEnd"/>
      <w:r w:rsidRPr="00DB5E8D">
        <w:rPr>
          <w:bCs/>
          <w:sz w:val="22"/>
          <w:szCs w:val="22"/>
          <w:lang w:val="es-ES" w:eastAsia="zh-CN"/>
        </w:rPr>
        <w:t xml:space="preserve"> para os </w:t>
      </w:r>
      <w:proofErr w:type="spellStart"/>
      <w:r w:rsidRPr="00DB5E8D">
        <w:rPr>
          <w:bCs/>
          <w:sz w:val="22"/>
          <w:szCs w:val="22"/>
          <w:lang w:val="es-ES" w:eastAsia="zh-CN"/>
        </w:rPr>
        <w:t>municípios</w:t>
      </w:r>
      <w:proofErr w:type="spellEnd"/>
      <w:r w:rsidRPr="00DB5E8D">
        <w:rPr>
          <w:bCs/>
          <w:sz w:val="22"/>
          <w:szCs w:val="22"/>
          <w:lang w:val="es-ES" w:eastAsia="zh-CN"/>
        </w:rPr>
        <w:t xml:space="preserve"> Brasileiros</w:t>
      </w:r>
      <w:r w:rsidR="001F3C44" w:rsidRPr="00DB5E8D">
        <w:rPr>
          <w:bCs/>
          <w:sz w:val="22"/>
          <w:szCs w:val="22"/>
          <w:lang w:val="es-ES" w:eastAsia="zh-CN"/>
        </w:rPr>
        <w:t>.</w:t>
      </w:r>
      <w:r w:rsidRPr="00DB5E8D">
        <w:rPr>
          <w:bCs/>
          <w:sz w:val="22"/>
          <w:szCs w:val="22"/>
          <w:lang w:val="es-ES" w:eastAsia="zh-CN"/>
        </w:rPr>
        <w:t xml:space="preserve"> </w:t>
      </w:r>
      <w:proofErr w:type="spellStart"/>
      <w:r w:rsidRPr="00DB5E8D">
        <w:rPr>
          <w:i/>
          <w:iCs/>
          <w:sz w:val="22"/>
          <w:szCs w:val="22"/>
        </w:rPr>
        <w:t>Revista</w:t>
      </w:r>
      <w:proofErr w:type="spellEnd"/>
      <w:r w:rsidRPr="00DB5E8D">
        <w:rPr>
          <w:i/>
          <w:iCs/>
          <w:sz w:val="22"/>
          <w:szCs w:val="22"/>
        </w:rPr>
        <w:t xml:space="preserve"> </w:t>
      </w:r>
      <w:proofErr w:type="spellStart"/>
      <w:r w:rsidRPr="00DB5E8D">
        <w:rPr>
          <w:i/>
          <w:iCs/>
          <w:sz w:val="22"/>
          <w:szCs w:val="22"/>
        </w:rPr>
        <w:t>Brasileira</w:t>
      </w:r>
      <w:proofErr w:type="spellEnd"/>
      <w:r w:rsidRPr="00DB5E8D">
        <w:rPr>
          <w:i/>
          <w:iCs/>
          <w:sz w:val="22"/>
          <w:szCs w:val="22"/>
        </w:rPr>
        <w:t xml:space="preserve"> de </w:t>
      </w:r>
      <w:proofErr w:type="spellStart"/>
      <w:r w:rsidRPr="00DB5E8D">
        <w:rPr>
          <w:i/>
          <w:iCs/>
          <w:sz w:val="22"/>
          <w:szCs w:val="22"/>
        </w:rPr>
        <w:t>Economia</w:t>
      </w:r>
      <w:proofErr w:type="spellEnd"/>
      <w:r w:rsidRPr="00DB5E8D">
        <w:rPr>
          <w:i/>
          <w:iCs/>
          <w:sz w:val="22"/>
          <w:szCs w:val="22"/>
        </w:rPr>
        <w:t xml:space="preserve">, </w:t>
      </w:r>
      <w:r w:rsidRPr="00DB5E8D">
        <w:rPr>
          <w:i/>
          <w:sz w:val="22"/>
          <w:szCs w:val="22"/>
        </w:rPr>
        <w:t>61</w:t>
      </w:r>
      <w:r w:rsidRPr="00DB5E8D">
        <w:rPr>
          <w:sz w:val="22"/>
          <w:szCs w:val="22"/>
        </w:rPr>
        <w:t>(3), 331-352.</w:t>
      </w:r>
    </w:p>
    <w:p w:rsidR="00F26BF2" w:rsidRPr="00DB5E8D" w:rsidRDefault="00F26BF2" w:rsidP="00A93AED">
      <w:pPr>
        <w:pStyle w:val="ListParagraph"/>
        <w:ind w:left="426" w:hanging="426"/>
        <w:jc w:val="both"/>
        <w:rPr>
          <w:sz w:val="22"/>
          <w:szCs w:val="22"/>
          <w:lang w:val="en-US"/>
        </w:rPr>
      </w:pPr>
      <w:proofErr w:type="spellStart"/>
      <w:r w:rsidRPr="00DB5E8D">
        <w:rPr>
          <w:sz w:val="22"/>
          <w:szCs w:val="22"/>
          <w:lang w:eastAsia="zh-CN"/>
        </w:rPr>
        <w:t>Combes</w:t>
      </w:r>
      <w:proofErr w:type="spellEnd"/>
      <w:r w:rsidRPr="00DB5E8D">
        <w:rPr>
          <w:sz w:val="22"/>
          <w:szCs w:val="22"/>
          <w:lang w:eastAsia="zh-CN"/>
        </w:rPr>
        <w:t xml:space="preserve">, P. P. (2000). Economic </w:t>
      </w:r>
      <w:r w:rsidR="006D157D" w:rsidRPr="00DB5E8D">
        <w:rPr>
          <w:sz w:val="22"/>
          <w:szCs w:val="22"/>
          <w:lang w:eastAsia="zh-CN"/>
        </w:rPr>
        <w:t>s</w:t>
      </w:r>
      <w:r w:rsidRPr="00DB5E8D">
        <w:rPr>
          <w:sz w:val="22"/>
          <w:szCs w:val="22"/>
          <w:lang w:eastAsia="zh-CN"/>
        </w:rPr>
        <w:t xml:space="preserve">tructure and </w:t>
      </w:r>
      <w:r w:rsidR="006D157D" w:rsidRPr="00DB5E8D">
        <w:rPr>
          <w:sz w:val="22"/>
          <w:szCs w:val="22"/>
          <w:lang w:eastAsia="zh-CN"/>
        </w:rPr>
        <w:t>l</w:t>
      </w:r>
      <w:r w:rsidRPr="00DB5E8D">
        <w:rPr>
          <w:sz w:val="22"/>
          <w:szCs w:val="22"/>
          <w:lang w:eastAsia="zh-CN"/>
        </w:rPr>
        <w:t xml:space="preserve">ocal </w:t>
      </w:r>
      <w:r w:rsidR="006D157D" w:rsidRPr="00DB5E8D">
        <w:rPr>
          <w:sz w:val="22"/>
          <w:szCs w:val="22"/>
          <w:lang w:eastAsia="zh-CN"/>
        </w:rPr>
        <w:t>g</w:t>
      </w:r>
      <w:r w:rsidRPr="00DB5E8D">
        <w:rPr>
          <w:sz w:val="22"/>
          <w:szCs w:val="22"/>
          <w:lang w:eastAsia="zh-CN"/>
        </w:rPr>
        <w:t xml:space="preserve">rowth: France, 1984–1993. </w:t>
      </w:r>
      <w:r w:rsidRPr="00DB5E8D">
        <w:rPr>
          <w:i/>
          <w:sz w:val="22"/>
          <w:szCs w:val="22"/>
          <w:lang w:eastAsia="zh-CN"/>
        </w:rPr>
        <w:t xml:space="preserve">Journal of Urban Economics, </w:t>
      </w:r>
      <w:r w:rsidRPr="00DB5E8D">
        <w:rPr>
          <w:bCs/>
          <w:i/>
          <w:sz w:val="22"/>
          <w:szCs w:val="22"/>
          <w:lang w:eastAsia="zh-CN"/>
        </w:rPr>
        <w:t>47</w:t>
      </w:r>
      <w:r w:rsidRPr="00DB5E8D">
        <w:rPr>
          <w:bCs/>
          <w:sz w:val="22"/>
          <w:szCs w:val="22"/>
          <w:lang w:eastAsia="zh-CN"/>
        </w:rPr>
        <w:t>,</w:t>
      </w:r>
      <w:r w:rsidRPr="00DB5E8D">
        <w:rPr>
          <w:b/>
          <w:bCs/>
          <w:sz w:val="22"/>
          <w:szCs w:val="22"/>
          <w:lang w:eastAsia="zh-CN"/>
        </w:rPr>
        <w:t xml:space="preserve"> </w:t>
      </w:r>
      <w:r w:rsidRPr="00DB5E8D">
        <w:rPr>
          <w:sz w:val="22"/>
          <w:szCs w:val="22"/>
          <w:lang w:eastAsia="zh-CN"/>
        </w:rPr>
        <w:t xml:space="preserve">329-355. </w:t>
      </w:r>
    </w:p>
    <w:p w:rsidR="00AA2521" w:rsidRPr="00DB5E8D" w:rsidRDefault="001F3C44" w:rsidP="00A93AED">
      <w:pPr>
        <w:ind w:left="426" w:hanging="426"/>
        <w:jc w:val="both"/>
        <w:rPr>
          <w:sz w:val="22"/>
          <w:szCs w:val="22"/>
          <w:lang w:val="en-US"/>
        </w:rPr>
      </w:pPr>
      <w:r w:rsidRPr="00DB5E8D">
        <w:rPr>
          <w:sz w:val="22"/>
          <w:szCs w:val="22"/>
          <w:lang w:val="en-US"/>
        </w:rPr>
        <w:t xml:space="preserve">CORECON - </w:t>
      </w:r>
      <w:proofErr w:type="spellStart"/>
      <w:r w:rsidR="00CA30E8" w:rsidRPr="00DB5E8D">
        <w:rPr>
          <w:sz w:val="22"/>
          <w:szCs w:val="22"/>
          <w:lang w:val="en-US"/>
        </w:rPr>
        <w:t>Conselho</w:t>
      </w:r>
      <w:proofErr w:type="spellEnd"/>
      <w:r w:rsidR="00CA30E8" w:rsidRPr="00DB5E8D">
        <w:rPr>
          <w:sz w:val="22"/>
          <w:szCs w:val="22"/>
          <w:lang w:val="en-US"/>
        </w:rPr>
        <w:t xml:space="preserve"> Regional de </w:t>
      </w:r>
      <w:proofErr w:type="spellStart"/>
      <w:r w:rsidR="00CA30E8" w:rsidRPr="00DB5E8D">
        <w:rPr>
          <w:sz w:val="22"/>
          <w:szCs w:val="22"/>
          <w:lang w:val="en-US"/>
        </w:rPr>
        <w:t>Economia</w:t>
      </w:r>
      <w:proofErr w:type="spellEnd"/>
      <w:r w:rsidR="00CA30E8" w:rsidRPr="00DB5E8D">
        <w:rPr>
          <w:sz w:val="22"/>
          <w:szCs w:val="22"/>
          <w:lang w:val="en-US"/>
        </w:rPr>
        <w:t xml:space="preserve"> de S</w:t>
      </w:r>
      <w:r w:rsidR="00D26F43" w:rsidRPr="00DB5E8D">
        <w:rPr>
          <w:sz w:val="22"/>
          <w:szCs w:val="22"/>
          <w:lang w:val="en-GB"/>
        </w:rPr>
        <w:t>ã</w:t>
      </w:r>
      <w:r w:rsidR="00D26F43" w:rsidRPr="00DB5E8D">
        <w:rPr>
          <w:sz w:val="22"/>
          <w:szCs w:val="22"/>
          <w:lang w:eastAsia="zh-CN"/>
        </w:rPr>
        <w:t>o</w:t>
      </w:r>
      <w:r w:rsidR="00CA30E8" w:rsidRPr="00DB5E8D">
        <w:rPr>
          <w:sz w:val="22"/>
          <w:szCs w:val="22"/>
          <w:lang w:val="en-US"/>
        </w:rPr>
        <w:t xml:space="preserve"> Paulo</w:t>
      </w:r>
      <w:r w:rsidR="003A3D1F" w:rsidRPr="00DB5E8D">
        <w:rPr>
          <w:sz w:val="22"/>
          <w:szCs w:val="22"/>
          <w:lang w:val="en-US"/>
        </w:rPr>
        <w:t xml:space="preserve"> (or, </w:t>
      </w:r>
      <w:r w:rsidR="003A34AF" w:rsidRPr="00DB5E8D">
        <w:rPr>
          <w:sz w:val="22"/>
          <w:szCs w:val="22"/>
          <w:lang w:val="en-US"/>
        </w:rPr>
        <w:t>S</w:t>
      </w:r>
      <w:r w:rsidR="003A34AF" w:rsidRPr="00DB5E8D">
        <w:rPr>
          <w:sz w:val="22"/>
          <w:szCs w:val="22"/>
          <w:lang w:val="en-GB"/>
        </w:rPr>
        <w:t>ã</w:t>
      </w:r>
      <w:r w:rsidR="003A34AF" w:rsidRPr="00DB5E8D">
        <w:rPr>
          <w:sz w:val="22"/>
          <w:szCs w:val="22"/>
          <w:lang w:eastAsia="zh-CN"/>
        </w:rPr>
        <w:t>o</w:t>
      </w:r>
      <w:r w:rsidR="003A34AF" w:rsidRPr="00DB5E8D">
        <w:rPr>
          <w:sz w:val="22"/>
          <w:szCs w:val="22"/>
          <w:lang w:val="en-US"/>
        </w:rPr>
        <w:t xml:space="preserve"> Paulo’s </w:t>
      </w:r>
      <w:r w:rsidR="003A3D1F" w:rsidRPr="00DB5E8D">
        <w:rPr>
          <w:sz w:val="22"/>
          <w:szCs w:val="22"/>
          <w:lang w:val="en-US"/>
        </w:rPr>
        <w:t xml:space="preserve">Regional Council of </w:t>
      </w:r>
      <w:r w:rsidR="003A34AF" w:rsidRPr="00DB5E8D">
        <w:rPr>
          <w:sz w:val="22"/>
          <w:szCs w:val="22"/>
          <w:lang w:val="en-US"/>
        </w:rPr>
        <w:t>Economics</w:t>
      </w:r>
      <w:r w:rsidR="003A3D1F" w:rsidRPr="00DB5E8D">
        <w:rPr>
          <w:sz w:val="22"/>
          <w:szCs w:val="22"/>
          <w:lang w:val="en-US"/>
        </w:rPr>
        <w:t>)</w:t>
      </w:r>
      <w:r w:rsidRPr="00DB5E8D">
        <w:rPr>
          <w:sz w:val="22"/>
          <w:szCs w:val="22"/>
          <w:lang w:val="en-US"/>
        </w:rPr>
        <w:t xml:space="preserve">: </w:t>
      </w:r>
    </w:p>
    <w:p w:rsidR="00CA30E8" w:rsidRPr="00DB5E8D" w:rsidRDefault="004F51D3" w:rsidP="00A93AED">
      <w:pPr>
        <w:ind w:left="426" w:hanging="426"/>
        <w:jc w:val="both"/>
        <w:rPr>
          <w:sz w:val="22"/>
          <w:szCs w:val="22"/>
          <w:highlight w:val="yellow"/>
          <w:lang w:val="en-US"/>
        </w:rPr>
      </w:pPr>
      <w:r w:rsidRPr="00DB5E8D">
        <w:rPr>
          <w:sz w:val="22"/>
          <w:szCs w:val="22"/>
          <w:lang w:val="en-US"/>
        </w:rPr>
        <w:t>h</w:t>
      </w:r>
      <w:r w:rsidR="00CA30E8" w:rsidRPr="00DB5E8D">
        <w:rPr>
          <w:sz w:val="22"/>
          <w:szCs w:val="22"/>
          <w:lang w:val="en-US"/>
        </w:rPr>
        <w:t>ttp://www.coreconsp.org.br/indicadores/dip/planos_economicos.html</w:t>
      </w:r>
      <w:r w:rsidR="006D157D" w:rsidRPr="00DB5E8D">
        <w:rPr>
          <w:sz w:val="22"/>
          <w:szCs w:val="22"/>
          <w:lang w:val="en-US"/>
        </w:rPr>
        <w:t>.</w:t>
      </w:r>
    </w:p>
    <w:p w:rsidR="00C33F6B" w:rsidRPr="00DB5E8D" w:rsidRDefault="00C33F6B" w:rsidP="00A93AED">
      <w:pPr>
        <w:pStyle w:val="ListParagraph"/>
        <w:ind w:left="426" w:hanging="426"/>
        <w:jc w:val="both"/>
        <w:rPr>
          <w:sz w:val="22"/>
          <w:szCs w:val="22"/>
        </w:rPr>
      </w:pPr>
      <w:proofErr w:type="spellStart"/>
      <w:proofErr w:type="gramStart"/>
      <w:r w:rsidRPr="00DB5E8D">
        <w:rPr>
          <w:sz w:val="22"/>
          <w:szCs w:val="22"/>
          <w:lang w:eastAsia="zh-CN"/>
        </w:rPr>
        <w:t>Daumal</w:t>
      </w:r>
      <w:proofErr w:type="spellEnd"/>
      <w:r w:rsidRPr="00DB5E8D">
        <w:rPr>
          <w:sz w:val="22"/>
          <w:szCs w:val="22"/>
          <w:lang w:eastAsia="zh-CN"/>
        </w:rPr>
        <w:t xml:space="preserve">, M., &amp; </w:t>
      </w:r>
      <w:proofErr w:type="spellStart"/>
      <w:r w:rsidRPr="00DB5E8D">
        <w:rPr>
          <w:sz w:val="22"/>
          <w:szCs w:val="22"/>
          <w:lang w:eastAsia="zh-CN"/>
        </w:rPr>
        <w:t>Zignago</w:t>
      </w:r>
      <w:proofErr w:type="spellEnd"/>
      <w:r w:rsidRPr="00DB5E8D">
        <w:rPr>
          <w:sz w:val="22"/>
          <w:szCs w:val="22"/>
          <w:lang w:eastAsia="zh-CN"/>
        </w:rPr>
        <w:t>, S. (2010).</w:t>
      </w:r>
      <w:proofErr w:type="gramEnd"/>
      <w:r w:rsidRPr="00DB5E8D">
        <w:rPr>
          <w:sz w:val="22"/>
          <w:szCs w:val="22"/>
          <w:lang w:eastAsia="zh-CN"/>
        </w:rPr>
        <w:t xml:space="preserve"> </w:t>
      </w:r>
      <w:proofErr w:type="gramStart"/>
      <w:r w:rsidRPr="00DB5E8D">
        <w:rPr>
          <w:sz w:val="22"/>
          <w:szCs w:val="22"/>
          <w:lang w:eastAsia="zh-CN"/>
        </w:rPr>
        <w:t>Measure and determinants of border effects of Brazilian states.</w:t>
      </w:r>
      <w:proofErr w:type="gramEnd"/>
      <w:r w:rsidRPr="00DB5E8D">
        <w:rPr>
          <w:sz w:val="22"/>
          <w:szCs w:val="22"/>
          <w:lang w:eastAsia="zh-CN"/>
        </w:rPr>
        <w:t xml:space="preserve"> </w:t>
      </w:r>
      <w:proofErr w:type="gramStart"/>
      <w:r w:rsidRPr="00DB5E8D">
        <w:rPr>
          <w:i/>
          <w:iCs/>
          <w:sz w:val="22"/>
          <w:szCs w:val="22"/>
          <w:lang w:eastAsia="zh-CN"/>
        </w:rPr>
        <w:t>Papers in Regional Science</w:t>
      </w:r>
      <w:r w:rsidRPr="00DB5E8D">
        <w:rPr>
          <w:sz w:val="22"/>
          <w:szCs w:val="22"/>
          <w:lang w:eastAsia="zh-CN"/>
        </w:rPr>
        <w:t xml:space="preserve">, </w:t>
      </w:r>
      <w:r w:rsidRPr="00DB5E8D">
        <w:rPr>
          <w:i/>
          <w:iCs/>
          <w:sz w:val="22"/>
          <w:szCs w:val="22"/>
          <w:lang w:eastAsia="zh-CN"/>
        </w:rPr>
        <w:t>89</w:t>
      </w:r>
      <w:r w:rsidRPr="00DB5E8D">
        <w:rPr>
          <w:sz w:val="22"/>
          <w:szCs w:val="22"/>
          <w:lang w:eastAsia="zh-CN"/>
        </w:rPr>
        <w:t>(4).</w:t>
      </w:r>
      <w:proofErr w:type="gramEnd"/>
      <w:r w:rsidRPr="00DB5E8D">
        <w:rPr>
          <w:sz w:val="22"/>
          <w:szCs w:val="22"/>
          <w:lang w:eastAsia="zh-CN"/>
        </w:rPr>
        <w:t xml:space="preserve"> doi:10.1111/j.1435-5957.2009.00265.x</w:t>
      </w:r>
    </w:p>
    <w:p w:rsidR="009C1C8B" w:rsidRPr="00DB5E8D" w:rsidRDefault="009C1C8B" w:rsidP="00A93AED">
      <w:pPr>
        <w:pStyle w:val="ListParagraph"/>
        <w:ind w:left="426" w:hanging="426"/>
        <w:jc w:val="both"/>
        <w:rPr>
          <w:sz w:val="22"/>
          <w:szCs w:val="22"/>
        </w:rPr>
      </w:pPr>
      <w:r w:rsidRPr="00DB5E8D">
        <w:rPr>
          <w:sz w:val="22"/>
          <w:szCs w:val="22"/>
        </w:rPr>
        <w:t xml:space="preserve">De </w:t>
      </w:r>
      <w:proofErr w:type="spellStart"/>
      <w:r w:rsidRPr="00DB5E8D">
        <w:rPr>
          <w:sz w:val="22"/>
          <w:szCs w:val="22"/>
        </w:rPr>
        <w:t>Groot</w:t>
      </w:r>
      <w:proofErr w:type="spellEnd"/>
      <w:r w:rsidRPr="00DB5E8D">
        <w:rPr>
          <w:sz w:val="22"/>
          <w:szCs w:val="22"/>
        </w:rPr>
        <w:t>, H. L. F.</w:t>
      </w:r>
      <w:r w:rsidRPr="00DB5E8D">
        <w:rPr>
          <w:sz w:val="22"/>
          <w:szCs w:val="22"/>
          <w:lang w:val="en-US"/>
        </w:rPr>
        <w:t xml:space="preserve">, </w:t>
      </w:r>
      <w:proofErr w:type="spellStart"/>
      <w:r w:rsidRPr="00DB5E8D">
        <w:rPr>
          <w:sz w:val="22"/>
          <w:szCs w:val="22"/>
          <w:lang w:val="en-US"/>
        </w:rPr>
        <w:t>Poot</w:t>
      </w:r>
      <w:proofErr w:type="spellEnd"/>
      <w:r w:rsidRPr="00DB5E8D">
        <w:rPr>
          <w:sz w:val="22"/>
          <w:szCs w:val="22"/>
          <w:lang w:val="en-US"/>
        </w:rPr>
        <w:t xml:space="preserve">, J., &amp; </w:t>
      </w:r>
      <w:proofErr w:type="spellStart"/>
      <w:r w:rsidRPr="00DB5E8D">
        <w:rPr>
          <w:sz w:val="22"/>
          <w:szCs w:val="22"/>
          <w:lang w:val="en-US"/>
        </w:rPr>
        <w:t>Smit</w:t>
      </w:r>
      <w:proofErr w:type="spellEnd"/>
      <w:r w:rsidRPr="00DB5E8D">
        <w:rPr>
          <w:sz w:val="22"/>
          <w:szCs w:val="22"/>
          <w:lang w:val="en-US"/>
        </w:rPr>
        <w:t xml:space="preserve">, M. J. (2009), Agglomeration externalities, innovation and regional growth: theoretical perspectives and meta-analysis. </w:t>
      </w:r>
      <w:proofErr w:type="gramStart"/>
      <w:r w:rsidRPr="00DB5E8D">
        <w:rPr>
          <w:sz w:val="22"/>
          <w:szCs w:val="22"/>
          <w:lang w:val="en-US"/>
        </w:rPr>
        <w:t xml:space="preserve">In R. </w:t>
      </w:r>
      <w:proofErr w:type="spellStart"/>
      <w:r w:rsidRPr="00DB5E8D">
        <w:rPr>
          <w:sz w:val="22"/>
          <w:szCs w:val="22"/>
          <w:lang w:val="en-US"/>
        </w:rPr>
        <w:t>Capello</w:t>
      </w:r>
      <w:proofErr w:type="spellEnd"/>
      <w:r w:rsidRPr="00DB5E8D">
        <w:rPr>
          <w:sz w:val="22"/>
          <w:szCs w:val="22"/>
          <w:lang w:val="en-US"/>
        </w:rPr>
        <w:t xml:space="preserve"> &amp; P. </w:t>
      </w:r>
      <w:proofErr w:type="spellStart"/>
      <w:r w:rsidRPr="00DB5E8D">
        <w:rPr>
          <w:sz w:val="22"/>
          <w:szCs w:val="22"/>
          <w:lang w:val="en-US"/>
        </w:rPr>
        <w:t>Nijkamp</w:t>
      </w:r>
      <w:proofErr w:type="spellEnd"/>
      <w:r w:rsidRPr="00DB5E8D">
        <w:rPr>
          <w:sz w:val="22"/>
          <w:szCs w:val="22"/>
          <w:lang w:val="en-US"/>
        </w:rPr>
        <w:t xml:space="preserve"> (Eds.), </w:t>
      </w:r>
      <w:r w:rsidRPr="00DB5E8D">
        <w:rPr>
          <w:i/>
          <w:sz w:val="22"/>
          <w:szCs w:val="22"/>
          <w:lang w:val="en-US"/>
        </w:rPr>
        <w:t xml:space="preserve">Handbook of regional growth and development theories </w:t>
      </w:r>
      <w:r w:rsidRPr="00DB5E8D">
        <w:rPr>
          <w:sz w:val="22"/>
          <w:szCs w:val="22"/>
          <w:lang w:val="en-US"/>
        </w:rPr>
        <w:t>(pp. 256-281).</w:t>
      </w:r>
      <w:proofErr w:type="gramEnd"/>
      <w:r w:rsidRPr="00DB5E8D">
        <w:rPr>
          <w:sz w:val="22"/>
          <w:szCs w:val="22"/>
          <w:lang w:val="en-US"/>
        </w:rPr>
        <w:t xml:space="preserve"> </w:t>
      </w:r>
      <w:r w:rsidRPr="00DB5E8D">
        <w:rPr>
          <w:sz w:val="22"/>
          <w:szCs w:val="22"/>
        </w:rPr>
        <w:t xml:space="preserve">Cheltenham, England: Edward Elgar Publishing. </w:t>
      </w:r>
    </w:p>
    <w:p w:rsidR="00AE73DF" w:rsidRPr="00DB5E8D" w:rsidRDefault="00AE73DF" w:rsidP="00A93AED">
      <w:pPr>
        <w:ind w:left="426" w:hanging="426"/>
        <w:jc w:val="both"/>
        <w:rPr>
          <w:sz w:val="22"/>
          <w:szCs w:val="22"/>
          <w:lang w:val="en-US"/>
        </w:rPr>
      </w:pPr>
      <w:r w:rsidRPr="00DB5E8D">
        <w:rPr>
          <w:sz w:val="22"/>
          <w:szCs w:val="22"/>
          <w:lang w:val="en-US"/>
        </w:rPr>
        <w:lastRenderedPageBreak/>
        <w:t xml:space="preserve">Ferreira, A. (2000). Convergence in Brazil: Recent trends and long-run prospects. </w:t>
      </w:r>
      <w:proofErr w:type="gramStart"/>
      <w:r w:rsidRPr="00DB5E8D">
        <w:rPr>
          <w:i/>
          <w:sz w:val="22"/>
          <w:szCs w:val="22"/>
          <w:lang w:val="en-US"/>
        </w:rPr>
        <w:t>Applied Economics, 32</w:t>
      </w:r>
      <w:r w:rsidRPr="00DB5E8D">
        <w:rPr>
          <w:sz w:val="22"/>
          <w:szCs w:val="22"/>
          <w:lang w:val="en-US"/>
        </w:rPr>
        <w:t>, 479-489.</w:t>
      </w:r>
      <w:proofErr w:type="gramEnd"/>
    </w:p>
    <w:p w:rsidR="00F26BF2" w:rsidRPr="00DB5E8D" w:rsidRDefault="00F26BF2" w:rsidP="00A93AED">
      <w:pPr>
        <w:ind w:left="426" w:hanging="426"/>
        <w:jc w:val="both"/>
        <w:rPr>
          <w:sz w:val="22"/>
          <w:szCs w:val="22"/>
          <w:lang w:val="en-US"/>
        </w:rPr>
      </w:pPr>
      <w:proofErr w:type="spellStart"/>
      <w:proofErr w:type="gramStart"/>
      <w:r w:rsidRPr="00DB5E8D">
        <w:rPr>
          <w:sz w:val="22"/>
          <w:szCs w:val="22"/>
          <w:lang w:val="en-US"/>
        </w:rPr>
        <w:t>Glaeser</w:t>
      </w:r>
      <w:proofErr w:type="spellEnd"/>
      <w:r w:rsidRPr="00DB5E8D">
        <w:rPr>
          <w:sz w:val="22"/>
          <w:szCs w:val="22"/>
          <w:lang w:val="en-US"/>
        </w:rPr>
        <w:t xml:space="preserve">, E. L., </w:t>
      </w:r>
      <w:proofErr w:type="spellStart"/>
      <w:r w:rsidRPr="00DB5E8D">
        <w:rPr>
          <w:sz w:val="22"/>
          <w:szCs w:val="22"/>
          <w:lang w:val="en-US"/>
        </w:rPr>
        <w:t>Kallal</w:t>
      </w:r>
      <w:proofErr w:type="spellEnd"/>
      <w:r w:rsidRPr="00DB5E8D">
        <w:rPr>
          <w:sz w:val="22"/>
          <w:szCs w:val="22"/>
          <w:lang w:val="en-US"/>
        </w:rPr>
        <w:t xml:space="preserve">, H. D., </w:t>
      </w:r>
      <w:proofErr w:type="spellStart"/>
      <w:r w:rsidRPr="00DB5E8D">
        <w:rPr>
          <w:sz w:val="22"/>
          <w:szCs w:val="22"/>
          <w:lang w:val="en-US"/>
        </w:rPr>
        <w:t>Scheinkman</w:t>
      </w:r>
      <w:proofErr w:type="spellEnd"/>
      <w:r w:rsidRPr="00DB5E8D">
        <w:rPr>
          <w:sz w:val="22"/>
          <w:szCs w:val="22"/>
          <w:lang w:val="en-US"/>
        </w:rPr>
        <w:t xml:space="preserve">, J. A., &amp; </w:t>
      </w:r>
      <w:proofErr w:type="spellStart"/>
      <w:r w:rsidRPr="00DB5E8D">
        <w:rPr>
          <w:sz w:val="22"/>
          <w:szCs w:val="22"/>
          <w:lang w:val="en-US"/>
        </w:rPr>
        <w:t>Shleifer</w:t>
      </w:r>
      <w:proofErr w:type="spellEnd"/>
      <w:r w:rsidRPr="00DB5E8D">
        <w:rPr>
          <w:sz w:val="22"/>
          <w:szCs w:val="22"/>
          <w:lang w:val="en-US"/>
        </w:rPr>
        <w:t>, A. (1992).</w:t>
      </w:r>
      <w:proofErr w:type="gramEnd"/>
      <w:r w:rsidRPr="00DB5E8D">
        <w:rPr>
          <w:sz w:val="22"/>
          <w:szCs w:val="22"/>
          <w:lang w:val="en-US"/>
        </w:rPr>
        <w:t xml:space="preserve"> </w:t>
      </w:r>
      <w:proofErr w:type="gramStart"/>
      <w:r w:rsidRPr="00DB5E8D">
        <w:rPr>
          <w:sz w:val="22"/>
          <w:szCs w:val="22"/>
          <w:lang w:val="en-US"/>
        </w:rPr>
        <w:t>Growth in cities.</w:t>
      </w:r>
      <w:proofErr w:type="gramEnd"/>
      <w:r w:rsidRPr="00DB5E8D">
        <w:rPr>
          <w:sz w:val="22"/>
          <w:szCs w:val="22"/>
          <w:lang w:val="en-US"/>
        </w:rPr>
        <w:t xml:space="preserve"> </w:t>
      </w:r>
      <w:r w:rsidRPr="00DB5E8D">
        <w:rPr>
          <w:i/>
          <w:sz w:val="22"/>
          <w:szCs w:val="22"/>
          <w:lang w:val="en-US"/>
        </w:rPr>
        <w:t>Journal of Political Economy, 100</w:t>
      </w:r>
      <w:r w:rsidRPr="00DB5E8D">
        <w:rPr>
          <w:sz w:val="22"/>
          <w:szCs w:val="22"/>
          <w:lang w:val="en-US"/>
        </w:rPr>
        <w:t>(6), 1126-1152.</w:t>
      </w:r>
    </w:p>
    <w:p w:rsidR="00BF5EA1" w:rsidRPr="00DB5E8D" w:rsidRDefault="00BF5EA1" w:rsidP="00A93AED">
      <w:pPr>
        <w:pStyle w:val="ListParagraph"/>
        <w:ind w:left="426" w:hanging="426"/>
        <w:jc w:val="both"/>
        <w:rPr>
          <w:sz w:val="22"/>
          <w:szCs w:val="22"/>
        </w:rPr>
      </w:pPr>
      <w:r w:rsidRPr="00DB5E8D">
        <w:rPr>
          <w:sz w:val="22"/>
          <w:szCs w:val="22"/>
        </w:rPr>
        <w:t>Gome</w:t>
      </w:r>
      <w:r w:rsidR="00D73F6F" w:rsidRPr="00DB5E8D">
        <w:rPr>
          <w:sz w:val="22"/>
          <w:szCs w:val="22"/>
        </w:rPr>
        <w:t xml:space="preserve">s, G. M. (2002). </w:t>
      </w:r>
      <w:r w:rsidR="00D73F6F" w:rsidRPr="00DB5E8D">
        <w:rPr>
          <w:i/>
          <w:sz w:val="22"/>
          <w:szCs w:val="22"/>
          <w:lang w:eastAsia="zh-CN"/>
        </w:rPr>
        <w:t>Regional development strategies in Brazil</w:t>
      </w:r>
      <w:r w:rsidR="00D73F6F" w:rsidRPr="00DB5E8D">
        <w:rPr>
          <w:sz w:val="22"/>
          <w:szCs w:val="22"/>
          <w:lang w:eastAsia="zh-CN"/>
        </w:rPr>
        <w:t>.</w:t>
      </w:r>
      <w:r w:rsidR="00D73F6F" w:rsidRPr="00DB5E8D">
        <w:rPr>
          <w:sz w:val="22"/>
          <w:szCs w:val="22"/>
        </w:rPr>
        <w:t xml:space="preserve"> </w:t>
      </w:r>
      <w:proofErr w:type="gramStart"/>
      <w:r w:rsidR="00D73F6F" w:rsidRPr="00DB5E8D">
        <w:rPr>
          <w:sz w:val="22"/>
          <w:szCs w:val="22"/>
        </w:rPr>
        <w:t xml:space="preserve">International </w:t>
      </w:r>
      <w:r w:rsidR="00565AFD" w:rsidRPr="00DB5E8D">
        <w:rPr>
          <w:sz w:val="22"/>
          <w:szCs w:val="22"/>
        </w:rPr>
        <w:t>C</w:t>
      </w:r>
      <w:r w:rsidR="00D73F6F" w:rsidRPr="00DB5E8D">
        <w:rPr>
          <w:sz w:val="22"/>
          <w:szCs w:val="22"/>
        </w:rPr>
        <w:t>onference on Regional Development and Foreign Direct Investment in Fortaleza, Brazil.</w:t>
      </w:r>
      <w:proofErr w:type="gramEnd"/>
      <w:r w:rsidR="00D73F6F" w:rsidRPr="00DB5E8D">
        <w:rPr>
          <w:sz w:val="22"/>
          <w:szCs w:val="22"/>
        </w:rPr>
        <w:t xml:space="preserve"> Available from: http://www.oecd.org</w:t>
      </w:r>
      <w:r w:rsidR="006D157D" w:rsidRPr="00DB5E8D">
        <w:rPr>
          <w:sz w:val="22"/>
          <w:szCs w:val="22"/>
        </w:rPr>
        <w:t>.</w:t>
      </w:r>
    </w:p>
    <w:p w:rsidR="00DA1002" w:rsidRPr="00DB5E8D" w:rsidRDefault="00DA1002" w:rsidP="00A93AED">
      <w:pPr>
        <w:pStyle w:val="ListParagraph"/>
        <w:ind w:left="426" w:hanging="426"/>
        <w:jc w:val="both"/>
        <w:rPr>
          <w:sz w:val="22"/>
          <w:szCs w:val="22"/>
        </w:rPr>
      </w:pPr>
      <w:proofErr w:type="spellStart"/>
      <w:proofErr w:type="gramStart"/>
      <w:r w:rsidRPr="00DB5E8D">
        <w:rPr>
          <w:sz w:val="22"/>
          <w:szCs w:val="22"/>
        </w:rPr>
        <w:t>Gondim</w:t>
      </w:r>
      <w:proofErr w:type="spellEnd"/>
      <w:r w:rsidRPr="00DB5E8D">
        <w:rPr>
          <w:sz w:val="22"/>
          <w:szCs w:val="22"/>
        </w:rPr>
        <w:t xml:space="preserve">, J. L. B., </w:t>
      </w:r>
      <w:proofErr w:type="spellStart"/>
      <w:r w:rsidRPr="00DB5E8D">
        <w:rPr>
          <w:sz w:val="22"/>
          <w:szCs w:val="22"/>
        </w:rPr>
        <w:t>Barreto</w:t>
      </w:r>
      <w:proofErr w:type="spellEnd"/>
      <w:r w:rsidRPr="00DB5E8D">
        <w:rPr>
          <w:sz w:val="22"/>
          <w:szCs w:val="22"/>
        </w:rPr>
        <w:t xml:space="preserve">, F. A., &amp; </w:t>
      </w:r>
      <w:proofErr w:type="spellStart"/>
      <w:r w:rsidRPr="00DB5E8D">
        <w:rPr>
          <w:sz w:val="22"/>
          <w:szCs w:val="22"/>
        </w:rPr>
        <w:t>Carvalho</w:t>
      </w:r>
      <w:proofErr w:type="spellEnd"/>
      <w:r w:rsidRPr="00DB5E8D">
        <w:rPr>
          <w:sz w:val="22"/>
          <w:szCs w:val="22"/>
        </w:rPr>
        <w:t>, J. R. (2007).</w:t>
      </w:r>
      <w:proofErr w:type="gramEnd"/>
      <w:r w:rsidRPr="00DB5E8D">
        <w:rPr>
          <w:sz w:val="22"/>
          <w:szCs w:val="22"/>
        </w:rPr>
        <w:t xml:space="preserve"> </w:t>
      </w:r>
      <w:r w:rsidRPr="00DB5E8D">
        <w:rPr>
          <w:bCs/>
          <w:sz w:val="22"/>
          <w:szCs w:val="22"/>
          <w:lang w:val="es-ES"/>
        </w:rPr>
        <w:t>Condicionantes de cl</w:t>
      </w:r>
      <w:r w:rsidR="001F3C44" w:rsidRPr="00DB5E8D">
        <w:rPr>
          <w:bCs/>
          <w:sz w:val="22"/>
          <w:szCs w:val="22"/>
          <w:lang w:val="es-ES"/>
        </w:rPr>
        <w:t xml:space="preserve">ubes de </w:t>
      </w:r>
      <w:proofErr w:type="spellStart"/>
      <w:r w:rsidR="001F3C44" w:rsidRPr="00DB5E8D">
        <w:rPr>
          <w:bCs/>
          <w:sz w:val="22"/>
          <w:szCs w:val="22"/>
          <w:lang w:val="es-ES"/>
        </w:rPr>
        <w:t>convergência</w:t>
      </w:r>
      <w:proofErr w:type="spellEnd"/>
      <w:r w:rsidR="001F3C44" w:rsidRPr="00DB5E8D">
        <w:rPr>
          <w:bCs/>
          <w:sz w:val="22"/>
          <w:szCs w:val="22"/>
          <w:lang w:val="es-ES"/>
        </w:rPr>
        <w:t xml:space="preserve"> no Brasil</w:t>
      </w:r>
      <w:r w:rsidRPr="00DB5E8D">
        <w:rPr>
          <w:bCs/>
          <w:sz w:val="22"/>
          <w:szCs w:val="22"/>
          <w:lang w:val="es-ES"/>
        </w:rPr>
        <w:t xml:space="preserve">. </w:t>
      </w:r>
      <w:proofErr w:type="spellStart"/>
      <w:r w:rsidRPr="00DB5E8D">
        <w:rPr>
          <w:i/>
          <w:iCs/>
          <w:sz w:val="22"/>
          <w:szCs w:val="22"/>
        </w:rPr>
        <w:t>Estudos</w:t>
      </w:r>
      <w:proofErr w:type="spellEnd"/>
      <w:r w:rsidRPr="00DB5E8D">
        <w:rPr>
          <w:i/>
          <w:iCs/>
          <w:sz w:val="22"/>
          <w:szCs w:val="22"/>
        </w:rPr>
        <w:t xml:space="preserve"> </w:t>
      </w:r>
      <w:proofErr w:type="spellStart"/>
      <w:r w:rsidRPr="00DB5E8D">
        <w:rPr>
          <w:i/>
          <w:iCs/>
          <w:sz w:val="22"/>
          <w:szCs w:val="22"/>
        </w:rPr>
        <w:t>Econ</w:t>
      </w:r>
      <w:r w:rsidR="007B5D9C" w:rsidRPr="00DB5E8D">
        <w:rPr>
          <w:i/>
          <w:iCs/>
          <w:sz w:val="22"/>
          <w:szCs w:val="22"/>
        </w:rPr>
        <w:t>ô</w:t>
      </w:r>
      <w:r w:rsidRPr="00DB5E8D">
        <w:rPr>
          <w:i/>
          <w:iCs/>
          <w:sz w:val="22"/>
          <w:szCs w:val="22"/>
        </w:rPr>
        <w:t>micos</w:t>
      </w:r>
      <w:proofErr w:type="spellEnd"/>
      <w:r w:rsidRPr="00DB5E8D">
        <w:rPr>
          <w:i/>
          <w:iCs/>
          <w:sz w:val="22"/>
          <w:szCs w:val="22"/>
        </w:rPr>
        <w:t xml:space="preserve">, </w:t>
      </w:r>
      <w:r w:rsidRPr="00DB5E8D">
        <w:rPr>
          <w:i/>
          <w:sz w:val="22"/>
          <w:szCs w:val="22"/>
        </w:rPr>
        <w:t>37</w:t>
      </w:r>
      <w:r w:rsidRPr="00DB5E8D">
        <w:rPr>
          <w:sz w:val="22"/>
          <w:szCs w:val="22"/>
        </w:rPr>
        <w:t>(1), 71-100.</w:t>
      </w:r>
    </w:p>
    <w:p w:rsidR="00F26BF2" w:rsidRPr="00DB5E8D" w:rsidRDefault="00F26BF2" w:rsidP="00A93AED">
      <w:pPr>
        <w:ind w:left="426" w:hanging="426"/>
        <w:jc w:val="both"/>
        <w:rPr>
          <w:sz w:val="22"/>
          <w:szCs w:val="22"/>
          <w:lang w:val="en-US"/>
        </w:rPr>
      </w:pPr>
      <w:r w:rsidRPr="00DB5E8D">
        <w:rPr>
          <w:sz w:val="22"/>
          <w:szCs w:val="22"/>
          <w:lang w:val="it-IT"/>
        </w:rPr>
        <w:t xml:space="preserve">Henderson, V., Kuncoro, A., &amp; Turner, M. (1995). </w:t>
      </w:r>
      <w:proofErr w:type="gramStart"/>
      <w:r w:rsidRPr="00DB5E8D">
        <w:rPr>
          <w:sz w:val="22"/>
          <w:szCs w:val="22"/>
          <w:lang w:val="en-US"/>
        </w:rPr>
        <w:t xml:space="preserve">Industrial </w:t>
      </w:r>
      <w:r w:rsidR="006D157D" w:rsidRPr="00DB5E8D">
        <w:rPr>
          <w:sz w:val="22"/>
          <w:szCs w:val="22"/>
          <w:lang w:val="en-US"/>
        </w:rPr>
        <w:t>d</w:t>
      </w:r>
      <w:r w:rsidRPr="00DB5E8D">
        <w:rPr>
          <w:sz w:val="22"/>
          <w:szCs w:val="22"/>
          <w:lang w:val="en-US"/>
        </w:rPr>
        <w:t xml:space="preserve">evelopment in </w:t>
      </w:r>
      <w:r w:rsidR="006D157D" w:rsidRPr="00DB5E8D">
        <w:rPr>
          <w:sz w:val="22"/>
          <w:szCs w:val="22"/>
          <w:lang w:val="en-US"/>
        </w:rPr>
        <w:t>c</w:t>
      </w:r>
      <w:r w:rsidRPr="00DB5E8D">
        <w:rPr>
          <w:sz w:val="22"/>
          <w:szCs w:val="22"/>
          <w:lang w:val="en-US"/>
        </w:rPr>
        <w:t>ities.</w:t>
      </w:r>
      <w:proofErr w:type="gramEnd"/>
      <w:r w:rsidRPr="00DB5E8D">
        <w:rPr>
          <w:sz w:val="22"/>
          <w:szCs w:val="22"/>
          <w:lang w:val="en-US"/>
        </w:rPr>
        <w:t xml:space="preserve"> </w:t>
      </w:r>
      <w:r w:rsidRPr="00DB5E8D">
        <w:rPr>
          <w:i/>
          <w:sz w:val="22"/>
          <w:szCs w:val="22"/>
          <w:lang w:val="en-US"/>
        </w:rPr>
        <w:t>Journal of Political Economy, 103</w:t>
      </w:r>
      <w:r w:rsidRPr="00DB5E8D">
        <w:rPr>
          <w:sz w:val="22"/>
          <w:szCs w:val="22"/>
          <w:lang w:val="en-US"/>
        </w:rPr>
        <w:t>(5), 1067-1090.</w:t>
      </w:r>
    </w:p>
    <w:p w:rsidR="00314C05" w:rsidRPr="00DB5E8D" w:rsidRDefault="006215BB" w:rsidP="00A93AED">
      <w:pPr>
        <w:autoSpaceDE w:val="0"/>
        <w:autoSpaceDN w:val="0"/>
        <w:adjustRightInd w:val="0"/>
        <w:ind w:left="426" w:hanging="426"/>
        <w:jc w:val="both"/>
        <w:rPr>
          <w:sz w:val="22"/>
          <w:szCs w:val="22"/>
          <w:lang w:eastAsia="zh-CN"/>
        </w:rPr>
      </w:pPr>
      <w:r w:rsidRPr="00DB5E8D">
        <w:rPr>
          <w:sz w:val="22"/>
          <w:szCs w:val="22"/>
          <w:lang w:val="es-ES"/>
        </w:rPr>
        <w:t xml:space="preserve">IPEA - </w:t>
      </w:r>
      <w:r w:rsidR="00314C05" w:rsidRPr="00DB5E8D">
        <w:rPr>
          <w:sz w:val="22"/>
          <w:szCs w:val="22"/>
          <w:lang w:val="es-ES"/>
        </w:rPr>
        <w:t>Instituto de Pesquisa Econ</w:t>
      </w:r>
      <w:r w:rsidR="00AA2521" w:rsidRPr="00DB5E8D">
        <w:rPr>
          <w:sz w:val="22"/>
          <w:szCs w:val="22"/>
          <w:lang w:val="es-ES"/>
        </w:rPr>
        <w:t>ó</w:t>
      </w:r>
      <w:r w:rsidR="00314C05" w:rsidRPr="00DB5E8D">
        <w:rPr>
          <w:sz w:val="22"/>
          <w:szCs w:val="22"/>
          <w:lang w:val="es-ES"/>
        </w:rPr>
        <w:t>mica Aplicada</w:t>
      </w:r>
      <w:r w:rsidR="001F3C44" w:rsidRPr="00DB5E8D">
        <w:rPr>
          <w:sz w:val="22"/>
          <w:szCs w:val="22"/>
          <w:lang w:val="es-ES"/>
        </w:rPr>
        <w:t xml:space="preserve">: </w:t>
      </w:r>
      <w:hyperlink r:id="rId12" w:history="1">
        <w:r w:rsidRPr="00DB5E8D">
          <w:rPr>
            <w:rStyle w:val="Hyperlink"/>
            <w:color w:val="auto"/>
            <w:sz w:val="22"/>
            <w:szCs w:val="22"/>
            <w:u w:val="none"/>
            <w:lang w:val="es-ES"/>
          </w:rPr>
          <w:t>www.ipea.gov.br</w:t>
        </w:r>
      </w:hyperlink>
      <w:r w:rsidR="006D157D" w:rsidRPr="00DB5E8D">
        <w:rPr>
          <w:sz w:val="22"/>
          <w:szCs w:val="22"/>
          <w:lang w:val="es-ES"/>
        </w:rPr>
        <w:t>.</w:t>
      </w:r>
      <w:r w:rsidRPr="00DB5E8D">
        <w:rPr>
          <w:sz w:val="22"/>
          <w:szCs w:val="22"/>
          <w:lang w:val="es-ES"/>
        </w:rPr>
        <w:t xml:space="preserve"> </w:t>
      </w:r>
      <w:proofErr w:type="gramStart"/>
      <w:r w:rsidRPr="00DB5E8D">
        <w:rPr>
          <w:sz w:val="22"/>
          <w:szCs w:val="22"/>
        </w:rPr>
        <w:t>(Accessed in the first semester of 2009).</w:t>
      </w:r>
      <w:proofErr w:type="gramEnd"/>
    </w:p>
    <w:p w:rsidR="002700E9" w:rsidRPr="00DB5E8D" w:rsidRDefault="002700E9" w:rsidP="00A93AED">
      <w:pPr>
        <w:pStyle w:val="ListParagraph"/>
        <w:ind w:left="426" w:hanging="426"/>
        <w:jc w:val="both"/>
        <w:rPr>
          <w:sz w:val="22"/>
          <w:szCs w:val="22"/>
          <w:lang w:val="en-US"/>
        </w:rPr>
      </w:pPr>
      <w:r w:rsidRPr="00DB5E8D">
        <w:rPr>
          <w:sz w:val="22"/>
          <w:szCs w:val="22"/>
          <w:lang w:val="en-US"/>
        </w:rPr>
        <w:t xml:space="preserve">Jacobs, J. (1969). </w:t>
      </w:r>
      <w:proofErr w:type="gramStart"/>
      <w:r w:rsidRPr="00DB5E8D">
        <w:rPr>
          <w:i/>
          <w:iCs/>
          <w:sz w:val="22"/>
          <w:szCs w:val="22"/>
          <w:lang w:val="en-US"/>
        </w:rPr>
        <w:t>The Economy of Cities</w:t>
      </w:r>
      <w:r w:rsidRPr="00DB5E8D">
        <w:rPr>
          <w:sz w:val="22"/>
          <w:szCs w:val="22"/>
          <w:lang w:val="en-US"/>
        </w:rPr>
        <w:t>.</w:t>
      </w:r>
      <w:proofErr w:type="gramEnd"/>
      <w:r w:rsidRPr="00DB5E8D">
        <w:rPr>
          <w:sz w:val="22"/>
          <w:szCs w:val="22"/>
          <w:lang w:val="en-US"/>
        </w:rPr>
        <w:t xml:space="preserve"> New York: Vintage.</w:t>
      </w:r>
    </w:p>
    <w:p w:rsidR="00CA30E8" w:rsidRPr="00DB5E8D" w:rsidRDefault="00CA30E8" w:rsidP="00A93AED">
      <w:pPr>
        <w:pStyle w:val="ListParagraph"/>
        <w:ind w:left="426" w:hanging="426"/>
        <w:jc w:val="both"/>
        <w:rPr>
          <w:sz w:val="22"/>
          <w:szCs w:val="22"/>
          <w:lang w:val="en-US"/>
        </w:rPr>
      </w:pPr>
      <w:proofErr w:type="spellStart"/>
      <w:proofErr w:type="gramStart"/>
      <w:r w:rsidRPr="00DB5E8D">
        <w:rPr>
          <w:sz w:val="22"/>
          <w:szCs w:val="22"/>
          <w:lang w:val="en-US"/>
        </w:rPr>
        <w:t>Macedo</w:t>
      </w:r>
      <w:proofErr w:type="spellEnd"/>
      <w:r w:rsidRPr="00DB5E8D">
        <w:rPr>
          <w:sz w:val="22"/>
          <w:szCs w:val="22"/>
          <w:lang w:val="en-US"/>
        </w:rPr>
        <w:t>, R</w:t>
      </w:r>
      <w:r w:rsidR="00AA2521" w:rsidRPr="00DB5E8D">
        <w:rPr>
          <w:sz w:val="22"/>
          <w:szCs w:val="22"/>
          <w:lang w:val="en-US"/>
        </w:rPr>
        <w:t>.</w:t>
      </w:r>
      <w:r w:rsidRPr="00DB5E8D">
        <w:rPr>
          <w:sz w:val="22"/>
          <w:szCs w:val="22"/>
          <w:lang w:val="en-US"/>
        </w:rPr>
        <w:t xml:space="preserve">, &amp; </w:t>
      </w:r>
      <w:proofErr w:type="spellStart"/>
      <w:r w:rsidRPr="00DB5E8D">
        <w:rPr>
          <w:sz w:val="22"/>
          <w:szCs w:val="22"/>
          <w:lang w:val="en-US"/>
        </w:rPr>
        <w:t>Barbosa</w:t>
      </w:r>
      <w:proofErr w:type="spellEnd"/>
      <w:r w:rsidRPr="00DB5E8D">
        <w:rPr>
          <w:sz w:val="22"/>
          <w:szCs w:val="22"/>
          <w:lang w:val="en-US"/>
        </w:rPr>
        <w:t>, F. (1997).</w:t>
      </w:r>
      <w:proofErr w:type="gramEnd"/>
      <w:r w:rsidRPr="00DB5E8D">
        <w:rPr>
          <w:sz w:val="22"/>
          <w:szCs w:val="22"/>
          <w:lang w:val="en-US"/>
        </w:rPr>
        <w:t xml:space="preserve"> Brazil: Instability and </w:t>
      </w:r>
      <w:r w:rsidR="006D157D" w:rsidRPr="00DB5E8D">
        <w:rPr>
          <w:sz w:val="22"/>
          <w:szCs w:val="22"/>
          <w:lang w:val="en-US"/>
        </w:rPr>
        <w:t>m</w:t>
      </w:r>
      <w:r w:rsidRPr="00DB5E8D">
        <w:rPr>
          <w:sz w:val="22"/>
          <w:szCs w:val="22"/>
          <w:lang w:val="en-US"/>
        </w:rPr>
        <w:t xml:space="preserve">acroeconomic </w:t>
      </w:r>
      <w:r w:rsidR="006D157D" w:rsidRPr="00DB5E8D">
        <w:rPr>
          <w:sz w:val="22"/>
          <w:szCs w:val="22"/>
          <w:lang w:val="en-US"/>
        </w:rPr>
        <w:t>p</w:t>
      </w:r>
      <w:r w:rsidRPr="00DB5E8D">
        <w:rPr>
          <w:sz w:val="22"/>
          <w:szCs w:val="22"/>
          <w:lang w:val="en-US"/>
        </w:rPr>
        <w:t xml:space="preserve">olicies. In M. J. F. </w:t>
      </w:r>
      <w:proofErr w:type="spellStart"/>
      <w:r w:rsidRPr="00DB5E8D">
        <w:rPr>
          <w:sz w:val="22"/>
          <w:szCs w:val="22"/>
          <w:lang w:val="en-US"/>
        </w:rPr>
        <w:t>Willumsen</w:t>
      </w:r>
      <w:proofErr w:type="spellEnd"/>
      <w:r w:rsidRPr="00DB5E8D">
        <w:rPr>
          <w:sz w:val="22"/>
          <w:szCs w:val="22"/>
          <w:lang w:val="en-US"/>
        </w:rPr>
        <w:t xml:space="preserve"> &amp; E. G. </w:t>
      </w:r>
      <w:proofErr w:type="spellStart"/>
      <w:r w:rsidRPr="00DB5E8D">
        <w:rPr>
          <w:sz w:val="22"/>
          <w:szCs w:val="22"/>
          <w:lang w:val="en-US"/>
        </w:rPr>
        <w:t>da</w:t>
      </w:r>
      <w:proofErr w:type="spellEnd"/>
      <w:r w:rsidRPr="00DB5E8D">
        <w:rPr>
          <w:sz w:val="22"/>
          <w:szCs w:val="22"/>
          <w:lang w:val="en-US"/>
        </w:rPr>
        <w:t xml:space="preserve"> Fonseca (Eds.), </w:t>
      </w:r>
      <w:r w:rsidRPr="00DB5E8D">
        <w:rPr>
          <w:i/>
          <w:sz w:val="22"/>
          <w:szCs w:val="22"/>
          <w:lang w:val="en-US"/>
        </w:rPr>
        <w:t>The Brazilian economy: Structure and performance in recent decades</w:t>
      </w:r>
      <w:r w:rsidR="009C26CF" w:rsidRPr="00DB5E8D">
        <w:rPr>
          <w:i/>
          <w:sz w:val="22"/>
          <w:szCs w:val="22"/>
          <w:lang w:val="en-US"/>
        </w:rPr>
        <w:t xml:space="preserve"> </w:t>
      </w:r>
      <w:r w:rsidR="009C26CF" w:rsidRPr="00DB5E8D">
        <w:rPr>
          <w:sz w:val="22"/>
          <w:szCs w:val="22"/>
          <w:lang w:val="en-US"/>
        </w:rPr>
        <w:t>(pp. 1-23)</w:t>
      </w:r>
      <w:r w:rsidRPr="00DB5E8D">
        <w:rPr>
          <w:sz w:val="22"/>
          <w:szCs w:val="22"/>
          <w:lang w:val="en-US"/>
        </w:rPr>
        <w:t>. Miami, FL: North-South Center Press at the University of Miami.</w:t>
      </w:r>
    </w:p>
    <w:p w:rsidR="00DA1002" w:rsidRPr="00DB5E8D" w:rsidRDefault="00DA1002" w:rsidP="00A93AED">
      <w:pPr>
        <w:autoSpaceDE w:val="0"/>
        <w:autoSpaceDN w:val="0"/>
        <w:adjustRightInd w:val="0"/>
        <w:ind w:left="426" w:hanging="426"/>
        <w:jc w:val="both"/>
        <w:rPr>
          <w:sz w:val="22"/>
          <w:szCs w:val="22"/>
          <w:lang w:eastAsia="zh-CN"/>
        </w:rPr>
      </w:pPr>
      <w:r w:rsidRPr="00DB5E8D">
        <w:rPr>
          <w:sz w:val="22"/>
          <w:szCs w:val="22"/>
          <w:lang w:val="de-DE" w:eastAsia="zh-CN"/>
        </w:rPr>
        <w:t>Magalh</w:t>
      </w:r>
      <w:r w:rsidRPr="00DB5E8D">
        <w:rPr>
          <w:sz w:val="22"/>
          <w:szCs w:val="22"/>
          <w:lang w:val="de-DE"/>
        </w:rPr>
        <w:t>ã</w:t>
      </w:r>
      <w:r w:rsidRPr="00DB5E8D">
        <w:rPr>
          <w:sz w:val="22"/>
          <w:szCs w:val="22"/>
          <w:lang w:val="de-DE" w:eastAsia="zh-CN"/>
        </w:rPr>
        <w:t xml:space="preserve">es, A., Hewings, G. J. D., &amp; Azzoni, C. R. (2005). </w:t>
      </w:r>
      <w:proofErr w:type="gramStart"/>
      <w:r w:rsidRPr="00DB5E8D">
        <w:rPr>
          <w:sz w:val="22"/>
          <w:szCs w:val="22"/>
          <w:lang w:eastAsia="zh-CN"/>
        </w:rPr>
        <w:t>Spatial dependence and regional convergence in Brazil.</w:t>
      </w:r>
      <w:proofErr w:type="gramEnd"/>
      <w:r w:rsidRPr="00DB5E8D">
        <w:rPr>
          <w:sz w:val="22"/>
          <w:szCs w:val="22"/>
          <w:lang w:eastAsia="zh-CN"/>
        </w:rPr>
        <w:t xml:space="preserve"> </w:t>
      </w:r>
      <w:proofErr w:type="spellStart"/>
      <w:r w:rsidRPr="00DB5E8D">
        <w:rPr>
          <w:i/>
          <w:sz w:val="22"/>
          <w:szCs w:val="22"/>
          <w:lang w:eastAsia="zh-CN"/>
        </w:rPr>
        <w:t>Investigaciones</w:t>
      </w:r>
      <w:proofErr w:type="spellEnd"/>
      <w:r w:rsidRPr="00DB5E8D">
        <w:rPr>
          <w:i/>
          <w:sz w:val="22"/>
          <w:szCs w:val="22"/>
          <w:lang w:eastAsia="zh-CN"/>
        </w:rPr>
        <w:t xml:space="preserve"> </w:t>
      </w:r>
      <w:proofErr w:type="spellStart"/>
      <w:r w:rsidRPr="00DB5E8D">
        <w:rPr>
          <w:i/>
          <w:sz w:val="22"/>
          <w:szCs w:val="22"/>
          <w:lang w:eastAsia="zh-CN"/>
        </w:rPr>
        <w:t>Regionales</w:t>
      </w:r>
      <w:proofErr w:type="spellEnd"/>
      <w:r w:rsidRPr="00DB5E8D">
        <w:rPr>
          <w:sz w:val="22"/>
          <w:szCs w:val="22"/>
          <w:lang w:eastAsia="zh-CN"/>
        </w:rPr>
        <w:t xml:space="preserve">, </w:t>
      </w:r>
      <w:r w:rsidRPr="00DB5E8D">
        <w:rPr>
          <w:i/>
          <w:sz w:val="22"/>
          <w:szCs w:val="22"/>
          <w:lang w:eastAsia="zh-CN"/>
        </w:rPr>
        <w:t>6</w:t>
      </w:r>
      <w:r w:rsidRPr="00DB5E8D">
        <w:rPr>
          <w:sz w:val="22"/>
          <w:szCs w:val="22"/>
          <w:lang w:eastAsia="zh-CN"/>
        </w:rPr>
        <w:t>, 5-20.</w:t>
      </w:r>
    </w:p>
    <w:p w:rsidR="000F3EA3" w:rsidRPr="00DB5E8D" w:rsidRDefault="000F3EA3" w:rsidP="00A93AED">
      <w:pPr>
        <w:autoSpaceDE w:val="0"/>
        <w:autoSpaceDN w:val="0"/>
        <w:adjustRightInd w:val="0"/>
        <w:ind w:left="426" w:hanging="426"/>
        <w:jc w:val="both"/>
        <w:rPr>
          <w:sz w:val="22"/>
          <w:szCs w:val="22"/>
          <w:lang w:eastAsia="zh-CN"/>
        </w:rPr>
      </w:pPr>
      <w:proofErr w:type="gramStart"/>
      <w:r w:rsidRPr="00DB5E8D">
        <w:rPr>
          <w:sz w:val="22"/>
          <w:szCs w:val="22"/>
          <w:lang w:eastAsia="zh-CN"/>
        </w:rPr>
        <w:t>Matlaba, V.</w:t>
      </w:r>
      <w:r w:rsidR="00632D88" w:rsidRPr="00DB5E8D">
        <w:rPr>
          <w:sz w:val="22"/>
          <w:szCs w:val="22"/>
          <w:lang w:eastAsia="zh-CN"/>
        </w:rPr>
        <w:t xml:space="preserve"> </w:t>
      </w:r>
      <w:r w:rsidR="002F2092" w:rsidRPr="00DB5E8D">
        <w:rPr>
          <w:sz w:val="22"/>
          <w:szCs w:val="22"/>
          <w:lang w:eastAsia="zh-CN"/>
        </w:rPr>
        <w:t>J.</w:t>
      </w:r>
      <w:r w:rsidRPr="00DB5E8D">
        <w:rPr>
          <w:sz w:val="22"/>
          <w:szCs w:val="22"/>
          <w:lang w:eastAsia="zh-CN"/>
        </w:rPr>
        <w:t xml:space="preserve"> (2012) </w:t>
      </w:r>
      <w:r w:rsidRPr="00DB5E8D">
        <w:rPr>
          <w:i/>
          <w:iCs/>
          <w:sz w:val="22"/>
          <w:szCs w:val="22"/>
          <w:lang w:eastAsia="zh-CN"/>
        </w:rPr>
        <w:t>Regional Socio-Economic Transformation in Brazil</w:t>
      </w:r>
      <w:r w:rsidRPr="00DB5E8D">
        <w:rPr>
          <w:sz w:val="22"/>
          <w:szCs w:val="22"/>
          <w:lang w:eastAsia="zh-CN"/>
        </w:rPr>
        <w:t>.</w:t>
      </w:r>
      <w:proofErr w:type="gramEnd"/>
      <w:r w:rsidRPr="00DB5E8D">
        <w:rPr>
          <w:sz w:val="22"/>
          <w:szCs w:val="22"/>
          <w:lang w:eastAsia="zh-CN"/>
        </w:rPr>
        <w:t xml:space="preserve"> </w:t>
      </w:r>
      <w:proofErr w:type="gramStart"/>
      <w:r w:rsidRPr="00DB5E8D">
        <w:rPr>
          <w:sz w:val="22"/>
          <w:szCs w:val="22"/>
          <w:lang w:eastAsia="zh-CN"/>
        </w:rPr>
        <w:t>PhD Dissertation.</w:t>
      </w:r>
      <w:proofErr w:type="gramEnd"/>
      <w:r w:rsidRPr="00DB5E8D">
        <w:rPr>
          <w:sz w:val="22"/>
          <w:szCs w:val="22"/>
          <w:lang w:eastAsia="zh-CN"/>
        </w:rPr>
        <w:t xml:space="preserve"> Hamilton: University of Waikato.</w:t>
      </w:r>
    </w:p>
    <w:p w:rsidR="00F26BF2" w:rsidRPr="00DB5E8D" w:rsidRDefault="00F26BF2" w:rsidP="00A93AED">
      <w:pPr>
        <w:autoSpaceDE w:val="0"/>
        <w:autoSpaceDN w:val="0"/>
        <w:adjustRightInd w:val="0"/>
        <w:ind w:left="426" w:hanging="426"/>
        <w:jc w:val="both"/>
        <w:rPr>
          <w:sz w:val="22"/>
          <w:szCs w:val="22"/>
          <w:lang w:val="it-IT" w:eastAsia="zh-CN"/>
        </w:rPr>
      </w:pPr>
      <w:proofErr w:type="gramStart"/>
      <w:r w:rsidRPr="00DB5E8D">
        <w:rPr>
          <w:sz w:val="22"/>
          <w:szCs w:val="22"/>
          <w:lang w:eastAsia="zh-CN"/>
        </w:rPr>
        <w:t xml:space="preserve">McCann, P., </w:t>
      </w:r>
      <w:proofErr w:type="spellStart"/>
      <w:r w:rsidRPr="00DB5E8D">
        <w:rPr>
          <w:sz w:val="22"/>
          <w:szCs w:val="22"/>
          <w:lang w:eastAsia="zh-CN"/>
        </w:rPr>
        <w:t>Mameli</w:t>
      </w:r>
      <w:proofErr w:type="spellEnd"/>
      <w:r w:rsidRPr="00DB5E8D">
        <w:rPr>
          <w:sz w:val="22"/>
          <w:szCs w:val="22"/>
          <w:lang w:eastAsia="zh-CN"/>
        </w:rPr>
        <w:t xml:space="preserve">, F. M., &amp; </w:t>
      </w:r>
      <w:proofErr w:type="spellStart"/>
      <w:r w:rsidRPr="00DB5E8D">
        <w:rPr>
          <w:sz w:val="22"/>
          <w:szCs w:val="22"/>
          <w:lang w:eastAsia="zh-CN"/>
        </w:rPr>
        <w:t>Faggian</w:t>
      </w:r>
      <w:proofErr w:type="spellEnd"/>
      <w:r w:rsidRPr="00DB5E8D">
        <w:rPr>
          <w:sz w:val="22"/>
          <w:szCs w:val="22"/>
          <w:lang w:eastAsia="zh-CN"/>
        </w:rPr>
        <w:t>, A. (2008).</w:t>
      </w:r>
      <w:proofErr w:type="gramEnd"/>
      <w:r w:rsidRPr="00DB5E8D">
        <w:rPr>
          <w:sz w:val="22"/>
          <w:szCs w:val="22"/>
          <w:lang w:eastAsia="zh-CN"/>
        </w:rPr>
        <w:t xml:space="preserve"> Employment growth in</w:t>
      </w:r>
      <w:r w:rsidR="00D32206" w:rsidRPr="00DB5E8D">
        <w:rPr>
          <w:sz w:val="22"/>
          <w:szCs w:val="22"/>
          <w:lang w:eastAsia="zh-CN"/>
        </w:rPr>
        <w:t xml:space="preserve"> Italian local labour systems: I</w:t>
      </w:r>
      <w:r w:rsidRPr="00DB5E8D">
        <w:rPr>
          <w:sz w:val="22"/>
          <w:szCs w:val="22"/>
          <w:lang w:eastAsia="zh-CN"/>
        </w:rPr>
        <w:t xml:space="preserve">ssues of model specification and </w:t>
      </w:r>
      <w:proofErr w:type="spellStart"/>
      <w:r w:rsidRPr="00DB5E8D">
        <w:rPr>
          <w:sz w:val="22"/>
          <w:szCs w:val="22"/>
          <w:lang w:eastAsia="zh-CN"/>
        </w:rPr>
        <w:t>sectoral</w:t>
      </w:r>
      <w:proofErr w:type="spellEnd"/>
      <w:r w:rsidRPr="00DB5E8D">
        <w:rPr>
          <w:sz w:val="22"/>
          <w:szCs w:val="22"/>
          <w:lang w:eastAsia="zh-CN"/>
        </w:rPr>
        <w:t xml:space="preserve"> aggregation. </w:t>
      </w:r>
      <w:r w:rsidRPr="00DB5E8D">
        <w:rPr>
          <w:i/>
          <w:sz w:val="22"/>
          <w:szCs w:val="22"/>
          <w:lang w:val="it-IT" w:eastAsia="zh-CN"/>
        </w:rPr>
        <w:t>Spatial Economics Analysis, 3</w:t>
      </w:r>
      <w:r w:rsidRPr="00DB5E8D">
        <w:rPr>
          <w:sz w:val="22"/>
          <w:szCs w:val="22"/>
          <w:lang w:val="it-IT" w:eastAsia="zh-CN"/>
        </w:rPr>
        <w:t xml:space="preserve">(3). 1-18. </w:t>
      </w:r>
    </w:p>
    <w:p w:rsidR="002700E9" w:rsidRPr="00DB5E8D" w:rsidRDefault="002A6F0C" w:rsidP="00A93AED">
      <w:pPr>
        <w:autoSpaceDE w:val="0"/>
        <w:autoSpaceDN w:val="0"/>
        <w:adjustRightInd w:val="0"/>
        <w:ind w:left="426" w:hanging="426"/>
        <w:jc w:val="both"/>
        <w:rPr>
          <w:sz w:val="22"/>
          <w:szCs w:val="22"/>
        </w:rPr>
      </w:pPr>
      <w:r w:rsidRPr="00DB5E8D">
        <w:rPr>
          <w:sz w:val="22"/>
          <w:szCs w:val="22"/>
          <w:lang w:val="it-IT" w:eastAsia="zh-CN"/>
        </w:rPr>
        <w:t xml:space="preserve">Mossi, M. B., Aroca, P., Fernández, I. J., &amp; Azzoni, C. R. </w:t>
      </w:r>
      <w:r w:rsidRPr="00DB5E8D">
        <w:rPr>
          <w:sz w:val="22"/>
          <w:szCs w:val="22"/>
          <w:lang w:val="it-IT"/>
        </w:rPr>
        <w:t xml:space="preserve">(2003). </w:t>
      </w:r>
      <w:proofErr w:type="gramStart"/>
      <w:r w:rsidRPr="00DB5E8D">
        <w:rPr>
          <w:bCs/>
          <w:sz w:val="22"/>
          <w:szCs w:val="22"/>
          <w:lang w:eastAsia="zh-CN"/>
        </w:rPr>
        <w:t>Growth dynamics and space in Brazil.</w:t>
      </w:r>
      <w:proofErr w:type="gramEnd"/>
      <w:r w:rsidRPr="00DB5E8D">
        <w:rPr>
          <w:b/>
          <w:bCs/>
          <w:sz w:val="22"/>
          <w:szCs w:val="22"/>
          <w:lang w:eastAsia="zh-CN"/>
        </w:rPr>
        <w:t xml:space="preserve"> </w:t>
      </w:r>
      <w:r w:rsidRPr="00DB5E8D">
        <w:rPr>
          <w:i/>
          <w:sz w:val="22"/>
          <w:szCs w:val="22"/>
        </w:rPr>
        <w:t>International Regional Science Review, 26</w:t>
      </w:r>
      <w:r w:rsidRPr="00DB5E8D">
        <w:rPr>
          <w:sz w:val="22"/>
          <w:szCs w:val="22"/>
        </w:rPr>
        <w:t xml:space="preserve">(3), 393-418. </w:t>
      </w:r>
    </w:p>
    <w:p w:rsidR="000C0101" w:rsidRPr="00DB5E8D" w:rsidRDefault="000C0101" w:rsidP="00A93AED">
      <w:pPr>
        <w:autoSpaceDE w:val="0"/>
        <w:autoSpaceDN w:val="0"/>
        <w:adjustRightInd w:val="0"/>
        <w:ind w:left="426" w:hanging="426"/>
        <w:jc w:val="both"/>
        <w:rPr>
          <w:bCs/>
          <w:i/>
          <w:iCs/>
          <w:sz w:val="22"/>
          <w:szCs w:val="22"/>
          <w:lang w:eastAsia="zh-CN"/>
        </w:rPr>
      </w:pPr>
      <w:proofErr w:type="gramStart"/>
      <w:r w:rsidRPr="00DB5E8D">
        <w:rPr>
          <w:rStyle w:val="HTMLCite"/>
          <w:i w:val="0"/>
          <w:sz w:val="22"/>
          <w:szCs w:val="22"/>
        </w:rPr>
        <w:t>Porter</w:t>
      </w:r>
      <w:r w:rsidR="002700E9" w:rsidRPr="00DB5E8D">
        <w:rPr>
          <w:rStyle w:val="HTMLCite"/>
          <w:i w:val="0"/>
          <w:sz w:val="22"/>
          <w:szCs w:val="22"/>
        </w:rPr>
        <w:t>, M.</w:t>
      </w:r>
      <w:r w:rsidRPr="00DB5E8D">
        <w:rPr>
          <w:rStyle w:val="HTMLCite"/>
          <w:i w:val="0"/>
          <w:sz w:val="22"/>
          <w:szCs w:val="22"/>
        </w:rPr>
        <w:t xml:space="preserve"> (1990)</w:t>
      </w:r>
      <w:r w:rsidR="002700E9" w:rsidRPr="00DB5E8D">
        <w:rPr>
          <w:rStyle w:val="HTMLCite"/>
          <w:i w:val="0"/>
          <w:sz w:val="22"/>
          <w:szCs w:val="22"/>
        </w:rPr>
        <w:t>.</w:t>
      </w:r>
      <w:proofErr w:type="gramEnd"/>
      <w:r w:rsidR="002700E9" w:rsidRPr="00DB5E8D">
        <w:rPr>
          <w:rStyle w:val="HTMLCite"/>
          <w:i w:val="0"/>
          <w:sz w:val="22"/>
          <w:szCs w:val="22"/>
        </w:rPr>
        <w:t xml:space="preserve"> </w:t>
      </w:r>
      <w:proofErr w:type="gramStart"/>
      <w:r w:rsidR="002700E9" w:rsidRPr="00DB5E8D">
        <w:rPr>
          <w:rStyle w:val="HTMLCite"/>
          <w:iCs w:val="0"/>
          <w:sz w:val="22"/>
          <w:szCs w:val="22"/>
        </w:rPr>
        <w:t>The competitive advantage of nations.</w:t>
      </w:r>
      <w:proofErr w:type="gramEnd"/>
      <w:r w:rsidR="002700E9" w:rsidRPr="00DB5E8D">
        <w:rPr>
          <w:rStyle w:val="HTMLCite"/>
          <w:i w:val="0"/>
          <w:sz w:val="22"/>
          <w:szCs w:val="22"/>
        </w:rPr>
        <w:t xml:space="preserve"> New York: Free Press.</w:t>
      </w:r>
    </w:p>
    <w:p w:rsidR="005517A8" w:rsidRDefault="00C66382" w:rsidP="00A93AED">
      <w:pPr>
        <w:autoSpaceDE w:val="0"/>
        <w:autoSpaceDN w:val="0"/>
        <w:adjustRightInd w:val="0"/>
        <w:ind w:left="426" w:hanging="426"/>
        <w:jc w:val="both"/>
        <w:rPr>
          <w:rStyle w:val="HTMLCite"/>
          <w:sz w:val="22"/>
          <w:szCs w:val="22"/>
        </w:rPr>
      </w:pPr>
      <w:proofErr w:type="gramStart"/>
      <w:r w:rsidRPr="00DB5E8D">
        <w:rPr>
          <w:sz w:val="22"/>
          <w:szCs w:val="22"/>
          <w:lang w:eastAsia="zh-CN"/>
        </w:rPr>
        <w:t xml:space="preserve">Rangel, L. A., Andrade, J., &amp; </w:t>
      </w:r>
      <w:proofErr w:type="spellStart"/>
      <w:r w:rsidRPr="00DB5E8D">
        <w:rPr>
          <w:sz w:val="22"/>
          <w:szCs w:val="22"/>
          <w:lang w:eastAsia="zh-CN"/>
        </w:rPr>
        <w:t>Divino</w:t>
      </w:r>
      <w:proofErr w:type="spellEnd"/>
      <w:r w:rsidRPr="00DB5E8D">
        <w:rPr>
          <w:sz w:val="22"/>
          <w:szCs w:val="22"/>
          <w:lang w:eastAsia="zh-CN"/>
        </w:rPr>
        <w:t>, J. A. (2008).</w:t>
      </w:r>
      <w:proofErr w:type="gramEnd"/>
      <w:r w:rsidRPr="00DB5E8D">
        <w:rPr>
          <w:bCs/>
          <w:sz w:val="22"/>
          <w:szCs w:val="22"/>
          <w:lang w:eastAsia="zh-CN"/>
        </w:rPr>
        <w:t xml:space="preserve"> </w:t>
      </w:r>
      <w:r w:rsidRPr="00DB5E8D">
        <w:rPr>
          <w:bCs/>
          <w:i/>
          <w:sz w:val="22"/>
          <w:szCs w:val="22"/>
          <w:lang w:eastAsia="zh-CN"/>
        </w:rPr>
        <w:t>Economic growth and income inequality in Brazil: Analyzing the comparable minimum areas.</w:t>
      </w:r>
      <w:r w:rsidRPr="00DB5E8D">
        <w:rPr>
          <w:bCs/>
          <w:sz w:val="22"/>
          <w:szCs w:val="22"/>
          <w:lang w:eastAsia="zh-CN"/>
        </w:rPr>
        <w:t xml:space="preserve"> Retrieved March 21, 2009, from European Economics and Finance Society Prague Papers website:</w:t>
      </w:r>
      <w:r w:rsidRPr="00DB5E8D">
        <w:rPr>
          <w:rStyle w:val="HTMLCite"/>
          <w:sz w:val="22"/>
          <w:szCs w:val="22"/>
        </w:rPr>
        <w:t xml:space="preserve"> </w:t>
      </w:r>
    </w:p>
    <w:p w:rsidR="00C66382" w:rsidRPr="00DB5E8D" w:rsidRDefault="00EC1889" w:rsidP="00A93AED">
      <w:pPr>
        <w:autoSpaceDE w:val="0"/>
        <w:autoSpaceDN w:val="0"/>
        <w:adjustRightInd w:val="0"/>
        <w:ind w:left="426" w:hanging="426"/>
        <w:jc w:val="both"/>
        <w:rPr>
          <w:rStyle w:val="HTMLCite"/>
          <w:i w:val="0"/>
          <w:sz w:val="22"/>
          <w:szCs w:val="22"/>
        </w:rPr>
      </w:pPr>
      <w:hyperlink r:id="rId13" w:history="1">
        <w:r w:rsidR="00C66382" w:rsidRPr="00DB5E8D">
          <w:rPr>
            <w:rStyle w:val="Hyperlink"/>
            <w:color w:val="auto"/>
            <w:sz w:val="22"/>
            <w:szCs w:val="22"/>
            <w:u w:val="none"/>
          </w:rPr>
          <w:t>www.eefs.eu/conf/Prague/Papers/S602_Andrade_Divino_Rangel.pdf</w:t>
        </w:r>
      </w:hyperlink>
      <w:r w:rsidR="00C66382" w:rsidRPr="00DB5E8D">
        <w:rPr>
          <w:rStyle w:val="HTMLCite"/>
          <w:i w:val="0"/>
          <w:sz w:val="22"/>
          <w:szCs w:val="22"/>
        </w:rPr>
        <w:t>.</w:t>
      </w:r>
    </w:p>
    <w:p w:rsidR="008964B6" w:rsidRPr="00DB5E8D" w:rsidRDefault="008964B6" w:rsidP="00A93AED">
      <w:pPr>
        <w:ind w:left="426" w:hanging="426"/>
        <w:jc w:val="both"/>
        <w:rPr>
          <w:sz w:val="22"/>
          <w:szCs w:val="22"/>
        </w:rPr>
      </w:pPr>
      <w:proofErr w:type="spellStart"/>
      <w:r w:rsidRPr="00DB5E8D">
        <w:rPr>
          <w:sz w:val="22"/>
          <w:szCs w:val="22"/>
        </w:rPr>
        <w:t>Resende</w:t>
      </w:r>
      <w:proofErr w:type="spellEnd"/>
      <w:r w:rsidRPr="00DB5E8D">
        <w:rPr>
          <w:sz w:val="22"/>
          <w:szCs w:val="22"/>
        </w:rPr>
        <w:t xml:space="preserve">, G. M. (2011). </w:t>
      </w:r>
      <w:r w:rsidRPr="00DB5E8D">
        <w:rPr>
          <w:sz w:val="22"/>
          <w:szCs w:val="22"/>
          <w:lang w:eastAsia="zh-CN"/>
        </w:rPr>
        <w:t>Multiple dimensions of regional economic growth: The Brazilian case, 1991-2000.</w:t>
      </w:r>
      <w:r w:rsidRPr="00DB5E8D">
        <w:rPr>
          <w:sz w:val="22"/>
          <w:szCs w:val="22"/>
        </w:rPr>
        <w:t xml:space="preserve"> </w:t>
      </w:r>
      <w:proofErr w:type="gramStart"/>
      <w:r w:rsidRPr="00DB5E8D">
        <w:rPr>
          <w:i/>
          <w:iCs/>
          <w:sz w:val="22"/>
          <w:szCs w:val="22"/>
          <w:lang w:eastAsia="zh-CN"/>
        </w:rPr>
        <w:t>Papers in Regional Science</w:t>
      </w:r>
      <w:r w:rsidRPr="00DB5E8D">
        <w:rPr>
          <w:sz w:val="22"/>
          <w:szCs w:val="22"/>
          <w:lang w:eastAsia="zh-CN"/>
        </w:rPr>
        <w:t xml:space="preserve">, </w:t>
      </w:r>
      <w:r w:rsidRPr="00DB5E8D">
        <w:rPr>
          <w:i/>
          <w:iCs/>
          <w:sz w:val="22"/>
          <w:szCs w:val="22"/>
          <w:lang w:eastAsia="zh-CN"/>
        </w:rPr>
        <w:t>90</w:t>
      </w:r>
      <w:r w:rsidRPr="00DB5E8D">
        <w:rPr>
          <w:sz w:val="22"/>
          <w:szCs w:val="22"/>
          <w:lang w:eastAsia="zh-CN"/>
        </w:rPr>
        <w:t>(3).</w:t>
      </w:r>
      <w:proofErr w:type="gramEnd"/>
      <w:r w:rsidRPr="00DB5E8D">
        <w:rPr>
          <w:sz w:val="22"/>
          <w:szCs w:val="22"/>
          <w:lang w:eastAsia="zh-CN"/>
        </w:rPr>
        <w:t xml:space="preserve"> doi:10.1111/j.1435-5957.2010.00336.x</w:t>
      </w:r>
    </w:p>
    <w:p w:rsidR="00C6477C" w:rsidRPr="00DB5E8D" w:rsidRDefault="00C6477C" w:rsidP="00A93AED">
      <w:pPr>
        <w:ind w:left="426" w:hanging="426"/>
        <w:jc w:val="both"/>
        <w:rPr>
          <w:sz w:val="22"/>
          <w:szCs w:val="22"/>
        </w:rPr>
      </w:pPr>
      <w:r w:rsidRPr="00DB5E8D">
        <w:rPr>
          <w:sz w:val="22"/>
          <w:szCs w:val="22"/>
        </w:rPr>
        <w:t xml:space="preserve">Road Transportation Information website of </w:t>
      </w:r>
      <w:r w:rsidR="002C6024" w:rsidRPr="00DB5E8D">
        <w:rPr>
          <w:sz w:val="22"/>
          <w:szCs w:val="22"/>
        </w:rPr>
        <w:t xml:space="preserve">The </w:t>
      </w:r>
      <w:r w:rsidRPr="00DB5E8D">
        <w:rPr>
          <w:sz w:val="22"/>
          <w:szCs w:val="22"/>
        </w:rPr>
        <w:t>Ministry of Transportation of Brazil: http://www.transportes.gov.br/bit/inrodo.htm</w:t>
      </w:r>
      <w:r w:rsidR="00B96555" w:rsidRPr="00DB5E8D">
        <w:rPr>
          <w:sz w:val="22"/>
          <w:szCs w:val="22"/>
        </w:rPr>
        <w:t>.</w:t>
      </w:r>
      <w:r w:rsidRPr="00DB5E8D">
        <w:rPr>
          <w:sz w:val="22"/>
          <w:szCs w:val="22"/>
        </w:rPr>
        <w:t xml:space="preserve"> </w:t>
      </w:r>
      <w:proofErr w:type="gramStart"/>
      <w:r w:rsidR="00B96555" w:rsidRPr="00DB5E8D">
        <w:rPr>
          <w:sz w:val="22"/>
          <w:szCs w:val="22"/>
        </w:rPr>
        <w:t>&lt;Accessed March, 2009&gt;.</w:t>
      </w:r>
      <w:proofErr w:type="gramEnd"/>
    </w:p>
    <w:p w:rsidR="005B0044" w:rsidRPr="00DB5E8D" w:rsidRDefault="005B0044" w:rsidP="00A93AED">
      <w:pPr>
        <w:autoSpaceDE w:val="0"/>
        <w:autoSpaceDN w:val="0"/>
        <w:adjustRightInd w:val="0"/>
        <w:ind w:left="426" w:hanging="426"/>
        <w:jc w:val="both"/>
        <w:rPr>
          <w:sz w:val="22"/>
          <w:szCs w:val="22"/>
          <w:lang w:eastAsia="zh-CN"/>
        </w:rPr>
      </w:pPr>
      <w:proofErr w:type="spellStart"/>
      <w:r w:rsidRPr="00DB5E8D">
        <w:rPr>
          <w:sz w:val="22"/>
          <w:szCs w:val="22"/>
          <w:lang w:eastAsia="zh-CN"/>
        </w:rPr>
        <w:t>Rolim</w:t>
      </w:r>
      <w:proofErr w:type="spellEnd"/>
      <w:r w:rsidRPr="00DB5E8D">
        <w:rPr>
          <w:sz w:val="22"/>
          <w:szCs w:val="22"/>
          <w:lang w:eastAsia="zh-CN"/>
        </w:rPr>
        <w:t xml:space="preserve">, C. (2008). </w:t>
      </w:r>
      <w:proofErr w:type="gramStart"/>
      <w:r w:rsidRPr="00DB5E8D">
        <w:rPr>
          <w:bCs/>
          <w:i/>
          <w:iCs/>
          <w:sz w:val="22"/>
          <w:szCs w:val="22"/>
          <w:lang w:eastAsia="zh-CN"/>
        </w:rPr>
        <w:t>Decomposing the GDP growth of the great Brazilian regions: Dynamic shift-share on recent Brazilian economic cycles.</w:t>
      </w:r>
      <w:proofErr w:type="gramEnd"/>
      <w:r w:rsidRPr="00DB5E8D">
        <w:rPr>
          <w:bCs/>
          <w:i/>
          <w:iCs/>
          <w:sz w:val="22"/>
          <w:szCs w:val="22"/>
          <w:lang w:eastAsia="zh-CN"/>
        </w:rPr>
        <w:t xml:space="preserve"> </w:t>
      </w:r>
      <w:proofErr w:type="gramStart"/>
      <w:r w:rsidRPr="00DB5E8D">
        <w:rPr>
          <w:sz w:val="22"/>
          <w:szCs w:val="22"/>
          <w:lang w:eastAsia="zh-CN"/>
        </w:rPr>
        <w:t xml:space="preserve">World Congress of </w:t>
      </w:r>
      <w:r w:rsidRPr="00DB5E8D">
        <w:rPr>
          <w:bCs/>
          <w:sz w:val="22"/>
          <w:szCs w:val="22"/>
          <w:lang w:eastAsia="zh-CN"/>
        </w:rPr>
        <w:t>Regional Science Association International (</w:t>
      </w:r>
      <w:r w:rsidRPr="00DB5E8D">
        <w:rPr>
          <w:sz w:val="22"/>
          <w:szCs w:val="22"/>
          <w:lang w:eastAsia="zh-CN"/>
        </w:rPr>
        <w:t>March 16</w:t>
      </w:r>
      <w:r w:rsidRPr="00DB5E8D">
        <w:rPr>
          <w:sz w:val="22"/>
          <w:szCs w:val="22"/>
          <w:vertAlign w:val="superscript"/>
          <w:lang w:eastAsia="zh-CN"/>
        </w:rPr>
        <w:t>th</w:t>
      </w:r>
      <w:r w:rsidRPr="00DB5E8D">
        <w:rPr>
          <w:sz w:val="22"/>
          <w:szCs w:val="22"/>
          <w:lang w:eastAsia="zh-CN"/>
        </w:rPr>
        <w:t>-19</w:t>
      </w:r>
      <w:r w:rsidRPr="00DB5E8D">
        <w:rPr>
          <w:sz w:val="22"/>
          <w:szCs w:val="22"/>
          <w:vertAlign w:val="superscript"/>
          <w:lang w:eastAsia="zh-CN"/>
        </w:rPr>
        <w:t>th</w:t>
      </w:r>
      <w:r w:rsidRPr="00DB5E8D">
        <w:rPr>
          <w:sz w:val="22"/>
          <w:szCs w:val="22"/>
          <w:lang w:eastAsia="zh-CN"/>
        </w:rPr>
        <w:t>, 2008), University of S</w:t>
      </w:r>
      <w:r w:rsidRPr="00DB5E8D">
        <w:rPr>
          <w:bCs/>
          <w:sz w:val="22"/>
          <w:szCs w:val="22"/>
          <w:lang w:eastAsia="zh-CN"/>
        </w:rPr>
        <w:t>ã</w:t>
      </w:r>
      <w:r w:rsidRPr="00DB5E8D">
        <w:rPr>
          <w:sz w:val="22"/>
          <w:szCs w:val="22"/>
          <w:lang w:eastAsia="zh-CN"/>
        </w:rPr>
        <w:t>o Paulo, Brazil.</w:t>
      </w:r>
      <w:proofErr w:type="gramEnd"/>
      <w:r w:rsidRPr="00DB5E8D">
        <w:rPr>
          <w:sz w:val="22"/>
          <w:szCs w:val="22"/>
          <w:lang w:eastAsia="zh-CN"/>
        </w:rPr>
        <w:t xml:space="preserve"> Available from</w:t>
      </w:r>
      <w:r w:rsidR="001F3C44" w:rsidRPr="00DB5E8D">
        <w:rPr>
          <w:sz w:val="22"/>
          <w:szCs w:val="22"/>
          <w:lang w:eastAsia="zh-CN"/>
        </w:rPr>
        <w:t>:</w:t>
      </w:r>
      <w:r w:rsidRPr="00DB5E8D">
        <w:rPr>
          <w:sz w:val="22"/>
          <w:szCs w:val="22"/>
          <w:lang w:eastAsia="zh-CN"/>
        </w:rPr>
        <w:t xml:space="preserve"> http://www.aber.fea.usp.br/rsai2008/new/htm/event/event.asp</w:t>
      </w:r>
      <w:r w:rsidR="001026A7" w:rsidRPr="00DB5E8D">
        <w:rPr>
          <w:sz w:val="22"/>
          <w:szCs w:val="22"/>
          <w:lang w:eastAsia="zh-CN"/>
        </w:rPr>
        <w:t>.</w:t>
      </w:r>
    </w:p>
    <w:p w:rsidR="002700E9" w:rsidRPr="00DB5E8D" w:rsidRDefault="002700E9" w:rsidP="00A93AED">
      <w:pPr>
        <w:ind w:left="426" w:hanging="426"/>
        <w:jc w:val="both"/>
        <w:rPr>
          <w:sz w:val="22"/>
          <w:szCs w:val="22"/>
          <w:lang w:val="en-US"/>
        </w:rPr>
      </w:pPr>
      <w:proofErr w:type="spellStart"/>
      <w:proofErr w:type="gramStart"/>
      <w:r w:rsidRPr="00DB5E8D">
        <w:rPr>
          <w:sz w:val="22"/>
          <w:szCs w:val="22"/>
        </w:rPr>
        <w:t>Romer</w:t>
      </w:r>
      <w:proofErr w:type="spellEnd"/>
      <w:r w:rsidRPr="00DB5E8D">
        <w:rPr>
          <w:sz w:val="22"/>
          <w:szCs w:val="22"/>
        </w:rPr>
        <w:t>, P. (1986).</w:t>
      </w:r>
      <w:proofErr w:type="gramEnd"/>
      <w:r w:rsidRPr="00DB5E8D">
        <w:rPr>
          <w:sz w:val="22"/>
          <w:szCs w:val="22"/>
        </w:rPr>
        <w:t xml:space="preserve"> </w:t>
      </w:r>
      <w:proofErr w:type="gramStart"/>
      <w:r w:rsidRPr="00DB5E8D">
        <w:rPr>
          <w:sz w:val="22"/>
          <w:szCs w:val="22"/>
        </w:rPr>
        <w:t>Increasing returns and long-run growth.</w:t>
      </w:r>
      <w:proofErr w:type="gramEnd"/>
      <w:r w:rsidRPr="00DB5E8D">
        <w:rPr>
          <w:sz w:val="22"/>
          <w:szCs w:val="22"/>
        </w:rPr>
        <w:t xml:space="preserve"> </w:t>
      </w:r>
      <w:r w:rsidRPr="00DB5E8D">
        <w:rPr>
          <w:i/>
          <w:sz w:val="22"/>
          <w:szCs w:val="22"/>
          <w:lang w:val="en-US"/>
        </w:rPr>
        <w:t>Journal of Political Economy, 94</w:t>
      </w:r>
      <w:r w:rsidRPr="00DB5E8D">
        <w:rPr>
          <w:sz w:val="22"/>
          <w:szCs w:val="22"/>
          <w:lang w:val="en-US"/>
        </w:rPr>
        <w:t>(5), 1002-1037.</w:t>
      </w:r>
    </w:p>
    <w:p w:rsidR="00DA1002" w:rsidRPr="00DB5E8D" w:rsidRDefault="00DA1002" w:rsidP="00A93AED">
      <w:pPr>
        <w:autoSpaceDE w:val="0"/>
        <w:autoSpaceDN w:val="0"/>
        <w:adjustRightInd w:val="0"/>
        <w:ind w:left="426" w:hanging="426"/>
        <w:jc w:val="both"/>
        <w:rPr>
          <w:sz w:val="22"/>
          <w:szCs w:val="22"/>
          <w:lang w:val="es-ES"/>
        </w:rPr>
      </w:pPr>
      <w:proofErr w:type="gramStart"/>
      <w:r w:rsidRPr="00DB5E8D">
        <w:rPr>
          <w:sz w:val="22"/>
          <w:szCs w:val="22"/>
          <w:lang w:eastAsia="zh-CN"/>
        </w:rPr>
        <w:t xml:space="preserve">Silva, M. V. B., &amp; </w:t>
      </w:r>
      <w:proofErr w:type="spellStart"/>
      <w:r w:rsidRPr="00DB5E8D">
        <w:rPr>
          <w:sz w:val="22"/>
          <w:szCs w:val="22"/>
          <w:lang w:eastAsia="zh-CN"/>
        </w:rPr>
        <w:t>Silveira</w:t>
      </w:r>
      <w:r w:rsidR="00ED4F3D" w:rsidRPr="00DB5E8D">
        <w:rPr>
          <w:sz w:val="22"/>
          <w:szCs w:val="22"/>
          <w:lang w:eastAsia="zh-CN"/>
        </w:rPr>
        <w:t>-</w:t>
      </w:r>
      <w:r w:rsidRPr="00DB5E8D">
        <w:rPr>
          <w:sz w:val="22"/>
          <w:szCs w:val="22"/>
          <w:lang w:eastAsia="zh-CN"/>
        </w:rPr>
        <w:t>Neto</w:t>
      </w:r>
      <w:proofErr w:type="spellEnd"/>
      <w:r w:rsidRPr="00DB5E8D">
        <w:rPr>
          <w:sz w:val="22"/>
          <w:szCs w:val="22"/>
          <w:lang w:eastAsia="zh-CN"/>
        </w:rPr>
        <w:t>, R. M. (2007).</w:t>
      </w:r>
      <w:proofErr w:type="gramEnd"/>
      <w:r w:rsidRPr="00DB5E8D">
        <w:rPr>
          <w:sz w:val="22"/>
          <w:szCs w:val="22"/>
          <w:lang w:eastAsia="zh-CN"/>
        </w:rPr>
        <w:t xml:space="preserve"> </w:t>
      </w:r>
      <w:r w:rsidRPr="00DB5E8D">
        <w:rPr>
          <w:bCs/>
          <w:iCs/>
          <w:sz w:val="22"/>
          <w:szCs w:val="22"/>
          <w:lang w:val="es-ES" w:eastAsia="zh-CN"/>
        </w:rPr>
        <w:t xml:space="preserve">Determinantes da </w:t>
      </w:r>
      <w:proofErr w:type="spellStart"/>
      <w:r w:rsidRPr="00DB5E8D">
        <w:rPr>
          <w:bCs/>
          <w:iCs/>
          <w:sz w:val="22"/>
          <w:szCs w:val="22"/>
          <w:lang w:val="es-ES" w:eastAsia="zh-CN"/>
        </w:rPr>
        <w:t>localização</w:t>
      </w:r>
      <w:proofErr w:type="spellEnd"/>
      <w:r w:rsidRPr="00DB5E8D">
        <w:rPr>
          <w:bCs/>
          <w:iCs/>
          <w:sz w:val="22"/>
          <w:szCs w:val="22"/>
          <w:lang w:val="es-ES" w:eastAsia="zh-CN"/>
        </w:rPr>
        <w:t xml:space="preserve"> industrial no Brasil e </w:t>
      </w:r>
      <w:proofErr w:type="spellStart"/>
      <w:r w:rsidRPr="00DB5E8D">
        <w:rPr>
          <w:bCs/>
          <w:iCs/>
          <w:sz w:val="22"/>
          <w:szCs w:val="22"/>
          <w:lang w:val="es-ES" w:eastAsia="zh-CN"/>
        </w:rPr>
        <w:t>geografia</w:t>
      </w:r>
      <w:proofErr w:type="spellEnd"/>
      <w:r w:rsidRPr="00DB5E8D">
        <w:rPr>
          <w:bCs/>
          <w:iCs/>
          <w:sz w:val="22"/>
          <w:szCs w:val="22"/>
          <w:lang w:val="es-ES" w:eastAsia="zh-CN"/>
        </w:rPr>
        <w:t xml:space="preserve"> </w:t>
      </w:r>
      <w:proofErr w:type="spellStart"/>
      <w:r w:rsidRPr="00DB5E8D">
        <w:rPr>
          <w:bCs/>
          <w:iCs/>
          <w:sz w:val="22"/>
          <w:szCs w:val="22"/>
          <w:lang w:val="es-ES" w:eastAsia="zh-CN"/>
        </w:rPr>
        <w:t>econômica</w:t>
      </w:r>
      <w:proofErr w:type="spellEnd"/>
      <w:r w:rsidRPr="00DB5E8D">
        <w:rPr>
          <w:bCs/>
          <w:iCs/>
          <w:sz w:val="22"/>
          <w:szCs w:val="22"/>
          <w:lang w:val="es-ES" w:eastAsia="zh-CN"/>
        </w:rPr>
        <w:t xml:space="preserve">: </w:t>
      </w:r>
      <w:proofErr w:type="spellStart"/>
      <w:r w:rsidRPr="00DB5E8D">
        <w:rPr>
          <w:bCs/>
          <w:iCs/>
          <w:sz w:val="22"/>
          <w:szCs w:val="22"/>
          <w:lang w:val="es-ES" w:eastAsia="zh-CN"/>
        </w:rPr>
        <w:t>Evidências</w:t>
      </w:r>
      <w:proofErr w:type="spellEnd"/>
      <w:r w:rsidRPr="00DB5E8D">
        <w:rPr>
          <w:bCs/>
          <w:iCs/>
          <w:sz w:val="22"/>
          <w:szCs w:val="22"/>
          <w:lang w:val="es-ES" w:eastAsia="zh-CN"/>
        </w:rPr>
        <w:t xml:space="preserve"> para o período </w:t>
      </w:r>
      <w:proofErr w:type="spellStart"/>
      <w:r w:rsidRPr="00DB5E8D">
        <w:rPr>
          <w:bCs/>
          <w:iCs/>
          <w:sz w:val="22"/>
          <w:szCs w:val="22"/>
          <w:lang w:val="es-ES" w:eastAsia="zh-CN"/>
        </w:rPr>
        <w:t>pós</w:t>
      </w:r>
      <w:proofErr w:type="spellEnd"/>
      <w:r w:rsidRPr="00DB5E8D">
        <w:rPr>
          <w:bCs/>
          <w:iCs/>
          <w:sz w:val="22"/>
          <w:szCs w:val="22"/>
          <w:lang w:val="es-ES" w:eastAsia="zh-CN"/>
        </w:rPr>
        <w:t>-real.</w:t>
      </w:r>
      <w:r w:rsidRPr="00DB5E8D">
        <w:rPr>
          <w:bCs/>
          <w:sz w:val="22"/>
          <w:szCs w:val="22"/>
          <w:lang w:val="es-ES" w:eastAsia="zh-CN"/>
        </w:rPr>
        <w:t xml:space="preserve"> </w:t>
      </w:r>
      <w:r w:rsidRPr="00DB5E8D">
        <w:rPr>
          <w:i/>
          <w:sz w:val="22"/>
          <w:szCs w:val="22"/>
          <w:lang w:val="es-ES"/>
        </w:rPr>
        <w:t xml:space="preserve">Revista </w:t>
      </w:r>
      <w:proofErr w:type="spellStart"/>
      <w:r w:rsidRPr="00DB5E8D">
        <w:rPr>
          <w:i/>
          <w:sz w:val="22"/>
          <w:szCs w:val="22"/>
          <w:lang w:val="es-ES"/>
        </w:rPr>
        <w:t>Economia</w:t>
      </w:r>
      <w:proofErr w:type="spellEnd"/>
      <w:r w:rsidRPr="00DB5E8D">
        <w:rPr>
          <w:i/>
          <w:sz w:val="22"/>
          <w:szCs w:val="22"/>
          <w:lang w:val="es-ES"/>
        </w:rPr>
        <w:t>, 8</w:t>
      </w:r>
      <w:r w:rsidRPr="00DB5E8D">
        <w:rPr>
          <w:sz w:val="22"/>
          <w:szCs w:val="22"/>
          <w:lang w:val="es-ES"/>
        </w:rPr>
        <w:t>, 269-288.</w:t>
      </w:r>
    </w:p>
    <w:p w:rsidR="00650787" w:rsidRPr="00DB5E8D" w:rsidRDefault="00650787" w:rsidP="00A93AED">
      <w:pPr>
        <w:ind w:left="426" w:hanging="426"/>
        <w:jc w:val="both"/>
        <w:rPr>
          <w:sz w:val="22"/>
          <w:szCs w:val="22"/>
          <w:lang w:val="es-ES"/>
        </w:rPr>
      </w:pPr>
      <w:r w:rsidRPr="00DB5E8D">
        <w:rPr>
          <w:sz w:val="22"/>
          <w:szCs w:val="22"/>
          <w:lang w:val="es-ES" w:eastAsia="zh-CN"/>
        </w:rPr>
        <w:t>Silveira</w:t>
      </w:r>
      <w:r w:rsidR="00ED4F3D" w:rsidRPr="00DB5E8D">
        <w:rPr>
          <w:sz w:val="22"/>
          <w:szCs w:val="22"/>
          <w:lang w:val="es-ES" w:eastAsia="zh-CN"/>
        </w:rPr>
        <w:t>-</w:t>
      </w:r>
      <w:r w:rsidRPr="00DB5E8D">
        <w:rPr>
          <w:sz w:val="22"/>
          <w:szCs w:val="22"/>
          <w:lang w:val="es-ES" w:eastAsia="zh-CN"/>
        </w:rPr>
        <w:t xml:space="preserve">Neto, R., &amp; </w:t>
      </w:r>
      <w:proofErr w:type="spellStart"/>
      <w:r w:rsidRPr="00DB5E8D">
        <w:rPr>
          <w:sz w:val="22"/>
          <w:szCs w:val="22"/>
          <w:lang w:val="es-ES" w:eastAsia="zh-CN"/>
        </w:rPr>
        <w:t>Azzoni</w:t>
      </w:r>
      <w:proofErr w:type="spellEnd"/>
      <w:r w:rsidRPr="00DB5E8D">
        <w:rPr>
          <w:sz w:val="22"/>
          <w:szCs w:val="22"/>
          <w:lang w:val="es-ES" w:eastAsia="zh-CN"/>
        </w:rPr>
        <w:t xml:space="preserve">, C. R. (2006). </w:t>
      </w:r>
      <w:proofErr w:type="spellStart"/>
      <w:r w:rsidRPr="00DB5E8D">
        <w:rPr>
          <w:sz w:val="22"/>
          <w:szCs w:val="22"/>
          <w:lang w:val="es-ES" w:eastAsia="zh-CN"/>
        </w:rPr>
        <w:t>Location</w:t>
      </w:r>
      <w:proofErr w:type="spellEnd"/>
      <w:r w:rsidRPr="00DB5E8D">
        <w:rPr>
          <w:sz w:val="22"/>
          <w:szCs w:val="22"/>
          <w:lang w:val="es-ES" w:eastAsia="zh-CN"/>
        </w:rPr>
        <w:t xml:space="preserve"> and regional </w:t>
      </w:r>
      <w:proofErr w:type="spellStart"/>
      <w:r w:rsidRPr="00DB5E8D">
        <w:rPr>
          <w:sz w:val="22"/>
          <w:szCs w:val="22"/>
          <w:lang w:val="es-ES" w:eastAsia="zh-CN"/>
        </w:rPr>
        <w:t>income</w:t>
      </w:r>
      <w:proofErr w:type="spellEnd"/>
      <w:r w:rsidRPr="00DB5E8D">
        <w:rPr>
          <w:sz w:val="22"/>
          <w:szCs w:val="22"/>
          <w:lang w:val="es-ES" w:eastAsia="zh-CN"/>
        </w:rPr>
        <w:t xml:space="preserve"> </w:t>
      </w:r>
      <w:proofErr w:type="spellStart"/>
      <w:r w:rsidRPr="00DB5E8D">
        <w:rPr>
          <w:sz w:val="22"/>
          <w:szCs w:val="22"/>
          <w:lang w:val="es-ES" w:eastAsia="zh-CN"/>
        </w:rPr>
        <w:t>disparity</w:t>
      </w:r>
      <w:proofErr w:type="spellEnd"/>
      <w:r w:rsidRPr="00DB5E8D">
        <w:rPr>
          <w:sz w:val="22"/>
          <w:szCs w:val="22"/>
          <w:lang w:val="es-ES" w:eastAsia="zh-CN"/>
        </w:rPr>
        <w:t xml:space="preserve"> </w:t>
      </w:r>
      <w:proofErr w:type="spellStart"/>
      <w:r w:rsidRPr="00DB5E8D">
        <w:rPr>
          <w:sz w:val="22"/>
          <w:szCs w:val="22"/>
          <w:lang w:val="es-ES" w:eastAsia="zh-CN"/>
        </w:rPr>
        <w:t>dynamics</w:t>
      </w:r>
      <w:proofErr w:type="spellEnd"/>
      <w:r w:rsidRPr="00DB5E8D">
        <w:rPr>
          <w:sz w:val="22"/>
          <w:szCs w:val="22"/>
          <w:lang w:val="es-ES" w:eastAsia="zh-CN"/>
        </w:rPr>
        <w:t xml:space="preserve">: </w:t>
      </w:r>
      <w:proofErr w:type="spellStart"/>
      <w:r w:rsidRPr="00DB5E8D">
        <w:rPr>
          <w:sz w:val="22"/>
          <w:szCs w:val="22"/>
          <w:lang w:val="es-ES" w:eastAsia="zh-CN"/>
        </w:rPr>
        <w:t>The</w:t>
      </w:r>
      <w:proofErr w:type="spellEnd"/>
      <w:r w:rsidRPr="00DB5E8D">
        <w:rPr>
          <w:sz w:val="22"/>
          <w:szCs w:val="22"/>
          <w:lang w:val="es-ES" w:eastAsia="zh-CN"/>
        </w:rPr>
        <w:t xml:space="preserve"> </w:t>
      </w:r>
      <w:proofErr w:type="spellStart"/>
      <w:r w:rsidRPr="00DB5E8D">
        <w:rPr>
          <w:sz w:val="22"/>
          <w:szCs w:val="22"/>
          <w:lang w:val="es-ES" w:eastAsia="zh-CN"/>
        </w:rPr>
        <w:t>Brazilian</w:t>
      </w:r>
      <w:proofErr w:type="spellEnd"/>
      <w:r w:rsidRPr="00DB5E8D">
        <w:rPr>
          <w:sz w:val="22"/>
          <w:szCs w:val="22"/>
          <w:lang w:val="es-ES" w:eastAsia="zh-CN"/>
        </w:rPr>
        <w:t xml:space="preserve"> case. </w:t>
      </w:r>
      <w:proofErr w:type="spellStart"/>
      <w:r w:rsidRPr="00DB5E8D">
        <w:rPr>
          <w:i/>
          <w:sz w:val="22"/>
          <w:szCs w:val="22"/>
          <w:lang w:val="es-ES" w:eastAsia="zh-CN"/>
        </w:rPr>
        <w:t>Papers</w:t>
      </w:r>
      <w:proofErr w:type="spellEnd"/>
      <w:r w:rsidRPr="00DB5E8D">
        <w:rPr>
          <w:i/>
          <w:sz w:val="22"/>
          <w:szCs w:val="22"/>
          <w:lang w:val="es-ES" w:eastAsia="zh-CN"/>
        </w:rPr>
        <w:t xml:space="preserve"> in Regional </w:t>
      </w:r>
      <w:proofErr w:type="spellStart"/>
      <w:r w:rsidRPr="00DB5E8D">
        <w:rPr>
          <w:i/>
          <w:sz w:val="22"/>
          <w:szCs w:val="22"/>
          <w:lang w:val="es-ES" w:eastAsia="zh-CN"/>
        </w:rPr>
        <w:t>Science</w:t>
      </w:r>
      <w:proofErr w:type="spellEnd"/>
      <w:r w:rsidRPr="00DB5E8D">
        <w:rPr>
          <w:sz w:val="22"/>
          <w:szCs w:val="22"/>
          <w:lang w:val="es-ES" w:eastAsia="zh-CN"/>
        </w:rPr>
        <w:t xml:space="preserve">, </w:t>
      </w:r>
      <w:r w:rsidRPr="00DB5E8D">
        <w:rPr>
          <w:i/>
          <w:sz w:val="22"/>
          <w:szCs w:val="22"/>
          <w:lang w:val="es-ES" w:eastAsia="zh-CN"/>
        </w:rPr>
        <w:t>85</w:t>
      </w:r>
      <w:r w:rsidRPr="00DB5E8D">
        <w:rPr>
          <w:sz w:val="22"/>
          <w:szCs w:val="22"/>
          <w:lang w:val="es-ES" w:eastAsia="zh-CN"/>
        </w:rPr>
        <w:t>(4), 599-613.</w:t>
      </w:r>
      <w:r w:rsidRPr="00DB5E8D">
        <w:rPr>
          <w:sz w:val="22"/>
          <w:szCs w:val="22"/>
          <w:lang w:val="es-ES"/>
        </w:rPr>
        <w:t xml:space="preserve"> </w:t>
      </w:r>
    </w:p>
    <w:p w:rsidR="0004206E" w:rsidRPr="00DB5E8D" w:rsidRDefault="0004206E" w:rsidP="00A93AED">
      <w:pPr>
        <w:autoSpaceDE w:val="0"/>
        <w:autoSpaceDN w:val="0"/>
        <w:adjustRightInd w:val="0"/>
        <w:ind w:left="426" w:hanging="426"/>
        <w:rPr>
          <w:sz w:val="22"/>
          <w:szCs w:val="22"/>
        </w:rPr>
      </w:pPr>
      <w:r w:rsidRPr="00DB5E8D">
        <w:rPr>
          <w:sz w:val="22"/>
          <w:szCs w:val="22"/>
          <w:lang w:eastAsia="zh-CN"/>
        </w:rPr>
        <w:t xml:space="preserve">Wooldridge, J. M. (2002). </w:t>
      </w:r>
      <w:proofErr w:type="gramStart"/>
      <w:r w:rsidRPr="00DB5E8D">
        <w:rPr>
          <w:i/>
          <w:sz w:val="22"/>
          <w:szCs w:val="22"/>
        </w:rPr>
        <w:t xml:space="preserve">Solutions manual and supplementary materials for </w:t>
      </w:r>
      <w:r w:rsidR="00C637AA" w:rsidRPr="00DB5E8D">
        <w:rPr>
          <w:i/>
          <w:sz w:val="22"/>
          <w:szCs w:val="22"/>
        </w:rPr>
        <w:t>e</w:t>
      </w:r>
      <w:r w:rsidRPr="00DB5E8D">
        <w:rPr>
          <w:i/>
          <w:sz w:val="22"/>
          <w:szCs w:val="22"/>
        </w:rPr>
        <w:t>conometric analysis of cross section and panel data</w:t>
      </w:r>
      <w:r w:rsidRPr="00DB5E8D">
        <w:rPr>
          <w:sz w:val="22"/>
          <w:szCs w:val="22"/>
        </w:rPr>
        <w:t>.</w:t>
      </w:r>
      <w:proofErr w:type="gramEnd"/>
      <w:r w:rsidRPr="00DB5E8D">
        <w:rPr>
          <w:sz w:val="22"/>
          <w:szCs w:val="22"/>
        </w:rPr>
        <w:t xml:space="preserve"> Cambridge, MA: MIT Press. </w:t>
      </w:r>
    </w:p>
    <w:p w:rsidR="0004206E" w:rsidRPr="00DB5E8D" w:rsidRDefault="0004206E" w:rsidP="00A93AED">
      <w:pPr>
        <w:autoSpaceDE w:val="0"/>
        <w:autoSpaceDN w:val="0"/>
        <w:adjustRightInd w:val="0"/>
        <w:ind w:left="426" w:hanging="426"/>
        <w:rPr>
          <w:sz w:val="22"/>
          <w:szCs w:val="22"/>
        </w:rPr>
      </w:pPr>
      <w:r w:rsidRPr="00DB5E8D">
        <w:rPr>
          <w:color w:val="000000"/>
          <w:sz w:val="22"/>
          <w:szCs w:val="22"/>
        </w:rPr>
        <w:t xml:space="preserve">Wooldridge, J. M. (2002). </w:t>
      </w:r>
      <w:proofErr w:type="gramStart"/>
      <w:r w:rsidRPr="00DB5E8D">
        <w:rPr>
          <w:i/>
          <w:color w:val="000000"/>
          <w:sz w:val="22"/>
          <w:szCs w:val="22"/>
        </w:rPr>
        <w:t>Econometric analysis of cross section and panel data</w:t>
      </w:r>
      <w:r w:rsidRPr="00DB5E8D">
        <w:rPr>
          <w:color w:val="000000"/>
          <w:sz w:val="22"/>
          <w:szCs w:val="22"/>
        </w:rPr>
        <w:t>.</w:t>
      </w:r>
      <w:proofErr w:type="gramEnd"/>
      <w:r w:rsidRPr="00DB5E8D">
        <w:rPr>
          <w:color w:val="000000"/>
          <w:sz w:val="22"/>
          <w:szCs w:val="22"/>
        </w:rPr>
        <w:t xml:space="preserve"> </w:t>
      </w:r>
      <w:r w:rsidRPr="00DB5E8D">
        <w:rPr>
          <w:sz w:val="22"/>
          <w:szCs w:val="22"/>
        </w:rPr>
        <w:t xml:space="preserve">Cambridge, MA: MIT Press. </w:t>
      </w:r>
    </w:p>
    <w:p w:rsidR="009E4180" w:rsidRDefault="009E4180" w:rsidP="00877A16">
      <w:pPr>
        <w:autoSpaceDE w:val="0"/>
        <w:autoSpaceDN w:val="0"/>
        <w:adjustRightInd w:val="0"/>
        <w:spacing w:line="276" w:lineRule="auto"/>
        <w:jc w:val="center"/>
        <w:rPr>
          <w:lang w:eastAsia="zh-CN"/>
        </w:rPr>
        <w:sectPr w:rsidR="009E4180" w:rsidSect="00B72D1F">
          <w:footerReference w:type="default" r:id="rId14"/>
          <w:footerReference w:type="first" r:id="rId15"/>
          <w:pgSz w:w="11907" w:h="16840" w:code="9"/>
          <w:pgMar w:top="1440" w:right="1440" w:bottom="1440" w:left="1440" w:header="720" w:footer="720" w:gutter="0"/>
          <w:pgNumType w:start="1"/>
          <w:cols w:space="720"/>
          <w:titlePg/>
          <w:docGrid w:linePitch="360"/>
        </w:sectPr>
      </w:pPr>
    </w:p>
    <w:p w:rsidR="002E1AA3" w:rsidRPr="009E63D4" w:rsidRDefault="002E1AA3" w:rsidP="00877A16">
      <w:pPr>
        <w:autoSpaceDE w:val="0"/>
        <w:autoSpaceDN w:val="0"/>
        <w:adjustRightInd w:val="0"/>
        <w:spacing w:line="276" w:lineRule="auto"/>
        <w:jc w:val="center"/>
        <w:rPr>
          <w:b/>
          <w:u w:val="single"/>
          <w:lang w:eastAsia="zh-CN"/>
        </w:rPr>
      </w:pPr>
    </w:p>
    <w:p w:rsidR="009E4180" w:rsidRPr="00A93AED" w:rsidRDefault="009E4180" w:rsidP="00877A16">
      <w:pPr>
        <w:autoSpaceDE w:val="0"/>
        <w:autoSpaceDN w:val="0"/>
        <w:adjustRightInd w:val="0"/>
        <w:jc w:val="center"/>
        <w:rPr>
          <w:b/>
          <w:bCs/>
          <w:lang w:eastAsia="zh-CN"/>
        </w:rPr>
      </w:pPr>
      <w:r w:rsidRPr="00A93AED">
        <w:rPr>
          <w:b/>
          <w:lang w:eastAsia="zh-CN"/>
        </w:rPr>
        <w:t xml:space="preserve">Table </w:t>
      </w:r>
      <w:r w:rsidR="00C36CF1" w:rsidRPr="00A93AED">
        <w:rPr>
          <w:b/>
          <w:lang w:eastAsia="zh-CN"/>
        </w:rPr>
        <w:t>2</w:t>
      </w:r>
      <w:r w:rsidRPr="00A93AED">
        <w:rPr>
          <w:b/>
          <w:lang w:eastAsia="zh-CN"/>
        </w:rPr>
        <w:t xml:space="preserve">: </w:t>
      </w:r>
      <w:r w:rsidR="005E415E" w:rsidRPr="00A93AED">
        <w:rPr>
          <w:b/>
          <w:bCs/>
          <w:lang w:eastAsia="zh-CN"/>
        </w:rPr>
        <w:t>Variables used in the analysis</w:t>
      </w:r>
    </w:p>
    <w:p w:rsidR="00C36CF1" w:rsidRPr="00A93AED" w:rsidRDefault="00C36CF1" w:rsidP="00877A16">
      <w:pPr>
        <w:autoSpaceDE w:val="0"/>
        <w:autoSpaceDN w:val="0"/>
        <w:adjustRightInd w:val="0"/>
        <w:jc w:val="center"/>
        <w:rPr>
          <w:sz w:val="12"/>
          <w:szCs w:val="12"/>
          <w:lang w:eastAsia="zh-CN"/>
        </w:rPr>
      </w:pPr>
    </w:p>
    <w:tbl>
      <w:tblPr>
        <w:tblW w:w="12617" w:type="dxa"/>
        <w:jc w:val="center"/>
        <w:tblInd w:w="-1168" w:type="dxa"/>
        <w:tblBorders>
          <w:top w:val="single" w:sz="4" w:space="0" w:color="000000"/>
          <w:bottom w:val="single" w:sz="4" w:space="0" w:color="000000"/>
          <w:insideH w:val="single" w:sz="4" w:space="0" w:color="000000"/>
          <w:insideV w:val="single" w:sz="4" w:space="0" w:color="000000"/>
        </w:tblBorders>
        <w:tblLayout w:type="fixed"/>
        <w:tblLook w:val="04A0"/>
      </w:tblPr>
      <w:tblGrid>
        <w:gridCol w:w="2127"/>
        <w:gridCol w:w="4536"/>
        <w:gridCol w:w="2977"/>
        <w:gridCol w:w="2977"/>
      </w:tblGrid>
      <w:tr w:rsidR="00C36CF1" w:rsidRPr="00D63B8F" w:rsidTr="002F356F">
        <w:trPr>
          <w:jc w:val="center"/>
        </w:trPr>
        <w:tc>
          <w:tcPr>
            <w:tcW w:w="12617" w:type="dxa"/>
            <w:gridSpan w:val="4"/>
          </w:tcPr>
          <w:p w:rsidR="00C36CF1" w:rsidRPr="00CC6F1F" w:rsidRDefault="00C36CF1" w:rsidP="00B574A1">
            <w:pPr>
              <w:autoSpaceDE w:val="0"/>
              <w:autoSpaceDN w:val="0"/>
              <w:adjustRightInd w:val="0"/>
              <w:spacing w:before="100" w:after="100"/>
              <w:ind w:right="10"/>
              <w:jc w:val="center"/>
              <w:rPr>
                <w:b/>
                <w:sz w:val="20"/>
                <w:szCs w:val="20"/>
              </w:rPr>
            </w:pPr>
            <w:r>
              <w:rPr>
                <w:b/>
                <w:sz w:val="20"/>
                <w:szCs w:val="20"/>
              </w:rPr>
              <w:t>Dependent Variables</w:t>
            </w:r>
          </w:p>
        </w:tc>
      </w:tr>
      <w:tr w:rsidR="00C36CF1" w:rsidRPr="00D63B8F" w:rsidTr="002F356F">
        <w:trPr>
          <w:jc w:val="center"/>
        </w:trPr>
        <w:tc>
          <w:tcPr>
            <w:tcW w:w="2127" w:type="dxa"/>
          </w:tcPr>
          <w:p w:rsidR="00C36CF1" w:rsidRPr="00CC6F1F" w:rsidRDefault="00C36CF1" w:rsidP="00B574A1">
            <w:pPr>
              <w:spacing w:before="100" w:after="100"/>
              <w:jc w:val="both"/>
              <w:rPr>
                <w:b/>
                <w:sz w:val="20"/>
                <w:szCs w:val="20"/>
              </w:rPr>
            </w:pPr>
            <w:r w:rsidRPr="00CC6F1F">
              <w:rPr>
                <w:b/>
                <w:sz w:val="20"/>
                <w:szCs w:val="20"/>
              </w:rPr>
              <w:t>Variable</w:t>
            </w:r>
          </w:p>
        </w:tc>
        <w:tc>
          <w:tcPr>
            <w:tcW w:w="4536" w:type="dxa"/>
          </w:tcPr>
          <w:p w:rsidR="00C36CF1" w:rsidRPr="00CC6F1F" w:rsidRDefault="00C36CF1" w:rsidP="00B574A1">
            <w:pPr>
              <w:spacing w:before="100" w:after="100"/>
              <w:jc w:val="both"/>
              <w:rPr>
                <w:b/>
                <w:sz w:val="20"/>
                <w:szCs w:val="20"/>
              </w:rPr>
            </w:pPr>
            <w:r w:rsidRPr="00CC6F1F">
              <w:rPr>
                <w:b/>
                <w:sz w:val="20"/>
                <w:szCs w:val="20"/>
              </w:rPr>
              <w:t>Expression</w:t>
            </w:r>
          </w:p>
        </w:tc>
        <w:tc>
          <w:tcPr>
            <w:tcW w:w="2977" w:type="dxa"/>
          </w:tcPr>
          <w:p w:rsidR="00C36CF1" w:rsidRPr="00CC6F1F" w:rsidRDefault="00C36CF1" w:rsidP="00B574A1">
            <w:pPr>
              <w:autoSpaceDE w:val="0"/>
              <w:autoSpaceDN w:val="0"/>
              <w:adjustRightInd w:val="0"/>
              <w:spacing w:before="100" w:after="100"/>
              <w:ind w:right="10"/>
              <w:jc w:val="both"/>
              <w:rPr>
                <w:b/>
                <w:i/>
                <w:color w:val="000000"/>
                <w:sz w:val="20"/>
                <w:szCs w:val="20"/>
                <w:lang w:eastAsia="zh-CN"/>
              </w:rPr>
            </w:pPr>
            <w:r w:rsidRPr="00CC6F1F">
              <w:rPr>
                <w:b/>
                <w:sz w:val="20"/>
                <w:szCs w:val="20"/>
              </w:rPr>
              <w:t>Explanation</w:t>
            </w:r>
          </w:p>
        </w:tc>
        <w:tc>
          <w:tcPr>
            <w:tcW w:w="2977" w:type="dxa"/>
          </w:tcPr>
          <w:p w:rsidR="00C36CF1" w:rsidRPr="00CC6F1F" w:rsidRDefault="002C771E" w:rsidP="00B574A1">
            <w:pPr>
              <w:autoSpaceDE w:val="0"/>
              <w:autoSpaceDN w:val="0"/>
              <w:adjustRightInd w:val="0"/>
              <w:spacing w:before="100" w:after="100"/>
              <w:ind w:right="10"/>
              <w:jc w:val="both"/>
              <w:rPr>
                <w:b/>
                <w:sz w:val="20"/>
                <w:szCs w:val="20"/>
              </w:rPr>
            </w:pPr>
            <w:r>
              <w:rPr>
                <w:b/>
                <w:sz w:val="20"/>
                <w:szCs w:val="20"/>
              </w:rPr>
              <w:t>Means and standard deviations</w:t>
            </w:r>
          </w:p>
        </w:tc>
      </w:tr>
      <w:tr w:rsidR="00C36CF1" w:rsidRPr="00D63B8F" w:rsidTr="002F356F">
        <w:trPr>
          <w:jc w:val="center"/>
        </w:trPr>
        <w:tc>
          <w:tcPr>
            <w:tcW w:w="2127" w:type="dxa"/>
          </w:tcPr>
          <w:p w:rsidR="00B574A1" w:rsidRDefault="00B574A1" w:rsidP="00B574A1">
            <w:pPr>
              <w:rPr>
                <w:sz w:val="20"/>
                <w:szCs w:val="20"/>
              </w:rPr>
            </w:pPr>
          </w:p>
          <w:p w:rsidR="00B574A1" w:rsidRDefault="00C36CF1" w:rsidP="00B574A1">
            <w:pPr>
              <w:rPr>
                <w:sz w:val="20"/>
                <w:szCs w:val="20"/>
              </w:rPr>
            </w:pPr>
            <w:r w:rsidRPr="00D63B8F">
              <w:rPr>
                <w:sz w:val="20"/>
                <w:szCs w:val="20"/>
              </w:rPr>
              <w:t xml:space="preserve">Growth of </w:t>
            </w:r>
          </w:p>
          <w:p w:rsidR="00C36CF1" w:rsidRPr="00D63B8F" w:rsidRDefault="00C36CF1" w:rsidP="00B574A1">
            <w:pPr>
              <w:rPr>
                <w:sz w:val="20"/>
                <w:szCs w:val="20"/>
              </w:rPr>
            </w:pPr>
            <w:r w:rsidRPr="00D63B8F">
              <w:rPr>
                <w:sz w:val="20"/>
                <w:szCs w:val="20"/>
              </w:rPr>
              <w:t>Employment</w:t>
            </w:r>
          </w:p>
        </w:tc>
        <w:tc>
          <w:tcPr>
            <w:tcW w:w="4536" w:type="dxa"/>
          </w:tcPr>
          <w:p w:rsidR="00C36CF1" w:rsidRPr="00994C3A" w:rsidRDefault="00C36CF1" w:rsidP="00877A16">
            <w:pPr>
              <w:jc w:val="both"/>
              <w:rPr>
                <w:sz w:val="20"/>
                <w:szCs w:val="20"/>
              </w:rPr>
            </w:pPr>
          </w:p>
          <w:p w:rsidR="00C36CF1" w:rsidRPr="00994C3A" w:rsidRDefault="00C36CF1" w:rsidP="00877A16">
            <w:pPr>
              <w:jc w:val="both"/>
              <w:rPr>
                <w:iCs/>
                <w:sz w:val="20"/>
                <w:szCs w:val="20"/>
              </w:rPr>
            </w:pPr>
            <m:oMathPara>
              <m:oMath>
                <m:r>
                  <m:rPr>
                    <m:sty m:val="p"/>
                  </m:rPr>
                  <w:rPr>
                    <w:rFonts w:ascii="Cambria Math" w:hAnsi="Cambria Math"/>
                    <w:sz w:val="20"/>
                    <w:szCs w:val="20"/>
                  </w:rPr>
                  <m:t>VDEP=ln(</m:t>
                </m:r>
                <m:f>
                  <m:fPr>
                    <m:ctrlPr>
                      <w:rPr>
                        <w:rFonts w:ascii="Cambria Math" w:hAnsi="Cambria Math"/>
                        <w:iCs/>
                        <w:sz w:val="20"/>
                        <w:szCs w:val="20"/>
                      </w:rPr>
                    </m:ctrlPr>
                  </m:fPr>
                  <m:num>
                    <m:sSub>
                      <m:sSubPr>
                        <m:ctrlPr>
                          <w:rPr>
                            <w:rFonts w:ascii="Cambria Math" w:hAnsi="Cambria Math"/>
                            <w:iCs/>
                            <w:sz w:val="20"/>
                            <w:szCs w:val="20"/>
                          </w:rPr>
                        </m:ctrlPr>
                      </m:sSubPr>
                      <m:e>
                        <m:r>
                          <m:rPr>
                            <m:sty m:val="p"/>
                          </m:rPr>
                          <w:rPr>
                            <w:rFonts w:ascii="Cambria Math" w:hAnsi="Cambria Math"/>
                            <w:sz w:val="20"/>
                            <w:szCs w:val="20"/>
                          </w:rPr>
                          <m:t>E</m:t>
                        </m:r>
                      </m:e>
                      <m:sub>
                        <m:r>
                          <m:rPr>
                            <m:sty m:val="p"/>
                          </m:rPr>
                          <w:rPr>
                            <w:rFonts w:ascii="Cambria Math" w:hAnsi="Cambria Math"/>
                            <w:sz w:val="20"/>
                            <w:szCs w:val="20"/>
                          </w:rPr>
                          <m:t>t</m:t>
                        </m:r>
                      </m:sub>
                    </m:sSub>
                  </m:num>
                  <m:den>
                    <m:sSub>
                      <m:sSubPr>
                        <m:ctrlPr>
                          <w:rPr>
                            <w:rFonts w:ascii="Cambria Math" w:hAnsi="Cambria Math"/>
                            <w:iCs/>
                            <w:sz w:val="20"/>
                            <w:szCs w:val="20"/>
                          </w:rPr>
                        </m:ctrlPr>
                      </m:sSubPr>
                      <m:e>
                        <m:r>
                          <m:rPr>
                            <m:sty m:val="p"/>
                          </m:rPr>
                          <w:rPr>
                            <w:rFonts w:ascii="Cambria Math" w:hAnsi="Cambria Math"/>
                            <w:sz w:val="20"/>
                            <w:szCs w:val="20"/>
                          </w:rPr>
                          <m:t>E</m:t>
                        </m:r>
                      </m:e>
                      <m:sub>
                        <m:r>
                          <m:rPr>
                            <m:sty m:val="p"/>
                          </m:rPr>
                          <w:rPr>
                            <w:rFonts w:ascii="Cambria Math" w:hAnsi="Cambria Math"/>
                            <w:sz w:val="20"/>
                            <w:szCs w:val="20"/>
                          </w:rPr>
                          <m:t>t-1</m:t>
                        </m:r>
                      </m:sub>
                    </m:sSub>
                  </m:den>
                </m:f>
                <m:r>
                  <m:rPr>
                    <m:sty m:val="p"/>
                  </m:rPr>
                  <w:rPr>
                    <w:rFonts w:ascii="Cambria Math" w:hAnsi="Cambria Math"/>
                    <w:sz w:val="20"/>
                    <w:szCs w:val="20"/>
                  </w:rPr>
                  <m:t>)</m:t>
                </m:r>
              </m:oMath>
            </m:oMathPara>
          </w:p>
          <w:p w:rsidR="00C36CF1" w:rsidRPr="00945572" w:rsidRDefault="00C36CF1" w:rsidP="00877A16">
            <w:pPr>
              <w:jc w:val="both"/>
              <w:rPr>
                <w:sz w:val="20"/>
                <w:szCs w:val="20"/>
              </w:rPr>
            </w:pPr>
            <w:r w:rsidRPr="0046421B">
              <w:rPr>
                <w:sz w:val="20"/>
                <w:szCs w:val="20"/>
                <w:lang w:val="nl-NL"/>
              </w:rPr>
              <w:t xml:space="preserve">(as in Glaeser </w:t>
            </w:r>
            <w:r w:rsidRPr="002C771E">
              <w:rPr>
                <w:i/>
                <w:iCs/>
                <w:sz w:val="20"/>
                <w:szCs w:val="20"/>
                <w:lang w:val="nl-NL"/>
              </w:rPr>
              <w:t>et</w:t>
            </w:r>
            <w:r w:rsidR="002C771E" w:rsidRPr="002C771E">
              <w:rPr>
                <w:i/>
                <w:iCs/>
                <w:sz w:val="20"/>
                <w:szCs w:val="20"/>
                <w:lang w:val="nl-NL"/>
              </w:rPr>
              <w:t xml:space="preserve"> </w:t>
            </w:r>
            <w:r w:rsidRPr="002C771E">
              <w:rPr>
                <w:i/>
                <w:iCs/>
                <w:sz w:val="20"/>
                <w:szCs w:val="20"/>
                <w:lang w:val="nl-NL"/>
              </w:rPr>
              <w:t>al.</w:t>
            </w:r>
            <w:r w:rsidRPr="0046421B">
              <w:rPr>
                <w:sz w:val="20"/>
                <w:szCs w:val="20"/>
                <w:lang w:val="nl-NL"/>
              </w:rPr>
              <w:t xml:space="preserve"> </w:t>
            </w:r>
            <w:r w:rsidRPr="00945572">
              <w:rPr>
                <w:sz w:val="20"/>
                <w:szCs w:val="20"/>
                <w:lang w:val="en-US"/>
              </w:rPr>
              <w:t xml:space="preserve">(1992)) </w:t>
            </w:r>
          </w:p>
        </w:tc>
        <w:tc>
          <w:tcPr>
            <w:tcW w:w="2977" w:type="dxa"/>
          </w:tcPr>
          <w:p w:rsidR="00B574A1" w:rsidRDefault="00B574A1" w:rsidP="00B574A1">
            <w:pPr>
              <w:autoSpaceDE w:val="0"/>
              <w:autoSpaceDN w:val="0"/>
              <w:adjustRightInd w:val="0"/>
              <w:ind w:right="10"/>
              <w:rPr>
                <w:sz w:val="20"/>
                <w:szCs w:val="20"/>
              </w:rPr>
            </w:pPr>
          </w:p>
          <w:p w:rsidR="00C36CF1" w:rsidRPr="00D63B8F" w:rsidRDefault="00C36CF1" w:rsidP="00B574A1">
            <w:pPr>
              <w:autoSpaceDE w:val="0"/>
              <w:autoSpaceDN w:val="0"/>
              <w:adjustRightInd w:val="0"/>
              <w:ind w:right="10"/>
              <w:rPr>
                <w:i/>
                <w:color w:val="000000"/>
                <w:sz w:val="20"/>
                <w:szCs w:val="20"/>
                <w:lang w:eastAsia="zh-CN"/>
              </w:rPr>
            </w:pPr>
            <w:r>
              <w:rPr>
                <w:sz w:val="20"/>
                <w:szCs w:val="20"/>
              </w:rPr>
              <w:t>States’ m</w:t>
            </w:r>
            <w:r w:rsidRPr="00D63B8F">
              <w:rPr>
                <w:sz w:val="20"/>
                <w:szCs w:val="20"/>
              </w:rPr>
              <w:t>anufactur</w:t>
            </w:r>
            <w:r>
              <w:rPr>
                <w:sz w:val="20"/>
                <w:szCs w:val="20"/>
              </w:rPr>
              <w:t xml:space="preserve">ing </w:t>
            </w:r>
            <w:r w:rsidRPr="00D63B8F">
              <w:rPr>
                <w:sz w:val="20"/>
                <w:szCs w:val="20"/>
              </w:rPr>
              <w:t xml:space="preserve">employment </w:t>
            </w:r>
            <w:r>
              <w:rPr>
                <w:sz w:val="20"/>
                <w:szCs w:val="20"/>
              </w:rPr>
              <w:t xml:space="preserve">growth from </w:t>
            </w:r>
            <w:r w:rsidRPr="00B43760">
              <w:rPr>
                <w:i/>
                <w:sz w:val="20"/>
                <w:szCs w:val="20"/>
              </w:rPr>
              <w:t>t</w:t>
            </w:r>
            <w:r>
              <w:rPr>
                <w:iCs/>
                <w:sz w:val="20"/>
                <w:szCs w:val="20"/>
              </w:rPr>
              <w:t xml:space="preserve">-1 to </w:t>
            </w:r>
            <w:r w:rsidRPr="00B43760">
              <w:rPr>
                <w:i/>
                <w:sz w:val="20"/>
                <w:szCs w:val="20"/>
              </w:rPr>
              <w:t>t</w:t>
            </w:r>
            <w:r w:rsidRPr="00D63B8F">
              <w:rPr>
                <w:sz w:val="20"/>
                <w:szCs w:val="20"/>
              </w:rPr>
              <w:t xml:space="preserve">. </w:t>
            </w:r>
          </w:p>
        </w:tc>
        <w:tc>
          <w:tcPr>
            <w:tcW w:w="2977" w:type="dxa"/>
          </w:tcPr>
          <w:p w:rsidR="00C57506" w:rsidRDefault="002C771E" w:rsidP="00877A16">
            <w:pPr>
              <w:autoSpaceDE w:val="0"/>
              <w:autoSpaceDN w:val="0"/>
              <w:adjustRightInd w:val="0"/>
              <w:ind w:right="10"/>
              <w:rPr>
                <w:sz w:val="20"/>
                <w:szCs w:val="20"/>
              </w:rPr>
            </w:pPr>
            <w:r w:rsidRPr="00C41F84">
              <w:rPr>
                <w:i/>
                <w:sz w:val="20"/>
                <w:szCs w:val="20"/>
              </w:rPr>
              <w:t>t</w:t>
            </w:r>
            <w:r w:rsidRPr="00D63B8F">
              <w:rPr>
                <w:sz w:val="20"/>
                <w:szCs w:val="20"/>
              </w:rPr>
              <w:t xml:space="preserve">=1995; </w:t>
            </w:r>
            <w:r w:rsidRPr="00C41F84">
              <w:rPr>
                <w:i/>
                <w:sz w:val="20"/>
                <w:szCs w:val="20"/>
              </w:rPr>
              <w:t>t</w:t>
            </w:r>
            <w:r w:rsidRPr="00D63B8F">
              <w:rPr>
                <w:sz w:val="20"/>
                <w:szCs w:val="20"/>
              </w:rPr>
              <w:t>-1=1985</w:t>
            </w:r>
            <w:r>
              <w:rPr>
                <w:sz w:val="20"/>
                <w:szCs w:val="20"/>
              </w:rPr>
              <w:t xml:space="preserve">:  </w:t>
            </w:r>
          </w:p>
          <w:p w:rsidR="002C771E" w:rsidRDefault="002C771E" w:rsidP="00877A16">
            <w:pPr>
              <w:autoSpaceDE w:val="0"/>
              <w:autoSpaceDN w:val="0"/>
              <w:adjustRightInd w:val="0"/>
              <w:ind w:right="10"/>
              <w:rPr>
                <w:sz w:val="20"/>
                <w:szCs w:val="20"/>
              </w:rPr>
            </w:pPr>
            <w:r>
              <w:rPr>
                <w:sz w:val="20"/>
                <w:szCs w:val="20"/>
              </w:rPr>
              <w:t>0.2898 (0.3260)</w:t>
            </w:r>
          </w:p>
          <w:p w:rsidR="00C36CF1" w:rsidRDefault="002C771E" w:rsidP="00877A16">
            <w:pPr>
              <w:autoSpaceDE w:val="0"/>
              <w:autoSpaceDN w:val="0"/>
              <w:adjustRightInd w:val="0"/>
              <w:ind w:right="10"/>
              <w:rPr>
                <w:sz w:val="20"/>
                <w:szCs w:val="20"/>
              </w:rPr>
            </w:pPr>
            <w:r>
              <w:rPr>
                <w:sz w:val="20"/>
                <w:szCs w:val="20"/>
              </w:rPr>
              <w:t xml:space="preserve">annual </w:t>
            </w:r>
            <w:r w:rsidRPr="00C57506">
              <w:rPr>
                <w:i/>
                <w:iCs/>
                <w:sz w:val="20"/>
                <w:szCs w:val="20"/>
              </w:rPr>
              <w:t>t</w:t>
            </w:r>
            <w:r>
              <w:rPr>
                <w:sz w:val="20"/>
                <w:szCs w:val="20"/>
              </w:rPr>
              <w:t xml:space="preserve"> from 1981 to 2006: </w:t>
            </w:r>
            <w:r w:rsidR="00C57506">
              <w:rPr>
                <w:sz w:val="20"/>
                <w:szCs w:val="20"/>
              </w:rPr>
              <w:t>0.0457 (0.1726)</w:t>
            </w:r>
            <w:r>
              <w:rPr>
                <w:sz w:val="20"/>
                <w:szCs w:val="20"/>
              </w:rPr>
              <w:t xml:space="preserve"> </w:t>
            </w:r>
          </w:p>
        </w:tc>
      </w:tr>
      <w:tr w:rsidR="00C36CF1" w:rsidRPr="00D63B8F" w:rsidTr="002F356F">
        <w:trPr>
          <w:jc w:val="center"/>
        </w:trPr>
        <w:tc>
          <w:tcPr>
            <w:tcW w:w="2127" w:type="dxa"/>
          </w:tcPr>
          <w:p w:rsidR="00B574A1" w:rsidRDefault="00B574A1" w:rsidP="00877A16">
            <w:pPr>
              <w:jc w:val="both"/>
              <w:rPr>
                <w:sz w:val="20"/>
                <w:szCs w:val="20"/>
              </w:rPr>
            </w:pPr>
          </w:p>
          <w:p w:rsidR="00B574A1" w:rsidRDefault="00C36CF1" w:rsidP="00877A16">
            <w:pPr>
              <w:jc w:val="both"/>
              <w:rPr>
                <w:sz w:val="20"/>
                <w:szCs w:val="20"/>
              </w:rPr>
            </w:pPr>
            <w:r w:rsidRPr="00D63B8F">
              <w:rPr>
                <w:sz w:val="20"/>
                <w:szCs w:val="20"/>
              </w:rPr>
              <w:t xml:space="preserve">Growth of </w:t>
            </w:r>
          </w:p>
          <w:p w:rsidR="00C36CF1" w:rsidRPr="00D63B8F" w:rsidRDefault="00C36CF1" w:rsidP="00877A16">
            <w:pPr>
              <w:jc w:val="both"/>
              <w:rPr>
                <w:sz w:val="20"/>
                <w:szCs w:val="20"/>
              </w:rPr>
            </w:pPr>
            <w:r w:rsidRPr="00D63B8F">
              <w:rPr>
                <w:sz w:val="20"/>
                <w:szCs w:val="20"/>
              </w:rPr>
              <w:t>Employment</w:t>
            </w:r>
          </w:p>
        </w:tc>
        <w:tc>
          <w:tcPr>
            <w:tcW w:w="4536" w:type="dxa"/>
          </w:tcPr>
          <w:p w:rsidR="00C36CF1" w:rsidRPr="003743AE" w:rsidRDefault="00C36CF1" w:rsidP="00877A16">
            <w:pPr>
              <w:jc w:val="both"/>
              <w:rPr>
                <w:sz w:val="20"/>
                <w:szCs w:val="20"/>
              </w:rPr>
            </w:pPr>
          </w:p>
          <w:p w:rsidR="00C36CF1" w:rsidRPr="00006EDB" w:rsidRDefault="00C36CF1" w:rsidP="00877A16">
            <w:pPr>
              <w:jc w:val="both"/>
              <w:rPr>
                <w:iCs/>
                <w:sz w:val="20"/>
                <w:szCs w:val="20"/>
              </w:rPr>
            </w:pPr>
            <m:oMathPara>
              <m:oMath>
                <m:r>
                  <m:rPr>
                    <m:sty m:val="p"/>
                  </m:rPr>
                  <w:rPr>
                    <w:rFonts w:ascii="Cambria Math" w:hAnsi="Cambria Math"/>
                    <w:sz w:val="20"/>
                    <w:szCs w:val="20"/>
                  </w:rPr>
                  <m:t>VDEP2=</m:t>
                </m:r>
                <m:sSub>
                  <m:sSubPr>
                    <m:ctrlPr>
                      <w:rPr>
                        <w:rFonts w:ascii="Cambria Math" w:hAnsi="Cambria Math"/>
                        <w:iCs/>
                        <w:sz w:val="20"/>
                        <w:szCs w:val="20"/>
                      </w:rPr>
                    </m:ctrlPr>
                  </m:sSubPr>
                  <m:e>
                    <m:r>
                      <m:rPr>
                        <m:sty m:val="p"/>
                      </m:rPr>
                      <w:rPr>
                        <w:rFonts w:ascii="Cambria Math" w:hAnsi="Cambria Math"/>
                        <w:sz w:val="20"/>
                        <w:szCs w:val="20"/>
                      </w:rPr>
                      <m:t>y</m:t>
                    </m:r>
                  </m:e>
                  <m:sub>
                    <m:r>
                      <m:rPr>
                        <m:sty m:val="p"/>
                      </m:rPr>
                      <w:rPr>
                        <w:rFonts w:ascii="Cambria Math" w:hAnsi="Cambria Math"/>
                        <w:sz w:val="20"/>
                        <w:szCs w:val="20"/>
                      </w:rPr>
                      <m:t>z,s</m:t>
                    </m:r>
                  </m:sub>
                </m:sSub>
                <m:r>
                  <m:rPr>
                    <m:sty m:val="p"/>
                  </m:rPr>
                  <w:rPr>
                    <w:rFonts w:ascii="Cambria Math" w:hAnsi="Cambria Math"/>
                    <w:sz w:val="20"/>
                    <w:szCs w:val="20"/>
                  </w:rPr>
                  <m:t>=</m:t>
                </m:r>
                <m:func>
                  <m:funcPr>
                    <m:ctrlPr>
                      <w:rPr>
                        <w:rFonts w:ascii="Cambria Math" w:hAnsi="Cambria Math"/>
                        <w:iCs/>
                        <w:sz w:val="20"/>
                        <w:szCs w:val="20"/>
                      </w:rPr>
                    </m:ctrlPr>
                  </m:funcPr>
                  <m:fName>
                    <m:r>
                      <m:rPr>
                        <m:sty m:val="p"/>
                      </m:rPr>
                      <w:rPr>
                        <w:rFonts w:ascii="Cambria Math" w:hAnsi="Cambria Math"/>
                        <w:sz w:val="20"/>
                        <w:szCs w:val="20"/>
                      </w:rPr>
                      <m:t>ln</m:t>
                    </m:r>
                  </m:fName>
                  <m:e>
                    <m:d>
                      <m:dPr>
                        <m:ctrlPr>
                          <w:rPr>
                            <w:rFonts w:ascii="Cambria Math" w:hAnsi="Cambria Math"/>
                            <w:iCs/>
                            <w:sz w:val="20"/>
                            <w:szCs w:val="20"/>
                          </w:rPr>
                        </m:ctrlPr>
                      </m:dPr>
                      <m:e>
                        <m:f>
                          <m:fPr>
                            <m:ctrlPr>
                              <w:rPr>
                                <w:rFonts w:ascii="Cambria Math" w:hAnsi="Cambria Math"/>
                                <w:iCs/>
                                <w:sz w:val="20"/>
                                <w:szCs w:val="20"/>
                              </w:rPr>
                            </m:ctrlPr>
                          </m:fPr>
                          <m:num>
                            <m:sSub>
                              <m:sSubPr>
                                <m:ctrlPr>
                                  <w:rPr>
                                    <w:rFonts w:ascii="Cambria Math" w:hAnsi="Cambria Math"/>
                                    <w:iCs/>
                                    <w:sz w:val="20"/>
                                    <w:szCs w:val="20"/>
                                  </w:rPr>
                                </m:ctrlPr>
                              </m:sSubPr>
                              <m:e>
                                <m:r>
                                  <m:rPr>
                                    <m:sty m:val="p"/>
                                  </m:rPr>
                                  <w:rPr>
                                    <w:rFonts w:ascii="Cambria Math" w:hAnsi="Cambria Math"/>
                                    <w:sz w:val="20"/>
                                    <w:szCs w:val="20"/>
                                  </w:rPr>
                                  <m:t>emp</m:t>
                                </m:r>
                              </m:e>
                              <m:sub>
                                <m:r>
                                  <m:rPr>
                                    <m:sty m:val="p"/>
                                  </m:rPr>
                                  <w:rPr>
                                    <w:rFonts w:ascii="Cambria Math" w:hAnsi="Cambria Math"/>
                                    <w:sz w:val="20"/>
                                    <w:szCs w:val="20"/>
                                  </w:rPr>
                                  <m:t>z,s,t</m:t>
                                </m:r>
                              </m:sub>
                            </m:sSub>
                          </m:num>
                          <m:den>
                            <m:sSub>
                              <m:sSubPr>
                                <m:ctrlPr>
                                  <w:rPr>
                                    <w:rFonts w:ascii="Cambria Math" w:hAnsi="Cambria Math"/>
                                    <w:iCs/>
                                    <w:sz w:val="20"/>
                                    <w:szCs w:val="20"/>
                                  </w:rPr>
                                </m:ctrlPr>
                              </m:sSubPr>
                              <m:e>
                                <m:r>
                                  <m:rPr>
                                    <m:sty m:val="p"/>
                                  </m:rPr>
                                  <w:rPr>
                                    <w:rFonts w:ascii="Cambria Math" w:hAnsi="Cambria Math"/>
                                    <w:sz w:val="20"/>
                                    <w:szCs w:val="20"/>
                                  </w:rPr>
                                  <m:t>emp</m:t>
                                </m:r>
                              </m:e>
                              <m:sub>
                                <m:r>
                                  <m:rPr>
                                    <m:sty m:val="p"/>
                                  </m:rPr>
                                  <w:rPr>
                                    <w:rFonts w:ascii="Cambria Math" w:hAnsi="Cambria Math"/>
                                    <w:sz w:val="20"/>
                                    <w:szCs w:val="20"/>
                                  </w:rPr>
                                  <m:t>z,s,t-1</m:t>
                                </m:r>
                              </m:sub>
                            </m:sSub>
                          </m:den>
                        </m:f>
                      </m:e>
                    </m:d>
                  </m:e>
                </m:func>
                <m:r>
                  <m:rPr>
                    <m:sty m:val="p"/>
                  </m:rPr>
                  <w:rPr>
                    <w:rFonts w:ascii="Cambria Math" w:hAnsi="Cambria Math"/>
                    <w:sz w:val="20"/>
                    <w:szCs w:val="20"/>
                  </w:rPr>
                  <m:t>-</m:t>
                </m:r>
                <m:func>
                  <m:funcPr>
                    <m:ctrlPr>
                      <w:rPr>
                        <w:rFonts w:ascii="Cambria Math" w:hAnsi="Cambria Math"/>
                        <w:iCs/>
                        <w:sz w:val="20"/>
                        <w:szCs w:val="20"/>
                      </w:rPr>
                    </m:ctrlPr>
                  </m:funcPr>
                  <m:fName>
                    <m:r>
                      <m:rPr>
                        <m:sty m:val="p"/>
                      </m:rPr>
                      <w:rPr>
                        <w:rFonts w:ascii="Cambria Math" w:hAnsi="Cambria Math"/>
                        <w:sz w:val="20"/>
                        <w:szCs w:val="20"/>
                      </w:rPr>
                      <m:t>ln</m:t>
                    </m:r>
                  </m:fName>
                  <m:e>
                    <m:d>
                      <m:dPr>
                        <m:ctrlPr>
                          <w:rPr>
                            <w:rFonts w:ascii="Cambria Math" w:hAnsi="Cambria Math"/>
                            <w:iCs/>
                            <w:sz w:val="20"/>
                            <w:szCs w:val="20"/>
                          </w:rPr>
                        </m:ctrlPr>
                      </m:dPr>
                      <m:e>
                        <m:f>
                          <m:fPr>
                            <m:ctrlPr>
                              <w:rPr>
                                <w:rFonts w:ascii="Cambria Math" w:hAnsi="Cambria Math"/>
                                <w:iCs/>
                                <w:sz w:val="20"/>
                                <w:szCs w:val="20"/>
                              </w:rPr>
                            </m:ctrlPr>
                          </m:fPr>
                          <m:num>
                            <m:sSub>
                              <m:sSubPr>
                                <m:ctrlPr>
                                  <w:rPr>
                                    <w:rFonts w:ascii="Cambria Math" w:hAnsi="Cambria Math"/>
                                    <w:iCs/>
                                    <w:sz w:val="20"/>
                                    <w:szCs w:val="20"/>
                                  </w:rPr>
                                </m:ctrlPr>
                              </m:sSubPr>
                              <m:e>
                                <m:r>
                                  <m:rPr>
                                    <m:sty m:val="p"/>
                                  </m:rPr>
                                  <w:rPr>
                                    <w:rFonts w:ascii="Cambria Math" w:hAnsi="Cambria Math"/>
                                    <w:sz w:val="20"/>
                                    <w:szCs w:val="20"/>
                                  </w:rPr>
                                  <m:t>emp</m:t>
                                </m:r>
                              </m:e>
                              <m:sub>
                                <m:r>
                                  <m:rPr>
                                    <m:sty m:val="p"/>
                                  </m:rPr>
                                  <w:rPr>
                                    <w:rFonts w:ascii="Cambria Math" w:hAnsi="Cambria Math"/>
                                    <w:sz w:val="20"/>
                                    <w:szCs w:val="20"/>
                                  </w:rPr>
                                  <m:t>s,t</m:t>
                                </m:r>
                              </m:sub>
                            </m:sSub>
                          </m:num>
                          <m:den>
                            <m:sSub>
                              <m:sSubPr>
                                <m:ctrlPr>
                                  <w:rPr>
                                    <w:rFonts w:ascii="Cambria Math" w:hAnsi="Cambria Math"/>
                                    <w:iCs/>
                                    <w:sz w:val="20"/>
                                    <w:szCs w:val="20"/>
                                  </w:rPr>
                                </m:ctrlPr>
                              </m:sSubPr>
                              <m:e>
                                <m:r>
                                  <m:rPr>
                                    <m:sty m:val="p"/>
                                  </m:rPr>
                                  <w:rPr>
                                    <w:rFonts w:ascii="Cambria Math" w:hAnsi="Cambria Math"/>
                                    <w:sz w:val="20"/>
                                    <w:szCs w:val="20"/>
                                  </w:rPr>
                                  <m:t>emp</m:t>
                                </m:r>
                              </m:e>
                              <m:sub>
                                <m:r>
                                  <m:rPr>
                                    <m:sty m:val="p"/>
                                  </m:rPr>
                                  <w:rPr>
                                    <w:rFonts w:ascii="Cambria Math" w:hAnsi="Cambria Math"/>
                                    <w:sz w:val="20"/>
                                    <w:szCs w:val="20"/>
                                  </w:rPr>
                                  <m:t>s,t-1</m:t>
                                </m:r>
                              </m:sub>
                            </m:sSub>
                          </m:den>
                        </m:f>
                      </m:e>
                    </m:d>
                  </m:e>
                </m:func>
              </m:oMath>
            </m:oMathPara>
          </w:p>
          <w:p w:rsidR="00C36CF1" w:rsidRPr="00945572" w:rsidRDefault="00C36CF1" w:rsidP="00877A16">
            <w:pPr>
              <w:jc w:val="both"/>
              <w:rPr>
                <w:sz w:val="20"/>
                <w:szCs w:val="20"/>
              </w:rPr>
            </w:pPr>
            <w:r w:rsidRPr="00945572">
              <w:rPr>
                <w:sz w:val="20"/>
                <w:szCs w:val="20"/>
              </w:rPr>
              <w:t xml:space="preserve">(as in </w:t>
            </w:r>
            <w:proofErr w:type="spellStart"/>
            <w:r w:rsidRPr="00945572">
              <w:rPr>
                <w:sz w:val="20"/>
                <w:szCs w:val="20"/>
                <w:lang w:val="en-US"/>
              </w:rPr>
              <w:t>Combes</w:t>
            </w:r>
            <w:proofErr w:type="spellEnd"/>
            <w:r w:rsidRPr="00945572">
              <w:rPr>
                <w:sz w:val="20"/>
                <w:szCs w:val="20"/>
                <w:lang w:val="en-US"/>
              </w:rPr>
              <w:t xml:space="preserve"> (2000))</w:t>
            </w:r>
          </w:p>
        </w:tc>
        <w:tc>
          <w:tcPr>
            <w:tcW w:w="2977" w:type="dxa"/>
          </w:tcPr>
          <w:p w:rsidR="00C36CF1" w:rsidRPr="00D63B8F" w:rsidRDefault="00C36CF1" w:rsidP="00877A16">
            <w:pPr>
              <w:jc w:val="both"/>
              <w:rPr>
                <w:i/>
                <w:color w:val="000000"/>
                <w:sz w:val="20"/>
                <w:szCs w:val="20"/>
                <w:lang w:eastAsia="zh-CN"/>
              </w:rPr>
            </w:pPr>
            <w:r>
              <w:rPr>
                <w:sz w:val="20"/>
                <w:szCs w:val="20"/>
                <w:lang w:eastAsia="zh-CN"/>
              </w:rPr>
              <w:t>The</w:t>
            </w:r>
            <w:r w:rsidRPr="00D63B8F">
              <w:rPr>
                <w:sz w:val="20"/>
                <w:szCs w:val="20"/>
                <w:lang w:eastAsia="zh-CN"/>
              </w:rPr>
              <w:t xml:space="preserve"> difference between the</w:t>
            </w:r>
            <w:r>
              <w:rPr>
                <w:sz w:val="20"/>
                <w:szCs w:val="20"/>
                <w:lang w:eastAsia="zh-CN"/>
              </w:rPr>
              <w:t xml:space="preserve"> state z</w:t>
            </w:r>
            <w:r w:rsidRPr="00D63B8F">
              <w:rPr>
                <w:sz w:val="20"/>
                <w:szCs w:val="20"/>
                <w:lang w:eastAsia="zh-CN"/>
              </w:rPr>
              <w:t xml:space="preserve"> </w:t>
            </w:r>
            <w:r>
              <w:rPr>
                <w:sz w:val="20"/>
                <w:szCs w:val="20"/>
                <w:lang w:eastAsia="zh-CN"/>
              </w:rPr>
              <w:t xml:space="preserve">and national manufacturing </w:t>
            </w:r>
            <w:r w:rsidRPr="00D63B8F">
              <w:rPr>
                <w:sz w:val="20"/>
                <w:szCs w:val="20"/>
                <w:lang w:eastAsia="zh-CN"/>
              </w:rPr>
              <w:t>employment</w:t>
            </w:r>
            <w:r>
              <w:rPr>
                <w:sz w:val="20"/>
                <w:szCs w:val="20"/>
                <w:lang w:eastAsia="zh-CN"/>
              </w:rPr>
              <w:t xml:space="preserve"> </w:t>
            </w:r>
            <w:r w:rsidRPr="009B1760">
              <w:rPr>
                <w:i/>
                <w:sz w:val="20"/>
                <w:szCs w:val="20"/>
                <w:lang w:eastAsia="zh-CN"/>
              </w:rPr>
              <w:t>s</w:t>
            </w:r>
            <w:r w:rsidRPr="00D63B8F">
              <w:rPr>
                <w:sz w:val="20"/>
                <w:szCs w:val="20"/>
                <w:lang w:eastAsia="zh-CN"/>
              </w:rPr>
              <w:t xml:space="preserve"> growth </w:t>
            </w:r>
            <w:r>
              <w:rPr>
                <w:sz w:val="20"/>
                <w:szCs w:val="20"/>
                <w:lang w:eastAsia="zh-CN"/>
              </w:rPr>
              <w:t xml:space="preserve">from </w:t>
            </w:r>
            <w:r w:rsidRPr="0033683E">
              <w:rPr>
                <w:i/>
                <w:sz w:val="20"/>
                <w:szCs w:val="20"/>
                <w:lang w:eastAsia="zh-CN"/>
              </w:rPr>
              <w:t>t</w:t>
            </w:r>
            <w:r>
              <w:rPr>
                <w:sz w:val="20"/>
                <w:szCs w:val="20"/>
                <w:lang w:eastAsia="zh-CN"/>
              </w:rPr>
              <w:t>-1</w:t>
            </w:r>
            <w:r w:rsidRPr="00D63B8F">
              <w:rPr>
                <w:sz w:val="20"/>
                <w:szCs w:val="20"/>
                <w:lang w:eastAsia="zh-CN"/>
              </w:rPr>
              <w:t xml:space="preserve"> </w:t>
            </w:r>
            <w:r>
              <w:rPr>
                <w:sz w:val="20"/>
                <w:szCs w:val="20"/>
                <w:lang w:eastAsia="zh-CN"/>
              </w:rPr>
              <w:t xml:space="preserve">to </w:t>
            </w:r>
            <w:r w:rsidRPr="0033683E">
              <w:rPr>
                <w:i/>
                <w:sz w:val="20"/>
                <w:szCs w:val="20"/>
                <w:lang w:eastAsia="zh-CN"/>
              </w:rPr>
              <w:t>t</w:t>
            </w:r>
            <w:r>
              <w:rPr>
                <w:iCs/>
                <w:sz w:val="20"/>
                <w:szCs w:val="20"/>
                <w:lang w:eastAsia="zh-CN"/>
              </w:rPr>
              <w:t>.</w:t>
            </w:r>
            <w:r w:rsidRPr="00D63B8F">
              <w:rPr>
                <w:sz w:val="20"/>
                <w:szCs w:val="20"/>
                <w:lang w:eastAsia="zh-CN"/>
              </w:rPr>
              <w:t xml:space="preserve"> </w:t>
            </w:r>
          </w:p>
        </w:tc>
        <w:tc>
          <w:tcPr>
            <w:tcW w:w="2977" w:type="dxa"/>
          </w:tcPr>
          <w:p w:rsidR="00C57506" w:rsidRDefault="00C57506" w:rsidP="00877A16">
            <w:pPr>
              <w:autoSpaceDE w:val="0"/>
              <w:autoSpaceDN w:val="0"/>
              <w:adjustRightInd w:val="0"/>
              <w:ind w:right="10"/>
              <w:rPr>
                <w:sz w:val="20"/>
                <w:szCs w:val="20"/>
              </w:rPr>
            </w:pPr>
            <w:r w:rsidRPr="00C41F84">
              <w:rPr>
                <w:i/>
                <w:sz w:val="20"/>
                <w:szCs w:val="20"/>
              </w:rPr>
              <w:t>t</w:t>
            </w:r>
            <w:r w:rsidRPr="00D63B8F">
              <w:rPr>
                <w:sz w:val="20"/>
                <w:szCs w:val="20"/>
              </w:rPr>
              <w:t xml:space="preserve">=1995; </w:t>
            </w:r>
            <w:r w:rsidRPr="00C41F84">
              <w:rPr>
                <w:i/>
                <w:sz w:val="20"/>
                <w:szCs w:val="20"/>
              </w:rPr>
              <w:t>t</w:t>
            </w:r>
            <w:r w:rsidRPr="00D63B8F">
              <w:rPr>
                <w:sz w:val="20"/>
                <w:szCs w:val="20"/>
              </w:rPr>
              <w:t>-1=1985</w:t>
            </w:r>
            <w:r>
              <w:rPr>
                <w:sz w:val="20"/>
                <w:szCs w:val="20"/>
              </w:rPr>
              <w:t xml:space="preserve">:  </w:t>
            </w:r>
          </w:p>
          <w:p w:rsidR="00C57506" w:rsidRDefault="00C57506" w:rsidP="00877A16">
            <w:pPr>
              <w:autoSpaceDE w:val="0"/>
              <w:autoSpaceDN w:val="0"/>
              <w:adjustRightInd w:val="0"/>
              <w:ind w:right="10"/>
              <w:rPr>
                <w:sz w:val="20"/>
                <w:szCs w:val="20"/>
              </w:rPr>
            </w:pPr>
            <w:r>
              <w:rPr>
                <w:sz w:val="20"/>
                <w:szCs w:val="20"/>
              </w:rPr>
              <w:t>0.2187 (0.3260)</w:t>
            </w:r>
          </w:p>
          <w:p w:rsidR="00C36CF1" w:rsidRDefault="00C57506" w:rsidP="00877A16">
            <w:pPr>
              <w:rPr>
                <w:sz w:val="20"/>
                <w:szCs w:val="20"/>
                <w:lang w:eastAsia="zh-CN"/>
              </w:rPr>
            </w:pPr>
            <w:r>
              <w:rPr>
                <w:sz w:val="20"/>
                <w:szCs w:val="20"/>
              </w:rPr>
              <w:t xml:space="preserve">annual </w:t>
            </w:r>
            <w:r w:rsidRPr="00C57506">
              <w:rPr>
                <w:i/>
                <w:iCs/>
                <w:sz w:val="20"/>
                <w:szCs w:val="20"/>
              </w:rPr>
              <w:t>t</w:t>
            </w:r>
            <w:r>
              <w:rPr>
                <w:sz w:val="20"/>
                <w:szCs w:val="20"/>
              </w:rPr>
              <w:t xml:space="preserve"> from 1981 to 2006: 0.0201 (0.1660)</w:t>
            </w:r>
          </w:p>
        </w:tc>
      </w:tr>
      <w:tr w:rsidR="00C36CF1" w:rsidRPr="00D63B8F" w:rsidTr="002F356F">
        <w:trPr>
          <w:jc w:val="center"/>
        </w:trPr>
        <w:tc>
          <w:tcPr>
            <w:tcW w:w="2127" w:type="dxa"/>
          </w:tcPr>
          <w:p w:rsidR="00C36CF1" w:rsidRPr="00D63B8F" w:rsidRDefault="00C36CF1" w:rsidP="00B574A1">
            <w:pPr>
              <w:rPr>
                <w:sz w:val="20"/>
                <w:szCs w:val="20"/>
              </w:rPr>
            </w:pPr>
            <w:r>
              <w:rPr>
                <w:sz w:val="20"/>
                <w:szCs w:val="20"/>
              </w:rPr>
              <w:t xml:space="preserve">Annual </w:t>
            </w:r>
            <w:r w:rsidRPr="00D63B8F">
              <w:rPr>
                <w:sz w:val="20"/>
                <w:szCs w:val="20"/>
              </w:rPr>
              <w:t>Average Growth of Employment</w:t>
            </w:r>
          </w:p>
        </w:tc>
        <w:tc>
          <w:tcPr>
            <w:tcW w:w="4536" w:type="dxa"/>
          </w:tcPr>
          <w:p w:rsidR="00C36CF1" w:rsidRPr="008D37B3" w:rsidRDefault="00C36CF1" w:rsidP="00877A16">
            <w:pPr>
              <w:jc w:val="both"/>
              <w:rPr>
                <w:sz w:val="20"/>
                <w:szCs w:val="20"/>
                <w:lang w:val="it-IT"/>
              </w:rPr>
            </w:pPr>
            <w:r w:rsidRPr="008D37B3">
              <w:rPr>
                <w:sz w:val="20"/>
                <w:szCs w:val="20"/>
                <w:lang w:val="it-IT"/>
              </w:rPr>
              <w:t>Avgrwth</w:t>
            </w:r>
            <w:r w:rsidR="00C57506">
              <w:rPr>
                <w:sz w:val="20"/>
                <w:szCs w:val="20"/>
                <w:vertAlign w:val="subscript"/>
                <w:lang w:val="it-IT"/>
              </w:rPr>
              <w:t>1</w:t>
            </w:r>
            <w:r w:rsidRPr="008D37B3">
              <w:rPr>
                <w:sz w:val="20"/>
                <w:szCs w:val="20"/>
                <w:lang w:val="it-IT"/>
              </w:rPr>
              <w:t>=ln(E</w:t>
            </w:r>
            <w:r w:rsidRPr="00C57506">
              <w:rPr>
                <w:sz w:val="20"/>
                <w:szCs w:val="20"/>
                <w:vertAlign w:val="subscript"/>
                <w:lang w:val="it-IT"/>
              </w:rPr>
              <w:t>1990</w:t>
            </w:r>
            <w:r w:rsidRPr="008D37B3">
              <w:rPr>
                <w:sz w:val="20"/>
                <w:szCs w:val="20"/>
                <w:lang w:val="it-IT"/>
              </w:rPr>
              <w:t>/E</w:t>
            </w:r>
            <w:r w:rsidRPr="00C57506">
              <w:rPr>
                <w:sz w:val="20"/>
                <w:szCs w:val="20"/>
                <w:vertAlign w:val="subscript"/>
                <w:lang w:val="it-IT"/>
              </w:rPr>
              <w:t>1981</w:t>
            </w:r>
            <w:r w:rsidRPr="008D37B3">
              <w:rPr>
                <w:sz w:val="20"/>
                <w:szCs w:val="20"/>
                <w:lang w:val="it-IT"/>
              </w:rPr>
              <w:t>)/9</w:t>
            </w:r>
          </w:p>
          <w:p w:rsidR="00C36CF1" w:rsidRPr="00745786" w:rsidRDefault="00C36CF1" w:rsidP="00877A16">
            <w:pPr>
              <w:jc w:val="both"/>
              <w:rPr>
                <w:sz w:val="20"/>
                <w:szCs w:val="20"/>
                <w:lang w:val="it-IT"/>
              </w:rPr>
            </w:pPr>
            <w:r w:rsidRPr="008D37B3">
              <w:rPr>
                <w:sz w:val="20"/>
                <w:szCs w:val="20"/>
                <w:lang w:val="it-IT"/>
              </w:rPr>
              <w:t>Avgrwth</w:t>
            </w:r>
            <w:r w:rsidR="00C57506">
              <w:rPr>
                <w:sz w:val="20"/>
                <w:szCs w:val="20"/>
                <w:vertAlign w:val="subscript"/>
                <w:lang w:val="it-IT"/>
              </w:rPr>
              <w:t>2</w:t>
            </w:r>
            <w:r w:rsidRPr="008D37B3">
              <w:rPr>
                <w:sz w:val="20"/>
                <w:szCs w:val="20"/>
                <w:lang w:val="it-IT"/>
              </w:rPr>
              <w:t>=ln</w:t>
            </w:r>
            <w:r w:rsidRPr="00745786">
              <w:rPr>
                <w:sz w:val="20"/>
                <w:szCs w:val="20"/>
                <w:lang w:val="it-IT"/>
              </w:rPr>
              <w:t>(E</w:t>
            </w:r>
            <w:r w:rsidRPr="00C57506">
              <w:rPr>
                <w:sz w:val="20"/>
                <w:szCs w:val="20"/>
                <w:vertAlign w:val="subscript"/>
                <w:lang w:val="it-IT"/>
              </w:rPr>
              <w:t>1998</w:t>
            </w:r>
            <w:r w:rsidRPr="00745786">
              <w:rPr>
                <w:sz w:val="20"/>
                <w:szCs w:val="20"/>
                <w:lang w:val="it-IT"/>
              </w:rPr>
              <w:t>/E</w:t>
            </w:r>
            <w:r w:rsidRPr="00C57506">
              <w:rPr>
                <w:sz w:val="20"/>
                <w:szCs w:val="20"/>
                <w:vertAlign w:val="subscript"/>
                <w:lang w:val="it-IT"/>
              </w:rPr>
              <w:t>1990</w:t>
            </w:r>
            <w:r w:rsidRPr="00745786">
              <w:rPr>
                <w:sz w:val="20"/>
                <w:szCs w:val="20"/>
                <w:lang w:val="it-IT"/>
              </w:rPr>
              <w:t>)/8</w:t>
            </w:r>
          </w:p>
          <w:p w:rsidR="00C36CF1" w:rsidRPr="00D63B8F" w:rsidRDefault="00C36CF1" w:rsidP="00877A16">
            <w:pPr>
              <w:jc w:val="both"/>
              <w:rPr>
                <w:sz w:val="20"/>
                <w:szCs w:val="20"/>
              </w:rPr>
            </w:pPr>
            <w:r w:rsidRPr="00D63B8F">
              <w:rPr>
                <w:sz w:val="20"/>
                <w:szCs w:val="20"/>
              </w:rPr>
              <w:t>Avgrwth</w:t>
            </w:r>
            <w:r w:rsidR="00C57506">
              <w:rPr>
                <w:sz w:val="20"/>
                <w:szCs w:val="20"/>
                <w:vertAlign w:val="subscript"/>
              </w:rPr>
              <w:t>3</w:t>
            </w:r>
            <w:r w:rsidRPr="00D63B8F">
              <w:rPr>
                <w:sz w:val="20"/>
                <w:szCs w:val="20"/>
              </w:rPr>
              <w:t>=</w:t>
            </w:r>
            <w:proofErr w:type="spellStart"/>
            <w:r w:rsidRPr="00D63B8F">
              <w:rPr>
                <w:sz w:val="20"/>
                <w:szCs w:val="20"/>
              </w:rPr>
              <w:t>ln</w:t>
            </w:r>
            <w:proofErr w:type="spellEnd"/>
            <w:r w:rsidRPr="00D63B8F">
              <w:rPr>
                <w:sz w:val="20"/>
                <w:szCs w:val="20"/>
              </w:rPr>
              <w:t>(E</w:t>
            </w:r>
            <w:r w:rsidRPr="00C57506">
              <w:rPr>
                <w:sz w:val="20"/>
                <w:szCs w:val="20"/>
                <w:vertAlign w:val="subscript"/>
              </w:rPr>
              <w:t>2006</w:t>
            </w:r>
            <w:r w:rsidRPr="00D63B8F">
              <w:rPr>
                <w:sz w:val="20"/>
                <w:szCs w:val="20"/>
              </w:rPr>
              <w:t>/E</w:t>
            </w:r>
            <w:r w:rsidRPr="00C57506">
              <w:rPr>
                <w:sz w:val="20"/>
                <w:szCs w:val="20"/>
                <w:vertAlign w:val="subscript"/>
              </w:rPr>
              <w:t>1998</w:t>
            </w:r>
            <w:r w:rsidRPr="00D63B8F">
              <w:rPr>
                <w:sz w:val="20"/>
                <w:szCs w:val="20"/>
              </w:rPr>
              <w:t>)/8</w:t>
            </w:r>
          </w:p>
        </w:tc>
        <w:tc>
          <w:tcPr>
            <w:tcW w:w="2977" w:type="dxa"/>
          </w:tcPr>
          <w:p w:rsidR="00C36CF1" w:rsidRPr="00D63B8F" w:rsidRDefault="00C36CF1" w:rsidP="00877A16">
            <w:pPr>
              <w:autoSpaceDE w:val="0"/>
              <w:autoSpaceDN w:val="0"/>
              <w:adjustRightInd w:val="0"/>
              <w:ind w:right="10"/>
              <w:jc w:val="both"/>
              <w:rPr>
                <w:color w:val="000000"/>
                <w:sz w:val="20"/>
                <w:szCs w:val="20"/>
                <w:lang w:eastAsia="zh-CN"/>
              </w:rPr>
            </w:pPr>
            <w:r>
              <w:rPr>
                <w:color w:val="000000"/>
                <w:sz w:val="20"/>
                <w:szCs w:val="20"/>
                <w:lang w:eastAsia="zh-CN"/>
              </w:rPr>
              <w:t xml:space="preserve">The </w:t>
            </w:r>
            <w:r w:rsidRPr="00D63B8F">
              <w:rPr>
                <w:color w:val="000000"/>
                <w:sz w:val="20"/>
                <w:szCs w:val="20"/>
                <w:lang w:eastAsia="zh-CN"/>
              </w:rPr>
              <w:t>average annual growth of manufactur</w:t>
            </w:r>
            <w:r>
              <w:rPr>
                <w:color w:val="000000"/>
                <w:sz w:val="20"/>
                <w:szCs w:val="20"/>
                <w:lang w:eastAsia="zh-CN"/>
              </w:rPr>
              <w:t xml:space="preserve">ing </w:t>
            </w:r>
            <w:r w:rsidRPr="00D63B8F">
              <w:rPr>
                <w:color w:val="000000"/>
                <w:sz w:val="20"/>
                <w:szCs w:val="20"/>
                <w:lang w:eastAsia="zh-CN"/>
              </w:rPr>
              <w:t>employment</w:t>
            </w:r>
            <w:r>
              <w:rPr>
                <w:color w:val="000000"/>
                <w:sz w:val="20"/>
                <w:szCs w:val="20"/>
                <w:lang w:eastAsia="zh-CN"/>
              </w:rPr>
              <w:t xml:space="preserve">, </w:t>
            </w:r>
            <w:r w:rsidRPr="002650F8">
              <w:rPr>
                <w:i/>
                <w:color w:val="000000"/>
                <w:sz w:val="20"/>
                <w:szCs w:val="20"/>
                <w:lang w:eastAsia="zh-CN"/>
              </w:rPr>
              <w:t>E</w:t>
            </w:r>
            <w:r>
              <w:rPr>
                <w:color w:val="000000"/>
                <w:sz w:val="20"/>
                <w:szCs w:val="20"/>
                <w:lang w:eastAsia="zh-CN"/>
              </w:rPr>
              <w:t>,</w:t>
            </w:r>
            <w:r w:rsidRPr="00D63B8F">
              <w:rPr>
                <w:color w:val="000000"/>
                <w:sz w:val="20"/>
                <w:szCs w:val="20"/>
                <w:lang w:eastAsia="zh-CN"/>
              </w:rPr>
              <w:t xml:space="preserve"> </w:t>
            </w:r>
            <w:r>
              <w:rPr>
                <w:color w:val="000000"/>
                <w:sz w:val="20"/>
                <w:szCs w:val="20"/>
                <w:lang w:eastAsia="zh-CN"/>
              </w:rPr>
              <w:t>in each</w:t>
            </w:r>
            <w:r w:rsidRPr="00D63B8F">
              <w:rPr>
                <w:color w:val="000000"/>
                <w:sz w:val="20"/>
                <w:szCs w:val="20"/>
                <w:lang w:eastAsia="zh-CN"/>
              </w:rPr>
              <w:t xml:space="preserve"> period</w:t>
            </w:r>
            <w:r w:rsidR="00C57506">
              <w:rPr>
                <w:color w:val="000000"/>
                <w:sz w:val="20"/>
                <w:szCs w:val="20"/>
                <w:lang w:eastAsia="zh-CN"/>
              </w:rPr>
              <w:t xml:space="preserve"> </w:t>
            </w:r>
            <w:r>
              <w:rPr>
                <w:color w:val="000000"/>
                <w:sz w:val="20"/>
                <w:szCs w:val="20"/>
                <w:lang w:eastAsia="zh-CN"/>
              </w:rPr>
              <w:t>for each stat</w:t>
            </w:r>
            <w:r w:rsidR="00C57506">
              <w:rPr>
                <w:color w:val="000000"/>
                <w:sz w:val="20"/>
                <w:szCs w:val="20"/>
                <w:lang w:eastAsia="zh-CN"/>
              </w:rPr>
              <w:t>e</w:t>
            </w:r>
            <w:r w:rsidRPr="00D63B8F">
              <w:rPr>
                <w:color w:val="000000"/>
                <w:sz w:val="20"/>
                <w:szCs w:val="20"/>
                <w:lang w:eastAsia="zh-CN"/>
              </w:rPr>
              <w:t xml:space="preserve">. </w:t>
            </w:r>
          </w:p>
        </w:tc>
        <w:tc>
          <w:tcPr>
            <w:tcW w:w="2977" w:type="dxa"/>
          </w:tcPr>
          <w:p w:rsidR="00F84261" w:rsidRDefault="00F84261" w:rsidP="00877A16">
            <w:pPr>
              <w:autoSpaceDE w:val="0"/>
              <w:autoSpaceDN w:val="0"/>
              <w:adjustRightInd w:val="0"/>
              <w:ind w:right="10"/>
              <w:jc w:val="both"/>
              <w:rPr>
                <w:color w:val="000000"/>
                <w:sz w:val="20"/>
                <w:szCs w:val="20"/>
                <w:lang w:eastAsia="zh-CN"/>
              </w:rPr>
            </w:pPr>
            <w:r>
              <w:rPr>
                <w:color w:val="000000"/>
                <w:sz w:val="20"/>
                <w:szCs w:val="20"/>
                <w:lang w:eastAsia="zh-CN"/>
              </w:rPr>
              <w:t>Pooled:</w:t>
            </w:r>
          </w:p>
          <w:p w:rsidR="00C36CF1" w:rsidRDefault="00C57506" w:rsidP="00877A16">
            <w:pPr>
              <w:autoSpaceDE w:val="0"/>
              <w:autoSpaceDN w:val="0"/>
              <w:adjustRightInd w:val="0"/>
              <w:ind w:right="10"/>
              <w:jc w:val="both"/>
              <w:rPr>
                <w:color w:val="000000"/>
                <w:sz w:val="20"/>
                <w:szCs w:val="20"/>
                <w:lang w:eastAsia="zh-CN"/>
              </w:rPr>
            </w:pPr>
            <w:r>
              <w:rPr>
                <w:color w:val="000000"/>
                <w:sz w:val="20"/>
                <w:szCs w:val="20"/>
                <w:lang w:eastAsia="zh-CN"/>
              </w:rPr>
              <w:t>0.0453 (0.0476)</w:t>
            </w:r>
          </w:p>
        </w:tc>
      </w:tr>
      <w:tr w:rsidR="00C36CF1" w:rsidRPr="00D63B8F" w:rsidTr="002F356F">
        <w:trPr>
          <w:jc w:val="center"/>
        </w:trPr>
        <w:tc>
          <w:tcPr>
            <w:tcW w:w="12617" w:type="dxa"/>
            <w:gridSpan w:val="4"/>
          </w:tcPr>
          <w:p w:rsidR="00C36CF1" w:rsidRPr="00D63B8F" w:rsidRDefault="00C36CF1" w:rsidP="00B574A1">
            <w:pPr>
              <w:autoSpaceDE w:val="0"/>
              <w:autoSpaceDN w:val="0"/>
              <w:adjustRightInd w:val="0"/>
              <w:spacing w:before="100" w:after="100"/>
              <w:ind w:right="11"/>
              <w:jc w:val="center"/>
              <w:rPr>
                <w:b/>
                <w:sz w:val="20"/>
                <w:szCs w:val="20"/>
              </w:rPr>
            </w:pPr>
            <w:r w:rsidRPr="00D63B8F">
              <w:rPr>
                <w:b/>
                <w:sz w:val="20"/>
                <w:szCs w:val="20"/>
              </w:rPr>
              <w:t>Independent Variables</w:t>
            </w:r>
          </w:p>
        </w:tc>
      </w:tr>
      <w:tr w:rsidR="00C36CF1" w:rsidRPr="00D63B8F" w:rsidTr="002F356F">
        <w:trPr>
          <w:jc w:val="center"/>
        </w:trPr>
        <w:tc>
          <w:tcPr>
            <w:tcW w:w="2127" w:type="dxa"/>
          </w:tcPr>
          <w:p w:rsidR="00B574A1" w:rsidRDefault="00B574A1" w:rsidP="00877A16">
            <w:pPr>
              <w:jc w:val="both"/>
              <w:rPr>
                <w:sz w:val="20"/>
                <w:szCs w:val="20"/>
              </w:rPr>
            </w:pPr>
          </w:p>
          <w:p w:rsidR="00B574A1" w:rsidRDefault="00B574A1" w:rsidP="00877A16">
            <w:pPr>
              <w:jc w:val="both"/>
              <w:rPr>
                <w:sz w:val="20"/>
                <w:szCs w:val="20"/>
              </w:rPr>
            </w:pPr>
          </w:p>
          <w:p w:rsidR="00C36CF1" w:rsidRPr="00D63B8F" w:rsidRDefault="00C36CF1" w:rsidP="00877A16">
            <w:pPr>
              <w:jc w:val="both"/>
              <w:rPr>
                <w:sz w:val="20"/>
                <w:szCs w:val="20"/>
              </w:rPr>
            </w:pPr>
            <w:r>
              <w:rPr>
                <w:sz w:val="20"/>
                <w:szCs w:val="20"/>
              </w:rPr>
              <w:t>Specialis</w:t>
            </w:r>
            <w:r w:rsidRPr="00D63B8F">
              <w:rPr>
                <w:sz w:val="20"/>
                <w:szCs w:val="20"/>
              </w:rPr>
              <w:t>ation</w:t>
            </w:r>
          </w:p>
        </w:tc>
        <w:tc>
          <w:tcPr>
            <w:tcW w:w="4536" w:type="dxa"/>
          </w:tcPr>
          <w:p w:rsidR="00C36CF1" w:rsidRDefault="00C36CF1" w:rsidP="00877A16">
            <w:pPr>
              <w:jc w:val="both"/>
            </w:pPr>
          </w:p>
          <w:p w:rsidR="00C36CF1" w:rsidRPr="00C57506" w:rsidRDefault="00C36CF1" w:rsidP="00877A16">
            <w:pPr>
              <w:jc w:val="both"/>
              <w:rPr>
                <w:iCs/>
                <w:sz w:val="22"/>
                <w:szCs w:val="22"/>
              </w:rPr>
            </w:pPr>
            <m:oMathPara>
              <m:oMath>
                <m:r>
                  <m:rPr>
                    <m:sty m:val="p"/>
                  </m:rPr>
                  <w:rPr>
                    <w:rFonts w:ascii="Cambria Math" w:hAnsi="Cambria Math"/>
                    <w:sz w:val="22"/>
                    <w:szCs w:val="22"/>
                  </w:rPr>
                  <m:t>Spec=</m:t>
                </m:r>
                <m:f>
                  <m:fPr>
                    <m:ctrlPr>
                      <w:rPr>
                        <w:rFonts w:ascii="Cambria Math" w:hAnsi="Cambria Math"/>
                        <w:iCs/>
                        <w:sz w:val="22"/>
                        <w:szCs w:val="22"/>
                      </w:rPr>
                    </m:ctrlPr>
                  </m:fPr>
                  <m:num>
                    <m:sSub>
                      <m:sSubPr>
                        <m:ctrlPr>
                          <w:rPr>
                            <w:rFonts w:ascii="Cambria Math" w:hAnsi="Cambria Math"/>
                            <w:iCs/>
                            <w:sz w:val="22"/>
                            <w:szCs w:val="22"/>
                          </w:rPr>
                        </m:ctrlPr>
                      </m:sSubPr>
                      <m:e>
                        <m:r>
                          <m:rPr>
                            <m:sty m:val="p"/>
                          </m:rPr>
                          <w:rPr>
                            <w:rFonts w:ascii="Cambria Math" w:hAnsi="Cambria Math"/>
                            <w:sz w:val="22"/>
                            <w:szCs w:val="22"/>
                          </w:rPr>
                          <m:t>E</m:t>
                        </m:r>
                      </m:e>
                      <m:sub>
                        <m:r>
                          <m:rPr>
                            <m:sty m:val="p"/>
                          </m:rPr>
                          <w:rPr>
                            <w:rFonts w:ascii="Cambria Math" w:hAnsi="Cambria Math"/>
                            <w:sz w:val="22"/>
                            <w:szCs w:val="22"/>
                          </w:rPr>
                          <m:t>z,s</m:t>
                        </m:r>
                      </m:sub>
                    </m:sSub>
                    <m:r>
                      <m:rPr>
                        <m:sty m:val="p"/>
                      </m:rPr>
                      <w:rPr>
                        <w:rFonts w:ascii="Cambria Math" w:hAnsi="Cambria Math"/>
                        <w:sz w:val="22"/>
                        <w:szCs w:val="22"/>
                      </w:rPr>
                      <m:t>/</m:t>
                    </m:r>
                    <m:sSub>
                      <m:sSubPr>
                        <m:ctrlPr>
                          <w:rPr>
                            <w:rFonts w:ascii="Cambria Math" w:hAnsi="Cambria Math"/>
                            <w:iCs/>
                            <w:sz w:val="22"/>
                            <w:szCs w:val="22"/>
                          </w:rPr>
                        </m:ctrlPr>
                      </m:sSubPr>
                      <m:e>
                        <m:r>
                          <m:rPr>
                            <m:sty m:val="p"/>
                          </m:rPr>
                          <w:rPr>
                            <w:rFonts w:ascii="Cambria Math" w:hAnsi="Cambria Math"/>
                            <w:sz w:val="22"/>
                            <w:szCs w:val="22"/>
                          </w:rPr>
                          <m:t>E</m:t>
                        </m:r>
                      </m:e>
                      <m:sub>
                        <m:r>
                          <m:rPr>
                            <m:sty m:val="p"/>
                          </m:rPr>
                          <w:rPr>
                            <w:rFonts w:ascii="Cambria Math" w:hAnsi="Cambria Math"/>
                            <w:sz w:val="22"/>
                            <w:szCs w:val="22"/>
                          </w:rPr>
                          <m:t>z</m:t>
                        </m:r>
                      </m:sub>
                    </m:sSub>
                  </m:num>
                  <m:den>
                    <m:sSub>
                      <m:sSubPr>
                        <m:ctrlPr>
                          <w:rPr>
                            <w:rFonts w:ascii="Cambria Math" w:hAnsi="Cambria Math"/>
                            <w:iCs/>
                            <w:sz w:val="22"/>
                            <w:szCs w:val="22"/>
                          </w:rPr>
                        </m:ctrlPr>
                      </m:sSubPr>
                      <m:e>
                        <m:r>
                          <m:rPr>
                            <m:sty m:val="p"/>
                          </m:rPr>
                          <w:rPr>
                            <w:rFonts w:ascii="Cambria Math" w:hAnsi="Cambria Math"/>
                            <w:sz w:val="22"/>
                            <w:szCs w:val="22"/>
                          </w:rPr>
                          <m:t>E</m:t>
                        </m:r>
                      </m:e>
                      <m:sub>
                        <m:r>
                          <m:rPr>
                            <m:sty m:val="p"/>
                          </m:rPr>
                          <w:rPr>
                            <w:rFonts w:ascii="Cambria Math" w:hAnsi="Cambria Math"/>
                            <w:sz w:val="22"/>
                            <w:szCs w:val="22"/>
                          </w:rPr>
                          <m:t>s</m:t>
                        </m:r>
                      </m:sub>
                    </m:sSub>
                    <m:r>
                      <m:rPr>
                        <m:sty m:val="p"/>
                      </m:rPr>
                      <w:rPr>
                        <w:rFonts w:ascii="Cambria Math" w:hAnsi="Cambria Math"/>
                        <w:sz w:val="22"/>
                        <w:szCs w:val="22"/>
                      </w:rPr>
                      <m:t>/E</m:t>
                    </m:r>
                  </m:den>
                </m:f>
              </m:oMath>
            </m:oMathPara>
          </w:p>
          <w:p w:rsidR="00C36CF1" w:rsidRPr="007A4448" w:rsidRDefault="00C36CF1" w:rsidP="00877A16">
            <w:pPr>
              <w:jc w:val="both"/>
              <w:rPr>
                <w:sz w:val="20"/>
                <w:szCs w:val="20"/>
              </w:rPr>
            </w:pPr>
            <w:r w:rsidRPr="00B43760">
              <w:rPr>
                <w:sz w:val="20"/>
                <w:szCs w:val="20"/>
              </w:rPr>
              <w:t xml:space="preserve">(as in </w:t>
            </w:r>
            <w:proofErr w:type="spellStart"/>
            <w:r w:rsidRPr="00B43760">
              <w:rPr>
                <w:sz w:val="20"/>
                <w:szCs w:val="20"/>
              </w:rPr>
              <w:t>Glaeser</w:t>
            </w:r>
            <w:proofErr w:type="spellEnd"/>
            <w:r w:rsidRPr="00B43760">
              <w:rPr>
                <w:sz w:val="20"/>
                <w:szCs w:val="20"/>
              </w:rPr>
              <w:t xml:space="preserve"> et. al. </w:t>
            </w:r>
            <w:r w:rsidRPr="00945572">
              <w:rPr>
                <w:sz w:val="20"/>
                <w:szCs w:val="20"/>
                <w:lang w:val="en-US"/>
              </w:rPr>
              <w:t>(1992))</w:t>
            </w:r>
          </w:p>
        </w:tc>
        <w:tc>
          <w:tcPr>
            <w:tcW w:w="2977" w:type="dxa"/>
          </w:tcPr>
          <w:p w:rsidR="00C36CF1" w:rsidRPr="00D63B8F" w:rsidRDefault="00C36CF1" w:rsidP="00877A16">
            <w:pPr>
              <w:autoSpaceDE w:val="0"/>
              <w:autoSpaceDN w:val="0"/>
              <w:adjustRightInd w:val="0"/>
              <w:ind w:right="10"/>
              <w:jc w:val="both"/>
              <w:rPr>
                <w:i/>
                <w:color w:val="000000"/>
                <w:sz w:val="20"/>
                <w:szCs w:val="20"/>
                <w:lang w:eastAsia="zh-CN"/>
              </w:rPr>
            </w:pPr>
            <w:r>
              <w:rPr>
                <w:sz w:val="20"/>
                <w:szCs w:val="20"/>
              </w:rPr>
              <w:t>The</w:t>
            </w:r>
            <w:r w:rsidRPr="00D63B8F">
              <w:rPr>
                <w:sz w:val="20"/>
                <w:szCs w:val="20"/>
              </w:rPr>
              <w:t xml:space="preserve"> ratio </w:t>
            </w:r>
            <w:r>
              <w:rPr>
                <w:sz w:val="20"/>
                <w:szCs w:val="20"/>
              </w:rPr>
              <w:t xml:space="preserve">between </w:t>
            </w:r>
            <w:r w:rsidRPr="00D63B8F">
              <w:rPr>
                <w:sz w:val="20"/>
                <w:szCs w:val="20"/>
              </w:rPr>
              <w:t xml:space="preserve">state z </w:t>
            </w:r>
            <w:r>
              <w:rPr>
                <w:sz w:val="20"/>
                <w:szCs w:val="20"/>
              </w:rPr>
              <w:t xml:space="preserve">manufacturing </w:t>
            </w:r>
            <w:r w:rsidRPr="00D63B8F">
              <w:rPr>
                <w:sz w:val="20"/>
                <w:szCs w:val="20"/>
              </w:rPr>
              <w:t xml:space="preserve">employment </w:t>
            </w:r>
            <w:r>
              <w:rPr>
                <w:sz w:val="20"/>
                <w:szCs w:val="20"/>
              </w:rPr>
              <w:t xml:space="preserve">s </w:t>
            </w:r>
            <w:r w:rsidRPr="00D63B8F">
              <w:rPr>
                <w:sz w:val="20"/>
                <w:szCs w:val="20"/>
              </w:rPr>
              <w:t xml:space="preserve">share </w:t>
            </w:r>
            <w:r>
              <w:rPr>
                <w:sz w:val="20"/>
                <w:szCs w:val="20"/>
              </w:rPr>
              <w:t xml:space="preserve">and </w:t>
            </w:r>
            <w:r w:rsidRPr="00D63B8F">
              <w:rPr>
                <w:sz w:val="20"/>
                <w:szCs w:val="20"/>
              </w:rPr>
              <w:t>Brazil</w:t>
            </w:r>
            <w:r>
              <w:rPr>
                <w:sz w:val="20"/>
                <w:szCs w:val="20"/>
              </w:rPr>
              <w:t>’s</w:t>
            </w:r>
            <w:r w:rsidRPr="00D63B8F">
              <w:rPr>
                <w:sz w:val="20"/>
                <w:szCs w:val="20"/>
              </w:rPr>
              <w:t xml:space="preserve"> manufactur</w:t>
            </w:r>
            <w:r>
              <w:rPr>
                <w:sz w:val="20"/>
                <w:szCs w:val="20"/>
              </w:rPr>
              <w:t xml:space="preserve">ing </w:t>
            </w:r>
            <w:r w:rsidRPr="00D63B8F">
              <w:rPr>
                <w:sz w:val="20"/>
                <w:szCs w:val="20"/>
              </w:rPr>
              <w:t xml:space="preserve">employment </w:t>
            </w:r>
            <w:r>
              <w:rPr>
                <w:sz w:val="20"/>
                <w:szCs w:val="20"/>
              </w:rPr>
              <w:t xml:space="preserve">s </w:t>
            </w:r>
            <w:r w:rsidRPr="00D63B8F">
              <w:rPr>
                <w:sz w:val="20"/>
                <w:szCs w:val="20"/>
              </w:rPr>
              <w:t>share</w:t>
            </w:r>
            <w:r w:rsidR="00C57506">
              <w:rPr>
                <w:sz w:val="20"/>
                <w:szCs w:val="20"/>
              </w:rPr>
              <w:t>.</w:t>
            </w:r>
          </w:p>
        </w:tc>
        <w:tc>
          <w:tcPr>
            <w:tcW w:w="2977" w:type="dxa"/>
          </w:tcPr>
          <w:p w:rsidR="00C36CF1" w:rsidRDefault="00F84261" w:rsidP="00877A16">
            <w:pPr>
              <w:autoSpaceDE w:val="0"/>
              <w:autoSpaceDN w:val="0"/>
              <w:adjustRightInd w:val="0"/>
              <w:ind w:right="10"/>
              <w:jc w:val="both"/>
              <w:rPr>
                <w:sz w:val="20"/>
                <w:szCs w:val="20"/>
              </w:rPr>
            </w:pPr>
            <w:r>
              <w:rPr>
                <w:sz w:val="20"/>
                <w:szCs w:val="20"/>
              </w:rPr>
              <w:t>1985:</w:t>
            </w:r>
          </w:p>
          <w:p w:rsidR="00F84261" w:rsidRDefault="00F84261" w:rsidP="00877A16">
            <w:pPr>
              <w:autoSpaceDE w:val="0"/>
              <w:autoSpaceDN w:val="0"/>
              <w:adjustRightInd w:val="0"/>
              <w:ind w:right="10"/>
              <w:jc w:val="both"/>
              <w:rPr>
                <w:sz w:val="20"/>
                <w:szCs w:val="20"/>
              </w:rPr>
            </w:pPr>
            <w:r>
              <w:rPr>
                <w:sz w:val="20"/>
                <w:szCs w:val="20"/>
              </w:rPr>
              <w:t>0.7153(0.3626)</w:t>
            </w:r>
          </w:p>
          <w:p w:rsidR="00F84261" w:rsidRDefault="00F84261" w:rsidP="00877A16">
            <w:pPr>
              <w:autoSpaceDE w:val="0"/>
              <w:autoSpaceDN w:val="0"/>
              <w:adjustRightInd w:val="0"/>
              <w:ind w:right="10"/>
              <w:jc w:val="both"/>
              <w:rPr>
                <w:sz w:val="20"/>
                <w:szCs w:val="20"/>
              </w:rPr>
            </w:pPr>
            <w:r>
              <w:rPr>
                <w:sz w:val="20"/>
                <w:szCs w:val="20"/>
              </w:rPr>
              <w:t>Annual 1981 to 2006:</w:t>
            </w:r>
          </w:p>
          <w:p w:rsidR="00F84261" w:rsidRDefault="00F84261" w:rsidP="00877A16">
            <w:pPr>
              <w:autoSpaceDE w:val="0"/>
              <w:autoSpaceDN w:val="0"/>
              <w:adjustRightInd w:val="0"/>
              <w:ind w:right="10"/>
              <w:jc w:val="both"/>
              <w:rPr>
                <w:sz w:val="20"/>
                <w:szCs w:val="20"/>
              </w:rPr>
            </w:pPr>
            <w:r>
              <w:rPr>
                <w:sz w:val="20"/>
                <w:szCs w:val="20"/>
              </w:rPr>
              <w:t>0.7535 (0.3474)</w:t>
            </w:r>
          </w:p>
          <w:p w:rsidR="00F84261" w:rsidRDefault="00F84261" w:rsidP="00877A16">
            <w:pPr>
              <w:autoSpaceDE w:val="0"/>
              <w:autoSpaceDN w:val="0"/>
              <w:adjustRightInd w:val="0"/>
              <w:ind w:right="10"/>
              <w:jc w:val="both"/>
              <w:rPr>
                <w:sz w:val="20"/>
                <w:szCs w:val="20"/>
              </w:rPr>
            </w:pPr>
            <w:r>
              <w:rPr>
                <w:sz w:val="20"/>
                <w:szCs w:val="20"/>
              </w:rPr>
              <w:t>Pooled:</w:t>
            </w:r>
          </w:p>
          <w:p w:rsidR="00F84261" w:rsidRDefault="00F84261" w:rsidP="00877A16">
            <w:pPr>
              <w:autoSpaceDE w:val="0"/>
              <w:autoSpaceDN w:val="0"/>
              <w:adjustRightInd w:val="0"/>
              <w:ind w:right="10"/>
              <w:jc w:val="both"/>
              <w:rPr>
                <w:sz w:val="20"/>
                <w:szCs w:val="20"/>
              </w:rPr>
            </w:pPr>
            <w:r>
              <w:rPr>
                <w:sz w:val="20"/>
                <w:szCs w:val="20"/>
              </w:rPr>
              <w:t>0.7664 (0.3372)</w:t>
            </w:r>
          </w:p>
        </w:tc>
      </w:tr>
      <w:tr w:rsidR="00C36CF1" w:rsidRPr="00D63B8F" w:rsidTr="002F356F">
        <w:trPr>
          <w:jc w:val="center"/>
        </w:trPr>
        <w:tc>
          <w:tcPr>
            <w:tcW w:w="2127" w:type="dxa"/>
          </w:tcPr>
          <w:p w:rsidR="00B574A1" w:rsidRDefault="00B574A1" w:rsidP="00877A16">
            <w:pPr>
              <w:jc w:val="both"/>
              <w:rPr>
                <w:sz w:val="20"/>
                <w:szCs w:val="20"/>
              </w:rPr>
            </w:pPr>
          </w:p>
          <w:p w:rsidR="00B574A1" w:rsidRDefault="00B574A1" w:rsidP="00877A16">
            <w:pPr>
              <w:jc w:val="both"/>
              <w:rPr>
                <w:sz w:val="20"/>
                <w:szCs w:val="20"/>
              </w:rPr>
            </w:pPr>
          </w:p>
          <w:p w:rsidR="00B574A1" w:rsidRDefault="00B574A1" w:rsidP="00877A16">
            <w:pPr>
              <w:jc w:val="both"/>
              <w:rPr>
                <w:sz w:val="20"/>
                <w:szCs w:val="20"/>
              </w:rPr>
            </w:pPr>
          </w:p>
          <w:p w:rsidR="00B574A1" w:rsidRDefault="00B574A1" w:rsidP="00877A16">
            <w:pPr>
              <w:jc w:val="both"/>
              <w:rPr>
                <w:sz w:val="20"/>
                <w:szCs w:val="20"/>
              </w:rPr>
            </w:pPr>
          </w:p>
          <w:p w:rsidR="00C36CF1" w:rsidRPr="00D63B8F" w:rsidRDefault="00C36CF1" w:rsidP="00877A16">
            <w:pPr>
              <w:jc w:val="both"/>
              <w:rPr>
                <w:sz w:val="20"/>
                <w:szCs w:val="20"/>
              </w:rPr>
            </w:pPr>
            <w:r w:rsidRPr="00D63B8F">
              <w:rPr>
                <w:sz w:val="20"/>
                <w:szCs w:val="20"/>
              </w:rPr>
              <w:t>Diversity</w:t>
            </w:r>
          </w:p>
        </w:tc>
        <w:tc>
          <w:tcPr>
            <w:tcW w:w="4536" w:type="dxa"/>
          </w:tcPr>
          <w:p w:rsidR="00C36CF1" w:rsidRDefault="00C36CF1" w:rsidP="00877A16">
            <w:pPr>
              <w:jc w:val="both"/>
              <w:rPr>
                <w:sz w:val="20"/>
                <w:szCs w:val="20"/>
                <w:lang w:eastAsia="zh-CN"/>
              </w:rPr>
            </w:pPr>
          </w:p>
          <w:p w:rsidR="00C36CF1" w:rsidRDefault="00C36CF1" w:rsidP="00877A16">
            <w:pPr>
              <w:jc w:val="both"/>
              <w:rPr>
                <w:iCs/>
                <w:sz w:val="20"/>
                <w:szCs w:val="20"/>
              </w:rPr>
            </w:pPr>
          </w:p>
          <w:p w:rsidR="00C36CF1" w:rsidRPr="00994C3A" w:rsidRDefault="00EC1889" w:rsidP="00877A16">
            <w:pPr>
              <w:jc w:val="both"/>
              <w:rPr>
                <w:iCs/>
                <w:sz w:val="20"/>
                <w:szCs w:val="20"/>
                <w:lang w:eastAsia="zh-CN"/>
              </w:rPr>
            </w:pPr>
            <m:oMathPara>
              <m:oMath>
                <m:sSub>
                  <m:sSubPr>
                    <m:ctrlPr>
                      <w:rPr>
                        <w:rFonts w:ascii="Cambria Math" w:hAnsi="Cambria Math"/>
                        <w:iCs/>
                        <w:sz w:val="20"/>
                        <w:szCs w:val="20"/>
                      </w:rPr>
                    </m:ctrlPr>
                  </m:sSubPr>
                  <m:e>
                    <m:r>
                      <m:rPr>
                        <m:sty m:val="p"/>
                      </m:rPr>
                      <w:rPr>
                        <w:rFonts w:ascii="Cambria Math" w:hAnsi="Cambria Math"/>
                        <w:sz w:val="20"/>
                        <w:szCs w:val="20"/>
                      </w:rPr>
                      <m:t>Div</m:t>
                    </m:r>
                  </m:e>
                  <m:sub>
                    <m:r>
                      <m:rPr>
                        <m:sty m:val="p"/>
                      </m:rPr>
                      <w:rPr>
                        <w:rFonts w:ascii="Cambria Math" w:hAnsi="Cambria Math"/>
                        <w:sz w:val="20"/>
                        <w:szCs w:val="20"/>
                      </w:rPr>
                      <m:t>z,s</m:t>
                    </m:r>
                  </m:sub>
                </m:sSub>
                <m:r>
                  <m:rPr>
                    <m:sty m:val="p"/>
                  </m:rPr>
                  <w:rPr>
                    <w:rFonts w:ascii="Cambria Math" w:hAnsi="Cambria Math"/>
                    <w:sz w:val="20"/>
                    <w:szCs w:val="20"/>
                  </w:rPr>
                  <m:t>=</m:t>
                </m:r>
                <m:f>
                  <m:fPr>
                    <m:ctrlPr>
                      <w:rPr>
                        <w:rFonts w:ascii="Cambria Math" w:hAnsi="Cambria Math"/>
                        <w:iCs/>
                        <w:sz w:val="20"/>
                        <w:szCs w:val="20"/>
                      </w:rPr>
                    </m:ctrlPr>
                  </m:fPr>
                  <m:num>
                    <m:r>
                      <m:rPr>
                        <m:sty m:val="p"/>
                      </m:rPr>
                      <w:rPr>
                        <w:rFonts w:ascii="Cambria Math" w:hAnsi="Cambria Math"/>
                        <w:sz w:val="20"/>
                        <w:szCs w:val="20"/>
                      </w:rPr>
                      <m:t>1/</m:t>
                    </m:r>
                    <m:nary>
                      <m:naryPr>
                        <m:chr m:val="∑"/>
                        <m:limLoc m:val="undOvr"/>
                        <m:ctrlPr>
                          <w:rPr>
                            <w:rFonts w:ascii="Cambria Math" w:hAnsi="Cambria Math"/>
                            <w:iCs/>
                            <w:sz w:val="20"/>
                            <w:szCs w:val="20"/>
                          </w:rPr>
                        </m:ctrlPr>
                      </m:naryPr>
                      <m:sub>
                        <m:eqArr>
                          <m:eqArrPr>
                            <m:ctrlPr>
                              <w:rPr>
                                <w:rFonts w:ascii="Cambria Math" w:hAnsi="Cambria Math"/>
                                <w:iCs/>
                                <w:sz w:val="20"/>
                                <w:szCs w:val="20"/>
                              </w:rPr>
                            </m:ctrlPr>
                          </m:eqArrPr>
                          <m:e>
                            <m:sSup>
                              <m:sSupPr>
                                <m:ctrlPr>
                                  <w:rPr>
                                    <w:rFonts w:ascii="Cambria Math" w:hAnsi="Cambria Math"/>
                                    <w:iCs/>
                                    <w:sz w:val="20"/>
                                    <w:szCs w:val="20"/>
                                  </w:rPr>
                                </m:ctrlPr>
                              </m:sSupPr>
                              <m:e>
                                <m:r>
                                  <m:rPr>
                                    <m:sty m:val="p"/>
                                  </m:rPr>
                                  <w:rPr>
                                    <w:rFonts w:ascii="Cambria Math" w:hAnsi="Cambria Math"/>
                                    <w:sz w:val="20"/>
                                    <w:szCs w:val="20"/>
                                  </w:rPr>
                                  <m:t>s</m:t>
                                </m:r>
                              </m:e>
                              <m:sup>
                                <m:r>
                                  <m:rPr>
                                    <m:sty m:val="p"/>
                                  </m:rPr>
                                  <w:rPr>
                                    <w:rFonts w:ascii="Cambria Math" w:hAnsi="Cambria Math"/>
                                    <w:sz w:val="20"/>
                                    <w:szCs w:val="20"/>
                                  </w:rPr>
                                  <m:t>'</m:t>
                                </m:r>
                              </m:sup>
                            </m:sSup>
                            <m:r>
                              <m:rPr>
                                <m:sty m:val="p"/>
                              </m:rPr>
                              <w:rPr>
                                <w:rFonts w:ascii="Cambria Math" w:hAnsi="Cambria Math"/>
                                <w:sz w:val="20"/>
                                <w:szCs w:val="20"/>
                              </w:rPr>
                              <m:t>=1</m:t>
                            </m:r>
                          </m:e>
                          <m:e>
                            <m:r>
                              <m:rPr>
                                <m:sty m:val="p"/>
                              </m:rPr>
                              <w:rPr>
                                <w:rFonts w:ascii="Cambria Math" w:hAnsi="Cambria Math"/>
                                <w:sz w:val="20"/>
                                <w:szCs w:val="20"/>
                              </w:rPr>
                              <m:t>s'≠s</m:t>
                            </m:r>
                          </m:e>
                        </m:eqArr>
                      </m:sub>
                      <m:sup>
                        <m:r>
                          <m:rPr>
                            <m:sty m:val="p"/>
                          </m:rPr>
                          <w:rPr>
                            <w:rFonts w:ascii="Cambria Math" w:hAnsi="Cambria Math"/>
                            <w:sz w:val="20"/>
                            <w:szCs w:val="20"/>
                          </w:rPr>
                          <m:t>S</m:t>
                        </m:r>
                      </m:sup>
                      <m:e>
                        <m:sSup>
                          <m:sSupPr>
                            <m:ctrlPr>
                              <w:rPr>
                                <w:rFonts w:ascii="Cambria Math" w:hAnsi="Cambria Math"/>
                                <w:iCs/>
                                <w:sz w:val="20"/>
                                <w:szCs w:val="20"/>
                              </w:rPr>
                            </m:ctrlPr>
                          </m:sSupPr>
                          <m:e>
                            <m:r>
                              <m:rPr>
                                <m:sty m:val="p"/>
                              </m:rPr>
                              <w:rPr>
                                <w:rFonts w:ascii="Cambria Math" w:hAnsi="Cambria Math"/>
                                <w:sz w:val="20"/>
                                <w:szCs w:val="20"/>
                              </w:rPr>
                              <m:t>[</m:t>
                            </m:r>
                            <m:f>
                              <m:fPr>
                                <m:ctrlPr>
                                  <w:rPr>
                                    <w:rFonts w:ascii="Cambria Math" w:hAnsi="Cambria Math"/>
                                    <w:iCs/>
                                    <w:sz w:val="20"/>
                                    <w:szCs w:val="20"/>
                                  </w:rPr>
                                </m:ctrlPr>
                              </m:fPr>
                              <m:num>
                                <m:sSub>
                                  <m:sSubPr>
                                    <m:ctrlPr>
                                      <w:rPr>
                                        <w:rFonts w:ascii="Cambria Math" w:hAnsi="Cambria Math"/>
                                        <w:iCs/>
                                        <w:sz w:val="20"/>
                                        <w:szCs w:val="20"/>
                                      </w:rPr>
                                    </m:ctrlPr>
                                  </m:sSubPr>
                                  <m:e>
                                    <m:r>
                                      <m:rPr>
                                        <m:sty m:val="p"/>
                                      </m:rPr>
                                      <w:rPr>
                                        <w:rFonts w:ascii="Cambria Math" w:hAnsi="Cambria Math"/>
                                        <w:sz w:val="20"/>
                                        <w:szCs w:val="20"/>
                                      </w:rPr>
                                      <m:t>emp</m:t>
                                    </m:r>
                                  </m:e>
                                  <m:sub>
                                    <m:r>
                                      <m:rPr>
                                        <m:sty m:val="p"/>
                                      </m:rPr>
                                      <w:rPr>
                                        <w:rFonts w:ascii="Cambria Math" w:hAnsi="Cambria Math"/>
                                        <w:sz w:val="20"/>
                                        <w:szCs w:val="20"/>
                                      </w:rPr>
                                      <m:t>z,</m:t>
                                    </m:r>
                                    <m:sSup>
                                      <m:sSupPr>
                                        <m:ctrlPr>
                                          <w:rPr>
                                            <w:rFonts w:ascii="Cambria Math" w:hAnsi="Cambria Math"/>
                                            <w:iCs/>
                                            <w:sz w:val="20"/>
                                            <w:szCs w:val="20"/>
                                          </w:rPr>
                                        </m:ctrlPr>
                                      </m:sSupPr>
                                      <m:e>
                                        <m:r>
                                          <m:rPr>
                                            <m:sty m:val="p"/>
                                          </m:rPr>
                                          <w:rPr>
                                            <w:rFonts w:ascii="Cambria Math" w:hAnsi="Cambria Math"/>
                                            <w:sz w:val="20"/>
                                            <w:szCs w:val="20"/>
                                          </w:rPr>
                                          <m:t>s</m:t>
                                        </m:r>
                                      </m:e>
                                      <m:sup>
                                        <m:r>
                                          <m:rPr>
                                            <m:sty m:val="p"/>
                                          </m:rPr>
                                          <w:rPr>
                                            <w:rFonts w:ascii="Cambria Math" w:hAnsi="Cambria Math"/>
                                            <w:sz w:val="20"/>
                                            <w:szCs w:val="20"/>
                                          </w:rPr>
                                          <m:t>'</m:t>
                                        </m:r>
                                      </m:sup>
                                    </m:sSup>
                                  </m:sub>
                                </m:sSub>
                              </m:num>
                              <m:den>
                                <m:sSub>
                                  <m:sSubPr>
                                    <m:ctrlPr>
                                      <w:rPr>
                                        <w:rFonts w:ascii="Cambria Math" w:hAnsi="Cambria Math"/>
                                        <w:iCs/>
                                        <w:sz w:val="20"/>
                                        <w:szCs w:val="20"/>
                                      </w:rPr>
                                    </m:ctrlPr>
                                  </m:sSubPr>
                                  <m:e>
                                    <m:r>
                                      <m:rPr>
                                        <m:sty m:val="p"/>
                                      </m:rPr>
                                      <w:rPr>
                                        <w:rFonts w:ascii="Cambria Math" w:hAnsi="Cambria Math"/>
                                        <w:sz w:val="20"/>
                                        <w:szCs w:val="20"/>
                                      </w:rPr>
                                      <m:t>emp</m:t>
                                    </m:r>
                                  </m:e>
                                  <m:sub>
                                    <m:r>
                                      <m:rPr>
                                        <m:sty m:val="p"/>
                                      </m:rPr>
                                      <w:rPr>
                                        <w:rFonts w:ascii="Cambria Math" w:hAnsi="Cambria Math"/>
                                        <w:sz w:val="20"/>
                                        <w:szCs w:val="20"/>
                                      </w:rPr>
                                      <m:t>z</m:t>
                                    </m:r>
                                  </m:sub>
                                </m:sSub>
                                <m:r>
                                  <m:rPr>
                                    <m:sty m:val="p"/>
                                  </m:rPr>
                                  <w:rPr>
                                    <w:rFonts w:ascii="Cambria Math" w:hAnsi="Cambria Math"/>
                                    <w:sz w:val="20"/>
                                    <w:szCs w:val="20"/>
                                  </w:rPr>
                                  <m:t>-</m:t>
                                </m:r>
                                <m:sSub>
                                  <m:sSubPr>
                                    <m:ctrlPr>
                                      <w:rPr>
                                        <w:rFonts w:ascii="Cambria Math" w:hAnsi="Cambria Math"/>
                                        <w:iCs/>
                                        <w:sz w:val="20"/>
                                        <w:szCs w:val="20"/>
                                      </w:rPr>
                                    </m:ctrlPr>
                                  </m:sSubPr>
                                  <m:e>
                                    <m:r>
                                      <m:rPr>
                                        <m:sty m:val="p"/>
                                      </m:rPr>
                                      <w:rPr>
                                        <w:rFonts w:ascii="Cambria Math" w:hAnsi="Cambria Math"/>
                                        <w:sz w:val="20"/>
                                        <w:szCs w:val="20"/>
                                      </w:rPr>
                                      <m:t>emp</m:t>
                                    </m:r>
                                  </m:e>
                                  <m:sub>
                                    <m:r>
                                      <m:rPr>
                                        <m:sty m:val="p"/>
                                      </m:rPr>
                                      <w:rPr>
                                        <w:rFonts w:ascii="Cambria Math" w:hAnsi="Cambria Math"/>
                                        <w:sz w:val="20"/>
                                        <w:szCs w:val="20"/>
                                      </w:rPr>
                                      <m:t>z,s</m:t>
                                    </m:r>
                                  </m:sub>
                                </m:sSub>
                              </m:den>
                            </m:f>
                            <m:r>
                              <m:rPr>
                                <m:sty m:val="p"/>
                              </m:rPr>
                              <w:rPr>
                                <w:rFonts w:ascii="Cambria Math" w:hAnsi="Cambria Math"/>
                                <w:sz w:val="20"/>
                                <w:szCs w:val="20"/>
                              </w:rPr>
                              <m:t>]</m:t>
                            </m:r>
                          </m:e>
                          <m:sup>
                            <m:r>
                              <m:rPr>
                                <m:sty m:val="p"/>
                              </m:rPr>
                              <w:rPr>
                                <w:rFonts w:ascii="Cambria Math" w:hAnsi="Cambria Math"/>
                                <w:sz w:val="20"/>
                                <w:szCs w:val="20"/>
                              </w:rPr>
                              <m:t>2</m:t>
                            </m:r>
                          </m:sup>
                        </m:sSup>
                      </m:e>
                    </m:nary>
                  </m:num>
                  <m:den>
                    <m:r>
                      <m:rPr>
                        <m:sty m:val="p"/>
                      </m:rPr>
                      <w:rPr>
                        <w:rFonts w:ascii="Cambria Math" w:hAnsi="Cambria Math"/>
                        <w:sz w:val="20"/>
                        <w:szCs w:val="20"/>
                      </w:rPr>
                      <m:t>1/</m:t>
                    </m:r>
                    <m:nary>
                      <m:naryPr>
                        <m:chr m:val="∑"/>
                        <m:limLoc m:val="undOvr"/>
                        <m:ctrlPr>
                          <w:rPr>
                            <w:rFonts w:ascii="Cambria Math" w:hAnsi="Cambria Math"/>
                            <w:iCs/>
                            <w:sz w:val="20"/>
                            <w:szCs w:val="20"/>
                          </w:rPr>
                        </m:ctrlPr>
                      </m:naryPr>
                      <m:sub>
                        <m:eqArr>
                          <m:eqArrPr>
                            <m:ctrlPr>
                              <w:rPr>
                                <w:rFonts w:ascii="Cambria Math" w:hAnsi="Cambria Math"/>
                                <w:iCs/>
                                <w:sz w:val="20"/>
                                <w:szCs w:val="20"/>
                              </w:rPr>
                            </m:ctrlPr>
                          </m:eqArrPr>
                          <m:e>
                            <m:sSup>
                              <m:sSupPr>
                                <m:ctrlPr>
                                  <w:rPr>
                                    <w:rFonts w:ascii="Cambria Math" w:hAnsi="Cambria Math"/>
                                    <w:iCs/>
                                    <w:sz w:val="20"/>
                                    <w:szCs w:val="20"/>
                                  </w:rPr>
                                </m:ctrlPr>
                              </m:sSupPr>
                              <m:e>
                                <m:r>
                                  <m:rPr>
                                    <m:sty m:val="p"/>
                                  </m:rPr>
                                  <w:rPr>
                                    <w:rFonts w:ascii="Cambria Math" w:hAnsi="Cambria Math"/>
                                    <w:sz w:val="20"/>
                                    <w:szCs w:val="20"/>
                                  </w:rPr>
                                  <m:t>s</m:t>
                                </m:r>
                              </m:e>
                              <m:sup>
                                <m:r>
                                  <m:rPr>
                                    <m:sty m:val="p"/>
                                  </m:rPr>
                                  <w:rPr>
                                    <w:rFonts w:ascii="Cambria Math" w:hAnsi="Cambria Math"/>
                                    <w:sz w:val="20"/>
                                    <w:szCs w:val="20"/>
                                  </w:rPr>
                                  <m:t>'</m:t>
                                </m:r>
                              </m:sup>
                            </m:sSup>
                            <m:r>
                              <m:rPr>
                                <m:sty m:val="p"/>
                              </m:rPr>
                              <w:rPr>
                                <w:rFonts w:ascii="Cambria Math" w:hAnsi="Cambria Math"/>
                                <w:sz w:val="20"/>
                                <w:szCs w:val="20"/>
                              </w:rPr>
                              <m:t>=1</m:t>
                            </m:r>
                          </m:e>
                          <m:e>
                            <m:r>
                              <m:rPr>
                                <m:sty m:val="p"/>
                              </m:rPr>
                              <w:rPr>
                                <w:rFonts w:ascii="Cambria Math" w:hAnsi="Cambria Math"/>
                                <w:sz w:val="20"/>
                                <w:szCs w:val="20"/>
                              </w:rPr>
                              <m:t>s'≠s</m:t>
                            </m:r>
                          </m:e>
                        </m:eqArr>
                      </m:sub>
                      <m:sup>
                        <m:r>
                          <m:rPr>
                            <m:sty m:val="p"/>
                          </m:rPr>
                          <w:rPr>
                            <w:rFonts w:ascii="Cambria Math" w:hAnsi="Cambria Math"/>
                            <w:sz w:val="20"/>
                            <w:szCs w:val="20"/>
                          </w:rPr>
                          <m:t>S</m:t>
                        </m:r>
                      </m:sup>
                      <m:e>
                        <m:sSup>
                          <m:sSupPr>
                            <m:ctrlPr>
                              <w:rPr>
                                <w:rFonts w:ascii="Cambria Math" w:hAnsi="Cambria Math"/>
                                <w:iCs/>
                                <w:sz w:val="20"/>
                                <w:szCs w:val="20"/>
                              </w:rPr>
                            </m:ctrlPr>
                          </m:sSupPr>
                          <m:e>
                            <m:r>
                              <m:rPr>
                                <m:sty m:val="p"/>
                              </m:rPr>
                              <w:rPr>
                                <w:rFonts w:ascii="Cambria Math" w:hAnsi="Cambria Math"/>
                                <w:sz w:val="20"/>
                                <w:szCs w:val="20"/>
                              </w:rPr>
                              <m:t>[</m:t>
                            </m:r>
                            <m:f>
                              <m:fPr>
                                <m:ctrlPr>
                                  <w:rPr>
                                    <w:rFonts w:ascii="Cambria Math" w:hAnsi="Cambria Math"/>
                                    <w:iCs/>
                                    <w:sz w:val="20"/>
                                    <w:szCs w:val="20"/>
                                  </w:rPr>
                                </m:ctrlPr>
                              </m:fPr>
                              <m:num>
                                <m:sSub>
                                  <m:sSubPr>
                                    <m:ctrlPr>
                                      <w:rPr>
                                        <w:rFonts w:ascii="Cambria Math" w:hAnsi="Cambria Math"/>
                                        <w:iCs/>
                                        <w:sz w:val="20"/>
                                        <w:szCs w:val="20"/>
                                      </w:rPr>
                                    </m:ctrlPr>
                                  </m:sSubPr>
                                  <m:e>
                                    <m:r>
                                      <m:rPr>
                                        <m:sty m:val="p"/>
                                      </m:rPr>
                                      <w:rPr>
                                        <w:rFonts w:ascii="Cambria Math" w:hAnsi="Cambria Math"/>
                                        <w:sz w:val="20"/>
                                        <w:szCs w:val="20"/>
                                      </w:rPr>
                                      <m:t>emp</m:t>
                                    </m:r>
                                  </m:e>
                                  <m:sub>
                                    <m:sSup>
                                      <m:sSupPr>
                                        <m:ctrlPr>
                                          <w:rPr>
                                            <w:rFonts w:ascii="Cambria Math" w:hAnsi="Cambria Math"/>
                                            <w:iCs/>
                                            <w:sz w:val="20"/>
                                            <w:szCs w:val="20"/>
                                          </w:rPr>
                                        </m:ctrlPr>
                                      </m:sSupPr>
                                      <m:e>
                                        <m:r>
                                          <m:rPr>
                                            <m:sty m:val="p"/>
                                          </m:rPr>
                                          <w:rPr>
                                            <w:rFonts w:ascii="Cambria Math" w:hAnsi="Cambria Math"/>
                                            <w:sz w:val="20"/>
                                            <w:szCs w:val="20"/>
                                          </w:rPr>
                                          <m:t>s</m:t>
                                        </m:r>
                                      </m:e>
                                      <m:sup>
                                        <m:r>
                                          <m:rPr>
                                            <m:sty m:val="p"/>
                                          </m:rPr>
                                          <w:rPr>
                                            <w:rFonts w:ascii="Cambria Math" w:hAnsi="Cambria Math"/>
                                            <w:sz w:val="20"/>
                                            <w:szCs w:val="20"/>
                                          </w:rPr>
                                          <m:t>'</m:t>
                                        </m:r>
                                      </m:sup>
                                    </m:sSup>
                                  </m:sub>
                                </m:sSub>
                              </m:num>
                              <m:den>
                                <m:r>
                                  <m:rPr>
                                    <m:sty m:val="p"/>
                                  </m:rPr>
                                  <w:rPr>
                                    <w:rFonts w:ascii="Cambria Math" w:hAnsi="Cambria Math"/>
                                    <w:sz w:val="20"/>
                                    <w:szCs w:val="20"/>
                                  </w:rPr>
                                  <m:t>emp-</m:t>
                                </m:r>
                                <m:sSub>
                                  <m:sSubPr>
                                    <m:ctrlPr>
                                      <w:rPr>
                                        <w:rFonts w:ascii="Cambria Math" w:hAnsi="Cambria Math"/>
                                        <w:iCs/>
                                        <w:sz w:val="20"/>
                                        <w:szCs w:val="20"/>
                                      </w:rPr>
                                    </m:ctrlPr>
                                  </m:sSubPr>
                                  <m:e>
                                    <m:r>
                                      <m:rPr>
                                        <m:sty m:val="p"/>
                                      </m:rPr>
                                      <w:rPr>
                                        <w:rFonts w:ascii="Cambria Math" w:hAnsi="Cambria Math"/>
                                        <w:sz w:val="20"/>
                                        <w:szCs w:val="20"/>
                                      </w:rPr>
                                      <m:t>emp</m:t>
                                    </m:r>
                                  </m:e>
                                  <m:sub>
                                    <m:r>
                                      <m:rPr>
                                        <m:sty m:val="p"/>
                                      </m:rPr>
                                      <w:rPr>
                                        <w:rFonts w:ascii="Cambria Math" w:hAnsi="Cambria Math"/>
                                        <w:sz w:val="20"/>
                                        <w:szCs w:val="20"/>
                                      </w:rPr>
                                      <m:t>s</m:t>
                                    </m:r>
                                  </m:sub>
                                </m:sSub>
                              </m:den>
                            </m:f>
                            <m:r>
                              <m:rPr>
                                <m:sty m:val="p"/>
                              </m:rPr>
                              <w:rPr>
                                <w:rFonts w:ascii="Cambria Math" w:hAnsi="Cambria Math"/>
                                <w:sz w:val="20"/>
                                <w:szCs w:val="20"/>
                              </w:rPr>
                              <m:t>]</m:t>
                            </m:r>
                          </m:e>
                          <m:sup>
                            <m:r>
                              <m:rPr>
                                <m:sty m:val="p"/>
                              </m:rPr>
                              <w:rPr>
                                <w:rFonts w:ascii="Cambria Math" w:hAnsi="Cambria Math"/>
                                <w:sz w:val="20"/>
                                <w:szCs w:val="20"/>
                              </w:rPr>
                              <m:t>2</m:t>
                            </m:r>
                          </m:sup>
                        </m:sSup>
                      </m:e>
                    </m:nary>
                  </m:den>
                </m:f>
              </m:oMath>
            </m:oMathPara>
          </w:p>
          <w:p w:rsidR="00C36CF1" w:rsidRDefault="00C36CF1" w:rsidP="00877A16">
            <w:pPr>
              <w:jc w:val="both"/>
              <w:rPr>
                <w:sz w:val="20"/>
                <w:szCs w:val="20"/>
                <w:lang w:eastAsia="zh-CN"/>
              </w:rPr>
            </w:pPr>
          </w:p>
          <w:p w:rsidR="00C36CF1" w:rsidRPr="00D63B8F" w:rsidRDefault="00C36CF1" w:rsidP="00B574A1">
            <w:pPr>
              <w:jc w:val="center"/>
              <w:rPr>
                <w:sz w:val="20"/>
                <w:szCs w:val="20"/>
              </w:rPr>
            </w:pPr>
            <w:r w:rsidRPr="00945572">
              <w:rPr>
                <w:sz w:val="20"/>
                <w:szCs w:val="20"/>
              </w:rPr>
              <w:t xml:space="preserve">(as in </w:t>
            </w:r>
            <w:proofErr w:type="spellStart"/>
            <w:r w:rsidRPr="00945572">
              <w:rPr>
                <w:sz w:val="20"/>
                <w:szCs w:val="20"/>
                <w:lang w:val="en-US"/>
              </w:rPr>
              <w:t>Combes</w:t>
            </w:r>
            <w:proofErr w:type="spellEnd"/>
            <w:r w:rsidRPr="00945572">
              <w:rPr>
                <w:sz w:val="20"/>
                <w:szCs w:val="20"/>
                <w:lang w:val="en-US"/>
              </w:rPr>
              <w:t xml:space="preserve"> (2000))</w:t>
            </w:r>
          </w:p>
        </w:tc>
        <w:tc>
          <w:tcPr>
            <w:tcW w:w="2977" w:type="dxa"/>
          </w:tcPr>
          <w:p w:rsidR="00F84261" w:rsidRPr="00D63B8F" w:rsidRDefault="00C36CF1" w:rsidP="00B574A1">
            <w:pPr>
              <w:autoSpaceDE w:val="0"/>
              <w:autoSpaceDN w:val="0"/>
              <w:adjustRightInd w:val="0"/>
              <w:jc w:val="both"/>
              <w:rPr>
                <w:i/>
                <w:color w:val="000000"/>
                <w:sz w:val="20"/>
                <w:szCs w:val="20"/>
                <w:lang w:eastAsia="zh-CN"/>
              </w:rPr>
            </w:pPr>
            <w:r w:rsidRPr="00D63B8F">
              <w:rPr>
                <w:sz w:val="20"/>
                <w:szCs w:val="20"/>
                <w:lang w:eastAsia="zh-CN"/>
              </w:rPr>
              <w:t>Diversity is</w:t>
            </w:r>
            <w:r w:rsidR="00F84261">
              <w:rPr>
                <w:sz w:val="20"/>
                <w:szCs w:val="20"/>
                <w:lang w:eastAsia="zh-CN"/>
              </w:rPr>
              <w:t xml:space="preserve"> </w:t>
            </w:r>
            <w:r w:rsidRPr="00D63B8F">
              <w:rPr>
                <w:sz w:val="20"/>
                <w:szCs w:val="20"/>
                <w:lang w:eastAsia="zh-CN"/>
              </w:rPr>
              <w:t xml:space="preserve">the inverse of </w:t>
            </w:r>
            <w:proofErr w:type="gramStart"/>
            <w:r w:rsidRPr="00D63B8F">
              <w:rPr>
                <w:sz w:val="20"/>
                <w:szCs w:val="20"/>
                <w:lang w:eastAsia="zh-CN"/>
              </w:rPr>
              <w:t>an</w:t>
            </w:r>
            <w:proofErr w:type="gramEnd"/>
            <w:r w:rsidRPr="00D63B8F">
              <w:rPr>
                <w:sz w:val="20"/>
                <w:szCs w:val="20"/>
                <w:lang w:eastAsia="zh-CN"/>
              </w:rPr>
              <w:t xml:space="preserve"> </w:t>
            </w:r>
            <w:proofErr w:type="spellStart"/>
            <w:r w:rsidRPr="00D63B8F">
              <w:rPr>
                <w:sz w:val="20"/>
                <w:szCs w:val="20"/>
                <w:lang w:eastAsia="zh-CN"/>
              </w:rPr>
              <w:t>Herfindahl</w:t>
            </w:r>
            <w:proofErr w:type="spellEnd"/>
            <w:r w:rsidRPr="00D63B8F">
              <w:rPr>
                <w:sz w:val="20"/>
                <w:szCs w:val="20"/>
                <w:lang w:eastAsia="zh-CN"/>
              </w:rPr>
              <w:t xml:space="preserve"> index of </w:t>
            </w:r>
            <w:proofErr w:type="spellStart"/>
            <w:r w:rsidRPr="00D63B8F">
              <w:rPr>
                <w:sz w:val="20"/>
                <w:szCs w:val="20"/>
                <w:lang w:eastAsia="zh-CN"/>
              </w:rPr>
              <w:t>sectoral</w:t>
            </w:r>
            <w:proofErr w:type="spellEnd"/>
            <w:r w:rsidRPr="00D63B8F">
              <w:rPr>
                <w:sz w:val="20"/>
                <w:szCs w:val="20"/>
                <w:lang w:eastAsia="zh-CN"/>
              </w:rPr>
              <w:t xml:space="preserve"> concentration based on the share of all sectors, except the one considered, where </w:t>
            </w:r>
            <w:r w:rsidRPr="00D63B8F">
              <w:rPr>
                <w:i/>
                <w:iCs/>
                <w:sz w:val="20"/>
                <w:szCs w:val="20"/>
                <w:lang w:eastAsia="zh-CN"/>
              </w:rPr>
              <w:t xml:space="preserve">S </w:t>
            </w:r>
            <w:r w:rsidRPr="00D63B8F">
              <w:rPr>
                <w:sz w:val="20"/>
                <w:szCs w:val="20"/>
                <w:lang w:eastAsia="zh-CN"/>
              </w:rPr>
              <w:t xml:space="preserve">is the total number of sectors and z is state. The </w:t>
            </w:r>
            <w:r>
              <w:rPr>
                <w:sz w:val="20"/>
                <w:szCs w:val="20"/>
                <w:lang w:eastAsia="zh-CN"/>
              </w:rPr>
              <w:t>nine</w:t>
            </w:r>
            <w:r w:rsidRPr="00D63B8F">
              <w:rPr>
                <w:sz w:val="20"/>
                <w:szCs w:val="20"/>
                <w:lang w:eastAsia="zh-CN"/>
              </w:rPr>
              <w:t xml:space="preserve"> sectors </w:t>
            </w:r>
            <w:r w:rsidRPr="00D63B8F">
              <w:rPr>
                <w:i/>
                <w:sz w:val="20"/>
                <w:szCs w:val="20"/>
                <w:lang w:eastAsia="zh-CN"/>
              </w:rPr>
              <w:t xml:space="preserve">s </w:t>
            </w:r>
            <w:proofErr w:type="gramStart"/>
            <w:r w:rsidRPr="00D63B8F">
              <w:rPr>
                <w:sz w:val="20"/>
                <w:szCs w:val="20"/>
                <w:lang w:eastAsia="zh-CN"/>
              </w:rPr>
              <w:t>are</w:t>
            </w:r>
            <w:proofErr w:type="gramEnd"/>
            <w:r w:rsidRPr="00D63B8F">
              <w:rPr>
                <w:sz w:val="20"/>
                <w:szCs w:val="20"/>
                <w:lang w:eastAsia="zh-CN"/>
              </w:rPr>
              <w:t xml:space="preserve">: </w:t>
            </w:r>
            <w:r>
              <w:rPr>
                <w:sz w:val="20"/>
                <w:szCs w:val="20"/>
              </w:rPr>
              <w:t>a</w:t>
            </w:r>
            <w:r w:rsidRPr="00D63B8F">
              <w:rPr>
                <w:sz w:val="20"/>
                <w:szCs w:val="20"/>
              </w:rPr>
              <w:t>griculture &amp; fishing</w:t>
            </w:r>
            <w:r>
              <w:rPr>
                <w:sz w:val="20"/>
                <w:szCs w:val="20"/>
              </w:rPr>
              <w:t>;</w:t>
            </w:r>
            <w:r w:rsidRPr="00D63B8F">
              <w:rPr>
                <w:sz w:val="20"/>
                <w:szCs w:val="20"/>
              </w:rPr>
              <w:t xml:space="preserve"> commerce</w:t>
            </w:r>
            <w:r>
              <w:rPr>
                <w:sz w:val="20"/>
                <w:szCs w:val="20"/>
              </w:rPr>
              <w:t xml:space="preserve">; </w:t>
            </w:r>
            <w:r w:rsidRPr="00D63B8F">
              <w:rPr>
                <w:sz w:val="20"/>
                <w:szCs w:val="20"/>
              </w:rPr>
              <w:t>construction</w:t>
            </w:r>
            <w:r>
              <w:rPr>
                <w:sz w:val="20"/>
                <w:szCs w:val="20"/>
              </w:rPr>
              <w:t xml:space="preserve">; electricity, water &amp; gas; </w:t>
            </w:r>
            <w:r w:rsidRPr="00D63B8F">
              <w:rPr>
                <w:sz w:val="20"/>
                <w:szCs w:val="20"/>
              </w:rPr>
              <w:t>financ</w:t>
            </w:r>
            <w:r>
              <w:rPr>
                <w:sz w:val="20"/>
                <w:szCs w:val="20"/>
              </w:rPr>
              <w:t xml:space="preserve">e; manufacturing; </w:t>
            </w:r>
            <w:r w:rsidRPr="00D63B8F">
              <w:rPr>
                <w:sz w:val="20"/>
                <w:szCs w:val="20"/>
              </w:rPr>
              <w:t>mining</w:t>
            </w:r>
            <w:r>
              <w:rPr>
                <w:sz w:val="20"/>
                <w:szCs w:val="20"/>
              </w:rPr>
              <w:t xml:space="preserve">; </w:t>
            </w:r>
            <w:r w:rsidRPr="00D63B8F">
              <w:rPr>
                <w:sz w:val="20"/>
                <w:szCs w:val="20"/>
              </w:rPr>
              <w:t>services</w:t>
            </w:r>
            <w:r>
              <w:rPr>
                <w:sz w:val="20"/>
                <w:szCs w:val="20"/>
              </w:rPr>
              <w:t>;</w:t>
            </w:r>
            <w:r w:rsidRPr="00D63B8F">
              <w:rPr>
                <w:sz w:val="20"/>
                <w:szCs w:val="20"/>
              </w:rPr>
              <w:t xml:space="preserve"> and </w:t>
            </w:r>
            <w:r>
              <w:rPr>
                <w:sz w:val="20"/>
                <w:szCs w:val="20"/>
              </w:rPr>
              <w:t>t</w:t>
            </w:r>
            <w:r w:rsidRPr="00D63B8F">
              <w:rPr>
                <w:sz w:val="20"/>
                <w:szCs w:val="20"/>
              </w:rPr>
              <w:t xml:space="preserve">ransportation &amp; </w:t>
            </w:r>
            <w:r>
              <w:rPr>
                <w:sz w:val="20"/>
                <w:szCs w:val="20"/>
              </w:rPr>
              <w:t>c</w:t>
            </w:r>
            <w:r w:rsidRPr="00D63B8F">
              <w:rPr>
                <w:sz w:val="20"/>
                <w:szCs w:val="20"/>
              </w:rPr>
              <w:t xml:space="preserve">ommunications. </w:t>
            </w:r>
          </w:p>
        </w:tc>
        <w:tc>
          <w:tcPr>
            <w:tcW w:w="2977" w:type="dxa"/>
          </w:tcPr>
          <w:p w:rsidR="00B574A1" w:rsidRDefault="00B574A1" w:rsidP="00877A16">
            <w:pPr>
              <w:autoSpaceDE w:val="0"/>
              <w:autoSpaceDN w:val="0"/>
              <w:adjustRightInd w:val="0"/>
              <w:ind w:right="10"/>
              <w:jc w:val="both"/>
              <w:rPr>
                <w:sz w:val="20"/>
                <w:szCs w:val="20"/>
              </w:rPr>
            </w:pPr>
          </w:p>
          <w:p w:rsidR="00B574A1" w:rsidRDefault="00B574A1" w:rsidP="00877A16">
            <w:pPr>
              <w:autoSpaceDE w:val="0"/>
              <w:autoSpaceDN w:val="0"/>
              <w:adjustRightInd w:val="0"/>
              <w:ind w:right="10"/>
              <w:jc w:val="both"/>
              <w:rPr>
                <w:sz w:val="20"/>
                <w:szCs w:val="20"/>
              </w:rPr>
            </w:pPr>
          </w:p>
          <w:p w:rsidR="00F84261" w:rsidRDefault="00F84261" w:rsidP="00877A16">
            <w:pPr>
              <w:autoSpaceDE w:val="0"/>
              <w:autoSpaceDN w:val="0"/>
              <w:adjustRightInd w:val="0"/>
              <w:ind w:right="10"/>
              <w:jc w:val="both"/>
              <w:rPr>
                <w:sz w:val="20"/>
                <w:szCs w:val="20"/>
              </w:rPr>
            </w:pPr>
            <w:r>
              <w:rPr>
                <w:sz w:val="20"/>
                <w:szCs w:val="20"/>
              </w:rPr>
              <w:t>1985:</w:t>
            </w:r>
          </w:p>
          <w:p w:rsidR="00F84261" w:rsidRDefault="00F84261" w:rsidP="00877A16">
            <w:pPr>
              <w:autoSpaceDE w:val="0"/>
              <w:autoSpaceDN w:val="0"/>
              <w:adjustRightInd w:val="0"/>
              <w:ind w:right="10"/>
              <w:jc w:val="both"/>
              <w:rPr>
                <w:sz w:val="20"/>
                <w:szCs w:val="20"/>
              </w:rPr>
            </w:pPr>
            <w:r>
              <w:rPr>
                <w:sz w:val="20"/>
                <w:szCs w:val="20"/>
              </w:rPr>
              <w:t>1.0048 (0.4577)</w:t>
            </w:r>
          </w:p>
          <w:p w:rsidR="00F84261" w:rsidRDefault="00F84261" w:rsidP="00877A16">
            <w:pPr>
              <w:autoSpaceDE w:val="0"/>
              <w:autoSpaceDN w:val="0"/>
              <w:adjustRightInd w:val="0"/>
              <w:ind w:right="10"/>
              <w:jc w:val="both"/>
              <w:rPr>
                <w:sz w:val="20"/>
                <w:szCs w:val="20"/>
              </w:rPr>
            </w:pPr>
            <w:r>
              <w:rPr>
                <w:sz w:val="20"/>
                <w:szCs w:val="20"/>
              </w:rPr>
              <w:t>Annual 1981 to 2006:</w:t>
            </w:r>
          </w:p>
          <w:p w:rsidR="00F84261" w:rsidRDefault="00F84261" w:rsidP="00877A16">
            <w:pPr>
              <w:autoSpaceDE w:val="0"/>
              <w:autoSpaceDN w:val="0"/>
              <w:adjustRightInd w:val="0"/>
              <w:ind w:right="10"/>
              <w:jc w:val="both"/>
              <w:rPr>
                <w:sz w:val="20"/>
                <w:szCs w:val="20"/>
              </w:rPr>
            </w:pPr>
            <w:r>
              <w:rPr>
                <w:sz w:val="20"/>
                <w:szCs w:val="20"/>
              </w:rPr>
              <w:t>0.9411 (0.2181)</w:t>
            </w:r>
          </w:p>
          <w:p w:rsidR="00F84261" w:rsidRDefault="00F84261" w:rsidP="00877A16">
            <w:pPr>
              <w:autoSpaceDE w:val="0"/>
              <w:autoSpaceDN w:val="0"/>
              <w:adjustRightInd w:val="0"/>
              <w:ind w:right="10"/>
              <w:jc w:val="both"/>
              <w:rPr>
                <w:sz w:val="20"/>
                <w:szCs w:val="20"/>
              </w:rPr>
            </w:pPr>
            <w:r>
              <w:rPr>
                <w:sz w:val="20"/>
                <w:szCs w:val="20"/>
              </w:rPr>
              <w:t>Pooled:</w:t>
            </w:r>
          </w:p>
          <w:p w:rsidR="00C36CF1" w:rsidRPr="00D63B8F" w:rsidRDefault="00F84261" w:rsidP="00877A16">
            <w:pPr>
              <w:autoSpaceDE w:val="0"/>
              <w:autoSpaceDN w:val="0"/>
              <w:adjustRightInd w:val="0"/>
              <w:jc w:val="both"/>
              <w:rPr>
                <w:sz w:val="20"/>
                <w:szCs w:val="20"/>
                <w:lang w:eastAsia="zh-CN"/>
              </w:rPr>
            </w:pPr>
            <w:r>
              <w:rPr>
                <w:sz w:val="20"/>
                <w:szCs w:val="20"/>
              </w:rPr>
              <w:t>0.9205 (0.1272)</w:t>
            </w:r>
          </w:p>
        </w:tc>
      </w:tr>
      <w:tr w:rsidR="00C36CF1" w:rsidRPr="00D63B8F" w:rsidTr="002F356F">
        <w:trPr>
          <w:jc w:val="center"/>
        </w:trPr>
        <w:tc>
          <w:tcPr>
            <w:tcW w:w="2127" w:type="dxa"/>
          </w:tcPr>
          <w:p w:rsidR="00B574A1" w:rsidRDefault="00B574A1" w:rsidP="00877A16">
            <w:pPr>
              <w:jc w:val="both"/>
              <w:rPr>
                <w:sz w:val="20"/>
                <w:szCs w:val="20"/>
              </w:rPr>
            </w:pPr>
          </w:p>
          <w:p w:rsidR="00C36CF1" w:rsidRPr="00D63B8F" w:rsidRDefault="00C36CF1" w:rsidP="00877A16">
            <w:pPr>
              <w:jc w:val="both"/>
              <w:rPr>
                <w:sz w:val="20"/>
                <w:szCs w:val="20"/>
              </w:rPr>
            </w:pPr>
            <w:r w:rsidRPr="00D63B8F">
              <w:rPr>
                <w:sz w:val="20"/>
                <w:szCs w:val="20"/>
              </w:rPr>
              <w:t>Competition</w:t>
            </w:r>
          </w:p>
        </w:tc>
        <w:tc>
          <w:tcPr>
            <w:tcW w:w="4536" w:type="dxa"/>
          </w:tcPr>
          <w:p w:rsidR="00C36CF1" w:rsidRDefault="00C36CF1" w:rsidP="00877A16">
            <w:pPr>
              <w:jc w:val="both"/>
            </w:pPr>
          </w:p>
          <w:p w:rsidR="00C36CF1" w:rsidRPr="00994C3A" w:rsidRDefault="00C36CF1" w:rsidP="00877A16">
            <w:pPr>
              <w:jc w:val="both"/>
              <w:rPr>
                <w:iCs/>
                <w:sz w:val="20"/>
                <w:szCs w:val="20"/>
              </w:rPr>
            </w:pPr>
            <m:oMathPara>
              <m:oMath>
                <m:r>
                  <m:rPr>
                    <m:sty m:val="p"/>
                  </m:rPr>
                  <w:rPr>
                    <w:rFonts w:ascii="Cambria Math" w:hAnsi="Cambria Math"/>
                    <w:sz w:val="20"/>
                    <w:szCs w:val="20"/>
                  </w:rPr>
                  <m:t>Comp=</m:t>
                </m:r>
                <m:f>
                  <m:fPr>
                    <m:ctrlPr>
                      <w:rPr>
                        <w:rFonts w:ascii="Cambria Math" w:hAnsi="Cambria Math"/>
                        <w:iCs/>
                        <w:sz w:val="20"/>
                        <w:szCs w:val="20"/>
                      </w:rPr>
                    </m:ctrlPr>
                  </m:fPr>
                  <m:num>
                    <m:sSub>
                      <m:sSubPr>
                        <m:ctrlPr>
                          <w:rPr>
                            <w:rFonts w:ascii="Cambria Math" w:hAnsi="Cambria Math"/>
                            <w:iCs/>
                            <w:sz w:val="20"/>
                            <w:szCs w:val="20"/>
                          </w:rPr>
                        </m:ctrlPr>
                      </m:sSubPr>
                      <m:e>
                        <m:r>
                          <m:rPr>
                            <m:sty m:val="p"/>
                          </m:rPr>
                          <w:rPr>
                            <w:rFonts w:ascii="Cambria Math" w:hAnsi="Cambria Math"/>
                            <w:sz w:val="20"/>
                            <w:szCs w:val="20"/>
                          </w:rPr>
                          <m:t>N</m:t>
                        </m:r>
                      </m:e>
                      <m:sub>
                        <m:r>
                          <m:rPr>
                            <m:sty m:val="p"/>
                          </m:rPr>
                          <w:rPr>
                            <w:rFonts w:ascii="Cambria Math" w:hAnsi="Cambria Math"/>
                            <w:sz w:val="20"/>
                            <w:szCs w:val="20"/>
                          </w:rPr>
                          <m:t>z,s</m:t>
                        </m:r>
                      </m:sub>
                    </m:sSub>
                    <m:r>
                      <m:rPr>
                        <m:sty m:val="p"/>
                      </m:rPr>
                      <w:rPr>
                        <w:rFonts w:ascii="Cambria Math" w:hAnsi="Cambria Math"/>
                        <w:sz w:val="20"/>
                        <w:szCs w:val="20"/>
                      </w:rPr>
                      <m:t>/</m:t>
                    </m:r>
                    <m:sSub>
                      <m:sSubPr>
                        <m:ctrlPr>
                          <w:rPr>
                            <w:rFonts w:ascii="Cambria Math" w:hAnsi="Cambria Math"/>
                            <w:iCs/>
                            <w:sz w:val="20"/>
                            <w:szCs w:val="20"/>
                          </w:rPr>
                        </m:ctrlPr>
                      </m:sSubPr>
                      <m:e>
                        <m:r>
                          <m:rPr>
                            <m:sty m:val="p"/>
                          </m:rPr>
                          <w:rPr>
                            <w:rFonts w:ascii="Cambria Math" w:hAnsi="Cambria Math"/>
                            <w:sz w:val="20"/>
                            <w:szCs w:val="20"/>
                          </w:rPr>
                          <m:t>E</m:t>
                        </m:r>
                      </m:e>
                      <m:sub>
                        <m:r>
                          <m:rPr>
                            <m:sty m:val="p"/>
                          </m:rPr>
                          <w:rPr>
                            <w:rFonts w:ascii="Cambria Math" w:hAnsi="Cambria Math"/>
                            <w:sz w:val="20"/>
                            <w:szCs w:val="20"/>
                          </w:rPr>
                          <m:t>z,s</m:t>
                        </m:r>
                      </m:sub>
                    </m:sSub>
                  </m:num>
                  <m:den>
                    <m:sSub>
                      <m:sSubPr>
                        <m:ctrlPr>
                          <w:rPr>
                            <w:rFonts w:ascii="Cambria Math" w:hAnsi="Cambria Math"/>
                            <w:iCs/>
                            <w:sz w:val="20"/>
                            <w:szCs w:val="20"/>
                          </w:rPr>
                        </m:ctrlPr>
                      </m:sSubPr>
                      <m:e>
                        <m:r>
                          <m:rPr>
                            <m:sty m:val="p"/>
                          </m:rPr>
                          <w:rPr>
                            <w:rFonts w:ascii="Cambria Math" w:hAnsi="Cambria Math"/>
                            <w:sz w:val="20"/>
                            <w:szCs w:val="20"/>
                          </w:rPr>
                          <m:t>N</m:t>
                        </m:r>
                      </m:e>
                      <m:sub>
                        <m:r>
                          <m:rPr>
                            <m:sty m:val="p"/>
                          </m:rPr>
                          <w:rPr>
                            <w:rFonts w:ascii="Cambria Math" w:hAnsi="Cambria Math"/>
                            <w:sz w:val="20"/>
                            <w:szCs w:val="20"/>
                          </w:rPr>
                          <m:t>s</m:t>
                        </m:r>
                      </m:sub>
                    </m:sSub>
                    <m:r>
                      <m:rPr>
                        <m:sty m:val="p"/>
                      </m:rPr>
                      <w:rPr>
                        <w:rFonts w:ascii="Cambria Math" w:hAnsi="Cambria Math"/>
                        <w:sz w:val="20"/>
                        <w:szCs w:val="20"/>
                      </w:rPr>
                      <m:t>/</m:t>
                    </m:r>
                    <m:sSub>
                      <m:sSubPr>
                        <m:ctrlPr>
                          <w:rPr>
                            <w:rFonts w:ascii="Cambria Math" w:hAnsi="Cambria Math"/>
                            <w:iCs/>
                            <w:sz w:val="20"/>
                            <w:szCs w:val="20"/>
                          </w:rPr>
                        </m:ctrlPr>
                      </m:sSubPr>
                      <m:e>
                        <m:r>
                          <m:rPr>
                            <m:sty m:val="p"/>
                          </m:rPr>
                          <w:rPr>
                            <w:rFonts w:ascii="Cambria Math" w:hAnsi="Cambria Math"/>
                            <w:sz w:val="20"/>
                            <w:szCs w:val="20"/>
                          </w:rPr>
                          <m:t>E</m:t>
                        </m:r>
                      </m:e>
                      <m:sub>
                        <m:r>
                          <m:rPr>
                            <m:sty m:val="p"/>
                          </m:rPr>
                          <w:rPr>
                            <w:rFonts w:ascii="Cambria Math" w:hAnsi="Cambria Math"/>
                            <w:sz w:val="20"/>
                            <w:szCs w:val="20"/>
                          </w:rPr>
                          <m:t>s</m:t>
                        </m:r>
                      </m:sub>
                    </m:sSub>
                  </m:den>
                </m:f>
              </m:oMath>
            </m:oMathPara>
          </w:p>
          <w:p w:rsidR="00C36CF1" w:rsidRDefault="00C36CF1" w:rsidP="00877A16">
            <w:pPr>
              <w:jc w:val="both"/>
              <w:rPr>
                <w:sz w:val="20"/>
                <w:szCs w:val="20"/>
                <w:lang w:val="nl-NL"/>
              </w:rPr>
            </w:pPr>
          </w:p>
          <w:p w:rsidR="00C36CF1" w:rsidRPr="00D63B8F" w:rsidRDefault="00C36CF1" w:rsidP="00877A16">
            <w:pPr>
              <w:jc w:val="both"/>
              <w:rPr>
                <w:sz w:val="20"/>
                <w:szCs w:val="20"/>
              </w:rPr>
            </w:pPr>
            <w:r w:rsidRPr="0046421B">
              <w:rPr>
                <w:sz w:val="20"/>
                <w:szCs w:val="20"/>
                <w:lang w:val="nl-NL"/>
              </w:rPr>
              <w:t xml:space="preserve">(as in Glaeser </w:t>
            </w:r>
            <w:r w:rsidRPr="00F84261">
              <w:rPr>
                <w:i/>
                <w:iCs/>
                <w:sz w:val="20"/>
                <w:szCs w:val="20"/>
                <w:lang w:val="nl-NL"/>
              </w:rPr>
              <w:t>et</w:t>
            </w:r>
            <w:r w:rsidR="00F84261" w:rsidRPr="00F84261">
              <w:rPr>
                <w:i/>
                <w:iCs/>
                <w:sz w:val="20"/>
                <w:szCs w:val="20"/>
                <w:lang w:val="nl-NL"/>
              </w:rPr>
              <w:t xml:space="preserve"> a</w:t>
            </w:r>
            <w:r w:rsidRPr="00F84261">
              <w:rPr>
                <w:i/>
                <w:iCs/>
                <w:sz w:val="20"/>
                <w:szCs w:val="20"/>
                <w:lang w:val="nl-NL"/>
              </w:rPr>
              <w:t>l.</w:t>
            </w:r>
            <w:r w:rsidRPr="0046421B">
              <w:rPr>
                <w:sz w:val="20"/>
                <w:szCs w:val="20"/>
                <w:lang w:val="nl-NL"/>
              </w:rPr>
              <w:t xml:space="preserve"> </w:t>
            </w:r>
            <w:r w:rsidRPr="00945572">
              <w:rPr>
                <w:sz w:val="20"/>
                <w:szCs w:val="20"/>
                <w:lang w:val="en-US"/>
              </w:rPr>
              <w:t>(1992))</w:t>
            </w:r>
          </w:p>
        </w:tc>
        <w:tc>
          <w:tcPr>
            <w:tcW w:w="2977" w:type="dxa"/>
          </w:tcPr>
          <w:p w:rsidR="00C36CF1" w:rsidRPr="00D63B8F" w:rsidRDefault="00C36CF1" w:rsidP="00877A16">
            <w:pPr>
              <w:autoSpaceDE w:val="0"/>
              <w:autoSpaceDN w:val="0"/>
              <w:adjustRightInd w:val="0"/>
              <w:ind w:right="10"/>
              <w:jc w:val="both"/>
              <w:rPr>
                <w:i/>
                <w:color w:val="000000"/>
                <w:sz w:val="20"/>
                <w:szCs w:val="20"/>
                <w:lang w:eastAsia="zh-CN"/>
              </w:rPr>
            </w:pPr>
            <w:r>
              <w:rPr>
                <w:sz w:val="20"/>
                <w:szCs w:val="20"/>
              </w:rPr>
              <w:t xml:space="preserve">The </w:t>
            </w:r>
            <w:r w:rsidRPr="00D63B8F">
              <w:rPr>
                <w:sz w:val="20"/>
                <w:szCs w:val="20"/>
              </w:rPr>
              <w:t xml:space="preserve">ratio </w:t>
            </w:r>
            <w:r>
              <w:rPr>
                <w:sz w:val="20"/>
                <w:szCs w:val="20"/>
              </w:rPr>
              <w:t>of</w:t>
            </w:r>
            <w:r w:rsidRPr="00D63B8F">
              <w:rPr>
                <w:sz w:val="20"/>
                <w:szCs w:val="20"/>
              </w:rPr>
              <w:t xml:space="preserve"> </w:t>
            </w:r>
            <w:r>
              <w:rPr>
                <w:sz w:val="20"/>
                <w:szCs w:val="20"/>
              </w:rPr>
              <w:t>s</w:t>
            </w:r>
            <w:r w:rsidRPr="00D63B8F">
              <w:rPr>
                <w:sz w:val="20"/>
                <w:szCs w:val="20"/>
              </w:rPr>
              <w:t>tate z manufactur</w:t>
            </w:r>
            <w:r>
              <w:rPr>
                <w:sz w:val="20"/>
                <w:szCs w:val="20"/>
              </w:rPr>
              <w:t>ing</w:t>
            </w:r>
            <w:r w:rsidRPr="00D63B8F">
              <w:rPr>
                <w:sz w:val="20"/>
                <w:szCs w:val="20"/>
              </w:rPr>
              <w:t xml:space="preserve"> establishment s </w:t>
            </w:r>
            <w:r>
              <w:rPr>
                <w:sz w:val="20"/>
                <w:szCs w:val="20"/>
              </w:rPr>
              <w:t>to</w:t>
            </w:r>
            <w:r w:rsidRPr="00D63B8F">
              <w:rPr>
                <w:sz w:val="20"/>
                <w:szCs w:val="20"/>
              </w:rPr>
              <w:t xml:space="preserve"> state z manufactur</w:t>
            </w:r>
            <w:r>
              <w:rPr>
                <w:sz w:val="20"/>
                <w:szCs w:val="20"/>
              </w:rPr>
              <w:t xml:space="preserve">ing </w:t>
            </w:r>
            <w:r w:rsidRPr="00D63B8F">
              <w:rPr>
                <w:sz w:val="20"/>
                <w:szCs w:val="20"/>
              </w:rPr>
              <w:t>employment s</w:t>
            </w:r>
            <w:r>
              <w:rPr>
                <w:sz w:val="20"/>
                <w:szCs w:val="20"/>
              </w:rPr>
              <w:t xml:space="preserve">. This ratio is divided by </w:t>
            </w:r>
            <w:r w:rsidRPr="00D63B8F">
              <w:rPr>
                <w:sz w:val="20"/>
                <w:szCs w:val="20"/>
              </w:rPr>
              <w:t xml:space="preserve">its national </w:t>
            </w:r>
            <w:r>
              <w:rPr>
                <w:sz w:val="20"/>
                <w:szCs w:val="20"/>
              </w:rPr>
              <w:t xml:space="preserve">equivalent in year </w:t>
            </w:r>
            <w:r w:rsidRPr="0033683E">
              <w:rPr>
                <w:i/>
                <w:sz w:val="20"/>
                <w:szCs w:val="20"/>
              </w:rPr>
              <w:t>t</w:t>
            </w:r>
            <w:r w:rsidRPr="00D63B8F">
              <w:rPr>
                <w:sz w:val="20"/>
                <w:szCs w:val="20"/>
              </w:rPr>
              <w:t xml:space="preserve">. </w:t>
            </w:r>
          </w:p>
        </w:tc>
        <w:tc>
          <w:tcPr>
            <w:tcW w:w="2977" w:type="dxa"/>
          </w:tcPr>
          <w:p w:rsidR="00B574A1" w:rsidRDefault="00B574A1" w:rsidP="00877A16">
            <w:pPr>
              <w:autoSpaceDE w:val="0"/>
              <w:autoSpaceDN w:val="0"/>
              <w:adjustRightInd w:val="0"/>
              <w:ind w:right="10"/>
              <w:jc w:val="both"/>
              <w:rPr>
                <w:sz w:val="20"/>
                <w:szCs w:val="20"/>
              </w:rPr>
            </w:pPr>
          </w:p>
          <w:p w:rsidR="00F84261" w:rsidRDefault="00F84261" w:rsidP="00877A16">
            <w:pPr>
              <w:autoSpaceDE w:val="0"/>
              <w:autoSpaceDN w:val="0"/>
              <w:adjustRightInd w:val="0"/>
              <w:ind w:right="10"/>
              <w:jc w:val="both"/>
              <w:rPr>
                <w:sz w:val="20"/>
                <w:szCs w:val="20"/>
              </w:rPr>
            </w:pPr>
            <w:r>
              <w:rPr>
                <w:sz w:val="20"/>
                <w:szCs w:val="20"/>
              </w:rPr>
              <w:t>1985:</w:t>
            </w:r>
          </w:p>
          <w:p w:rsidR="00F84261" w:rsidRDefault="00F84261" w:rsidP="00877A16">
            <w:pPr>
              <w:autoSpaceDE w:val="0"/>
              <w:autoSpaceDN w:val="0"/>
              <w:adjustRightInd w:val="0"/>
              <w:ind w:right="10"/>
              <w:jc w:val="both"/>
              <w:rPr>
                <w:sz w:val="20"/>
                <w:szCs w:val="20"/>
              </w:rPr>
            </w:pPr>
            <w:r>
              <w:rPr>
                <w:sz w:val="20"/>
                <w:szCs w:val="20"/>
              </w:rPr>
              <w:t>1.5799 (0.7378)</w:t>
            </w:r>
          </w:p>
          <w:p w:rsidR="00C36CF1" w:rsidRDefault="00C36CF1" w:rsidP="00877A16">
            <w:pPr>
              <w:autoSpaceDE w:val="0"/>
              <w:autoSpaceDN w:val="0"/>
              <w:adjustRightInd w:val="0"/>
              <w:ind w:right="10"/>
              <w:jc w:val="both"/>
              <w:rPr>
                <w:sz w:val="20"/>
                <w:szCs w:val="20"/>
              </w:rPr>
            </w:pPr>
          </w:p>
        </w:tc>
      </w:tr>
      <w:tr w:rsidR="00C36CF1" w:rsidRPr="00D63B8F" w:rsidTr="002F356F">
        <w:trPr>
          <w:jc w:val="center"/>
        </w:trPr>
        <w:tc>
          <w:tcPr>
            <w:tcW w:w="2127" w:type="dxa"/>
          </w:tcPr>
          <w:p w:rsidR="00B574A1" w:rsidRDefault="00B574A1" w:rsidP="00877A16">
            <w:pPr>
              <w:jc w:val="both"/>
              <w:rPr>
                <w:sz w:val="20"/>
                <w:szCs w:val="20"/>
              </w:rPr>
            </w:pPr>
          </w:p>
          <w:p w:rsidR="00B574A1" w:rsidRDefault="00F84261" w:rsidP="00877A16">
            <w:pPr>
              <w:jc w:val="both"/>
              <w:rPr>
                <w:sz w:val="20"/>
                <w:szCs w:val="20"/>
              </w:rPr>
            </w:pPr>
            <w:r>
              <w:rPr>
                <w:sz w:val="20"/>
                <w:szCs w:val="20"/>
              </w:rPr>
              <w:t xml:space="preserve">Lag of the </w:t>
            </w:r>
          </w:p>
          <w:p w:rsidR="00C36CF1" w:rsidRPr="00D63B8F" w:rsidRDefault="00082493" w:rsidP="00877A16">
            <w:pPr>
              <w:jc w:val="both"/>
              <w:rPr>
                <w:sz w:val="20"/>
                <w:szCs w:val="20"/>
              </w:rPr>
            </w:pPr>
            <w:r>
              <w:rPr>
                <w:sz w:val="20"/>
                <w:szCs w:val="20"/>
              </w:rPr>
              <w:t>D</w:t>
            </w:r>
            <w:r w:rsidR="00F84261">
              <w:rPr>
                <w:sz w:val="20"/>
                <w:szCs w:val="20"/>
              </w:rPr>
              <w:t xml:space="preserve">ependent </w:t>
            </w:r>
            <w:r>
              <w:rPr>
                <w:sz w:val="20"/>
                <w:szCs w:val="20"/>
              </w:rPr>
              <w:t>V</w:t>
            </w:r>
            <w:r w:rsidR="00F84261">
              <w:rPr>
                <w:sz w:val="20"/>
                <w:szCs w:val="20"/>
              </w:rPr>
              <w:t>ariable</w:t>
            </w:r>
          </w:p>
        </w:tc>
        <w:tc>
          <w:tcPr>
            <w:tcW w:w="4536" w:type="dxa"/>
          </w:tcPr>
          <w:p w:rsidR="00C36CF1" w:rsidRPr="00994C3A" w:rsidRDefault="00EC1889" w:rsidP="00877A16">
            <w:pPr>
              <w:jc w:val="both"/>
              <w:rPr>
                <w:sz w:val="20"/>
                <w:szCs w:val="20"/>
              </w:rPr>
            </w:pPr>
            <m:oMathPara>
              <m:oMath>
                <m:sSub>
                  <m:sSubPr>
                    <m:ctrlPr>
                      <w:rPr>
                        <w:rFonts w:ascii="Cambria Math" w:hAnsi="Cambria Math" w:cs="Arial"/>
                        <w:sz w:val="20"/>
                        <w:szCs w:val="20"/>
                        <w:lang w:eastAsia="zh-CN"/>
                      </w:rPr>
                    </m:ctrlPr>
                  </m:sSubPr>
                  <m:e>
                    <m:r>
                      <m:rPr>
                        <m:sty m:val="p"/>
                      </m:rPr>
                      <w:rPr>
                        <w:rFonts w:ascii="Cambria Math" w:hAnsi="Cambria Math" w:cs="Arial"/>
                        <w:sz w:val="20"/>
                        <w:szCs w:val="20"/>
                        <w:lang w:eastAsia="zh-CN"/>
                      </w:rPr>
                      <m:t>VDEP</m:t>
                    </m:r>
                  </m:e>
                  <m:sub>
                    <m:r>
                      <m:rPr>
                        <m:sty m:val="p"/>
                      </m:rPr>
                      <w:rPr>
                        <w:rFonts w:ascii="Cambria Math" w:hAnsi="Cambria Math" w:cs="Arial"/>
                        <w:sz w:val="20"/>
                        <w:szCs w:val="20"/>
                        <w:lang w:eastAsia="zh-CN"/>
                      </w:rPr>
                      <m:t>t-1</m:t>
                    </m:r>
                  </m:sub>
                </m:sSub>
                <m:r>
                  <m:rPr>
                    <m:sty m:val="p"/>
                  </m:rPr>
                  <w:rPr>
                    <w:rFonts w:ascii="Cambria Math" w:hAnsi="Cambria Math" w:cs="Arial"/>
                    <w:sz w:val="20"/>
                    <w:szCs w:val="20"/>
                    <w:lang w:eastAsia="zh-CN"/>
                  </w:rPr>
                  <m:t>=</m:t>
                </m:r>
                <m:sSub>
                  <m:sSubPr>
                    <m:ctrlPr>
                      <w:rPr>
                        <w:rFonts w:ascii="Cambria Math" w:hAnsi="Cambria Math" w:cs="Arial"/>
                        <w:sz w:val="20"/>
                        <w:szCs w:val="20"/>
                        <w:lang w:eastAsia="zh-CN"/>
                      </w:rPr>
                    </m:ctrlPr>
                  </m:sSubPr>
                  <m:e>
                    <m:r>
                      <m:rPr>
                        <m:sty m:val="p"/>
                      </m:rPr>
                      <w:rPr>
                        <w:rFonts w:ascii="Cambria Math" w:hAnsi="Cambria Math" w:cs="Arial"/>
                        <w:sz w:val="20"/>
                        <w:szCs w:val="20"/>
                        <w:lang w:eastAsia="zh-CN"/>
                      </w:rPr>
                      <m:t>[</m:t>
                    </m:r>
                    <m:func>
                      <m:funcPr>
                        <m:ctrlPr>
                          <w:rPr>
                            <w:rFonts w:ascii="Cambria Math" w:hAnsi="Cambria Math" w:cs="Arial"/>
                            <w:sz w:val="20"/>
                            <w:szCs w:val="20"/>
                            <w:lang w:eastAsia="zh-CN"/>
                          </w:rPr>
                        </m:ctrlPr>
                      </m:funcPr>
                      <m:fName>
                        <m:r>
                          <m:rPr>
                            <m:sty m:val="p"/>
                          </m:rPr>
                          <w:rPr>
                            <w:rFonts w:ascii="Cambria Math" w:hAnsi="Cambria Math" w:cs="Arial"/>
                            <w:sz w:val="20"/>
                            <w:szCs w:val="20"/>
                            <w:lang w:eastAsia="zh-CN"/>
                          </w:rPr>
                          <m:t>ln</m:t>
                        </m:r>
                      </m:fName>
                      <m:e>
                        <m:d>
                          <m:dPr>
                            <m:ctrlPr>
                              <w:rPr>
                                <w:rFonts w:ascii="Cambria Math" w:hAnsi="Cambria Math" w:cs="Arial"/>
                                <w:sz w:val="20"/>
                                <w:szCs w:val="20"/>
                                <w:lang w:eastAsia="zh-CN"/>
                              </w:rPr>
                            </m:ctrlPr>
                          </m:dPr>
                          <m:e>
                            <m:f>
                              <m:fPr>
                                <m:ctrlPr>
                                  <w:rPr>
                                    <w:rFonts w:ascii="Cambria Math" w:hAnsi="Cambria Math" w:cs="Arial"/>
                                    <w:sz w:val="20"/>
                                    <w:szCs w:val="20"/>
                                    <w:lang w:eastAsia="zh-CN"/>
                                  </w:rPr>
                                </m:ctrlPr>
                              </m:fPr>
                              <m:num>
                                <m:sSub>
                                  <m:sSubPr>
                                    <m:ctrlPr>
                                      <w:rPr>
                                        <w:rFonts w:ascii="Cambria Math" w:hAnsi="Cambria Math" w:cs="Arial"/>
                                        <w:sz w:val="20"/>
                                        <w:szCs w:val="20"/>
                                        <w:lang w:eastAsia="zh-CN"/>
                                      </w:rPr>
                                    </m:ctrlPr>
                                  </m:sSubPr>
                                  <m:e>
                                    <m:r>
                                      <m:rPr>
                                        <m:sty m:val="p"/>
                                      </m:rPr>
                                      <w:rPr>
                                        <w:rFonts w:ascii="Cambria Math" w:hAnsi="Cambria Math" w:cs="Arial"/>
                                        <w:sz w:val="20"/>
                                        <w:szCs w:val="20"/>
                                        <w:lang w:eastAsia="zh-CN"/>
                                      </w:rPr>
                                      <m:t>E</m:t>
                                    </m:r>
                                  </m:e>
                                  <m:sub>
                                    <m:r>
                                      <m:rPr>
                                        <m:sty m:val="p"/>
                                      </m:rPr>
                                      <w:rPr>
                                        <w:rFonts w:ascii="Cambria Math" w:hAnsi="Cambria Math" w:cs="Arial"/>
                                        <w:sz w:val="20"/>
                                        <w:szCs w:val="20"/>
                                        <w:lang w:eastAsia="zh-CN"/>
                                      </w:rPr>
                                      <m:t>t</m:t>
                                    </m:r>
                                  </m:sub>
                                </m:sSub>
                              </m:num>
                              <m:den>
                                <m:sSub>
                                  <m:sSubPr>
                                    <m:ctrlPr>
                                      <w:rPr>
                                        <w:rFonts w:ascii="Cambria Math" w:hAnsi="Cambria Math" w:cs="Arial"/>
                                        <w:sz w:val="20"/>
                                        <w:szCs w:val="20"/>
                                        <w:lang w:eastAsia="zh-CN"/>
                                      </w:rPr>
                                    </m:ctrlPr>
                                  </m:sSubPr>
                                  <m:e>
                                    <m:r>
                                      <m:rPr>
                                        <m:sty m:val="p"/>
                                      </m:rPr>
                                      <w:rPr>
                                        <w:rFonts w:ascii="Cambria Math" w:hAnsi="Cambria Math" w:cs="Arial"/>
                                        <w:sz w:val="20"/>
                                        <w:szCs w:val="20"/>
                                        <w:lang w:eastAsia="zh-CN"/>
                                      </w:rPr>
                                      <m:t>E</m:t>
                                    </m:r>
                                  </m:e>
                                  <m:sub>
                                    <m:r>
                                      <m:rPr>
                                        <m:sty m:val="p"/>
                                      </m:rPr>
                                      <w:rPr>
                                        <w:rFonts w:ascii="Cambria Math" w:hAnsi="Cambria Math" w:cs="Arial"/>
                                        <w:sz w:val="20"/>
                                        <w:szCs w:val="20"/>
                                        <w:lang w:eastAsia="zh-CN"/>
                                      </w:rPr>
                                      <m:t>t-1</m:t>
                                    </m:r>
                                  </m:sub>
                                </m:sSub>
                              </m:den>
                            </m:f>
                          </m:e>
                        </m:d>
                        <m:ctrlPr>
                          <w:rPr>
                            <w:rFonts w:ascii="Cambria Math" w:hAnsi="Cambria Math" w:cs="Arial"/>
                            <w:i/>
                            <w:sz w:val="20"/>
                            <w:szCs w:val="20"/>
                            <w:lang w:eastAsia="zh-CN"/>
                          </w:rPr>
                        </m:ctrlPr>
                      </m:e>
                    </m:func>
                    <m:r>
                      <m:rPr>
                        <m:sty m:val="p"/>
                      </m:rPr>
                      <w:rPr>
                        <w:rFonts w:ascii="Cambria Math" w:hAnsi="Cambria Math" w:cs="Arial"/>
                        <w:sz w:val="20"/>
                        <w:szCs w:val="20"/>
                        <w:lang w:eastAsia="zh-CN"/>
                      </w:rPr>
                      <m:t>]</m:t>
                    </m:r>
                  </m:e>
                  <m:sub>
                    <m:r>
                      <m:rPr>
                        <m:sty m:val="p"/>
                      </m:rPr>
                      <w:rPr>
                        <w:rFonts w:ascii="Cambria Math" w:hAnsi="Cambria Math" w:cs="Arial"/>
                        <w:sz w:val="20"/>
                        <w:szCs w:val="20"/>
                        <w:lang w:eastAsia="zh-CN"/>
                      </w:rPr>
                      <m:t>t-1</m:t>
                    </m:r>
                  </m:sub>
                </m:sSub>
              </m:oMath>
            </m:oMathPara>
          </w:p>
          <w:p w:rsidR="00C36CF1" w:rsidRPr="00D63B8F" w:rsidRDefault="00C36CF1" w:rsidP="00877A16">
            <w:pPr>
              <w:jc w:val="both"/>
              <w:rPr>
                <w:sz w:val="20"/>
                <w:szCs w:val="20"/>
              </w:rPr>
            </w:pPr>
          </w:p>
        </w:tc>
        <w:tc>
          <w:tcPr>
            <w:tcW w:w="2977" w:type="dxa"/>
          </w:tcPr>
          <w:p w:rsidR="00C36CF1" w:rsidRPr="00F508BC" w:rsidRDefault="00C36CF1" w:rsidP="00877A16">
            <w:pPr>
              <w:jc w:val="both"/>
              <w:rPr>
                <w:sz w:val="20"/>
                <w:szCs w:val="20"/>
              </w:rPr>
            </w:pPr>
            <w:r>
              <w:rPr>
                <w:sz w:val="20"/>
                <w:szCs w:val="20"/>
              </w:rPr>
              <w:t xml:space="preserve">The </w:t>
            </w:r>
            <w:r w:rsidRPr="00D63B8F">
              <w:rPr>
                <w:sz w:val="20"/>
                <w:szCs w:val="20"/>
              </w:rPr>
              <w:t>growth of manufactur</w:t>
            </w:r>
            <w:r>
              <w:rPr>
                <w:sz w:val="20"/>
                <w:szCs w:val="20"/>
              </w:rPr>
              <w:t>ing industry</w:t>
            </w:r>
            <w:r w:rsidRPr="00D63B8F">
              <w:rPr>
                <w:sz w:val="20"/>
                <w:szCs w:val="20"/>
              </w:rPr>
              <w:t xml:space="preserve"> employment in the previous period in each year </w:t>
            </w:r>
            <w:r w:rsidRPr="0054657F">
              <w:rPr>
                <w:i/>
                <w:sz w:val="20"/>
                <w:szCs w:val="20"/>
              </w:rPr>
              <w:t>t</w:t>
            </w:r>
            <w:r w:rsidRPr="00D63B8F">
              <w:rPr>
                <w:sz w:val="20"/>
                <w:szCs w:val="20"/>
              </w:rPr>
              <w:t xml:space="preserve">, thereby starting in 1983. </w:t>
            </w:r>
          </w:p>
        </w:tc>
        <w:tc>
          <w:tcPr>
            <w:tcW w:w="2977" w:type="dxa"/>
          </w:tcPr>
          <w:p w:rsidR="00B574A1" w:rsidRDefault="00B574A1" w:rsidP="00877A16">
            <w:pPr>
              <w:autoSpaceDE w:val="0"/>
              <w:autoSpaceDN w:val="0"/>
              <w:adjustRightInd w:val="0"/>
              <w:ind w:right="10"/>
              <w:jc w:val="both"/>
              <w:rPr>
                <w:sz w:val="20"/>
                <w:szCs w:val="20"/>
              </w:rPr>
            </w:pPr>
          </w:p>
          <w:p w:rsidR="00082493" w:rsidRDefault="00082493" w:rsidP="00877A16">
            <w:pPr>
              <w:autoSpaceDE w:val="0"/>
              <w:autoSpaceDN w:val="0"/>
              <w:adjustRightInd w:val="0"/>
              <w:ind w:right="10"/>
              <w:jc w:val="both"/>
              <w:rPr>
                <w:sz w:val="20"/>
                <w:szCs w:val="20"/>
              </w:rPr>
            </w:pPr>
            <w:r>
              <w:rPr>
                <w:sz w:val="20"/>
                <w:szCs w:val="20"/>
              </w:rPr>
              <w:t>Annual 1981 to 2006:</w:t>
            </w:r>
          </w:p>
          <w:p w:rsidR="00082493" w:rsidRDefault="00082493" w:rsidP="00877A16">
            <w:pPr>
              <w:autoSpaceDE w:val="0"/>
              <w:autoSpaceDN w:val="0"/>
              <w:adjustRightInd w:val="0"/>
              <w:ind w:right="10"/>
              <w:jc w:val="both"/>
              <w:rPr>
                <w:sz w:val="20"/>
                <w:szCs w:val="20"/>
              </w:rPr>
            </w:pPr>
            <w:r>
              <w:rPr>
                <w:sz w:val="20"/>
                <w:szCs w:val="20"/>
              </w:rPr>
              <w:t>0.0470 (0.1748)</w:t>
            </w:r>
          </w:p>
          <w:p w:rsidR="00C36CF1" w:rsidRDefault="00C36CF1" w:rsidP="00877A16">
            <w:pPr>
              <w:jc w:val="both"/>
              <w:rPr>
                <w:sz w:val="20"/>
                <w:szCs w:val="20"/>
              </w:rPr>
            </w:pPr>
          </w:p>
        </w:tc>
      </w:tr>
      <w:tr w:rsidR="00C36CF1" w:rsidRPr="00D63B8F" w:rsidTr="002F356F">
        <w:trPr>
          <w:jc w:val="center"/>
        </w:trPr>
        <w:tc>
          <w:tcPr>
            <w:tcW w:w="2127" w:type="dxa"/>
          </w:tcPr>
          <w:p w:rsidR="00B574A1" w:rsidRDefault="00B574A1" w:rsidP="00877A16">
            <w:pPr>
              <w:jc w:val="both"/>
              <w:rPr>
                <w:sz w:val="20"/>
                <w:szCs w:val="20"/>
              </w:rPr>
            </w:pPr>
          </w:p>
          <w:p w:rsidR="00B574A1" w:rsidRDefault="00F84261" w:rsidP="00877A16">
            <w:pPr>
              <w:jc w:val="both"/>
              <w:rPr>
                <w:sz w:val="20"/>
                <w:szCs w:val="20"/>
              </w:rPr>
            </w:pPr>
            <w:r>
              <w:rPr>
                <w:sz w:val="20"/>
                <w:szCs w:val="20"/>
              </w:rPr>
              <w:t xml:space="preserve">Lag of the </w:t>
            </w:r>
          </w:p>
          <w:p w:rsidR="00C36CF1" w:rsidRPr="00D63B8F" w:rsidRDefault="00082493" w:rsidP="00877A16">
            <w:pPr>
              <w:jc w:val="both"/>
              <w:rPr>
                <w:sz w:val="20"/>
                <w:szCs w:val="20"/>
              </w:rPr>
            </w:pPr>
            <w:r>
              <w:rPr>
                <w:sz w:val="20"/>
                <w:szCs w:val="20"/>
              </w:rPr>
              <w:t>D</w:t>
            </w:r>
            <w:r w:rsidR="00F84261">
              <w:rPr>
                <w:sz w:val="20"/>
                <w:szCs w:val="20"/>
              </w:rPr>
              <w:t xml:space="preserve">ependent </w:t>
            </w:r>
            <w:r>
              <w:rPr>
                <w:sz w:val="20"/>
                <w:szCs w:val="20"/>
              </w:rPr>
              <w:t>V</w:t>
            </w:r>
            <w:r w:rsidR="00F84261">
              <w:rPr>
                <w:sz w:val="20"/>
                <w:szCs w:val="20"/>
              </w:rPr>
              <w:t>ariable</w:t>
            </w:r>
          </w:p>
        </w:tc>
        <w:tc>
          <w:tcPr>
            <w:tcW w:w="4536" w:type="dxa"/>
          </w:tcPr>
          <w:p w:rsidR="00C36CF1" w:rsidRDefault="00C36CF1" w:rsidP="00877A16">
            <w:pPr>
              <w:jc w:val="both"/>
            </w:pPr>
          </w:p>
          <w:p w:rsidR="00C36CF1" w:rsidRPr="00994C3A" w:rsidRDefault="00EC1889" w:rsidP="00877A16">
            <w:pPr>
              <w:jc w:val="both"/>
              <w:rPr>
                <w:iCs/>
                <w:sz w:val="20"/>
                <w:szCs w:val="20"/>
              </w:rPr>
            </w:pPr>
            <m:oMathPara>
              <m:oMath>
                <m:sSub>
                  <m:sSubPr>
                    <m:ctrlPr>
                      <w:rPr>
                        <w:rFonts w:ascii="Cambria Math" w:hAnsi="Cambria Math"/>
                        <w:iCs/>
                        <w:sz w:val="20"/>
                        <w:szCs w:val="20"/>
                      </w:rPr>
                    </m:ctrlPr>
                  </m:sSubPr>
                  <m:e>
                    <m:r>
                      <m:rPr>
                        <m:sty m:val="p"/>
                      </m:rPr>
                      <w:rPr>
                        <w:rFonts w:ascii="Cambria Math" w:hAnsi="Cambria Math"/>
                        <w:sz w:val="20"/>
                        <w:szCs w:val="20"/>
                      </w:rPr>
                      <m:t>VDEP2</m:t>
                    </m:r>
                  </m:e>
                  <m:sub>
                    <m:r>
                      <m:rPr>
                        <m:sty m:val="p"/>
                      </m:rPr>
                      <w:rPr>
                        <w:rFonts w:ascii="Cambria Math" w:hAnsi="Cambria Math"/>
                        <w:sz w:val="20"/>
                        <w:szCs w:val="20"/>
                      </w:rPr>
                      <m:t>t-1</m:t>
                    </m:r>
                  </m:sub>
                </m:sSub>
                <m:r>
                  <m:rPr>
                    <m:sty m:val="p"/>
                  </m:rPr>
                  <w:rPr>
                    <w:rFonts w:ascii="Cambria Math" w:hAnsi="Cambria Math"/>
                    <w:sz w:val="20"/>
                    <w:szCs w:val="20"/>
                  </w:rPr>
                  <m:t>=</m:t>
                </m:r>
                <m:sSub>
                  <m:sSubPr>
                    <m:ctrlPr>
                      <w:rPr>
                        <w:rFonts w:ascii="Cambria Math" w:hAnsi="Cambria Math"/>
                        <w:iCs/>
                        <w:sz w:val="20"/>
                        <w:szCs w:val="20"/>
                      </w:rPr>
                    </m:ctrlPr>
                  </m:sSubPr>
                  <m:e>
                    <m:sSub>
                      <m:sSubPr>
                        <m:ctrlPr>
                          <w:rPr>
                            <w:rFonts w:ascii="Cambria Math" w:hAnsi="Cambria Math"/>
                            <w:iCs/>
                            <w:sz w:val="20"/>
                            <w:szCs w:val="20"/>
                          </w:rPr>
                        </m:ctrlPr>
                      </m:sSubPr>
                      <m:e>
                        <m:r>
                          <m:rPr>
                            <m:sty m:val="p"/>
                          </m:rPr>
                          <w:rPr>
                            <w:rFonts w:ascii="Cambria Math" w:hAnsi="Cambria Math"/>
                            <w:sz w:val="20"/>
                            <w:szCs w:val="20"/>
                          </w:rPr>
                          <m:t>(y</m:t>
                        </m:r>
                      </m:e>
                      <m:sub>
                        <m:r>
                          <m:rPr>
                            <m:sty m:val="p"/>
                          </m:rPr>
                          <w:rPr>
                            <w:rFonts w:ascii="Cambria Math" w:hAnsi="Cambria Math"/>
                            <w:sz w:val="20"/>
                            <w:szCs w:val="20"/>
                          </w:rPr>
                          <m:t>z,s</m:t>
                        </m:r>
                      </m:sub>
                    </m:sSub>
                    <m:r>
                      <m:rPr>
                        <m:sty m:val="p"/>
                      </m:rPr>
                      <w:rPr>
                        <w:rFonts w:ascii="Cambria Math" w:hAnsi="Cambria Math"/>
                        <w:sz w:val="20"/>
                        <w:szCs w:val="20"/>
                      </w:rPr>
                      <m:t>)</m:t>
                    </m:r>
                  </m:e>
                  <m:sub>
                    <m:r>
                      <m:rPr>
                        <m:sty m:val="p"/>
                      </m:rPr>
                      <w:rPr>
                        <w:rFonts w:ascii="Cambria Math" w:hAnsi="Cambria Math"/>
                        <w:sz w:val="20"/>
                        <w:szCs w:val="20"/>
                      </w:rPr>
                      <m:t>t-1</m:t>
                    </m:r>
                  </m:sub>
                </m:sSub>
              </m:oMath>
            </m:oMathPara>
          </w:p>
          <w:p w:rsidR="00C36CF1" w:rsidRPr="00066BE1" w:rsidRDefault="00C36CF1" w:rsidP="00877A16">
            <w:pPr>
              <w:jc w:val="both"/>
              <w:rPr>
                <w:sz w:val="20"/>
                <w:szCs w:val="20"/>
                <w:vertAlign w:val="subscript"/>
              </w:rPr>
            </w:pPr>
          </w:p>
        </w:tc>
        <w:tc>
          <w:tcPr>
            <w:tcW w:w="2977" w:type="dxa"/>
          </w:tcPr>
          <w:p w:rsidR="00C36CF1" w:rsidRPr="00D63B8F" w:rsidRDefault="00C36CF1" w:rsidP="00877A16">
            <w:pPr>
              <w:autoSpaceDE w:val="0"/>
              <w:autoSpaceDN w:val="0"/>
              <w:adjustRightInd w:val="0"/>
              <w:ind w:right="10"/>
              <w:jc w:val="both"/>
              <w:rPr>
                <w:color w:val="000000"/>
                <w:sz w:val="20"/>
                <w:szCs w:val="20"/>
                <w:lang w:eastAsia="zh-CN"/>
              </w:rPr>
            </w:pPr>
            <w:r>
              <w:rPr>
                <w:sz w:val="20"/>
                <w:szCs w:val="20"/>
                <w:lang w:eastAsia="zh-CN"/>
              </w:rPr>
              <w:t>The</w:t>
            </w:r>
            <w:r w:rsidRPr="00D63B8F">
              <w:rPr>
                <w:sz w:val="20"/>
                <w:szCs w:val="20"/>
                <w:lang w:eastAsia="zh-CN"/>
              </w:rPr>
              <w:t xml:space="preserve"> difference between the</w:t>
            </w:r>
            <w:r>
              <w:rPr>
                <w:sz w:val="20"/>
                <w:szCs w:val="20"/>
                <w:lang w:eastAsia="zh-CN"/>
              </w:rPr>
              <w:t xml:space="preserve"> state z</w:t>
            </w:r>
            <w:r w:rsidRPr="00D63B8F">
              <w:rPr>
                <w:sz w:val="20"/>
                <w:szCs w:val="20"/>
                <w:lang w:eastAsia="zh-CN"/>
              </w:rPr>
              <w:t xml:space="preserve"> </w:t>
            </w:r>
            <w:r>
              <w:rPr>
                <w:sz w:val="20"/>
                <w:szCs w:val="20"/>
                <w:lang w:eastAsia="zh-CN"/>
              </w:rPr>
              <w:t xml:space="preserve">and national manufacturing </w:t>
            </w:r>
            <w:r w:rsidRPr="00D63B8F">
              <w:rPr>
                <w:sz w:val="20"/>
                <w:szCs w:val="20"/>
                <w:lang w:eastAsia="zh-CN"/>
              </w:rPr>
              <w:t>employment</w:t>
            </w:r>
            <w:r>
              <w:rPr>
                <w:sz w:val="20"/>
                <w:szCs w:val="20"/>
                <w:lang w:eastAsia="zh-CN"/>
              </w:rPr>
              <w:t xml:space="preserve"> </w:t>
            </w:r>
            <w:r w:rsidRPr="009B1760">
              <w:rPr>
                <w:i/>
                <w:sz w:val="20"/>
                <w:szCs w:val="20"/>
                <w:lang w:eastAsia="zh-CN"/>
              </w:rPr>
              <w:t>s</w:t>
            </w:r>
            <w:r w:rsidRPr="00D63B8F">
              <w:rPr>
                <w:sz w:val="20"/>
                <w:szCs w:val="20"/>
                <w:lang w:eastAsia="zh-CN"/>
              </w:rPr>
              <w:t xml:space="preserve"> growth </w:t>
            </w:r>
            <w:r>
              <w:rPr>
                <w:sz w:val="20"/>
                <w:szCs w:val="20"/>
                <w:lang w:eastAsia="zh-CN"/>
              </w:rPr>
              <w:t xml:space="preserve">from </w:t>
            </w:r>
            <w:r w:rsidRPr="0033683E">
              <w:rPr>
                <w:i/>
                <w:sz w:val="20"/>
                <w:szCs w:val="20"/>
                <w:lang w:eastAsia="zh-CN"/>
              </w:rPr>
              <w:t>t</w:t>
            </w:r>
            <w:r>
              <w:rPr>
                <w:sz w:val="20"/>
                <w:szCs w:val="20"/>
                <w:lang w:eastAsia="zh-CN"/>
              </w:rPr>
              <w:t>-1</w:t>
            </w:r>
            <w:r w:rsidRPr="00D63B8F">
              <w:rPr>
                <w:sz w:val="20"/>
                <w:szCs w:val="20"/>
                <w:lang w:eastAsia="zh-CN"/>
              </w:rPr>
              <w:t xml:space="preserve"> </w:t>
            </w:r>
            <w:r>
              <w:rPr>
                <w:sz w:val="20"/>
                <w:szCs w:val="20"/>
                <w:lang w:eastAsia="zh-CN"/>
              </w:rPr>
              <w:t xml:space="preserve">to </w:t>
            </w:r>
            <w:r w:rsidRPr="0033683E">
              <w:rPr>
                <w:i/>
                <w:sz w:val="20"/>
                <w:szCs w:val="20"/>
                <w:lang w:eastAsia="zh-CN"/>
              </w:rPr>
              <w:t>t</w:t>
            </w:r>
            <w:r w:rsidRPr="00D63B8F">
              <w:rPr>
                <w:sz w:val="20"/>
                <w:szCs w:val="20"/>
                <w:lang w:eastAsia="zh-CN"/>
              </w:rPr>
              <w:t xml:space="preserve"> for the previous period in each year </w:t>
            </w:r>
            <w:r w:rsidRPr="0033683E">
              <w:rPr>
                <w:i/>
                <w:sz w:val="20"/>
                <w:szCs w:val="20"/>
                <w:lang w:eastAsia="zh-CN"/>
              </w:rPr>
              <w:t>t</w:t>
            </w:r>
            <w:r w:rsidRPr="00D63B8F">
              <w:rPr>
                <w:sz w:val="20"/>
                <w:szCs w:val="20"/>
                <w:lang w:eastAsia="zh-CN"/>
              </w:rPr>
              <w:t>, thereby starting in 1983.</w:t>
            </w:r>
          </w:p>
        </w:tc>
        <w:tc>
          <w:tcPr>
            <w:tcW w:w="2977" w:type="dxa"/>
          </w:tcPr>
          <w:p w:rsidR="00B574A1" w:rsidRDefault="00B574A1" w:rsidP="00877A16">
            <w:pPr>
              <w:autoSpaceDE w:val="0"/>
              <w:autoSpaceDN w:val="0"/>
              <w:adjustRightInd w:val="0"/>
              <w:ind w:right="10"/>
              <w:jc w:val="both"/>
              <w:rPr>
                <w:sz w:val="20"/>
                <w:szCs w:val="20"/>
                <w:lang w:eastAsia="zh-CN"/>
              </w:rPr>
            </w:pPr>
          </w:p>
          <w:p w:rsidR="00C36CF1" w:rsidRDefault="00082493" w:rsidP="00877A16">
            <w:pPr>
              <w:autoSpaceDE w:val="0"/>
              <w:autoSpaceDN w:val="0"/>
              <w:adjustRightInd w:val="0"/>
              <w:ind w:right="10"/>
              <w:jc w:val="both"/>
              <w:rPr>
                <w:sz w:val="20"/>
                <w:szCs w:val="20"/>
                <w:lang w:eastAsia="zh-CN"/>
              </w:rPr>
            </w:pPr>
            <w:r>
              <w:rPr>
                <w:sz w:val="20"/>
                <w:szCs w:val="20"/>
                <w:lang w:eastAsia="zh-CN"/>
              </w:rPr>
              <w:t>Annual 1981 to 2006:</w:t>
            </w:r>
          </w:p>
          <w:p w:rsidR="00082493" w:rsidRDefault="00082493" w:rsidP="00877A16">
            <w:pPr>
              <w:autoSpaceDE w:val="0"/>
              <w:autoSpaceDN w:val="0"/>
              <w:adjustRightInd w:val="0"/>
              <w:ind w:right="10"/>
              <w:jc w:val="both"/>
              <w:rPr>
                <w:sz w:val="20"/>
                <w:szCs w:val="20"/>
                <w:lang w:eastAsia="zh-CN"/>
              </w:rPr>
            </w:pPr>
            <w:r>
              <w:rPr>
                <w:sz w:val="20"/>
                <w:szCs w:val="20"/>
                <w:lang w:eastAsia="zh-CN"/>
              </w:rPr>
              <w:t>0.0208 (0.1681)</w:t>
            </w:r>
          </w:p>
        </w:tc>
      </w:tr>
      <w:tr w:rsidR="00C36CF1" w:rsidRPr="00D63B8F" w:rsidTr="002F356F">
        <w:trPr>
          <w:jc w:val="center"/>
        </w:trPr>
        <w:tc>
          <w:tcPr>
            <w:tcW w:w="2127" w:type="dxa"/>
          </w:tcPr>
          <w:p w:rsidR="00B574A1" w:rsidRDefault="00B574A1" w:rsidP="00877A16">
            <w:pPr>
              <w:jc w:val="both"/>
              <w:rPr>
                <w:sz w:val="20"/>
                <w:szCs w:val="20"/>
              </w:rPr>
            </w:pPr>
          </w:p>
          <w:p w:rsidR="00C36CF1" w:rsidRPr="00D63B8F" w:rsidRDefault="00082493" w:rsidP="00877A16">
            <w:pPr>
              <w:jc w:val="both"/>
              <w:rPr>
                <w:sz w:val="20"/>
                <w:szCs w:val="20"/>
              </w:rPr>
            </w:pPr>
            <w:r>
              <w:rPr>
                <w:sz w:val="20"/>
                <w:szCs w:val="20"/>
              </w:rPr>
              <w:t>Literacy</w:t>
            </w:r>
          </w:p>
        </w:tc>
        <w:tc>
          <w:tcPr>
            <w:tcW w:w="4536" w:type="dxa"/>
          </w:tcPr>
          <w:p w:rsidR="00C36CF1" w:rsidRPr="00D63B8F" w:rsidRDefault="00C36CF1" w:rsidP="00877A16">
            <w:pPr>
              <w:jc w:val="both"/>
              <w:rPr>
                <w:sz w:val="20"/>
                <w:szCs w:val="20"/>
                <w:vertAlign w:val="subscript"/>
              </w:rPr>
            </w:pPr>
            <w:r>
              <w:rPr>
                <w:sz w:val="20"/>
                <w:szCs w:val="20"/>
              </w:rPr>
              <w:t xml:space="preserve">Education = </w:t>
            </w:r>
            <w:proofErr w:type="spellStart"/>
            <w:r>
              <w:rPr>
                <w:sz w:val="20"/>
                <w:szCs w:val="20"/>
              </w:rPr>
              <w:t>LIT</w:t>
            </w:r>
            <w:r>
              <w:rPr>
                <w:sz w:val="20"/>
                <w:szCs w:val="20"/>
                <w:vertAlign w:val="subscript"/>
              </w:rPr>
              <w:t>t</w:t>
            </w:r>
            <w:proofErr w:type="spellEnd"/>
          </w:p>
        </w:tc>
        <w:tc>
          <w:tcPr>
            <w:tcW w:w="2977" w:type="dxa"/>
          </w:tcPr>
          <w:p w:rsidR="00C36CF1" w:rsidRPr="00D63B8F" w:rsidRDefault="00C36CF1" w:rsidP="00877A16">
            <w:pPr>
              <w:autoSpaceDE w:val="0"/>
              <w:autoSpaceDN w:val="0"/>
              <w:adjustRightInd w:val="0"/>
              <w:ind w:right="10"/>
              <w:jc w:val="both"/>
              <w:rPr>
                <w:i/>
                <w:color w:val="000000"/>
                <w:sz w:val="20"/>
                <w:szCs w:val="20"/>
                <w:lang w:eastAsia="zh-CN"/>
              </w:rPr>
            </w:pPr>
            <w:r>
              <w:rPr>
                <w:rFonts w:eastAsia="Times New Roman"/>
                <w:color w:val="000000"/>
                <w:sz w:val="20"/>
                <w:szCs w:val="20"/>
                <w:lang w:eastAsia="zh-CN"/>
              </w:rPr>
              <w:t xml:space="preserve">The </w:t>
            </w:r>
            <w:r w:rsidRPr="002209FC">
              <w:rPr>
                <w:rFonts w:eastAsia="Times New Roman"/>
                <w:color w:val="000000"/>
                <w:sz w:val="20"/>
                <w:szCs w:val="20"/>
                <w:lang w:eastAsia="zh-CN"/>
              </w:rPr>
              <w:t xml:space="preserve">percentage of </w:t>
            </w:r>
            <w:r>
              <w:rPr>
                <w:rFonts w:eastAsia="Times New Roman"/>
                <w:color w:val="000000"/>
                <w:sz w:val="20"/>
                <w:szCs w:val="20"/>
                <w:lang w:eastAsia="zh-CN"/>
              </w:rPr>
              <w:t xml:space="preserve">literate </w:t>
            </w:r>
            <w:r w:rsidRPr="002209FC">
              <w:rPr>
                <w:rFonts w:eastAsia="Times New Roman"/>
                <w:color w:val="000000"/>
                <w:sz w:val="20"/>
                <w:szCs w:val="20"/>
                <w:lang w:eastAsia="zh-CN"/>
              </w:rPr>
              <w:t>people of 15 years old or more</w:t>
            </w:r>
            <w:r>
              <w:rPr>
                <w:rFonts w:eastAsia="Times New Roman"/>
                <w:color w:val="000000"/>
                <w:sz w:val="20"/>
                <w:szCs w:val="20"/>
                <w:lang w:eastAsia="zh-CN"/>
              </w:rPr>
              <w:t>.</w:t>
            </w:r>
          </w:p>
        </w:tc>
        <w:tc>
          <w:tcPr>
            <w:tcW w:w="2977" w:type="dxa"/>
          </w:tcPr>
          <w:p w:rsidR="00082493" w:rsidRDefault="00082493" w:rsidP="00877A16">
            <w:pPr>
              <w:autoSpaceDE w:val="0"/>
              <w:autoSpaceDN w:val="0"/>
              <w:adjustRightInd w:val="0"/>
              <w:ind w:right="10"/>
              <w:jc w:val="both"/>
              <w:rPr>
                <w:sz w:val="20"/>
                <w:szCs w:val="20"/>
              </w:rPr>
            </w:pPr>
            <w:r>
              <w:rPr>
                <w:sz w:val="20"/>
                <w:szCs w:val="20"/>
              </w:rPr>
              <w:t>1985:</w:t>
            </w:r>
          </w:p>
          <w:p w:rsidR="00082493" w:rsidRDefault="00082493" w:rsidP="00877A16">
            <w:pPr>
              <w:autoSpaceDE w:val="0"/>
              <w:autoSpaceDN w:val="0"/>
              <w:adjustRightInd w:val="0"/>
              <w:ind w:right="10"/>
              <w:jc w:val="both"/>
              <w:rPr>
                <w:sz w:val="20"/>
                <w:szCs w:val="20"/>
              </w:rPr>
            </w:pPr>
            <w:r>
              <w:rPr>
                <w:sz w:val="20"/>
                <w:szCs w:val="20"/>
              </w:rPr>
              <w:t>76 (14.08)</w:t>
            </w:r>
          </w:p>
          <w:p w:rsidR="00082493" w:rsidRDefault="00082493" w:rsidP="00877A16">
            <w:pPr>
              <w:autoSpaceDE w:val="0"/>
              <w:autoSpaceDN w:val="0"/>
              <w:adjustRightInd w:val="0"/>
              <w:ind w:right="10"/>
              <w:jc w:val="both"/>
              <w:rPr>
                <w:sz w:val="20"/>
                <w:szCs w:val="20"/>
              </w:rPr>
            </w:pPr>
            <w:r>
              <w:rPr>
                <w:sz w:val="20"/>
                <w:szCs w:val="20"/>
              </w:rPr>
              <w:t>Annual 1981 to 2006:</w:t>
            </w:r>
          </w:p>
          <w:p w:rsidR="00C36CF1" w:rsidRPr="00082493" w:rsidRDefault="00082493" w:rsidP="00877A16">
            <w:pPr>
              <w:autoSpaceDE w:val="0"/>
              <w:autoSpaceDN w:val="0"/>
              <w:adjustRightInd w:val="0"/>
              <w:ind w:right="10"/>
              <w:jc w:val="both"/>
              <w:rPr>
                <w:sz w:val="20"/>
                <w:szCs w:val="20"/>
              </w:rPr>
            </w:pPr>
            <w:r>
              <w:rPr>
                <w:sz w:val="20"/>
                <w:szCs w:val="20"/>
              </w:rPr>
              <w:t>80.73 (11.81)</w:t>
            </w:r>
          </w:p>
        </w:tc>
      </w:tr>
      <w:tr w:rsidR="00C36CF1" w:rsidRPr="00D63B8F" w:rsidTr="002F356F">
        <w:trPr>
          <w:jc w:val="center"/>
        </w:trPr>
        <w:tc>
          <w:tcPr>
            <w:tcW w:w="2127" w:type="dxa"/>
          </w:tcPr>
          <w:p w:rsidR="00B574A1" w:rsidRDefault="00B574A1" w:rsidP="00877A16">
            <w:pPr>
              <w:jc w:val="both"/>
              <w:rPr>
                <w:sz w:val="20"/>
                <w:szCs w:val="20"/>
              </w:rPr>
            </w:pPr>
          </w:p>
          <w:p w:rsidR="00C36CF1" w:rsidRDefault="00C36CF1" w:rsidP="00877A16">
            <w:pPr>
              <w:jc w:val="both"/>
              <w:rPr>
                <w:sz w:val="20"/>
                <w:szCs w:val="20"/>
              </w:rPr>
            </w:pPr>
            <w:r>
              <w:rPr>
                <w:sz w:val="20"/>
                <w:szCs w:val="20"/>
              </w:rPr>
              <w:t>Change in</w:t>
            </w:r>
          </w:p>
          <w:p w:rsidR="00C36CF1" w:rsidRPr="00D63B8F" w:rsidRDefault="00082493" w:rsidP="00877A16">
            <w:pPr>
              <w:jc w:val="both"/>
              <w:rPr>
                <w:sz w:val="20"/>
                <w:szCs w:val="20"/>
              </w:rPr>
            </w:pPr>
            <w:r>
              <w:rPr>
                <w:sz w:val="20"/>
                <w:szCs w:val="20"/>
              </w:rPr>
              <w:t>Literacy</w:t>
            </w:r>
          </w:p>
        </w:tc>
        <w:tc>
          <w:tcPr>
            <w:tcW w:w="4536" w:type="dxa"/>
          </w:tcPr>
          <w:p w:rsidR="00B574A1" w:rsidRDefault="00B574A1" w:rsidP="00877A16">
            <w:pPr>
              <w:jc w:val="both"/>
              <w:rPr>
                <w:sz w:val="20"/>
                <w:szCs w:val="20"/>
                <w:lang w:val="de-DE"/>
              </w:rPr>
            </w:pPr>
          </w:p>
          <w:p w:rsidR="00B574A1" w:rsidRDefault="00B574A1" w:rsidP="00877A16">
            <w:pPr>
              <w:jc w:val="both"/>
              <w:rPr>
                <w:sz w:val="20"/>
                <w:szCs w:val="20"/>
                <w:lang w:val="de-DE"/>
              </w:rPr>
            </w:pPr>
          </w:p>
          <w:p w:rsidR="00C36CF1" w:rsidRPr="00661CBB" w:rsidRDefault="00C36CF1" w:rsidP="00877A16">
            <w:pPr>
              <w:jc w:val="both"/>
              <w:rPr>
                <w:sz w:val="20"/>
                <w:szCs w:val="20"/>
                <w:vertAlign w:val="subscript"/>
                <w:lang w:val="de-DE"/>
              </w:rPr>
            </w:pPr>
            <w:r w:rsidRPr="00661CBB">
              <w:rPr>
                <w:sz w:val="20"/>
                <w:szCs w:val="20"/>
                <w:lang w:val="de-DE"/>
              </w:rPr>
              <w:t>CHANGELIT</w:t>
            </w:r>
            <w:r w:rsidRPr="00661CBB">
              <w:rPr>
                <w:sz w:val="20"/>
                <w:szCs w:val="20"/>
                <w:vertAlign w:val="subscript"/>
                <w:lang w:val="de-DE"/>
              </w:rPr>
              <w:t>t-1,t</w:t>
            </w:r>
            <w:r w:rsidRPr="00661CBB">
              <w:rPr>
                <w:sz w:val="20"/>
                <w:szCs w:val="20"/>
                <w:lang w:val="de-DE"/>
              </w:rPr>
              <w:t>=ln(LIT</w:t>
            </w:r>
            <w:r w:rsidRPr="00661CBB">
              <w:rPr>
                <w:sz w:val="20"/>
                <w:szCs w:val="20"/>
                <w:vertAlign w:val="subscript"/>
                <w:lang w:val="de-DE"/>
              </w:rPr>
              <w:t>t</w:t>
            </w:r>
            <w:r w:rsidRPr="00661CBB">
              <w:rPr>
                <w:sz w:val="20"/>
                <w:szCs w:val="20"/>
                <w:lang w:val="de-DE"/>
              </w:rPr>
              <w:t>/LIT</w:t>
            </w:r>
            <w:r w:rsidRPr="00661CBB">
              <w:rPr>
                <w:sz w:val="20"/>
                <w:szCs w:val="20"/>
                <w:vertAlign w:val="subscript"/>
                <w:lang w:val="de-DE"/>
              </w:rPr>
              <w:t>t-1</w:t>
            </w:r>
            <w:r w:rsidRPr="00661CBB">
              <w:rPr>
                <w:sz w:val="20"/>
                <w:szCs w:val="20"/>
                <w:lang w:val="de-DE"/>
              </w:rPr>
              <w:t>)</w:t>
            </w:r>
          </w:p>
        </w:tc>
        <w:tc>
          <w:tcPr>
            <w:tcW w:w="2977" w:type="dxa"/>
          </w:tcPr>
          <w:p w:rsidR="00B574A1" w:rsidRDefault="00B574A1" w:rsidP="00877A16">
            <w:pPr>
              <w:autoSpaceDE w:val="0"/>
              <w:autoSpaceDN w:val="0"/>
              <w:adjustRightInd w:val="0"/>
              <w:ind w:right="10"/>
              <w:jc w:val="both"/>
              <w:rPr>
                <w:rFonts w:eastAsia="Times New Roman"/>
                <w:color w:val="000000"/>
                <w:sz w:val="20"/>
                <w:szCs w:val="20"/>
                <w:lang w:eastAsia="zh-CN"/>
              </w:rPr>
            </w:pPr>
          </w:p>
          <w:p w:rsidR="00B574A1" w:rsidRDefault="00C36CF1" w:rsidP="00877A16">
            <w:pPr>
              <w:autoSpaceDE w:val="0"/>
              <w:autoSpaceDN w:val="0"/>
              <w:adjustRightInd w:val="0"/>
              <w:ind w:right="10"/>
              <w:jc w:val="both"/>
              <w:rPr>
                <w:rFonts w:eastAsia="Times New Roman"/>
                <w:color w:val="000000"/>
                <w:sz w:val="20"/>
                <w:szCs w:val="20"/>
                <w:lang w:eastAsia="zh-CN"/>
              </w:rPr>
            </w:pPr>
            <w:r>
              <w:rPr>
                <w:rFonts w:eastAsia="Times New Roman"/>
                <w:color w:val="000000"/>
                <w:sz w:val="20"/>
                <w:szCs w:val="20"/>
                <w:lang w:eastAsia="zh-CN"/>
              </w:rPr>
              <w:t>The change of LIT between</w:t>
            </w:r>
          </w:p>
          <w:p w:rsidR="00C36CF1" w:rsidRPr="00D63B8F" w:rsidRDefault="00C36CF1" w:rsidP="00877A16">
            <w:pPr>
              <w:autoSpaceDE w:val="0"/>
              <w:autoSpaceDN w:val="0"/>
              <w:adjustRightInd w:val="0"/>
              <w:ind w:right="10"/>
              <w:jc w:val="both"/>
              <w:rPr>
                <w:i/>
                <w:color w:val="000000"/>
                <w:sz w:val="20"/>
                <w:szCs w:val="20"/>
                <w:lang w:eastAsia="zh-CN"/>
              </w:rPr>
            </w:pPr>
            <w:r>
              <w:rPr>
                <w:rFonts w:eastAsia="Times New Roman"/>
                <w:color w:val="000000"/>
                <w:sz w:val="20"/>
                <w:szCs w:val="20"/>
                <w:lang w:eastAsia="zh-CN"/>
              </w:rPr>
              <w:t xml:space="preserve"> t-1 and t.</w:t>
            </w:r>
          </w:p>
        </w:tc>
        <w:tc>
          <w:tcPr>
            <w:tcW w:w="2977" w:type="dxa"/>
          </w:tcPr>
          <w:p w:rsidR="00082493" w:rsidRDefault="00082493" w:rsidP="00877A16">
            <w:pPr>
              <w:autoSpaceDE w:val="0"/>
              <w:autoSpaceDN w:val="0"/>
              <w:adjustRightInd w:val="0"/>
              <w:ind w:right="10"/>
              <w:jc w:val="both"/>
              <w:rPr>
                <w:sz w:val="20"/>
                <w:szCs w:val="20"/>
              </w:rPr>
            </w:pPr>
            <w:r>
              <w:rPr>
                <w:sz w:val="20"/>
                <w:szCs w:val="20"/>
              </w:rPr>
              <w:t>1985:</w:t>
            </w:r>
          </w:p>
          <w:p w:rsidR="00082493" w:rsidRDefault="00082493" w:rsidP="00877A16">
            <w:pPr>
              <w:autoSpaceDE w:val="0"/>
              <w:autoSpaceDN w:val="0"/>
              <w:adjustRightInd w:val="0"/>
              <w:ind w:right="10"/>
              <w:jc w:val="both"/>
              <w:rPr>
                <w:sz w:val="20"/>
                <w:szCs w:val="20"/>
              </w:rPr>
            </w:pPr>
            <w:r>
              <w:rPr>
                <w:sz w:val="20"/>
                <w:szCs w:val="20"/>
              </w:rPr>
              <w:t>0.0864 (0.0768)</w:t>
            </w:r>
          </w:p>
          <w:p w:rsidR="00082493" w:rsidRDefault="00082493" w:rsidP="00877A16">
            <w:pPr>
              <w:autoSpaceDE w:val="0"/>
              <w:autoSpaceDN w:val="0"/>
              <w:adjustRightInd w:val="0"/>
              <w:ind w:right="10"/>
              <w:jc w:val="both"/>
              <w:rPr>
                <w:sz w:val="20"/>
                <w:szCs w:val="20"/>
              </w:rPr>
            </w:pPr>
            <w:r>
              <w:rPr>
                <w:sz w:val="20"/>
                <w:szCs w:val="20"/>
              </w:rPr>
              <w:t>Annual 1981 to 2006:</w:t>
            </w:r>
          </w:p>
          <w:p w:rsidR="00082493" w:rsidRDefault="00082493" w:rsidP="00877A16">
            <w:pPr>
              <w:autoSpaceDE w:val="0"/>
              <w:autoSpaceDN w:val="0"/>
              <w:adjustRightInd w:val="0"/>
              <w:ind w:right="10"/>
              <w:jc w:val="both"/>
              <w:rPr>
                <w:sz w:val="20"/>
                <w:szCs w:val="20"/>
              </w:rPr>
            </w:pPr>
            <w:r>
              <w:rPr>
                <w:sz w:val="20"/>
                <w:szCs w:val="20"/>
              </w:rPr>
              <w:t>0.0073 (0.0211)</w:t>
            </w:r>
          </w:p>
          <w:p w:rsidR="00082493" w:rsidRDefault="00082493" w:rsidP="00877A16">
            <w:pPr>
              <w:autoSpaceDE w:val="0"/>
              <w:autoSpaceDN w:val="0"/>
              <w:adjustRightInd w:val="0"/>
              <w:ind w:right="10"/>
              <w:jc w:val="both"/>
              <w:rPr>
                <w:sz w:val="20"/>
                <w:szCs w:val="20"/>
              </w:rPr>
            </w:pPr>
            <w:r>
              <w:rPr>
                <w:sz w:val="20"/>
                <w:szCs w:val="20"/>
              </w:rPr>
              <w:t>Pooled:</w:t>
            </w:r>
          </w:p>
          <w:p w:rsidR="00C36CF1" w:rsidRDefault="00A0197E" w:rsidP="00877A16">
            <w:pPr>
              <w:autoSpaceDE w:val="0"/>
              <w:autoSpaceDN w:val="0"/>
              <w:adjustRightInd w:val="0"/>
              <w:ind w:right="10"/>
              <w:jc w:val="both"/>
              <w:rPr>
                <w:rFonts w:eastAsia="Times New Roman"/>
                <w:color w:val="000000"/>
                <w:sz w:val="20"/>
                <w:szCs w:val="20"/>
                <w:lang w:eastAsia="zh-CN"/>
              </w:rPr>
            </w:pPr>
            <w:r>
              <w:rPr>
                <w:sz w:val="20"/>
                <w:szCs w:val="20"/>
              </w:rPr>
              <w:t>0.0607 (0.0458)</w:t>
            </w:r>
          </w:p>
        </w:tc>
      </w:tr>
      <w:tr w:rsidR="00C36CF1" w:rsidRPr="00D63B8F" w:rsidTr="002F356F">
        <w:trPr>
          <w:jc w:val="center"/>
        </w:trPr>
        <w:tc>
          <w:tcPr>
            <w:tcW w:w="2127" w:type="dxa"/>
          </w:tcPr>
          <w:p w:rsidR="00B574A1" w:rsidRDefault="00B574A1" w:rsidP="00877A16">
            <w:pPr>
              <w:jc w:val="both"/>
              <w:rPr>
                <w:sz w:val="20"/>
                <w:szCs w:val="20"/>
              </w:rPr>
            </w:pPr>
          </w:p>
          <w:p w:rsidR="00B574A1" w:rsidRDefault="00B574A1" w:rsidP="00877A16">
            <w:pPr>
              <w:jc w:val="both"/>
              <w:rPr>
                <w:sz w:val="20"/>
                <w:szCs w:val="20"/>
              </w:rPr>
            </w:pPr>
          </w:p>
          <w:p w:rsidR="00C36CF1" w:rsidRPr="00D63B8F" w:rsidRDefault="00C36CF1" w:rsidP="00877A16">
            <w:pPr>
              <w:jc w:val="both"/>
              <w:rPr>
                <w:sz w:val="20"/>
                <w:szCs w:val="20"/>
              </w:rPr>
            </w:pPr>
            <w:r w:rsidRPr="00D63B8F">
              <w:rPr>
                <w:sz w:val="20"/>
                <w:szCs w:val="20"/>
              </w:rPr>
              <w:t>Distance</w:t>
            </w:r>
          </w:p>
        </w:tc>
        <w:tc>
          <w:tcPr>
            <w:tcW w:w="4536" w:type="dxa"/>
          </w:tcPr>
          <w:p w:rsidR="00B574A1" w:rsidRDefault="00B574A1" w:rsidP="00877A16">
            <w:pPr>
              <w:jc w:val="both"/>
              <w:rPr>
                <w:sz w:val="20"/>
                <w:szCs w:val="20"/>
              </w:rPr>
            </w:pPr>
          </w:p>
          <w:p w:rsidR="00C36CF1" w:rsidRDefault="00C36CF1" w:rsidP="00877A16">
            <w:pPr>
              <w:jc w:val="both"/>
              <w:rPr>
                <w:sz w:val="20"/>
                <w:szCs w:val="20"/>
                <w:vertAlign w:val="subscript"/>
              </w:rPr>
            </w:pPr>
            <w:r w:rsidRPr="00D63B8F">
              <w:rPr>
                <w:sz w:val="20"/>
                <w:szCs w:val="20"/>
              </w:rPr>
              <w:t>Distance</w:t>
            </w:r>
            <w:r>
              <w:rPr>
                <w:sz w:val="20"/>
                <w:szCs w:val="20"/>
              </w:rPr>
              <w:t>=</w:t>
            </w:r>
            <w:proofErr w:type="spellStart"/>
            <w:r>
              <w:rPr>
                <w:sz w:val="20"/>
                <w:szCs w:val="20"/>
              </w:rPr>
              <w:t>D</w:t>
            </w:r>
            <w:r>
              <w:rPr>
                <w:sz w:val="20"/>
                <w:szCs w:val="20"/>
                <w:vertAlign w:val="subscript"/>
              </w:rPr>
              <w:t>i,SP</w:t>
            </w:r>
            <w:proofErr w:type="spellEnd"/>
          </w:p>
          <w:p w:rsidR="00C36CF1" w:rsidRPr="00945572" w:rsidRDefault="00C36CF1" w:rsidP="00877A16">
            <w:pPr>
              <w:jc w:val="both"/>
              <w:rPr>
                <w:sz w:val="20"/>
                <w:szCs w:val="20"/>
              </w:rPr>
            </w:pPr>
            <w:r>
              <w:rPr>
                <w:sz w:val="20"/>
                <w:szCs w:val="20"/>
              </w:rPr>
              <w:t>(as in Henderson et. al. (1992))</w:t>
            </w:r>
          </w:p>
        </w:tc>
        <w:tc>
          <w:tcPr>
            <w:tcW w:w="2977" w:type="dxa"/>
          </w:tcPr>
          <w:p w:rsidR="00C36CF1" w:rsidRPr="00FF1E19" w:rsidRDefault="00C36CF1" w:rsidP="00877A16">
            <w:pPr>
              <w:autoSpaceDE w:val="0"/>
              <w:autoSpaceDN w:val="0"/>
              <w:adjustRightInd w:val="0"/>
              <w:ind w:right="10"/>
              <w:jc w:val="both"/>
              <w:rPr>
                <w:color w:val="000000"/>
                <w:sz w:val="20"/>
                <w:szCs w:val="20"/>
                <w:lang w:eastAsia="zh-CN"/>
              </w:rPr>
            </w:pPr>
            <w:r>
              <w:rPr>
                <w:sz w:val="20"/>
                <w:szCs w:val="20"/>
              </w:rPr>
              <w:t xml:space="preserve">The </w:t>
            </w:r>
            <w:r w:rsidRPr="00FF1E19">
              <w:rPr>
                <w:sz w:val="20"/>
                <w:szCs w:val="20"/>
              </w:rPr>
              <w:t>distance</w:t>
            </w:r>
            <w:r>
              <w:rPr>
                <w:sz w:val="20"/>
                <w:szCs w:val="20"/>
              </w:rPr>
              <w:t xml:space="preserve"> in kilometres</w:t>
            </w:r>
            <w:r w:rsidRPr="00FF1E19">
              <w:rPr>
                <w:sz w:val="20"/>
                <w:szCs w:val="20"/>
              </w:rPr>
              <w:t xml:space="preserve">, which is constant over </w:t>
            </w:r>
            <w:r>
              <w:rPr>
                <w:sz w:val="20"/>
                <w:szCs w:val="20"/>
              </w:rPr>
              <w:t xml:space="preserve">the </w:t>
            </w:r>
            <w:r w:rsidRPr="00FF1E19">
              <w:rPr>
                <w:sz w:val="20"/>
                <w:szCs w:val="20"/>
              </w:rPr>
              <w:t>years in each state, from centres of</w:t>
            </w:r>
            <w:r>
              <w:rPr>
                <w:sz w:val="20"/>
                <w:szCs w:val="20"/>
              </w:rPr>
              <w:t xml:space="preserve"> each </w:t>
            </w:r>
            <w:r w:rsidRPr="00FF1E19">
              <w:rPr>
                <w:sz w:val="20"/>
                <w:szCs w:val="20"/>
              </w:rPr>
              <w:t>state</w:t>
            </w:r>
            <w:r w:rsidR="00082493">
              <w:rPr>
                <w:sz w:val="20"/>
                <w:szCs w:val="20"/>
              </w:rPr>
              <w:t xml:space="preserve"> </w:t>
            </w:r>
            <w:proofErr w:type="spellStart"/>
            <w:proofErr w:type="gramStart"/>
            <w:r w:rsidR="00082493" w:rsidRPr="00FF1E19">
              <w:rPr>
                <w:i/>
                <w:sz w:val="20"/>
                <w:szCs w:val="20"/>
              </w:rPr>
              <w:t>i</w:t>
            </w:r>
            <w:r>
              <w:rPr>
                <w:sz w:val="20"/>
                <w:szCs w:val="20"/>
              </w:rPr>
              <w:t>’</w:t>
            </w:r>
            <w:r w:rsidRPr="00FF1E19">
              <w:rPr>
                <w:sz w:val="20"/>
                <w:szCs w:val="20"/>
              </w:rPr>
              <w:t>s</w:t>
            </w:r>
            <w:proofErr w:type="spellEnd"/>
            <w:proofErr w:type="gramEnd"/>
            <w:r w:rsidRPr="00FF1E19">
              <w:rPr>
                <w:sz w:val="20"/>
                <w:szCs w:val="20"/>
              </w:rPr>
              <w:t xml:space="preserve"> capital to S</w:t>
            </w:r>
            <w:r>
              <w:rPr>
                <w:sz w:val="20"/>
                <w:szCs w:val="20"/>
              </w:rPr>
              <w:t>ã</w:t>
            </w:r>
            <w:r w:rsidRPr="00FF1E19">
              <w:rPr>
                <w:sz w:val="20"/>
                <w:szCs w:val="20"/>
              </w:rPr>
              <w:t>o</w:t>
            </w:r>
            <w:r>
              <w:rPr>
                <w:sz w:val="20"/>
                <w:szCs w:val="20"/>
              </w:rPr>
              <w:t xml:space="preserve"> </w:t>
            </w:r>
            <w:r w:rsidRPr="00FF1E19">
              <w:rPr>
                <w:sz w:val="20"/>
                <w:szCs w:val="20"/>
              </w:rPr>
              <w:t>Paulo’s city centre (the major country</w:t>
            </w:r>
            <w:r>
              <w:rPr>
                <w:sz w:val="20"/>
                <w:szCs w:val="20"/>
              </w:rPr>
              <w:t>’s</w:t>
            </w:r>
            <w:r w:rsidRPr="00FF1E19">
              <w:rPr>
                <w:sz w:val="20"/>
                <w:szCs w:val="20"/>
              </w:rPr>
              <w:t xml:space="preserve"> market)</w:t>
            </w:r>
            <w:r>
              <w:rPr>
                <w:rStyle w:val="FootnoteReference"/>
                <w:sz w:val="20"/>
                <w:szCs w:val="20"/>
              </w:rPr>
              <w:footnoteReference w:id="11"/>
            </w:r>
            <w:r>
              <w:rPr>
                <w:sz w:val="20"/>
                <w:szCs w:val="20"/>
              </w:rPr>
              <w:t>.</w:t>
            </w:r>
          </w:p>
        </w:tc>
        <w:tc>
          <w:tcPr>
            <w:tcW w:w="2977" w:type="dxa"/>
          </w:tcPr>
          <w:p w:rsidR="00B574A1" w:rsidRDefault="00B574A1" w:rsidP="00877A16">
            <w:pPr>
              <w:autoSpaceDE w:val="0"/>
              <w:autoSpaceDN w:val="0"/>
              <w:adjustRightInd w:val="0"/>
              <w:ind w:right="10"/>
              <w:jc w:val="both"/>
              <w:rPr>
                <w:sz w:val="20"/>
                <w:szCs w:val="20"/>
              </w:rPr>
            </w:pPr>
          </w:p>
          <w:p w:rsidR="00C36CF1" w:rsidRDefault="00A0197E" w:rsidP="00877A16">
            <w:pPr>
              <w:autoSpaceDE w:val="0"/>
              <w:autoSpaceDN w:val="0"/>
              <w:adjustRightInd w:val="0"/>
              <w:ind w:right="10"/>
              <w:jc w:val="both"/>
              <w:rPr>
                <w:sz w:val="20"/>
                <w:szCs w:val="20"/>
              </w:rPr>
            </w:pPr>
            <w:r>
              <w:rPr>
                <w:sz w:val="20"/>
                <w:szCs w:val="20"/>
              </w:rPr>
              <w:t>2010:</w:t>
            </w:r>
          </w:p>
          <w:p w:rsidR="00A0197E" w:rsidRDefault="00A0197E" w:rsidP="00877A16">
            <w:pPr>
              <w:autoSpaceDE w:val="0"/>
              <w:autoSpaceDN w:val="0"/>
              <w:adjustRightInd w:val="0"/>
              <w:ind w:right="10"/>
              <w:jc w:val="both"/>
              <w:rPr>
                <w:sz w:val="20"/>
                <w:szCs w:val="20"/>
              </w:rPr>
            </w:pPr>
            <w:r>
              <w:rPr>
                <w:sz w:val="20"/>
                <w:szCs w:val="20"/>
              </w:rPr>
              <w:t>2065 (1234.49)</w:t>
            </w:r>
          </w:p>
        </w:tc>
      </w:tr>
    </w:tbl>
    <w:p w:rsidR="00C36CF1" w:rsidRDefault="008E2D25" w:rsidP="00877A16">
      <w:pPr>
        <w:pStyle w:val="ListParagraph"/>
        <w:jc w:val="both"/>
        <w:rPr>
          <w:sz w:val="20"/>
          <w:szCs w:val="20"/>
        </w:rPr>
      </w:pPr>
      <w:r w:rsidRPr="00CF1DA3">
        <w:rPr>
          <w:b/>
          <w:bCs/>
          <w:sz w:val="20"/>
          <w:szCs w:val="20"/>
        </w:rPr>
        <w:t>Note:</w:t>
      </w:r>
      <w:r>
        <w:rPr>
          <w:sz w:val="20"/>
          <w:szCs w:val="20"/>
        </w:rPr>
        <w:t xml:space="preserve"> </w:t>
      </w:r>
      <w:r w:rsidRPr="00CB1907">
        <w:rPr>
          <w:sz w:val="20"/>
          <w:szCs w:val="20"/>
        </w:rPr>
        <w:t>*</w:t>
      </w:r>
      <w:r>
        <w:rPr>
          <w:sz w:val="20"/>
          <w:szCs w:val="20"/>
        </w:rPr>
        <w:t>Values of st</w:t>
      </w:r>
      <w:r w:rsidRPr="00CB1907">
        <w:rPr>
          <w:sz w:val="20"/>
          <w:szCs w:val="20"/>
        </w:rPr>
        <w:t>andard deviation</w:t>
      </w:r>
      <w:r w:rsidR="002C771E">
        <w:rPr>
          <w:sz w:val="20"/>
          <w:szCs w:val="20"/>
        </w:rPr>
        <w:t>s</w:t>
      </w:r>
      <w:r w:rsidRPr="00CB1907">
        <w:rPr>
          <w:sz w:val="20"/>
          <w:szCs w:val="20"/>
        </w:rPr>
        <w:t xml:space="preserve"> </w:t>
      </w:r>
      <w:r>
        <w:rPr>
          <w:sz w:val="20"/>
          <w:szCs w:val="20"/>
        </w:rPr>
        <w:t xml:space="preserve">are </w:t>
      </w:r>
      <w:r w:rsidRPr="00CB1907">
        <w:rPr>
          <w:sz w:val="20"/>
          <w:szCs w:val="20"/>
        </w:rPr>
        <w:t>in brackets.</w:t>
      </w:r>
    </w:p>
    <w:p w:rsidR="008E2D25" w:rsidRDefault="008E2D25" w:rsidP="00446808">
      <w:pPr>
        <w:pStyle w:val="ListParagraph"/>
        <w:jc w:val="both"/>
        <w:rPr>
          <w:sz w:val="20"/>
          <w:szCs w:val="20"/>
        </w:rPr>
      </w:pPr>
    </w:p>
    <w:p w:rsidR="00446808" w:rsidRDefault="00446808" w:rsidP="00446808">
      <w:pPr>
        <w:pStyle w:val="ListParagraph"/>
        <w:jc w:val="both"/>
        <w:rPr>
          <w:sz w:val="20"/>
          <w:szCs w:val="20"/>
        </w:rPr>
      </w:pPr>
    </w:p>
    <w:p w:rsidR="00AF44AD" w:rsidRDefault="00AF44AD" w:rsidP="00446808">
      <w:pPr>
        <w:pStyle w:val="ListParagraph"/>
        <w:jc w:val="both"/>
        <w:rPr>
          <w:sz w:val="20"/>
          <w:szCs w:val="20"/>
        </w:rPr>
      </w:pPr>
      <w:r>
        <w:rPr>
          <w:sz w:val="20"/>
          <w:szCs w:val="20"/>
        </w:rPr>
        <w:t>\</w:t>
      </w:r>
    </w:p>
    <w:sectPr w:rsidR="00AF44AD" w:rsidSect="00AF44AD">
      <w:pgSz w:w="16840" w:h="11907" w:orient="landscape" w:code="9"/>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06246" w:rsidRDefault="00606246" w:rsidP="004C272E">
      <w:r>
        <w:separator/>
      </w:r>
    </w:p>
  </w:endnote>
  <w:endnote w:type="continuationSeparator" w:id="0">
    <w:p w:rsidR="00606246" w:rsidRDefault="00606246" w:rsidP="004C272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Arial Unicode MS"/>
    <w:panose1 w:val="02010600030101010101"/>
    <w:charset w:val="86"/>
    <w:family w:val="auto"/>
    <w:notTrueType/>
    <w:pitch w:val="variable"/>
    <w:sig w:usb0="00000000" w:usb1="080E0000" w:usb2="00000010" w:usb3="00000000" w:csb0="0004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Math">
    <w:panose1 w:val="02040503050406030204"/>
    <w:charset w:val="00"/>
    <w:family w:val="roman"/>
    <w:pitch w:val="variable"/>
    <w:sig w:usb0="A00002EF" w:usb1="420020EB" w:usb2="00000000" w:usb3="00000000" w:csb0="0000009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1003" w:rsidRDefault="00EC1889">
    <w:pPr>
      <w:pStyle w:val="Footer"/>
      <w:jc w:val="right"/>
    </w:pPr>
    <w:fldSimple w:instr=" PAGE   \* MERGEFORMAT ">
      <w:r w:rsidR="00B72D1F">
        <w:rPr>
          <w:noProof/>
        </w:rPr>
        <w:t>4</w:t>
      </w:r>
    </w:fldSimple>
  </w:p>
  <w:p w:rsidR="00521003" w:rsidRDefault="0052100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1003" w:rsidRDefault="00EC1889">
    <w:pPr>
      <w:pStyle w:val="Footer"/>
      <w:jc w:val="right"/>
    </w:pPr>
    <w:fldSimple w:instr=" PAGE   \* MERGEFORMAT ">
      <w:r w:rsidR="00B72D1F">
        <w:rPr>
          <w:noProof/>
        </w:rPr>
        <w:t>1</w:t>
      </w:r>
    </w:fldSimple>
  </w:p>
  <w:p w:rsidR="00521003" w:rsidRDefault="0052100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06246" w:rsidRDefault="00606246" w:rsidP="004C272E">
      <w:r>
        <w:separator/>
      </w:r>
    </w:p>
  </w:footnote>
  <w:footnote w:type="continuationSeparator" w:id="0">
    <w:p w:rsidR="00606246" w:rsidRDefault="00606246" w:rsidP="004C272E">
      <w:r>
        <w:continuationSeparator/>
      </w:r>
    </w:p>
  </w:footnote>
  <w:footnote w:id="1">
    <w:p w:rsidR="00521003" w:rsidRPr="000C0101" w:rsidRDefault="00521003" w:rsidP="002F356F">
      <w:pPr>
        <w:pStyle w:val="FootnoteText"/>
        <w:tabs>
          <w:tab w:val="left" w:pos="284"/>
        </w:tabs>
        <w:jc w:val="both"/>
      </w:pPr>
      <w:r>
        <w:rPr>
          <w:rStyle w:val="FootnoteReference"/>
        </w:rPr>
        <w:footnoteRef/>
      </w:r>
      <w:r w:rsidRPr="000C0101">
        <w:t xml:space="preserve"> </w:t>
      </w:r>
      <w:r w:rsidR="002F356F">
        <w:tab/>
      </w:r>
      <w:r w:rsidRPr="000C0101">
        <w:t>These theories are summar</w:t>
      </w:r>
      <w:r>
        <w:t>ised</w:t>
      </w:r>
      <w:r w:rsidRPr="000C0101">
        <w:t xml:space="preserve"> in </w:t>
      </w:r>
      <w:proofErr w:type="spellStart"/>
      <w:r w:rsidRPr="000C0101">
        <w:t>Glaeser</w:t>
      </w:r>
      <w:proofErr w:type="spellEnd"/>
      <w:r w:rsidRPr="000C0101">
        <w:t xml:space="preserve"> </w:t>
      </w:r>
      <w:r w:rsidRPr="000C0101">
        <w:rPr>
          <w:i/>
          <w:iCs/>
        </w:rPr>
        <w:t>et al.</w:t>
      </w:r>
      <w:r>
        <w:t xml:space="preserve"> </w:t>
      </w:r>
      <w:r w:rsidRPr="000C0101">
        <w:rPr>
          <w:lang w:val="nl-NL"/>
        </w:rPr>
        <w:t>(1992)</w:t>
      </w:r>
      <w:r>
        <w:rPr>
          <w:lang w:val="nl-NL"/>
        </w:rPr>
        <w:t>,</w:t>
      </w:r>
      <w:r w:rsidRPr="000C0101">
        <w:rPr>
          <w:lang w:val="nl-NL"/>
        </w:rPr>
        <w:t xml:space="preserve"> Henderson </w:t>
      </w:r>
      <w:r w:rsidRPr="000C0101">
        <w:rPr>
          <w:i/>
          <w:lang w:val="nl-NL"/>
        </w:rPr>
        <w:t>et al.</w:t>
      </w:r>
      <w:r>
        <w:rPr>
          <w:lang w:val="nl-NL"/>
        </w:rPr>
        <w:t xml:space="preserve"> </w:t>
      </w:r>
      <w:r w:rsidRPr="00661CBB">
        <w:rPr>
          <w:lang w:val="nl-NL"/>
        </w:rPr>
        <w:t xml:space="preserve">(1995) and De Groot et al. </w:t>
      </w:r>
      <w:r w:rsidRPr="000C0101">
        <w:t>(2009).</w:t>
      </w:r>
    </w:p>
  </w:footnote>
  <w:footnote w:id="2">
    <w:p w:rsidR="00521003" w:rsidRDefault="00521003" w:rsidP="002F356F">
      <w:pPr>
        <w:pStyle w:val="FootnoteText"/>
        <w:tabs>
          <w:tab w:val="left" w:pos="284"/>
        </w:tabs>
        <w:jc w:val="both"/>
      </w:pPr>
      <w:r>
        <w:rPr>
          <w:rStyle w:val="FootnoteReference"/>
        </w:rPr>
        <w:footnoteRef/>
      </w:r>
      <w:r>
        <w:t xml:space="preserve"> </w:t>
      </w:r>
      <w:r w:rsidR="002F356F">
        <w:tab/>
        <w:t>T</w:t>
      </w:r>
      <w:r>
        <w:t>he IPEA data can be found on the website www.ipea.gov.br.</w:t>
      </w:r>
    </w:p>
  </w:footnote>
  <w:footnote w:id="3">
    <w:p w:rsidR="00521003" w:rsidRDefault="00521003" w:rsidP="00A24B44">
      <w:pPr>
        <w:pStyle w:val="FootnoteText"/>
        <w:ind w:left="284" w:hanging="284"/>
        <w:jc w:val="both"/>
      </w:pPr>
      <w:r>
        <w:rPr>
          <w:rStyle w:val="FootnoteReference"/>
        </w:rPr>
        <w:footnoteRef/>
      </w:r>
      <w:r>
        <w:t xml:space="preserve"> </w:t>
      </w:r>
      <w:r w:rsidR="00A24B44">
        <w:tab/>
      </w:r>
      <w:r>
        <w:t>T</w:t>
      </w:r>
      <w:r>
        <w:rPr>
          <w:lang w:val="en-US"/>
        </w:rPr>
        <w:t>he State of Tocantins has been excluded from the analysis because of missing data from 1981 to 1992.</w:t>
      </w:r>
    </w:p>
  </w:footnote>
  <w:footnote w:id="4">
    <w:p w:rsidR="00521003" w:rsidRDefault="00521003" w:rsidP="00A24B44">
      <w:pPr>
        <w:pStyle w:val="FootnoteText"/>
        <w:ind w:left="284" w:hanging="284"/>
        <w:jc w:val="both"/>
      </w:pPr>
      <w:r>
        <w:rPr>
          <w:rStyle w:val="FootnoteReference"/>
        </w:rPr>
        <w:footnoteRef/>
      </w:r>
      <w:r>
        <w:t xml:space="preserve"> </w:t>
      </w:r>
      <w:r w:rsidR="00A24B44">
        <w:tab/>
      </w:r>
      <w:r>
        <w:t>An alternative variable is the states’ infrastructure accessibility (McCann et al., 2008, p. 8). However, despite acknowledging the role of infrastructure in regional growth in Brazil (</w:t>
      </w:r>
      <w:proofErr w:type="spellStart"/>
      <w:r w:rsidRPr="007D695E">
        <w:rPr>
          <w:lang w:eastAsia="zh-CN"/>
        </w:rPr>
        <w:t>Daumal</w:t>
      </w:r>
      <w:proofErr w:type="spellEnd"/>
      <w:r>
        <w:rPr>
          <w:lang w:eastAsia="zh-CN"/>
        </w:rPr>
        <w:t xml:space="preserve"> </w:t>
      </w:r>
      <w:r w:rsidRPr="007D695E">
        <w:rPr>
          <w:lang w:eastAsia="zh-CN"/>
        </w:rPr>
        <w:t xml:space="preserve">&amp; </w:t>
      </w:r>
      <w:proofErr w:type="spellStart"/>
      <w:r w:rsidRPr="007D695E">
        <w:rPr>
          <w:lang w:eastAsia="zh-CN"/>
        </w:rPr>
        <w:t>Zignago</w:t>
      </w:r>
      <w:proofErr w:type="spellEnd"/>
      <w:r>
        <w:rPr>
          <w:lang w:eastAsia="zh-CN"/>
        </w:rPr>
        <w:t xml:space="preserve">, </w:t>
      </w:r>
      <w:r w:rsidRPr="007D695E">
        <w:rPr>
          <w:lang w:eastAsia="zh-CN"/>
        </w:rPr>
        <w:t>2010</w:t>
      </w:r>
      <w:r>
        <w:rPr>
          <w:lang w:eastAsia="zh-CN"/>
        </w:rPr>
        <w:t>)</w:t>
      </w:r>
      <w:r>
        <w:t>, we did not consider infrastructure</w:t>
      </w:r>
      <w:r w:rsidRPr="00115033">
        <w:t xml:space="preserve"> </w:t>
      </w:r>
      <w:r>
        <w:t>due to a lack of data.</w:t>
      </w:r>
    </w:p>
  </w:footnote>
  <w:footnote w:id="5">
    <w:p w:rsidR="00521003" w:rsidRPr="00EA46FC" w:rsidRDefault="00521003" w:rsidP="00A24B44">
      <w:pPr>
        <w:pStyle w:val="FootnoteText"/>
        <w:ind w:left="284" w:hanging="284"/>
        <w:jc w:val="both"/>
      </w:pPr>
      <w:r>
        <w:rPr>
          <w:rStyle w:val="FootnoteReference"/>
        </w:rPr>
        <w:footnoteRef/>
      </w:r>
      <w:r>
        <w:t xml:space="preserve"> </w:t>
      </w:r>
      <w:r w:rsidR="00A24B44">
        <w:tab/>
      </w:r>
      <w:r>
        <w:t>However, within macro-regions (for which figures are not shown here) the variance in the North and Southeast is higher than that in the Northeast, Centre-West and South. Only the variance of the Southeast and South shows a clear decline. This suggests that the macro-regions behave differently. We return to this issue in our conclusion.</w:t>
      </w:r>
    </w:p>
  </w:footnote>
  <w:footnote w:id="6">
    <w:p w:rsidR="00521003" w:rsidRPr="000D2619" w:rsidRDefault="00521003" w:rsidP="00A24B44">
      <w:pPr>
        <w:ind w:left="284" w:hanging="284"/>
        <w:jc w:val="both"/>
        <w:rPr>
          <w:sz w:val="20"/>
          <w:szCs w:val="20"/>
        </w:rPr>
      </w:pPr>
      <w:r w:rsidRPr="00343521">
        <w:rPr>
          <w:rStyle w:val="FootnoteReference"/>
        </w:rPr>
        <w:footnoteRef/>
      </w:r>
      <w:r w:rsidRPr="00343521">
        <w:t xml:space="preserve"> </w:t>
      </w:r>
      <w:r w:rsidR="00A24B44">
        <w:tab/>
      </w:r>
      <w:r w:rsidRPr="00343521">
        <w:rPr>
          <w:sz w:val="20"/>
          <w:szCs w:val="20"/>
        </w:rPr>
        <w:t xml:space="preserve">The test for </w:t>
      </w:r>
      <w:proofErr w:type="spellStart"/>
      <w:r w:rsidRPr="00343521">
        <w:rPr>
          <w:sz w:val="20"/>
          <w:szCs w:val="20"/>
        </w:rPr>
        <w:t>multicollinearity</w:t>
      </w:r>
      <w:proofErr w:type="spellEnd"/>
      <w:r w:rsidRPr="00343521">
        <w:rPr>
          <w:sz w:val="20"/>
          <w:szCs w:val="20"/>
        </w:rPr>
        <w:t xml:space="preserve"> in all estimated models in this paper indicates that </w:t>
      </w:r>
      <w:proofErr w:type="spellStart"/>
      <w:r w:rsidRPr="00343521">
        <w:rPr>
          <w:sz w:val="20"/>
          <w:szCs w:val="20"/>
        </w:rPr>
        <w:t>multicollinearity</w:t>
      </w:r>
      <w:proofErr w:type="spellEnd"/>
      <w:r w:rsidRPr="00343521">
        <w:rPr>
          <w:sz w:val="20"/>
          <w:szCs w:val="20"/>
        </w:rPr>
        <w:t xml:space="preserve"> is not a concern. According to McCann </w:t>
      </w:r>
      <w:r w:rsidRPr="00343521">
        <w:rPr>
          <w:i/>
          <w:iCs/>
          <w:sz w:val="20"/>
          <w:szCs w:val="20"/>
        </w:rPr>
        <w:t>et al.</w:t>
      </w:r>
      <w:r w:rsidRPr="00343521">
        <w:rPr>
          <w:sz w:val="20"/>
          <w:szCs w:val="20"/>
        </w:rPr>
        <w:t xml:space="preserve"> (2008, p. 10), </w:t>
      </w:r>
      <w:proofErr w:type="spellStart"/>
      <w:r w:rsidRPr="00343521">
        <w:rPr>
          <w:sz w:val="20"/>
          <w:szCs w:val="20"/>
        </w:rPr>
        <w:t>multicollinearity</w:t>
      </w:r>
      <w:proofErr w:type="spellEnd"/>
      <w:r w:rsidRPr="00343521">
        <w:rPr>
          <w:sz w:val="20"/>
          <w:szCs w:val="20"/>
        </w:rPr>
        <w:t xml:space="preserve"> is not present if the Variance Inflation Factor (VIF) is smaller than 10. The calculated VIF is relatively low. For cross-section models, the average VIF ranges from 2.11 to 4.09, and the highest VIF ranges from 2.72 to 6.52 associated to </w:t>
      </w:r>
      <w:r>
        <w:rPr>
          <w:sz w:val="20"/>
          <w:szCs w:val="20"/>
        </w:rPr>
        <w:t>the</w:t>
      </w:r>
      <w:r w:rsidRPr="00343521">
        <w:rPr>
          <w:sz w:val="20"/>
          <w:szCs w:val="20"/>
        </w:rPr>
        <w:t xml:space="preserve"> competition and diversity variables, respectively. For the </w:t>
      </w:r>
      <w:r>
        <w:rPr>
          <w:sz w:val="20"/>
          <w:szCs w:val="20"/>
        </w:rPr>
        <w:t>remaining models</w:t>
      </w:r>
      <w:r w:rsidRPr="00343521">
        <w:rPr>
          <w:sz w:val="20"/>
          <w:szCs w:val="20"/>
        </w:rPr>
        <w:t xml:space="preserve">, the VIF values are much lower. For panel models with annual data, the average VIF ranges from 1.21 to 2.48, and the highest VIF ranges from 1.29 to 7.14 associated with distance and logarithm of specialisation variables, respectively, when excluding an-“outlier” case of VIF equals to 12.32 associated with the distance variable. For pooled-periods cross-section models, the average VIF ranges from 1.24 to 3.03, and the highest VIF ranges from 1.38 to 7.38 associated to specialisation and logarithm of specialisation variables, respectively, again, excluding an-“outlier” case of VIF equal to 9.61 associated with distance. Another way to test for </w:t>
      </w:r>
      <w:proofErr w:type="spellStart"/>
      <w:r w:rsidRPr="00343521">
        <w:rPr>
          <w:sz w:val="20"/>
          <w:szCs w:val="20"/>
        </w:rPr>
        <w:t>multicollinearity</w:t>
      </w:r>
      <w:proofErr w:type="spellEnd"/>
      <w:r w:rsidRPr="00343521">
        <w:rPr>
          <w:sz w:val="20"/>
          <w:szCs w:val="20"/>
        </w:rPr>
        <w:t xml:space="preserve"> is to correlate explanatory variables. Under this approach, </w:t>
      </w:r>
      <w:proofErr w:type="spellStart"/>
      <w:r w:rsidRPr="00343521">
        <w:rPr>
          <w:sz w:val="20"/>
          <w:szCs w:val="20"/>
        </w:rPr>
        <w:t>multicollinearity</w:t>
      </w:r>
      <w:proofErr w:type="spellEnd"/>
      <w:r w:rsidRPr="00343521">
        <w:rPr>
          <w:sz w:val="20"/>
          <w:szCs w:val="20"/>
        </w:rPr>
        <w:t xml:space="preserve"> is a concern if the correlation of a pair of variables is above the threshold absolute value of 0.80 (McCann et al, 2008). The </w:t>
      </w:r>
      <w:proofErr w:type="spellStart"/>
      <w:proofErr w:type="gramStart"/>
      <w:r w:rsidRPr="00343521">
        <w:rPr>
          <w:sz w:val="20"/>
          <w:szCs w:val="20"/>
        </w:rPr>
        <w:t>regressors</w:t>
      </w:r>
      <w:proofErr w:type="spellEnd"/>
      <w:proofErr w:type="gramEnd"/>
      <w:r w:rsidRPr="00343521">
        <w:rPr>
          <w:sz w:val="20"/>
          <w:szCs w:val="20"/>
        </w:rPr>
        <w:t xml:space="preserve"> correlation across this paper’s cross-section models ranges from 0.0004 (between diversity and specialisation) to 0.6897 (between diversity and competition). On the other hand, correlation across variables of both panel models with annual data and pooled-periods cross-section models ranges from 0.39 (between distance and specialisation) to 0.55 (between logarithm of literacy and logarithm of diversity). In this latter range, we excluded an-“outlier” case of absolute correlation of 0.90 (between São Paulo state's dummy and logarithm of distance) for the pooled-periods models.</w:t>
      </w:r>
    </w:p>
  </w:footnote>
  <w:footnote w:id="7">
    <w:p w:rsidR="00521003" w:rsidRPr="00262D9A" w:rsidRDefault="00521003" w:rsidP="00A24B44">
      <w:pPr>
        <w:pStyle w:val="FootnoteText"/>
        <w:ind w:left="284" w:hanging="284"/>
        <w:jc w:val="both"/>
      </w:pPr>
      <w:r>
        <w:rPr>
          <w:rStyle w:val="FootnoteReference"/>
        </w:rPr>
        <w:footnoteRef/>
      </w:r>
      <w:r w:rsidR="00A24B44">
        <w:tab/>
      </w:r>
      <w:r>
        <w:t xml:space="preserve">In many of our models in this paper the coefficient of distance is either positive but not statistically significant or positive and statistically significant. This is against the expectation of a negative relationship with distance from states’ to São Paulo’s capital and economic growth. However, states that are far from São Paulo may have their growth more dependent on their neighbours’ states, rather than on the São Paulo state market itself. This is consistent with the notion of ‘clubs of convergence’ (a group of states that converge within their macro region) stated in the conclusion section.  </w:t>
      </w:r>
    </w:p>
  </w:footnote>
  <w:footnote w:id="8">
    <w:p w:rsidR="00521003" w:rsidRPr="00085C35" w:rsidRDefault="00521003" w:rsidP="005517A8">
      <w:pPr>
        <w:pStyle w:val="FootnoteText"/>
        <w:ind w:left="142" w:hanging="142"/>
        <w:jc w:val="both"/>
      </w:pPr>
      <w:r w:rsidRPr="00943A23">
        <w:rPr>
          <w:rStyle w:val="FootnoteReference"/>
        </w:rPr>
        <w:footnoteRef/>
      </w:r>
      <w:r w:rsidRPr="00943A23">
        <w:t xml:space="preserve"> </w:t>
      </w:r>
      <w:r w:rsidR="005517A8">
        <w:tab/>
      </w:r>
      <w:r w:rsidRPr="00943A23">
        <w:t xml:space="preserve">Table </w:t>
      </w:r>
      <w:r>
        <w:t>3 shows</w:t>
      </w:r>
      <w:r w:rsidRPr="00943A23">
        <w:t xml:space="preserve"> the </w:t>
      </w:r>
      <w:r>
        <w:t xml:space="preserve">descriptive </w:t>
      </w:r>
      <w:r w:rsidRPr="00943A23">
        <w:t xml:space="preserve">statistics for </w:t>
      </w:r>
      <w:r>
        <w:t>the variables of the cross-section, panel and pooled-periods cross-section models. These latter two groups of models allow for some control of (time invariant) omitted variables and may yield therefore more accurate externalities parameter estimates.</w:t>
      </w:r>
    </w:p>
  </w:footnote>
  <w:footnote w:id="9">
    <w:p w:rsidR="00521003" w:rsidRDefault="00521003" w:rsidP="00A24B44">
      <w:pPr>
        <w:pStyle w:val="FootnoteText"/>
        <w:ind w:left="284" w:hanging="284"/>
        <w:jc w:val="both"/>
      </w:pPr>
      <w:r>
        <w:rPr>
          <w:rStyle w:val="FootnoteReference"/>
        </w:rPr>
        <w:footnoteRef/>
      </w:r>
      <w:r>
        <w:t xml:space="preserve"> </w:t>
      </w:r>
      <w:r w:rsidR="00A24B44">
        <w:tab/>
      </w:r>
      <w:r>
        <w:t xml:space="preserve">We also estimated fixed, random and between-effects models. The results are available upon request. The panel models not reported here do not affect our conclusions. </w:t>
      </w:r>
    </w:p>
  </w:footnote>
  <w:footnote w:id="10">
    <w:p w:rsidR="00521003" w:rsidRPr="006B1F0E" w:rsidRDefault="00521003" w:rsidP="00A24B44">
      <w:pPr>
        <w:pStyle w:val="FootnoteText"/>
        <w:ind w:left="284" w:hanging="284"/>
        <w:jc w:val="both"/>
      </w:pPr>
      <w:r>
        <w:rPr>
          <w:rStyle w:val="FootnoteReference"/>
        </w:rPr>
        <w:footnoteRef/>
      </w:r>
      <w:r>
        <w:t xml:space="preserve"> </w:t>
      </w:r>
      <w:r w:rsidR="00A24B44">
        <w:tab/>
      </w:r>
      <w:r w:rsidRPr="006B1F0E">
        <w:t xml:space="preserve">Our panel </w:t>
      </w:r>
      <w:r>
        <w:t xml:space="preserve">and pooled </w:t>
      </w:r>
      <w:r w:rsidRPr="006B1F0E">
        <w:t>model results are unique and non-comparable with the previous seminal papers (</w:t>
      </w:r>
      <w:proofErr w:type="spellStart"/>
      <w:r w:rsidRPr="006B1F0E">
        <w:rPr>
          <w:lang w:val="en-US"/>
        </w:rPr>
        <w:t>Glaeser</w:t>
      </w:r>
      <w:proofErr w:type="spellEnd"/>
      <w:r w:rsidRPr="006B1F0E">
        <w:rPr>
          <w:lang w:val="en-US"/>
        </w:rPr>
        <w:t xml:space="preserve"> et al., 1992 and </w:t>
      </w:r>
      <w:proofErr w:type="spellStart"/>
      <w:r w:rsidRPr="006B1F0E">
        <w:rPr>
          <w:lang w:val="en-US"/>
        </w:rPr>
        <w:t>Combes</w:t>
      </w:r>
      <w:proofErr w:type="spellEnd"/>
      <w:r w:rsidRPr="006B1F0E">
        <w:rPr>
          <w:lang w:val="en-US"/>
        </w:rPr>
        <w:t xml:space="preserve">, 2000) </w:t>
      </w:r>
      <w:r>
        <w:rPr>
          <w:lang w:val="en-US"/>
        </w:rPr>
        <w:t xml:space="preserve">because </w:t>
      </w:r>
      <w:r w:rsidRPr="006B1F0E">
        <w:rPr>
          <w:lang w:val="en-US"/>
        </w:rPr>
        <w:t>both only employed cross-section data.</w:t>
      </w:r>
    </w:p>
  </w:footnote>
  <w:footnote w:id="11">
    <w:p w:rsidR="002F356F" w:rsidRPr="007A4448" w:rsidRDefault="00521003" w:rsidP="00A93AED">
      <w:pPr>
        <w:ind w:left="284" w:hanging="284"/>
        <w:jc w:val="both"/>
        <w:rPr>
          <w:sz w:val="20"/>
          <w:szCs w:val="20"/>
          <w:lang w:val="en-US"/>
        </w:rPr>
      </w:pPr>
      <w:r>
        <w:rPr>
          <w:rStyle w:val="FootnoteReference"/>
        </w:rPr>
        <w:footnoteRef/>
      </w:r>
      <w:r>
        <w:rPr>
          <w:sz w:val="20"/>
          <w:szCs w:val="20"/>
        </w:rPr>
        <w:t xml:space="preserve"> </w:t>
      </w:r>
      <w:r w:rsidR="00A93AED">
        <w:rPr>
          <w:sz w:val="20"/>
          <w:szCs w:val="20"/>
        </w:rPr>
        <w:tab/>
      </w:r>
      <w:r w:rsidRPr="00A95C91">
        <w:rPr>
          <w:sz w:val="20"/>
          <w:szCs w:val="20"/>
        </w:rPr>
        <w:t>The distance is based</w:t>
      </w:r>
      <w:r w:rsidRPr="007A4448">
        <w:rPr>
          <w:sz w:val="20"/>
          <w:szCs w:val="20"/>
        </w:rPr>
        <w:t xml:space="preserve"> on the shortest </w:t>
      </w:r>
      <w:r>
        <w:rPr>
          <w:sz w:val="20"/>
          <w:szCs w:val="20"/>
        </w:rPr>
        <w:t>route</w:t>
      </w:r>
      <w:r w:rsidRPr="007A4448">
        <w:rPr>
          <w:sz w:val="20"/>
          <w:szCs w:val="20"/>
        </w:rPr>
        <w:t xml:space="preserve"> with </w:t>
      </w:r>
      <w:r>
        <w:rPr>
          <w:sz w:val="20"/>
          <w:szCs w:val="20"/>
        </w:rPr>
        <w:t xml:space="preserve">the 2010 </w:t>
      </w:r>
      <w:r w:rsidRPr="007A4448">
        <w:rPr>
          <w:sz w:val="20"/>
          <w:szCs w:val="20"/>
        </w:rPr>
        <w:t>Federal, State and Municipal roads infrastructure (for S</w:t>
      </w:r>
      <w:r>
        <w:rPr>
          <w:sz w:val="20"/>
          <w:szCs w:val="20"/>
        </w:rPr>
        <w:t>ã</w:t>
      </w:r>
      <w:r w:rsidRPr="007A4448">
        <w:rPr>
          <w:sz w:val="20"/>
          <w:szCs w:val="20"/>
        </w:rPr>
        <w:t xml:space="preserve">o Paulo state </w:t>
      </w:r>
      <w:r>
        <w:rPr>
          <w:sz w:val="20"/>
          <w:szCs w:val="20"/>
        </w:rPr>
        <w:t xml:space="preserve">itself </w:t>
      </w:r>
      <w:r w:rsidRPr="007A4448">
        <w:rPr>
          <w:sz w:val="20"/>
          <w:szCs w:val="20"/>
        </w:rPr>
        <w:t xml:space="preserve">distance is </w:t>
      </w:r>
      <w:r>
        <w:rPr>
          <w:sz w:val="20"/>
          <w:szCs w:val="20"/>
        </w:rPr>
        <w:t>set equal to 1 km</w:t>
      </w:r>
      <w:r w:rsidRPr="007A4448">
        <w:rPr>
          <w:sz w:val="20"/>
          <w:szCs w:val="20"/>
        </w:rPr>
        <w:t xml:space="preserve">). </w:t>
      </w:r>
      <w:r w:rsidRPr="007A4448">
        <w:rPr>
          <w:sz w:val="20"/>
          <w:szCs w:val="20"/>
          <w:lang w:val="en-US"/>
        </w:rPr>
        <w:t xml:space="preserve">We are assuming that the infrastructure </w:t>
      </w:r>
      <w:r>
        <w:rPr>
          <w:sz w:val="20"/>
          <w:szCs w:val="20"/>
          <w:lang w:val="en-US"/>
        </w:rPr>
        <w:t>was similar</w:t>
      </w:r>
      <w:r w:rsidRPr="007A4448">
        <w:rPr>
          <w:sz w:val="20"/>
          <w:szCs w:val="20"/>
          <w:lang w:val="en-US"/>
        </w:rPr>
        <w:t xml:space="preserve"> at the beginning of the </w:t>
      </w:r>
      <w:r>
        <w:rPr>
          <w:sz w:val="20"/>
          <w:szCs w:val="20"/>
          <w:lang w:val="en-US"/>
        </w:rPr>
        <w:t>period considered compared with the end</w:t>
      </w:r>
      <w:r w:rsidRPr="007A4448">
        <w:rPr>
          <w:sz w:val="20"/>
          <w:szCs w:val="20"/>
          <w:lang w:val="en-US"/>
        </w:rPr>
        <w:t xml:space="preserve">. </w:t>
      </w:r>
      <w:r>
        <w:rPr>
          <w:sz w:val="20"/>
          <w:szCs w:val="20"/>
          <w:lang w:val="en-US"/>
        </w:rPr>
        <w:t>This assumption is important especially for annual models because these models deal with a long period in which Brazil moved through a process</w:t>
      </w:r>
      <w:r w:rsidRPr="0054657F">
        <w:rPr>
          <w:sz w:val="20"/>
          <w:szCs w:val="20"/>
          <w:lang w:val="en-US"/>
        </w:rPr>
        <w:t xml:space="preserve"> </w:t>
      </w:r>
      <w:r>
        <w:rPr>
          <w:sz w:val="20"/>
          <w:szCs w:val="20"/>
          <w:lang w:val="en-US"/>
        </w:rPr>
        <w:t>of long-run development.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CC538F"/>
    <w:multiLevelType w:val="hybridMultilevel"/>
    <w:tmpl w:val="9140C29E"/>
    <w:lvl w:ilvl="0" w:tplc="43B86456">
      <w:start w:val="1"/>
      <w:numFmt w:val="lowerRoman"/>
      <w:lvlText w:val="%1)"/>
      <w:lvlJc w:val="left"/>
      <w:pPr>
        <w:ind w:left="1080" w:hanging="72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
    <w:nsid w:val="1ABD0D6F"/>
    <w:multiLevelType w:val="hybridMultilevel"/>
    <w:tmpl w:val="1A4EA07C"/>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
    <w:nsid w:val="1CCF7991"/>
    <w:multiLevelType w:val="hybridMultilevel"/>
    <w:tmpl w:val="5D3EAF32"/>
    <w:lvl w:ilvl="0" w:tplc="041E447A">
      <w:start w:val="1"/>
      <w:numFmt w:val="lowerLetter"/>
      <w:lvlText w:val="%1)"/>
      <w:lvlJc w:val="left"/>
      <w:pPr>
        <w:ind w:left="1080" w:hanging="360"/>
      </w:pPr>
      <w:rPr>
        <w:rFonts w:hint="default"/>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3">
    <w:nsid w:val="25172432"/>
    <w:multiLevelType w:val="hybridMultilevel"/>
    <w:tmpl w:val="08D2D586"/>
    <w:lvl w:ilvl="0" w:tplc="83000CC4">
      <w:start w:val="1"/>
      <w:numFmt w:val="lowerRoman"/>
      <w:lvlText w:val="%1)"/>
      <w:lvlJc w:val="left"/>
      <w:pPr>
        <w:ind w:left="1800" w:hanging="720"/>
      </w:pPr>
      <w:rPr>
        <w:rFonts w:hint="default"/>
      </w:rPr>
    </w:lvl>
    <w:lvl w:ilvl="1" w:tplc="14090019" w:tentative="1">
      <w:start w:val="1"/>
      <w:numFmt w:val="lowerLetter"/>
      <w:lvlText w:val="%2."/>
      <w:lvlJc w:val="left"/>
      <w:pPr>
        <w:ind w:left="2160" w:hanging="360"/>
      </w:pPr>
    </w:lvl>
    <w:lvl w:ilvl="2" w:tplc="1409001B" w:tentative="1">
      <w:start w:val="1"/>
      <w:numFmt w:val="lowerRoman"/>
      <w:lvlText w:val="%3."/>
      <w:lvlJc w:val="right"/>
      <w:pPr>
        <w:ind w:left="2880" w:hanging="180"/>
      </w:pPr>
    </w:lvl>
    <w:lvl w:ilvl="3" w:tplc="1409000F" w:tentative="1">
      <w:start w:val="1"/>
      <w:numFmt w:val="decimal"/>
      <w:lvlText w:val="%4."/>
      <w:lvlJc w:val="left"/>
      <w:pPr>
        <w:ind w:left="3600" w:hanging="360"/>
      </w:pPr>
    </w:lvl>
    <w:lvl w:ilvl="4" w:tplc="14090019" w:tentative="1">
      <w:start w:val="1"/>
      <w:numFmt w:val="lowerLetter"/>
      <w:lvlText w:val="%5."/>
      <w:lvlJc w:val="left"/>
      <w:pPr>
        <w:ind w:left="4320" w:hanging="360"/>
      </w:pPr>
    </w:lvl>
    <w:lvl w:ilvl="5" w:tplc="1409001B" w:tentative="1">
      <w:start w:val="1"/>
      <w:numFmt w:val="lowerRoman"/>
      <w:lvlText w:val="%6."/>
      <w:lvlJc w:val="right"/>
      <w:pPr>
        <w:ind w:left="5040" w:hanging="180"/>
      </w:pPr>
    </w:lvl>
    <w:lvl w:ilvl="6" w:tplc="1409000F" w:tentative="1">
      <w:start w:val="1"/>
      <w:numFmt w:val="decimal"/>
      <w:lvlText w:val="%7."/>
      <w:lvlJc w:val="left"/>
      <w:pPr>
        <w:ind w:left="5760" w:hanging="360"/>
      </w:pPr>
    </w:lvl>
    <w:lvl w:ilvl="7" w:tplc="14090019" w:tentative="1">
      <w:start w:val="1"/>
      <w:numFmt w:val="lowerLetter"/>
      <w:lvlText w:val="%8."/>
      <w:lvlJc w:val="left"/>
      <w:pPr>
        <w:ind w:left="6480" w:hanging="360"/>
      </w:pPr>
    </w:lvl>
    <w:lvl w:ilvl="8" w:tplc="1409001B" w:tentative="1">
      <w:start w:val="1"/>
      <w:numFmt w:val="lowerRoman"/>
      <w:lvlText w:val="%9."/>
      <w:lvlJc w:val="right"/>
      <w:pPr>
        <w:ind w:left="7200" w:hanging="180"/>
      </w:pPr>
    </w:lvl>
  </w:abstractNum>
  <w:abstractNum w:abstractNumId="4">
    <w:nsid w:val="283D6D26"/>
    <w:multiLevelType w:val="multilevel"/>
    <w:tmpl w:val="52FA9288"/>
    <w:lvl w:ilvl="0">
      <w:start w:val="1"/>
      <w:numFmt w:val="decimal"/>
      <w:lvlText w:val="%1."/>
      <w:lvlJc w:val="left"/>
      <w:pPr>
        <w:ind w:left="72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nsid w:val="284478DD"/>
    <w:multiLevelType w:val="hybridMultilevel"/>
    <w:tmpl w:val="292CF36E"/>
    <w:lvl w:ilvl="0" w:tplc="14090017">
      <w:start w:val="9"/>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6">
    <w:nsid w:val="29F00612"/>
    <w:multiLevelType w:val="hybridMultilevel"/>
    <w:tmpl w:val="A9000E72"/>
    <w:lvl w:ilvl="0" w:tplc="86341414">
      <w:start w:val="5"/>
      <w:numFmt w:val="decimal"/>
      <w:lvlText w:val="%1."/>
      <w:lvlJc w:val="left"/>
      <w:pPr>
        <w:ind w:left="1500" w:hanging="360"/>
      </w:pPr>
      <w:rPr>
        <w:rFonts w:hint="default"/>
        <w:b/>
        <w:bCs/>
      </w:rPr>
    </w:lvl>
    <w:lvl w:ilvl="1" w:tplc="14090019" w:tentative="1">
      <w:start w:val="1"/>
      <w:numFmt w:val="lowerLetter"/>
      <w:lvlText w:val="%2."/>
      <w:lvlJc w:val="left"/>
      <w:pPr>
        <w:ind w:left="2220" w:hanging="360"/>
      </w:pPr>
    </w:lvl>
    <w:lvl w:ilvl="2" w:tplc="1409001B" w:tentative="1">
      <w:start w:val="1"/>
      <w:numFmt w:val="lowerRoman"/>
      <w:lvlText w:val="%3."/>
      <w:lvlJc w:val="right"/>
      <w:pPr>
        <w:ind w:left="2940" w:hanging="180"/>
      </w:pPr>
    </w:lvl>
    <w:lvl w:ilvl="3" w:tplc="1409000F" w:tentative="1">
      <w:start w:val="1"/>
      <w:numFmt w:val="decimal"/>
      <w:lvlText w:val="%4."/>
      <w:lvlJc w:val="left"/>
      <w:pPr>
        <w:ind w:left="3660" w:hanging="360"/>
      </w:pPr>
    </w:lvl>
    <w:lvl w:ilvl="4" w:tplc="14090019" w:tentative="1">
      <w:start w:val="1"/>
      <w:numFmt w:val="lowerLetter"/>
      <w:lvlText w:val="%5."/>
      <w:lvlJc w:val="left"/>
      <w:pPr>
        <w:ind w:left="4380" w:hanging="360"/>
      </w:pPr>
    </w:lvl>
    <w:lvl w:ilvl="5" w:tplc="1409001B" w:tentative="1">
      <w:start w:val="1"/>
      <w:numFmt w:val="lowerRoman"/>
      <w:lvlText w:val="%6."/>
      <w:lvlJc w:val="right"/>
      <w:pPr>
        <w:ind w:left="5100" w:hanging="180"/>
      </w:pPr>
    </w:lvl>
    <w:lvl w:ilvl="6" w:tplc="1409000F" w:tentative="1">
      <w:start w:val="1"/>
      <w:numFmt w:val="decimal"/>
      <w:lvlText w:val="%7."/>
      <w:lvlJc w:val="left"/>
      <w:pPr>
        <w:ind w:left="5820" w:hanging="360"/>
      </w:pPr>
    </w:lvl>
    <w:lvl w:ilvl="7" w:tplc="14090019" w:tentative="1">
      <w:start w:val="1"/>
      <w:numFmt w:val="lowerLetter"/>
      <w:lvlText w:val="%8."/>
      <w:lvlJc w:val="left"/>
      <w:pPr>
        <w:ind w:left="6540" w:hanging="360"/>
      </w:pPr>
    </w:lvl>
    <w:lvl w:ilvl="8" w:tplc="1409001B" w:tentative="1">
      <w:start w:val="1"/>
      <w:numFmt w:val="lowerRoman"/>
      <w:lvlText w:val="%9."/>
      <w:lvlJc w:val="right"/>
      <w:pPr>
        <w:ind w:left="7260" w:hanging="180"/>
      </w:pPr>
    </w:lvl>
  </w:abstractNum>
  <w:abstractNum w:abstractNumId="7">
    <w:nsid w:val="2AA23243"/>
    <w:multiLevelType w:val="hybridMultilevel"/>
    <w:tmpl w:val="6644B10C"/>
    <w:lvl w:ilvl="0" w:tplc="91726FDA">
      <w:start w:val="1"/>
      <w:numFmt w:val="lowerRoman"/>
      <w:lvlText w:val="%1)"/>
      <w:lvlJc w:val="left"/>
      <w:pPr>
        <w:ind w:left="1080" w:hanging="72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8">
    <w:nsid w:val="30560F86"/>
    <w:multiLevelType w:val="multilevel"/>
    <w:tmpl w:val="7906699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
    <w:nsid w:val="32CB585D"/>
    <w:multiLevelType w:val="hybridMultilevel"/>
    <w:tmpl w:val="9D6489D2"/>
    <w:lvl w:ilvl="0" w:tplc="637ABCFC">
      <w:start w:val="1"/>
      <w:numFmt w:val="lowerRoman"/>
      <w:lvlText w:val="%1)"/>
      <w:lvlJc w:val="left"/>
      <w:pPr>
        <w:ind w:left="1080" w:hanging="72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0">
    <w:nsid w:val="335212E4"/>
    <w:multiLevelType w:val="multilevel"/>
    <w:tmpl w:val="474EC840"/>
    <w:lvl w:ilvl="0">
      <w:start w:val="5"/>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nsid w:val="36DD6D0B"/>
    <w:multiLevelType w:val="hybridMultilevel"/>
    <w:tmpl w:val="AB7AFB8C"/>
    <w:lvl w:ilvl="0" w:tplc="58D2F528">
      <w:start w:val="2"/>
      <w:numFmt w:val="lowerRoman"/>
      <w:lvlText w:val="%1)"/>
      <w:lvlJc w:val="left"/>
      <w:pPr>
        <w:ind w:left="1080" w:hanging="72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2">
    <w:nsid w:val="3D9A0F33"/>
    <w:multiLevelType w:val="multilevel"/>
    <w:tmpl w:val="0F0823D8"/>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40EF4C65"/>
    <w:multiLevelType w:val="hybridMultilevel"/>
    <w:tmpl w:val="BBF0887A"/>
    <w:lvl w:ilvl="0" w:tplc="23E2FCD6">
      <w:start w:val="1"/>
      <w:numFmt w:val="decimal"/>
      <w:lvlText w:val="%1."/>
      <w:lvlJc w:val="left"/>
      <w:pPr>
        <w:ind w:left="786" w:hanging="360"/>
      </w:pPr>
      <w:rPr>
        <w:rFonts w:hint="default"/>
        <w:b/>
        <w:bCs/>
      </w:rPr>
    </w:lvl>
    <w:lvl w:ilvl="1" w:tplc="14090019" w:tentative="1">
      <w:start w:val="1"/>
      <w:numFmt w:val="lowerLetter"/>
      <w:lvlText w:val="%2."/>
      <w:lvlJc w:val="left"/>
      <w:pPr>
        <w:ind w:left="1506" w:hanging="360"/>
      </w:pPr>
    </w:lvl>
    <w:lvl w:ilvl="2" w:tplc="1409001B" w:tentative="1">
      <w:start w:val="1"/>
      <w:numFmt w:val="lowerRoman"/>
      <w:lvlText w:val="%3."/>
      <w:lvlJc w:val="right"/>
      <w:pPr>
        <w:ind w:left="2226" w:hanging="180"/>
      </w:pPr>
    </w:lvl>
    <w:lvl w:ilvl="3" w:tplc="1409000F" w:tentative="1">
      <w:start w:val="1"/>
      <w:numFmt w:val="decimal"/>
      <w:lvlText w:val="%4."/>
      <w:lvlJc w:val="left"/>
      <w:pPr>
        <w:ind w:left="2946" w:hanging="360"/>
      </w:pPr>
    </w:lvl>
    <w:lvl w:ilvl="4" w:tplc="14090019" w:tentative="1">
      <w:start w:val="1"/>
      <w:numFmt w:val="lowerLetter"/>
      <w:lvlText w:val="%5."/>
      <w:lvlJc w:val="left"/>
      <w:pPr>
        <w:ind w:left="3666" w:hanging="360"/>
      </w:pPr>
    </w:lvl>
    <w:lvl w:ilvl="5" w:tplc="1409001B" w:tentative="1">
      <w:start w:val="1"/>
      <w:numFmt w:val="lowerRoman"/>
      <w:lvlText w:val="%6."/>
      <w:lvlJc w:val="right"/>
      <w:pPr>
        <w:ind w:left="4386" w:hanging="180"/>
      </w:pPr>
    </w:lvl>
    <w:lvl w:ilvl="6" w:tplc="1409000F" w:tentative="1">
      <w:start w:val="1"/>
      <w:numFmt w:val="decimal"/>
      <w:lvlText w:val="%7."/>
      <w:lvlJc w:val="left"/>
      <w:pPr>
        <w:ind w:left="5106" w:hanging="360"/>
      </w:pPr>
    </w:lvl>
    <w:lvl w:ilvl="7" w:tplc="14090019" w:tentative="1">
      <w:start w:val="1"/>
      <w:numFmt w:val="lowerLetter"/>
      <w:lvlText w:val="%8."/>
      <w:lvlJc w:val="left"/>
      <w:pPr>
        <w:ind w:left="5826" w:hanging="360"/>
      </w:pPr>
    </w:lvl>
    <w:lvl w:ilvl="8" w:tplc="1409001B" w:tentative="1">
      <w:start w:val="1"/>
      <w:numFmt w:val="lowerRoman"/>
      <w:lvlText w:val="%9."/>
      <w:lvlJc w:val="right"/>
      <w:pPr>
        <w:ind w:left="6546" w:hanging="180"/>
      </w:pPr>
    </w:lvl>
  </w:abstractNum>
  <w:abstractNum w:abstractNumId="14">
    <w:nsid w:val="46735AB1"/>
    <w:multiLevelType w:val="hybridMultilevel"/>
    <w:tmpl w:val="07767B38"/>
    <w:lvl w:ilvl="0" w:tplc="AA1A1CCC">
      <w:start w:val="1"/>
      <w:numFmt w:val="lowerRoman"/>
      <w:lvlText w:val="%1)"/>
      <w:lvlJc w:val="left"/>
      <w:pPr>
        <w:ind w:left="2520" w:hanging="720"/>
      </w:pPr>
      <w:rPr>
        <w:rFonts w:hint="default"/>
      </w:rPr>
    </w:lvl>
    <w:lvl w:ilvl="1" w:tplc="14090019" w:tentative="1">
      <w:start w:val="1"/>
      <w:numFmt w:val="lowerLetter"/>
      <w:lvlText w:val="%2."/>
      <w:lvlJc w:val="left"/>
      <w:pPr>
        <w:ind w:left="2880" w:hanging="360"/>
      </w:pPr>
    </w:lvl>
    <w:lvl w:ilvl="2" w:tplc="1409001B" w:tentative="1">
      <w:start w:val="1"/>
      <w:numFmt w:val="lowerRoman"/>
      <w:lvlText w:val="%3."/>
      <w:lvlJc w:val="right"/>
      <w:pPr>
        <w:ind w:left="3600" w:hanging="180"/>
      </w:pPr>
    </w:lvl>
    <w:lvl w:ilvl="3" w:tplc="1409000F" w:tentative="1">
      <w:start w:val="1"/>
      <w:numFmt w:val="decimal"/>
      <w:lvlText w:val="%4."/>
      <w:lvlJc w:val="left"/>
      <w:pPr>
        <w:ind w:left="4320" w:hanging="360"/>
      </w:pPr>
    </w:lvl>
    <w:lvl w:ilvl="4" w:tplc="14090019" w:tentative="1">
      <w:start w:val="1"/>
      <w:numFmt w:val="lowerLetter"/>
      <w:lvlText w:val="%5."/>
      <w:lvlJc w:val="left"/>
      <w:pPr>
        <w:ind w:left="5040" w:hanging="360"/>
      </w:pPr>
    </w:lvl>
    <w:lvl w:ilvl="5" w:tplc="1409001B" w:tentative="1">
      <w:start w:val="1"/>
      <w:numFmt w:val="lowerRoman"/>
      <w:lvlText w:val="%6."/>
      <w:lvlJc w:val="right"/>
      <w:pPr>
        <w:ind w:left="5760" w:hanging="180"/>
      </w:pPr>
    </w:lvl>
    <w:lvl w:ilvl="6" w:tplc="1409000F" w:tentative="1">
      <w:start w:val="1"/>
      <w:numFmt w:val="decimal"/>
      <w:lvlText w:val="%7."/>
      <w:lvlJc w:val="left"/>
      <w:pPr>
        <w:ind w:left="6480" w:hanging="360"/>
      </w:pPr>
    </w:lvl>
    <w:lvl w:ilvl="7" w:tplc="14090019" w:tentative="1">
      <w:start w:val="1"/>
      <w:numFmt w:val="lowerLetter"/>
      <w:lvlText w:val="%8."/>
      <w:lvlJc w:val="left"/>
      <w:pPr>
        <w:ind w:left="7200" w:hanging="360"/>
      </w:pPr>
    </w:lvl>
    <w:lvl w:ilvl="8" w:tplc="1409001B" w:tentative="1">
      <w:start w:val="1"/>
      <w:numFmt w:val="lowerRoman"/>
      <w:lvlText w:val="%9."/>
      <w:lvlJc w:val="right"/>
      <w:pPr>
        <w:ind w:left="7920" w:hanging="180"/>
      </w:pPr>
    </w:lvl>
  </w:abstractNum>
  <w:abstractNum w:abstractNumId="15">
    <w:nsid w:val="46CD5C83"/>
    <w:multiLevelType w:val="hybridMultilevel"/>
    <w:tmpl w:val="A2040A86"/>
    <w:lvl w:ilvl="0" w:tplc="B62085C0">
      <w:start w:val="1"/>
      <w:numFmt w:val="bullet"/>
      <w:lvlText w:val=""/>
      <w:lvlJc w:val="left"/>
      <w:pPr>
        <w:ind w:left="1440" w:hanging="360"/>
      </w:pPr>
      <w:rPr>
        <w:rFonts w:ascii="Symbol" w:eastAsia="SimSun" w:hAnsi="Symbol" w:cs="Times New Roman"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16">
    <w:nsid w:val="4ACF2D74"/>
    <w:multiLevelType w:val="hybridMultilevel"/>
    <w:tmpl w:val="3A9E4CC0"/>
    <w:lvl w:ilvl="0" w:tplc="617C5E68">
      <w:start w:val="1"/>
      <w:numFmt w:val="lowerRoman"/>
      <w:lvlText w:val="%1)"/>
      <w:lvlJc w:val="left"/>
      <w:pPr>
        <w:ind w:left="720" w:hanging="720"/>
      </w:pPr>
      <w:rPr>
        <w:rFonts w:hint="default"/>
      </w:r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7">
    <w:nsid w:val="4B2F7E04"/>
    <w:multiLevelType w:val="hybridMultilevel"/>
    <w:tmpl w:val="C61823C4"/>
    <w:lvl w:ilvl="0" w:tplc="5C861338">
      <w:start w:val="1"/>
      <w:numFmt w:val="bullet"/>
      <w:lvlText w:val=""/>
      <w:lvlJc w:val="left"/>
      <w:pPr>
        <w:ind w:left="1080" w:hanging="360"/>
      </w:pPr>
      <w:rPr>
        <w:rFonts w:ascii="Symbol" w:eastAsia="SimSun" w:hAnsi="Symbol" w:cs="Times New Roman"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18">
    <w:nsid w:val="536876CB"/>
    <w:multiLevelType w:val="multilevel"/>
    <w:tmpl w:val="FEC2EB24"/>
    <w:lvl w:ilvl="0">
      <w:start w:val="1"/>
      <w:numFmt w:val="decimal"/>
      <w:lvlText w:val="%1."/>
      <w:lvlJc w:val="left"/>
      <w:pPr>
        <w:ind w:left="1080" w:hanging="360"/>
      </w:pPr>
      <w:rPr>
        <w:rFonts w:hint="default"/>
      </w:rPr>
    </w:lvl>
    <w:lvl w:ilvl="1">
      <w:start w:val="3"/>
      <w:numFmt w:val="decimal"/>
      <w:isLgl/>
      <w:lvlText w:val="%1.%2."/>
      <w:lvlJc w:val="left"/>
      <w:pPr>
        <w:ind w:left="1080" w:hanging="360"/>
      </w:pPr>
      <w:rPr>
        <w:rFonts w:ascii="Times New Roman" w:hAnsi="Times New Roman" w:cs="Times New Roman" w:hint="default"/>
        <w:b/>
        <w:color w:val="000000"/>
        <w:sz w:val="24"/>
        <w:szCs w:val="24"/>
      </w:rPr>
    </w:lvl>
    <w:lvl w:ilvl="2">
      <w:start w:val="1"/>
      <w:numFmt w:val="decimal"/>
      <w:isLgl/>
      <w:lvlText w:val="%1.%2.%3."/>
      <w:lvlJc w:val="left"/>
      <w:pPr>
        <w:ind w:left="1440" w:hanging="720"/>
      </w:pPr>
      <w:rPr>
        <w:rFonts w:ascii="Verdana" w:hAnsi="Verdana" w:hint="default"/>
        <w:b w:val="0"/>
        <w:color w:val="000000"/>
        <w:sz w:val="17"/>
      </w:rPr>
    </w:lvl>
    <w:lvl w:ilvl="3">
      <w:start w:val="1"/>
      <w:numFmt w:val="decimal"/>
      <w:isLgl/>
      <w:lvlText w:val="%1.%2.%3.%4."/>
      <w:lvlJc w:val="left"/>
      <w:pPr>
        <w:ind w:left="1440" w:hanging="720"/>
      </w:pPr>
      <w:rPr>
        <w:rFonts w:ascii="Verdana" w:hAnsi="Verdana" w:hint="default"/>
        <w:b w:val="0"/>
        <w:color w:val="000000"/>
        <w:sz w:val="17"/>
      </w:rPr>
    </w:lvl>
    <w:lvl w:ilvl="4">
      <w:start w:val="1"/>
      <w:numFmt w:val="decimal"/>
      <w:isLgl/>
      <w:lvlText w:val="%1.%2.%3.%4.%5."/>
      <w:lvlJc w:val="left"/>
      <w:pPr>
        <w:ind w:left="1800" w:hanging="1080"/>
      </w:pPr>
      <w:rPr>
        <w:rFonts w:ascii="Verdana" w:hAnsi="Verdana" w:hint="default"/>
        <w:b w:val="0"/>
        <w:color w:val="000000"/>
        <w:sz w:val="17"/>
      </w:rPr>
    </w:lvl>
    <w:lvl w:ilvl="5">
      <w:start w:val="1"/>
      <w:numFmt w:val="decimal"/>
      <w:isLgl/>
      <w:lvlText w:val="%1.%2.%3.%4.%5.%6."/>
      <w:lvlJc w:val="left"/>
      <w:pPr>
        <w:ind w:left="1800" w:hanging="1080"/>
      </w:pPr>
      <w:rPr>
        <w:rFonts w:ascii="Verdana" w:hAnsi="Verdana" w:hint="default"/>
        <w:b w:val="0"/>
        <w:color w:val="000000"/>
        <w:sz w:val="17"/>
      </w:rPr>
    </w:lvl>
    <w:lvl w:ilvl="6">
      <w:start w:val="1"/>
      <w:numFmt w:val="decimal"/>
      <w:isLgl/>
      <w:lvlText w:val="%1.%2.%3.%4.%5.%6.%7."/>
      <w:lvlJc w:val="left"/>
      <w:pPr>
        <w:ind w:left="2160" w:hanging="1440"/>
      </w:pPr>
      <w:rPr>
        <w:rFonts w:ascii="Verdana" w:hAnsi="Verdana" w:hint="default"/>
        <w:b w:val="0"/>
        <w:color w:val="000000"/>
        <w:sz w:val="17"/>
      </w:rPr>
    </w:lvl>
    <w:lvl w:ilvl="7">
      <w:start w:val="1"/>
      <w:numFmt w:val="decimal"/>
      <w:isLgl/>
      <w:lvlText w:val="%1.%2.%3.%4.%5.%6.%7.%8."/>
      <w:lvlJc w:val="left"/>
      <w:pPr>
        <w:ind w:left="2160" w:hanging="1440"/>
      </w:pPr>
      <w:rPr>
        <w:rFonts w:ascii="Verdana" w:hAnsi="Verdana" w:hint="default"/>
        <w:b w:val="0"/>
        <w:color w:val="000000"/>
        <w:sz w:val="17"/>
      </w:rPr>
    </w:lvl>
    <w:lvl w:ilvl="8">
      <w:start w:val="1"/>
      <w:numFmt w:val="decimal"/>
      <w:isLgl/>
      <w:lvlText w:val="%1.%2.%3.%4.%5.%6.%7.%8.%9."/>
      <w:lvlJc w:val="left"/>
      <w:pPr>
        <w:ind w:left="2520" w:hanging="1800"/>
      </w:pPr>
      <w:rPr>
        <w:rFonts w:ascii="Verdana" w:hAnsi="Verdana" w:hint="default"/>
        <w:b w:val="0"/>
        <w:color w:val="000000"/>
        <w:sz w:val="17"/>
      </w:rPr>
    </w:lvl>
  </w:abstractNum>
  <w:abstractNum w:abstractNumId="19">
    <w:nsid w:val="54714D0C"/>
    <w:multiLevelType w:val="hybridMultilevel"/>
    <w:tmpl w:val="899E0C1E"/>
    <w:lvl w:ilvl="0" w:tplc="14090017">
      <w:start w:val="9"/>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0">
    <w:nsid w:val="558048A5"/>
    <w:multiLevelType w:val="hybridMultilevel"/>
    <w:tmpl w:val="BEC8AA24"/>
    <w:lvl w:ilvl="0" w:tplc="14090017">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1">
    <w:nsid w:val="5D526F85"/>
    <w:multiLevelType w:val="multilevel"/>
    <w:tmpl w:val="A2B8F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D6E1495"/>
    <w:multiLevelType w:val="hybridMultilevel"/>
    <w:tmpl w:val="5C047360"/>
    <w:lvl w:ilvl="0" w:tplc="5B0C45CE">
      <w:start w:val="1"/>
      <w:numFmt w:val="lowerRoman"/>
      <w:lvlText w:val="%1)"/>
      <w:lvlJc w:val="left"/>
      <w:pPr>
        <w:ind w:left="1080" w:hanging="720"/>
      </w:pPr>
      <w:rPr>
        <w:rFonts w:hint="default"/>
      </w:r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3">
    <w:nsid w:val="5FF44C6B"/>
    <w:multiLevelType w:val="hybridMultilevel"/>
    <w:tmpl w:val="09E85F74"/>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4">
    <w:nsid w:val="62F107F3"/>
    <w:multiLevelType w:val="hybridMultilevel"/>
    <w:tmpl w:val="76340C86"/>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5">
    <w:nsid w:val="6447478B"/>
    <w:multiLevelType w:val="hybridMultilevel"/>
    <w:tmpl w:val="450C2A08"/>
    <w:lvl w:ilvl="0" w:tplc="082A9B16">
      <w:start w:val="1"/>
      <w:numFmt w:val="lowerRoman"/>
      <w:lvlText w:val="%1)"/>
      <w:lvlJc w:val="left"/>
      <w:pPr>
        <w:ind w:left="2520" w:hanging="720"/>
      </w:pPr>
      <w:rPr>
        <w:rFonts w:hint="default"/>
      </w:rPr>
    </w:lvl>
    <w:lvl w:ilvl="1" w:tplc="14090019" w:tentative="1">
      <w:start w:val="1"/>
      <w:numFmt w:val="lowerLetter"/>
      <w:lvlText w:val="%2."/>
      <w:lvlJc w:val="left"/>
      <w:pPr>
        <w:ind w:left="2880" w:hanging="360"/>
      </w:pPr>
    </w:lvl>
    <w:lvl w:ilvl="2" w:tplc="1409001B" w:tentative="1">
      <w:start w:val="1"/>
      <w:numFmt w:val="lowerRoman"/>
      <w:lvlText w:val="%3."/>
      <w:lvlJc w:val="right"/>
      <w:pPr>
        <w:ind w:left="3600" w:hanging="180"/>
      </w:pPr>
    </w:lvl>
    <w:lvl w:ilvl="3" w:tplc="1409000F" w:tentative="1">
      <w:start w:val="1"/>
      <w:numFmt w:val="decimal"/>
      <w:lvlText w:val="%4."/>
      <w:lvlJc w:val="left"/>
      <w:pPr>
        <w:ind w:left="4320" w:hanging="360"/>
      </w:pPr>
    </w:lvl>
    <w:lvl w:ilvl="4" w:tplc="14090019" w:tentative="1">
      <w:start w:val="1"/>
      <w:numFmt w:val="lowerLetter"/>
      <w:lvlText w:val="%5."/>
      <w:lvlJc w:val="left"/>
      <w:pPr>
        <w:ind w:left="5040" w:hanging="360"/>
      </w:pPr>
    </w:lvl>
    <w:lvl w:ilvl="5" w:tplc="1409001B" w:tentative="1">
      <w:start w:val="1"/>
      <w:numFmt w:val="lowerRoman"/>
      <w:lvlText w:val="%6."/>
      <w:lvlJc w:val="right"/>
      <w:pPr>
        <w:ind w:left="5760" w:hanging="180"/>
      </w:pPr>
    </w:lvl>
    <w:lvl w:ilvl="6" w:tplc="1409000F" w:tentative="1">
      <w:start w:val="1"/>
      <w:numFmt w:val="decimal"/>
      <w:lvlText w:val="%7."/>
      <w:lvlJc w:val="left"/>
      <w:pPr>
        <w:ind w:left="6480" w:hanging="360"/>
      </w:pPr>
    </w:lvl>
    <w:lvl w:ilvl="7" w:tplc="14090019" w:tentative="1">
      <w:start w:val="1"/>
      <w:numFmt w:val="lowerLetter"/>
      <w:lvlText w:val="%8."/>
      <w:lvlJc w:val="left"/>
      <w:pPr>
        <w:ind w:left="7200" w:hanging="360"/>
      </w:pPr>
    </w:lvl>
    <w:lvl w:ilvl="8" w:tplc="1409001B" w:tentative="1">
      <w:start w:val="1"/>
      <w:numFmt w:val="lowerRoman"/>
      <w:lvlText w:val="%9."/>
      <w:lvlJc w:val="right"/>
      <w:pPr>
        <w:ind w:left="7920" w:hanging="180"/>
      </w:pPr>
    </w:lvl>
  </w:abstractNum>
  <w:abstractNum w:abstractNumId="26">
    <w:nsid w:val="655E13A6"/>
    <w:multiLevelType w:val="hybridMultilevel"/>
    <w:tmpl w:val="AF20F3F6"/>
    <w:lvl w:ilvl="0" w:tplc="13B8CEE4">
      <w:start w:val="2"/>
      <w:numFmt w:val="lowerRoman"/>
      <w:lvlText w:val="%1)"/>
      <w:lvlJc w:val="left"/>
      <w:pPr>
        <w:ind w:left="1080" w:hanging="72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7">
    <w:nsid w:val="65E540BA"/>
    <w:multiLevelType w:val="hybridMultilevel"/>
    <w:tmpl w:val="5C047360"/>
    <w:lvl w:ilvl="0" w:tplc="5B0C45CE">
      <w:start w:val="1"/>
      <w:numFmt w:val="lowerRoman"/>
      <w:lvlText w:val="%1)"/>
      <w:lvlJc w:val="left"/>
      <w:pPr>
        <w:ind w:left="1080" w:hanging="72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8">
    <w:nsid w:val="66313868"/>
    <w:multiLevelType w:val="hybridMultilevel"/>
    <w:tmpl w:val="8362BBAE"/>
    <w:lvl w:ilvl="0" w:tplc="077EEFF0">
      <w:start w:val="1"/>
      <w:numFmt w:val="lowerRoman"/>
      <w:lvlText w:val="%1)"/>
      <w:lvlJc w:val="left"/>
      <w:pPr>
        <w:ind w:left="1080" w:hanging="72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9">
    <w:nsid w:val="6AE7694A"/>
    <w:multiLevelType w:val="hybridMultilevel"/>
    <w:tmpl w:val="DBEEBE1C"/>
    <w:lvl w:ilvl="0" w:tplc="14090015">
      <w:start w:val="1"/>
      <w:numFmt w:val="upp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0">
    <w:nsid w:val="6C5D6B21"/>
    <w:multiLevelType w:val="hybridMultilevel"/>
    <w:tmpl w:val="D568A4C0"/>
    <w:lvl w:ilvl="0" w:tplc="3EF47472">
      <w:start w:val="1"/>
      <w:numFmt w:val="lowerRoman"/>
      <w:lvlText w:val="%1)"/>
      <w:lvlJc w:val="left"/>
      <w:pPr>
        <w:ind w:left="1080" w:hanging="72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1">
    <w:nsid w:val="6FDC223F"/>
    <w:multiLevelType w:val="multilevel"/>
    <w:tmpl w:val="3B30F9BC"/>
    <w:lvl w:ilvl="0">
      <w:start w:val="6"/>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2">
    <w:nsid w:val="705003EE"/>
    <w:multiLevelType w:val="multilevel"/>
    <w:tmpl w:val="7906699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3">
    <w:nsid w:val="737C2C96"/>
    <w:multiLevelType w:val="multilevel"/>
    <w:tmpl w:val="E3469C08"/>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7A335801"/>
    <w:multiLevelType w:val="hybridMultilevel"/>
    <w:tmpl w:val="5DF03446"/>
    <w:lvl w:ilvl="0" w:tplc="14090017">
      <w:start w:val="9"/>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5">
    <w:nsid w:val="7B0B3A9E"/>
    <w:multiLevelType w:val="hybridMultilevel"/>
    <w:tmpl w:val="5F12991E"/>
    <w:lvl w:ilvl="0" w:tplc="D15440EE">
      <w:start w:val="2"/>
      <w:numFmt w:val="lowerRoman"/>
      <w:lvlText w:val="%1)"/>
      <w:lvlJc w:val="left"/>
      <w:pPr>
        <w:ind w:left="1080" w:hanging="72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6">
    <w:nsid w:val="7B955C76"/>
    <w:multiLevelType w:val="hybridMultilevel"/>
    <w:tmpl w:val="B7A02012"/>
    <w:lvl w:ilvl="0" w:tplc="29CA9280">
      <w:start w:val="1"/>
      <w:numFmt w:val="lowerRoman"/>
      <w:lvlText w:val="%1)"/>
      <w:lvlJc w:val="left"/>
      <w:pPr>
        <w:ind w:left="1080" w:hanging="72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abstractNumId w:val="4"/>
  </w:num>
  <w:num w:numId="2">
    <w:abstractNumId w:val="10"/>
  </w:num>
  <w:num w:numId="3">
    <w:abstractNumId w:val="33"/>
  </w:num>
  <w:num w:numId="4">
    <w:abstractNumId w:val="12"/>
  </w:num>
  <w:num w:numId="5">
    <w:abstractNumId w:val="2"/>
  </w:num>
  <w:num w:numId="6">
    <w:abstractNumId w:val="29"/>
  </w:num>
  <w:num w:numId="7">
    <w:abstractNumId w:val="18"/>
  </w:num>
  <w:num w:numId="8">
    <w:abstractNumId w:val="21"/>
  </w:num>
  <w:num w:numId="9">
    <w:abstractNumId w:val="31"/>
  </w:num>
  <w:num w:numId="10">
    <w:abstractNumId w:val="36"/>
  </w:num>
  <w:num w:numId="11">
    <w:abstractNumId w:val="9"/>
  </w:num>
  <w:num w:numId="12">
    <w:abstractNumId w:val="30"/>
  </w:num>
  <w:num w:numId="13">
    <w:abstractNumId w:val="14"/>
  </w:num>
  <w:num w:numId="14">
    <w:abstractNumId w:val="16"/>
  </w:num>
  <w:num w:numId="15">
    <w:abstractNumId w:val="25"/>
  </w:num>
  <w:num w:numId="16">
    <w:abstractNumId w:val="28"/>
  </w:num>
  <w:num w:numId="17">
    <w:abstractNumId w:val="20"/>
  </w:num>
  <w:num w:numId="18">
    <w:abstractNumId w:val="3"/>
  </w:num>
  <w:num w:numId="19">
    <w:abstractNumId w:val="34"/>
  </w:num>
  <w:num w:numId="20">
    <w:abstractNumId w:val="26"/>
  </w:num>
  <w:num w:numId="21">
    <w:abstractNumId w:val="5"/>
  </w:num>
  <w:num w:numId="22">
    <w:abstractNumId w:val="11"/>
  </w:num>
  <w:num w:numId="23">
    <w:abstractNumId w:val="35"/>
  </w:num>
  <w:num w:numId="24">
    <w:abstractNumId w:val="19"/>
  </w:num>
  <w:num w:numId="25">
    <w:abstractNumId w:val="0"/>
  </w:num>
  <w:num w:numId="26">
    <w:abstractNumId w:val="27"/>
  </w:num>
  <w:num w:numId="27">
    <w:abstractNumId w:val="7"/>
  </w:num>
  <w:num w:numId="28">
    <w:abstractNumId w:val="22"/>
  </w:num>
  <w:num w:numId="29">
    <w:abstractNumId w:val="32"/>
  </w:num>
  <w:num w:numId="30">
    <w:abstractNumId w:val="17"/>
  </w:num>
  <w:num w:numId="31">
    <w:abstractNumId w:val="15"/>
  </w:num>
  <w:num w:numId="32">
    <w:abstractNumId w:val="8"/>
  </w:num>
  <w:num w:numId="33">
    <w:abstractNumId w:val="6"/>
  </w:num>
  <w:num w:numId="34">
    <w:abstractNumId w:val="13"/>
  </w:num>
  <w:num w:numId="35">
    <w:abstractNumId w:val="24"/>
  </w:num>
  <w:num w:numId="36">
    <w:abstractNumId w:val="1"/>
  </w:num>
  <w:num w:numId="37">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embedSystemFonts/>
  <w:proofState w:spelling="clean" w:grammar="clean"/>
  <w:stylePaneFormatFilter w:val="3F01"/>
  <w:defaultTabStop w:val="1134"/>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useFELayout/>
  </w:compat>
  <w:docVars>
    <w:docVar w:name="EN.InstantFormat" w:val="&lt;ENInstantFormat&gt;&lt;Enabled&gt;1&lt;/Enabled&gt;&lt;ScanUnformatted&gt;1&lt;/ScanUnformatted&gt;&lt;ScanChanges&gt;1&lt;/ScanChanges&gt;&lt;/ENInstantFormat&gt;"/>
    <w:docVar w:name="EN.Libraries" w:val="&lt;ENLibraries&gt;&lt;Libraries&gt;&lt;item&gt;Paperthesis1.enl&lt;/item&gt;&lt;/Libraries&gt;&lt;/ENLibraries&gt;"/>
  </w:docVars>
  <w:rsids>
    <w:rsidRoot w:val="0089591C"/>
    <w:rsid w:val="0000355C"/>
    <w:rsid w:val="00005D2B"/>
    <w:rsid w:val="00006141"/>
    <w:rsid w:val="0000614C"/>
    <w:rsid w:val="00006502"/>
    <w:rsid w:val="00006EDB"/>
    <w:rsid w:val="00010615"/>
    <w:rsid w:val="00011849"/>
    <w:rsid w:val="00013075"/>
    <w:rsid w:val="00013F07"/>
    <w:rsid w:val="000147EF"/>
    <w:rsid w:val="00015F81"/>
    <w:rsid w:val="000172BC"/>
    <w:rsid w:val="00020DB0"/>
    <w:rsid w:val="000215CA"/>
    <w:rsid w:val="0002238A"/>
    <w:rsid w:val="00022A8A"/>
    <w:rsid w:val="00024000"/>
    <w:rsid w:val="00025167"/>
    <w:rsid w:val="000252DC"/>
    <w:rsid w:val="000253B9"/>
    <w:rsid w:val="00025F15"/>
    <w:rsid w:val="00026ABE"/>
    <w:rsid w:val="0003025A"/>
    <w:rsid w:val="0003066A"/>
    <w:rsid w:val="000308D6"/>
    <w:rsid w:val="00032DA2"/>
    <w:rsid w:val="0003347B"/>
    <w:rsid w:val="00035EAA"/>
    <w:rsid w:val="00036A93"/>
    <w:rsid w:val="000379EE"/>
    <w:rsid w:val="00037C5C"/>
    <w:rsid w:val="00040BB5"/>
    <w:rsid w:val="00041CAE"/>
    <w:rsid w:val="00041D8C"/>
    <w:rsid w:val="0004206E"/>
    <w:rsid w:val="00043988"/>
    <w:rsid w:val="0004415E"/>
    <w:rsid w:val="00046BED"/>
    <w:rsid w:val="0004733D"/>
    <w:rsid w:val="00050915"/>
    <w:rsid w:val="000509E3"/>
    <w:rsid w:val="00050DE6"/>
    <w:rsid w:val="000518A3"/>
    <w:rsid w:val="00052A71"/>
    <w:rsid w:val="000539B3"/>
    <w:rsid w:val="00056442"/>
    <w:rsid w:val="00060615"/>
    <w:rsid w:val="000610E4"/>
    <w:rsid w:val="000615AF"/>
    <w:rsid w:val="0006163A"/>
    <w:rsid w:val="000616B4"/>
    <w:rsid w:val="00063C89"/>
    <w:rsid w:val="00063DD9"/>
    <w:rsid w:val="000656E6"/>
    <w:rsid w:val="00066BE1"/>
    <w:rsid w:val="00066C3A"/>
    <w:rsid w:val="00066CF5"/>
    <w:rsid w:val="000678A4"/>
    <w:rsid w:val="00067D89"/>
    <w:rsid w:val="000711A3"/>
    <w:rsid w:val="0007258E"/>
    <w:rsid w:val="00073575"/>
    <w:rsid w:val="000744C9"/>
    <w:rsid w:val="00074689"/>
    <w:rsid w:val="000748AF"/>
    <w:rsid w:val="00075016"/>
    <w:rsid w:val="00076F8C"/>
    <w:rsid w:val="00080755"/>
    <w:rsid w:val="000817A2"/>
    <w:rsid w:val="00082493"/>
    <w:rsid w:val="00084B5B"/>
    <w:rsid w:val="00085BAF"/>
    <w:rsid w:val="00085C35"/>
    <w:rsid w:val="0008675E"/>
    <w:rsid w:val="000872BE"/>
    <w:rsid w:val="00090A3A"/>
    <w:rsid w:val="00090BE0"/>
    <w:rsid w:val="00091579"/>
    <w:rsid w:val="0009229D"/>
    <w:rsid w:val="000930A1"/>
    <w:rsid w:val="000937A3"/>
    <w:rsid w:val="000954AD"/>
    <w:rsid w:val="00095F49"/>
    <w:rsid w:val="0009687D"/>
    <w:rsid w:val="00097918"/>
    <w:rsid w:val="00097A45"/>
    <w:rsid w:val="00097B9D"/>
    <w:rsid w:val="00097F01"/>
    <w:rsid w:val="000A023D"/>
    <w:rsid w:val="000A0D05"/>
    <w:rsid w:val="000A14D7"/>
    <w:rsid w:val="000A2EFA"/>
    <w:rsid w:val="000A3BE9"/>
    <w:rsid w:val="000A47DE"/>
    <w:rsid w:val="000A63F0"/>
    <w:rsid w:val="000A63FA"/>
    <w:rsid w:val="000A660D"/>
    <w:rsid w:val="000A6F11"/>
    <w:rsid w:val="000A7D00"/>
    <w:rsid w:val="000B0394"/>
    <w:rsid w:val="000B04A3"/>
    <w:rsid w:val="000B31A3"/>
    <w:rsid w:val="000B429B"/>
    <w:rsid w:val="000B4D2A"/>
    <w:rsid w:val="000B4D7F"/>
    <w:rsid w:val="000B581E"/>
    <w:rsid w:val="000B68D4"/>
    <w:rsid w:val="000B6E20"/>
    <w:rsid w:val="000B7CA2"/>
    <w:rsid w:val="000B7CCC"/>
    <w:rsid w:val="000C0101"/>
    <w:rsid w:val="000C0255"/>
    <w:rsid w:val="000C0CBF"/>
    <w:rsid w:val="000C2037"/>
    <w:rsid w:val="000D0E27"/>
    <w:rsid w:val="000D2619"/>
    <w:rsid w:val="000D39A8"/>
    <w:rsid w:val="000D4AA9"/>
    <w:rsid w:val="000D4EAB"/>
    <w:rsid w:val="000D729D"/>
    <w:rsid w:val="000D7460"/>
    <w:rsid w:val="000E09C2"/>
    <w:rsid w:val="000E14C2"/>
    <w:rsid w:val="000E1CC8"/>
    <w:rsid w:val="000E2469"/>
    <w:rsid w:val="000E3071"/>
    <w:rsid w:val="000E3951"/>
    <w:rsid w:val="000E3D47"/>
    <w:rsid w:val="000E5223"/>
    <w:rsid w:val="000E5AEC"/>
    <w:rsid w:val="000E69E3"/>
    <w:rsid w:val="000F0A0D"/>
    <w:rsid w:val="000F3EA3"/>
    <w:rsid w:val="000F472D"/>
    <w:rsid w:val="000F51BB"/>
    <w:rsid w:val="000F5B95"/>
    <w:rsid w:val="00100D74"/>
    <w:rsid w:val="001026A7"/>
    <w:rsid w:val="00102BFF"/>
    <w:rsid w:val="00102D62"/>
    <w:rsid w:val="00104995"/>
    <w:rsid w:val="00106196"/>
    <w:rsid w:val="0010759E"/>
    <w:rsid w:val="00110DFF"/>
    <w:rsid w:val="00111872"/>
    <w:rsid w:val="00111A14"/>
    <w:rsid w:val="00112481"/>
    <w:rsid w:val="00112CA9"/>
    <w:rsid w:val="0011357E"/>
    <w:rsid w:val="00115033"/>
    <w:rsid w:val="00115DD9"/>
    <w:rsid w:val="001177E2"/>
    <w:rsid w:val="00117C87"/>
    <w:rsid w:val="00120B1E"/>
    <w:rsid w:val="0012170F"/>
    <w:rsid w:val="00121F80"/>
    <w:rsid w:val="00122245"/>
    <w:rsid w:val="001242F4"/>
    <w:rsid w:val="001256E7"/>
    <w:rsid w:val="00125F22"/>
    <w:rsid w:val="001270F6"/>
    <w:rsid w:val="00127A32"/>
    <w:rsid w:val="00131A84"/>
    <w:rsid w:val="001325D7"/>
    <w:rsid w:val="00133475"/>
    <w:rsid w:val="001335F6"/>
    <w:rsid w:val="00136A75"/>
    <w:rsid w:val="00137336"/>
    <w:rsid w:val="001423B7"/>
    <w:rsid w:val="0014330E"/>
    <w:rsid w:val="00143871"/>
    <w:rsid w:val="00143981"/>
    <w:rsid w:val="00144511"/>
    <w:rsid w:val="00144743"/>
    <w:rsid w:val="00145830"/>
    <w:rsid w:val="00147087"/>
    <w:rsid w:val="001474B0"/>
    <w:rsid w:val="00150EF3"/>
    <w:rsid w:val="00150FBD"/>
    <w:rsid w:val="001528E4"/>
    <w:rsid w:val="001539D8"/>
    <w:rsid w:val="001549DE"/>
    <w:rsid w:val="00155162"/>
    <w:rsid w:val="00155470"/>
    <w:rsid w:val="00156D0B"/>
    <w:rsid w:val="00160104"/>
    <w:rsid w:val="001616E7"/>
    <w:rsid w:val="00162124"/>
    <w:rsid w:val="00164F58"/>
    <w:rsid w:val="0016538D"/>
    <w:rsid w:val="00165C53"/>
    <w:rsid w:val="00166FCE"/>
    <w:rsid w:val="00170A81"/>
    <w:rsid w:val="00170F1D"/>
    <w:rsid w:val="001717BD"/>
    <w:rsid w:val="00172361"/>
    <w:rsid w:val="001727CB"/>
    <w:rsid w:val="00172AE0"/>
    <w:rsid w:val="0017474F"/>
    <w:rsid w:val="00175753"/>
    <w:rsid w:val="001801DF"/>
    <w:rsid w:val="00180C3D"/>
    <w:rsid w:val="001815D3"/>
    <w:rsid w:val="001829BB"/>
    <w:rsid w:val="00182E20"/>
    <w:rsid w:val="001834D1"/>
    <w:rsid w:val="001839E4"/>
    <w:rsid w:val="001858E4"/>
    <w:rsid w:val="00185CE4"/>
    <w:rsid w:val="001861E6"/>
    <w:rsid w:val="00186D95"/>
    <w:rsid w:val="00186E7E"/>
    <w:rsid w:val="001872E5"/>
    <w:rsid w:val="00191195"/>
    <w:rsid w:val="00191358"/>
    <w:rsid w:val="00191EFD"/>
    <w:rsid w:val="00192095"/>
    <w:rsid w:val="00193DAA"/>
    <w:rsid w:val="0019446B"/>
    <w:rsid w:val="001953A7"/>
    <w:rsid w:val="00196BC3"/>
    <w:rsid w:val="0019718F"/>
    <w:rsid w:val="001977EE"/>
    <w:rsid w:val="001A1042"/>
    <w:rsid w:val="001A4A56"/>
    <w:rsid w:val="001A4C69"/>
    <w:rsid w:val="001A5C50"/>
    <w:rsid w:val="001B00DF"/>
    <w:rsid w:val="001B0A3B"/>
    <w:rsid w:val="001B0FD8"/>
    <w:rsid w:val="001B2EC9"/>
    <w:rsid w:val="001B394D"/>
    <w:rsid w:val="001B493F"/>
    <w:rsid w:val="001B5D53"/>
    <w:rsid w:val="001B7A97"/>
    <w:rsid w:val="001B7DBD"/>
    <w:rsid w:val="001C0228"/>
    <w:rsid w:val="001C1695"/>
    <w:rsid w:val="001C1809"/>
    <w:rsid w:val="001C184C"/>
    <w:rsid w:val="001C4729"/>
    <w:rsid w:val="001C4D65"/>
    <w:rsid w:val="001C54EB"/>
    <w:rsid w:val="001C5BEC"/>
    <w:rsid w:val="001C6220"/>
    <w:rsid w:val="001C62EB"/>
    <w:rsid w:val="001C78C4"/>
    <w:rsid w:val="001D1128"/>
    <w:rsid w:val="001D30B5"/>
    <w:rsid w:val="001D4CE6"/>
    <w:rsid w:val="001D5C3F"/>
    <w:rsid w:val="001D60EC"/>
    <w:rsid w:val="001D7EC0"/>
    <w:rsid w:val="001E1629"/>
    <w:rsid w:val="001E1953"/>
    <w:rsid w:val="001E3D13"/>
    <w:rsid w:val="001E70C4"/>
    <w:rsid w:val="001E7A83"/>
    <w:rsid w:val="001F1AA0"/>
    <w:rsid w:val="001F3C44"/>
    <w:rsid w:val="001F3FE3"/>
    <w:rsid w:val="001F491F"/>
    <w:rsid w:val="001F4EA8"/>
    <w:rsid w:val="001F580E"/>
    <w:rsid w:val="001F629D"/>
    <w:rsid w:val="001F6431"/>
    <w:rsid w:val="001F6623"/>
    <w:rsid w:val="0020080E"/>
    <w:rsid w:val="00202489"/>
    <w:rsid w:val="00202777"/>
    <w:rsid w:val="00202ED4"/>
    <w:rsid w:val="002050AB"/>
    <w:rsid w:val="00205FC4"/>
    <w:rsid w:val="002073BA"/>
    <w:rsid w:val="00207EFD"/>
    <w:rsid w:val="00210CE7"/>
    <w:rsid w:val="002111DC"/>
    <w:rsid w:val="0021123F"/>
    <w:rsid w:val="002167FF"/>
    <w:rsid w:val="0021797F"/>
    <w:rsid w:val="00217A5F"/>
    <w:rsid w:val="002206E9"/>
    <w:rsid w:val="00222E39"/>
    <w:rsid w:val="00223CEB"/>
    <w:rsid w:val="00224D28"/>
    <w:rsid w:val="00225B0A"/>
    <w:rsid w:val="00227407"/>
    <w:rsid w:val="0023314D"/>
    <w:rsid w:val="002331DF"/>
    <w:rsid w:val="00234704"/>
    <w:rsid w:val="00235174"/>
    <w:rsid w:val="00236E40"/>
    <w:rsid w:val="0023751F"/>
    <w:rsid w:val="0023780F"/>
    <w:rsid w:val="00245291"/>
    <w:rsid w:val="0024590F"/>
    <w:rsid w:val="00246590"/>
    <w:rsid w:val="00246EAC"/>
    <w:rsid w:val="00247A19"/>
    <w:rsid w:val="00250309"/>
    <w:rsid w:val="00252A2E"/>
    <w:rsid w:val="00253518"/>
    <w:rsid w:val="0025406A"/>
    <w:rsid w:val="002549A3"/>
    <w:rsid w:val="0025537E"/>
    <w:rsid w:val="002563BD"/>
    <w:rsid w:val="002566A5"/>
    <w:rsid w:val="00256EAF"/>
    <w:rsid w:val="00261ACC"/>
    <w:rsid w:val="002622BD"/>
    <w:rsid w:val="00262364"/>
    <w:rsid w:val="00262D9A"/>
    <w:rsid w:val="0026337E"/>
    <w:rsid w:val="002637EA"/>
    <w:rsid w:val="002650F8"/>
    <w:rsid w:val="00267195"/>
    <w:rsid w:val="002700E9"/>
    <w:rsid w:val="00270A2D"/>
    <w:rsid w:val="00277405"/>
    <w:rsid w:val="00281C1F"/>
    <w:rsid w:val="002831DE"/>
    <w:rsid w:val="002844B0"/>
    <w:rsid w:val="00292C9D"/>
    <w:rsid w:val="002952A5"/>
    <w:rsid w:val="00296604"/>
    <w:rsid w:val="00296E34"/>
    <w:rsid w:val="00297758"/>
    <w:rsid w:val="002A1736"/>
    <w:rsid w:val="002A2381"/>
    <w:rsid w:val="002A3129"/>
    <w:rsid w:val="002A4EFC"/>
    <w:rsid w:val="002A648D"/>
    <w:rsid w:val="002A64F2"/>
    <w:rsid w:val="002A678A"/>
    <w:rsid w:val="002A6F0C"/>
    <w:rsid w:val="002A7237"/>
    <w:rsid w:val="002B03EF"/>
    <w:rsid w:val="002B0F46"/>
    <w:rsid w:val="002B11E4"/>
    <w:rsid w:val="002B332F"/>
    <w:rsid w:val="002B37C2"/>
    <w:rsid w:val="002B3950"/>
    <w:rsid w:val="002B3F49"/>
    <w:rsid w:val="002B6C5D"/>
    <w:rsid w:val="002B7211"/>
    <w:rsid w:val="002C0ECE"/>
    <w:rsid w:val="002C211B"/>
    <w:rsid w:val="002C31B7"/>
    <w:rsid w:val="002C4886"/>
    <w:rsid w:val="002C5DB7"/>
    <w:rsid w:val="002C6024"/>
    <w:rsid w:val="002C771E"/>
    <w:rsid w:val="002C7892"/>
    <w:rsid w:val="002D15CB"/>
    <w:rsid w:val="002D18B6"/>
    <w:rsid w:val="002D280F"/>
    <w:rsid w:val="002D31C5"/>
    <w:rsid w:val="002D4808"/>
    <w:rsid w:val="002D4939"/>
    <w:rsid w:val="002D551D"/>
    <w:rsid w:val="002D58DD"/>
    <w:rsid w:val="002D7C67"/>
    <w:rsid w:val="002E0A1D"/>
    <w:rsid w:val="002E0D80"/>
    <w:rsid w:val="002E1428"/>
    <w:rsid w:val="002E1AA3"/>
    <w:rsid w:val="002E231C"/>
    <w:rsid w:val="002E2AFD"/>
    <w:rsid w:val="002E30E0"/>
    <w:rsid w:val="002E438B"/>
    <w:rsid w:val="002E528B"/>
    <w:rsid w:val="002E6E85"/>
    <w:rsid w:val="002F1405"/>
    <w:rsid w:val="002F18C7"/>
    <w:rsid w:val="002F2092"/>
    <w:rsid w:val="002F3233"/>
    <w:rsid w:val="002F356F"/>
    <w:rsid w:val="002F4C7F"/>
    <w:rsid w:val="002F5544"/>
    <w:rsid w:val="002F7024"/>
    <w:rsid w:val="002F79EF"/>
    <w:rsid w:val="002F7E96"/>
    <w:rsid w:val="00301416"/>
    <w:rsid w:val="00301446"/>
    <w:rsid w:val="0030161C"/>
    <w:rsid w:val="00304124"/>
    <w:rsid w:val="003044D3"/>
    <w:rsid w:val="003048ED"/>
    <w:rsid w:val="003055BE"/>
    <w:rsid w:val="00306841"/>
    <w:rsid w:val="00306DB6"/>
    <w:rsid w:val="00307926"/>
    <w:rsid w:val="00307E55"/>
    <w:rsid w:val="003113A6"/>
    <w:rsid w:val="00311987"/>
    <w:rsid w:val="00313372"/>
    <w:rsid w:val="00313D88"/>
    <w:rsid w:val="0031434E"/>
    <w:rsid w:val="00314C05"/>
    <w:rsid w:val="003162B2"/>
    <w:rsid w:val="003171C5"/>
    <w:rsid w:val="00320831"/>
    <w:rsid w:val="00325688"/>
    <w:rsid w:val="0032614D"/>
    <w:rsid w:val="00326811"/>
    <w:rsid w:val="00326EF7"/>
    <w:rsid w:val="00330972"/>
    <w:rsid w:val="00331178"/>
    <w:rsid w:val="003318CE"/>
    <w:rsid w:val="00332CBE"/>
    <w:rsid w:val="003333C6"/>
    <w:rsid w:val="00334722"/>
    <w:rsid w:val="00335AB1"/>
    <w:rsid w:val="00336225"/>
    <w:rsid w:val="0033683E"/>
    <w:rsid w:val="0034079E"/>
    <w:rsid w:val="00340C5C"/>
    <w:rsid w:val="00341150"/>
    <w:rsid w:val="00342BDE"/>
    <w:rsid w:val="00343521"/>
    <w:rsid w:val="0034395E"/>
    <w:rsid w:val="00345DA1"/>
    <w:rsid w:val="00346051"/>
    <w:rsid w:val="003469A7"/>
    <w:rsid w:val="003502AC"/>
    <w:rsid w:val="003508F0"/>
    <w:rsid w:val="003514CA"/>
    <w:rsid w:val="003529DA"/>
    <w:rsid w:val="00353195"/>
    <w:rsid w:val="0035523A"/>
    <w:rsid w:val="00360096"/>
    <w:rsid w:val="003606CC"/>
    <w:rsid w:val="00361561"/>
    <w:rsid w:val="003639D7"/>
    <w:rsid w:val="00364294"/>
    <w:rsid w:val="00366C73"/>
    <w:rsid w:val="00367340"/>
    <w:rsid w:val="00370ACD"/>
    <w:rsid w:val="00370BED"/>
    <w:rsid w:val="00370C80"/>
    <w:rsid w:val="003739A9"/>
    <w:rsid w:val="00373E65"/>
    <w:rsid w:val="003757C2"/>
    <w:rsid w:val="003778A4"/>
    <w:rsid w:val="0037797D"/>
    <w:rsid w:val="00380C40"/>
    <w:rsid w:val="0038420A"/>
    <w:rsid w:val="00384D90"/>
    <w:rsid w:val="0038508E"/>
    <w:rsid w:val="00386B51"/>
    <w:rsid w:val="00386E5A"/>
    <w:rsid w:val="003873A7"/>
    <w:rsid w:val="00387B6B"/>
    <w:rsid w:val="0039086F"/>
    <w:rsid w:val="00391104"/>
    <w:rsid w:val="003913EF"/>
    <w:rsid w:val="00393E59"/>
    <w:rsid w:val="00394E07"/>
    <w:rsid w:val="00397C57"/>
    <w:rsid w:val="00397DB3"/>
    <w:rsid w:val="00397E90"/>
    <w:rsid w:val="003A0036"/>
    <w:rsid w:val="003A1BE1"/>
    <w:rsid w:val="003A34AF"/>
    <w:rsid w:val="003A3D1F"/>
    <w:rsid w:val="003A4545"/>
    <w:rsid w:val="003A5BC5"/>
    <w:rsid w:val="003A5CED"/>
    <w:rsid w:val="003A5F91"/>
    <w:rsid w:val="003A744E"/>
    <w:rsid w:val="003A7E08"/>
    <w:rsid w:val="003B0F94"/>
    <w:rsid w:val="003B1A42"/>
    <w:rsid w:val="003B1C60"/>
    <w:rsid w:val="003B293C"/>
    <w:rsid w:val="003B2EFD"/>
    <w:rsid w:val="003B34CF"/>
    <w:rsid w:val="003B48C0"/>
    <w:rsid w:val="003B5AED"/>
    <w:rsid w:val="003B78DA"/>
    <w:rsid w:val="003C0562"/>
    <w:rsid w:val="003C173F"/>
    <w:rsid w:val="003C3C21"/>
    <w:rsid w:val="003C3DFD"/>
    <w:rsid w:val="003C475A"/>
    <w:rsid w:val="003C5EC2"/>
    <w:rsid w:val="003C65CD"/>
    <w:rsid w:val="003C69AB"/>
    <w:rsid w:val="003D2195"/>
    <w:rsid w:val="003D2E11"/>
    <w:rsid w:val="003D2E26"/>
    <w:rsid w:val="003D30F9"/>
    <w:rsid w:val="003D3DEB"/>
    <w:rsid w:val="003D5C6F"/>
    <w:rsid w:val="003D5C95"/>
    <w:rsid w:val="003D6394"/>
    <w:rsid w:val="003D6B6B"/>
    <w:rsid w:val="003D7250"/>
    <w:rsid w:val="003E0739"/>
    <w:rsid w:val="003E2821"/>
    <w:rsid w:val="003E4BDA"/>
    <w:rsid w:val="003F047D"/>
    <w:rsid w:val="003F11B1"/>
    <w:rsid w:val="003F2792"/>
    <w:rsid w:val="003F383C"/>
    <w:rsid w:val="003F4BA4"/>
    <w:rsid w:val="003F4E3A"/>
    <w:rsid w:val="003F6258"/>
    <w:rsid w:val="003F7038"/>
    <w:rsid w:val="0040142A"/>
    <w:rsid w:val="00401CD2"/>
    <w:rsid w:val="00402624"/>
    <w:rsid w:val="00402B7D"/>
    <w:rsid w:val="0040333D"/>
    <w:rsid w:val="0040375C"/>
    <w:rsid w:val="00403D22"/>
    <w:rsid w:val="00404583"/>
    <w:rsid w:val="004045BD"/>
    <w:rsid w:val="0040560D"/>
    <w:rsid w:val="00405FFA"/>
    <w:rsid w:val="00411AD2"/>
    <w:rsid w:val="00411B58"/>
    <w:rsid w:val="00412D7D"/>
    <w:rsid w:val="0041405D"/>
    <w:rsid w:val="00414AD6"/>
    <w:rsid w:val="00415835"/>
    <w:rsid w:val="00415B75"/>
    <w:rsid w:val="00417229"/>
    <w:rsid w:val="004201AB"/>
    <w:rsid w:val="00420475"/>
    <w:rsid w:val="0042063A"/>
    <w:rsid w:val="00420E5C"/>
    <w:rsid w:val="004213B9"/>
    <w:rsid w:val="004215C2"/>
    <w:rsid w:val="004223AF"/>
    <w:rsid w:val="00422436"/>
    <w:rsid w:val="00422E22"/>
    <w:rsid w:val="0042328A"/>
    <w:rsid w:val="00424286"/>
    <w:rsid w:val="00424675"/>
    <w:rsid w:val="00426824"/>
    <w:rsid w:val="00427090"/>
    <w:rsid w:val="004321B6"/>
    <w:rsid w:val="004331C5"/>
    <w:rsid w:val="004332E9"/>
    <w:rsid w:val="00434A82"/>
    <w:rsid w:val="00434BF6"/>
    <w:rsid w:val="004359DB"/>
    <w:rsid w:val="00437870"/>
    <w:rsid w:val="004453BA"/>
    <w:rsid w:val="00445C3F"/>
    <w:rsid w:val="00446808"/>
    <w:rsid w:val="00446F61"/>
    <w:rsid w:val="00452BDC"/>
    <w:rsid w:val="0045440B"/>
    <w:rsid w:val="00455570"/>
    <w:rsid w:val="00455687"/>
    <w:rsid w:val="00457793"/>
    <w:rsid w:val="0046421B"/>
    <w:rsid w:val="00465AF7"/>
    <w:rsid w:val="00470022"/>
    <w:rsid w:val="00472113"/>
    <w:rsid w:val="004725C7"/>
    <w:rsid w:val="004726FF"/>
    <w:rsid w:val="00472771"/>
    <w:rsid w:val="004729C9"/>
    <w:rsid w:val="0047350D"/>
    <w:rsid w:val="00474080"/>
    <w:rsid w:val="00474F3B"/>
    <w:rsid w:val="004755D0"/>
    <w:rsid w:val="00475CAB"/>
    <w:rsid w:val="00480911"/>
    <w:rsid w:val="004829B8"/>
    <w:rsid w:val="004838B2"/>
    <w:rsid w:val="0048415B"/>
    <w:rsid w:val="00485F0A"/>
    <w:rsid w:val="004864B2"/>
    <w:rsid w:val="00490291"/>
    <w:rsid w:val="004931C8"/>
    <w:rsid w:val="004936A0"/>
    <w:rsid w:val="00493B19"/>
    <w:rsid w:val="00494B01"/>
    <w:rsid w:val="00496496"/>
    <w:rsid w:val="00496EA0"/>
    <w:rsid w:val="004A009B"/>
    <w:rsid w:val="004A04A3"/>
    <w:rsid w:val="004A0EE5"/>
    <w:rsid w:val="004A17ED"/>
    <w:rsid w:val="004A7AC4"/>
    <w:rsid w:val="004A7E62"/>
    <w:rsid w:val="004B249F"/>
    <w:rsid w:val="004B33DB"/>
    <w:rsid w:val="004B5918"/>
    <w:rsid w:val="004B744D"/>
    <w:rsid w:val="004B7AE1"/>
    <w:rsid w:val="004B7C3F"/>
    <w:rsid w:val="004C10E4"/>
    <w:rsid w:val="004C272E"/>
    <w:rsid w:val="004C323D"/>
    <w:rsid w:val="004C4EAB"/>
    <w:rsid w:val="004C5420"/>
    <w:rsid w:val="004C69AD"/>
    <w:rsid w:val="004D1B89"/>
    <w:rsid w:val="004D1F7E"/>
    <w:rsid w:val="004D32DB"/>
    <w:rsid w:val="004D36CB"/>
    <w:rsid w:val="004D3762"/>
    <w:rsid w:val="004D5272"/>
    <w:rsid w:val="004D6046"/>
    <w:rsid w:val="004D7EE4"/>
    <w:rsid w:val="004E035A"/>
    <w:rsid w:val="004E2786"/>
    <w:rsid w:val="004E343F"/>
    <w:rsid w:val="004E39F6"/>
    <w:rsid w:val="004E4549"/>
    <w:rsid w:val="004E478B"/>
    <w:rsid w:val="004E49CC"/>
    <w:rsid w:val="004E74B8"/>
    <w:rsid w:val="004F017C"/>
    <w:rsid w:val="004F1B50"/>
    <w:rsid w:val="004F22FE"/>
    <w:rsid w:val="004F2FED"/>
    <w:rsid w:val="004F32CE"/>
    <w:rsid w:val="004F372A"/>
    <w:rsid w:val="004F51D3"/>
    <w:rsid w:val="004F6474"/>
    <w:rsid w:val="005025E6"/>
    <w:rsid w:val="00502EDE"/>
    <w:rsid w:val="005049EC"/>
    <w:rsid w:val="00504C37"/>
    <w:rsid w:val="005109C7"/>
    <w:rsid w:val="0051175D"/>
    <w:rsid w:val="00511AFF"/>
    <w:rsid w:val="00511CB0"/>
    <w:rsid w:val="00512052"/>
    <w:rsid w:val="0051246F"/>
    <w:rsid w:val="00513B6D"/>
    <w:rsid w:val="005164D7"/>
    <w:rsid w:val="0051717E"/>
    <w:rsid w:val="00520464"/>
    <w:rsid w:val="00521003"/>
    <w:rsid w:val="00521BB4"/>
    <w:rsid w:val="00521F5A"/>
    <w:rsid w:val="00522115"/>
    <w:rsid w:val="005223C6"/>
    <w:rsid w:val="00522679"/>
    <w:rsid w:val="00525678"/>
    <w:rsid w:val="0052674B"/>
    <w:rsid w:val="005303E0"/>
    <w:rsid w:val="0053466C"/>
    <w:rsid w:val="00535435"/>
    <w:rsid w:val="00536666"/>
    <w:rsid w:val="00537DB1"/>
    <w:rsid w:val="00540A57"/>
    <w:rsid w:val="00540DA4"/>
    <w:rsid w:val="0054240B"/>
    <w:rsid w:val="00543F5F"/>
    <w:rsid w:val="005460E8"/>
    <w:rsid w:val="0054657F"/>
    <w:rsid w:val="005500B9"/>
    <w:rsid w:val="005517A8"/>
    <w:rsid w:val="00552258"/>
    <w:rsid w:val="00552480"/>
    <w:rsid w:val="005525AD"/>
    <w:rsid w:val="00553EA1"/>
    <w:rsid w:val="00553EC9"/>
    <w:rsid w:val="005542B5"/>
    <w:rsid w:val="00554D55"/>
    <w:rsid w:val="00554F3B"/>
    <w:rsid w:val="005557BC"/>
    <w:rsid w:val="00560CCB"/>
    <w:rsid w:val="00563D4F"/>
    <w:rsid w:val="00564F1B"/>
    <w:rsid w:val="00565AFD"/>
    <w:rsid w:val="00570F80"/>
    <w:rsid w:val="00571454"/>
    <w:rsid w:val="005723E2"/>
    <w:rsid w:val="005739D7"/>
    <w:rsid w:val="00574E8F"/>
    <w:rsid w:val="0057588A"/>
    <w:rsid w:val="00576475"/>
    <w:rsid w:val="005808A8"/>
    <w:rsid w:val="005813D7"/>
    <w:rsid w:val="00581CEE"/>
    <w:rsid w:val="0058540D"/>
    <w:rsid w:val="00586041"/>
    <w:rsid w:val="0058746C"/>
    <w:rsid w:val="00587853"/>
    <w:rsid w:val="00591C71"/>
    <w:rsid w:val="00591DA8"/>
    <w:rsid w:val="00593920"/>
    <w:rsid w:val="005956EB"/>
    <w:rsid w:val="00595FBE"/>
    <w:rsid w:val="005961A0"/>
    <w:rsid w:val="00596568"/>
    <w:rsid w:val="005A1021"/>
    <w:rsid w:val="005A2F1A"/>
    <w:rsid w:val="005A3A78"/>
    <w:rsid w:val="005A4D14"/>
    <w:rsid w:val="005A64EE"/>
    <w:rsid w:val="005A6830"/>
    <w:rsid w:val="005A6D39"/>
    <w:rsid w:val="005A739C"/>
    <w:rsid w:val="005A7F31"/>
    <w:rsid w:val="005B0044"/>
    <w:rsid w:val="005B3F59"/>
    <w:rsid w:val="005B42FA"/>
    <w:rsid w:val="005B4C22"/>
    <w:rsid w:val="005C0D6A"/>
    <w:rsid w:val="005C4DA6"/>
    <w:rsid w:val="005D078C"/>
    <w:rsid w:val="005D12EE"/>
    <w:rsid w:val="005D34A6"/>
    <w:rsid w:val="005D34AF"/>
    <w:rsid w:val="005D683C"/>
    <w:rsid w:val="005E026B"/>
    <w:rsid w:val="005E2B21"/>
    <w:rsid w:val="005E415E"/>
    <w:rsid w:val="005F13BC"/>
    <w:rsid w:val="005F1C16"/>
    <w:rsid w:val="005F1D03"/>
    <w:rsid w:val="005F253D"/>
    <w:rsid w:val="005F2F92"/>
    <w:rsid w:val="005F51E0"/>
    <w:rsid w:val="005F5973"/>
    <w:rsid w:val="005F7F1D"/>
    <w:rsid w:val="00600A2C"/>
    <w:rsid w:val="00601355"/>
    <w:rsid w:val="00602EF1"/>
    <w:rsid w:val="00603350"/>
    <w:rsid w:val="006038B6"/>
    <w:rsid w:val="00606246"/>
    <w:rsid w:val="00606721"/>
    <w:rsid w:val="00607F41"/>
    <w:rsid w:val="00610660"/>
    <w:rsid w:val="00611E8D"/>
    <w:rsid w:val="00612C53"/>
    <w:rsid w:val="00613415"/>
    <w:rsid w:val="006136FB"/>
    <w:rsid w:val="00614F8D"/>
    <w:rsid w:val="006159A3"/>
    <w:rsid w:val="00620989"/>
    <w:rsid w:val="006215BB"/>
    <w:rsid w:val="00622A98"/>
    <w:rsid w:val="00623952"/>
    <w:rsid w:val="006244BA"/>
    <w:rsid w:val="00626DC7"/>
    <w:rsid w:val="00627BCD"/>
    <w:rsid w:val="0063261D"/>
    <w:rsid w:val="00632D88"/>
    <w:rsid w:val="006349D2"/>
    <w:rsid w:val="00634F72"/>
    <w:rsid w:val="006371D4"/>
    <w:rsid w:val="00640347"/>
    <w:rsid w:val="00640CE4"/>
    <w:rsid w:val="00640F31"/>
    <w:rsid w:val="006416A6"/>
    <w:rsid w:val="0064510F"/>
    <w:rsid w:val="00645DBA"/>
    <w:rsid w:val="006464EB"/>
    <w:rsid w:val="00646536"/>
    <w:rsid w:val="00646C81"/>
    <w:rsid w:val="00646D32"/>
    <w:rsid w:val="0065068A"/>
    <w:rsid w:val="00650787"/>
    <w:rsid w:val="0065102A"/>
    <w:rsid w:val="00651590"/>
    <w:rsid w:val="006516BE"/>
    <w:rsid w:val="0065225B"/>
    <w:rsid w:val="0065328D"/>
    <w:rsid w:val="00654C14"/>
    <w:rsid w:val="00657050"/>
    <w:rsid w:val="00660107"/>
    <w:rsid w:val="00660F36"/>
    <w:rsid w:val="0066108E"/>
    <w:rsid w:val="00661CBB"/>
    <w:rsid w:val="00661FF3"/>
    <w:rsid w:val="00663BB7"/>
    <w:rsid w:val="00663D27"/>
    <w:rsid w:val="00663E1E"/>
    <w:rsid w:val="006653AC"/>
    <w:rsid w:val="00665C82"/>
    <w:rsid w:val="006666D6"/>
    <w:rsid w:val="006673A6"/>
    <w:rsid w:val="006712AE"/>
    <w:rsid w:val="00672C4E"/>
    <w:rsid w:val="0067487B"/>
    <w:rsid w:val="0067548F"/>
    <w:rsid w:val="006758C1"/>
    <w:rsid w:val="006771F8"/>
    <w:rsid w:val="006805B7"/>
    <w:rsid w:val="0068079B"/>
    <w:rsid w:val="00681263"/>
    <w:rsid w:val="00681CEF"/>
    <w:rsid w:val="00682236"/>
    <w:rsid w:val="006837CD"/>
    <w:rsid w:val="00684CB8"/>
    <w:rsid w:val="00685EDC"/>
    <w:rsid w:val="00690AFE"/>
    <w:rsid w:val="00690C42"/>
    <w:rsid w:val="0069155F"/>
    <w:rsid w:val="0069169D"/>
    <w:rsid w:val="006917EF"/>
    <w:rsid w:val="00691871"/>
    <w:rsid w:val="00696345"/>
    <w:rsid w:val="0069677C"/>
    <w:rsid w:val="00696D73"/>
    <w:rsid w:val="00697FB9"/>
    <w:rsid w:val="006A0574"/>
    <w:rsid w:val="006A3679"/>
    <w:rsid w:val="006A5BC7"/>
    <w:rsid w:val="006A61D4"/>
    <w:rsid w:val="006B0C57"/>
    <w:rsid w:val="006B1982"/>
    <w:rsid w:val="006B19AA"/>
    <w:rsid w:val="006B1A33"/>
    <w:rsid w:val="006B1F0E"/>
    <w:rsid w:val="006B3725"/>
    <w:rsid w:val="006B37A9"/>
    <w:rsid w:val="006B455B"/>
    <w:rsid w:val="006B499B"/>
    <w:rsid w:val="006B60DE"/>
    <w:rsid w:val="006B6175"/>
    <w:rsid w:val="006B63FB"/>
    <w:rsid w:val="006B71E9"/>
    <w:rsid w:val="006C0696"/>
    <w:rsid w:val="006C3BC3"/>
    <w:rsid w:val="006C4A6C"/>
    <w:rsid w:val="006C5980"/>
    <w:rsid w:val="006C66CB"/>
    <w:rsid w:val="006C67B7"/>
    <w:rsid w:val="006C69E6"/>
    <w:rsid w:val="006C6AF0"/>
    <w:rsid w:val="006C77A8"/>
    <w:rsid w:val="006D0EDC"/>
    <w:rsid w:val="006D157D"/>
    <w:rsid w:val="006D5C21"/>
    <w:rsid w:val="006D6AAD"/>
    <w:rsid w:val="006D6B35"/>
    <w:rsid w:val="006D7293"/>
    <w:rsid w:val="006D758C"/>
    <w:rsid w:val="006D7D63"/>
    <w:rsid w:val="006E0091"/>
    <w:rsid w:val="006E06CC"/>
    <w:rsid w:val="006E0E67"/>
    <w:rsid w:val="006E4EA3"/>
    <w:rsid w:val="006E5149"/>
    <w:rsid w:val="006E5EDC"/>
    <w:rsid w:val="006E664F"/>
    <w:rsid w:val="006F062F"/>
    <w:rsid w:val="006F1040"/>
    <w:rsid w:val="006F2B44"/>
    <w:rsid w:val="006F2FC1"/>
    <w:rsid w:val="006F3175"/>
    <w:rsid w:val="006F5801"/>
    <w:rsid w:val="006F5DDE"/>
    <w:rsid w:val="006F6F2A"/>
    <w:rsid w:val="00700C56"/>
    <w:rsid w:val="007034F4"/>
    <w:rsid w:val="007044A5"/>
    <w:rsid w:val="007048FC"/>
    <w:rsid w:val="00706009"/>
    <w:rsid w:val="00711FFF"/>
    <w:rsid w:val="00712297"/>
    <w:rsid w:val="007124B8"/>
    <w:rsid w:val="00713306"/>
    <w:rsid w:val="00713817"/>
    <w:rsid w:val="00715589"/>
    <w:rsid w:val="00715650"/>
    <w:rsid w:val="00715F0D"/>
    <w:rsid w:val="007173CC"/>
    <w:rsid w:val="007202AA"/>
    <w:rsid w:val="00721E5E"/>
    <w:rsid w:val="00722755"/>
    <w:rsid w:val="0072391F"/>
    <w:rsid w:val="00725155"/>
    <w:rsid w:val="00726901"/>
    <w:rsid w:val="00726A1B"/>
    <w:rsid w:val="00727907"/>
    <w:rsid w:val="00730F5F"/>
    <w:rsid w:val="007316BE"/>
    <w:rsid w:val="00732F46"/>
    <w:rsid w:val="007346BB"/>
    <w:rsid w:val="00734C9D"/>
    <w:rsid w:val="00734FC4"/>
    <w:rsid w:val="00735079"/>
    <w:rsid w:val="00735252"/>
    <w:rsid w:val="00735CEA"/>
    <w:rsid w:val="007364D1"/>
    <w:rsid w:val="00736AFD"/>
    <w:rsid w:val="00740878"/>
    <w:rsid w:val="007440A0"/>
    <w:rsid w:val="007443FE"/>
    <w:rsid w:val="00745786"/>
    <w:rsid w:val="00745873"/>
    <w:rsid w:val="00746E98"/>
    <w:rsid w:val="00747D67"/>
    <w:rsid w:val="00747E39"/>
    <w:rsid w:val="00750096"/>
    <w:rsid w:val="00750CC1"/>
    <w:rsid w:val="0075101D"/>
    <w:rsid w:val="00751599"/>
    <w:rsid w:val="00751D65"/>
    <w:rsid w:val="00753A16"/>
    <w:rsid w:val="00753ECA"/>
    <w:rsid w:val="007549EF"/>
    <w:rsid w:val="00756DE2"/>
    <w:rsid w:val="00757B35"/>
    <w:rsid w:val="00760000"/>
    <w:rsid w:val="00760009"/>
    <w:rsid w:val="00762768"/>
    <w:rsid w:val="007666E5"/>
    <w:rsid w:val="007714AB"/>
    <w:rsid w:val="00772C9D"/>
    <w:rsid w:val="00777AD1"/>
    <w:rsid w:val="00780275"/>
    <w:rsid w:val="007804A0"/>
    <w:rsid w:val="0078065C"/>
    <w:rsid w:val="007843F8"/>
    <w:rsid w:val="00785BD2"/>
    <w:rsid w:val="00792762"/>
    <w:rsid w:val="00793469"/>
    <w:rsid w:val="007954F1"/>
    <w:rsid w:val="007A007B"/>
    <w:rsid w:val="007A25C7"/>
    <w:rsid w:val="007A4448"/>
    <w:rsid w:val="007A4FAE"/>
    <w:rsid w:val="007A5798"/>
    <w:rsid w:val="007A665D"/>
    <w:rsid w:val="007B0FEE"/>
    <w:rsid w:val="007B1C78"/>
    <w:rsid w:val="007B22E5"/>
    <w:rsid w:val="007B508B"/>
    <w:rsid w:val="007B5715"/>
    <w:rsid w:val="007B5D9C"/>
    <w:rsid w:val="007B605C"/>
    <w:rsid w:val="007B6C2D"/>
    <w:rsid w:val="007B75C3"/>
    <w:rsid w:val="007C12A2"/>
    <w:rsid w:val="007C1899"/>
    <w:rsid w:val="007C5809"/>
    <w:rsid w:val="007C6D10"/>
    <w:rsid w:val="007D4BAD"/>
    <w:rsid w:val="007D5AD7"/>
    <w:rsid w:val="007D66FE"/>
    <w:rsid w:val="007D695E"/>
    <w:rsid w:val="007D7B5B"/>
    <w:rsid w:val="007E196F"/>
    <w:rsid w:val="007E216E"/>
    <w:rsid w:val="007E22D6"/>
    <w:rsid w:val="007E2F82"/>
    <w:rsid w:val="007E3483"/>
    <w:rsid w:val="007E34BE"/>
    <w:rsid w:val="007E3F8F"/>
    <w:rsid w:val="007E4BB0"/>
    <w:rsid w:val="007E5278"/>
    <w:rsid w:val="007E5D5F"/>
    <w:rsid w:val="007E7B29"/>
    <w:rsid w:val="007F00C7"/>
    <w:rsid w:val="007F0D38"/>
    <w:rsid w:val="007F0DA3"/>
    <w:rsid w:val="007F1F16"/>
    <w:rsid w:val="007F51AC"/>
    <w:rsid w:val="007F60C5"/>
    <w:rsid w:val="007F7C33"/>
    <w:rsid w:val="008015F8"/>
    <w:rsid w:val="008035D2"/>
    <w:rsid w:val="008050B4"/>
    <w:rsid w:val="008054D2"/>
    <w:rsid w:val="00805552"/>
    <w:rsid w:val="008057F6"/>
    <w:rsid w:val="00805AC2"/>
    <w:rsid w:val="00805E86"/>
    <w:rsid w:val="00805F75"/>
    <w:rsid w:val="00806B64"/>
    <w:rsid w:val="008077CB"/>
    <w:rsid w:val="00811293"/>
    <w:rsid w:val="00812FFE"/>
    <w:rsid w:val="00815932"/>
    <w:rsid w:val="00820ABE"/>
    <w:rsid w:val="00822EE1"/>
    <w:rsid w:val="00823921"/>
    <w:rsid w:val="008239E8"/>
    <w:rsid w:val="00823B8D"/>
    <w:rsid w:val="00823D4B"/>
    <w:rsid w:val="00826029"/>
    <w:rsid w:val="00826880"/>
    <w:rsid w:val="008275FC"/>
    <w:rsid w:val="00830145"/>
    <w:rsid w:val="00830185"/>
    <w:rsid w:val="00833324"/>
    <w:rsid w:val="00836117"/>
    <w:rsid w:val="008363A1"/>
    <w:rsid w:val="008374BB"/>
    <w:rsid w:val="00840507"/>
    <w:rsid w:val="0084096F"/>
    <w:rsid w:val="00840E35"/>
    <w:rsid w:val="00841704"/>
    <w:rsid w:val="00842512"/>
    <w:rsid w:val="0084268B"/>
    <w:rsid w:val="008430B6"/>
    <w:rsid w:val="008465E2"/>
    <w:rsid w:val="008507F7"/>
    <w:rsid w:val="00851F46"/>
    <w:rsid w:val="00853601"/>
    <w:rsid w:val="00857495"/>
    <w:rsid w:val="00860F29"/>
    <w:rsid w:val="00861885"/>
    <w:rsid w:val="00861BF5"/>
    <w:rsid w:val="0086207E"/>
    <w:rsid w:val="0086232B"/>
    <w:rsid w:val="00862E68"/>
    <w:rsid w:val="008643AB"/>
    <w:rsid w:val="00864C59"/>
    <w:rsid w:val="00865E9F"/>
    <w:rsid w:val="008710DD"/>
    <w:rsid w:val="00871A48"/>
    <w:rsid w:val="0087210F"/>
    <w:rsid w:val="00875103"/>
    <w:rsid w:val="0087776F"/>
    <w:rsid w:val="00877A16"/>
    <w:rsid w:val="00877DA2"/>
    <w:rsid w:val="00880D61"/>
    <w:rsid w:val="00881347"/>
    <w:rsid w:val="00883640"/>
    <w:rsid w:val="00883F66"/>
    <w:rsid w:val="0088422D"/>
    <w:rsid w:val="00885214"/>
    <w:rsid w:val="008854A0"/>
    <w:rsid w:val="00886569"/>
    <w:rsid w:val="00890313"/>
    <w:rsid w:val="008908DC"/>
    <w:rsid w:val="00890FDA"/>
    <w:rsid w:val="00890FE3"/>
    <w:rsid w:val="00891F44"/>
    <w:rsid w:val="00892E87"/>
    <w:rsid w:val="008933F6"/>
    <w:rsid w:val="00893A4A"/>
    <w:rsid w:val="00893B63"/>
    <w:rsid w:val="0089591C"/>
    <w:rsid w:val="0089616B"/>
    <w:rsid w:val="008964B6"/>
    <w:rsid w:val="00897DA8"/>
    <w:rsid w:val="008A2F54"/>
    <w:rsid w:val="008A4C25"/>
    <w:rsid w:val="008A4E20"/>
    <w:rsid w:val="008A4F06"/>
    <w:rsid w:val="008B08F7"/>
    <w:rsid w:val="008B098C"/>
    <w:rsid w:val="008B2225"/>
    <w:rsid w:val="008B2D06"/>
    <w:rsid w:val="008B3493"/>
    <w:rsid w:val="008B34BF"/>
    <w:rsid w:val="008B3B52"/>
    <w:rsid w:val="008B49A5"/>
    <w:rsid w:val="008B4C5F"/>
    <w:rsid w:val="008B4D17"/>
    <w:rsid w:val="008B5060"/>
    <w:rsid w:val="008B5EB0"/>
    <w:rsid w:val="008B7953"/>
    <w:rsid w:val="008C0D35"/>
    <w:rsid w:val="008C2567"/>
    <w:rsid w:val="008C3513"/>
    <w:rsid w:val="008C414F"/>
    <w:rsid w:val="008C4BA6"/>
    <w:rsid w:val="008D0671"/>
    <w:rsid w:val="008D136C"/>
    <w:rsid w:val="008D2838"/>
    <w:rsid w:val="008D420A"/>
    <w:rsid w:val="008D4DCF"/>
    <w:rsid w:val="008D691E"/>
    <w:rsid w:val="008D7701"/>
    <w:rsid w:val="008E156D"/>
    <w:rsid w:val="008E2D25"/>
    <w:rsid w:val="008E2FF5"/>
    <w:rsid w:val="008E37D8"/>
    <w:rsid w:val="008E5D03"/>
    <w:rsid w:val="008E67E0"/>
    <w:rsid w:val="008F1D5F"/>
    <w:rsid w:val="008F23EC"/>
    <w:rsid w:val="008F2F1B"/>
    <w:rsid w:val="008F304C"/>
    <w:rsid w:val="008F3A2C"/>
    <w:rsid w:val="008F3E18"/>
    <w:rsid w:val="008F3ED7"/>
    <w:rsid w:val="008F4825"/>
    <w:rsid w:val="008F4E99"/>
    <w:rsid w:val="008F5500"/>
    <w:rsid w:val="008F5D0E"/>
    <w:rsid w:val="008F6E4A"/>
    <w:rsid w:val="008F70B4"/>
    <w:rsid w:val="00900F12"/>
    <w:rsid w:val="0090162E"/>
    <w:rsid w:val="00901D48"/>
    <w:rsid w:val="00902035"/>
    <w:rsid w:val="00902A35"/>
    <w:rsid w:val="00904079"/>
    <w:rsid w:val="00911D90"/>
    <w:rsid w:val="00913EA1"/>
    <w:rsid w:val="00913ED1"/>
    <w:rsid w:val="009145A7"/>
    <w:rsid w:val="00916B24"/>
    <w:rsid w:val="00920E1E"/>
    <w:rsid w:val="00922074"/>
    <w:rsid w:val="00922078"/>
    <w:rsid w:val="00922FA7"/>
    <w:rsid w:val="00923F3A"/>
    <w:rsid w:val="00924E56"/>
    <w:rsid w:val="00927374"/>
    <w:rsid w:val="009311D1"/>
    <w:rsid w:val="00932894"/>
    <w:rsid w:val="00932F55"/>
    <w:rsid w:val="00933293"/>
    <w:rsid w:val="00933DCF"/>
    <w:rsid w:val="009347C2"/>
    <w:rsid w:val="00935D6B"/>
    <w:rsid w:val="00936208"/>
    <w:rsid w:val="00936A92"/>
    <w:rsid w:val="00943A23"/>
    <w:rsid w:val="00944353"/>
    <w:rsid w:val="00945572"/>
    <w:rsid w:val="00945A3D"/>
    <w:rsid w:val="00946B8F"/>
    <w:rsid w:val="009477C4"/>
    <w:rsid w:val="0094797B"/>
    <w:rsid w:val="00947DC4"/>
    <w:rsid w:val="00951A3C"/>
    <w:rsid w:val="00953042"/>
    <w:rsid w:val="009530BA"/>
    <w:rsid w:val="009536FB"/>
    <w:rsid w:val="00954050"/>
    <w:rsid w:val="00957E25"/>
    <w:rsid w:val="00960052"/>
    <w:rsid w:val="009600EC"/>
    <w:rsid w:val="00961E75"/>
    <w:rsid w:val="00963101"/>
    <w:rsid w:val="0096328B"/>
    <w:rsid w:val="00963975"/>
    <w:rsid w:val="00963E44"/>
    <w:rsid w:val="0096451D"/>
    <w:rsid w:val="00966114"/>
    <w:rsid w:val="009666CA"/>
    <w:rsid w:val="00967791"/>
    <w:rsid w:val="009712DE"/>
    <w:rsid w:val="009722D0"/>
    <w:rsid w:val="00974FDC"/>
    <w:rsid w:val="009752EF"/>
    <w:rsid w:val="009753DF"/>
    <w:rsid w:val="00981325"/>
    <w:rsid w:val="00982038"/>
    <w:rsid w:val="009837DF"/>
    <w:rsid w:val="009845F8"/>
    <w:rsid w:val="009849F1"/>
    <w:rsid w:val="00986FC5"/>
    <w:rsid w:val="009873A9"/>
    <w:rsid w:val="00987438"/>
    <w:rsid w:val="00987559"/>
    <w:rsid w:val="00987AD3"/>
    <w:rsid w:val="009903DD"/>
    <w:rsid w:val="00991D4C"/>
    <w:rsid w:val="00991D90"/>
    <w:rsid w:val="00992B74"/>
    <w:rsid w:val="00993C76"/>
    <w:rsid w:val="009940E8"/>
    <w:rsid w:val="00994C3A"/>
    <w:rsid w:val="00995EC8"/>
    <w:rsid w:val="00996241"/>
    <w:rsid w:val="009963E2"/>
    <w:rsid w:val="00997720"/>
    <w:rsid w:val="009A222F"/>
    <w:rsid w:val="009A262A"/>
    <w:rsid w:val="009A2E12"/>
    <w:rsid w:val="009A412E"/>
    <w:rsid w:val="009A4D64"/>
    <w:rsid w:val="009A6748"/>
    <w:rsid w:val="009B122E"/>
    <w:rsid w:val="009B14D9"/>
    <w:rsid w:val="009B14F4"/>
    <w:rsid w:val="009B1760"/>
    <w:rsid w:val="009B2E0B"/>
    <w:rsid w:val="009B2FC3"/>
    <w:rsid w:val="009B32D4"/>
    <w:rsid w:val="009B34B2"/>
    <w:rsid w:val="009B3D1A"/>
    <w:rsid w:val="009B3D9A"/>
    <w:rsid w:val="009B4AE2"/>
    <w:rsid w:val="009B535B"/>
    <w:rsid w:val="009B65D2"/>
    <w:rsid w:val="009C1C8B"/>
    <w:rsid w:val="009C23AB"/>
    <w:rsid w:val="009C26CF"/>
    <w:rsid w:val="009C3559"/>
    <w:rsid w:val="009C4B2B"/>
    <w:rsid w:val="009C5494"/>
    <w:rsid w:val="009C597E"/>
    <w:rsid w:val="009C6A90"/>
    <w:rsid w:val="009D07E9"/>
    <w:rsid w:val="009D1BA2"/>
    <w:rsid w:val="009D5BFA"/>
    <w:rsid w:val="009D60AC"/>
    <w:rsid w:val="009D61D0"/>
    <w:rsid w:val="009D7688"/>
    <w:rsid w:val="009E25F3"/>
    <w:rsid w:val="009E32E6"/>
    <w:rsid w:val="009E37CF"/>
    <w:rsid w:val="009E4180"/>
    <w:rsid w:val="009E5292"/>
    <w:rsid w:val="009E63D4"/>
    <w:rsid w:val="009E7523"/>
    <w:rsid w:val="009F267D"/>
    <w:rsid w:val="009F31FE"/>
    <w:rsid w:val="009F4799"/>
    <w:rsid w:val="009F484A"/>
    <w:rsid w:val="009F5746"/>
    <w:rsid w:val="009F5AC8"/>
    <w:rsid w:val="009F696E"/>
    <w:rsid w:val="009F7D9B"/>
    <w:rsid w:val="00A0136D"/>
    <w:rsid w:val="00A0197E"/>
    <w:rsid w:val="00A01C6B"/>
    <w:rsid w:val="00A03426"/>
    <w:rsid w:val="00A04A4C"/>
    <w:rsid w:val="00A0617E"/>
    <w:rsid w:val="00A06383"/>
    <w:rsid w:val="00A10620"/>
    <w:rsid w:val="00A10DEE"/>
    <w:rsid w:val="00A12696"/>
    <w:rsid w:val="00A13A5E"/>
    <w:rsid w:val="00A15AC9"/>
    <w:rsid w:val="00A15C76"/>
    <w:rsid w:val="00A1792A"/>
    <w:rsid w:val="00A17B2E"/>
    <w:rsid w:val="00A201EF"/>
    <w:rsid w:val="00A211C1"/>
    <w:rsid w:val="00A23BDE"/>
    <w:rsid w:val="00A24554"/>
    <w:rsid w:val="00A24B44"/>
    <w:rsid w:val="00A255BD"/>
    <w:rsid w:val="00A31C76"/>
    <w:rsid w:val="00A3269C"/>
    <w:rsid w:val="00A346A1"/>
    <w:rsid w:val="00A34B75"/>
    <w:rsid w:val="00A35148"/>
    <w:rsid w:val="00A35FB6"/>
    <w:rsid w:val="00A375C3"/>
    <w:rsid w:val="00A412C5"/>
    <w:rsid w:val="00A42B74"/>
    <w:rsid w:val="00A42E39"/>
    <w:rsid w:val="00A43827"/>
    <w:rsid w:val="00A47C9B"/>
    <w:rsid w:val="00A5145F"/>
    <w:rsid w:val="00A526AF"/>
    <w:rsid w:val="00A529E0"/>
    <w:rsid w:val="00A52D39"/>
    <w:rsid w:val="00A55D14"/>
    <w:rsid w:val="00A57D84"/>
    <w:rsid w:val="00A60F02"/>
    <w:rsid w:val="00A66250"/>
    <w:rsid w:val="00A6744C"/>
    <w:rsid w:val="00A674DB"/>
    <w:rsid w:val="00A70548"/>
    <w:rsid w:val="00A715BF"/>
    <w:rsid w:val="00A73570"/>
    <w:rsid w:val="00A7591D"/>
    <w:rsid w:val="00A77E00"/>
    <w:rsid w:val="00A77F95"/>
    <w:rsid w:val="00A811C6"/>
    <w:rsid w:val="00A84058"/>
    <w:rsid w:val="00A84AC4"/>
    <w:rsid w:val="00A85E3D"/>
    <w:rsid w:val="00A87C3A"/>
    <w:rsid w:val="00A90635"/>
    <w:rsid w:val="00A91B0E"/>
    <w:rsid w:val="00A91C50"/>
    <w:rsid w:val="00A91F90"/>
    <w:rsid w:val="00A93AED"/>
    <w:rsid w:val="00A948DC"/>
    <w:rsid w:val="00A95C91"/>
    <w:rsid w:val="00A96ADC"/>
    <w:rsid w:val="00A96F80"/>
    <w:rsid w:val="00AA1E42"/>
    <w:rsid w:val="00AA236B"/>
    <w:rsid w:val="00AA2521"/>
    <w:rsid w:val="00AA25CA"/>
    <w:rsid w:val="00AA3301"/>
    <w:rsid w:val="00AA35B3"/>
    <w:rsid w:val="00AA37B3"/>
    <w:rsid w:val="00AA3CD2"/>
    <w:rsid w:val="00AA4B37"/>
    <w:rsid w:val="00AA63A1"/>
    <w:rsid w:val="00AB196B"/>
    <w:rsid w:val="00AB2EDC"/>
    <w:rsid w:val="00AB3A48"/>
    <w:rsid w:val="00AB3F69"/>
    <w:rsid w:val="00AB6572"/>
    <w:rsid w:val="00AC091E"/>
    <w:rsid w:val="00AC1FF0"/>
    <w:rsid w:val="00AC23DA"/>
    <w:rsid w:val="00AC270E"/>
    <w:rsid w:val="00AC2FD9"/>
    <w:rsid w:val="00AC3038"/>
    <w:rsid w:val="00AC49B8"/>
    <w:rsid w:val="00AC4A97"/>
    <w:rsid w:val="00AC5F81"/>
    <w:rsid w:val="00AC75AD"/>
    <w:rsid w:val="00AD22B1"/>
    <w:rsid w:val="00AD446C"/>
    <w:rsid w:val="00AD507D"/>
    <w:rsid w:val="00AD5147"/>
    <w:rsid w:val="00AD5BE3"/>
    <w:rsid w:val="00AD63B1"/>
    <w:rsid w:val="00AD6757"/>
    <w:rsid w:val="00AD686B"/>
    <w:rsid w:val="00AE0CEA"/>
    <w:rsid w:val="00AE4AD3"/>
    <w:rsid w:val="00AE5F64"/>
    <w:rsid w:val="00AE64D4"/>
    <w:rsid w:val="00AE73DF"/>
    <w:rsid w:val="00AF1956"/>
    <w:rsid w:val="00AF33C4"/>
    <w:rsid w:val="00AF44AD"/>
    <w:rsid w:val="00AF4541"/>
    <w:rsid w:val="00AF5AA2"/>
    <w:rsid w:val="00AF6F9B"/>
    <w:rsid w:val="00AF721D"/>
    <w:rsid w:val="00AF722D"/>
    <w:rsid w:val="00B0168E"/>
    <w:rsid w:val="00B03D66"/>
    <w:rsid w:val="00B03E5D"/>
    <w:rsid w:val="00B0497A"/>
    <w:rsid w:val="00B05A3D"/>
    <w:rsid w:val="00B062F2"/>
    <w:rsid w:val="00B07482"/>
    <w:rsid w:val="00B07A7C"/>
    <w:rsid w:val="00B11263"/>
    <w:rsid w:val="00B12D54"/>
    <w:rsid w:val="00B150FD"/>
    <w:rsid w:val="00B1585E"/>
    <w:rsid w:val="00B15983"/>
    <w:rsid w:val="00B1598F"/>
    <w:rsid w:val="00B16C84"/>
    <w:rsid w:val="00B16DB1"/>
    <w:rsid w:val="00B16FCD"/>
    <w:rsid w:val="00B17BB6"/>
    <w:rsid w:val="00B205E0"/>
    <w:rsid w:val="00B20EA3"/>
    <w:rsid w:val="00B2188A"/>
    <w:rsid w:val="00B22F76"/>
    <w:rsid w:val="00B23770"/>
    <w:rsid w:val="00B23899"/>
    <w:rsid w:val="00B2677C"/>
    <w:rsid w:val="00B30D31"/>
    <w:rsid w:val="00B332DB"/>
    <w:rsid w:val="00B33ADE"/>
    <w:rsid w:val="00B345EB"/>
    <w:rsid w:val="00B35CAD"/>
    <w:rsid w:val="00B42368"/>
    <w:rsid w:val="00B42925"/>
    <w:rsid w:val="00B43760"/>
    <w:rsid w:val="00B443EB"/>
    <w:rsid w:val="00B4544E"/>
    <w:rsid w:val="00B4588C"/>
    <w:rsid w:val="00B45F99"/>
    <w:rsid w:val="00B51372"/>
    <w:rsid w:val="00B52133"/>
    <w:rsid w:val="00B524A0"/>
    <w:rsid w:val="00B52E1C"/>
    <w:rsid w:val="00B54503"/>
    <w:rsid w:val="00B54CA3"/>
    <w:rsid w:val="00B54CCC"/>
    <w:rsid w:val="00B55542"/>
    <w:rsid w:val="00B5557B"/>
    <w:rsid w:val="00B55CCD"/>
    <w:rsid w:val="00B5674D"/>
    <w:rsid w:val="00B574A1"/>
    <w:rsid w:val="00B60C85"/>
    <w:rsid w:val="00B61D98"/>
    <w:rsid w:val="00B65B5E"/>
    <w:rsid w:val="00B65E6C"/>
    <w:rsid w:val="00B6704A"/>
    <w:rsid w:val="00B67212"/>
    <w:rsid w:val="00B7164C"/>
    <w:rsid w:val="00B71D32"/>
    <w:rsid w:val="00B7207A"/>
    <w:rsid w:val="00B72D1F"/>
    <w:rsid w:val="00B72ECF"/>
    <w:rsid w:val="00B732D4"/>
    <w:rsid w:val="00B767EB"/>
    <w:rsid w:val="00B76C3E"/>
    <w:rsid w:val="00B76D06"/>
    <w:rsid w:val="00B778E2"/>
    <w:rsid w:val="00B815FC"/>
    <w:rsid w:val="00B839A9"/>
    <w:rsid w:val="00B84456"/>
    <w:rsid w:val="00B844C9"/>
    <w:rsid w:val="00B85C60"/>
    <w:rsid w:val="00B85F24"/>
    <w:rsid w:val="00B915CA"/>
    <w:rsid w:val="00B925D4"/>
    <w:rsid w:val="00B9298F"/>
    <w:rsid w:val="00B9381D"/>
    <w:rsid w:val="00B948A7"/>
    <w:rsid w:val="00B95B51"/>
    <w:rsid w:val="00B96080"/>
    <w:rsid w:val="00B96555"/>
    <w:rsid w:val="00B97334"/>
    <w:rsid w:val="00B97509"/>
    <w:rsid w:val="00BA17ED"/>
    <w:rsid w:val="00BA1B85"/>
    <w:rsid w:val="00BA1CEF"/>
    <w:rsid w:val="00BA6DF0"/>
    <w:rsid w:val="00BB1DE2"/>
    <w:rsid w:val="00BB376B"/>
    <w:rsid w:val="00BB3CF0"/>
    <w:rsid w:val="00BB4B57"/>
    <w:rsid w:val="00BB5ED5"/>
    <w:rsid w:val="00BB7291"/>
    <w:rsid w:val="00BB7A2E"/>
    <w:rsid w:val="00BC2D86"/>
    <w:rsid w:val="00BC2DE6"/>
    <w:rsid w:val="00BC429C"/>
    <w:rsid w:val="00BC472A"/>
    <w:rsid w:val="00BD0F28"/>
    <w:rsid w:val="00BD147F"/>
    <w:rsid w:val="00BD2124"/>
    <w:rsid w:val="00BD2C61"/>
    <w:rsid w:val="00BD3CCB"/>
    <w:rsid w:val="00BD4693"/>
    <w:rsid w:val="00BD702B"/>
    <w:rsid w:val="00BD7627"/>
    <w:rsid w:val="00BE16F3"/>
    <w:rsid w:val="00BE1B64"/>
    <w:rsid w:val="00BE1D95"/>
    <w:rsid w:val="00BE2B2E"/>
    <w:rsid w:val="00BE34A4"/>
    <w:rsid w:val="00BE4AA6"/>
    <w:rsid w:val="00BE5591"/>
    <w:rsid w:val="00BE6379"/>
    <w:rsid w:val="00BF17B2"/>
    <w:rsid w:val="00BF3CAE"/>
    <w:rsid w:val="00BF5EA1"/>
    <w:rsid w:val="00C003BF"/>
    <w:rsid w:val="00C008A0"/>
    <w:rsid w:val="00C02ED2"/>
    <w:rsid w:val="00C03E0D"/>
    <w:rsid w:val="00C10594"/>
    <w:rsid w:val="00C12386"/>
    <w:rsid w:val="00C129F0"/>
    <w:rsid w:val="00C12B9A"/>
    <w:rsid w:val="00C14CF1"/>
    <w:rsid w:val="00C15A5A"/>
    <w:rsid w:val="00C213AF"/>
    <w:rsid w:val="00C226CE"/>
    <w:rsid w:val="00C26491"/>
    <w:rsid w:val="00C27528"/>
    <w:rsid w:val="00C27784"/>
    <w:rsid w:val="00C3065D"/>
    <w:rsid w:val="00C31DEE"/>
    <w:rsid w:val="00C33F6B"/>
    <w:rsid w:val="00C355CC"/>
    <w:rsid w:val="00C3668E"/>
    <w:rsid w:val="00C36B3D"/>
    <w:rsid w:val="00C36CF1"/>
    <w:rsid w:val="00C3787E"/>
    <w:rsid w:val="00C40142"/>
    <w:rsid w:val="00C4043B"/>
    <w:rsid w:val="00C40618"/>
    <w:rsid w:val="00C408AF"/>
    <w:rsid w:val="00C41F84"/>
    <w:rsid w:val="00C42EC3"/>
    <w:rsid w:val="00C45BEE"/>
    <w:rsid w:val="00C464B5"/>
    <w:rsid w:val="00C474AC"/>
    <w:rsid w:val="00C514E6"/>
    <w:rsid w:val="00C521E1"/>
    <w:rsid w:val="00C55CA9"/>
    <w:rsid w:val="00C570AD"/>
    <w:rsid w:val="00C57441"/>
    <w:rsid w:val="00C57506"/>
    <w:rsid w:val="00C57E75"/>
    <w:rsid w:val="00C62C5C"/>
    <w:rsid w:val="00C637AA"/>
    <w:rsid w:val="00C6477C"/>
    <w:rsid w:val="00C647FC"/>
    <w:rsid w:val="00C66382"/>
    <w:rsid w:val="00C664D5"/>
    <w:rsid w:val="00C676DD"/>
    <w:rsid w:val="00C7095D"/>
    <w:rsid w:val="00C72A06"/>
    <w:rsid w:val="00C75D61"/>
    <w:rsid w:val="00C772CE"/>
    <w:rsid w:val="00C80109"/>
    <w:rsid w:val="00C80350"/>
    <w:rsid w:val="00C8157D"/>
    <w:rsid w:val="00C8297F"/>
    <w:rsid w:val="00C82F5D"/>
    <w:rsid w:val="00C84521"/>
    <w:rsid w:val="00C84727"/>
    <w:rsid w:val="00C84BF1"/>
    <w:rsid w:val="00C84F39"/>
    <w:rsid w:val="00C865A6"/>
    <w:rsid w:val="00C86F55"/>
    <w:rsid w:val="00C872AB"/>
    <w:rsid w:val="00C87692"/>
    <w:rsid w:val="00C91AC7"/>
    <w:rsid w:val="00C9330F"/>
    <w:rsid w:val="00C9423A"/>
    <w:rsid w:val="00C946DA"/>
    <w:rsid w:val="00C95090"/>
    <w:rsid w:val="00C96238"/>
    <w:rsid w:val="00C96B34"/>
    <w:rsid w:val="00CA0767"/>
    <w:rsid w:val="00CA0C3B"/>
    <w:rsid w:val="00CA3079"/>
    <w:rsid w:val="00CA30E8"/>
    <w:rsid w:val="00CA5E30"/>
    <w:rsid w:val="00CA6034"/>
    <w:rsid w:val="00CA72CB"/>
    <w:rsid w:val="00CA7646"/>
    <w:rsid w:val="00CA7C60"/>
    <w:rsid w:val="00CB198E"/>
    <w:rsid w:val="00CB2B45"/>
    <w:rsid w:val="00CB30CF"/>
    <w:rsid w:val="00CB5C8B"/>
    <w:rsid w:val="00CB7303"/>
    <w:rsid w:val="00CC0491"/>
    <w:rsid w:val="00CC3635"/>
    <w:rsid w:val="00CC3B37"/>
    <w:rsid w:val="00CC3E06"/>
    <w:rsid w:val="00CC4A03"/>
    <w:rsid w:val="00CC58AD"/>
    <w:rsid w:val="00CC6F1F"/>
    <w:rsid w:val="00CC7B8D"/>
    <w:rsid w:val="00CD029A"/>
    <w:rsid w:val="00CD1BAA"/>
    <w:rsid w:val="00CD22E3"/>
    <w:rsid w:val="00CD26E4"/>
    <w:rsid w:val="00CD29C6"/>
    <w:rsid w:val="00CD2E20"/>
    <w:rsid w:val="00CD532F"/>
    <w:rsid w:val="00CD62E0"/>
    <w:rsid w:val="00CD651F"/>
    <w:rsid w:val="00CD7406"/>
    <w:rsid w:val="00CE016D"/>
    <w:rsid w:val="00CE77FF"/>
    <w:rsid w:val="00CE7925"/>
    <w:rsid w:val="00CE7B45"/>
    <w:rsid w:val="00CF0CC5"/>
    <w:rsid w:val="00CF0FAD"/>
    <w:rsid w:val="00CF2D29"/>
    <w:rsid w:val="00CF3435"/>
    <w:rsid w:val="00CF5E6C"/>
    <w:rsid w:val="00CF7614"/>
    <w:rsid w:val="00D006E4"/>
    <w:rsid w:val="00D00714"/>
    <w:rsid w:val="00D021E8"/>
    <w:rsid w:val="00D03214"/>
    <w:rsid w:val="00D034DF"/>
    <w:rsid w:val="00D03B86"/>
    <w:rsid w:val="00D04195"/>
    <w:rsid w:val="00D04863"/>
    <w:rsid w:val="00D07703"/>
    <w:rsid w:val="00D07E11"/>
    <w:rsid w:val="00D106FD"/>
    <w:rsid w:val="00D10775"/>
    <w:rsid w:val="00D107DA"/>
    <w:rsid w:val="00D11F9B"/>
    <w:rsid w:val="00D12078"/>
    <w:rsid w:val="00D12353"/>
    <w:rsid w:val="00D15256"/>
    <w:rsid w:val="00D16ACD"/>
    <w:rsid w:val="00D16F69"/>
    <w:rsid w:val="00D17058"/>
    <w:rsid w:val="00D1745A"/>
    <w:rsid w:val="00D202C8"/>
    <w:rsid w:val="00D20472"/>
    <w:rsid w:val="00D21A51"/>
    <w:rsid w:val="00D22795"/>
    <w:rsid w:val="00D26D2C"/>
    <w:rsid w:val="00D26F43"/>
    <w:rsid w:val="00D2772D"/>
    <w:rsid w:val="00D27F6B"/>
    <w:rsid w:val="00D30518"/>
    <w:rsid w:val="00D31198"/>
    <w:rsid w:val="00D32206"/>
    <w:rsid w:val="00D3264C"/>
    <w:rsid w:val="00D32DB0"/>
    <w:rsid w:val="00D33FC1"/>
    <w:rsid w:val="00D34506"/>
    <w:rsid w:val="00D34B52"/>
    <w:rsid w:val="00D357F4"/>
    <w:rsid w:val="00D35C23"/>
    <w:rsid w:val="00D36E3E"/>
    <w:rsid w:val="00D36FA6"/>
    <w:rsid w:val="00D40ADD"/>
    <w:rsid w:val="00D41D42"/>
    <w:rsid w:val="00D4336F"/>
    <w:rsid w:val="00D47BC3"/>
    <w:rsid w:val="00D52EF7"/>
    <w:rsid w:val="00D536F6"/>
    <w:rsid w:val="00D539FC"/>
    <w:rsid w:val="00D54035"/>
    <w:rsid w:val="00D551EE"/>
    <w:rsid w:val="00D552EE"/>
    <w:rsid w:val="00D555E9"/>
    <w:rsid w:val="00D55C72"/>
    <w:rsid w:val="00D56293"/>
    <w:rsid w:val="00D603BE"/>
    <w:rsid w:val="00D60612"/>
    <w:rsid w:val="00D62760"/>
    <w:rsid w:val="00D63746"/>
    <w:rsid w:val="00D63829"/>
    <w:rsid w:val="00D63988"/>
    <w:rsid w:val="00D725F1"/>
    <w:rsid w:val="00D73772"/>
    <w:rsid w:val="00D73F6F"/>
    <w:rsid w:val="00D745FF"/>
    <w:rsid w:val="00D7647A"/>
    <w:rsid w:val="00D76533"/>
    <w:rsid w:val="00D774D6"/>
    <w:rsid w:val="00D77A28"/>
    <w:rsid w:val="00D77E95"/>
    <w:rsid w:val="00D82CB2"/>
    <w:rsid w:val="00D874B7"/>
    <w:rsid w:val="00D9130E"/>
    <w:rsid w:val="00D91E73"/>
    <w:rsid w:val="00D92828"/>
    <w:rsid w:val="00D929D9"/>
    <w:rsid w:val="00D93A48"/>
    <w:rsid w:val="00D953A0"/>
    <w:rsid w:val="00D9595D"/>
    <w:rsid w:val="00D96A8B"/>
    <w:rsid w:val="00D97D5F"/>
    <w:rsid w:val="00DA1002"/>
    <w:rsid w:val="00DA1D88"/>
    <w:rsid w:val="00DA1FE5"/>
    <w:rsid w:val="00DA221D"/>
    <w:rsid w:val="00DA310F"/>
    <w:rsid w:val="00DA40BC"/>
    <w:rsid w:val="00DA425F"/>
    <w:rsid w:val="00DA51CC"/>
    <w:rsid w:val="00DA73A1"/>
    <w:rsid w:val="00DA7B9E"/>
    <w:rsid w:val="00DB2039"/>
    <w:rsid w:val="00DB259D"/>
    <w:rsid w:val="00DB422F"/>
    <w:rsid w:val="00DB5E8D"/>
    <w:rsid w:val="00DB6D3B"/>
    <w:rsid w:val="00DC0E9A"/>
    <w:rsid w:val="00DC40B8"/>
    <w:rsid w:val="00DC4C39"/>
    <w:rsid w:val="00DD1324"/>
    <w:rsid w:val="00DD1C2C"/>
    <w:rsid w:val="00DD3406"/>
    <w:rsid w:val="00DD4B1B"/>
    <w:rsid w:val="00DD6FA8"/>
    <w:rsid w:val="00DE26FF"/>
    <w:rsid w:val="00DE3665"/>
    <w:rsid w:val="00DE3F00"/>
    <w:rsid w:val="00DE4B2D"/>
    <w:rsid w:val="00DE573A"/>
    <w:rsid w:val="00DE781D"/>
    <w:rsid w:val="00DF0F2A"/>
    <w:rsid w:val="00DF2020"/>
    <w:rsid w:val="00DF2C7B"/>
    <w:rsid w:val="00DF3C0A"/>
    <w:rsid w:val="00DF439F"/>
    <w:rsid w:val="00DF5DE1"/>
    <w:rsid w:val="00DF6F1C"/>
    <w:rsid w:val="00DF7EAB"/>
    <w:rsid w:val="00E00EC9"/>
    <w:rsid w:val="00E0255A"/>
    <w:rsid w:val="00E026E2"/>
    <w:rsid w:val="00E07277"/>
    <w:rsid w:val="00E075AD"/>
    <w:rsid w:val="00E1103C"/>
    <w:rsid w:val="00E12462"/>
    <w:rsid w:val="00E15603"/>
    <w:rsid w:val="00E15A51"/>
    <w:rsid w:val="00E17138"/>
    <w:rsid w:val="00E24D88"/>
    <w:rsid w:val="00E25923"/>
    <w:rsid w:val="00E25D90"/>
    <w:rsid w:val="00E308B4"/>
    <w:rsid w:val="00E30B51"/>
    <w:rsid w:val="00E31FF7"/>
    <w:rsid w:val="00E32D80"/>
    <w:rsid w:val="00E32E66"/>
    <w:rsid w:val="00E34D3F"/>
    <w:rsid w:val="00E35387"/>
    <w:rsid w:val="00E35663"/>
    <w:rsid w:val="00E36DA4"/>
    <w:rsid w:val="00E37B10"/>
    <w:rsid w:val="00E37FD1"/>
    <w:rsid w:val="00E40C55"/>
    <w:rsid w:val="00E410A8"/>
    <w:rsid w:val="00E41C8E"/>
    <w:rsid w:val="00E4398B"/>
    <w:rsid w:val="00E44CC9"/>
    <w:rsid w:val="00E45469"/>
    <w:rsid w:val="00E45974"/>
    <w:rsid w:val="00E46110"/>
    <w:rsid w:val="00E46222"/>
    <w:rsid w:val="00E479D0"/>
    <w:rsid w:val="00E47F49"/>
    <w:rsid w:val="00E56429"/>
    <w:rsid w:val="00E56A56"/>
    <w:rsid w:val="00E62865"/>
    <w:rsid w:val="00E63E3C"/>
    <w:rsid w:val="00E66073"/>
    <w:rsid w:val="00E662A8"/>
    <w:rsid w:val="00E70680"/>
    <w:rsid w:val="00E70AFB"/>
    <w:rsid w:val="00E7164F"/>
    <w:rsid w:val="00E71FA5"/>
    <w:rsid w:val="00E72C2F"/>
    <w:rsid w:val="00E72DD6"/>
    <w:rsid w:val="00E73B21"/>
    <w:rsid w:val="00E75698"/>
    <w:rsid w:val="00E75B57"/>
    <w:rsid w:val="00E770C1"/>
    <w:rsid w:val="00E772FB"/>
    <w:rsid w:val="00E774D3"/>
    <w:rsid w:val="00E8150B"/>
    <w:rsid w:val="00E81984"/>
    <w:rsid w:val="00E81F85"/>
    <w:rsid w:val="00E82D9F"/>
    <w:rsid w:val="00E84782"/>
    <w:rsid w:val="00E850D7"/>
    <w:rsid w:val="00E851B2"/>
    <w:rsid w:val="00E87224"/>
    <w:rsid w:val="00E87347"/>
    <w:rsid w:val="00E90050"/>
    <w:rsid w:val="00E90E7F"/>
    <w:rsid w:val="00E90EFD"/>
    <w:rsid w:val="00E91AF8"/>
    <w:rsid w:val="00E9289A"/>
    <w:rsid w:val="00E93350"/>
    <w:rsid w:val="00E947DD"/>
    <w:rsid w:val="00E94A83"/>
    <w:rsid w:val="00E9557B"/>
    <w:rsid w:val="00E9622C"/>
    <w:rsid w:val="00E9631E"/>
    <w:rsid w:val="00E965D1"/>
    <w:rsid w:val="00EA0784"/>
    <w:rsid w:val="00EA1F38"/>
    <w:rsid w:val="00EA317E"/>
    <w:rsid w:val="00EA31AC"/>
    <w:rsid w:val="00EA3F1F"/>
    <w:rsid w:val="00EA46FC"/>
    <w:rsid w:val="00EA50D8"/>
    <w:rsid w:val="00EA62D1"/>
    <w:rsid w:val="00EA64D9"/>
    <w:rsid w:val="00EB1E1C"/>
    <w:rsid w:val="00EB2D4B"/>
    <w:rsid w:val="00EB37F9"/>
    <w:rsid w:val="00EB455B"/>
    <w:rsid w:val="00EB6514"/>
    <w:rsid w:val="00EB6E4D"/>
    <w:rsid w:val="00EB7EED"/>
    <w:rsid w:val="00EC0AC0"/>
    <w:rsid w:val="00EC1495"/>
    <w:rsid w:val="00EC1889"/>
    <w:rsid w:val="00EC1A4E"/>
    <w:rsid w:val="00EC3CC0"/>
    <w:rsid w:val="00EC5FA4"/>
    <w:rsid w:val="00EC7369"/>
    <w:rsid w:val="00EC7915"/>
    <w:rsid w:val="00ED018E"/>
    <w:rsid w:val="00ED0E00"/>
    <w:rsid w:val="00ED1B20"/>
    <w:rsid w:val="00ED2628"/>
    <w:rsid w:val="00ED3234"/>
    <w:rsid w:val="00ED377F"/>
    <w:rsid w:val="00ED4F3D"/>
    <w:rsid w:val="00ED535E"/>
    <w:rsid w:val="00ED7EF8"/>
    <w:rsid w:val="00EE0227"/>
    <w:rsid w:val="00EE0612"/>
    <w:rsid w:val="00EE0CC9"/>
    <w:rsid w:val="00EE10B4"/>
    <w:rsid w:val="00EE136A"/>
    <w:rsid w:val="00EE3612"/>
    <w:rsid w:val="00EE4F75"/>
    <w:rsid w:val="00EE5B00"/>
    <w:rsid w:val="00EE6B37"/>
    <w:rsid w:val="00EE72A9"/>
    <w:rsid w:val="00EF0047"/>
    <w:rsid w:val="00EF4E71"/>
    <w:rsid w:val="00EF4FC2"/>
    <w:rsid w:val="00EF61AD"/>
    <w:rsid w:val="00EF6877"/>
    <w:rsid w:val="00F02A7B"/>
    <w:rsid w:val="00F035EF"/>
    <w:rsid w:val="00F0670F"/>
    <w:rsid w:val="00F067EE"/>
    <w:rsid w:val="00F06D8E"/>
    <w:rsid w:val="00F06DEC"/>
    <w:rsid w:val="00F10EB9"/>
    <w:rsid w:val="00F124BB"/>
    <w:rsid w:val="00F161E2"/>
    <w:rsid w:val="00F16BB3"/>
    <w:rsid w:val="00F21A73"/>
    <w:rsid w:val="00F22CCD"/>
    <w:rsid w:val="00F246C2"/>
    <w:rsid w:val="00F24AD7"/>
    <w:rsid w:val="00F2594E"/>
    <w:rsid w:val="00F25BCE"/>
    <w:rsid w:val="00F26BCA"/>
    <w:rsid w:val="00F26BF2"/>
    <w:rsid w:val="00F3019F"/>
    <w:rsid w:val="00F30214"/>
    <w:rsid w:val="00F30FD4"/>
    <w:rsid w:val="00F31708"/>
    <w:rsid w:val="00F318AB"/>
    <w:rsid w:val="00F32D7A"/>
    <w:rsid w:val="00F32FB2"/>
    <w:rsid w:val="00F369C1"/>
    <w:rsid w:val="00F37A41"/>
    <w:rsid w:val="00F37A6B"/>
    <w:rsid w:val="00F37FCA"/>
    <w:rsid w:val="00F43C08"/>
    <w:rsid w:val="00F463A7"/>
    <w:rsid w:val="00F4772B"/>
    <w:rsid w:val="00F508BC"/>
    <w:rsid w:val="00F52ECC"/>
    <w:rsid w:val="00F53340"/>
    <w:rsid w:val="00F547B8"/>
    <w:rsid w:val="00F55C95"/>
    <w:rsid w:val="00F56AD3"/>
    <w:rsid w:val="00F570AA"/>
    <w:rsid w:val="00F60C33"/>
    <w:rsid w:val="00F60E01"/>
    <w:rsid w:val="00F60FC5"/>
    <w:rsid w:val="00F61AA6"/>
    <w:rsid w:val="00F61E19"/>
    <w:rsid w:val="00F62E55"/>
    <w:rsid w:val="00F63F46"/>
    <w:rsid w:val="00F65A32"/>
    <w:rsid w:val="00F65AB7"/>
    <w:rsid w:val="00F65CAE"/>
    <w:rsid w:val="00F65D32"/>
    <w:rsid w:val="00F67025"/>
    <w:rsid w:val="00F67814"/>
    <w:rsid w:val="00F678C3"/>
    <w:rsid w:val="00F72B9B"/>
    <w:rsid w:val="00F72CD8"/>
    <w:rsid w:val="00F74F50"/>
    <w:rsid w:val="00F75CCC"/>
    <w:rsid w:val="00F77788"/>
    <w:rsid w:val="00F80C3F"/>
    <w:rsid w:val="00F824DA"/>
    <w:rsid w:val="00F82895"/>
    <w:rsid w:val="00F82E16"/>
    <w:rsid w:val="00F82E90"/>
    <w:rsid w:val="00F82EAE"/>
    <w:rsid w:val="00F837AE"/>
    <w:rsid w:val="00F84261"/>
    <w:rsid w:val="00F851B0"/>
    <w:rsid w:val="00F8556E"/>
    <w:rsid w:val="00F874B1"/>
    <w:rsid w:val="00F902F4"/>
    <w:rsid w:val="00F91B7C"/>
    <w:rsid w:val="00F91F2C"/>
    <w:rsid w:val="00F9235B"/>
    <w:rsid w:val="00F93ADE"/>
    <w:rsid w:val="00F94028"/>
    <w:rsid w:val="00F961C6"/>
    <w:rsid w:val="00FA0759"/>
    <w:rsid w:val="00FA0C16"/>
    <w:rsid w:val="00FA1CC7"/>
    <w:rsid w:val="00FA317F"/>
    <w:rsid w:val="00FA3A2F"/>
    <w:rsid w:val="00FA3CC1"/>
    <w:rsid w:val="00FA4C7C"/>
    <w:rsid w:val="00FA4CD3"/>
    <w:rsid w:val="00FA4FF0"/>
    <w:rsid w:val="00FA5BE3"/>
    <w:rsid w:val="00FA6386"/>
    <w:rsid w:val="00FA76EA"/>
    <w:rsid w:val="00FA78B3"/>
    <w:rsid w:val="00FA7B85"/>
    <w:rsid w:val="00FA7ECF"/>
    <w:rsid w:val="00FB01AA"/>
    <w:rsid w:val="00FB11A0"/>
    <w:rsid w:val="00FB1201"/>
    <w:rsid w:val="00FB16EC"/>
    <w:rsid w:val="00FB19B5"/>
    <w:rsid w:val="00FB3C3E"/>
    <w:rsid w:val="00FB4165"/>
    <w:rsid w:val="00FB5A91"/>
    <w:rsid w:val="00FB67E8"/>
    <w:rsid w:val="00FB771B"/>
    <w:rsid w:val="00FC102B"/>
    <w:rsid w:val="00FC138C"/>
    <w:rsid w:val="00FC30CF"/>
    <w:rsid w:val="00FC40BF"/>
    <w:rsid w:val="00FC45F8"/>
    <w:rsid w:val="00FC60AD"/>
    <w:rsid w:val="00FC68F3"/>
    <w:rsid w:val="00FD2287"/>
    <w:rsid w:val="00FD31A2"/>
    <w:rsid w:val="00FD34AA"/>
    <w:rsid w:val="00FD362F"/>
    <w:rsid w:val="00FD3EEF"/>
    <w:rsid w:val="00FD7442"/>
    <w:rsid w:val="00FE0126"/>
    <w:rsid w:val="00FE0789"/>
    <w:rsid w:val="00FE35DF"/>
    <w:rsid w:val="00FE4F45"/>
    <w:rsid w:val="00FE5092"/>
    <w:rsid w:val="00FE559A"/>
    <w:rsid w:val="00FE56FE"/>
    <w:rsid w:val="00FF0A0D"/>
    <w:rsid w:val="00FF0BC2"/>
    <w:rsid w:val="00FF0E7A"/>
    <w:rsid w:val="00FF15B8"/>
    <w:rsid w:val="00FF18FE"/>
    <w:rsid w:val="00FF2B5B"/>
    <w:rsid w:val="00FF585B"/>
  </w:rsids>
  <m:mathPr>
    <m:mathFont m:val="Cambria Math"/>
    <m:brkBin m:val="before"/>
    <m:brkBinSub m:val="--"/>
    <m:smallFrac m:val="off"/>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NZ"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uiPriority="3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HTML Cite"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7591D"/>
    <w:rPr>
      <w:sz w:val="24"/>
      <w:szCs w:val="24"/>
      <w:lang w:eastAsia="en-US"/>
    </w:rPr>
  </w:style>
  <w:style w:type="paragraph" w:styleId="Heading1">
    <w:name w:val="heading 1"/>
    <w:basedOn w:val="Normal"/>
    <w:link w:val="Heading1Char"/>
    <w:uiPriority w:val="9"/>
    <w:qFormat/>
    <w:rsid w:val="00262364"/>
    <w:pPr>
      <w:spacing w:before="100" w:beforeAutospacing="1" w:after="100" w:afterAutospacing="1"/>
      <w:outlineLvl w:val="0"/>
    </w:pPr>
    <w:rPr>
      <w:rFonts w:eastAsia="Times New Roman"/>
      <w:b/>
      <w:bCs/>
      <w:kern w:val="36"/>
      <w:sz w:val="48"/>
      <w:szCs w:val="48"/>
    </w:rPr>
  </w:style>
  <w:style w:type="paragraph" w:styleId="Heading2">
    <w:name w:val="heading 2"/>
    <w:basedOn w:val="Normal"/>
    <w:next w:val="Normal"/>
    <w:link w:val="Heading2Char"/>
    <w:semiHidden/>
    <w:unhideWhenUsed/>
    <w:qFormat/>
    <w:rsid w:val="00C12386"/>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nhideWhenUsed/>
    <w:qFormat/>
    <w:rsid w:val="00A7591D"/>
    <w:rPr>
      <w:b/>
      <w:bCs/>
      <w:sz w:val="20"/>
      <w:szCs w:val="20"/>
    </w:rPr>
  </w:style>
  <w:style w:type="character" w:styleId="Strong">
    <w:name w:val="Strong"/>
    <w:uiPriority w:val="22"/>
    <w:qFormat/>
    <w:rsid w:val="00A7591D"/>
    <w:rPr>
      <w:b/>
      <w:bCs/>
    </w:rPr>
  </w:style>
  <w:style w:type="paragraph" w:styleId="ListParagraph">
    <w:name w:val="List Paragraph"/>
    <w:basedOn w:val="Normal"/>
    <w:uiPriority w:val="34"/>
    <w:qFormat/>
    <w:rsid w:val="00A7591D"/>
    <w:pPr>
      <w:ind w:left="720"/>
      <w:contextualSpacing/>
    </w:pPr>
  </w:style>
  <w:style w:type="character" w:customStyle="1" w:styleId="Heading1Char">
    <w:name w:val="Heading 1 Char"/>
    <w:link w:val="Heading1"/>
    <w:uiPriority w:val="9"/>
    <w:rsid w:val="00262364"/>
    <w:rPr>
      <w:rFonts w:eastAsia="Times New Roman"/>
      <w:b/>
      <w:bCs/>
      <w:kern w:val="36"/>
      <w:sz w:val="48"/>
      <w:szCs w:val="48"/>
    </w:rPr>
  </w:style>
  <w:style w:type="character" w:customStyle="1" w:styleId="Heading2Char">
    <w:name w:val="Heading 2 Char"/>
    <w:link w:val="Heading2"/>
    <w:semiHidden/>
    <w:rsid w:val="00C12386"/>
    <w:rPr>
      <w:rFonts w:ascii="Cambria" w:eastAsia="SimSun" w:hAnsi="Cambria" w:cs="Times New Roman"/>
      <w:b/>
      <w:bCs/>
      <w:i/>
      <w:iCs/>
      <w:sz w:val="28"/>
      <w:szCs w:val="28"/>
      <w:lang w:eastAsia="en-US"/>
    </w:rPr>
  </w:style>
  <w:style w:type="character" w:styleId="Hyperlink">
    <w:name w:val="Hyperlink"/>
    <w:uiPriority w:val="99"/>
    <w:unhideWhenUsed/>
    <w:rsid w:val="00C12386"/>
    <w:rPr>
      <w:color w:val="0000FF"/>
      <w:u w:val="single"/>
    </w:rPr>
  </w:style>
  <w:style w:type="paragraph" w:styleId="FootnoteText">
    <w:name w:val="footnote text"/>
    <w:basedOn w:val="Normal"/>
    <w:link w:val="FootnoteTextChar"/>
    <w:rsid w:val="004C272E"/>
    <w:rPr>
      <w:sz w:val="20"/>
      <w:szCs w:val="20"/>
    </w:rPr>
  </w:style>
  <w:style w:type="character" w:customStyle="1" w:styleId="FootnoteTextChar">
    <w:name w:val="Footnote Text Char"/>
    <w:link w:val="FootnoteText"/>
    <w:rsid w:val="004C272E"/>
    <w:rPr>
      <w:lang w:eastAsia="en-US"/>
    </w:rPr>
  </w:style>
  <w:style w:type="character" w:styleId="FootnoteReference">
    <w:name w:val="footnote reference"/>
    <w:rsid w:val="004C272E"/>
    <w:rPr>
      <w:vertAlign w:val="superscript"/>
    </w:rPr>
  </w:style>
  <w:style w:type="paragraph" w:styleId="Header">
    <w:name w:val="header"/>
    <w:basedOn w:val="Normal"/>
    <w:link w:val="HeaderChar"/>
    <w:rsid w:val="00CC6F1F"/>
    <w:pPr>
      <w:tabs>
        <w:tab w:val="center" w:pos="4513"/>
        <w:tab w:val="right" w:pos="9026"/>
      </w:tabs>
    </w:pPr>
  </w:style>
  <w:style w:type="character" w:customStyle="1" w:styleId="HeaderChar">
    <w:name w:val="Header Char"/>
    <w:link w:val="Header"/>
    <w:rsid w:val="00CC6F1F"/>
    <w:rPr>
      <w:sz w:val="24"/>
      <w:szCs w:val="24"/>
      <w:lang w:eastAsia="en-US"/>
    </w:rPr>
  </w:style>
  <w:style w:type="paragraph" w:styleId="Footer">
    <w:name w:val="footer"/>
    <w:basedOn w:val="Normal"/>
    <w:link w:val="FooterChar"/>
    <w:uiPriority w:val="99"/>
    <w:rsid w:val="00CC6F1F"/>
    <w:pPr>
      <w:tabs>
        <w:tab w:val="center" w:pos="4513"/>
        <w:tab w:val="right" w:pos="9026"/>
      </w:tabs>
    </w:pPr>
  </w:style>
  <w:style w:type="character" w:customStyle="1" w:styleId="FooterChar">
    <w:name w:val="Footer Char"/>
    <w:link w:val="Footer"/>
    <w:uiPriority w:val="99"/>
    <w:rsid w:val="00CC6F1F"/>
    <w:rPr>
      <w:sz w:val="24"/>
      <w:szCs w:val="24"/>
      <w:lang w:eastAsia="en-US"/>
    </w:rPr>
  </w:style>
  <w:style w:type="paragraph" w:styleId="TOCHeading">
    <w:name w:val="TOC Heading"/>
    <w:basedOn w:val="Heading1"/>
    <w:next w:val="Normal"/>
    <w:uiPriority w:val="39"/>
    <w:semiHidden/>
    <w:unhideWhenUsed/>
    <w:qFormat/>
    <w:rsid w:val="00D551EE"/>
    <w:pPr>
      <w:keepNext/>
      <w:keepLines/>
      <w:spacing w:before="480" w:beforeAutospacing="0" w:after="0" w:afterAutospacing="0" w:line="276" w:lineRule="auto"/>
      <w:outlineLvl w:val="9"/>
    </w:pPr>
    <w:rPr>
      <w:rFonts w:ascii="Cambria" w:eastAsia="SimSun" w:hAnsi="Cambria"/>
      <w:color w:val="365F91"/>
      <w:kern w:val="0"/>
      <w:sz w:val="28"/>
      <w:szCs w:val="28"/>
      <w:lang w:val="en-US"/>
    </w:rPr>
  </w:style>
  <w:style w:type="paragraph" w:styleId="TOC2">
    <w:name w:val="toc 2"/>
    <w:basedOn w:val="Normal"/>
    <w:next w:val="Normal"/>
    <w:autoRedefine/>
    <w:uiPriority w:val="39"/>
    <w:rsid w:val="00D551EE"/>
    <w:pPr>
      <w:ind w:left="240"/>
    </w:pPr>
  </w:style>
  <w:style w:type="character" w:customStyle="1" w:styleId="mw-formatted-date">
    <w:name w:val="mw-formatted-date"/>
    <w:basedOn w:val="DefaultParagraphFont"/>
    <w:rsid w:val="00CA0767"/>
  </w:style>
  <w:style w:type="table" w:styleId="TableGrid">
    <w:name w:val="Table Grid"/>
    <w:basedOn w:val="TableNormal"/>
    <w:rsid w:val="000172B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Emphasis">
    <w:name w:val="Emphasis"/>
    <w:qFormat/>
    <w:rsid w:val="003508F0"/>
    <w:rPr>
      <w:i/>
      <w:iCs/>
    </w:rPr>
  </w:style>
  <w:style w:type="character" w:customStyle="1" w:styleId="searchword">
    <w:name w:val="searchword"/>
    <w:basedOn w:val="DefaultParagraphFont"/>
    <w:rsid w:val="00AE73DF"/>
  </w:style>
  <w:style w:type="character" w:styleId="HTMLCite">
    <w:name w:val="HTML Cite"/>
    <w:uiPriority w:val="99"/>
    <w:unhideWhenUsed/>
    <w:rsid w:val="00DA1002"/>
    <w:rPr>
      <w:i/>
      <w:iCs/>
    </w:rPr>
  </w:style>
  <w:style w:type="character" w:customStyle="1" w:styleId="doi">
    <w:name w:val="doi"/>
    <w:basedOn w:val="DefaultParagraphFont"/>
    <w:rsid w:val="00650787"/>
  </w:style>
  <w:style w:type="paragraph" w:styleId="EndnoteText">
    <w:name w:val="endnote text"/>
    <w:basedOn w:val="Normal"/>
    <w:link w:val="EndnoteTextChar"/>
    <w:rsid w:val="00BE5591"/>
    <w:rPr>
      <w:sz w:val="20"/>
      <w:szCs w:val="20"/>
    </w:rPr>
  </w:style>
  <w:style w:type="character" w:customStyle="1" w:styleId="EndnoteTextChar">
    <w:name w:val="Endnote Text Char"/>
    <w:link w:val="EndnoteText"/>
    <w:rsid w:val="00BE5591"/>
    <w:rPr>
      <w:lang w:eastAsia="en-US"/>
    </w:rPr>
  </w:style>
  <w:style w:type="character" w:styleId="EndnoteReference">
    <w:name w:val="endnote reference"/>
    <w:rsid w:val="00BE5591"/>
    <w:rPr>
      <w:vertAlign w:val="superscript"/>
    </w:rPr>
  </w:style>
  <w:style w:type="paragraph" w:styleId="BalloonText">
    <w:name w:val="Balloon Text"/>
    <w:basedOn w:val="Normal"/>
    <w:link w:val="BalloonTextChar"/>
    <w:rsid w:val="00DC0E9A"/>
    <w:rPr>
      <w:rFonts w:ascii="Tahoma" w:hAnsi="Tahoma"/>
      <w:sz w:val="16"/>
      <w:szCs w:val="16"/>
    </w:rPr>
  </w:style>
  <w:style w:type="character" w:customStyle="1" w:styleId="BalloonTextChar">
    <w:name w:val="Balloon Text Char"/>
    <w:link w:val="BalloonText"/>
    <w:rsid w:val="00DC0E9A"/>
    <w:rPr>
      <w:rFonts w:ascii="Tahoma" w:hAnsi="Tahoma" w:cs="Tahoma"/>
      <w:sz w:val="16"/>
      <w:szCs w:val="16"/>
      <w:lang w:eastAsia="en-US"/>
    </w:rPr>
  </w:style>
  <w:style w:type="table" w:styleId="TableClassic1">
    <w:name w:val="Table Classic 1"/>
    <w:basedOn w:val="TableNormal"/>
    <w:rsid w:val="00393E59"/>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email">
    <w:name w:val="email"/>
    <w:basedOn w:val="DefaultParagraphFont"/>
    <w:rsid w:val="00DF5DE1"/>
  </w:style>
  <w:style w:type="character" w:styleId="CommentReference">
    <w:name w:val="annotation reference"/>
    <w:rsid w:val="00FA4FF0"/>
    <w:rPr>
      <w:sz w:val="16"/>
      <w:szCs w:val="16"/>
    </w:rPr>
  </w:style>
  <w:style w:type="paragraph" w:styleId="CommentText">
    <w:name w:val="annotation text"/>
    <w:basedOn w:val="Normal"/>
    <w:link w:val="CommentTextChar"/>
    <w:rsid w:val="00FA4FF0"/>
    <w:rPr>
      <w:sz w:val="20"/>
      <w:szCs w:val="20"/>
    </w:rPr>
  </w:style>
  <w:style w:type="character" w:customStyle="1" w:styleId="CommentTextChar">
    <w:name w:val="Comment Text Char"/>
    <w:link w:val="CommentText"/>
    <w:rsid w:val="00FA4FF0"/>
    <w:rPr>
      <w:lang w:eastAsia="en-US"/>
    </w:rPr>
  </w:style>
  <w:style w:type="paragraph" w:styleId="CommentSubject">
    <w:name w:val="annotation subject"/>
    <w:basedOn w:val="CommentText"/>
    <w:next w:val="CommentText"/>
    <w:link w:val="CommentSubjectChar"/>
    <w:rsid w:val="00FA4FF0"/>
    <w:rPr>
      <w:b/>
      <w:bCs/>
    </w:rPr>
  </w:style>
  <w:style w:type="character" w:customStyle="1" w:styleId="CommentSubjectChar">
    <w:name w:val="Comment Subject Char"/>
    <w:link w:val="CommentSubject"/>
    <w:rsid w:val="00FA4FF0"/>
    <w:rPr>
      <w:b/>
      <w:bCs/>
      <w:lang w:eastAsia="en-US"/>
    </w:rPr>
  </w:style>
  <w:style w:type="paragraph" w:styleId="PlainText">
    <w:name w:val="Plain Text"/>
    <w:basedOn w:val="Normal"/>
    <w:link w:val="PlainTextChar"/>
    <w:rsid w:val="007F60C5"/>
    <w:rPr>
      <w:rFonts w:ascii="Courier New" w:eastAsia="Times New Roman" w:hAnsi="Courier New"/>
      <w:sz w:val="20"/>
      <w:szCs w:val="20"/>
    </w:rPr>
  </w:style>
  <w:style w:type="character" w:customStyle="1" w:styleId="PlainTextChar">
    <w:name w:val="Plain Text Char"/>
    <w:basedOn w:val="DefaultParagraphFont"/>
    <w:link w:val="PlainText"/>
    <w:rsid w:val="007F60C5"/>
    <w:rPr>
      <w:rFonts w:ascii="Courier New" w:eastAsia="Times New Roman" w:hAnsi="Courier New"/>
    </w:rPr>
  </w:style>
  <w:style w:type="character" w:customStyle="1" w:styleId="apple-converted-space">
    <w:name w:val="apple-converted-space"/>
    <w:basedOn w:val="DefaultParagraphFont"/>
    <w:rsid w:val="0081593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NZ"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8211804">
      <w:bodyDiv w:val="1"/>
      <w:marLeft w:val="0"/>
      <w:marRight w:val="0"/>
      <w:marTop w:val="0"/>
      <w:marBottom w:val="0"/>
      <w:divBdr>
        <w:top w:val="none" w:sz="0" w:space="0" w:color="auto"/>
        <w:left w:val="none" w:sz="0" w:space="0" w:color="auto"/>
        <w:bottom w:val="none" w:sz="0" w:space="0" w:color="auto"/>
        <w:right w:val="none" w:sz="0" w:space="0" w:color="auto"/>
      </w:divBdr>
    </w:div>
    <w:div w:id="55132441">
      <w:bodyDiv w:val="1"/>
      <w:marLeft w:val="0"/>
      <w:marRight w:val="0"/>
      <w:marTop w:val="0"/>
      <w:marBottom w:val="0"/>
      <w:divBdr>
        <w:top w:val="none" w:sz="0" w:space="0" w:color="auto"/>
        <w:left w:val="none" w:sz="0" w:space="0" w:color="auto"/>
        <w:bottom w:val="none" w:sz="0" w:space="0" w:color="auto"/>
        <w:right w:val="none" w:sz="0" w:space="0" w:color="auto"/>
      </w:divBdr>
    </w:div>
    <w:div w:id="298270779">
      <w:bodyDiv w:val="1"/>
      <w:marLeft w:val="0"/>
      <w:marRight w:val="0"/>
      <w:marTop w:val="0"/>
      <w:marBottom w:val="0"/>
      <w:divBdr>
        <w:top w:val="none" w:sz="0" w:space="0" w:color="auto"/>
        <w:left w:val="none" w:sz="0" w:space="0" w:color="auto"/>
        <w:bottom w:val="none" w:sz="0" w:space="0" w:color="auto"/>
        <w:right w:val="none" w:sz="0" w:space="0" w:color="auto"/>
      </w:divBdr>
    </w:div>
    <w:div w:id="300306882">
      <w:bodyDiv w:val="1"/>
      <w:marLeft w:val="0"/>
      <w:marRight w:val="0"/>
      <w:marTop w:val="0"/>
      <w:marBottom w:val="0"/>
      <w:divBdr>
        <w:top w:val="none" w:sz="0" w:space="0" w:color="auto"/>
        <w:left w:val="none" w:sz="0" w:space="0" w:color="auto"/>
        <w:bottom w:val="none" w:sz="0" w:space="0" w:color="auto"/>
        <w:right w:val="none" w:sz="0" w:space="0" w:color="auto"/>
      </w:divBdr>
    </w:div>
    <w:div w:id="348724946">
      <w:bodyDiv w:val="1"/>
      <w:marLeft w:val="0"/>
      <w:marRight w:val="0"/>
      <w:marTop w:val="0"/>
      <w:marBottom w:val="0"/>
      <w:divBdr>
        <w:top w:val="none" w:sz="0" w:space="0" w:color="auto"/>
        <w:left w:val="none" w:sz="0" w:space="0" w:color="auto"/>
        <w:bottom w:val="none" w:sz="0" w:space="0" w:color="auto"/>
        <w:right w:val="none" w:sz="0" w:space="0" w:color="auto"/>
      </w:divBdr>
    </w:div>
    <w:div w:id="483664341">
      <w:bodyDiv w:val="1"/>
      <w:marLeft w:val="0"/>
      <w:marRight w:val="0"/>
      <w:marTop w:val="0"/>
      <w:marBottom w:val="0"/>
      <w:divBdr>
        <w:top w:val="none" w:sz="0" w:space="0" w:color="auto"/>
        <w:left w:val="none" w:sz="0" w:space="0" w:color="auto"/>
        <w:bottom w:val="none" w:sz="0" w:space="0" w:color="auto"/>
        <w:right w:val="none" w:sz="0" w:space="0" w:color="auto"/>
      </w:divBdr>
    </w:div>
    <w:div w:id="658509399">
      <w:bodyDiv w:val="1"/>
      <w:marLeft w:val="0"/>
      <w:marRight w:val="0"/>
      <w:marTop w:val="0"/>
      <w:marBottom w:val="0"/>
      <w:divBdr>
        <w:top w:val="none" w:sz="0" w:space="0" w:color="auto"/>
        <w:left w:val="none" w:sz="0" w:space="0" w:color="auto"/>
        <w:bottom w:val="none" w:sz="0" w:space="0" w:color="auto"/>
        <w:right w:val="none" w:sz="0" w:space="0" w:color="auto"/>
      </w:divBdr>
    </w:div>
    <w:div w:id="822547374">
      <w:bodyDiv w:val="1"/>
      <w:marLeft w:val="0"/>
      <w:marRight w:val="0"/>
      <w:marTop w:val="0"/>
      <w:marBottom w:val="0"/>
      <w:divBdr>
        <w:top w:val="none" w:sz="0" w:space="0" w:color="auto"/>
        <w:left w:val="none" w:sz="0" w:space="0" w:color="auto"/>
        <w:bottom w:val="none" w:sz="0" w:space="0" w:color="auto"/>
        <w:right w:val="none" w:sz="0" w:space="0" w:color="auto"/>
      </w:divBdr>
    </w:div>
    <w:div w:id="876358377">
      <w:bodyDiv w:val="1"/>
      <w:marLeft w:val="0"/>
      <w:marRight w:val="0"/>
      <w:marTop w:val="0"/>
      <w:marBottom w:val="0"/>
      <w:divBdr>
        <w:top w:val="none" w:sz="0" w:space="0" w:color="auto"/>
        <w:left w:val="none" w:sz="0" w:space="0" w:color="auto"/>
        <w:bottom w:val="none" w:sz="0" w:space="0" w:color="auto"/>
        <w:right w:val="none" w:sz="0" w:space="0" w:color="auto"/>
      </w:divBdr>
    </w:div>
    <w:div w:id="968125905">
      <w:bodyDiv w:val="1"/>
      <w:marLeft w:val="0"/>
      <w:marRight w:val="0"/>
      <w:marTop w:val="0"/>
      <w:marBottom w:val="0"/>
      <w:divBdr>
        <w:top w:val="none" w:sz="0" w:space="0" w:color="auto"/>
        <w:left w:val="none" w:sz="0" w:space="0" w:color="auto"/>
        <w:bottom w:val="none" w:sz="0" w:space="0" w:color="auto"/>
        <w:right w:val="none" w:sz="0" w:space="0" w:color="auto"/>
      </w:divBdr>
    </w:div>
    <w:div w:id="1428424830">
      <w:bodyDiv w:val="1"/>
      <w:marLeft w:val="0"/>
      <w:marRight w:val="0"/>
      <w:marTop w:val="0"/>
      <w:marBottom w:val="0"/>
      <w:divBdr>
        <w:top w:val="none" w:sz="0" w:space="0" w:color="auto"/>
        <w:left w:val="none" w:sz="0" w:space="0" w:color="auto"/>
        <w:bottom w:val="none" w:sz="0" w:space="0" w:color="auto"/>
        <w:right w:val="none" w:sz="0" w:space="0" w:color="auto"/>
      </w:divBdr>
    </w:div>
    <w:div w:id="1508907901">
      <w:bodyDiv w:val="1"/>
      <w:marLeft w:val="0"/>
      <w:marRight w:val="0"/>
      <w:marTop w:val="0"/>
      <w:marBottom w:val="0"/>
      <w:divBdr>
        <w:top w:val="none" w:sz="0" w:space="0" w:color="auto"/>
        <w:left w:val="none" w:sz="0" w:space="0" w:color="auto"/>
        <w:bottom w:val="none" w:sz="0" w:space="0" w:color="auto"/>
        <w:right w:val="none" w:sz="0" w:space="0" w:color="auto"/>
      </w:divBdr>
    </w:div>
    <w:div w:id="1556967825">
      <w:bodyDiv w:val="1"/>
      <w:marLeft w:val="0"/>
      <w:marRight w:val="0"/>
      <w:marTop w:val="0"/>
      <w:marBottom w:val="0"/>
      <w:divBdr>
        <w:top w:val="none" w:sz="0" w:space="0" w:color="auto"/>
        <w:left w:val="none" w:sz="0" w:space="0" w:color="auto"/>
        <w:bottom w:val="none" w:sz="0" w:space="0" w:color="auto"/>
        <w:right w:val="none" w:sz="0" w:space="0" w:color="auto"/>
      </w:divBdr>
    </w:div>
    <w:div w:id="1602453374">
      <w:bodyDiv w:val="1"/>
      <w:marLeft w:val="0"/>
      <w:marRight w:val="0"/>
      <w:marTop w:val="0"/>
      <w:marBottom w:val="0"/>
      <w:divBdr>
        <w:top w:val="none" w:sz="0" w:space="0" w:color="auto"/>
        <w:left w:val="none" w:sz="0" w:space="0" w:color="auto"/>
        <w:bottom w:val="none" w:sz="0" w:space="0" w:color="auto"/>
        <w:right w:val="none" w:sz="0" w:space="0" w:color="auto"/>
      </w:divBdr>
    </w:div>
    <w:div w:id="1809399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www.eefs.eu/conf/Prague/Papers/S602_Andrade_Divino_Rangel.pdf" TargetMode="External"/><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ipea.gov.b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con.fea.usp.br/nereus"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econ.fea.usp.br/nereus" TargetMode="Externa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DAB41B-C7D2-4EDA-9841-379A9FDCBB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1</Pages>
  <Words>7570</Words>
  <Characters>43151</Characters>
  <Application>Microsoft Office Word</Application>
  <DocSecurity>0</DocSecurity>
  <Lines>359</Lines>
  <Paragraphs>101</Paragraphs>
  <ScaleCrop>false</ScaleCrop>
  <HeadingPairs>
    <vt:vector size="2" baseType="variant">
      <vt:variant>
        <vt:lpstr>Title</vt:lpstr>
      </vt:variant>
      <vt:variant>
        <vt:i4>1</vt:i4>
      </vt:variant>
    </vt:vector>
  </HeadingPairs>
  <TitlesOfParts>
    <vt:vector size="1" baseType="lpstr">
      <vt:lpstr/>
    </vt:vector>
  </TitlesOfParts>
  <Company>University of Waikato</Company>
  <LinksUpToDate>false</LinksUpToDate>
  <CharactersWithSpaces>50620</CharactersWithSpaces>
  <SharedDoc>false</SharedDoc>
  <HLinks>
    <vt:vector size="30" baseType="variant">
      <vt:variant>
        <vt:i4>2490462</vt:i4>
      </vt:variant>
      <vt:variant>
        <vt:i4>18</vt:i4>
      </vt:variant>
      <vt:variant>
        <vt:i4>0</vt:i4>
      </vt:variant>
      <vt:variant>
        <vt:i4>5</vt:i4>
      </vt:variant>
      <vt:variant>
        <vt:lpwstr>http://www.eefs.eu/conf/Prague/Papers/S602_Andrade_Divino_Rangel.pdf</vt:lpwstr>
      </vt:variant>
      <vt:variant>
        <vt:lpwstr/>
      </vt:variant>
      <vt:variant>
        <vt:i4>3801138</vt:i4>
      </vt:variant>
      <vt:variant>
        <vt:i4>15</vt:i4>
      </vt:variant>
      <vt:variant>
        <vt:i4>0</vt:i4>
      </vt:variant>
      <vt:variant>
        <vt:i4>5</vt:i4>
      </vt:variant>
      <vt:variant>
        <vt:lpwstr>http://www.ipea.gov.br/</vt:lpwstr>
      </vt:variant>
      <vt:variant>
        <vt:lpwstr/>
      </vt:variant>
      <vt:variant>
        <vt:i4>131090</vt:i4>
      </vt:variant>
      <vt:variant>
        <vt:i4>12</vt:i4>
      </vt:variant>
      <vt:variant>
        <vt:i4>0</vt:i4>
      </vt:variant>
      <vt:variant>
        <vt:i4>5</vt:i4>
      </vt:variant>
      <vt:variant>
        <vt:lpwstr>http://www.econ.fea.usp.br/nereus</vt:lpwstr>
      </vt:variant>
      <vt:variant>
        <vt:lpwstr/>
      </vt:variant>
      <vt:variant>
        <vt:i4>131090</vt:i4>
      </vt:variant>
      <vt:variant>
        <vt:i4>9</vt:i4>
      </vt:variant>
      <vt:variant>
        <vt:i4>0</vt:i4>
      </vt:variant>
      <vt:variant>
        <vt:i4>5</vt:i4>
      </vt:variant>
      <vt:variant>
        <vt:lpwstr>http://www.econ.fea.usp.br/nereus</vt:lpwstr>
      </vt:variant>
      <vt:variant>
        <vt:lpwstr/>
      </vt:variant>
      <vt:variant>
        <vt:i4>3539016</vt:i4>
      </vt:variant>
      <vt:variant>
        <vt:i4>0</vt:i4>
      </vt:variant>
      <vt:variant>
        <vt:i4>0</vt:i4>
      </vt:variant>
      <vt:variant>
        <vt:i4>5</vt:i4>
      </vt:variant>
      <vt:variant>
        <vt:lpwstr>mailto:jpoot@waikato.ac.nz</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Waikato Management School</dc:creator>
  <cp:lastModifiedBy>Waikato Management School</cp:lastModifiedBy>
  <cp:revision>15</cp:revision>
  <cp:lastPrinted>2012-07-10T02:36:00Z</cp:lastPrinted>
  <dcterms:created xsi:type="dcterms:W3CDTF">2012-06-29T01:43:00Z</dcterms:created>
  <dcterms:modified xsi:type="dcterms:W3CDTF">2012-07-10T02:38:00Z</dcterms:modified>
</cp:coreProperties>
</file>