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7C5" w:rsidRDefault="007627C5" w:rsidP="00786AA4">
      <w:pPr>
        <w:jc w:val="both"/>
        <w:rPr>
          <w:b/>
        </w:rPr>
      </w:pPr>
    </w:p>
    <w:p w:rsidR="007627C5" w:rsidRPr="007B157E" w:rsidRDefault="007627C5" w:rsidP="007B157E">
      <w:pPr>
        <w:pStyle w:val="PlainText"/>
        <w:tabs>
          <w:tab w:val="left" w:pos="284"/>
        </w:tabs>
        <w:jc w:val="center"/>
        <w:rPr>
          <w:rFonts w:asciiTheme="minorHAnsi" w:hAnsiTheme="minorHAnsi"/>
          <w:b/>
          <w:sz w:val="28"/>
        </w:rPr>
      </w:pPr>
      <w:r w:rsidRPr="007B157E">
        <w:rPr>
          <w:rFonts w:asciiTheme="minorHAnsi" w:hAnsiTheme="minorHAnsi"/>
          <w:b/>
          <w:sz w:val="28"/>
        </w:rPr>
        <w:t>UNIVERSITY OF WAIKATO</w:t>
      </w:r>
    </w:p>
    <w:p w:rsidR="007627C5" w:rsidRPr="007B157E" w:rsidRDefault="007627C5" w:rsidP="007B157E">
      <w:pPr>
        <w:pStyle w:val="PlainText"/>
        <w:tabs>
          <w:tab w:val="left" w:pos="284"/>
        </w:tabs>
        <w:jc w:val="center"/>
        <w:rPr>
          <w:rFonts w:asciiTheme="minorHAnsi" w:hAnsiTheme="minorHAnsi"/>
          <w:b/>
          <w:sz w:val="28"/>
        </w:rPr>
      </w:pPr>
      <w:r w:rsidRPr="007B157E">
        <w:rPr>
          <w:rFonts w:asciiTheme="minorHAnsi" w:hAnsiTheme="minorHAnsi"/>
          <w:b/>
          <w:sz w:val="28"/>
        </w:rPr>
        <w:t>Hamilton</w:t>
      </w:r>
    </w:p>
    <w:p w:rsidR="007627C5" w:rsidRPr="007B157E" w:rsidRDefault="007627C5" w:rsidP="007B157E">
      <w:pPr>
        <w:pStyle w:val="PlainText"/>
        <w:tabs>
          <w:tab w:val="left" w:pos="284"/>
        </w:tabs>
        <w:jc w:val="center"/>
        <w:rPr>
          <w:rFonts w:asciiTheme="minorHAnsi" w:hAnsiTheme="minorHAnsi"/>
          <w:b/>
          <w:sz w:val="28"/>
        </w:rPr>
      </w:pPr>
      <w:r w:rsidRPr="007B157E">
        <w:rPr>
          <w:rFonts w:asciiTheme="minorHAnsi" w:hAnsiTheme="minorHAnsi"/>
          <w:b/>
          <w:sz w:val="28"/>
        </w:rPr>
        <w:t>New Zealand</w:t>
      </w:r>
    </w:p>
    <w:p w:rsidR="007B157E" w:rsidRPr="007B157E" w:rsidRDefault="007B157E" w:rsidP="007B157E">
      <w:pPr>
        <w:pStyle w:val="PlainText"/>
        <w:tabs>
          <w:tab w:val="left" w:pos="284"/>
        </w:tabs>
        <w:jc w:val="center"/>
        <w:rPr>
          <w:rFonts w:asciiTheme="minorHAnsi" w:hAnsiTheme="minorHAnsi"/>
          <w:b/>
          <w:sz w:val="28"/>
        </w:rPr>
      </w:pPr>
    </w:p>
    <w:p w:rsidR="007627C5" w:rsidRPr="007B157E" w:rsidRDefault="007627C5" w:rsidP="00786AA4">
      <w:pPr>
        <w:pStyle w:val="PlainText"/>
        <w:tabs>
          <w:tab w:val="left" w:pos="284"/>
        </w:tabs>
        <w:jc w:val="both"/>
        <w:rPr>
          <w:rFonts w:asciiTheme="minorHAnsi" w:hAnsiTheme="minorHAnsi"/>
          <w:b/>
          <w:sz w:val="14"/>
          <w:szCs w:val="14"/>
        </w:rPr>
      </w:pPr>
    </w:p>
    <w:p w:rsidR="007627C5" w:rsidRPr="007B157E" w:rsidRDefault="007627C5" w:rsidP="00786AA4">
      <w:pPr>
        <w:pStyle w:val="PlainText"/>
        <w:tabs>
          <w:tab w:val="left" w:pos="284"/>
        </w:tabs>
        <w:jc w:val="both"/>
        <w:rPr>
          <w:rFonts w:asciiTheme="minorHAnsi" w:hAnsiTheme="minorHAnsi"/>
          <w:b/>
          <w:sz w:val="14"/>
          <w:szCs w:val="14"/>
        </w:rPr>
      </w:pPr>
    </w:p>
    <w:p w:rsidR="0069154E" w:rsidRPr="007B157E" w:rsidRDefault="0069154E" w:rsidP="00786AA4">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s>
        <w:ind w:firstLine="431"/>
        <w:jc w:val="both"/>
        <w:rPr>
          <w:rFonts w:asciiTheme="minorHAnsi" w:hAnsiTheme="minorHAnsi"/>
          <w:b/>
          <w:sz w:val="28"/>
          <w:szCs w:val="28"/>
        </w:rPr>
      </w:pPr>
    </w:p>
    <w:p w:rsidR="00632E7E" w:rsidRDefault="00136B76" w:rsidP="007B157E">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s>
        <w:ind w:firstLine="431"/>
        <w:jc w:val="center"/>
        <w:rPr>
          <w:rFonts w:asciiTheme="minorHAnsi" w:hAnsiTheme="minorHAnsi"/>
          <w:b/>
          <w:sz w:val="28"/>
          <w:szCs w:val="28"/>
        </w:rPr>
      </w:pPr>
      <w:r w:rsidRPr="007B157E">
        <w:rPr>
          <w:rFonts w:asciiTheme="minorHAnsi" w:hAnsiTheme="minorHAnsi"/>
          <w:b/>
          <w:sz w:val="28"/>
          <w:szCs w:val="28"/>
        </w:rPr>
        <w:t>T</w:t>
      </w:r>
      <w:r w:rsidR="0045709A" w:rsidRPr="007B157E">
        <w:rPr>
          <w:rFonts w:asciiTheme="minorHAnsi" w:hAnsiTheme="minorHAnsi"/>
          <w:b/>
          <w:sz w:val="28"/>
          <w:szCs w:val="28"/>
        </w:rPr>
        <w:t>he Relevan</w:t>
      </w:r>
      <w:r w:rsidR="00632E7E">
        <w:rPr>
          <w:rFonts w:asciiTheme="minorHAnsi" w:hAnsiTheme="minorHAnsi"/>
          <w:b/>
          <w:sz w:val="28"/>
          <w:szCs w:val="28"/>
        </w:rPr>
        <w:t>ce of the ‘h’ and ‘g’ I</w:t>
      </w:r>
      <w:r w:rsidR="007B157E" w:rsidRPr="007B157E">
        <w:rPr>
          <w:rFonts w:asciiTheme="minorHAnsi" w:hAnsiTheme="minorHAnsi"/>
          <w:b/>
          <w:sz w:val="28"/>
          <w:szCs w:val="28"/>
        </w:rPr>
        <w:t>ndex to E</w:t>
      </w:r>
      <w:r w:rsidR="0045709A" w:rsidRPr="007B157E">
        <w:rPr>
          <w:rFonts w:asciiTheme="minorHAnsi" w:hAnsiTheme="minorHAnsi"/>
          <w:b/>
          <w:sz w:val="28"/>
          <w:szCs w:val="28"/>
        </w:rPr>
        <w:t xml:space="preserve">conomics </w:t>
      </w:r>
    </w:p>
    <w:p w:rsidR="007B157E" w:rsidRPr="007B157E" w:rsidRDefault="0045709A" w:rsidP="007B157E">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s>
        <w:ind w:firstLine="431"/>
        <w:jc w:val="center"/>
        <w:rPr>
          <w:rFonts w:asciiTheme="minorHAnsi" w:hAnsiTheme="minorHAnsi"/>
          <w:b/>
          <w:sz w:val="28"/>
          <w:szCs w:val="28"/>
        </w:rPr>
      </w:pPr>
      <w:proofErr w:type="gramStart"/>
      <w:r w:rsidRPr="007B157E">
        <w:rPr>
          <w:rFonts w:asciiTheme="minorHAnsi" w:hAnsiTheme="minorHAnsi"/>
          <w:b/>
          <w:sz w:val="28"/>
          <w:szCs w:val="28"/>
        </w:rPr>
        <w:t>in</w:t>
      </w:r>
      <w:proofErr w:type="gramEnd"/>
      <w:r w:rsidRPr="007B157E">
        <w:rPr>
          <w:rFonts w:asciiTheme="minorHAnsi" w:hAnsiTheme="minorHAnsi"/>
          <w:b/>
          <w:sz w:val="28"/>
          <w:szCs w:val="28"/>
        </w:rPr>
        <w:t xml:space="preserve"> the Context of a Nation-wide Research Evaluation Scheme: </w:t>
      </w:r>
    </w:p>
    <w:p w:rsidR="007627C5" w:rsidRPr="007B157E" w:rsidRDefault="0045709A" w:rsidP="007B157E">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s>
        <w:ind w:firstLine="431"/>
        <w:jc w:val="center"/>
        <w:rPr>
          <w:rFonts w:asciiTheme="minorHAnsi" w:hAnsiTheme="minorHAnsi"/>
          <w:b/>
          <w:sz w:val="28"/>
          <w:szCs w:val="28"/>
        </w:rPr>
      </w:pPr>
      <w:r w:rsidRPr="007B157E">
        <w:rPr>
          <w:rFonts w:asciiTheme="minorHAnsi" w:hAnsiTheme="minorHAnsi"/>
          <w:b/>
          <w:sz w:val="28"/>
          <w:szCs w:val="28"/>
        </w:rPr>
        <w:t>The New Zealand Case</w:t>
      </w:r>
    </w:p>
    <w:p w:rsidR="007627C5" w:rsidRPr="007B157E" w:rsidRDefault="007627C5" w:rsidP="007B157E">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s>
        <w:ind w:firstLine="431"/>
        <w:jc w:val="center"/>
        <w:rPr>
          <w:rFonts w:asciiTheme="minorHAnsi" w:hAnsiTheme="minorHAnsi"/>
          <w:b/>
          <w:sz w:val="28"/>
          <w:szCs w:val="28"/>
        </w:rPr>
      </w:pPr>
    </w:p>
    <w:p w:rsidR="007627C5" w:rsidRPr="007B157E" w:rsidRDefault="007627C5" w:rsidP="007B157E">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s>
        <w:ind w:firstLine="431"/>
        <w:jc w:val="center"/>
        <w:rPr>
          <w:rFonts w:asciiTheme="minorHAnsi" w:hAnsiTheme="minorHAnsi"/>
          <w:sz w:val="28"/>
        </w:rPr>
      </w:pPr>
      <w:r w:rsidRPr="007B157E">
        <w:rPr>
          <w:rFonts w:asciiTheme="minorHAnsi" w:hAnsiTheme="minorHAnsi"/>
          <w:sz w:val="28"/>
        </w:rPr>
        <w:t>David L. Anderson and John Tressler</w:t>
      </w:r>
    </w:p>
    <w:p w:rsidR="007627C5" w:rsidRPr="007B157E" w:rsidRDefault="007627C5" w:rsidP="00786AA4">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s>
        <w:spacing w:line="360" w:lineRule="auto"/>
        <w:jc w:val="both"/>
        <w:rPr>
          <w:rFonts w:asciiTheme="minorHAnsi" w:hAnsiTheme="minorHAnsi"/>
          <w:b/>
        </w:rPr>
      </w:pPr>
    </w:p>
    <w:p w:rsidR="007627C5" w:rsidRPr="007B157E" w:rsidRDefault="007627C5" w:rsidP="00786AA4">
      <w:pPr>
        <w:pStyle w:val="PlainText"/>
        <w:tabs>
          <w:tab w:val="left" w:pos="284"/>
        </w:tabs>
        <w:spacing w:before="100" w:line="360" w:lineRule="auto"/>
        <w:jc w:val="both"/>
        <w:rPr>
          <w:rFonts w:asciiTheme="minorHAnsi" w:hAnsiTheme="minorHAnsi"/>
          <w:b/>
          <w:bCs/>
          <w:sz w:val="28"/>
        </w:rPr>
      </w:pPr>
    </w:p>
    <w:p w:rsidR="00365D9A" w:rsidRPr="00365D9A" w:rsidRDefault="00365D9A" w:rsidP="00365D9A">
      <w:pPr>
        <w:pStyle w:val="PlainText"/>
        <w:tabs>
          <w:tab w:val="left" w:pos="426"/>
        </w:tabs>
        <w:spacing w:before="100" w:line="360" w:lineRule="auto"/>
        <w:jc w:val="center"/>
        <w:rPr>
          <w:rFonts w:asciiTheme="minorHAnsi" w:hAnsiTheme="minorHAnsi"/>
          <w:b/>
          <w:bCs/>
          <w:sz w:val="28"/>
        </w:rPr>
      </w:pPr>
      <w:r w:rsidRPr="00365D9A">
        <w:rPr>
          <w:rFonts w:asciiTheme="minorHAnsi" w:hAnsiTheme="minorHAnsi"/>
          <w:b/>
          <w:bCs/>
          <w:sz w:val="28"/>
        </w:rPr>
        <w:t>Department of Economics</w:t>
      </w:r>
    </w:p>
    <w:p w:rsidR="00365D9A" w:rsidRPr="00365D9A" w:rsidRDefault="00365D9A" w:rsidP="00365D9A">
      <w:pPr>
        <w:pStyle w:val="PlainText"/>
        <w:tabs>
          <w:tab w:val="left" w:pos="426"/>
        </w:tabs>
        <w:spacing w:before="100" w:line="360" w:lineRule="auto"/>
        <w:jc w:val="center"/>
        <w:rPr>
          <w:rFonts w:asciiTheme="minorHAnsi" w:hAnsiTheme="minorHAnsi"/>
          <w:b/>
          <w:bCs/>
          <w:sz w:val="28"/>
        </w:rPr>
      </w:pPr>
      <w:r w:rsidRPr="00365D9A">
        <w:rPr>
          <w:rFonts w:asciiTheme="minorHAnsi" w:hAnsiTheme="minorHAnsi"/>
          <w:b/>
          <w:bCs/>
          <w:sz w:val="28"/>
        </w:rPr>
        <w:t>Working Paper in Economics 04/12</w:t>
      </w:r>
    </w:p>
    <w:p w:rsidR="00365D9A" w:rsidRPr="00365D9A" w:rsidRDefault="00365D9A" w:rsidP="00365D9A">
      <w:pPr>
        <w:pStyle w:val="PlainText"/>
        <w:tabs>
          <w:tab w:val="left" w:pos="426"/>
        </w:tabs>
        <w:spacing w:before="100" w:line="360" w:lineRule="auto"/>
        <w:jc w:val="center"/>
        <w:rPr>
          <w:rFonts w:asciiTheme="minorHAnsi" w:hAnsiTheme="minorHAnsi"/>
          <w:sz w:val="28"/>
        </w:rPr>
      </w:pPr>
      <w:r w:rsidRPr="00365D9A">
        <w:rPr>
          <w:rFonts w:asciiTheme="minorHAnsi" w:hAnsiTheme="minorHAnsi"/>
          <w:sz w:val="28"/>
        </w:rPr>
        <w:t>April 2012</w:t>
      </w:r>
    </w:p>
    <w:p w:rsidR="007627C5" w:rsidRPr="007B157E" w:rsidRDefault="007627C5" w:rsidP="007B157E">
      <w:pPr>
        <w:pStyle w:val="PlainText"/>
        <w:tabs>
          <w:tab w:val="left" w:pos="284"/>
        </w:tabs>
        <w:jc w:val="center"/>
        <w:rPr>
          <w:rFonts w:asciiTheme="minorHAnsi" w:hAnsiTheme="minorHAnsi"/>
          <w:sz w:val="28"/>
        </w:rPr>
      </w:pPr>
    </w:p>
    <w:tbl>
      <w:tblPr>
        <w:tblW w:w="18484" w:type="dxa"/>
        <w:tblLook w:val="01E0"/>
      </w:tblPr>
      <w:tblGrid>
        <w:gridCol w:w="4621"/>
        <w:gridCol w:w="4621"/>
        <w:gridCol w:w="4621"/>
        <w:gridCol w:w="4621"/>
      </w:tblGrid>
      <w:tr w:rsidR="007627C5" w:rsidRPr="007B157E" w:rsidTr="0066332F">
        <w:trPr>
          <w:trHeight w:val="4472"/>
        </w:trPr>
        <w:tc>
          <w:tcPr>
            <w:tcW w:w="4621" w:type="dxa"/>
          </w:tcPr>
          <w:p w:rsidR="007627C5" w:rsidRPr="007B157E" w:rsidRDefault="007627C5" w:rsidP="007B157E">
            <w:pPr>
              <w:pStyle w:val="TitlePage"/>
              <w:widowControl/>
              <w:tabs>
                <w:tab w:val="left" w:pos="426"/>
              </w:tabs>
              <w:ind w:hanging="42"/>
              <w:rPr>
                <w:rFonts w:asciiTheme="minorHAnsi" w:hAnsiTheme="minorHAnsi"/>
                <w:i/>
                <w:szCs w:val="24"/>
              </w:rPr>
            </w:pPr>
            <w:r w:rsidRPr="007B157E">
              <w:rPr>
                <w:rFonts w:asciiTheme="minorHAnsi" w:hAnsiTheme="minorHAnsi"/>
                <w:i/>
                <w:szCs w:val="24"/>
              </w:rPr>
              <w:t>Corresponding Author</w:t>
            </w:r>
          </w:p>
          <w:p w:rsidR="007627C5" w:rsidRPr="007B157E" w:rsidRDefault="007627C5" w:rsidP="007B157E">
            <w:pPr>
              <w:pStyle w:val="BodyText"/>
              <w:spacing w:after="0"/>
              <w:ind w:hanging="40"/>
              <w:jc w:val="center"/>
              <w:rPr>
                <w:rFonts w:asciiTheme="minorHAnsi" w:hAnsiTheme="minorHAnsi"/>
                <w:b/>
                <w:lang w:val="en-NZ"/>
              </w:rPr>
            </w:pPr>
            <w:r w:rsidRPr="007B157E">
              <w:rPr>
                <w:rFonts w:asciiTheme="minorHAnsi" w:hAnsiTheme="minorHAnsi"/>
                <w:b/>
                <w:lang w:val="en-NZ"/>
              </w:rPr>
              <w:t>John Tressler</w:t>
            </w:r>
          </w:p>
          <w:p w:rsidR="007627C5" w:rsidRPr="007B157E" w:rsidRDefault="007627C5" w:rsidP="007B157E">
            <w:pPr>
              <w:pStyle w:val="BodyText"/>
              <w:spacing w:after="0"/>
              <w:ind w:hanging="40"/>
              <w:jc w:val="center"/>
              <w:rPr>
                <w:rFonts w:asciiTheme="minorHAnsi" w:hAnsiTheme="minorHAnsi"/>
                <w:lang w:val="en-NZ"/>
              </w:rPr>
            </w:pPr>
            <w:r w:rsidRPr="007B157E">
              <w:rPr>
                <w:rFonts w:asciiTheme="minorHAnsi" w:hAnsiTheme="minorHAnsi"/>
                <w:lang w:val="en-NZ"/>
              </w:rPr>
              <w:t>Economics Department</w:t>
            </w:r>
          </w:p>
          <w:p w:rsidR="007627C5" w:rsidRPr="007B157E" w:rsidRDefault="007627C5" w:rsidP="007B157E">
            <w:pPr>
              <w:pStyle w:val="BodyText"/>
              <w:spacing w:after="0"/>
              <w:ind w:hanging="40"/>
              <w:jc w:val="center"/>
              <w:rPr>
                <w:rFonts w:asciiTheme="minorHAnsi" w:hAnsiTheme="minorHAnsi"/>
                <w:lang w:val="en-NZ"/>
              </w:rPr>
            </w:pPr>
            <w:r w:rsidRPr="007B157E">
              <w:rPr>
                <w:rFonts w:asciiTheme="minorHAnsi" w:hAnsiTheme="minorHAnsi"/>
                <w:lang w:val="en-NZ"/>
              </w:rPr>
              <w:t>University of Waikato</w:t>
            </w:r>
          </w:p>
          <w:p w:rsidR="007627C5" w:rsidRPr="007B157E" w:rsidRDefault="007627C5" w:rsidP="007B157E">
            <w:pPr>
              <w:pStyle w:val="BodyText"/>
              <w:spacing w:after="0"/>
              <w:ind w:hanging="40"/>
              <w:jc w:val="center"/>
              <w:rPr>
                <w:rFonts w:asciiTheme="minorHAnsi" w:hAnsiTheme="minorHAnsi"/>
                <w:lang w:val="en-NZ"/>
              </w:rPr>
            </w:pPr>
            <w:r w:rsidRPr="007B157E">
              <w:rPr>
                <w:rFonts w:asciiTheme="minorHAnsi" w:hAnsiTheme="minorHAnsi"/>
                <w:lang w:val="en-NZ"/>
              </w:rPr>
              <w:t>Private Bag 3105</w:t>
            </w:r>
          </w:p>
          <w:p w:rsidR="007627C5" w:rsidRPr="007B157E" w:rsidRDefault="007627C5" w:rsidP="007B157E">
            <w:pPr>
              <w:pStyle w:val="BodyText"/>
              <w:spacing w:after="0"/>
              <w:ind w:hanging="40"/>
              <w:jc w:val="center"/>
              <w:rPr>
                <w:rFonts w:asciiTheme="minorHAnsi" w:hAnsiTheme="minorHAnsi"/>
                <w:lang w:val="en-NZ"/>
              </w:rPr>
            </w:pPr>
            <w:r w:rsidRPr="007B157E">
              <w:rPr>
                <w:rFonts w:asciiTheme="minorHAnsi" w:hAnsiTheme="minorHAnsi"/>
                <w:lang w:val="en-NZ"/>
              </w:rPr>
              <w:t>Hamilton</w:t>
            </w:r>
            <w:r w:rsidR="00F05919">
              <w:rPr>
                <w:rFonts w:asciiTheme="minorHAnsi" w:hAnsiTheme="minorHAnsi"/>
                <w:lang w:val="en-NZ"/>
              </w:rPr>
              <w:t>, 3240</w:t>
            </w:r>
          </w:p>
          <w:p w:rsidR="007627C5" w:rsidRPr="007B157E" w:rsidRDefault="007627C5" w:rsidP="007B157E">
            <w:pPr>
              <w:pStyle w:val="BodyText"/>
              <w:spacing w:after="0"/>
              <w:ind w:hanging="40"/>
              <w:jc w:val="center"/>
              <w:rPr>
                <w:rFonts w:asciiTheme="minorHAnsi" w:hAnsiTheme="minorHAnsi"/>
                <w:lang w:val="en-NZ"/>
              </w:rPr>
            </w:pPr>
            <w:r w:rsidRPr="007B157E">
              <w:rPr>
                <w:rFonts w:asciiTheme="minorHAnsi" w:hAnsiTheme="minorHAnsi"/>
                <w:lang w:val="en-NZ"/>
              </w:rPr>
              <w:t>NEW ZEALAND</w:t>
            </w:r>
          </w:p>
          <w:p w:rsidR="007627C5" w:rsidRPr="007B157E" w:rsidRDefault="007627C5" w:rsidP="007B157E">
            <w:pPr>
              <w:pStyle w:val="BodyText"/>
              <w:spacing w:after="0"/>
              <w:ind w:hanging="40"/>
              <w:jc w:val="center"/>
              <w:rPr>
                <w:rFonts w:asciiTheme="minorHAnsi" w:hAnsiTheme="minorHAnsi"/>
              </w:rPr>
            </w:pPr>
          </w:p>
          <w:p w:rsidR="007627C5" w:rsidRPr="007B157E" w:rsidRDefault="007627C5" w:rsidP="007B157E">
            <w:pPr>
              <w:pStyle w:val="Heading4"/>
              <w:spacing w:before="0" w:after="0"/>
              <w:ind w:hanging="40"/>
              <w:jc w:val="center"/>
              <w:rPr>
                <w:rFonts w:asciiTheme="minorHAnsi" w:hAnsiTheme="minorHAnsi"/>
                <w:b w:val="0"/>
                <w:bCs w:val="0"/>
                <w:sz w:val="24"/>
                <w:szCs w:val="24"/>
              </w:rPr>
            </w:pPr>
            <w:r w:rsidRPr="007B157E">
              <w:rPr>
                <w:rFonts w:asciiTheme="minorHAnsi" w:hAnsiTheme="minorHAnsi"/>
                <w:b w:val="0"/>
                <w:bCs w:val="0"/>
                <w:sz w:val="24"/>
                <w:szCs w:val="24"/>
              </w:rPr>
              <w:t>Tel: +64 (0) 7-838-4045</w:t>
            </w:r>
          </w:p>
          <w:p w:rsidR="007627C5" w:rsidRPr="007B157E" w:rsidRDefault="007627C5" w:rsidP="007B157E">
            <w:pPr>
              <w:pStyle w:val="Heading4"/>
              <w:spacing w:before="0" w:after="0"/>
              <w:ind w:hanging="40"/>
              <w:jc w:val="center"/>
              <w:rPr>
                <w:rFonts w:asciiTheme="minorHAnsi" w:hAnsiTheme="minorHAnsi"/>
                <w:b w:val="0"/>
                <w:bCs w:val="0"/>
                <w:sz w:val="24"/>
                <w:szCs w:val="24"/>
              </w:rPr>
            </w:pPr>
            <w:r w:rsidRPr="007B157E">
              <w:rPr>
                <w:rFonts w:asciiTheme="minorHAnsi" w:hAnsiTheme="minorHAnsi"/>
                <w:b w:val="0"/>
                <w:bCs w:val="0"/>
                <w:sz w:val="24"/>
                <w:szCs w:val="24"/>
              </w:rPr>
              <w:t xml:space="preserve">Email: </w:t>
            </w:r>
            <w:r w:rsidRPr="007B157E">
              <w:rPr>
                <w:rFonts w:asciiTheme="minorHAnsi" w:hAnsiTheme="minorHAnsi"/>
                <w:b w:val="0"/>
                <w:sz w:val="24"/>
                <w:szCs w:val="24"/>
              </w:rPr>
              <w:t>tressler@waikato.ac.nz</w:t>
            </w:r>
          </w:p>
          <w:p w:rsidR="007627C5" w:rsidRPr="007B157E" w:rsidRDefault="007627C5" w:rsidP="007B157E">
            <w:pPr>
              <w:spacing w:after="0" w:line="240" w:lineRule="auto"/>
              <w:jc w:val="center"/>
              <w:rPr>
                <w:sz w:val="24"/>
                <w:szCs w:val="24"/>
              </w:rPr>
            </w:pPr>
            <w:r w:rsidRPr="007B157E">
              <w:rPr>
                <w:sz w:val="24"/>
                <w:szCs w:val="24"/>
              </w:rPr>
              <w:t>Homepage:</w:t>
            </w:r>
          </w:p>
          <w:p w:rsidR="007627C5" w:rsidRPr="007B157E" w:rsidRDefault="007627C5" w:rsidP="007B157E">
            <w:pPr>
              <w:spacing w:after="0" w:line="240" w:lineRule="auto"/>
              <w:jc w:val="center"/>
              <w:rPr>
                <w:sz w:val="24"/>
                <w:szCs w:val="24"/>
              </w:rPr>
            </w:pPr>
            <w:r w:rsidRPr="007B157E">
              <w:rPr>
                <w:sz w:val="24"/>
                <w:szCs w:val="24"/>
              </w:rPr>
              <w:t>http://wms-soros.mngt.waikato.ac.nz/personal/tressler</w:t>
            </w:r>
          </w:p>
          <w:p w:rsidR="007627C5" w:rsidRPr="007B157E" w:rsidRDefault="007627C5" w:rsidP="007B157E">
            <w:pPr>
              <w:pStyle w:val="PlainText"/>
              <w:tabs>
                <w:tab w:val="left" w:pos="284"/>
              </w:tabs>
              <w:jc w:val="center"/>
              <w:rPr>
                <w:rFonts w:asciiTheme="minorHAnsi" w:hAnsiTheme="minorHAnsi"/>
                <w:sz w:val="28"/>
              </w:rPr>
            </w:pPr>
          </w:p>
        </w:tc>
        <w:tc>
          <w:tcPr>
            <w:tcW w:w="4621" w:type="dxa"/>
          </w:tcPr>
          <w:p w:rsidR="007627C5" w:rsidRPr="007B157E" w:rsidRDefault="007627C5" w:rsidP="007B157E">
            <w:pPr>
              <w:pStyle w:val="TitlePage"/>
              <w:widowControl/>
              <w:ind w:hanging="42"/>
              <w:rPr>
                <w:rFonts w:asciiTheme="minorHAnsi" w:hAnsiTheme="minorHAnsi"/>
                <w:b/>
                <w:szCs w:val="24"/>
              </w:rPr>
            </w:pPr>
          </w:p>
          <w:p w:rsidR="007627C5" w:rsidRPr="007B157E" w:rsidRDefault="007627C5" w:rsidP="007B157E">
            <w:pPr>
              <w:pStyle w:val="TitlePage"/>
              <w:widowControl/>
              <w:ind w:hanging="42"/>
              <w:rPr>
                <w:rFonts w:asciiTheme="minorHAnsi" w:hAnsiTheme="minorHAnsi"/>
                <w:b/>
                <w:szCs w:val="24"/>
              </w:rPr>
            </w:pPr>
            <w:r w:rsidRPr="007B157E">
              <w:rPr>
                <w:rFonts w:asciiTheme="minorHAnsi" w:hAnsiTheme="minorHAnsi"/>
                <w:b/>
                <w:szCs w:val="24"/>
              </w:rPr>
              <w:t>David L. Anderson</w:t>
            </w:r>
          </w:p>
          <w:p w:rsidR="007627C5" w:rsidRPr="007B157E" w:rsidRDefault="007627C5" w:rsidP="007B157E">
            <w:pPr>
              <w:pStyle w:val="TitlePage"/>
              <w:widowControl/>
              <w:ind w:hanging="42"/>
              <w:rPr>
                <w:rFonts w:asciiTheme="minorHAnsi" w:hAnsiTheme="minorHAnsi"/>
                <w:szCs w:val="24"/>
              </w:rPr>
            </w:pPr>
            <w:r w:rsidRPr="007B157E">
              <w:rPr>
                <w:rFonts w:asciiTheme="minorHAnsi" w:hAnsiTheme="minorHAnsi"/>
                <w:szCs w:val="24"/>
              </w:rPr>
              <w:t>School of Business</w:t>
            </w:r>
          </w:p>
          <w:p w:rsidR="007627C5" w:rsidRPr="007B157E" w:rsidRDefault="007627C5" w:rsidP="007B157E">
            <w:pPr>
              <w:pStyle w:val="TitlePage"/>
              <w:widowControl/>
              <w:ind w:hanging="42"/>
              <w:rPr>
                <w:rFonts w:asciiTheme="minorHAnsi" w:hAnsiTheme="minorHAnsi"/>
                <w:szCs w:val="24"/>
              </w:rPr>
            </w:pPr>
            <w:r w:rsidRPr="007B157E">
              <w:rPr>
                <w:rFonts w:asciiTheme="minorHAnsi" w:hAnsiTheme="minorHAnsi"/>
                <w:szCs w:val="24"/>
              </w:rPr>
              <w:t>Queen’s University</w:t>
            </w:r>
          </w:p>
          <w:p w:rsidR="007627C5" w:rsidRPr="007B157E" w:rsidRDefault="007627C5" w:rsidP="007B157E">
            <w:pPr>
              <w:pStyle w:val="TitlePage"/>
              <w:widowControl/>
              <w:ind w:hanging="42"/>
              <w:rPr>
                <w:rFonts w:asciiTheme="minorHAnsi" w:hAnsiTheme="minorHAnsi"/>
                <w:szCs w:val="24"/>
              </w:rPr>
            </w:pPr>
            <w:r w:rsidRPr="007B157E">
              <w:rPr>
                <w:rFonts w:asciiTheme="minorHAnsi" w:hAnsiTheme="minorHAnsi"/>
                <w:szCs w:val="24"/>
              </w:rPr>
              <w:t>Kingston, Ontario K7L 3N6</w:t>
            </w:r>
          </w:p>
          <w:p w:rsidR="007627C5" w:rsidRPr="007B157E" w:rsidRDefault="007627C5" w:rsidP="007B157E">
            <w:pPr>
              <w:pStyle w:val="TitlePage"/>
              <w:widowControl/>
              <w:ind w:hanging="42"/>
              <w:rPr>
                <w:rFonts w:asciiTheme="minorHAnsi" w:hAnsiTheme="minorHAnsi"/>
                <w:szCs w:val="24"/>
              </w:rPr>
            </w:pPr>
            <w:r w:rsidRPr="007B157E">
              <w:rPr>
                <w:rFonts w:asciiTheme="minorHAnsi" w:hAnsiTheme="minorHAnsi"/>
                <w:szCs w:val="24"/>
              </w:rPr>
              <w:t>CANADA</w:t>
            </w:r>
          </w:p>
          <w:p w:rsidR="007627C5" w:rsidRPr="007B157E" w:rsidRDefault="007627C5" w:rsidP="007B157E">
            <w:pPr>
              <w:pStyle w:val="TitlePage"/>
              <w:widowControl/>
              <w:ind w:hanging="42"/>
              <w:rPr>
                <w:rFonts w:asciiTheme="minorHAnsi" w:hAnsiTheme="minorHAnsi"/>
                <w:szCs w:val="24"/>
              </w:rPr>
            </w:pPr>
            <w:r w:rsidRPr="007B157E">
              <w:rPr>
                <w:rFonts w:asciiTheme="minorHAnsi" w:hAnsiTheme="minorHAnsi"/>
                <w:i/>
                <w:iCs/>
                <w:szCs w:val="24"/>
              </w:rPr>
              <w:t>and</w:t>
            </w:r>
          </w:p>
          <w:p w:rsidR="007627C5" w:rsidRPr="007B157E" w:rsidRDefault="001B16CC" w:rsidP="007B157E">
            <w:pPr>
              <w:pStyle w:val="TitlePage"/>
              <w:widowControl/>
              <w:ind w:hanging="42"/>
              <w:rPr>
                <w:rFonts w:asciiTheme="minorHAnsi" w:hAnsiTheme="minorHAnsi"/>
                <w:szCs w:val="24"/>
              </w:rPr>
            </w:pPr>
            <w:r w:rsidRPr="007B157E">
              <w:rPr>
                <w:rFonts w:asciiTheme="minorHAnsi" w:hAnsiTheme="minorHAnsi"/>
                <w:szCs w:val="24"/>
              </w:rPr>
              <w:t>Waikato Management School</w:t>
            </w:r>
          </w:p>
          <w:p w:rsidR="007627C5" w:rsidRPr="007B157E" w:rsidRDefault="007627C5" w:rsidP="007B157E">
            <w:pPr>
              <w:pStyle w:val="TitlePage"/>
              <w:widowControl/>
              <w:ind w:hanging="42"/>
              <w:rPr>
                <w:rFonts w:asciiTheme="minorHAnsi" w:hAnsiTheme="minorHAnsi"/>
                <w:szCs w:val="24"/>
              </w:rPr>
            </w:pPr>
            <w:r w:rsidRPr="007B157E">
              <w:rPr>
                <w:rFonts w:asciiTheme="minorHAnsi" w:hAnsiTheme="minorHAnsi"/>
                <w:szCs w:val="24"/>
              </w:rPr>
              <w:t>University of Waikato</w:t>
            </w:r>
          </w:p>
          <w:p w:rsidR="007627C5" w:rsidRPr="007B157E" w:rsidRDefault="007627C5" w:rsidP="007B157E">
            <w:pPr>
              <w:pStyle w:val="TitlePage"/>
              <w:widowControl/>
              <w:ind w:hanging="42"/>
              <w:rPr>
                <w:rFonts w:asciiTheme="minorHAnsi" w:hAnsiTheme="minorHAnsi"/>
                <w:szCs w:val="24"/>
              </w:rPr>
            </w:pPr>
            <w:r w:rsidRPr="007B157E">
              <w:rPr>
                <w:rFonts w:asciiTheme="minorHAnsi" w:hAnsiTheme="minorHAnsi"/>
                <w:szCs w:val="24"/>
              </w:rPr>
              <w:t>Hamilton</w:t>
            </w:r>
          </w:p>
          <w:p w:rsidR="007627C5" w:rsidRPr="007B157E" w:rsidRDefault="007627C5" w:rsidP="007B157E">
            <w:pPr>
              <w:pStyle w:val="TitlePage"/>
              <w:widowControl/>
              <w:ind w:hanging="42"/>
              <w:rPr>
                <w:rFonts w:asciiTheme="minorHAnsi" w:hAnsiTheme="minorHAnsi"/>
                <w:szCs w:val="24"/>
              </w:rPr>
            </w:pPr>
            <w:r w:rsidRPr="007B157E">
              <w:rPr>
                <w:rFonts w:asciiTheme="minorHAnsi" w:hAnsiTheme="minorHAnsi"/>
                <w:szCs w:val="24"/>
              </w:rPr>
              <w:t>NEW ZEALAND</w:t>
            </w:r>
          </w:p>
          <w:p w:rsidR="007627C5" w:rsidRPr="007B157E" w:rsidRDefault="007627C5" w:rsidP="007B157E">
            <w:pPr>
              <w:pStyle w:val="Heading4"/>
              <w:spacing w:before="0" w:after="0"/>
              <w:ind w:hanging="40"/>
              <w:jc w:val="center"/>
              <w:rPr>
                <w:rFonts w:asciiTheme="minorHAnsi" w:hAnsiTheme="minorHAnsi"/>
                <w:b w:val="0"/>
                <w:bCs w:val="0"/>
                <w:sz w:val="24"/>
                <w:szCs w:val="24"/>
              </w:rPr>
            </w:pPr>
          </w:p>
          <w:p w:rsidR="007627C5" w:rsidRPr="007B157E" w:rsidRDefault="007627C5" w:rsidP="007B157E">
            <w:pPr>
              <w:pStyle w:val="Heading4"/>
              <w:spacing w:before="0" w:after="0"/>
              <w:ind w:hanging="40"/>
              <w:jc w:val="center"/>
              <w:rPr>
                <w:rFonts w:asciiTheme="minorHAnsi" w:hAnsiTheme="minorHAnsi"/>
                <w:b w:val="0"/>
                <w:bCs w:val="0"/>
                <w:sz w:val="24"/>
                <w:szCs w:val="24"/>
              </w:rPr>
            </w:pPr>
            <w:r w:rsidRPr="007B157E">
              <w:rPr>
                <w:rFonts w:asciiTheme="minorHAnsi" w:hAnsiTheme="minorHAnsi"/>
                <w:b w:val="0"/>
                <w:bCs w:val="0"/>
                <w:sz w:val="24"/>
                <w:szCs w:val="24"/>
              </w:rPr>
              <w:t>Tel: 1-613-533-2362</w:t>
            </w:r>
          </w:p>
          <w:p w:rsidR="007627C5" w:rsidRPr="007B157E" w:rsidRDefault="007627C5" w:rsidP="007B157E">
            <w:pPr>
              <w:pStyle w:val="Heading4"/>
              <w:spacing w:before="0" w:after="0"/>
              <w:ind w:hanging="40"/>
              <w:jc w:val="center"/>
              <w:rPr>
                <w:rFonts w:asciiTheme="minorHAnsi" w:hAnsiTheme="minorHAnsi"/>
              </w:rPr>
            </w:pPr>
            <w:r w:rsidRPr="007B157E">
              <w:rPr>
                <w:rFonts w:asciiTheme="minorHAnsi" w:hAnsiTheme="minorHAnsi"/>
                <w:b w:val="0"/>
                <w:bCs w:val="0"/>
                <w:sz w:val="24"/>
                <w:szCs w:val="24"/>
              </w:rPr>
              <w:t>Email: dla@queensu.ca</w:t>
            </w:r>
          </w:p>
        </w:tc>
        <w:tc>
          <w:tcPr>
            <w:tcW w:w="4621" w:type="dxa"/>
          </w:tcPr>
          <w:p w:rsidR="007627C5" w:rsidRPr="007B157E" w:rsidRDefault="007627C5" w:rsidP="007B157E">
            <w:pPr>
              <w:pStyle w:val="PlainText"/>
              <w:tabs>
                <w:tab w:val="left" w:pos="284"/>
              </w:tabs>
              <w:jc w:val="center"/>
              <w:rPr>
                <w:rFonts w:asciiTheme="minorHAnsi" w:hAnsiTheme="minorHAnsi"/>
                <w:b/>
                <w:sz w:val="24"/>
                <w:szCs w:val="24"/>
              </w:rPr>
            </w:pPr>
          </w:p>
        </w:tc>
        <w:tc>
          <w:tcPr>
            <w:tcW w:w="4621" w:type="dxa"/>
          </w:tcPr>
          <w:p w:rsidR="007627C5" w:rsidRPr="007B157E" w:rsidRDefault="007627C5" w:rsidP="007B157E">
            <w:pPr>
              <w:pStyle w:val="Heading4"/>
              <w:spacing w:before="0" w:after="0"/>
              <w:ind w:hanging="40"/>
              <w:jc w:val="center"/>
              <w:rPr>
                <w:rFonts w:asciiTheme="minorHAnsi" w:hAnsiTheme="minorHAnsi"/>
              </w:rPr>
            </w:pPr>
          </w:p>
        </w:tc>
      </w:tr>
    </w:tbl>
    <w:p w:rsidR="007627C5" w:rsidRPr="007B157E" w:rsidRDefault="007627C5" w:rsidP="00786AA4">
      <w:pPr>
        <w:jc w:val="both"/>
        <w:rPr>
          <w:b/>
        </w:rPr>
      </w:pPr>
    </w:p>
    <w:p w:rsidR="000C0238" w:rsidRPr="007B157E" w:rsidRDefault="000C0238" w:rsidP="00786AA4">
      <w:pPr>
        <w:pStyle w:val="NoSpacing"/>
        <w:jc w:val="both"/>
        <w:rPr>
          <w:b/>
        </w:rPr>
      </w:pPr>
    </w:p>
    <w:p w:rsidR="000C0238" w:rsidRDefault="000C0238" w:rsidP="00786AA4">
      <w:pPr>
        <w:pStyle w:val="NoSpacing"/>
        <w:jc w:val="both"/>
        <w:rPr>
          <w:b/>
        </w:rPr>
      </w:pPr>
    </w:p>
    <w:p w:rsidR="007B157E" w:rsidRDefault="007B157E">
      <w:pPr>
        <w:rPr>
          <w:b/>
          <w:lang w:val="en-US"/>
        </w:rPr>
      </w:pPr>
    </w:p>
    <w:p w:rsidR="005B545E" w:rsidRDefault="005B545E" w:rsidP="007B157E">
      <w:pPr>
        <w:pStyle w:val="NoSpacing"/>
        <w:jc w:val="center"/>
        <w:rPr>
          <w:b/>
        </w:rPr>
      </w:pPr>
    </w:p>
    <w:p w:rsidR="005B545E" w:rsidRDefault="005B545E" w:rsidP="007B157E">
      <w:pPr>
        <w:pStyle w:val="NoSpacing"/>
        <w:jc w:val="center"/>
        <w:rPr>
          <w:b/>
        </w:rPr>
      </w:pPr>
    </w:p>
    <w:p w:rsidR="008E7B5C" w:rsidRPr="00FA37B0" w:rsidRDefault="008E7B5C" w:rsidP="007B157E">
      <w:pPr>
        <w:pStyle w:val="NoSpacing"/>
        <w:jc w:val="center"/>
        <w:rPr>
          <w:b/>
        </w:rPr>
      </w:pPr>
      <w:r w:rsidRPr="00FA37B0">
        <w:rPr>
          <w:b/>
        </w:rPr>
        <w:t>Abstract</w:t>
      </w:r>
    </w:p>
    <w:p w:rsidR="008E7B5C" w:rsidRPr="00FA37B0" w:rsidRDefault="008E7B5C" w:rsidP="00786AA4">
      <w:pPr>
        <w:pStyle w:val="NoSpacing"/>
        <w:jc w:val="both"/>
        <w:rPr>
          <w:b/>
        </w:rPr>
      </w:pPr>
    </w:p>
    <w:p w:rsidR="008E7B5C" w:rsidRPr="00FA37B0" w:rsidRDefault="00E005B4" w:rsidP="00632E7E">
      <w:pPr>
        <w:pStyle w:val="NoSpacing"/>
        <w:spacing w:line="360" w:lineRule="auto"/>
        <w:jc w:val="both"/>
        <w:rPr>
          <w:b/>
        </w:rPr>
      </w:pPr>
      <w:r>
        <w:t xml:space="preserve">The purpose of this paper is to explore the relevance of the </w:t>
      </w:r>
      <w:r w:rsidR="00D9788D">
        <w:t xml:space="preserve">citation-based </w:t>
      </w:r>
      <w:r>
        <w:t>‘h’ and ‘g’ index</w:t>
      </w:r>
      <w:r w:rsidR="00D9788D">
        <w:t>es</w:t>
      </w:r>
      <w:r>
        <w:t xml:space="preserve"> as a means for measuring research output in economics</w:t>
      </w:r>
      <w:r w:rsidR="007D0D34">
        <w:t xml:space="preserve">.  </w:t>
      </w:r>
      <w:r w:rsidR="00EE3BBE">
        <w:t xml:space="preserve">This study is unique in that it is the first to utilize the ‘h’ and ‘g’ indexes in the context of a time limited evaluation period and </w:t>
      </w:r>
      <w:r w:rsidR="002374E7">
        <w:t>to provide</w:t>
      </w:r>
      <w:r w:rsidR="00181949">
        <w:t xml:space="preserve"> </w:t>
      </w:r>
      <w:r w:rsidR="007D0D34">
        <w:t xml:space="preserve">comprehensive </w:t>
      </w:r>
      <w:r w:rsidR="00EE3BBE">
        <w:t xml:space="preserve">coverage of all academic economists in all university-based economics departments within a nation state.  </w:t>
      </w:r>
      <w:r>
        <w:t xml:space="preserve">For illustration purposes we have selected New Zealand’s Performance Based Research Fund (PBRF) as our evaluation scheme.  In order to provide a frame of reference for ‘h’ and ‘g’ index output measures, we have </w:t>
      </w:r>
      <w:r w:rsidR="00725D3E">
        <w:t xml:space="preserve">also </w:t>
      </w:r>
      <w:r w:rsidR="00D9788D">
        <w:t>estimated research output using a number of journal-based weighting schemes</w:t>
      </w:r>
      <w:r w:rsidR="00EE3BBE">
        <w:t xml:space="preserve">.  </w:t>
      </w:r>
      <w:r w:rsidR="00D9788D">
        <w:t xml:space="preserve">In general, our findings suggest that </w:t>
      </w:r>
      <w:r w:rsidR="00725D3E">
        <w:t>‘</w:t>
      </w:r>
      <w:r w:rsidR="00D9788D">
        <w:t>h</w:t>
      </w:r>
      <w:r w:rsidR="00725D3E">
        <w:t>’</w:t>
      </w:r>
      <w:r w:rsidR="00D9788D">
        <w:t xml:space="preserve"> and </w:t>
      </w:r>
      <w:r w:rsidR="00725D3E">
        <w:t>‘</w:t>
      </w:r>
      <w:r w:rsidR="00D9788D">
        <w:t>g</w:t>
      </w:r>
      <w:r w:rsidR="00725D3E">
        <w:t>’</w:t>
      </w:r>
      <w:r w:rsidR="00D9788D">
        <w:t xml:space="preserve"> index scores are </w:t>
      </w:r>
      <w:r w:rsidR="002374E7">
        <w:t>strongly</w:t>
      </w:r>
      <w:r w:rsidR="00D9788D">
        <w:t xml:space="preserve"> associated with low-powered journal ranking schemes and weakly associated with high powered journal weighting schemes.</w:t>
      </w:r>
      <w:r>
        <w:t xml:space="preserve"> </w:t>
      </w:r>
      <w:r w:rsidR="00D9788D">
        <w:t xml:space="preserve"> </w:t>
      </w:r>
      <w:r w:rsidR="00EE3BBE">
        <w:t xml:space="preserve">More specifically, we found the ‘h’ and ‘g’ indexes to suffer from a lack of differentiation: for example, 52 percent of all participants received a score of zero under both measures, and 92 and 89 percent received scores of </w:t>
      </w:r>
      <w:r w:rsidR="001B1D6A">
        <w:t xml:space="preserve">two or less </w:t>
      </w:r>
      <w:r w:rsidR="00EE3BBE">
        <w:t xml:space="preserve">under ‘h’ and ‘g’, respectively.  </w:t>
      </w:r>
      <w:r w:rsidR="006A122F">
        <w:t>Overall, our findings suggest that ‘h’ and ‘g’ indexes should not be incorporated into a PBRF-like framework.</w:t>
      </w:r>
    </w:p>
    <w:p w:rsidR="008E7B5C" w:rsidRPr="00FA37B0" w:rsidRDefault="008E7B5C" w:rsidP="00786AA4">
      <w:pPr>
        <w:pStyle w:val="NoSpacing"/>
        <w:jc w:val="both"/>
        <w:rPr>
          <w:b/>
        </w:rPr>
      </w:pPr>
    </w:p>
    <w:p w:rsidR="008E7B5C" w:rsidRPr="00FA37B0" w:rsidRDefault="008E7B5C" w:rsidP="00786AA4">
      <w:pPr>
        <w:pStyle w:val="NoSpacing"/>
        <w:jc w:val="both"/>
        <w:rPr>
          <w:b/>
        </w:rPr>
      </w:pPr>
    </w:p>
    <w:p w:rsidR="008E7B5C" w:rsidRPr="00FA37B0" w:rsidRDefault="008E7B5C" w:rsidP="00786AA4">
      <w:pPr>
        <w:pStyle w:val="NoSpacing"/>
        <w:jc w:val="both"/>
        <w:rPr>
          <w:b/>
        </w:rPr>
      </w:pPr>
    </w:p>
    <w:p w:rsidR="008E7B5C" w:rsidRPr="00FA37B0" w:rsidRDefault="008E7B5C" w:rsidP="00786AA4">
      <w:pPr>
        <w:pStyle w:val="NoSpacing"/>
        <w:jc w:val="both"/>
        <w:rPr>
          <w:b/>
        </w:rPr>
      </w:pPr>
    </w:p>
    <w:p w:rsidR="008E7B5C" w:rsidRPr="00FA37B0" w:rsidRDefault="008E7B5C" w:rsidP="00786AA4">
      <w:pPr>
        <w:pStyle w:val="NoSpacing"/>
        <w:jc w:val="both"/>
        <w:rPr>
          <w:b/>
        </w:rPr>
      </w:pPr>
    </w:p>
    <w:p w:rsidR="008E7B5C" w:rsidRPr="00FA37B0" w:rsidRDefault="008E7B5C" w:rsidP="007B157E">
      <w:pPr>
        <w:pStyle w:val="NoSpacing"/>
        <w:jc w:val="center"/>
        <w:rPr>
          <w:b/>
        </w:rPr>
      </w:pPr>
      <w:r w:rsidRPr="00FA37B0">
        <w:rPr>
          <w:b/>
        </w:rPr>
        <w:t>Keywords</w:t>
      </w:r>
    </w:p>
    <w:p w:rsidR="008E7B5C" w:rsidRPr="00632E7E" w:rsidRDefault="008E7B5C" w:rsidP="007B157E">
      <w:pPr>
        <w:pStyle w:val="NoSpacing"/>
        <w:jc w:val="center"/>
        <w:rPr>
          <w:b/>
          <w:sz w:val="10"/>
          <w:szCs w:val="10"/>
        </w:rPr>
      </w:pPr>
    </w:p>
    <w:p w:rsidR="009378FE" w:rsidRDefault="009378FE" w:rsidP="007B157E">
      <w:pPr>
        <w:pStyle w:val="NoSpacing"/>
        <w:jc w:val="center"/>
      </w:pPr>
      <w:r>
        <w:t>g and h indexes</w:t>
      </w:r>
    </w:p>
    <w:p w:rsidR="008E7B5C" w:rsidRPr="00FA37B0" w:rsidRDefault="007B157E" w:rsidP="007B157E">
      <w:pPr>
        <w:pStyle w:val="NoSpacing"/>
        <w:jc w:val="center"/>
      </w:pPr>
      <w:proofErr w:type="spellStart"/>
      <w:r>
        <w:t>b</w:t>
      </w:r>
      <w:r w:rsidR="001F6628">
        <w:t>ibliometrics</w:t>
      </w:r>
      <w:proofErr w:type="spellEnd"/>
    </w:p>
    <w:p w:rsidR="008E7B5C" w:rsidRPr="00FA37B0" w:rsidRDefault="007B157E" w:rsidP="007B157E">
      <w:pPr>
        <w:pStyle w:val="NoSpacing"/>
        <w:jc w:val="center"/>
      </w:pPr>
      <w:r>
        <w:t>j</w:t>
      </w:r>
      <w:r w:rsidR="008E7B5C" w:rsidRPr="00FA37B0">
        <w:t xml:space="preserve">ournal </w:t>
      </w:r>
      <w:r>
        <w:t>w</w:t>
      </w:r>
      <w:r w:rsidR="008E7B5C" w:rsidRPr="00FA37B0">
        <w:t xml:space="preserve">eighting </w:t>
      </w:r>
      <w:r>
        <w:t>s</w:t>
      </w:r>
      <w:r w:rsidR="008E7B5C" w:rsidRPr="00FA37B0">
        <w:t>chemes</w:t>
      </w:r>
    </w:p>
    <w:p w:rsidR="008E7B5C" w:rsidRPr="00FA37B0" w:rsidRDefault="008E7B5C" w:rsidP="007B157E">
      <w:pPr>
        <w:pStyle w:val="NoSpacing"/>
        <w:jc w:val="center"/>
      </w:pPr>
      <w:r w:rsidRPr="00FA37B0">
        <w:t>PBRF</w:t>
      </w:r>
    </w:p>
    <w:p w:rsidR="008E7B5C" w:rsidRPr="00FA37B0" w:rsidRDefault="007B157E" w:rsidP="007B157E">
      <w:pPr>
        <w:pStyle w:val="NoSpacing"/>
        <w:jc w:val="center"/>
      </w:pPr>
      <w:r>
        <w:t>r</w:t>
      </w:r>
      <w:r w:rsidR="008E7B5C" w:rsidRPr="00FA37B0">
        <w:t xml:space="preserve">esearch </w:t>
      </w:r>
      <w:r>
        <w:t>m</w:t>
      </w:r>
      <w:r w:rsidR="00716E30">
        <w:t>easurement</w:t>
      </w:r>
    </w:p>
    <w:p w:rsidR="008E7B5C" w:rsidRPr="00FA37B0" w:rsidRDefault="008E7B5C" w:rsidP="007B157E">
      <w:pPr>
        <w:pStyle w:val="NoSpacing"/>
        <w:jc w:val="center"/>
        <w:rPr>
          <w:b/>
        </w:rPr>
      </w:pPr>
    </w:p>
    <w:p w:rsidR="008E7B5C" w:rsidRPr="00FA37B0" w:rsidRDefault="008E7B5C" w:rsidP="007B157E">
      <w:pPr>
        <w:pStyle w:val="NoSpacing"/>
        <w:jc w:val="center"/>
        <w:rPr>
          <w:b/>
        </w:rPr>
      </w:pPr>
    </w:p>
    <w:p w:rsidR="008E7B5C" w:rsidRPr="00FA37B0" w:rsidRDefault="008E7B5C" w:rsidP="007B157E">
      <w:pPr>
        <w:pStyle w:val="NoSpacing"/>
        <w:jc w:val="center"/>
        <w:rPr>
          <w:b/>
        </w:rPr>
      </w:pPr>
    </w:p>
    <w:p w:rsidR="008E7B5C" w:rsidRPr="007945AA" w:rsidRDefault="008E7B5C" w:rsidP="007B157E">
      <w:pPr>
        <w:pStyle w:val="NoSpacing"/>
        <w:jc w:val="center"/>
        <w:rPr>
          <w:b/>
          <w:lang w:val="fr-FR"/>
        </w:rPr>
      </w:pPr>
      <w:r w:rsidRPr="007945AA">
        <w:rPr>
          <w:b/>
          <w:lang w:val="fr-FR"/>
        </w:rPr>
        <w:t>JEL Codes</w:t>
      </w:r>
    </w:p>
    <w:p w:rsidR="008E7B5C" w:rsidRPr="00632E7E" w:rsidRDefault="008E7B5C" w:rsidP="007B157E">
      <w:pPr>
        <w:pStyle w:val="NoSpacing"/>
        <w:jc w:val="center"/>
        <w:rPr>
          <w:b/>
          <w:sz w:val="10"/>
          <w:szCs w:val="10"/>
          <w:lang w:val="fr-FR"/>
        </w:rPr>
      </w:pPr>
    </w:p>
    <w:p w:rsidR="008E7B5C" w:rsidRDefault="008E7B5C" w:rsidP="007B157E">
      <w:pPr>
        <w:pStyle w:val="NoSpacing"/>
        <w:jc w:val="center"/>
        <w:rPr>
          <w:lang w:val="fr-FR"/>
        </w:rPr>
      </w:pPr>
      <w:r w:rsidRPr="007945AA">
        <w:rPr>
          <w:lang w:val="fr-FR"/>
        </w:rPr>
        <w:t>A19, C81, J24</w:t>
      </w:r>
    </w:p>
    <w:p w:rsidR="00632E7E" w:rsidRPr="007945AA" w:rsidRDefault="00632E7E" w:rsidP="007B157E">
      <w:pPr>
        <w:pStyle w:val="NoSpacing"/>
        <w:jc w:val="center"/>
        <w:rPr>
          <w:lang w:val="fr-FR"/>
        </w:rPr>
      </w:pPr>
    </w:p>
    <w:p w:rsidR="008E7B5C" w:rsidRPr="007945AA" w:rsidRDefault="008E7B5C" w:rsidP="00786AA4">
      <w:pPr>
        <w:pStyle w:val="NoSpacing"/>
        <w:jc w:val="both"/>
        <w:rPr>
          <w:b/>
          <w:lang w:val="fr-FR"/>
        </w:rPr>
      </w:pPr>
    </w:p>
    <w:p w:rsidR="00015ED4" w:rsidRDefault="00015ED4">
      <w:pPr>
        <w:rPr>
          <w:b/>
          <w:lang w:val="fr-FR"/>
        </w:rPr>
      </w:pPr>
      <w:r>
        <w:rPr>
          <w:b/>
          <w:lang w:val="fr-FR"/>
        </w:rPr>
        <w:br w:type="page"/>
      </w:r>
    </w:p>
    <w:p w:rsidR="00943905" w:rsidRPr="00AA2699" w:rsidRDefault="00943905" w:rsidP="00786AA4">
      <w:pPr>
        <w:pStyle w:val="ListParagraph"/>
        <w:numPr>
          <w:ilvl w:val="0"/>
          <w:numId w:val="2"/>
        </w:numPr>
        <w:jc w:val="both"/>
        <w:rPr>
          <w:b/>
          <w:lang w:val="fr-FR"/>
        </w:rPr>
      </w:pPr>
      <w:r w:rsidRPr="00AA2699">
        <w:rPr>
          <w:b/>
          <w:lang w:val="fr-FR"/>
        </w:rPr>
        <w:lastRenderedPageBreak/>
        <w:t>Introduction</w:t>
      </w:r>
    </w:p>
    <w:p w:rsidR="004C2365" w:rsidRDefault="004C2365" w:rsidP="00786AA4">
      <w:pPr>
        <w:jc w:val="both"/>
      </w:pPr>
      <w:r>
        <w:t xml:space="preserve">Research output measurement in economics has historically relied on </w:t>
      </w:r>
      <w:r w:rsidR="00223BF6">
        <w:t>journal weighting schemes, based either on reputational surveys or citation counts (adjusted in various ways).</w:t>
      </w:r>
      <w:r w:rsidR="00943905">
        <w:t xml:space="preserve"> T</w:t>
      </w:r>
      <w:r w:rsidR="00223BF6">
        <w:t xml:space="preserve">he basic idea </w:t>
      </w:r>
      <w:r>
        <w:t xml:space="preserve">behind this approach </w:t>
      </w:r>
      <w:r w:rsidR="0005658A">
        <w:t>is</w:t>
      </w:r>
      <w:r w:rsidR="00223BF6">
        <w:t xml:space="preserve"> that the value of a paper </w:t>
      </w:r>
      <w:r>
        <w:t xml:space="preserve">is best </w:t>
      </w:r>
      <w:r w:rsidR="00223BF6">
        <w:t xml:space="preserve">captured by the relative importance of the publishing journal.   For journal weighting schemes based on citation counts, the premise </w:t>
      </w:r>
      <w:r w:rsidR="0005658A">
        <w:t>is</w:t>
      </w:r>
      <w:r w:rsidR="00223BF6">
        <w:t xml:space="preserve"> that the expected citation flow from a given article </w:t>
      </w:r>
      <w:r w:rsidR="0005658A">
        <w:t>is</w:t>
      </w:r>
      <w:r w:rsidR="00223BF6">
        <w:t xml:space="preserve"> the mean number of citations generated by </w:t>
      </w:r>
      <w:r>
        <w:t xml:space="preserve">papers </w:t>
      </w:r>
      <w:r w:rsidR="00223BF6">
        <w:t xml:space="preserve">previously published in the </w:t>
      </w:r>
      <w:r w:rsidR="008D4630">
        <w:t xml:space="preserve">same journal.  However, recent work (Oswald, </w:t>
      </w:r>
      <w:r w:rsidR="0005658A">
        <w:t xml:space="preserve">2007; </w:t>
      </w:r>
      <w:r w:rsidR="003A1F77">
        <w:t xml:space="preserve">Wall, 2009; and </w:t>
      </w:r>
      <w:r w:rsidR="0005658A">
        <w:t xml:space="preserve">Chang, McAleer and </w:t>
      </w:r>
      <w:r w:rsidR="008D4630">
        <w:t>Oxley</w:t>
      </w:r>
      <w:r w:rsidR="00156555">
        <w:t>, 2011</w:t>
      </w:r>
      <w:r w:rsidR="008D4630">
        <w:t xml:space="preserve">) has shown that the distribution of citations is highly skewed, and that many papers in so-called leading journals fail to generate a single cite over periods as long as 25 years.  This </w:t>
      </w:r>
      <w:r w:rsidR="000D16A8">
        <w:t>‘</w:t>
      </w:r>
      <w:r w:rsidR="008D4630">
        <w:t>problem</w:t>
      </w:r>
      <w:r w:rsidR="000D16A8">
        <w:t>’</w:t>
      </w:r>
      <w:r w:rsidR="008D4630">
        <w:t xml:space="preserve"> has lead economists to shift the</w:t>
      </w:r>
      <w:r>
        <w:t>ir</w:t>
      </w:r>
      <w:r w:rsidR="008D4630">
        <w:t xml:space="preserve"> attention to direct citation measures that have been widely used in the sciences</w:t>
      </w:r>
      <w:r w:rsidR="00AA1CD2">
        <w:t>.  T</w:t>
      </w:r>
      <w:r w:rsidR="008D4630">
        <w:t xml:space="preserve">he basic argument in favour of using citation counts (raw or adjusted) is that </w:t>
      </w:r>
      <w:r w:rsidR="0005658A">
        <w:t xml:space="preserve">they </w:t>
      </w:r>
      <w:r w:rsidR="00156555">
        <w:t xml:space="preserve">purportedly </w:t>
      </w:r>
      <w:r w:rsidR="008D4630">
        <w:t xml:space="preserve">reflect the quality or impact of a paper.  That is, more heavily cited papers </w:t>
      </w:r>
      <w:r w:rsidR="00593ABF">
        <w:t xml:space="preserve">are said to </w:t>
      </w:r>
      <w:r w:rsidR="008D4630">
        <w:t>have a greater impact on the distribution of knowledge tha</w:t>
      </w:r>
      <w:r w:rsidR="00593ABF">
        <w:t>n</w:t>
      </w:r>
      <w:r w:rsidR="008D4630">
        <w:t xml:space="preserve"> less cited papers.  The increasing reliance on citations to reflect impact or quality has been </w:t>
      </w:r>
      <w:r w:rsidR="00F86592">
        <w:t xml:space="preserve">abetted by </w:t>
      </w:r>
      <w:r w:rsidR="00744AB7">
        <w:t xml:space="preserve">recent improvements in the range of </w:t>
      </w:r>
      <w:r w:rsidR="0005658A">
        <w:t xml:space="preserve">journal </w:t>
      </w:r>
      <w:r w:rsidR="00744AB7">
        <w:t>coverage</w:t>
      </w:r>
      <w:r w:rsidR="0005658A">
        <w:t xml:space="preserve"> and </w:t>
      </w:r>
      <w:r w:rsidR="00593ABF">
        <w:t xml:space="preserve">ease of </w:t>
      </w:r>
      <w:r w:rsidR="0005658A">
        <w:t>data manipulation</w:t>
      </w:r>
      <w:r w:rsidR="006722B3">
        <w:t xml:space="preserve">. </w:t>
      </w:r>
    </w:p>
    <w:p w:rsidR="00B21AAC" w:rsidRDefault="00B21AAC" w:rsidP="00786AA4">
      <w:pPr>
        <w:jc w:val="both"/>
      </w:pPr>
      <w:r>
        <w:t xml:space="preserve">In this paper we explore the use of various direct citation </w:t>
      </w:r>
      <w:r w:rsidR="00AA1CD2">
        <w:t>schemes to</w:t>
      </w:r>
      <w:r>
        <w:t xml:space="preserve"> measur</w:t>
      </w:r>
      <w:r w:rsidR="00AA1CD2">
        <w:t>e</w:t>
      </w:r>
      <w:r>
        <w:t xml:space="preserve"> research in economics departments across all universities in a nation-state, within the time frame imposed by most research assessment regimes.  More specifically, we </w:t>
      </w:r>
      <w:r w:rsidR="009679F6">
        <w:t xml:space="preserve">assess </w:t>
      </w:r>
      <w:r>
        <w:t xml:space="preserve">the merits of using </w:t>
      </w:r>
      <w:r w:rsidR="00385BEE">
        <w:t>direct citation measures in quantifying research in economics departments in New Zealand within the six year time span employed by the nation</w:t>
      </w:r>
      <w:r w:rsidR="002E6F08">
        <w:t xml:space="preserve">’s </w:t>
      </w:r>
      <w:r w:rsidR="00385BEE">
        <w:t>research assessment scheme-the P</w:t>
      </w:r>
      <w:r w:rsidR="00AA1CD2">
        <w:t xml:space="preserve">erformance </w:t>
      </w:r>
      <w:r w:rsidR="00385BEE">
        <w:t xml:space="preserve">Based Research Fund (PBRF).  It must be stressed that, at this time, the PBRF scheme is a peer-based exercise that grades every academic at all tertiary education providers in the country.  The first version of the scheme was </w:t>
      </w:r>
      <w:r w:rsidR="009F1BFF">
        <w:t xml:space="preserve">carried out </w:t>
      </w:r>
      <w:r w:rsidR="00385BEE">
        <w:t>in 2003 (covering research conducted over the period 2000-2002); the second exercise</w:t>
      </w:r>
      <w:r w:rsidR="00B21DCA">
        <w:t xml:space="preserve"> </w:t>
      </w:r>
      <w:r w:rsidR="00385BEE">
        <w:t xml:space="preserve">was held in 2006 </w:t>
      </w:r>
      <w:r w:rsidR="002E6F08">
        <w:t xml:space="preserve">and </w:t>
      </w:r>
      <w:r w:rsidR="009F1BFF">
        <w:t xml:space="preserve">assessed </w:t>
      </w:r>
      <w:r w:rsidR="00385BEE">
        <w:t xml:space="preserve">research </w:t>
      </w:r>
      <w:r w:rsidR="002E6F08">
        <w:t xml:space="preserve">produced </w:t>
      </w:r>
      <w:r w:rsidR="00385BEE">
        <w:t xml:space="preserve">over the period 2000-2005; and the next evaluation will be held in 2012 covering research published over the period 2006-2011.  </w:t>
      </w:r>
      <w:r w:rsidR="00D057A7">
        <w:t xml:space="preserve">It is our view that </w:t>
      </w:r>
      <w:r w:rsidR="002E6F08">
        <w:t xml:space="preserve">before another review is launched, </w:t>
      </w:r>
      <w:r w:rsidR="00D057A7">
        <w:t>there will be serious consideration given to moving</w:t>
      </w:r>
      <w:r w:rsidR="002E6F08">
        <w:t>, to some degree,</w:t>
      </w:r>
      <w:r w:rsidR="00D057A7">
        <w:t xml:space="preserve"> toward the use of bibliographic-based research assessment measures</w:t>
      </w:r>
      <w:r w:rsidR="0005658A">
        <w:t xml:space="preserve"> (RAMs)</w:t>
      </w:r>
      <w:r w:rsidR="002E6F08">
        <w:t xml:space="preserve">.  This position is based on three factors: </w:t>
      </w:r>
      <w:r w:rsidR="00B21DCA">
        <w:t xml:space="preserve">the availability of better </w:t>
      </w:r>
      <w:r w:rsidR="0005658A">
        <w:t xml:space="preserve">quality and quantity of </w:t>
      </w:r>
      <w:r w:rsidR="00B21DCA">
        <w:t xml:space="preserve">citations data, especially with respect to the social sciences; </w:t>
      </w:r>
      <w:r w:rsidR="00D46CC4">
        <w:t xml:space="preserve">potential </w:t>
      </w:r>
      <w:r w:rsidR="00B21DCA">
        <w:t xml:space="preserve">cost savings; </w:t>
      </w:r>
      <w:r w:rsidR="00D057A7">
        <w:t xml:space="preserve">and the </w:t>
      </w:r>
      <w:r w:rsidR="00B21DCA">
        <w:t>possible loss of con</w:t>
      </w:r>
      <w:r w:rsidR="00D46CC4">
        <w:t xml:space="preserve">fidence in the </w:t>
      </w:r>
      <w:r w:rsidR="000D16A8">
        <w:t>‘</w:t>
      </w:r>
      <w:r w:rsidR="00D057A7">
        <w:t>black-box</w:t>
      </w:r>
      <w:r w:rsidR="000D16A8">
        <w:t>’</w:t>
      </w:r>
      <w:r w:rsidR="00D057A7">
        <w:t xml:space="preserve"> </w:t>
      </w:r>
      <w:r w:rsidR="00D46CC4">
        <w:t>that lies at the heart of any peer-review system.</w:t>
      </w:r>
      <w:r w:rsidR="00C2012A">
        <w:t xml:space="preserve"> </w:t>
      </w:r>
    </w:p>
    <w:p w:rsidR="000D16A8" w:rsidRPr="000D16A8" w:rsidRDefault="000D16A8" w:rsidP="00786AA4">
      <w:pPr>
        <w:jc w:val="both"/>
        <w:rPr>
          <w:sz w:val="6"/>
          <w:szCs w:val="6"/>
        </w:rPr>
      </w:pPr>
    </w:p>
    <w:p w:rsidR="00A56937" w:rsidRPr="00AA2699" w:rsidRDefault="00A56937" w:rsidP="00786AA4">
      <w:pPr>
        <w:pStyle w:val="ListParagraph"/>
        <w:numPr>
          <w:ilvl w:val="0"/>
          <w:numId w:val="2"/>
        </w:numPr>
        <w:jc w:val="both"/>
        <w:rPr>
          <w:b/>
        </w:rPr>
      </w:pPr>
      <w:r w:rsidRPr="00AA2699">
        <w:rPr>
          <w:b/>
        </w:rPr>
        <w:t xml:space="preserve">Limitations of Journal-Based Weighting Schemes </w:t>
      </w:r>
    </w:p>
    <w:p w:rsidR="00904FED" w:rsidRDefault="00A56937" w:rsidP="00786AA4">
      <w:pPr>
        <w:jc w:val="both"/>
      </w:pPr>
      <w:r w:rsidRPr="00A56937">
        <w:t>Th</w:t>
      </w:r>
      <w:r w:rsidR="009B3F98">
        <w:t>e use of journal</w:t>
      </w:r>
      <w:r w:rsidR="0005658A">
        <w:t xml:space="preserve"> </w:t>
      </w:r>
      <w:r w:rsidR="009B3F98">
        <w:t xml:space="preserve">weighting schemes has come under increasing criticism.  </w:t>
      </w:r>
      <w:r w:rsidR="00F47722">
        <w:t xml:space="preserve">For example, consider the scheme developed by </w:t>
      </w:r>
      <w:proofErr w:type="spellStart"/>
      <w:r w:rsidR="001A3829">
        <w:t>Kalaitzidakis</w:t>
      </w:r>
      <w:proofErr w:type="spellEnd"/>
      <w:r w:rsidR="001A3829">
        <w:t xml:space="preserve">, </w:t>
      </w:r>
      <w:proofErr w:type="spellStart"/>
      <w:r w:rsidR="001A3829">
        <w:t>Mamuneas</w:t>
      </w:r>
      <w:proofErr w:type="spellEnd"/>
      <w:r w:rsidR="001A3829">
        <w:t xml:space="preserve"> and </w:t>
      </w:r>
      <w:proofErr w:type="spellStart"/>
      <w:r w:rsidR="001A3829">
        <w:t>Stengos</w:t>
      </w:r>
      <w:proofErr w:type="spellEnd"/>
      <w:r w:rsidR="001A3829">
        <w:t xml:space="preserve"> </w:t>
      </w:r>
      <w:r w:rsidR="00F47722">
        <w:t>(2003</w:t>
      </w:r>
      <w:r w:rsidR="00A3771E">
        <w:t>)</w:t>
      </w:r>
      <w:r w:rsidR="00F47722">
        <w:t xml:space="preserve"> (</w:t>
      </w:r>
      <w:r w:rsidR="001A3829">
        <w:t xml:space="preserve">this journal weighting scheme will henceforth be denoted as </w:t>
      </w:r>
      <w:r w:rsidR="001A3829" w:rsidRPr="001A3829">
        <w:rPr>
          <w:b/>
        </w:rPr>
        <w:t>KMS</w:t>
      </w:r>
      <w:r w:rsidR="001A3829">
        <w:t xml:space="preserve">) </w:t>
      </w:r>
      <w:r w:rsidR="00D27F56">
        <w:t xml:space="preserve">– </w:t>
      </w:r>
      <w:r w:rsidR="00F47722">
        <w:t xml:space="preserve">undoubtedly the most respected of the journal weighting schemes based on </w:t>
      </w:r>
      <w:r w:rsidR="001A3829">
        <w:t xml:space="preserve">the </w:t>
      </w:r>
      <w:r w:rsidR="00F47722">
        <w:t>impact factor methodology of Garfield (19</w:t>
      </w:r>
      <w:r w:rsidR="00414CE0">
        <w:t>72</w:t>
      </w:r>
      <w:r w:rsidR="00F47722">
        <w:t>)</w:t>
      </w:r>
      <w:r w:rsidR="00AA7279">
        <w:rPr>
          <w:rStyle w:val="FootnoteReference"/>
        </w:rPr>
        <w:footnoteReference w:id="1"/>
      </w:r>
      <w:r w:rsidR="00F47722">
        <w:t xml:space="preserve"> and the </w:t>
      </w:r>
      <w:r w:rsidR="006C7709">
        <w:t xml:space="preserve">recursive </w:t>
      </w:r>
      <w:r w:rsidR="00F47722">
        <w:t xml:space="preserve">adjustment model </w:t>
      </w:r>
      <w:r w:rsidR="00F47722">
        <w:lastRenderedPageBreak/>
        <w:t xml:space="preserve">developed by </w:t>
      </w:r>
      <w:proofErr w:type="spellStart"/>
      <w:r w:rsidR="00F47722">
        <w:t>Liebowitz</w:t>
      </w:r>
      <w:proofErr w:type="spellEnd"/>
      <w:r w:rsidR="00F47722">
        <w:t xml:space="preserve"> and Palmer (1984)</w:t>
      </w:r>
      <w:r w:rsidR="00AA7279">
        <w:rPr>
          <w:rStyle w:val="FootnoteReference"/>
        </w:rPr>
        <w:footnoteReference w:id="2"/>
      </w:r>
      <w:r w:rsidR="00F47722">
        <w:t xml:space="preserve">.  </w:t>
      </w:r>
      <w:r w:rsidR="00A15E5F">
        <w:t xml:space="preserve">  Th</w:t>
      </w:r>
      <w:r w:rsidR="00F47722">
        <w:t xml:space="preserve">e 2003 version of the </w:t>
      </w:r>
      <w:r w:rsidR="00F47722" w:rsidRPr="00AA7279">
        <w:rPr>
          <w:b/>
        </w:rPr>
        <w:t>KMS</w:t>
      </w:r>
      <w:r w:rsidR="00A15E5F">
        <w:t xml:space="preserve"> scheme rank</w:t>
      </w:r>
      <w:r w:rsidR="00F47722">
        <w:t>ed</w:t>
      </w:r>
      <w:r w:rsidR="00A15E5F">
        <w:t xml:space="preserve"> </w:t>
      </w:r>
      <w:r w:rsidR="00A3771E">
        <w:t xml:space="preserve">only </w:t>
      </w:r>
      <w:r w:rsidR="00A15E5F">
        <w:t>ISI</w:t>
      </w:r>
      <w:r w:rsidR="00A3771E">
        <w:rPr>
          <w:rStyle w:val="FootnoteReference"/>
        </w:rPr>
        <w:footnoteReference w:id="3"/>
      </w:r>
      <w:r w:rsidR="00A15E5F">
        <w:t>- listed journals (</w:t>
      </w:r>
      <w:r w:rsidR="00553E32">
        <w:t>143</w:t>
      </w:r>
      <w:r w:rsidR="00A15E5F">
        <w:t xml:space="preserve"> out of over 1500 currently listed in </w:t>
      </w:r>
      <w:proofErr w:type="spellStart"/>
      <w:r w:rsidR="00A15E5F">
        <w:t>Econ</w:t>
      </w:r>
      <w:r w:rsidR="009D28F7">
        <w:t>l</w:t>
      </w:r>
      <w:r w:rsidR="00A15E5F">
        <w:t>it</w:t>
      </w:r>
      <w:proofErr w:type="spellEnd"/>
      <w:r w:rsidR="00A15E5F">
        <w:t xml:space="preserve"> as economics or economics related journals).  While this may be </w:t>
      </w:r>
      <w:r w:rsidR="00A3771E">
        <w:t xml:space="preserve">an </w:t>
      </w:r>
      <w:r w:rsidR="00A15E5F">
        <w:t xml:space="preserve">appropriate </w:t>
      </w:r>
      <w:r w:rsidR="00F47722">
        <w:t xml:space="preserve">number of journals </w:t>
      </w:r>
      <w:r w:rsidR="00A15E5F">
        <w:t xml:space="preserve">for ranking </w:t>
      </w:r>
      <w:r w:rsidR="00F47722">
        <w:t xml:space="preserve">upper echelon </w:t>
      </w:r>
      <w:r w:rsidR="00A15E5F">
        <w:t>schools and researchers, it fails to reflect the fact that many economists publish in non-listed ISI journals</w:t>
      </w:r>
      <w:r w:rsidR="00F47722">
        <w:t xml:space="preserve">. </w:t>
      </w:r>
      <w:r w:rsidR="00375F03">
        <w:t xml:space="preserve"> </w:t>
      </w:r>
      <w:r w:rsidR="00C97735">
        <w:t xml:space="preserve">Furthermore, the nature of the weights assigned to top and lesser journals is such that </w:t>
      </w:r>
      <w:r w:rsidR="00156555">
        <w:t>they are u</w:t>
      </w:r>
      <w:r w:rsidR="00553E32">
        <w:t xml:space="preserve">nlikely to reflect real-life decision-making in most tenure, promotions and </w:t>
      </w:r>
      <w:r w:rsidR="00414CE0">
        <w:t>merit</w:t>
      </w:r>
      <w:r w:rsidR="00553E32">
        <w:t xml:space="preserve"> increase committees.  For example, under </w:t>
      </w:r>
      <w:r w:rsidR="00553E32" w:rsidRPr="00AA7279">
        <w:rPr>
          <w:b/>
        </w:rPr>
        <w:t>KMS</w:t>
      </w:r>
      <w:r w:rsidR="00553E32">
        <w:t>, the 30</w:t>
      </w:r>
      <w:r w:rsidR="00553E32" w:rsidRPr="00553E32">
        <w:rPr>
          <w:vertAlign w:val="superscript"/>
        </w:rPr>
        <w:t>th</w:t>
      </w:r>
      <w:r w:rsidR="00553E32">
        <w:t>, 50</w:t>
      </w:r>
      <w:r w:rsidR="00553E32" w:rsidRPr="00553E32">
        <w:rPr>
          <w:vertAlign w:val="superscript"/>
        </w:rPr>
        <w:t>th</w:t>
      </w:r>
      <w:r w:rsidR="00553E32">
        <w:t xml:space="preserve"> and 90</w:t>
      </w:r>
      <w:r w:rsidR="00553E32" w:rsidRPr="00553E32">
        <w:rPr>
          <w:vertAlign w:val="superscript"/>
        </w:rPr>
        <w:t>th</w:t>
      </w:r>
      <w:r w:rsidR="00553E32">
        <w:t xml:space="preserve"> ranked journals exhibit weights that are only 7.8, 3.9 and 0.8 percent as large as the weight assigned to the top ranked journal</w:t>
      </w:r>
      <w:r w:rsidR="00AA7279">
        <w:t xml:space="preserve">.  </w:t>
      </w:r>
      <w:r w:rsidR="00553E32">
        <w:t xml:space="preserve">In the New Zealand setting, this results in the top 30 </w:t>
      </w:r>
      <w:r w:rsidR="00553E32" w:rsidRPr="00AA7279">
        <w:rPr>
          <w:b/>
        </w:rPr>
        <w:t>KMS</w:t>
      </w:r>
      <w:r w:rsidR="00553E32">
        <w:t>-ranked journals utilized by N</w:t>
      </w:r>
      <w:r w:rsidR="00AA7279">
        <w:t>ew Zealand</w:t>
      </w:r>
      <w:r w:rsidR="00553E32">
        <w:t xml:space="preserve"> researchers generat</w:t>
      </w:r>
      <w:r w:rsidR="00CA5AF9">
        <w:t>ing</w:t>
      </w:r>
      <w:r w:rsidR="00553E32">
        <w:t xml:space="preserve"> 8</w:t>
      </w:r>
      <w:r w:rsidR="00C00005">
        <w:t>5</w:t>
      </w:r>
      <w:r w:rsidR="00553E32">
        <w:t xml:space="preserve"> percent of output </w:t>
      </w:r>
      <w:r w:rsidR="00A3771E">
        <w:t>(</w:t>
      </w:r>
      <w:r w:rsidR="00553E32">
        <w:t xml:space="preserve">from </w:t>
      </w:r>
      <w:r w:rsidR="00A3771E">
        <w:t xml:space="preserve">only </w:t>
      </w:r>
      <w:r w:rsidR="00C00005">
        <w:t>12</w:t>
      </w:r>
      <w:r w:rsidR="00553E32">
        <w:t xml:space="preserve"> percent of </w:t>
      </w:r>
      <w:r w:rsidR="00782242">
        <w:t>refereed papers</w:t>
      </w:r>
      <w:r w:rsidR="00A3771E">
        <w:t>)</w:t>
      </w:r>
      <w:r w:rsidR="00782242">
        <w:t xml:space="preserve">.  </w:t>
      </w:r>
      <w:r w:rsidR="007E0621">
        <w:t xml:space="preserve">The </w:t>
      </w:r>
      <w:r w:rsidR="007E0621" w:rsidRPr="00AA7279">
        <w:rPr>
          <w:b/>
        </w:rPr>
        <w:t>KMS</w:t>
      </w:r>
      <w:r w:rsidR="007E0621">
        <w:t xml:space="preserve"> scheme has also been criticized f</w:t>
      </w:r>
      <w:r w:rsidR="00AA1CD2">
        <w:t>or</w:t>
      </w:r>
      <w:r w:rsidR="007E0621">
        <w:t xml:space="preserve"> restricting countable citations to those generated by other journals on the ISI-economics list (</w:t>
      </w:r>
      <w:proofErr w:type="spellStart"/>
      <w:r w:rsidR="007E0621">
        <w:t>K</w:t>
      </w:r>
      <w:r w:rsidR="00A3771E">
        <w:t>odrzycki</w:t>
      </w:r>
      <w:proofErr w:type="spellEnd"/>
      <w:r w:rsidR="00A3771E">
        <w:t xml:space="preserve"> and Yu, </w:t>
      </w:r>
      <w:r w:rsidR="007E0621">
        <w:t>2006) and for failing to account for differing citation practices across sub-</w:t>
      </w:r>
      <w:r w:rsidR="0004521B">
        <w:t>disciplines</w:t>
      </w:r>
      <w:r w:rsidR="007E0621">
        <w:t xml:space="preserve"> within economics (</w:t>
      </w:r>
      <w:proofErr w:type="spellStart"/>
      <w:r w:rsidR="007E0621">
        <w:t>Palacious</w:t>
      </w:r>
      <w:proofErr w:type="spellEnd"/>
      <w:r w:rsidR="007E0621">
        <w:t xml:space="preserve">-Huerta &amp; </w:t>
      </w:r>
      <w:proofErr w:type="spellStart"/>
      <w:r w:rsidR="007E0621">
        <w:t>Volij</w:t>
      </w:r>
      <w:proofErr w:type="spellEnd"/>
      <w:r w:rsidR="007E0621">
        <w:t xml:space="preserve">, 2004).  </w:t>
      </w:r>
    </w:p>
    <w:p w:rsidR="007E0621" w:rsidRDefault="007E0621" w:rsidP="00786AA4">
      <w:pPr>
        <w:jc w:val="both"/>
      </w:pPr>
      <w:r>
        <w:t xml:space="preserve">More generally, all journal-weighting schemes based on the unadjusted or adjusted </w:t>
      </w:r>
      <w:r w:rsidR="000D16A8">
        <w:t>‘</w:t>
      </w:r>
      <w:r>
        <w:t>Impact Factor</w:t>
      </w:r>
      <w:r w:rsidR="000D16A8">
        <w:t>’</w:t>
      </w:r>
      <w:r>
        <w:t xml:space="preserve"> concept exhibit</w:t>
      </w:r>
      <w:r w:rsidR="003E1C13">
        <w:t xml:space="preserve"> a severe limitation: </w:t>
      </w:r>
      <w:r w:rsidR="000D16A8">
        <w:t>‘</w:t>
      </w:r>
      <w:r w:rsidR="003E1C13">
        <w:t>good</w:t>
      </w:r>
      <w:r w:rsidR="000D16A8">
        <w:t>’</w:t>
      </w:r>
      <w:r w:rsidR="003E1C13">
        <w:t xml:space="preserve"> papers can be found in lowly ranked journals and </w:t>
      </w:r>
      <w:r w:rsidR="000D16A8">
        <w:t>‘</w:t>
      </w:r>
      <w:r w:rsidR="003E1C13">
        <w:t>bad</w:t>
      </w:r>
      <w:r w:rsidR="000D16A8">
        <w:t>’</w:t>
      </w:r>
      <w:r w:rsidR="003E1C13">
        <w:t xml:space="preserve"> papers can be found in highly ranked journals.</w:t>
      </w:r>
      <w:r w:rsidR="001A3CBA">
        <w:t xml:space="preserve"> Recent work by </w:t>
      </w:r>
      <w:r w:rsidR="00925730">
        <w:t xml:space="preserve">Starbuck (2005), </w:t>
      </w:r>
      <w:r w:rsidR="001A3CBA">
        <w:t>Oswald (2007), Wall (20</w:t>
      </w:r>
      <w:r w:rsidR="00A3771E">
        <w:t>09</w:t>
      </w:r>
      <w:r w:rsidR="001A3CBA">
        <w:t>), and Chang, McAleer and Oxley (2011) ha</w:t>
      </w:r>
      <w:r w:rsidR="00325053">
        <w:t>ve</w:t>
      </w:r>
      <w:r w:rsidR="001A3CBA">
        <w:t xml:space="preserve"> clearly outlined the limitations of relying on journal- weights to reflect the expected impact of a given paper.  For example, Chang, McAleer and Oxley (2011)  found that over a 25 year span, more than 2</w:t>
      </w:r>
      <w:r w:rsidR="00DE0BE5">
        <w:t>6</w:t>
      </w:r>
      <w:r w:rsidR="001A3CBA">
        <w:t xml:space="preserve"> percent of articles in the top </w:t>
      </w:r>
      <w:r w:rsidR="0086217F">
        <w:t>4</w:t>
      </w:r>
      <w:r w:rsidR="001A3CBA">
        <w:t xml:space="preserve">0 journals, per the  </w:t>
      </w:r>
      <w:r w:rsidR="00414CE0">
        <w:t xml:space="preserve">Journal Citation Reports (JCR) </w:t>
      </w:r>
      <w:r w:rsidR="001A3CBA">
        <w:t xml:space="preserve">2Yr Impact Factor list, fail to receive a single cite, even of the self-generated variety.  Furthermore, the non-citation rate exceeds </w:t>
      </w:r>
      <w:r w:rsidR="00DE0BE5">
        <w:t>5</w:t>
      </w:r>
      <w:r w:rsidR="001A3CBA">
        <w:t xml:space="preserve">0 percent for </w:t>
      </w:r>
      <w:r w:rsidR="00AA1CD2">
        <w:t>six</w:t>
      </w:r>
      <w:r w:rsidR="001A3CBA">
        <w:t xml:space="preserve"> of the journals on this elite list.  Evidence of this sort suggests that reliance on </w:t>
      </w:r>
      <w:r w:rsidR="006C23C3">
        <w:t>a journa</w:t>
      </w:r>
      <w:r w:rsidR="00DC11FD">
        <w:t>l’s</w:t>
      </w:r>
      <w:r w:rsidR="006C23C3">
        <w:t xml:space="preserve"> overall performance may not be a good proxy of the expected life-time impact of an individual article.</w:t>
      </w:r>
    </w:p>
    <w:p w:rsidR="000D16A8" w:rsidRDefault="000D16A8" w:rsidP="00786AA4">
      <w:pPr>
        <w:jc w:val="both"/>
      </w:pPr>
    </w:p>
    <w:p w:rsidR="00325053" w:rsidRPr="00AA2699" w:rsidRDefault="00325053" w:rsidP="00786AA4">
      <w:pPr>
        <w:pStyle w:val="ListParagraph"/>
        <w:numPr>
          <w:ilvl w:val="0"/>
          <w:numId w:val="2"/>
        </w:numPr>
        <w:jc w:val="both"/>
        <w:rPr>
          <w:b/>
        </w:rPr>
      </w:pPr>
      <w:r w:rsidRPr="00AA2699">
        <w:rPr>
          <w:b/>
        </w:rPr>
        <w:t>Direct Citation Schemes</w:t>
      </w:r>
    </w:p>
    <w:p w:rsidR="002C6D51" w:rsidRDefault="00D73AAE" w:rsidP="00786AA4">
      <w:pPr>
        <w:jc w:val="both"/>
      </w:pPr>
      <w:r>
        <w:t xml:space="preserve">The primary alternative to using journal weighting schemes to measure </w:t>
      </w:r>
      <w:r w:rsidR="00C51308">
        <w:t>an article</w:t>
      </w:r>
      <w:r w:rsidR="00414CE0">
        <w:t>’</w:t>
      </w:r>
      <w:r w:rsidR="00C51308">
        <w:t xml:space="preserve">s </w:t>
      </w:r>
      <w:r>
        <w:t xml:space="preserve">impact </w:t>
      </w:r>
      <w:r w:rsidR="00C51308">
        <w:t xml:space="preserve">is </w:t>
      </w:r>
      <w:r>
        <w:t>to take account of the number of cites made</w:t>
      </w:r>
      <w:r w:rsidR="00AA1CD2">
        <w:t xml:space="preserve"> directly</w:t>
      </w:r>
      <w:r>
        <w:t xml:space="preserve"> to </w:t>
      </w:r>
      <w:r w:rsidR="00414CE0">
        <w:t>the</w:t>
      </w:r>
      <w:r>
        <w:t xml:space="preserve"> paper over a given period of time.  </w:t>
      </w:r>
      <w:r w:rsidR="00716E30">
        <w:t xml:space="preserve">As noted above, the basic argument in favour of using citation counts (raw or adjusted) is that they purportedly reflect the quality or impact of a paper.  That is, more heavily cited papers are said to have a greater impact on the distribution of knowledge than less cited papers.  </w:t>
      </w:r>
      <w:r w:rsidR="00DC677F">
        <w:t xml:space="preserve">When incorporated into a departmental study, the results can be presented either as the total number of cites or, more commonly, as the </w:t>
      </w:r>
      <w:r w:rsidR="00C51308">
        <w:t>number of share</w:t>
      </w:r>
      <w:r w:rsidR="00A16462">
        <w:t>-</w:t>
      </w:r>
      <w:r w:rsidR="00C51308">
        <w:t xml:space="preserve">adjusted </w:t>
      </w:r>
      <w:r w:rsidR="00DC677F">
        <w:t>cites per capita.  However, such an approach has limitations in ranking academic units</w:t>
      </w:r>
      <w:r w:rsidR="00E77BA8">
        <w:t xml:space="preserve"> and individuals</w:t>
      </w:r>
      <w:r w:rsidR="00DC677F">
        <w:t xml:space="preserve">.  </w:t>
      </w:r>
      <w:r w:rsidR="00E77BA8">
        <w:t xml:space="preserve">First, and perhaps the most fundamental problem is the basic premise that underlies </w:t>
      </w:r>
      <w:r w:rsidR="00E77BA8">
        <w:lastRenderedPageBreak/>
        <w:t xml:space="preserve">citation counting exercises: a </w:t>
      </w:r>
      <w:r w:rsidR="000D16A8">
        <w:t>‘</w:t>
      </w:r>
      <w:r w:rsidR="00E77BA8">
        <w:t xml:space="preserve">cite is </w:t>
      </w:r>
      <w:proofErr w:type="gramStart"/>
      <w:r w:rsidR="00E77BA8">
        <w:t>a cite</w:t>
      </w:r>
      <w:proofErr w:type="gramEnd"/>
      <w:r w:rsidR="000D16A8">
        <w:t>’</w:t>
      </w:r>
      <w:r w:rsidR="00E77BA8">
        <w:t xml:space="preserve">.  That is, equal weight is given to all cites regardless of the citing source.  </w:t>
      </w:r>
      <w:r w:rsidR="0087501E">
        <w:t xml:space="preserve">Second, </w:t>
      </w:r>
      <w:r w:rsidR="00DC677F">
        <w:t xml:space="preserve">the distribution of citations per paper is </w:t>
      </w:r>
      <w:r w:rsidR="0087501E">
        <w:t xml:space="preserve">known to be </w:t>
      </w:r>
      <w:r w:rsidR="00DC677F">
        <w:t xml:space="preserve">highly skewed; hence it is possible that departments with a few stars will perform very well even if most of the members of the department generate very few or zero cites.  This is a special problem in evaluating small departments.  </w:t>
      </w:r>
      <w:r w:rsidR="00E77BA8">
        <w:t>Third, t</w:t>
      </w:r>
      <w:r w:rsidR="002C6D51">
        <w:t xml:space="preserve">he ranking of individuals on the basis of cites per capita is also affected by the </w:t>
      </w:r>
      <w:r w:rsidR="000D16A8">
        <w:t>‘</w:t>
      </w:r>
      <w:r w:rsidR="00E77BA8">
        <w:t>big hit</w:t>
      </w:r>
      <w:r w:rsidR="000D16A8">
        <w:t>’</w:t>
      </w:r>
      <w:r w:rsidR="00E77BA8">
        <w:t xml:space="preserve"> </w:t>
      </w:r>
      <w:r w:rsidR="002C6D51">
        <w:t xml:space="preserve">issue: </w:t>
      </w:r>
      <w:r w:rsidR="00E77BA8">
        <w:t xml:space="preserve"> for example, should individual A with 200 cites to one paper be ranked equally with individual B with ten papers each of which has been cited twenty time</w:t>
      </w:r>
      <w:r w:rsidR="00D27F56">
        <w:t>s</w:t>
      </w:r>
      <w:r w:rsidR="00E77BA8">
        <w:t xml:space="preserve">?  </w:t>
      </w:r>
      <w:r w:rsidR="005D06BB">
        <w:t>This is just another example of the well known quantity versus quality problem that researchers face when attempting to measure non-market output.</w:t>
      </w:r>
    </w:p>
    <w:p w:rsidR="005D06BB" w:rsidRDefault="002C6D51" w:rsidP="00786AA4">
      <w:pPr>
        <w:jc w:val="both"/>
      </w:pPr>
      <w:r>
        <w:t>Arguably the best</w:t>
      </w:r>
      <w:r w:rsidR="005D06BB">
        <w:t>-</w:t>
      </w:r>
      <w:r>
        <w:t>known</w:t>
      </w:r>
      <w:r w:rsidR="00A16462">
        <w:t xml:space="preserve"> direct citations-based</w:t>
      </w:r>
      <w:r>
        <w:t xml:space="preserve"> scheme </w:t>
      </w:r>
      <w:r w:rsidR="00156555">
        <w:t xml:space="preserve">designed </w:t>
      </w:r>
      <w:r>
        <w:t xml:space="preserve">to </w:t>
      </w:r>
      <w:r w:rsidR="005D06BB">
        <w:t xml:space="preserve">address the quantity/quality problem is the </w:t>
      </w:r>
      <w:r w:rsidR="005D06BB" w:rsidRPr="00A23D23">
        <w:rPr>
          <w:b/>
        </w:rPr>
        <w:t>h</w:t>
      </w:r>
      <w:r w:rsidR="005D06BB">
        <w:t>-index developed by Hirsch (</w:t>
      </w:r>
      <w:r w:rsidR="00A23D23">
        <w:t>2005</w:t>
      </w:r>
      <w:r w:rsidR="005D06BB">
        <w:t xml:space="preserve">).  The </w:t>
      </w:r>
      <w:r w:rsidR="005D06BB" w:rsidRPr="00A23D23">
        <w:rPr>
          <w:b/>
        </w:rPr>
        <w:t>h</w:t>
      </w:r>
      <w:r w:rsidR="005D06BB">
        <w:t xml:space="preserve">-index is defined as follows: </w:t>
      </w:r>
      <w:r w:rsidR="000D16A8">
        <w:t>‘</w:t>
      </w:r>
      <w:r w:rsidR="00AA0F42">
        <w:t xml:space="preserve">A scientist has index </w:t>
      </w:r>
      <w:r w:rsidR="00AA0F42" w:rsidRPr="00AA0F42">
        <w:rPr>
          <w:b/>
        </w:rPr>
        <w:t>h</w:t>
      </w:r>
      <w:r w:rsidR="00AA0F42">
        <w:t xml:space="preserve"> if </w:t>
      </w:r>
      <w:r w:rsidR="00AA0F42" w:rsidRPr="00AA0F42">
        <w:rPr>
          <w:b/>
        </w:rPr>
        <w:t>h</w:t>
      </w:r>
      <w:r w:rsidR="00AA0F42">
        <w:t xml:space="preserve"> of his or her </w:t>
      </w:r>
      <w:proofErr w:type="spellStart"/>
      <w:r w:rsidR="00AA0F42">
        <w:t>Np</w:t>
      </w:r>
      <w:proofErr w:type="spellEnd"/>
      <w:r w:rsidR="00AA0F42">
        <w:t xml:space="preserve"> papers have at le</w:t>
      </w:r>
      <w:r w:rsidR="00837799">
        <w:t>a</w:t>
      </w:r>
      <w:r w:rsidR="00AA0F42">
        <w:t xml:space="preserve">st </w:t>
      </w:r>
      <w:r w:rsidR="00AA0F42" w:rsidRPr="00AA0F42">
        <w:rPr>
          <w:b/>
        </w:rPr>
        <w:t>h</w:t>
      </w:r>
      <w:r w:rsidR="00AA0F42">
        <w:t xml:space="preserve"> citations and the other (</w:t>
      </w:r>
      <w:proofErr w:type="spellStart"/>
      <w:r w:rsidR="00AA0F42">
        <w:t>Np</w:t>
      </w:r>
      <w:proofErr w:type="spellEnd"/>
      <w:r w:rsidR="00AA0F42">
        <w:t>-</w:t>
      </w:r>
      <w:r w:rsidR="00AA0F42" w:rsidRPr="00AA0F42">
        <w:rPr>
          <w:b/>
        </w:rPr>
        <w:t>h</w:t>
      </w:r>
      <w:r w:rsidR="00AA0F42">
        <w:t xml:space="preserve">) papers have fewer than &lt;= </w:t>
      </w:r>
      <w:r w:rsidR="00AA0F42" w:rsidRPr="00AA0F42">
        <w:rPr>
          <w:b/>
        </w:rPr>
        <w:t>h</w:t>
      </w:r>
      <w:r w:rsidR="00AA0F42">
        <w:t xml:space="preserve"> citations each</w:t>
      </w:r>
      <w:r w:rsidR="000D16A8">
        <w:t>’</w:t>
      </w:r>
      <w:r w:rsidR="00AA0F42">
        <w:t xml:space="preserve"> (Hirsch, 2005, p. 16569).  </w:t>
      </w:r>
      <w:r w:rsidR="005D06BB">
        <w:t xml:space="preserve">  A simple example will illustrate the concept</w:t>
      </w:r>
      <w:r w:rsidR="00AA0F42">
        <w:t xml:space="preserve">.  </w:t>
      </w:r>
      <w:proofErr w:type="gramStart"/>
      <w:r w:rsidR="00AA0F42">
        <w:t xml:space="preserve">From Table1 note that the largest number of papers satisfying the definition is </w:t>
      </w:r>
      <w:r w:rsidR="000D16A8">
        <w:t>‘</w:t>
      </w:r>
      <w:r w:rsidR="00AA0F42">
        <w:t>4</w:t>
      </w:r>
      <w:r w:rsidR="000D16A8">
        <w:t>’</w:t>
      </w:r>
      <w:r w:rsidR="00AA0F42">
        <w:t>.</w:t>
      </w:r>
      <w:proofErr w:type="gramEnd"/>
      <w:r w:rsidR="00AA0F42">
        <w:t xml:space="preserve">  That is, the fourth </w:t>
      </w:r>
      <w:r w:rsidR="00837799">
        <w:t xml:space="preserve">ranked </w:t>
      </w:r>
      <w:r w:rsidR="00AA0F42">
        <w:t xml:space="preserve">paper </w:t>
      </w:r>
      <w:r w:rsidR="00837799">
        <w:t xml:space="preserve">(where papers are ranked from highest to the lowest number of cites) </w:t>
      </w:r>
      <w:r w:rsidR="00AA0F42">
        <w:t xml:space="preserve">has five citations, but the fifth </w:t>
      </w:r>
      <w:r w:rsidR="00837799">
        <w:t xml:space="preserve">ranked </w:t>
      </w:r>
      <w:r w:rsidR="00AA0F42">
        <w:t>paper has only three citations and hence fails to satisfy the definition</w:t>
      </w:r>
      <w:r w:rsidR="00A0508C">
        <w:t xml:space="preserve">.  </w:t>
      </w:r>
      <w:r w:rsidR="005D06BB">
        <w:t xml:space="preserve">The intent of Hirsch’s proposal is clear: to </w:t>
      </w:r>
      <w:r w:rsidR="007403AF">
        <w:t xml:space="preserve">simultaneously </w:t>
      </w:r>
      <w:r w:rsidR="005D06BB">
        <w:t xml:space="preserve">give credit to researchers who are adept at capturing citations </w:t>
      </w:r>
      <w:r w:rsidR="007403AF">
        <w:t xml:space="preserve">and who produce a large number </w:t>
      </w:r>
      <w:r w:rsidR="005D06BB">
        <w:t>of refer</w:t>
      </w:r>
      <w:r w:rsidR="00AA1CD2">
        <w:t>e</w:t>
      </w:r>
      <w:r w:rsidR="005D06BB">
        <w:t>ed papers.  Hirsch</w:t>
      </w:r>
      <w:r w:rsidR="00CA5AF9">
        <w:t xml:space="preserve"> </w:t>
      </w:r>
      <w:r w:rsidR="005D06BB">
        <w:t xml:space="preserve">developed the concept to measure individual performance, but the concept has been extended to measure departmental or group activity. </w:t>
      </w:r>
      <w:r w:rsidR="0087501E">
        <w:t xml:space="preserve">  It should be noted that Hirsch accepted the premise that all cites are of equal value.</w:t>
      </w:r>
    </w:p>
    <w:p w:rsidR="00C466D6" w:rsidRDefault="00C466D6" w:rsidP="00786AA4">
      <w:pPr>
        <w:jc w:val="both"/>
      </w:pPr>
    </w:p>
    <w:tbl>
      <w:tblPr>
        <w:tblW w:w="5420" w:type="dxa"/>
        <w:jc w:val="center"/>
        <w:tblInd w:w="93" w:type="dxa"/>
        <w:tblLook w:val="04A0"/>
      </w:tblPr>
      <w:tblGrid>
        <w:gridCol w:w="1176"/>
        <w:gridCol w:w="1443"/>
        <w:gridCol w:w="1339"/>
        <w:gridCol w:w="1462"/>
      </w:tblGrid>
      <w:tr w:rsidR="007945AA" w:rsidRPr="007945AA" w:rsidTr="00C466D6">
        <w:trPr>
          <w:trHeight w:val="300"/>
          <w:jc w:val="center"/>
        </w:trPr>
        <w:tc>
          <w:tcPr>
            <w:tcW w:w="5420" w:type="dxa"/>
            <w:gridSpan w:val="4"/>
            <w:tcBorders>
              <w:top w:val="nil"/>
              <w:left w:val="nil"/>
              <w:bottom w:val="nil"/>
              <w:right w:val="nil"/>
            </w:tcBorders>
            <w:shd w:val="clear" w:color="auto" w:fill="auto"/>
            <w:noWrap/>
            <w:vAlign w:val="bottom"/>
            <w:hideMark/>
          </w:tcPr>
          <w:p w:rsidR="007945AA" w:rsidRDefault="007945AA" w:rsidP="00365D9A">
            <w:pPr>
              <w:spacing w:after="0" w:line="240" w:lineRule="auto"/>
              <w:jc w:val="center"/>
              <w:rPr>
                <w:rFonts w:ascii="Calibri" w:eastAsia="Times New Roman" w:hAnsi="Calibri" w:cs="Calibri"/>
                <w:i/>
                <w:iCs/>
                <w:color w:val="000000"/>
                <w:lang w:val="en-NZ" w:eastAsia="zh-CN"/>
              </w:rPr>
            </w:pPr>
            <w:r w:rsidRPr="007945AA">
              <w:rPr>
                <w:rFonts w:ascii="Calibri" w:eastAsia="Times New Roman" w:hAnsi="Calibri" w:cs="Calibri"/>
                <w:b/>
                <w:bCs/>
                <w:color w:val="000000"/>
                <w:lang w:val="en-NZ" w:eastAsia="zh-CN"/>
              </w:rPr>
              <w:t>T</w:t>
            </w:r>
            <w:r w:rsidRPr="009E0BE7">
              <w:rPr>
                <w:rFonts w:ascii="Calibri" w:eastAsia="Times New Roman" w:hAnsi="Calibri" w:cs="Calibri"/>
                <w:b/>
                <w:bCs/>
                <w:color w:val="000000"/>
                <w:lang w:val="en-NZ" w:eastAsia="zh-CN"/>
              </w:rPr>
              <w:t>able</w:t>
            </w:r>
            <w:r w:rsidRPr="007945AA">
              <w:rPr>
                <w:rFonts w:ascii="Calibri" w:eastAsia="Times New Roman" w:hAnsi="Calibri" w:cs="Calibri"/>
                <w:b/>
                <w:bCs/>
                <w:color w:val="000000"/>
                <w:lang w:val="en-NZ" w:eastAsia="zh-CN"/>
              </w:rPr>
              <w:t xml:space="preserve"> 1</w:t>
            </w:r>
            <w:r w:rsidRPr="007945AA">
              <w:rPr>
                <w:rFonts w:ascii="Calibri" w:eastAsia="Times New Roman" w:hAnsi="Calibri" w:cs="Calibri"/>
                <w:color w:val="000000"/>
                <w:lang w:val="en-NZ" w:eastAsia="zh-CN"/>
              </w:rPr>
              <w:t xml:space="preserve">.  </w:t>
            </w:r>
            <w:r w:rsidRPr="007945AA">
              <w:rPr>
                <w:rFonts w:ascii="Calibri" w:eastAsia="Times New Roman" w:hAnsi="Calibri" w:cs="Calibri"/>
                <w:i/>
                <w:iCs/>
                <w:color w:val="000000"/>
                <w:lang w:val="en-NZ" w:eastAsia="zh-CN"/>
              </w:rPr>
              <w:t>A</w:t>
            </w:r>
            <w:r w:rsidR="00C466D6" w:rsidRPr="009E0BE7">
              <w:rPr>
                <w:rFonts w:ascii="Calibri" w:eastAsia="Times New Roman" w:hAnsi="Calibri" w:cs="Calibri"/>
                <w:i/>
                <w:iCs/>
                <w:color w:val="000000"/>
                <w:lang w:val="en-NZ" w:eastAsia="zh-CN"/>
              </w:rPr>
              <w:t xml:space="preserve">n </w:t>
            </w:r>
            <w:r w:rsidRPr="007945AA">
              <w:rPr>
                <w:rFonts w:ascii="Calibri" w:eastAsia="Times New Roman" w:hAnsi="Calibri" w:cs="Calibri"/>
                <w:i/>
                <w:iCs/>
                <w:color w:val="000000"/>
                <w:lang w:val="en-NZ" w:eastAsia="zh-CN"/>
              </w:rPr>
              <w:t xml:space="preserve">Example </w:t>
            </w:r>
            <w:r w:rsidR="00C466D6" w:rsidRPr="009E0BE7">
              <w:rPr>
                <w:rFonts w:ascii="Calibri" w:eastAsia="Times New Roman" w:hAnsi="Calibri" w:cs="Calibri"/>
                <w:i/>
                <w:iCs/>
                <w:color w:val="000000"/>
                <w:lang w:val="en-NZ" w:eastAsia="zh-CN"/>
              </w:rPr>
              <w:t xml:space="preserve">of the </w:t>
            </w:r>
            <w:r w:rsidRPr="007945AA">
              <w:rPr>
                <w:rFonts w:ascii="Calibri" w:eastAsia="Times New Roman" w:hAnsi="Calibri" w:cs="Calibri"/>
                <w:i/>
                <w:iCs/>
                <w:color w:val="000000"/>
                <w:lang w:val="en-NZ" w:eastAsia="zh-CN"/>
              </w:rPr>
              <w:t>h and g</w:t>
            </w:r>
            <w:r w:rsidR="009E0BE7">
              <w:rPr>
                <w:rFonts w:ascii="Calibri" w:eastAsia="Times New Roman" w:hAnsi="Calibri" w:cs="Calibri"/>
                <w:i/>
                <w:iCs/>
                <w:color w:val="000000"/>
                <w:lang w:val="en-NZ" w:eastAsia="zh-CN"/>
              </w:rPr>
              <w:t xml:space="preserve"> </w:t>
            </w:r>
            <w:r w:rsidRPr="007945AA">
              <w:rPr>
                <w:rFonts w:ascii="Calibri" w:eastAsia="Times New Roman" w:hAnsi="Calibri" w:cs="Calibri"/>
                <w:i/>
                <w:iCs/>
                <w:color w:val="000000"/>
                <w:lang w:val="en-NZ" w:eastAsia="zh-CN"/>
              </w:rPr>
              <w:t>Index</w:t>
            </w:r>
          </w:p>
          <w:p w:rsidR="00365D9A" w:rsidRPr="00365D9A" w:rsidRDefault="00365D9A" w:rsidP="00365D9A">
            <w:pPr>
              <w:spacing w:after="0" w:line="240" w:lineRule="auto"/>
              <w:jc w:val="center"/>
              <w:rPr>
                <w:rFonts w:ascii="Calibri" w:eastAsia="Times New Roman" w:hAnsi="Calibri" w:cs="Calibri"/>
                <w:color w:val="000000"/>
                <w:sz w:val="8"/>
                <w:szCs w:val="8"/>
                <w:lang w:val="en-NZ" w:eastAsia="zh-CN"/>
              </w:rPr>
            </w:pPr>
          </w:p>
        </w:tc>
      </w:tr>
      <w:tr w:rsidR="007945AA" w:rsidRPr="007945AA" w:rsidTr="00C466D6">
        <w:trPr>
          <w:trHeight w:val="600"/>
          <w:jc w:val="center"/>
        </w:trPr>
        <w:tc>
          <w:tcPr>
            <w:tcW w:w="1176" w:type="dxa"/>
            <w:tcBorders>
              <w:top w:val="single" w:sz="4" w:space="0" w:color="auto"/>
              <w:left w:val="nil"/>
              <w:bottom w:val="single" w:sz="4" w:space="0" w:color="auto"/>
              <w:right w:val="nil"/>
            </w:tcBorders>
            <w:shd w:val="clear" w:color="auto" w:fill="auto"/>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Cites per Paper</w:t>
            </w:r>
          </w:p>
        </w:tc>
        <w:tc>
          <w:tcPr>
            <w:tcW w:w="1443" w:type="dxa"/>
            <w:tcBorders>
              <w:top w:val="single" w:sz="4" w:space="0" w:color="auto"/>
              <w:left w:val="nil"/>
              <w:bottom w:val="single" w:sz="4" w:space="0" w:color="auto"/>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Paper Rank</w:t>
            </w:r>
          </w:p>
        </w:tc>
        <w:tc>
          <w:tcPr>
            <w:tcW w:w="1339" w:type="dxa"/>
            <w:tcBorders>
              <w:top w:val="single" w:sz="4" w:space="0" w:color="auto"/>
              <w:left w:val="nil"/>
              <w:bottom w:val="single" w:sz="4" w:space="0" w:color="auto"/>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Total Cites</w:t>
            </w:r>
          </w:p>
        </w:tc>
        <w:tc>
          <w:tcPr>
            <w:tcW w:w="1462" w:type="dxa"/>
            <w:tcBorders>
              <w:top w:val="single" w:sz="4" w:space="0" w:color="auto"/>
              <w:left w:val="nil"/>
              <w:bottom w:val="single" w:sz="4" w:space="0" w:color="auto"/>
              <w:right w:val="nil"/>
            </w:tcBorders>
            <w:shd w:val="clear" w:color="auto" w:fill="auto"/>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Paper Rank Squared</w:t>
            </w:r>
          </w:p>
        </w:tc>
      </w:tr>
      <w:tr w:rsidR="007945AA" w:rsidRPr="007945AA" w:rsidTr="00C466D6">
        <w:trPr>
          <w:trHeight w:val="300"/>
          <w:jc w:val="center"/>
        </w:trPr>
        <w:tc>
          <w:tcPr>
            <w:tcW w:w="1176"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14</w:t>
            </w:r>
          </w:p>
        </w:tc>
        <w:tc>
          <w:tcPr>
            <w:tcW w:w="1443"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1</w:t>
            </w:r>
          </w:p>
        </w:tc>
        <w:tc>
          <w:tcPr>
            <w:tcW w:w="1339"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14</w:t>
            </w:r>
          </w:p>
        </w:tc>
        <w:tc>
          <w:tcPr>
            <w:tcW w:w="1462"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1</w:t>
            </w:r>
          </w:p>
        </w:tc>
      </w:tr>
      <w:tr w:rsidR="007945AA" w:rsidRPr="007945AA" w:rsidTr="00C466D6">
        <w:trPr>
          <w:trHeight w:val="300"/>
          <w:jc w:val="center"/>
        </w:trPr>
        <w:tc>
          <w:tcPr>
            <w:tcW w:w="1176"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9</w:t>
            </w:r>
          </w:p>
        </w:tc>
        <w:tc>
          <w:tcPr>
            <w:tcW w:w="1443"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2</w:t>
            </w:r>
          </w:p>
        </w:tc>
        <w:tc>
          <w:tcPr>
            <w:tcW w:w="1339"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23</w:t>
            </w:r>
          </w:p>
        </w:tc>
        <w:tc>
          <w:tcPr>
            <w:tcW w:w="1462"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4</w:t>
            </w:r>
          </w:p>
        </w:tc>
      </w:tr>
      <w:tr w:rsidR="007945AA" w:rsidRPr="007945AA" w:rsidTr="00C466D6">
        <w:trPr>
          <w:trHeight w:val="300"/>
          <w:jc w:val="center"/>
        </w:trPr>
        <w:tc>
          <w:tcPr>
            <w:tcW w:w="1176"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6</w:t>
            </w:r>
          </w:p>
        </w:tc>
        <w:tc>
          <w:tcPr>
            <w:tcW w:w="1443"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3</w:t>
            </w:r>
          </w:p>
        </w:tc>
        <w:tc>
          <w:tcPr>
            <w:tcW w:w="1339"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29</w:t>
            </w:r>
          </w:p>
        </w:tc>
        <w:tc>
          <w:tcPr>
            <w:tcW w:w="1462"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9</w:t>
            </w:r>
          </w:p>
        </w:tc>
      </w:tr>
      <w:tr w:rsidR="007945AA" w:rsidRPr="007945AA" w:rsidTr="00C466D6">
        <w:trPr>
          <w:trHeight w:val="300"/>
          <w:jc w:val="center"/>
        </w:trPr>
        <w:tc>
          <w:tcPr>
            <w:tcW w:w="1176"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5</w:t>
            </w:r>
          </w:p>
        </w:tc>
        <w:tc>
          <w:tcPr>
            <w:tcW w:w="1443"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b/>
                <w:bCs/>
                <w:color w:val="000000"/>
                <w:lang w:val="en-NZ" w:eastAsia="zh-CN"/>
              </w:rPr>
            </w:pPr>
            <w:r w:rsidRPr="007945AA">
              <w:rPr>
                <w:rFonts w:ascii="Calibri" w:eastAsia="Times New Roman" w:hAnsi="Calibri" w:cs="Calibri"/>
                <w:b/>
                <w:bCs/>
                <w:color w:val="000000"/>
                <w:lang w:val="en-NZ" w:eastAsia="zh-CN"/>
              </w:rPr>
              <w:t>4</w:t>
            </w:r>
          </w:p>
        </w:tc>
        <w:tc>
          <w:tcPr>
            <w:tcW w:w="1339"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34</w:t>
            </w:r>
          </w:p>
        </w:tc>
        <w:tc>
          <w:tcPr>
            <w:tcW w:w="1462"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16</w:t>
            </w:r>
          </w:p>
        </w:tc>
      </w:tr>
      <w:tr w:rsidR="007945AA" w:rsidRPr="007945AA" w:rsidTr="00C466D6">
        <w:trPr>
          <w:trHeight w:val="300"/>
          <w:jc w:val="center"/>
        </w:trPr>
        <w:tc>
          <w:tcPr>
            <w:tcW w:w="1176"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3</w:t>
            </w:r>
          </w:p>
        </w:tc>
        <w:tc>
          <w:tcPr>
            <w:tcW w:w="1443"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5</w:t>
            </w:r>
          </w:p>
        </w:tc>
        <w:tc>
          <w:tcPr>
            <w:tcW w:w="1339"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37</w:t>
            </w:r>
          </w:p>
        </w:tc>
        <w:tc>
          <w:tcPr>
            <w:tcW w:w="1462" w:type="dxa"/>
            <w:tcBorders>
              <w:top w:val="nil"/>
              <w:left w:val="nil"/>
              <w:bottom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25</w:t>
            </w:r>
          </w:p>
        </w:tc>
      </w:tr>
      <w:tr w:rsidR="007945AA" w:rsidRPr="007945AA" w:rsidTr="00C466D6">
        <w:trPr>
          <w:trHeight w:val="300"/>
          <w:jc w:val="center"/>
        </w:trPr>
        <w:tc>
          <w:tcPr>
            <w:tcW w:w="1176" w:type="dxa"/>
            <w:tcBorders>
              <w:top w:val="nil"/>
              <w:left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2</w:t>
            </w:r>
          </w:p>
        </w:tc>
        <w:tc>
          <w:tcPr>
            <w:tcW w:w="1443" w:type="dxa"/>
            <w:tcBorders>
              <w:top w:val="nil"/>
              <w:left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b/>
                <w:bCs/>
                <w:color w:val="000000"/>
                <w:lang w:val="en-NZ" w:eastAsia="zh-CN"/>
              </w:rPr>
            </w:pPr>
            <w:r w:rsidRPr="007945AA">
              <w:rPr>
                <w:rFonts w:ascii="Calibri" w:eastAsia="Times New Roman" w:hAnsi="Calibri" w:cs="Calibri"/>
                <w:b/>
                <w:bCs/>
                <w:color w:val="000000"/>
                <w:lang w:val="en-NZ" w:eastAsia="zh-CN"/>
              </w:rPr>
              <w:t>6</w:t>
            </w:r>
          </w:p>
        </w:tc>
        <w:tc>
          <w:tcPr>
            <w:tcW w:w="1339" w:type="dxa"/>
            <w:tcBorders>
              <w:top w:val="nil"/>
              <w:left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39</w:t>
            </w:r>
          </w:p>
        </w:tc>
        <w:tc>
          <w:tcPr>
            <w:tcW w:w="1462" w:type="dxa"/>
            <w:tcBorders>
              <w:top w:val="nil"/>
              <w:left w:val="nil"/>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36</w:t>
            </w:r>
          </w:p>
        </w:tc>
      </w:tr>
      <w:tr w:rsidR="007945AA" w:rsidRPr="007945AA" w:rsidTr="00C466D6">
        <w:trPr>
          <w:trHeight w:val="300"/>
          <w:jc w:val="center"/>
        </w:trPr>
        <w:tc>
          <w:tcPr>
            <w:tcW w:w="1176" w:type="dxa"/>
            <w:tcBorders>
              <w:top w:val="nil"/>
              <w:left w:val="nil"/>
              <w:bottom w:val="single" w:sz="4" w:space="0" w:color="auto"/>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1</w:t>
            </w:r>
          </w:p>
        </w:tc>
        <w:tc>
          <w:tcPr>
            <w:tcW w:w="1443" w:type="dxa"/>
            <w:tcBorders>
              <w:top w:val="nil"/>
              <w:left w:val="nil"/>
              <w:bottom w:val="single" w:sz="4" w:space="0" w:color="auto"/>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7</w:t>
            </w:r>
          </w:p>
        </w:tc>
        <w:tc>
          <w:tcPr>
            <w:tcW w:w="1339" w:type="dxa"/>
            <w:tcBorders>
              <w:top w:val="nil"/>
              <w:left w:val="nil"/>
              <w:bottom w:val="single" w:sz="4" w:space="0" w:color="auto"/>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40</w:t>
            </w:r>
          </w:p>
        </w:tc>
        <w:tc>
          <w:tcPr>
            <w:tcW w:w="1462" w:type="dxa"/>
            <w:tcBorders>
              <w:top w:val="nil"/>
              <w:left w:val="nil"/>
              <w:bottom w:val="single" w:sz="4" w:space="0" w:color="auto"/>
              <w:right w:val="nil"/>
            </w:tcBorders>
            <w:shd w:val="clear" w:color="auto" w:fill="auto"/>
            <w:noWrap/>
            <w:vAlign w:val="bottom"/>
            <w:hideMark/>
          </w:tcPr>
          <w:p w:rsidR="007945AA" w:rsidRPr="007945AA" w:rsidRDefault="007945AA" w:rsidP="000D16A8">
            <w:pPr>
              <w:spacing w:after="0" w:line="240" w:lineRule="auto"/>
              <w:jc w:val="center"/>
              <w:rPr>
                <w:rFonts w:ascii="Calibri" w:eastAsia="Times New Roman" w:hAnsi="Calibri" w:cs="Calibri"/>
                <w:color w:val="000000"/>
                <w:lang w:val="en-NZ" w:eastAsia="zh-CN"/>
              </w:rPr>
            </w:pPr>
            <w:r w:rsidRPr="007945AA">
              <w:rPr>
                <w:rFonts w:ascii="Calibri" w:eastAsia="Times New Roman" w:hAnsi="Calibri" w:cs="Calibri"/>
                <w:color w:val="000000"/>
                <w:lang w:val="en-NZ" w:eastAsia="zh-CN"/>
              </w:rPr>
              <w:t>49</w:t>
            </w:r>
          </w:p>
        </w:tc>
      </w:tr>
    </w:tbl>
    <w:p w:rsidR="007945AA" w:rsidRDefault="007945AA" w:rsidP="00786AA4">
      <w:pPr>
        <w:jc w:val="both"/>
      </w:pPr>
    </w:p>
    <w:p w:rsidR="00920430" w:rsidRPr="0034507A" w:rsidRDefault="003B00A7" w:rsidP="00786AA4">
      <w:pPr>
        <w:jc w:val="both"/>
      </w:pPr>
      <w:r w:rsidRPr="0034507A">
        <w:t xml:space="preserve">Although the </w:t>
      </w:r>
      <w:r w:rsidRPr="0034507A">
        <w:rPr>
          <w:b/>
        </w:rPr>
        <w:t>h</w:t>
      </w:r>
      <w:r w:rsidRPr="0034507A">
        <w:t xml:space="preserve">-index makes an attempt to reflect success in both publishing and </w:t>
      </w:r>
      <w:r w:rsidR="00A23D23" w:rsidRPr="0034507A">
        <w:t xml:space="preserve">cite </w:t>
      </w:r>
      <w:r w:rsidRPr="0034507A">
        <w:t>capturing</w:t>
      </w:r>
      <w:r w:rsidR="00A23D23" w:rsidRPr="0034507A">
        <w:t xml:space="preserve">, </w:t>
      </w:r>
      <w:r w:rsidRPr="0034507A">
        <w:t xml:space="preserve">it has detractors.  </w:t>
      </w:r>
      <w:r w:rsidR="00471F9F" w:rsidRPr="0034507A">
        <w:t xml:space="preserve">For example, </w:t>
      </w:r>
      <w:proofErr w:type="spellStart"/>
      <w:r w:rsidR="00DD1702" w:rsidRPr="0034507A">
        <w:t>Ravillion</w:t>
      </w:r>
      <w:proofErr w:type="spellEnd"/>
      <w:r w:rsidR="00DD1702" w:rsidRPr="0034507A">
        <w:t xml:space="preserve"> and </w:t>
      </w:r>
      <w:proofErr w:type="spellStart"/>
      <w:r w:rsidR="00DD1702" w:rsidRPr="0034507A">
        <w:t>Wagstaff</w:t>
      </w:r>
      <w:proofErr w:type="spellEnd"/>
      <w:r w:rsidR="00DD1702" w:rsidRPr="0034507A">
        <w:t xml:space="preserve"> (2011) provide a theoretical foundation for the consideration of the scholarly influence of citations using a stochastic dominance approach.  They describe the influence of a paper as a function of the citations it receives and suggest that for a particular paper this function has two natural properties.  First, that influence should be strictly increasing in the number of citations a paper receives, i.e. more citations always implies more influence.  Their second, and more contentious assumption, is that the marginal influence of citations declines with increasing citations.  They note that the </w:t>
      </w:r>
      <w:r w:rsidR="00DD1702" w:rsidRPr="0034507A">
        <w:rPr>
          <w:b/>
        </w:rPr>
        <w:t>h</w:t>
      </w:r>
      <w:r w:rsidR="00DD1702" w:rsidRPr="0034507A">
        <w:t xml:space="preserve">-index is inconsistent with the first of these assumptions since </w:t>
      </w:r>
      <w:r w:rsidR="00DD1702" w:rsidRPr="0034507A">
        <w:lastRenderedPageBreak/>
        <w:t xml:space="preserve">increasing citations may not increase the </w:t>
      </w:r>
      <w:r w:rsidR="00DD1702" w:rsidRPr="0034507A">
        <w:rPr>
          <w:b/>
        </w:rPr>
        <w:t>h</w:t>
      </w:r>
      <w:r w:rsidR="00DD1702" w:rsidRPr="0034507A">
        <w:t xml:space="preserve">-index, while the </w:t>
      </w:r>
      <w:r w:rsidR="00DD1702" w:rsidRPr="0034507A">
        <w:rPr>
          <w:b/>
        </w:rPr>
        <w:t>g</w:t>
      </w:r>
      <w:r w:rsidR="00DD1702" w:rsidRPr="0034507A">
        <w:t xml:space="preserve">-index </w:t>
      </w:r>
      <w:r w:rsidR="0034507A" w:rsidRPr="0034507A">
        <w:t xml:space="preserve">(to be discussed below) </w:t>
      </w:r>
      <w:r w:rsidR="00DD1702" w:rsidRPr="0034507A">
        <w:t>violates the second assumption since it implies increasing marginal influence.</w:t>
      </w:r>
      <w:r w:rsidR="0034507A" w:rsidRPr="0034507A">
        <w:t xml:space="preserve">  </w:t>
      </w:r>
      <w:r w:rsidR="00471F9F" w:rsidRPr="0034507A">
        <w:t xml:space="preserve">On the pragmatic front, </w:t>
      </w:r>
      <w:r w:rsidR="0034507A" w:rsidRPr="0034507A">
        <w:t xml:space="preserve">and related to the above theoretical discussion, is the well known </w:t>
      </w:r>
      <w:r w:rsidRPr="0034507A">
        <w:t xml:space="preserve">criticism </w:t>
      </w:r>
      <w:r w:rsidR="0034507A" w:rsidRPr="0034507A">
        <w:t xml:space="preserve">that the </w:t>
      </w:r>
      <w:r w:rsidR="0034507A" w:rsidRPr="0034507A">
        <w:rPr>
          <w:b/>
        </w:rPr>
        <w:t>h</w:t>
      </w:r>
      <w:r w:rsidR="0034507A" w:rsidRPr="0034507A">
        <w:t xml:space="preserve">-index and its derivatives </w:t>
      </w:r>
      <w:r w:rsidR="000D16A8">
        <w:t>‘</w:t>
      </w:r>
      <w:r w:rsidRPr="0034507A">
        <w:t>leave cites on the table</w:t>
      </w:r>
      <w:r w:rsidR="000D16A8">
        <w:t>’</w:t>
      </w:r>
      <w:r w:rsidR="0087501E" w:rsidRPr="0034507A">
        <w:t xml:space="preserve">.  For example, </w:t>
      </w:r>
      <w:r w:rsidRPr="0034507A">
        <w:t xml:space="preserve">two individuals can have the same </w:t>
      </w:r>
      <w:r w:rsidR="00471F9F" w:rsidRPr="0034507A">
        <w:rPr>
          <w:b/>
        </w:rPr>
        <w:t>h</w:t>
      </w:r>
      <w:r w:rsidR="00471F9F" w:rsidRPr="0034507A">
        <w:t xml:space="preserve"> </w:t>
      </w:r>
      <w:r w:rsidRPr="0034507A">
        <w:t>score</w:t>
      </w:r>
      <w:r w:rsidR="00671B12" w:rsidRPr="0034507A">
        <w:t>,</w:t>
      </w:r>
      <w:r w:rsidRPr="0034507A">
        <w:t xml:space="preserve"> </w:t>
      </w:r>
      <w:r w:rsidR="00AF4A55" w:rsidRPr="0034507A">
        <w:t xml:space="preserve">but the total number of cites to </w:t>
      </w:r>
      <w:r w:rsidRPr="0034507A">
        <w:t xml:space="preserve">the papers in the </w:t>
      </w:r>
      <w:r w:rsidRPr="0034507A">
        <w:rPr>
          <w:b/>
        </w:rPr>
        <w:t>h</w:t>
      </w:r>
      <w:r w:rsidRPr="0034507A">
        <w:t xml:space="preserve">-core (the </w:t>
      </w:r>
      <w:r w:rsidRPr="0034507A">
        <w:rPr>
          <w:b/>
        </w:rPr>
        <w:t>h</w:t>
      </w:r>
      <w:r w:rsidRPr="0034507A">
        <w:t xml:space="preserve"> papers with </w:t>
      </w:r>
      <w:r w:rsidRPr="0034507A">
        <w:rPr>
          <w:b/>
        </w:rPr>
        <w:t>h</w:t>
      </w:r>
      <w:r w:rsidRPr="0034507A">
        <w:t xml:space="preserve"> or more cites) may </w:t>
      </w:r>
      <w:r w:rsidR="00AF4A55" w:rsidRPr="0034507A">
        <w:t xml:space="preserve">be </w:t>
      </w:r>
      <w:r w:rsidR="007403AF" w:rsidRPr="0034507A">
        <w:t xml:space="preserve">much </w:t>
      </w:r>
      <w:r w:rsidR="00AF4A55" w:rsidRPr="0034507A">
        <w:t xml:space="preserve">higher for one individual than the other.  </w:t>
      </w:r>
      <w:r w:rsidR="0087501E" w:rsidRPr="0034507A">
        <w:t xml:space="preserve">A similar argument applies with respect to cites to papers that lie outside the </w:t>
      </w:r>
      <w:r w:rsidR="0087501E" w:rsidRPr="0034507A">
        <w:rPr>
          <w:b/>
        </w:rPr>
        <w:t>h</w:t>
      </w:r>
      <w:r w:rsidR="0087501E" w:rsidRPr="0034507A">
        <w:t xml:space="preserve">-core.  </w:t>
      </w:r>
    </w:p>
    <w:p w:rsidR="004A097B" w:rsidRDefault="00BC4879" w:rsidP="00786AA4">
      <w:pPr>
        <w:jc w:val="both"/>
      </w:pPr>
      <w:r>
        <w:t>To address t</w:t>
      </w:r>
      <w:r w:rsidR="0034507A">
        <w:t xml:space="preserve">he </w:t>
      </w:r>
      <w:r w:rsidR="000D16A8">
        <w:t>‘</w:t>
      </w:r>
      <w:r w:rsidR="0034507A">
        <w:t>cites on the table</w:t>
      </w:r>
      <w:r w:rsidR="000D16A8">
        <w:t>’</w:t>
      </w:r>
      <w:r w:rsidR="0034507A">
        <w:t xml:space="preserve"> issue, </w:t>
      </w:r>
      <w:proofErr w:type="spellStart"/>
      <w:r>
        <w:t>E</w:t>
      </w:r>
      <w:r w:rsidR="00CA5AF9">
        <w:t>gg</w:t>
      </w:r>
      <w:r w:rsidR="009F1BFF">
        <w:t>h</w:t>
      </w:r>
      <w:r w:rsidR="00CA5AF9">
        <w:t>e</w:t>
      </w:r>
      <w:proofErr w:type="spellEnd"/>
      <w:r w:rsidR="00CA5AF9">
        <w:t xml:space="preserve"> </w:t>
      </w:r>
      <w:r w:rsidR="009F1BFF">
        <w:t xml:space="preserve">(2006) </w:t>
      </w:r>
      <w:r w:rsidR="00833967">
        <w:t xml:space="preserve">created </w:t>
      </w:r>
      <w:r>
        <w:t xml:space="preserve">the </w:t>
      </w:r>
      <w:r w:rsidR="00471F9F" w:rsidRPr="00471F9F">
        <w:rPr>
          <w:b/>
        </w:rPr>
        <w:t>g</w:t>
      </w:r>
      <w:r w:rsidR="00471F9F">
        <w:t xml:space="preserve">-index, </w:t>
      </w:r>
      <w:r>
        <w:t xml:space="preserve">defined as:  </w:t>
      </w:r>
      <w:r w:rsidR="000D16A8">
        <w:t>‘</w:t>
      </w:r>
      <w:r w:rsidR="00A0508C">
        <w:t xml:space="preserve">A set of papers has a </w:t>
      </w:r>
      <w:r w:rsidR="00A0508C" w:rsidRPr="00A0508C">
        <w:rPr>
          <w:b/>
        </w:rPr>
        <w:t>g</w:t>
      </w:r>
      <w:r w:rsidR="00A0508C">
        <w:t xml:space="preserve">-index </w:t>
      </w:r>
      <w:r w:rsidR="00A0508C" w:rsidRPr="00A0508C">
        <w:rPr>
          <w:b/>
        </w:rPr>
        <w:t>g</w:t>
      </w:r>
      <w:r w:rsidR="00A0508C">
        <w:t xml:space="preserve"> if </w:t>
      </w:r>
      <w:r w:rsidR="00A0508C" w:rsidRPr="00A0508C">
        <w:rPr>
          <w:b/>
        </w:rPr>
        <w:t>g</w:t>
      </w:r>
      <w:r w:rsidR="00A0508C">
        <w:t xml:space="preserve"> is the highest rank such that the top </w:t>
      </w:r>
      <w:r w:rsidR="00A0508C" w:rsidRPr="00A0508C">
        <w:rPr>
          <w:b/>
        </w:rPr>
        <w:t>g</w:t>
      </w:r>
      <w:r w:rsidR="00A0508C">
        <w:t xml:space="preserve"> papers have, together, at least </w:t>
      </w:r>
      <w:r w:rsidR="00A0508C" w:rsidRPr="00A0508C">
        <w:rPr>
          <w:b/>
        </w:rPr>
        <w:t>g</w:t>
      </w:r>
      <w:r w:rsidR="00A0508C">
        <w:t xml:space="preserve"> squared citations.</w:t>
      </w:r>
      <w:r w:rsidR="000D16A8">
        <w:t>’</w:t>
      </w:r>
      <w:r w:rsidR="00A0508C">
        <w:t xml:space="preserve"> (</w:t>
      </w:r>
      <w:proofErr w:type="spellStart"/>
      <w:r w:rsidR="00A0508C">
        <w:t>Egghe</w:t>
      </w:r>
      <w:proofErr w:type="spellEnd"/>
      <w:r w:rsidR="00A0508C">
        <w:t xml:space="preserve">, 2006, p.132)   </w:t>
      </w:r>
      <w:r w:rsidR="00DA47C9">
        <w:t xml:space="preserve"> W</w:t>
      </w:r>
      <w:r>
        <w:t xml:space="preserve">e shall </w:t>
      </w:r>
      <w:r w:rsidR="00DA47C9">
        <w:t xml:space="preserve">use </w:t>
      </w:r>
      <w:r w:rsidR="00A0508C">
        <w:t xml:space="preserve">the data in Table1 </w:t>
      </w:r>
      <w:r>
        <w:t xml:space="preserve">to illustrate the concept.  </w:t>
      </w:r>
      <w:r w:rsidR="00A0508C">
        <w:t>I</w:t>
      </w:r>
      <w:r w:rsidR="009D28F7">
        <w:t>n</w:t>
      </w:r>
      <w:r w:rsidR="00A0508C">
        <w:t xml:space="preserve"> this case, refer to the last two columns: total citations</w:t>
      </w:r>
      <w:r w:rsidR="008F6675">
        <w:t xml:space="preserve"> (TC)</w:t>
      </w:r>
      <w:r w:rsidR="00A0508C">
        <w:t xml:space="preserve"> and paper rank</w:t>
      </w:r>
      <w:r w:rsidR="008F6675">
        <w:t xml:space="preserve"> (PR)</w:t>
      </w:r>
      <w:r w:rsidR="00A0508C">
        <w:t xml:space="preserve"> squared.  We are now looking for the lowest </w:t>
      </w:r>
      <w:r w:rsidR="008F6675">
        <w:t>PR</w:t>
      </w:r>
      <w:r w:rsidR="00A0508C">
        <w:t xml:space="preserve"> for which the </w:t>
      </w:r>
      <w:r w:rsidR="008F6675">
        <w:t xml:space="preserve">PR </w:t>
      </w:r>
      <w:r w:rsidR="00A0508C">
        <w:t xml:space="preserve">squared </w:t>
      </w:r>
      <w:r w:rsidR="008F6675">
        <w:t xml:space="preserve">exceeds the TC.  This is seen to be paper </w:t>
      </w:r>
      <w:r w:rsidR="000D16A8">
        <w:t>‘</w:t>
      </w:r>
      <w:r w:rsidR="008F6675">
        <w:t>6</w:t>
      </w:r>
      <w:r w:rsidR="000D16A8">
        <w:t>’</w:t>
      </w:r>
      <w:r w:rsidR="008F6675">
        <w:t xml:space="preserve">, as PR squared (36) is less than TC (39), but to move any lower in the ranking (paper7) would result in the </w:t>
      </w:r>
      <w:r w:rsidR="00837799">
        <w:t>PR</w:t>
      </w:r>
      <w:r w:rsidR="008F6675">
        <w:t xml:space="preserve"> squared (49) being less than </w:t>
      </w:r>
      <w:r w:rsidR="00837799">
        <w:t>TC</w:t>
      </w:r>
      <w:r w:rsidR="008F6675">
        <w:t xml:space="preserve"> (40).  It is important to note that </w:t>
      </w:r>
      <w:r w:rsidR="008F6675" w:rsidRPr="00837799">
        <w:rPr>
          <w:b/>
        </w:rPr>
        <w:t>g</w:t>
      </w:r>
      <w:r w:rsidR="008F6675">
        <w:t xml:space="preserve"> exceeds </w:t>
      </w:r>
      <w:r w:rsidR="008F6675" w:rsidRPr="00837799">
        <w:rPr>
          <w:b/>
        </w:rPr>
        <w:t>h</w:t>
      </w:r>
      <w:r w:rsidR="008F6675">
        <w:t xml:space="preserve"> (6 versus 4) as more cites are taken into account (39 versus 34).  Although this discussion is based on a simple example, conceptually, </w:t>
      </w:r>
      <w:r w:rsidR="008F6675" w:rsidRPr="00837799">
        <w:rPr>
          <w:b/>
        </w:rPr>
        <w:t>g</w:t>
      </w:r>
      <w:r w:rsidR="008F6675">
        <w:t xml:space="preserve"> can never </w:t>
      </w:r>
      <w:r w:rsidR="00837799">
        <w:t xml:space="preserve">be </w:t>
      </w:r>
      <w:r w:rsidR="008F6675">
        <w:t xml:space="preserve">less than </w:t>
      </w:r>
      <w:r w:rsidR="008F6675" w:rsidRPr="00837799">
        <w:rPr>
          <w:b/>
        </w:rPr>
        <w:t>h</w:t>
      </w:r>
      <w:r w:rsidR="008F6675">
        <w:t xml:space="preserve">.  </w:t>
      </w:r>
      <w:r w:rsidR="007403AF">
        <w:t>N</w:t>
      </w:r>
      <w:r w:rsidR="00662D47">
        <w:t>ew citation-related indexes are constantly being developed and promulgated in an attempt to better capture the quantity and quality</w:t>
      </w:r>
      <w:r w:rsidR="00DA47C9">
        <w:t xml:space="preserve"> or </w:t>
      </w:r>
      <w:r w:rsidR="00662D47">
        <w:t>impact dimensions of research output.</w:t>
      </w:r>
      <w:r w:rsidR="00AF4A55" w:rsidRPr="00AF4A55">
        <w:rPr>
          <w:rStyle w:val="FootnoteReference"/>
        </w:rPr>
        <w:t xml:space="preserve"> </w:t>
      </w:r>
      <w:r w:rsidR="00AF4A55">
        <w:rPr>
          <w:rStyle w:val="FootnoteReference"/>
        </w:rPr>
        <w:footnoteReference w:id="4"/>
      </w:r>
      <w:r w:rsidR="00AF4A55">
        <w:t xml:space="preserve"> </w:t>
      </w:r>
      <w:r w:rsidR="00662D47">
        <w:t xml:space="preserve">  </w:t>
      </w:r>
      <w:r w:rsidR="00BC1E73">
        <w:t>However, for purposes of this study we shall restrict ourselves to estimating individual and departmental output using three measures</w:t>
      </w:r>
      <w:r w:rsidR="00A23D23">
        <w:t xml:space="preserve"> based on the ISI database</w:t>
      </w:r>
      <w:r w:rsidR="00BC1E73">
        <w:t>: citation counts</w:t>
      </w:r>
      <w:r w:rsidR="004A097B">
        <w:t xml:space="preserve">, </w:t>
      </w:r>
      <w:r w:rsidR="004A097B" w:rsidRPr="00837799">
        <w:rPr>
          <w:b/>
        </w:rPr>
        <w:t>h</w:t>
      </w:r>
      <w:r w:rsidR="004A097B">
        <w:t xml:space="preserve">-index, and </w:t>
      </w:r>
      <w:r w:rsidR="004A097B" w:rsidRPr="00837799">
        <w:rPr>
          <w:b/>
        </w:rPr>
        <w:t>g</w:t>
      </w:r>
      <w:r w:rsidR="004A097B">
        <w:t xml:space="preserve">-index, with the exact specifications to be discussed in the data section of the paper.  </w:t>
      </w:r>
      <w:r w:rsidR="00325E0A">
        <w:t xml:space="preserve"> </w:t>
      </w:r>
    </w:p>
    <w:p w:rsidR="00BB59E0" w:rsidRPr="001B5448" w:rsidRDefault="00851043" w:rsidP="00786AA4">
      <w:pPr>
        <w:jc w:val="both"/>
        <w:rPr>
          <w:color w:val="FF0000"/>
        </w:rPr>
      </w:pPr>
      <w:r>
        <w:t xml:space="preserve">Until relatively recently the economics research measurement literature was dominated by the above referenced journal weighting approach (see </w:t>
      </w:r>
      <w:proofErr w:type="spellStart"/>
      <w:r>
        <w:t>Macri</w:t>
      </w:r>
      <w:proofErr w:type="spellEnd"/>
      <w:r>
        <w:t xml:space="preserve"> and Sinha (2006) for an extensive survey of this literature)</w:t>
      </w:r>
      <w:r w:rsidR="00C41019">
        <w:t xml:space="preserve">.  </w:t>
      </w:r>
      <w:r w:rsidR="007958A0">
        <w:t xml:space="preserve">Indeed, we have only located five studies based on raw citation counts that are of direct relevance to this study; that is, studies based on raw citation counts that attempt </w:t>
      </w:r>
      <w:r w:rsidR="007958A0" w:rsidRPr="00C41019">
        <w:t xml:space="preserve">to measure research output of all academic economists on a nation-wide basis: </w:t>
      </w:r>
      <w:r w:rsidR="007958A0">
        <w:t xml:space="preserve">Harris (1990), </w:t>
      </w:r>
      <w:proofErr w:type="spellStart"/>
      <w:r w:rsidR="007958A0">
        <w:t>Pomfret</w:t>
      </w:r>
      <w:proofErr w:type="spellEnd"/>
      <w:r w:rsidR="007958A0">
        <w:t xml:space="preserve"> and Wang (2003), </w:t>
      </w:r>
      <w:r w:rsidR="007958A0" w:rsidRPr="00C41019">
        <w:t xml:space="preserve">Anderson </w:t>
      </w:r>
      <w:r w:rsidR="007958A0">
        <w:t xml:space="preserve">and </w:t>
      </w:r>
      <w:r w:rsidR="007958A0" w:rsidRPr="00C41019">
        <w:t xml:space="preserve">Tressler (2012), </w:t>
      </w:r>
      <w:proofErr w:type="spellStart"/>
      <w:r w:rsidR="007958A0" w:rsidRPr="00C41019">
        <w:t>Ruane</w:t>
      </w:r>
      <w:proofErr w:type="spellEnd"/>
      <w:r w:rsidR="007958A0" w:rsidRPr="00C41019">
        <w:t xml:space="preserve"> and </w:t>
      </w:r>
      <w:proofErr w:type="spellStart"/>
      <w:r w:rsidR="007958A0" w:rsidRPr="00C41019">
        <w:t>Tol</w:t>
      </w:r>
      <w:proofErr w:type="spellEnd"/>
      <w:r w:rsidR="007958A0" w:rsidRPr="00C41019">
        <w:t xml:space="preserve"> (2008), and </w:t>
      </w:r>
      <w:proofErr w:type="spellStart"/>
      <w:r w:rsidR="007958A0" w:rsidRPr="00C41019">
        <w:t>Tol</w:t>
      </w:r>
      <w:proofErr w:type="spellEnd"/>
      <w:r w:rsidR="007958A0" w:rsidRPr="00C41019">
        <w:t xml:space="preserve"> (2008) for Australia, </w:t>
      </w:r>
      <w:r w:rsidR="007958A0">
        <w:t xml:space="preserve">Australia, </w:t>
      </w:r>
      <w:r w:rsidR="007958A0" w:rsidRPr="00C41019">
        <w:t>New Zealand, and the latter two for Ireland,</w:t>
      </w:r>
      <w:r w:rsidR="007958A0" w:rsidRPr="00C41019">
        <w:rPr>
          <w:rStyle w:val="FootnoteReference"/>
        </w:rPr>
        <w:footnoteReference w:id="5"/>
      </w:r>
      <w:r w:rsidR="007958A0" w:rsidRPr="00C41019">
        <w:t xml:space="preserve"> respectively.  </w:t>
      </w:r>
      <w:r w:rsidR="0033141C" w:rsidRPr="00C41019">
        <w:t xml:space="preserve">However, only the first </w:t>
      </w:r>
      <w:r w:rsidR="00A97901">
        <w:t>three</w:t>
      </w:r>
      <w:r w:rsidR="0033141C" w:rsidRPr="00C41019">
        <w:t xml:space="preserve"> studies restricted citation collection to a specific period of time, rather than relying on life-time cites.  </w:t>
      </w:r>
      <w:r w:rsidR="00E870B4" w:rsidRPr="00C41019">
        <w:t xml:space="preserve"> It should</w:t>
      </w:r>
      <w:r w:rsidR="0033141C" w:rsidRPr="00C41019">
        <w:t xml:space="preserve"> also</w:t>
      </w:r>
      <w:r w:rsidR="00E870B4" w:rsidRPr="00C41019">
        <w:t xml:space="preserve"> be noted that </w:t>
      </w:r>
      <w:proofErr w:type="spellStart"/>
      <w:r w:rsidR="00E870B4" w:rsidRPr="00C41019">
        <w:t>Hendrekson</w:t>
      </w:r>
      <w:proofErr w:type="spellEnd"/>
      <w:r w:rsidR="00E870B4" w:rsidRPr="00C41019">
        <w:t xml:space="preserve"> &amp; </w:t>
      </w:r>
      <w:proofErr w:type="spellStart"/>
      <w:r w:rsidR="00E870B4" w:rsidRPr="00C41019">
        <w:t>Waldenstrom</w:t>
      </w:r>
      <w:proofErr w:type="spellEnd"/>
      <w:r w:rsidR="00E870B4" w:rsidRPr="00C41019">
        <w:t xml:space="preserve"> (2011) provide nation-wide estimates for Sweden, but restrict their study to the life-time output of Full Professors</w:t>
      </w:r>
      <w:r w:rsidR="00D858AA" w:rsidRPr="00C41019">
        <w:t>.</w:t>
      </w:r>
      <w:r w:rsidR="00D858AA" w:rsidRPr="001B5448">
        <w:rPr>
          <w:color w:val="FF0000"/>
        </w:rPr>
        <w:t xml:space="preserve">  </w:t>
      </w:r>
      <w:r w:rsidR="00E870B4" w:rsidRPr="001B5448">
        <w:rPr>
          <w:color w:val="FF0000"/>
        </w:rPr>
        <w:t xml:space="preserve">  </w:t>
      </w:r>
    </w:p>
    <w:p w:rsidR="00A554B0" w:rsidRDefault="0086217F" w:rsidP="00786AA4">
      <w:pPr>
        <w:jc w:val="both"/>
      </w:pPr>
      <w:r>
        <w:t>R</w:t>
      </w:r>
      <w:r w:rsidR="00E870B4">
        <w:t xml:space="preserve">ecently economists </w:t>
      </w:r>
      <w:r>
        <w:t xml:space="preserve">have started to </w:t>
      </w:r>
      <w:r w:rsidR="00953377">
        <w:t xml:space="preserve">published work on the </w:t>
      </w:r>
      <w:r w:rsidR="00833967" w:rsidRPr="003F0B55">
        <w:rPr>
          <w:b/>
        </w:rPr>
        <w:t>h</w:t>
      </w:r>
      <w:r w:rsidR="00833967">
        <w:t>-</w:t>
      </w:r>
      <w:r w:rsidR="00C36610">
        <w:t>index</w:t>
      </w:r>
      <w:r w:rsidR="00BB59E0">
        <w:t xml:space="preserve"> (see </w:t>
      </w:r>
      <w:proofErr w:type="spellStart"/>
      <w:r w:rsidR="00BB59E0">
        <w:t>Ruane</w:t>
      </w:r>
      <w:proofErr w:type="spellEnd"/>
      <w:r w:rsidR="00BB59E0">
        <w:t xml:space="preserve"> and </w:t>
      </w:r>
      <w:proofErr w:type="spellStart"/>
      <w:r w:rsidR="00BB59E0">
        <w:t>Tol</w:t>
      </w:r>
      <w:proofErr w:type="spellEnd"/>
      <w:r w:rsidR="00BB59E0">
        <w:t xml:space="preserve">, 2008; </w:t>
      </w:r>
      <w:proofErr w:type="spellStart"/>
      <w:r w:rsidR="00BB59E0">
        <w:t>Tol</w:t>
      </w:r>
      <w:proofErr w:type="spellEnd"/>
      <w:r w:rsidR="00BB59E0">
        <w:t>, 2008</w:t>
      </w:r>
      <w:r w:rsidR="003F0B55">
        <w:t xml:space="preserve"> and</w:t>
      </w:r>
      <w:r w:rsidR="00BB59E0">
        <w:t xml:space="preserve"> 2009; </w:t>
      </w:r>
      <w:proofErr w:type="spellStart"/>
      <w:r w:rsidR="00BB59E0">
        <w:t>Courtault</w:t>
      </w:r>
      <w:proofErr w:type="spellEnd"/>
      <w:r w:rsidR="00BB59E0">
        <w:t xml:space="preserve"> et al, 2010; </w:t>
      </w:r>
      <w:proofErr w:type="spellStart"/>
      <w:r w:rsidR="00E86ECF">
        <w:t>Bodman</w:t>
      </w:r>
      <w:proofErr w:type="spellEnd"/>
      <w:r w:rsidR="00E86ECF">
        <w:t>, 2010; Ellison, 2010</w:t>
      </w:r>
      <w:r w:rsidR="0098186A">
        <w:t xml:space="preserve">; and </w:t>
      </w:r>
      <w:proofErr w:type="spellStart"/>
      <w:r w:rsidR="0098186A">
        <w:t>Hendrekson</w:t>
      </w:r>
      <w:proofErr w:type="spellEnd"/>
      <w:r w:rsidR="0098186A">
        <w:t xml:space="preserve"> and </w:t>
      </w:r>
      <w:proofErr w:type="spellStart"/>
      <w:r w:rsidR="0098186A">
        <w:t>Waldenstrom</w:t>
      </w:r>
      <w:proofErr w:type="spellEnd"/>
      <w:r w:rsidR="0098186A">
        <w:t>, 2011</w:t>
      </w:r>
      <w:r w:rsidR="00E86ECF">
        <w:t>)</w:t>
      </w:r>
      <w:r w:rsidR="00C36610">
        <w:t xml:space="preserve">.    </w:t>
      </w:r>
      <w:r w:rsidR="004C192F">
        <w:t xml:space="preserve"> </w:t>
      </w:r>
      <w:r w:rsidR="00C36610">
        <w:t xml:space="preserve">A general discussion of the </w:t>
      </w:r>
      <w:r w:rsidR="00C36610" w:rsidRPr="003F0B55">
        <w:rPr>
          <w:b/>
        </w:rPr>
        <w:t>h</w:t>
      </w:r>
      <w:r w:rsidR="00C36610">
        <w:t>-index</w:t>
      </w:r>
      <w:r w:rsidR="00372953">
        <w:t>,</w:t>
      </w:r>
      <w:r w:rsidR="00C36610">
        <w:t xml:space="preserve"> and other citation-based research assessment measures</w:t>
      </w:r>
      <w:r w:rsidR="00372953">
        <w:t>,</w:t>
      </w:r>
      <w:r w:rsidR="00C36610">
        <w:t xml:space="preserve"> </w:t>
      </w:r>
      <w:r w:rsidR="00E86ECF">
        <w:t xml:space="preserve">in the context of economics, </w:t>
      </w:r>
      <w:r w:rsidR="00C36610">
        <w:t>can be found in the work of Chang, McAleer and Oxley (2011</w:t>
      </w:r>
      <w:r w:rsidR="00E86ECF">
        <w:t>), and Kim, Min and Zimmermann (2011</w:t>
      </w:r>
      <w:r w:rsidR="00C36610">
        <w:t xml:space="preserve">), and a strong case for utilizing these approaches, especially the </w:t>
      </w:r>
      <w:r w:rsidR="00C36610" w:rsidRPr="003F0B55">
        <w:rPr>
          <w:b/>
        </w:rPr>
        <w:t>h</w:t>
      </w:r>
      <w:r w:rsidR="00C36610">
        <w:t xml:space="preserve">-index, can be </w:t>
      </w:r>
      <w:r w:rsidR="00C36610">
        <w:lastRenderedPageBreak/>
        <w:t xml:space="preserve">found in </w:t>
      </w:r>
      <w:r w:rsidR="00E86ECF">
        <w:t xml:space="preserve">Ellison (2010).  </w:t>
      </w:r>
      <w:r w:rsidR="003F0B55">
        <w:t xml:space="preserve">Alternatively, and as previously noted, </w:t>
      </w:r>
      <w:proofErr w:type="spellStart"/>
      <w:r w:rsidR="00A554B0">
        <w:t>Ravallion</w:t>
      </w:r>
      <w:proofErr w:type="spellEnd"/>
      <w:r w:rsidR="00A554B0">
        <w:t xml:space="preserve"> and </w:t>
      </w:r>
      <w:proofErr w:type="spellStart"/>
      <w:r w:rsidR="00A554B0">
        <w:t>Wagstaff</w:t>
      </w:r>
      <w:proofErr w:type="spellEnd"/>
      <w:r w:rsidR="00A554B0">
        <w:t xml:space="preserve"> (2011) </w:t>
      </w:r>
      <w:r w:rsidR="003F0B55">
        <w:t xml:space="preserve">demonstrate that the </w:t>
      </w:r>
      <w:r w:rsidR="003F0B55" w:rsidRPr="003F0B55">
        <w:rPr>
          <w:b/>
        </w:rPr>
        <w:t>h</w:t>
      </w:r>
      <w:r w:rsidR="003F0B55">
        <w:t xml:space="preserve">-index (and </w:t>
      </w:r>
      <w:r w:rsidR="00DA47C9">
        <w:t>similar measures</w:t>
      </w:r>
      <w:r w:rsidR="003F0B55">
        <w:t xml:space="preserve">) are ad-hoc constructs.  </w:t>
      </w:r>
      <w:r w:rsidR="00E86ECF">
        <w:t xml:space="preserve">Studies of economic research using the </w:t>
      </w:r>
      <w:r w:rsidR="00E86ECF" w:rsidRPr="00156555">
        <w:rPr>
          <w:b/>
        </w:rPr>
        <w:t>g</w:t>
      </w:r>
      <w:r w:rsidR="00E86ECF">
        <w:t xml:space="preserve">-index are </w:t>
      </w:r>
      <w:r w:rsidR="008438F2">
        <w:t xml:space="preserve">quite </w:t>
      </w:r>
      <w:r w:rsidR="00E86ECF">
        <w:t>limited</w:t>
      </w:r>
      <w:r w:rsidR="00156555">
        <w:t xml:space="preserve">.  </w:t>
      </w:r>
      <w:r w:rsidR="00974595">
        <w:t>For purposes of this paper, we must stress that</w:t>
      </w:r>
      <w:r w:rsidR="007B412D">
        <w:t xml:space="preserve"> save for </w:t>
      </w:r>
      <w:proofErr w:type="spellStart"/>
      <w:r w:rsidR="00974595">
        <w:t>Ruane</w:t>
      </w:r>
      <w:proofErr w:type="spellEnd"/>
      <w:r w:rsidR="00974595">
        <w:t xml:space="preserve"> and </w:t>
      </w:r>
      <w:proofErr w:type="spellStart"/>
      <w:r w:rsidR="00974595">
        <w:t>Tol</w:t>
      </w:r>
      <w:proofErr w:type="spellEnd"/>
      <w:r w:rsidR="00974595">
        <w:t xml:space="preserve"> (2008) and </w:t>
      </w:r>
      <w:proofErr w:type="spellStart"/>
      <w:r w:rsidR="00974595">
        <w:t>Tol</w:t>
      </w:r>
      <w:proofErr w:type="spellEnd"/>
      <w:r w:rsidR="00974595">
        <w:t xml:space="preserve"> (2008), we did not find a</w:t>
      </w:r>
      <w:r w:rsidR="007B412D">
        <w:t>ny</w:t>
      </w:r>
      <w:r w:rsidR="00974595">
        <w:t xml:space="preserve"> nation-wide stud</w:t>
      </w:r>
      <w:r w:rsidR="007B412D">
        <w:t xml:space="preserve">ies </w:t>
      </w:r>
      <w:r w:rsidR="00974595">
        <w:t xml:space="preserve">of </w:t>
      </w:r>
      <w:r w:rsidR="008D4271">
        <w:t xml:space="preserve">individual </w:t>
      </w:r>
      <w:r w:rsidR="00974595">
        <w:t xml:space="preserve">economists </w:t>
      </w:r>
      <w:r w:rsidR="003F0B55">
        <w:t xml:space="preserve">based on </w:t>
      </w:r>
      <w:r w:rsidR="00974595">
        <w:t xml:space="preserve">either the </w:t>
      </w:r>
      <w:r w:rsidR="00974595" w:rsidRPr="00957156">
        <w:rPr>
          <w:b/>
        </w:rPr>
        <w:t>h</w:t>
      </w:r>
      <w:r w:rsidR="00974595">
        <w:t xml:space="preserve"> or </w:t>
      </w:r>
      <w:r w:rsidR="00974595" w:rsidRPr="00957156">
        <w:rPr>
          <w:b/>
        </w:rPr>
        <w:t>g</w:t>
      </w:r>
      <w:r w:rsidR="00974595">
        <w:t>-index</w:t>
      </w:r>
      <w:r w:rsidR="00DA47C9">
        <w:t>;</w:t>
      </w:r>
      <w:r w:rsidR="00974595">
        <w:t xml:space="preserve"> and for nation-wide departmental ranking, we failed to find a single paper utilizing these techniques.  </w:t>
      </w:r>
      <w:r w:rsidR="00A554B0" w:rsidRPr="00E00299">
        <w:t xml:space="preserve">However, we should note that </w:t>
      </w:r>
      <w:proofErr w:type="spellStart"/>
      <w:r w:rsidR="00A554B0" w:rsidRPr="00E00299">
        <w:t>Courtault</w:t>
      </w:r>
      <w:proofErr w:type="spellEnd"/>
      <w:r w:rsidR="00A554B0" w:rsidRPr="00E00299">
        <w:t xml:space="preserve"> et al (2010) provide </w:t>
      </w:r>
      <w:r w:rsidR="00A554B0" w:rsidRPr="00E00299">
        <w:rPr>
          <w:b/>
        </w:rPr>
        <w:t>g</w:t>
      </w:r>
      <w:r w:rsidR="00A554B0" w:rsidRPr="00E00299">
        <w:t xml:space="preserve"> and </w:t>
      </w:r>
      <w:r w:rsidR="00A554B0" w:rsidRPr="00E00299">
        <w:rPr>
          <w:b/>
        </w:rPr>
        <w:t>h</w:t>
      </w:r>
      <w:r w:rsidR="00A554B0" w:rsidRPr="00E00299">
        <w:t>-index estimates for a select group of universities in France at both the individual and departmental level</w:t>
      </w:r>
      <w:r w:rsidR="003F0B55" w:rsidRPr="00E00299">
        <w:t xml:space="preserve"> (based</w:t>
      </w:r>
      <w:r w:rsidR="008D4271">
        <w:t xml:space="preserve">, as are the papers by </w:t>
      </w:r>
      <w:proofErr w:type="spellStart"/>
      <w:r w:rsidR="008D4271">
        <w:t>Ruane</w:t>
      </w:r>
      <w:proofErr w:type="spellEnd"/>
      <w:r w:rsidR="008D4271">
        <w:t xml:space="preserve"> and </w:t>
      </w:r>
      <w:proofErr w:type="spellStart"/>
      <w:r w:rsidR="008D4271">
        <w:t>Tol</w:t>
      </w:r>
      <w:proofErr w:type="spellEnd"/>
      <w:r w:rsidR="008D4271">
        <w:t xml:space="preserve"> (2008) and </w:t>
      </w:r>
      <w:proofErr w:type="spellStart"/>
      <w:r w:rsidR="008D4271">
        <w:t>Tol</w:t>
      </w:r>
      <w:proofErr w:type="spellEnd"/>
      <w:r w:rsidR="008D4271">
        <w:t xml:space="preserve"> (2008),</w:t>
      </w:r>
      <w:r w:rsidR="003F0B55" w:rsidRPr="00E00299">
        <w:t xml:space="preserve"> on life-time cites to all researchers in the dataset)</w:t>
      </w:r>
      <w:r w:rsidR="00A554B0" w:rsidRPr="00E00299">
        <w:t>.</w:t>
      </w:r>
      <w:r w:rsidR="00A554B0">
        <w:t xml:space="preserve">  </w:t>
      </w:r>
    </w:p>
    <w:p w:rsidR="00B85AF9" w:rsidRDefault="00805601" w:rsidP="00786AA4">
      <w:pPr>
        <w:jc w:val="both"/>
      </w:pPr>
      <w:r>
        <w:t xml:space="preserve">In this study we </w:t>
      </w:r>
      <w:r w:rsidR="00E83E05">
        <w:t xml:space="preserve">calculate </w:t>
      </w:r>
      <w:r w:rsidRPr="007C7C58">
        <w:rPr>
          <w:b/>
        </w:rPr>
        <w:t>h</w:t>
      </w:r>
      <w:r>
        <w:t xml:space="preserve">-index and </w:t>
      </w:r>
      <w:r w:rsidRPr="007C7C58">
        <w:rPr>
          <w:b/>
        </w:rPr>
        <w:t>g</w:t>
      </w:r>
      <w:r>
        <w:t>-index</w:t>
      </w:r>
      <w:r w:rsidR="00E83E05">
        <w:t>es</w:t>
      </w:r>
      <w:r w:rsidR="008438F2">
        <w:t xml:space="preserve"> </w:t>
      </w:r>
      <w:r>
        <w:t>in the context of a nation-wide research assessment exercise.  For this purpose we have adopted the framework of the New Zealand Performance-Based Research Fund (PBRF).  As noted earlier, the PBRF is a</w:t>
      </w:r>
      <w:r w:rsidR="007C7C58">
        <w:t>n</w:t>
      </w:r>
      <w:r>
        <w:t xml:space="preserve"> assessment exercise that measures the research performance of all university based academics</w:t>
      </w:r>
      <w:r w:rsidR="00540A7E">
        <w:rPr>
          <w:rStyle w:val="FootnoteReference"/>
        </w:rPr>
        <w:footnoteReference w:id="6"/>
      </w:r>
      <w:r>
        <w:t xml:space="preserve"> (that is, its basic building block is the individual researcher, not the academic unit as is the case for the UK and Australian research assessment exercises) over a six year period.  Economics is one of 42 disciplines covered by the exercise, and the resulting aggregation of individual scores </w:t>
      </w:r>
      <w:r w:rsidR="00CD6B68">
        <w:t xml:space="preserve">yields </w:t>
      </w:r>
      <w:r>
        <w:t xml:space="preserve">a numerical estimate of performance for each </w:t>
      </w:r>
      <w:r w:rsidR="007C7C58">
        <w:t xml:space="preserve">academic unit and ultimately each institution </w:t>
      </w:r>
      <w:r>
        <w:t>(eight universities and a number of polytechnics</w:t>
      </w:r>
      <w:r w:rsidR="00D27F56">
        <w:t xml:space="preserve"> – we </w:t>
      </w:r>
      <w:r>
        <w:t xml:space="preserve">restrict ourselves to the university sector).  </w:t>
      </w:r>
      <w:r w:rsidR="00F721F2">
        <w:t xml:space="preserve">In 2010, PBRF scores were </w:t>
      </w:r>
      <w:r w:rsidR="000F61FA">
        <w:t xml:space="preserve">utilized </w:t>
      </w:r>
      <w:r w:rsidR="003A26C9">
        <w:t xml:space="preserve">to distribute approximately </w:t>
      </w:r>
      <w:r w:rsidR="008438F2">
        <w:t>18</w:t>
      </w:r>
      <w:r w:rsidR="003A26C9">
        <w:t xml:space="preserve"> percent of the government’s total funding to universities (approximately $</w:t>
      </w:r>
      <w:r w:rsidR="008438F2">
        <w:t>268</w:t>
      </w:r>
      <w:r w:rsidR="00DA47C9">
        <w:t xml:space="preserve"> million </w:t>
      </w:r>
      <w:r w:rsidR="003A26C9">
        <w:t xml:space="preserve">NZ), while the </w:t>
      </w:r>
      <w:r w:rsidR="000F61FA">
        <w:t xml:space="preserve">resulting ordinal </w:t>
      </w:r>
      <w:r w:rsidR="003A26C9">
        <w:t>ranking</w:t>
      </w:r>
      <w:r w:rsidR="000F61FA">
        <w:t>s are</w:t>
      </w:r>
      <w:r w:rsidR="003A26C9">
        <w:t xml:space="preserve"> widely used </w:t>
      </w:r>
      <w:r w:rsidR="000F61FA">
        <w:t xml:space="preserve">to advertise and promote </w:t>
      </w:r>
      <w:r w:rsidR="000D16A8">
        <w:t>‘</w:t>
      </w:r>
      <w:r w:rsidR="000F61FA">
        <w:t>winners</w:t>
      </w:r>
      <w:r w:rsidR="000D16A8">
        <w:t>’</w:t>
      </w:r>
      <w:r w:rsidR="000F61FA">
        <w:t xml:space="preserve"> at the academic unit and institutional level.  </w:t>
      </w:r>
      <w:r w:rsidR="003A26C9">
        <w:t xml:space="preserve">In other words, both </w:t>
      </w:r>
      <w:r w:rsidR="000F61FA">
        <w:t xml:space="preserve">cardinal and ordinal measures of performance </w:t>
      </w:r>
      <w:r w:rsidR="003A26C9">
        <w:t>are important to department</w:t>
      </w:r>
      <w:r w:rsidR="00CA5AF9">
        <w:t>s</w:t>
      </w:r>
      <w:r w:rsidR="003A26C9">
        <w:t xml:space="preserve"> and universit</w:t>
      </w:r>
      <w:r w:rsidR="00CA5AF9">
        <w:t>ies</w:t>
      </w:r>
      <w:r w:rsidR="00F721F2">
        <w:t xml:space="preserve"> in New Zealand</w:t>
      </w:r>
      <w:r w:rsidR="00B85AF9">
        <w:t xml:space="preserve">. </w:t>
      </w:r>
    </w:p>
    <w:p w:rsidR="000D16A8" w:rsidRDefault="000D16A8" w:rsidP="00786AA4">
      <w:pPr>
        <w:jc w:val="both"/>
      </w:pPr>
    </w:p>
    <w:p w:rsidR="007818D9" w:rsidRPr="00AA2699" w:rsidRDefault="007818D9" w:rsidP="00786AA4">
      <w:pPr>
        <w:pStyle w:val="ListParagraph"/>
        <w:numPr>
          <w:ilvl w:val="0"/>
          <w:numId w:val="2"/>
        </w:numPr>
        <w:jc w:val="both"/>
        <w:rPr>
          <w:b/>
        </w:rPr>
      </w:pPr>
      <w:r w:rsidRPr="00AA2699">
        <w:rPr>
          <w:b/>
        </w:rPr>
        <w:t>Data Issues</w:t>
      </w:r>
    </w:p>
    <w:p w:rsidR="00360C8A" w:rsidRDefault="003A26C9" w:rsidP="00786AA4">
      <w:pPr>
        <w:jc w:val="both"/>
      </w:pPr>
      <w:r>
        <w:t>In order to simulate PBRF</w:t>
      </w:r>
      <w:r w:rsidR="007818D9">
        <w:t>-like</w:t>
      </w:r>
      <w:r>
        <w:t xml:space="preserve"> conditions, we restrict our study to a six year period (2003-2008)</w:t>
      </w:r>
      <w:r w:rsidR="00767BF5">
        <w:t xml:space="preserve">.  Our data-base incorporates all refereed publications in journals recognized by </w:t>
      </w:r>
      <w:proofErr w:type="spellStart"/>
      <w:r w:rsidR="00767BF5">
        <w:t>Econlit</w:t>
      </w:r>
      <w:proofErr w:type="spellEnd"/>
      <w:r w:rsidR="00767BF5">
        <w:t xml:space="preserve"> (as at </w:t>
      </w:r>
      <w:r w:rsidR="007818D9">
        <w:t>15 April 2009)</w:t>
      </w:r>
      <w:r w:rsidR="00767BF5">
        <w:t xml:space="preserve">.  </w:t>
      </w:r>
      <w:r w:rsidR="00360C8A">
        <w:t>In this study, c</w:t>
      </w:r>
      <w:r w:rsidR="00364BDA">
        <w:t xml:space="preserve">itations to </w:t>
      </w:r>
      <w:r w:rsidR="00767BF5">
        <w:t>papers</w:t>
      </w:r>
      <w:r w:rsidR="00364BDA">
        <w:t xml:space="preserve"> are excluded if they are self-cites, and the remaining cites</w:t>
      </w:r>
      <w:r w:rsidR="00767BF5">
        <w:t xml:space="preserve"> are share adjusted utilizing the widely employed 1/n rule (where n is the number of authors on the paper)</w:t>
      </w:r>
      <w:r w:rsidR="00364BDA">
        <w:t xml:space="preserve">.  Rephrased, all citation counts in this study are of the non-self, share-adjusted variety.  </w:t>
      </w:r>
      <w:r w:rsidR="006130A8">
        <w:t xml:space="preserve">  </w:t>
      </w:r>
      <w:r w:rsidR="00360C8A">
        <w:t xml:space="preserve">Given the competitive nature of the PBRF, indeed </w:t>
      </w:r>
      <w:r w:rsidR="00CD6B68">
        <w:t xml:space="preserve">for </w:t>
      </w:r>
      <w:r w:rsidR="00360C8A">
        <w:t xml:space="preserve">any nation-wide research assessment exercise with major financial payouts, adjustments for self-citations and multiple authored papers are necessary to prevent game playing tactics that will ultimately destroy the integrity of the scheme.  </w:t>
      </w:r>
      <w:r w:rsidR="006130A8">
        <w:t>From this database, we construct our three ISI citation-based RAMs: citation counts (</w:t>
      </w:r>
      <w:r w:rsidR="006130A8" w:rsidRPr="006130A8">
        <w:rPr>
          <w:b/>
        </w:rPr>
        <w:t>ISIC</w:t>
      </w:r>
      <w:r w:rsidR="006130A8">
        <w:t>), g-index (</w:t>
      </w:r>
      <w:proofErr w:type="spellStart"/>
      <w:r w:rsidR="006130A8" w:rsidRPr="006130A8">
        <w:rPr>
          <w:b/>
        </w:rPr>
        <w:t>ISIg</w:t>
      </w:r>
      <w:proofErr w:type="spellEnd"/>
      <w:r w:rsidR="006130A8">
        <w:t>), and h-index (</w:t>
      </w:r>
      <w:proofErr w:type="spellStart"/>
      <w:r w:rsidR="006130A8" w:rsidRPr="006130A8">
        <w:rPr>
          <w:b/>
        </w:rPr>
        <w:t>ISIh</w:t>
      </w:r>
      <w:proofErr w:type="spellEnd"/>
      <w:r w:rsidR="006130A8">
        <w:t>).</w:t>
      </w:r>
      <w:r w:rsidR="00360C8A">
        <w:t xml:space="preserve">The transition from individual cites to departmental output is based on the Stock allocation method.  </w:t>
      </w:r>
      <w:r w:rsidR="00767BF5">
        <w:t xml:space="preserve">That is, for all academic staff employed on the census date (15 April 2009), all output produced over the period 2003-2008 is attributed to the </w:t>
      </w:r>
      <w:r w:rsidR="00360C8A">
        <w:t>staff member</w:t>
      </w:r>
      <w:r w:rsidR="00885975">
        <w:t>’</w:t>
      </w:r>
      <w:r w:rsidR="00360C8A">
        <w:t xml:space="preserve">s employer as at the same date.  </w:t>
      </w:r>
      <w:r w:rsidR="00767BF5">
        <w:t xml:space="preserve">  </w:t>
      </w:r>
    </w:p>
    <w:p w:rsidR="00C378E2" w:rsidRDefault="00E12E18" w:rsidP="00786AA4">
      <w:pPr>
        <w:jc w:val="both"/>
      </w:pPr>
      <w:r>
        <w:lastRenderedPageBreak/>
        <w:t>We have made one major deviation from the basic PBRF framework.  Under PBRF</w:t>
      </w:r>
      <w:r w:rsidR="00ED66B3">
        <w:t>,</w:t>
      </w:r>
      <w:r>
        <w:t xml:space="preserve"> the cut-off date for assessment</w:t>
      </w:r>
      <w:r w:rsidR="00360C8A">
        <w:t xml:space="preserve"> </w:t>
      </w:r>
      <w:r>
        <w:t>information is 31 December of the last year of review</w:t>
      </w:r>
      <w:r w:rsidR="00D27F56">
        <w:t xml:space="preserve"> – in </w:t>
      </w:r>
      <w:r>
        <w:t xml:space="preserve">our </w:t>
      </w:r>
      <w:proofErr w:type="gramStart"/>
      <w:r>
        <w:t>example,</w:t>
      </w:r>
      <w:proofErr w:type="gramEnd"/>
      <w:r>
        <w:t xml:space="preserve"> </w:t>
      </w:r>
      <w:r w:rsidR="007818D9">
        <w:t>this</w:t>
      </w:r>
      <w:r>
        <w:t xml:space="preserve"> would be 31 December 2008.  However, it is widely known that citations lag publication by a considerable period of time, especially in the social sciences (</w:t>
      </w:r>
      <w:r w:rsidR="00110C57">
        <w:t>Centre for Science and Technology Studies, 2007)</w:t>
      </w:r>
      <w:r>
        <w:t>.  Indeed, in the New Zealand economics context, Anderson &amp; Tressler (201</w:t>
      </w:r>
      <w:r w:rsidR="00AA1CD2">
        <w:t>2</w:t>
      </w:r>
      <w:r>
        <w:t>) found that for publication</w:t>
      </w:r>
      <w:r w:rsidR="006C0F1C">
        <w:t>s</w:t>
      </w:r>
      <w:r>
        <w:t xml:space="preserve"> in 2000 and 2001, </w:t>
      </w:r>
      <w:r w:rsidR="006C0F1C">
        <w:t xml:space="preserve">only </w:t>
      </w:r>
      <w:r w:rsidR="009029A8">
        <w:t>16</w:t>
      </w:r>
      <w:r w:rsidR="006C0F1C">
        <w:t xml:space="preserve"> percent of papers had received ISI cites by </w:t>
      </w:r>
      <w:r w:rsidR="00885975">
        <w:t xml:space="preserve">the </w:t>
      </w:r>
      <w:r w:rsidR="006C0F1C">
        <w:t>third year after release</w:t>
      </w:r>
      <w:r w:rsidR="001D77A9">
        <w:t xml:space="preserve"> (rising to 32 and 40 percent by the end of year’s 5 and 10, respectively)</w:t>
      </w:r>
      <w:r w:rsidR="009029A8">
        <w:t xml:space="preserve">. </w:t>
      </w:r>
      <w:r w:rsidR="001D77A9">
        <w:t xml:space="preserve"> </w:t>
      </w:r>
      <w:r w:rsidR="009029A8">
        <w:t xml:space="preserve">The corresponding </w:t>
      </w:r>
      <w:r w:rsidR="001F5D21">
        <w:t xml:space="preserve">figure </w:t>
      </w:r>
      <w:r w:rsidR="009029A8">
        <w:t xml:space="preserve">for ISI cites to ISI listed journals was </w:t>
      </w:r>
      <w:r w:rsidR="001F5D21">
        <w:t>higher, but still only 29 percent</w:t>
      </w:r>
      <w:r w:rsidR="009029A8">
        <w:t xml:space="preserve">.  </w:t>
      </w:r>
      <w:r w:rsidR="006C0F1C">
        <w:t>This suggests that a citation</w:t>
      </w:r>
      <w:r w:rsidR="00ED66B3">
        <w:t>-</w:t>
      </w:r>
      <w:r w:rsidR="006C0F1C">
        <w:t xml:space="preserve">based scheme, in order to have credibility within the </w:t>
      </w:r>
      <w:r w:rsidR="007818D9">
        <w:t xml:space="preserve">economics </w:t>
      </w:r>
      <w:r w:rsidR="006C0F1C">
        <w:t xml:space="preserve">community, must </w:t>
      </w:r>
      <w:r w:rsidR="00F72B72">
        <w:t xml:space="preserve">include </w:t>
      </w:r>
      <w:r w:rsidR="006C0F1C">
        <w:t xml:space="preserve">a lag structure.  However, this has to be constrained for pragmatic reasons, since </w:t>
      </w:r>
      <w:r w:rsidR="00F72B72">
        <w:t xml:space="preserve">governments are attempting to reward relatively current performance and </w:t>
      </w:r>
      <w:r w:rsidR="006C0F1C">
        <w:t>institutions</w:t>
      </w:r>
      <w:r w:rsidR="00F72B72">
        <w:t xml:space="preserve"> can be expected to wish </w:t>
      </w:r>
      <w:r w:rsidR="00EA0F2F">
        <w:t xml:space="preserve">to minimize the time period between the end of the evaluation period and the announcement of results and the flow of expected funding.  In order to balance these competing themes, we have opted for a two year lag structure: that is, citations for all publications produced over the 2003 to 2008 period have been collected up to 31 December 2010.  </w:t>
      </w:r>
    </w:p>
    <w:p w:rsidR="00110C57" w:rsidRDefault="00EA0F2F" w:rsidP="00786AA4">
      <w:pPr>
        <w:jc w:val="both"/>
      </w:pPr>
      <w:r>
        <w:t>We have utilized the ISI citation data-base to generate estimates of cites per paper.  Th</w:t>
      </w:r>
      <w:r w:rsidR="00F72B72">
        <w:t xml:space="preserve">is </w:t>
      </w:r>
      <w:r>
        <w:t>data-base has been utilized by virtually all researchers in the bibliographic field</w:t>
      </w:r>
      <w:r w:rsidR="004E532B">
        <w:t xml:space="preserve">; it is generally viewed as the most reliable source of </w:t>
      </w:r>
      <w:r w:rsidR="00110C57">
        <w:t xml:space="preserve">citation </w:t>
      </w:r>
      <w:r w:rsidR="004E532B">
        <w:t xml:space="preserve">data.  However, it suffers from a major limitation in the context of a nation-wide review: as at </w:t>
      </w:r>
      <w:r w:rsidR="00D02E9E">
        <w:t xml:space="preserve">1 March </w:t>
      </w:r>
      <w:r w:rsidR="004E532B">
        <w:t xml:space="preserve">2011, only </w:t>
      </w:r>
      <w:r w:rsidR="00D02E9E">
        <w:t>17</w:t>
      </w:r>
      <w:r w:rsidR="004E532B">
        <w:t xml:space="preserve"> percent of </w:t>
      </w:r>
      <w:proofErr w:type="spellStart"/>
      <w:r w:rsidR="004E532B">
        <w:t>Econlit</w:t>
      </w:r>
      <w:proofErr w:type="spellEnd"/>
      <w:r w:rsidR="004E532B">
        <w:t xml:space="preserve"> </w:t>
      </w:r>
      <w:r w:rsidR="00D81F7B">
        <w:t xml:space="preserve">listed </w:t>
      </w:r>
      <w:r w:rsidR="004E532B">
        <w:t xml:space="preserve">journals are </w:t>
      </w:r>
      <w:r w:rsidR="00D81F7B">
        <w:t xml:space="preserve">included in the ISI economics group </w:t>
      </w:r>
      <w:r w:rsidR="004E532B">
        <w:t>(</w:t>
      </w:r>
      <w:r w:rsidR="00D02E9E">
        <w:t>247</w:t>
      </w:r>
      <w:r w:rsidR="004E532B">
        <w:t xml:space="preserve"> out of approximately 1500).  </w:t>
      </w:r>
      <w:r w:rsidR="00F72B72">
        <w:t xml:space="preserve"> </w:t>
      </w:r>
      <w:r w:rsidR="00792DE7">
        <w:t xml:space="preserve">We should </w:t>
      </w:r>
      <w:r w:rsidR="00F72B72">
        <w:t xml:space="preserve">also </w:t>
      </w:r>
      <w:r w:rsidR="00792DE7">
        <w:t xml:space="preserve">note that ISI </w:t>
      </w:r>
      <w:r w:rsidR="00674E1C">
        <w:t>assigns</w:t>
      </w:r>
      <w:r w:rsidR="00F72B72">
        <w:t xml:space="preserve"> </w:t>
      </w:r>
      <w:r w:rsidR="00792DE7">
        <w:t xml:space="preserve">equal weight to all cites regardless of origin, although ISI cites can be considered to have passed a crude test in that they must originate from </w:t>
      </w:r>
      <w:r w:rsidR="00F72B72">
        <w:t>ISI recognized journals</w:t>
      </w:r>
      <w:r w:rsidR="00110C57">
        <w:t xml:space="preserve"> across all disciplines.  </w:t>
      </w:r>
    </w:p>
    <w:p w:rsidR="00345EE0" w:rsidRDefault="002E4A26" w:rsidP="00786AA4">
      <w:pPr>
        <w:jc w:val="both"/>
      </w:pPr>
      <w:r>
        <w:t>In order to place our results for direct</w:t>
      </w:r>
      <w:r w:rsidR="00CA5AF9">
        <w:t>-</w:t>
      </w:r>
      <w:r>
        <w:t>citation</w:t>
      </w:r>
      <w:r w:rsidR="00CA5AF9">
        <w:t xml:space="preserve"> </w:t>
      </w:r>
      <w:r w:rsidR="00110C57">
        <w:t>RAMs</w:t>
      </w:r>
      <w:r w:rsidR="00CA5AF9">
        <w:t xml:space="preserve"> (citation counts, </w:t>
      </w:r>
      <w:r w:rsidR="00CA5AF9" w:rsidRPr="00C43070">
        <w:rPr>
          <w:b/>
        </w:rPr>
        <w:t>g</w:t>
      </w:r>
      <w:r w:rsidR="00CA5AF9">
        <w:t xml:space="preserve">-index and </w:t>
      </w:r>
      <w:r w:rsidR="00CA5AF9" w:rsidRPr="00C43070">
        <w:rPr>
          <w:b/>
        </w:rPr>
        <w:t>h</w:t>
      </w:r>
      <w:r w:rsidR="00CA5AF9">
        <w:t xml:space="preserve">-index) </w:t>
      </w:r>
      <w:r>
        <w:t xml:space="preserve">in context, we also report departmental and individual results for a select number of traditional </w:t>
      </w:r>
      <w:r w:rsidR="00043611">
        <w:t xml:space="preserve">RAMs </w:t>
      </w:r>
      <w:r>
        <w:t xml:space="preserve">based </w:t>
      </w:r>
      <w:r w:rsidR="00043611">
        <w:t xml:space="preserve">on journal </w:t>
      </w:r>
      <w:r>
        <w:t xml:space="preserve">weighting schemes.  </w:t>
      </w:r>
      <w:r w:rsidR="005D6D3E">
        <w:t>For these schemes we adopt the prevailing approach</w:t>
      </w:r>
      <w:r w:rsidR="00043611">
        <w:t xml:space="preserve"> (see </w:t>
      </w:r>
      <w:proofErr w:type="spellStart"/>
      <w:r w:rsidR="00043611">
        <w:t>Macri</w:t>
      </w:r>
      <w:proofErr w:type="spellEnd"/>
      <w:r w:rsidR="00043611">
        <w:t xml:space="preserve"> and Sinha, 2006)</w:t>
      </w:r>
      <w:r w:rsidR="005D6D3E">
        <w:t xml:space="preserve">:  output is measured by share adjusted pages produced by a given researcher, with shares being determined by the 1/n rule (where n is the number of authors on the paper), and word count per page standardized to equal that of an average </w:t>
      </w:r>
      <w:r w:rsidR="005D6D3E" w:rsidRPr="00C43070">
        <w:rPr>
          <w:i/>
        </w:rPr>
        <w:t>AER</w:t>
      </w:r>
      <w:r w:rsidR="005D6D3E">
        <w:t xml:space="preserve"> page.  </w:t>
      </w:r>
    </w:p>
    <w:p w:rsidR="002E4A26" w:rsidRDefault="000F0CB2" w:rsidP="00786AA4">
      <w:pPr>
        <w:jc w:val="both"/>
      </w:pPr>
      <w:r>
        <w:t xml:space="preserve">Our most basic weighting scheme is based on the premise that all refereed papers are of equal value (if they are listed in </w:t>
      </w:r>
      <w:proofErr w:type="spellStart"/>
      <w:r>
        <w:t>Econlit</w:t>
      </w:r>
      <w:proofErr w:type="spellEnd"/>
      <w:r>
        <w:t xml:space="preserve">) </w:t>
      </w:r>
      <w:r w:rsidR="00D27F56">
        <w:t xml:space="preserve">– we </w:t>
      </w:r>
      <w:r>
        <w:t xml:space="preserve">label this scheme as </w:t>
      </w:r>
      <w:r w:rsidRPr="00325E0A">
        <w:rPr>
          <w:b/>
        </w:rPr>
        <w:t>EQUAL</w:t>
      </w:r>
      <w:r>
        <w:t xml:space="preserve">.  </w:t>
      </w:r>
      <w:r w:rsidR="00063380">
        <w:t>In practice this is really a measure of quantity rather than quality</w:t>
      </w:r>
      <w:r w:rsidR="00D02E9E">
        <w:t xml:space="preserve">; however it does serve as a useful reference point for demonstrating the impact of quality adjustment processes.  </w:t>
      </w:r>
      <w:r w:rsidR="00063380">
        <w:t xml:space="preserve">In order to </w:t>
      </w:r>
      <w:r w:rsidR="00A66DAF">
        <w:t xml:space="preserve">compare our citation-based </w:t>
      </w:r>
      <w:r w:rsidR="00A87752">
        <w:t>regimes</w:t>
      </w:r>
      <w:r w:rsidR="00A66DAF">
        <w:t xml:space="preserve"> to those derived from </w:t>
      </w:r>
      <w:r w:rsidR="000D16A8">
        <w:t>‘</w:t>
      </w:r>
      <w:r w:rsidR="00A66DAF">
        <w:t>impact-factor</w:t>
      </w:r>
      <w:r w:rsidR="000D16A8">
        <w:t>’</w:t>
      </w:r>
      <w:r w:rsidR="00A66DAF">
        <w:t xml:space="preserve"> analysis, </w:t>
      </w:r>
      <w:r w:rsidR="00063380">
        <w:t xml:space="preserve">we have chosen </w:t>
      </w:r>
      <w:r w:rsidR="00674E1C">
        <w:t xml:space="preserve">two </w:t>
      </w:r>
      <w:r w:rsidR="00D82758">
        <w:t xml:space="preserve">schemes: </w:t>
      </w:r>
      <w:r w:rsidR="00063380">
        <w:t xml:space="preserve">the </w:t>
      </w:r>
      <w:r w:rsidR="00325E0A">
        <w:t>201</w:t>
      </w:r>
      <w:r w:rsidR="004A65E2">
        <w:t>1</w:t>
      </w:r>
      <w:r w:rsidR="00325E0A">
        <w:t xml:space="preserve"> </w:t>
      </w:r>
      <w:r w:rsidR="00063380">
        <w:t xml:space="preserve">updated version of the KMS (2003) </w:t>
      </w:r>
      <w:r w:rsidR="003F7270">
        <w:t>scheme</w:t>
      </w:r>
      <w:r w:rsidR="00063380">
        <w:t xml:space="preserve"> previously discussed in this paper: we label this </w:t>
      </w:r>
      <w:r w:rsidR="003F7270">
        <w:t xml:space="preserve">set of weights </w:t>
      </w:r>
      <w:r w:rsidR="00063380">
        <w:t xml:space="preserve">as </w:t>
      </w:r>
      <w:r w:rsidR="00063380" w:rsidRPr="00325E0A">
        <w:rPr>
          <w:b/>
        </w:rPr>
        <w:t>KMS</w:t>
      </w:r>
      <w:r w:rsidR="00D82758">
        <w:rPr>
          <w:b/>
        </w:rPr>
        <w:t xml:space="preserve">; </w:t>
      </w:r>
      <w:r w:rsidR="00D82758">
        <w:t xml:space="preserve">and </w:t>
      </w:r>
      <w:r w:rsidR="00A66DAF">
        <w:t xml:space="preserve">the </w:t>
      </w:r>
      <w:r w:rsidR="00D82758">
        <w:t xml:space="preserve">2008 version of the well known two year journal impact factors for ISI listed journals, denoted herein as </w:t>
      </w:r>
      <w:r w:rsidR="00D82758" w:rsidRPr="00D82758">
        <w:rPr>
          <w:b/>
        </w:rPr>
        <w:t>JCR</w:t>
      </w:r>
      <w:r w:rsidR="00325E0A">
        <w:t>.</w:t>
      </w:r>
      <w:r w:rsidR="00D82758">
        <w:rPr>
          <w:rStyle w:val="FootnoteReference"/>
        </w:rPr>
        <w:footnoteReference w:id="7"/>
      </w:r>
      <w:r w:rsidR="00325E0A">
        <w:t xml:space="preserve"> </w:t>
      </w:r>
      <w:r w:rsidR="00063380">
        <w:t xml:space="preserve"> </w:t>
      </w:r>
      <w:r w:rsidR="003F7270">
        <w:t xml:space="preserve">Our </w:t>
      </w:r>
      <w:r w:rsidR="00A66DAF">
        <w:t xml:space="preserve">fourth </w:t>
      </w:r>
      <w:r w:rsidR="003F7270">
        <w:t>and final alternative weighting scheme is of the reputational variety</w:t>
      </w:r>
      <w:r w:rsidR="0089595B">
        <w:t xml:space="preserve">. </w:t>
      </w:r>
      <w:r w:rsidR="00325E0A">
        <w:t xml:space="preserve">For illustrative purposes, </w:t>
      </w:r>
      <w:r w:rsidR="003F7270">
        <w:t xml:space="preserve">we have selected the </w:t>
      </w:r>
      <w:r w:rsidR="00A87752">
        <w:t xml:space="preserve">regime </w:t>
      </w:r>
      <w:r w:rsidR="003F7270">
        <w:t xml:space="preserve">developed by the Australian Research Council </w:t>
      </w:r>
      <w:r w:rsidR="00CA5AF9">
        <w:t xml:space="preserve">and </w:t>
      </w:r>
      <w:r w:rsidR="003F7270">
        <w:t>used in Australia’s nation-wide research assessment exercise conducted in 2010</w:t>
      </w:r>
      <w:r w:rsidR="00D27F56">
        <w:t xml:space="preserve"> – the </w:t>
      </w:r>
      <w:r w:rsidR="003F7270">
        <w:t xml:space="preserve">Excellence in Research for </w:t>
      </w:r>
      <w:r w:rsidR="003F7270">
        <w:lastRenderedPageBreak/>
        <w:t>Australia (ERA).  Although the</w:t>
      </w:r>
      <w:r w:rsidR="00325E0A">
        <w:t>se</w:t>
      </w:r>
      <w:r w:rsidR="003F7270">
        <w:t xml:space="preserve"> journal rankings proved to be controversial, and will not be directly employed in the next round of the ERA, </w:t>
      </w:r>
      <w:r w:rsidR="00A87752">
        <w:t xml:space="preserve">this </w:t>
      </w:r>
      <w:r w:rsidR="003F7270">
        <w:t>scheme was never</w:t>
      </w:r>
      <w:r w:rsidR="00325E0A">
        <w:t>-</w:t>
      </w:r>
      <w:r w:rsidR="003F7270">
        <w:t>the</w:t>
      </w:r>
      <w:r w:rsidR="00325E0A">
        <w:t>-</w:t>
      </w:r>
      <w:r w:rsidR="003F7270">
        <w:t xml:space="preserve">less based on input from the Economic Society of Australia and other academic groups, and provides us with an </w:t>
      </w:r>
      <w:r w:rsidR="0000622E">
        <w:t xml:space="preserve">alternative </w:t>
      </w:r>
      <w:r w:rsidR="00A87752">
        <w:t xml:space="preserve">RAM </w:t>
      </w:r>
      <w:r w:rsidR="0000622E">
        <w:t xml:space="preserve">that should reflect some of the values held by New Zealand researchers and evaluators given the close social, economic and cultural ties between these nations.  We label this set of journal weights as </w:t>
      </w:r>
      <w:r w:rsidR="0000622E" w:rsidRPr="00325E0A">
        <w:rPr>
          <w:b/>
        </w:rPr>
        <w:t>ERA.</w:t>
      </w:r>
      <w:r w:rsidR="003F7270">
        <w:t xml:space="preserve"> </w:t>
      </w:r>
    </w:p>
    <w:p w:rsidR="005B545E" w:rsidRPr="005B545E" w:rsidRDefault="005B545E" w:rsidP="00786AA4">
      <w:pPr>
        <w:jc w:val="both"/>
        <w:rPr>
          <w:sz w:val="16"/>
          <w:szCs w:val="16"/>
        </w:rPr>
      </w:pPr>
    </w:p>
    <w:p w:rsidR="00345EE0" w:rsidRPr="00AA2699" w:rsidRDefault="00345EE0" w:rsidP="00786AA4">
      <w:pPr>
        <w:pStyle w:val="ListParagraph"/>
        <w:numPr>
          <w:ilvl w:val="0"/>
          <w:numId w:val="2"/>
        </w:numPr>
        <w:jc w:val="both"/>
        <w:rPr>
          <w:b/>
        </w:rPr>
      </w:pPr>
      <w:r w:rsidRPr="00AA2699">
        <w:rPr>
          <w:b/>
        </w:rPr>
        <w:t>Results</w:t>
      </w:r>
    </w:p>
    <w:p w:rsidR="00345EE0" w:rsidRDefault="007D2ADC" w:rsidP="00786AA4">
      <w:pPr>
        <w:jc w:val="both"/>
      </w:pPr>
      <w:r>
        <w:t xml:space="preserve">Before presenting our results, recall the basic framework we have adopted: the relevant citing period is 1 January 2003 to 31 December 2010 for all refereed papers published in </w:t>
      </w:r>
      <w:proofErr w:type="spellStart"/>
      <w:r>
        <w:t>Econlit</w:t>
      </w:r>
      <w:proofErr w:type="spellEnd"/>
      <w:r>
        <w:t xml:space="preserve">-listed journals over the period 1 January 2003 to 31 December 2008.  </w:t>
      </w:r>
      <w:r w:rsidR="00C52EF8">
        <w:t>Therefore, papers published in 2003 have an eight year window for capturing cites whereas those published early in 2008 have, at most, a three year window.  Given that the size of each economics department in our sample has been relatively constant over this time period, the departmental results should not be inherently biased by our citation collection approach.  Obviously, the situation at the individual researcher level is different, especially for those be</w:t>
      </w:r>
      <w:r w:rsidR="00CA5AF9">
        <w:t>ginning</w:t>
      </w:r>
      <w:r w:rsidR="00C52EF8">
        <w:t xml:space="preserve"> their research career post-2002.  To address this situation, we have presented results for </w:t>
      </w:r>
      <w:r w:rsidR="00A802B2">
        <w:t xml:space="preserve">individual researchers who have been active </w:t>
      </w:r>
      <w:r w:rsidR="00BE6A81">
        <w:t xml:space="preserve">throughout our assessment period; in other words, those with at least </w:t>
      </w:r>
      <w:r w:rsidR="00A802B2">
        <w:t>six</w:t>
      </w:r>
      <w:r w:rsidR="00BE6A81">
        <w:t xml:space="preserve"> years of professional experience as at 31 December 20</w:t>
      </w:r>
      <w:r w:rsidR="00A802B2">
        <w:t>08</w:t>
      </w:r>
      <w:r w:rsidR="00BE6A81">
        <w:t>.  Let us now turn to our findings.</w:t>
      </w:r>
      <w:r w:rsidR="00AA2ABE">
        <w:rPr>
          <w:rStyle w:val="FootnoteReference"/>
        </w:rPr>
        <w:footnoteReference w:id="8"/>
      </w:r>
    </w:p>
    <w:p w:rsidR="00C36610" w:rsidRDefault="00A802B2" w:rsidP="00786AA4">
      <w:pPr>
        <w:jc w:val="both"/>
      </w:pPr>
      <w:r>
        <w:t>In Table</w:t>
      </w:r>
      <w:r w:rsidR="0032311A">
        <w:t xml:space="preserve"> 2</w:t>
      </w:r>
      <w:r>
        <w:t xml:space="preserve"> we show </w:t>
      </w:r>
      <w:proofErr w:type="spellStart"/>
      <w:r w:rsidR="000A6EE1" w:rsidRPr="000A6EE1">
        <w:rPr>
          <w:b/>
        </w:rPr>
        <w:t>ISIg</w:t>
      </w:r>
      <w:proofErr w:type="spellEnd"/>
      <w:r w:rsidR="000A6EE1">
        <w:t xml:space="preserve"> and </w:t>
      </w:r>
      <w:proofErr w:type="spellStart"/>
      <w:r w:rsidR="000A6EE1" w:rsidRPr="000A6EE1">
        <w:rPr>
          <w:b/>
        </w:rPr>
        <w:t>ISIh</w:t>
      </w:r>
      <w:proofErr w:type="spellEnd"/>
      <w:r w:rsidR="000A6EE1">
        <w:t xml:space="preserve"> </w:t>
      </w:r>
      <w:r>
        <w:t xml:space="preserve">results for the 110 researchers in our </w:t>
      </w:r>
      <w:r w:rsidR="00AA1197">
        <w:t xml:space="preserve">restricted </w:t>
      </w:r>
      <w:r>
        <w:t xml:space="preserve">sample.  </w:t>
      </w:r>
      <w:r w:rsidR="006C6531">
        <w:t xml:space="preserve">  </w:t>
      </w:r>
      <w:r w:rsidR="00E65904">
        <w:t>S</w:t>
      </w:r>
      <w:r w:rsidR="006C6531">
        <w:t xml:space="preserve">ave for one star performer, the results are </w:t>
      </w:r>
      <w:r w:rsidR="00C35073">
        <w:t xml:space="preserve">rather </w:t>
      </w:r>
      <w:r w:rsidR="006C6531">
        <w:t>compressed: 0</w:t>
      </w:r>
      <w:r w:rsidR="003A3970">
        <w:t>-</w:t>
      </w:r>
      <w:r w:rsidR="006C6531">
        <w:t>6 and 0</w:t>
      </w:r>
      <w:r w:rsidR="003A3970">
        <w:t>-</w:t>
      </w:r>
      <w:r w:rsidR="006C6531">
        <w:t xml:space="preserve">4 for </w:t>
      </w:r>
      <w:proofErr w:type="spellStart"/>
      <w:r w:rsidR="00E65904" w:rsidRPr="00E65904">
        <w:rPr>
          <w:b/>
        </w:rPr>
        <w:t>ISIg</w:t>
      </w:r>
      <w:proofErr w:type="spellEnd"/>
      <w:r w:rsidR="00E65904">
        <w:t xml:space="preserve"> and </w:t>
      </w:r>
      <w:proofErr w:type="spellStart"/>
      <w:r w:rsidR="00E65904" w:rsidRPr="00E65904">
        <w:rPr>
          <w:b/>
        </w:rPr>
        <w:t>ISIh</w:t>
      </w:r>
      <w:proofErr w:type="spellEnd"/>
      <w:r w:rsidR="00E65904">
        <w:t xml:space="preserve">, </w:t>
      </w:r>
      <w:r w:rsidR="006C6531">
        <w:t xml:space="preserve">respectively.  </w:t>
      </w:r>
      <w:r w:rsidR="00C35073">
        <w:t>The compression issue can also be observed by noting the percentage of researchers obtaining an ISI score of two or less: 89</w:t>
      </w:r>
      <w:r w:rsidR="00E65904">
        <w:t xml:space="preserve"> percent for </w:t>
      </w:r>
      <w:r w:rsidR="00BB7A13" w:rsidRPr="00BB7A13">
        <w:rPr>
          <w:b/>
        </w:rPr>
        <w:t>g</w:t>
      </w:r>
      <w:r w:rsidR="00BB7A13">
        <w:t xml:space="preserve"> </w:t>
      </w:r>
      <w:r w:rsidR="00C35073">
        <w:t>and 94 percent for</w:t>
      </w:r>
      <w:r w:rsidR="00BB7A13">
        <w:t xml:space="preserve"> </w:t>
      </w:r>
      <w:r w:rsidR="00BB7A13" w:rsidRPr="00BB7A13">
        <w:rPr>
          <w:b/>
        </w:rPr>
        <w:t>h</w:t>
      </w:r>
      <w:r w:rsidR="00E65904">
        <w:t xml:space="preserve">.  </w:t>
      </w:r>
      <w:r w:rsidR="00C35073">
        <w:t xml:space="preserve">In fact, 52 percent of researchers exhibit a score of zero for both </w:t>
      </w:r>
      <w:proofErr w:type="spellStart"/>
      <w:r w:rsidR="00E65904" w:rsidRPr="00E65904">
        <w:rPr>
          <w:b/>
        </w:rPr>
        <w:t>ISIg</w:t>
      </w:r>
      <w:proofErr w:type="spellEnd"/>
      <w:r w:rsidR="00E65904">
        <w:t xml:space="preserve"> and </w:t>
      </w:r>
      <w:proofErr w:type="spellStart"/>
      <w:r w:rsidR="00E65904" w:rsidRPr="00E65904">
        <w:rPr>
          <w:b/>
        </w:rPr>
        <w:t>ISIh</w:t>
      </w:r>
      <w:proofErr w:type="spellEnd"/>
      <w:r w:rsidR="00E65904">
        <w:t>.  Also i</w:t>
      </w:r>
      <w:r w:rsidR="00B13F34">
        <w:t>n Table1 we provide information on the number of papers published by individual researchers for any given score.  For example, researchers obtaining a</w:t>
      </w:r>
      <w:r w:rsidR="00E65904">
        <w:t xml:space="preserve">n </w:t>
      </w:r>
      <w:proofErr w:type="spellStart"/>
      <w:r w:rsidR="00E65904" w:rsidRPr="00E65904">
        <w:rPr>
          <w:b/>
        </w:rPr>
        <w:t>ISIh</w:t>
      </w:r>
      <w:proofErr w:type="spellEnd"/>
      <w:r w:rsidR="00E65904">
        <w:t xml:space="preserve"> s</w:t>
      </w:r>
      <w:r w:rsidR="00B13F34">
        <w:t xml:space="preserve">core of </w:t>
      </w:r>
      <w:r w:rsidR="00250F25">
        <w:t>‘0’,</w:t>
      </w:r>
      <w:r w:rsidR="00B13F34">
        <w:t xml:space="preserve"> published between zero and </w:t>
      </w:r>
      <w:r w:rsidR="00E65904">
        <w:t xml:space="preserve">17 </w:t>
      </w:r>
      <w:r w:rsidR="00B13F34">
        <w:t>papers</w:t>
      </w:r>
      <w:r w:rsidR="00E65904">
        <w:t xml:space="preserve">. </w:t>
      </w:r>
      <w:r w:rsidR="00B13F34">
        <w:t xml:space="preserve"> </w:t>
      </w:r>
      <w:r w:rsidR="009A1A37">
        <w:t xml:space="preserve">Equally interesting is the fact that one economist </w:t>
      </w:r>
      <w:r w:rsidR="00E65904">
        <w:t xml:space="preserve">receiving </w:t>
      </w:r>
      <w:r w:rsidR="009A1A37">
        <w:t>a</w:t>
      </w:r>
      <w:r w:rsidR="00250F25">
        <w:t>n</w:t>
      </w:r>
      <w:r w:rsidR="009A1A37">
        <w:t xml:space="preserve"> </w:t>
      </w:r>
      <w:proofErr w:type="spellStart"/>
      <w:r w:rsidR="00E65904" w:rsidRPr="00E65904">
        <w:rPr>
          <w:b/>
        </w:rPr>
        <w:t>ISIh</w:t>
      </w:r>
      <w:proofErr w:type="spellEnd"/>
      <w:r w:rsidR="009A1A37">
        <w:t xml:space="preserve"> score of </w:t>
      </w:r>
      <w:r w:rsidR="000D16A8">
        <w:t>‘</w:t>
      </w:r>
      <w:r w:rsidR="009A1A37">
        <w:t>1</w:t>
      </w:r>
      <w:r w:rsidR="000D16A8">
        <w:t>’</w:t>
      </w:r>
      <w:r w:rsidR="009A1A37">
        <w:t xml:space="preserve"> published 35 </w:t>
      </w:r>
      <w:proofErr w:type="spellStart"/>
      <w:r w:rsidR="009A1A37">
        <w:t>Econlit</w:t>
      </w:r>
      <w:proofErr w:type="spellEnd"/>
      <w:r w:rsidR="009A1A37">
        <w:t xml:space="preserve"> recognized papers</w:t>
      </w:r>
      <w:r w:rsidR="00250F25">
        <w:t xml:space="preserve"> over the period 2003-2008</w:t>
      </w:r>
      <w:r w:rsidR="009A1A37">
        <w:t xml:space="preserve">.  All of this is admittedly </w:t>
      </w:r>
      <w:r w:rsidR="00E65904">
        <w:t xml:space="preserve">descriptive, </w:t>
      </w:r>
      <w:r w:rsidR="009A1A37">
        <w:t xml:space="preserve">but nevertheless suggests that the </w:t>
      </w:r>
      <w:r w:rsidR="000D16A8">
        <w:t>‘</w:t>
      </w:r>
      <w:r w:rsidR="00E65904" w:rsidRPr="004D21EB">
        <w:rPr>
          <w:b/>
        </w:rPr>
        <w:t>h</w:t>
      </w:r>
      <w:r w:rsidR="000D16A8">
        <w:t>’</w:t>
      </w:r>
      <w:r w:rsidR="00E65904">
        <w:t xml:space="preserve"> and </w:t>
      </w:r>
      <w:r w:rsidR="000D16A8">
        <w:t>‘</w:t>
      </w:r>
      <w:r w:rsidR="00E65904" w:rsidRPr="004D21EB">
        <w:rPr>
          <w:b/>
        </w:rPr>
        <w:t>g</w:t>
      </w:r>
      <w:r w:rsidR="000D16A8">
        <w:t>’</w:t>
      </w:r>
      <w:r w:rsidR="009A1A37">
        <w:t xml:space="preserve"> indexes are relatively insensitive to varying levels of </w:t>
      </w:r>
      <w:r w:rsidR="00250F25">
        <w:t>output as traditionally defined</w:t>
      </w:r>
      <w:r w:rsidR="00AA2ABE">
        <w:t xml:space="preserve"> -</w:t>
      </w:r>
      <w:r w:rsidR="00250F25">
        <w:t xml:space="preserve"> </w:t>
      </w:r>
      <w:r w:rsidR="004D21EB">
        <w:t xml:space="preserve">at least with respect to the ISI database.  </w:t>
      </w:r>
    </w:p>
    <w:p w:rsidR="00801DAD" w:rsidRDefault="0077306D" w:rsidP="00786AA4">
      <w:pPr>
        <w:jc w:val="both"/>
      </w:pPr>
      <w:r>
        <w:t>In Table</w:t>
      </w:r>
      <w:r w:rsidR="0032311A">
        <w:t xml:space="preserve"> 3</w:t>
      </w:r>
      <w:r>
        <w:t xml:space="preserve"> we explore the degree of association </w:t>
      </w:r>
      <w:r w:rsidR="00FD1C14">
        <w:t xml:space="preserve">between our various </w:t>
      </w:r>
      <w:r w:rsidR="003D6961">
        <w:t>direct citation and journal-based me</w:t>
      </w:r>
      <w:r w:rsidR="00FD1C14">
        <w:t xml:space="preserve">asures.  </w:t>
      </w:r>
      <w:r w:rsidR="004D21EB">
        <w:t xml:space="preserve">All combinations of direct citation measures are highly correlated- ranging from 0.86 to 0.97.  </w:t>
      </w:r>
      <w:r w:rsidR="00FD1C14">
        <w:t xml:space="preserve">However, the estimates for pairs of direct and </w:t>
      </w:r>
      <w:r w:rsidR="000F0CB2">
        <w:t xml:space="preserve">journal-based </w:t>
      </w:r>
      <w:r w:rsidR="00FD1C14">
        <w:t xml:space="preserve">measures yield variable results.  We see that </w:t>
      </w:r>
      <w:proofErr w:type="spellStart"/>
      <w:r w:rsidR="00FD1C14" w:rsidRPr="00801DAD">
        <w:rPr>
          <w:b/>
        </w:rPr>
        <w:t>ISI</w:t>
      </w:r>
      <w:r w:rsidR="004D21EB" w:rsidRPr="00801DAD">
        <w:rPr>
          <w:b/>
        </w:rPr>
        <w:t>g</w:t>
      </w:r>
      <w:proofErr w:type="spellEnd"/>
      <w:r w:rsidR="004D21EB">
        <w:t xml:space="preserve"> and </w:t>
      </w:r>
      <w:proofErr w:type="spellStart"/>
      <w:r w:rsidR="004D21EB" w:rsidRPr="00801DAD">
        <w:rPr>
          <w:b/>
        </w:rPr>
        <w:t>ISIh</w:t>
      </w:r>
      <w:proofErr w:type="spellEnd"/>
      <w:r w:rsidR="00FD1C14" w:rsidRPr="00801DAD">
        <w:rPr>
          <w:b/>
        </w:rPr>
        <w:t xml:space="preserve"> </w:t>
      </w:r>
      <w:r w:rsidR="00FD1C14">
        <w:t xml:space="preserve">are </w:t>
      </w:r>
      <w:r w:rsidR="004D21EB">
        <w:t xml:space="preserve">moderately </w:t>
      </w:r>
      <w:r w:rsidR="00FD1C14">
        <w:t xml:space="preserve">correlated with </w:t>
      </w:r>
      <w:r w:rsidR="00FD1C14" w:rsidRPr="00801DAD">
        <w:rPr>
          <w:b/>
        </w:rPr>
        <w:t>E</w:t>
      </w:r>
      <w:r w:rsidR="004D21EB" w:rsidRPr="00801DAD">
        <w:rPr>
          <w:b/>
        </w:rPr>
        <w:t>QUAL</w:t>
      </w:r>
      <w:r w:rsidR="004D21EB">
        <w:t xml:space="preserve"> (0.</w:t>
      </w:r>
      <w:r w:rsidR="00464F62">
        <w:t xml:space="preserve">61/ </w:t>
      </w:r>
      <w:r w:rsidR="004D21EB">
        <w:t xml:space="preserve">0.62), </w:t>
      </w:r>
      <w:r w:rsidR="004D21EB" w:rsidRPr="00801DAD">
        <w:rPr>
          <w:b/>
        </w:rPr>
        <w:t>E</w:t>
      </w:r>
      <w:r w:rsidR="00FD1C14" w:rsidRPr="00801DAD">
        <w:rPr>
          <w:b/>
        </w:rPr>
        <w:t>RAB</w:t>
      </w:r>
      <w:r w:rsidR="00FD1C14">
        <w:t xml:space="preserve"> (0.</w:t>
      </w:r>
      <w:r w:rsidR="00464F62">
        <w:t xml:space="preserve">78/ </w:t>
      </w:r>
      <w:r w:rsidR="004D21EB">
        <w:t>0.7</w:t>
      </w:r>
      <w:r w:rsidR="00464F62">
        <w:t>7</w:t>
      </w:r>
      <w:r w:rsidR="004D21EB">
        <w:t>)</w:t>
      </w:r>
      <w:r w:rsidR="00FD1C14">
        <w:t xml:space="preserve">, </w:t>
      </w:r>
      <w:r w:rsidR="000F0CB2">
        <w:t xml:space="preserve">and </w:t>
      </w:r>
      <w:r w:rsidR="00FD1C14" w:rsidRPr="00801DAD">
        <w:rPr>
          <w:b/>
        </w:rPr>
        <w:t>JCRIF</w:t>
      </w:r>
      <w:r w:rsidR="00FD1C14">
        <w:t xml:space="preserve"> </w:t>
      </w:r>
      <w:r w:rsidR="00801DAD">
        <w:t>(0.</w:t>
      </w:r>
      <w:r w:rsidR="00464F62">
        <w:t>6</w:t>
      </w:r>
      <w:r w:rsidR="00801DAD">
        <w:t>9</w:t>
      </w:r>
      <w:r w:rsidR="00464F62">
        <w:t>/</w:t>
      </w:r>
      <w:r w:rsidR="00801DAD">
        <w:t xml:space="preserve"> 0.6</w:t>
      </w:r>
      <w:r w:rsidR="00464F62">
        <w:t>7</w:t>
      </w:r>
      <w:r w:rsidR="00801DAD">
        <w:t>)</w:t>
      </w:r>
      <w:r w:rsidR="00FE1C60">
        <w:t>,</w:t>
      </w:r>
      <w:r w:rsidR="00801DAD">
        <w:t xml:space="preserve"> </w:t>
      </w:r>
      <w:r w:rsidR="00FD1C14">
        <w:t xml:space="preserve">and </w:t>
      </w:r>
      <w:r w:rsidR="00FE1C60">
        <w:t xml:space="preserve">more </w:t>
      </w:r>
      <w:r w:rsidR="00FD1C14">
        <w:t xml:space="preserve">weakly </w:t>
      </w:r>
      <w:r w:rsidR="00FE1C60">
        <w:t xml:space="preserve">correlated </w:t>
      </w:r>
      <w:r w:rsidR="00AA2ABE">
        <w:t xml:space="preserve">with </w:t>
      </w:r>
      <w:r w:rsidR="00FD1C14" w:rsidRPr="00801DAD">
        <w:rPr>
          <w:b/>
        </w:rPr>
        <w:t>KMS</w:t>
      </w:r>
      <w:r w:rsidR="00FD1C14">
        <w:t xml:space="preserve"> (0</w:t>
      </w:r>
      <w:r w:rsidR="00801DAD">
        <w:t>.4</w:t>
      </w:r>
      <w:r w:rsidR="00464F62">
        <w:t>8/</w:t>
      </w:r>
      <w:r w:rsidR="00801DAD">
        <w:t xml:space="preserve"> 0.4</w:t>
      </w:r>
      <w:r w:rsidR="00464F62">
        <w:t>6</w:t>
      </w:r>
      <w:r w:rsidR="00801DAD">
        <w:t>).</w:t>
      </w:r>
      <w:r w:rsidR="003D6961">
        <w:rPr>
          <w:rStyle w:val="FootnoteReference"/>
        </w:rPr>
        <w:footnoteReference w:id="9"/>
      </w:r>
      <w:r w:rsidR="00801DAD">
        <w:t xml:space="preserve">  </w:t>
      </w:r>
    </w:p>
    <w:p w:rsidR="00B83897" w:rsidRDefault="00B83897" w:rsidP="00786AA4">
      <w:pPr>
        <w:jc w:val="both"/>
      </w:pPr>
    </w:p>
    <w:p w:rsidR="000D16A8" w:rsidRDefault="000D16A8" w:rsidP="00786AA4">
      <w:pPr>
        <w:jc w:val="both"/>
      </w:pPr>
    </w:p>
    <w:tbl>
      <w:tblPr>
        <w:tblW w:w="4951" w:type="dxa"/>
        <w:jc w:val="center"/>
        <w:tblInd w:w="93" w:type="dxa"/>
        <w:tblCellMar>
          <w:left w:w="113" w:type="dxa"/>
        </w:tblCellMar>
        <w:tblLook w:val="04A0"/>
      </w:tblPr>
      <w:tblGrid>
        <w:gridCol w:w="1180"/>
        <w:gridCol w:w="1640"/>
        <w:gridCol w:w="2131"/>
      </w:tblGrid>
      <w:tr w:rsidR="003C1F6B" w:rsidRPr="00C466D6" w:rsidTr="000D16A8">
        <w:trPr>
          <w:trHeight w:val="300"/>
          <w:jc w:val="center"/>
        </w:trPr>
        <w:tc>
          <w:tcPr>
            <w:tcW w:w="4951" w:type="dxa"/>
            <w:gridSpan w:val="3"/>
            <w:tcBorders>
              <w:top w:val="nil"/>
              <w:left w:val="nil"/>
              <w:right w:val="nil"/>
            </w:tcBorders>
            <w:shd w:val="clear" w:color="auto" w:fill="auto"/>
            <w:noWrap/>
            <w:vAlign w:val="bottom"/>
          </w:tcPr>
          <w:p w:rsidR="003C1F6B" w:rsidRPr="003C1F6B" w:rsidRDefault="003C1F6B" w:rsidP="000D16A8">
            <w:pPr>
              <w:spacing w:after="0" w:line="240" w:lineRule="auto"/>
              <w:jc w:val="center"/>
              <w:rPr>
                <w:rFonts w:ascii="Calibri" w:eastAsia="Times New Roman" w:hAnsi="Calibri" w:cs="Calibri"/>
                <w:color w:val="000000"/>
                <w:lang w:val="en-NZ" w:eastAsia="zh-CN"/>
              </w:rPr>
            </w:pPr>
            <w:r w:rsidRPr="009E0BE7">
              <w:rPr>
                <w:rFonts w:ascii="Calibri" w:eastAsia="Times New Roman" w:hAnsi="Calibri" w:cs="Calibri"/>
                <w:b/>
                <w:bCs/>
                <w:color w:val="000000"/>
                <w:lang w:val="en-NZ" w:eastAsia="zh-CN"/>
              </w:rPr>
              <w:lastRenderedPageBreak/>
              <w:t>T</w:t>
            </w:r>
            <w:r w:rsidR="009E0BE7" w:rsidRPr="009E0BE7">
              <w:rPr>
                <w:rFonts w:ascii="Calibri" w:eastAsia="Times New Roman" w:hAnsi="Calibri" w:cs="Calibri"/>
                <w:b/>
                <w:bCs/>
                <w:color w:val="000000"/>
                <w:lang w:val="en-NZ" w:eastAsia="zh-CN"/>
              </w:rPr>
              <w:t>able</w:t>
            </w:r>
            <w:r w:rsidRPr="009E0BE7">
              <w:rPr>
                <w:rFonts w:ascii="Calibri" w:eastAsia="Times New Roman" w:hAnsi="Calibri" w:cs="Calibri"/>
                <w:b/>
                <w:bCs/>
                <w:color w:val="000000"/>
                <w:lang w:val="en-NZ" w:eastAsia="zh-CN"/>
              </w:rPr>
              <w:t>2</w:t>
            </w:r>
            <w:r w:rsidR="009E0BE7">
              <w:rPr>
                <w:rFonts w:ascii="Calibri" w:eastAsia="Times New Roman" w:hAnsi="Calibri" w:cs="Calibri"/>
                <w:b/>
                <w:bCs/>
                <w:color w:val="000000"/>
                <w:lang w:val="en-NZ" w:eastAsia="zh-CN"/>
              </w:rPr>
              <w:t>.</w:t>
            </w:r>
            <w:r w:rsidRPr="003C1F6B">
              <w:rPr>
                <w:rFonts w:ascii="Calibri" w:eastAsia="Times New Roman" w:hAnsi="Calibri" w:cs="Calibri"/>
                <w:color w:val="000000"/>
                <w:lang w:val="en-NZ" w:eastAsia="zh-CN"/>
              </w:rPr>
              <w:t xml:space="preserve"> </w:t>
            </w:r>
            <w:r w:rsidRPr="003C1F6B">
              <w:rPr>
                <w:rFonts w:ascii="Calibri" w:eastAsia="Times New Roman" w:hAnsi="Calibri" w:cs="Calibri"/>
                <w:i/>
                <w:iCs/>
                <w:color w:val="000000"/>
                <w:lang w:val="en-NZ" w:eastAsia="zh-CN"/>
              </w:rPr>
              <w:t>Share-Adjusted g &amp; h Index Results,  ISI Citations</w:t>
            </w:r>
          </w:p>
        </w:tc>
      </w:tr>
      <w:tr w:rsidR="003C1F6B" w:rsidRPr="00C466D6" w:rsidTr="000D16A8">
        <w:trPr>
          <w:trHeight w:val="300"/>
          <w:jc w:val="center"/>
        </w:trPr>
        <w:tc>
          <w:tcPr>
            <w:tcW w:w="1180" w:type="dxa"/>
            <w:tcBorders>
              <w:top w:val="single" w:sz="4" w:space="0" w:color="auto"/>
              <w:left w:val="nil"/>
              <w:bottom w:val="single" w:sz="4" w:space="0" w:color="auto"/>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Score</w:t>
            </w:r>
          </w:p>
        </w:tc>
        <w:tc>
          <w:tcPr>
            <w:tcW w:w="1640" w:type="dxa"/>
            <w:tcBorders>
              <w:top w:val="single" w:sz="4" w:space="0" w:color="auto"/>
              <w:left w:val="nil"/>
              <w:bottom w:val="single" w:sz="4" w:space="0" w:color="auto"/>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proofErr w:type="spellStart"/>
            <w:r w:rsidRPr="00C466D6">
              <w:rPr>
                <w:rFonts w:ascii="Calibri" w:eastAsia="Times New Roman" w:hAnsi="Calibri" w:cs="Calibri"/>
                <w:color w:val="000000"/>
                <w:lang w:val="en-NZ" w:eastAsia="zh-CN"/>
              </w:rPr>
              <w:t>ISIg</w:t>
            </w:r>
            <w:proofErr w:type="spellEnd"/>
          </w:p>
        </w:tc>
        <w:tc>
          <w:tcPr>
            <w:tcW w:w="2131" w:type="dxa"/>
            <w:tcBorders>
              <w:top w:val="single" w:sz="4" w:space="0" w:color="auto"/>
              <w:left w:val="nil"/>
              <w:bottom w:val="single" w:sz="4" w:space="0" w:color="auto"/>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proofErr w:type="spellStart"/>
            <w:r w:rsidRPr="00C466D6">
              <w:rPr>
                <w:rFonts w:ascii="Calibri" w:eastAsia="Times New Roman" w:hAnsi="Calibri" w:cs="Calibri"/>
                <w:color w:val="000000"/>
                <w:lang w:val="en-NZ" w:eastAsia="zh-CN"/>
              </w:rPr>
              <w:t>ISIh</w:t>
            </w:r>
            <w:proofErr w:type="spellEnd"/>
          </w:p>
        </w:tc>
      </w:tr>
      <w:tr w:rsidR="003C1F6B" w:rsidRPr="00C466D6" w:rsidTr="000D16A8">
        <w:trPr>
          <w:trHeight w:val="300"/>
          <w:jc w:val="center"/>
        </w:trPr>
        <w:tc>
          <w:tcPr>
            <w:tcW w:w="118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10</w:t>
            </w:r>
          </w:p>
        </w:tc>
        <w:tc>
          <w:tcPr>
            <w:tcW w:w="164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0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(0)</w:t>
            </w:r>
          </w:p>
        </w:tc>
        <w:tc>
          <w:tcPr>
            <w:tcW w:w="2131"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0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(0)</w:t>
            </w:r>
          </w:p>
        </w:tc>
      </w:tr>
      <w:tr w:rsidR="003C1F6B" w:rsidRPr="00C466D6" w:rsidTr="000D16A8">
        <w:trPr>
          <w:trHeight w:val="300"/>
          <w:jc w:val="center"/>
        </w:trPr>
        <w:tc>
          <w:tcPr>
            <w:tcW w:w="118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9</w:t>
            </w:r>
          </w:p>
        </w:tc>
        <w:tc>
          <w:tcPr>
            <w:tcW w:w="164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1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(21)</w:t>
            </w:r>
          </w:p>
        </w:tc>
        <w:tc>
          <w:tcPr>
            <w:tcW w:w="2131"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0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(0)</w:t>
            </w:r>
          </w:p>
        </w:tc>
      </w:tr>
      <w:tr w:rsidR="003C1F6B" w:rsidRPr="00C466D6" w:rsidTr="000D16A8">
        <w:trPr>
          <w:trHeight w:val="300"/>
          <w:jc w:val="center"/>
        </w:trPr>
        <w:tc>
          <w:tcPr>
            <w:tcW w:w="118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8</w:t>
            </w:r>
          </w:p>
        </w:tc>
        <w:tc>
          <w:tcPr>
            <w:tcW w:w="164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0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(0)</w:t>
            </w:r>
          </w:p>
        </w:tc>
        <w:tc>
          <w:tcPr>
            <w:tcW w:w="2131"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0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(0)</w:t>
            </w:r>
          </w:p>
        </w:tc>
      </w:tr>
      <w:tr w:rsidR="003C1F6B" w:rsidRPr="00C466D6" w:rsidTr="000D16A8">
        <w:trPr>
          <w:trHeight w:val="300"/>
          <w:jc w:val="center"/>
        </w:trPr>
        <w:tc>
          <w:tcPr>
            <w:tcW w:w="118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7</w:t>
            </w:r>
          </w:p>
        </w:tc>
        <w:tc>
          <w:tcPr>
            <w:tcW w:w="164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0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(0)</w:t>
            </w:r>
          </w:p>
        </w:tc>
        <w:tc>
          <w:tcPr>
            <w:tcW w:w="2131"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0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(0)</w:t>
            </w:r>
          </w:p>
        </w:tc>
      </w:tr>
      <w:tr w:rsidR="003C1F6B" w:rsidRPr="00C466D6" w:rsidTr="000D16A8">
        <w:trPr>
          <w:trHeight w:val="300"/>
          <w:jc w:val="center"/>
        </w:trPr>
        <w:tc>
          <w:tcPr>
            <w:tcW w:w="118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6</w:t>
            </w:r>
          </w:p>
        </w:tc>
        <w:tc>
          <w:tcPr>
            <w:tcW w:w="164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2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(17-25)</w:t>
            </w:r>
          </w:p>
        </w:tc>
        <w:tc>
          <w:tcPr>
            <w:tcW w:w="2131"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1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(21)</w:t>
            </w:r>
          </w:p>
        </w:tc>
      </w:tr>
      <w:tr w:rsidR="003C1F6B" w:rsidRPr="00C466D6" w:rsidTr="000D16A8">
        <w:trPr>
          <w:trHeight w:val="300"/>
          <w:jc w:val="center"/>
        </w:trPr>
        <w:tc>
          <w:tcPr>
            <w:tcW w:w="118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5</w:t>
            </w:r>
          </w:p>
        </w:tc>
        <w:tc>
          <w:tcPr>
            <w:tcW w:w="164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3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(6-13)</w:t>
            </w:r>
          </w:p>
        </w:tc>
        <w:tc>
          <w:tcPr>
            <w:tcW w:w="2131"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0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(0)</w:t>
            </w:r>
          </w:p>
        </w:tc>
      </w:tr>
      <w:tr w:rsidR="003C1F6B" w:rsidRPr="00C466D6" w:rsidTr="000D16A8">
        <w:trPr>
          <w:trHeight w:val="300"/>
          <w:jc w:val="center"/>
        </w:trPr>
        <w:tc>
          <w:tcPr>
            <w:tcW w:w="118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4</w:t>
            </w:r>
          </w:p>
        </w:tc>
        <w:tc>
          <w:tcPr>
            <w:tcW w:w="164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2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(5-24)</w:t>
            </w:r>
          </w:p>
        </w:tc>
        <w:tc>
          <w:tcPr>
            <w:tcW w:w="2131"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2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(17-25)</w:t>
            </w:r>
          </w:p>
        </w:tc>
      </w:tr>
      <w:tr w:rsidR="003C1F6B" w:rsidRPr="00C466D6" w:rsidTr="000D16A8">
        <w:trPr>
          <w:trHeight w:val="300"/>
          <w:jc w:val="center"/>
        </w:trPr>
        <w:tc>
          <w:tcPr>
            <w:tcW w:w="118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3</w:t>
            </w:r>
          </w:p>
        </w:tc>
        <w:tc>
          <w:tcPr>
            <w:tcW w:w="164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4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(4-7)</w:t>
            </w:r>
          </w:p>
        </w:tc>
        <w:tc>
          <w:tcPr>
            <w:tcW w:w="2131"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4  </w:t>
            </w:r>
            <w:r w:rsidR="009E0BE7" w:rsidRPr="009E0BE7">
              <w:rPr>
                <w:rFonts w:ascii="Calibri" w:eastAsia="Times New Roman" w:hAnsi="Calibri" w:cs="Calibri"/>
                <w:lang w:val="en-NZ" w:eastAsia="zh-CN"/>
              </w:rPr>
              <w:t xml:space="preserve"> </w:t>
            </w:r>
            <w:r w:rsidRPr="00C466D6">
              <w:rPr>
                <w:rFonts w:ascii="Calibri" w:eastAsia="Times New Roman" w:hAnsi="Calibri" w:cs="Calibri"/>
                <w:lang w:val="en-NZ" w:eastAsia="zh-CN"/>
              </w:rPr>
              <w:t xml:space="preserve"> (6-24)</w:t>
            </w:r>
          </w:p>
        </w:tc>
      </w:tr>
      <w:tr w:rsidR="003C1F6B" w:rsidRPr="00C466D6" w:rsidTr="000D16A8">
        <w:trPr>
          <w:trHeight w:val="300"/>
          <w:jc w:val="center"/>
        </w:trPr>
        <w:tc>
          <w:tcPr>
            <w:tcW w:w="118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2</w:t>
            </w:r>
          </w:p>
        </w:tc>
        <w:tc>
          <w:tcPr>
            <w:tcW w:w="1640"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15  (2-13)</w:t>
            </w:r>
          </w:p>
        </w:tc>
        <w:tc>
          <w:tcPr>
            <w:tcW w:w="2131" w:type="dxa"/>
            <w:tcBorders>
              <w:top w:val="nil"/>
              <w:left w:val="nil"/>
              <w:bottom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12  (4-13)</w:t>
            </w:r>
          </w:p>
        </w:tc>
      </w:tr>
      <w:tr w:rsidR="003C1F6B" w:rsidRPr="00C466D6" w:rsidTr="000D16A8">
        <w:trPr>
          <w:trHeight w:val="300"/>
          <w:jc w:val="center"/>
        </w:trPr>
        <w:tc>
          <w:tcPr>
            <w:tcW w:w="1180" w:type="dxa"/>
            <w:tcBorders>
              <w:top w:val="nil"/>
              <w:left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1</w:t>
            </w:r>
          </w:p>
        </w:tc>
        <w:tc>
          <w:tcPr>
            <w:tcW w:w="1640" w:type="dxa"/>
            <w:tcBorders>
              <w:top w:val="nil"/>
              <w:left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26  (1-35)</w:t>
            </w:r>
          </w:p>
        </w:tc>
        <w:tc>
          <w:tcPr>
            <w:tcW w:w="2131" w:type="dxa"/>
            <w:tcBorders>
              <w:top w:val="nil"/>
              <w:left w:val="nil"/>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 xml:space="preserve">34  </w:t>
            </w:r>
            <w:r w:rsidR="009E0BE7" w:rsidRPr="009E0BE7">
              <w:rPr>
                <w:rFonts w:ascii="Calibri" w:eastAsia="Times New Roman" w:hAnsi="Calibri" w:cs="Calibri"/>
                <w:lang w:val="en-NZ" w:eastAsia="zh-CN"/>
              </w:rPr>
              <w:t>(</w:t>
            </w:r>
            <w:r w:rsidRPr="00C466D6">
              <w:rPr>
                <w:rFonts w:ascii="Calibri" w:eastAsia="Times New Roman" w:hAnsi="Calibri" w:cs="Calibri"/>
                <w:lang w:val="en-NZ" w:eastAsia="zh-CN"/>
              </w:rPr>
              <w:t>1-35)</w:t>
            </w:r>
          </w:p>
        </w:tc>
      </w:tr>
      <w:tr w:rsidR="003C1F6B" w:rsidRPr="00C466D6" w:rsidTr="000D16A8">
        <w:trPr>
          <w:trHeight w:val="300"/>
          <w:jc w:val="center"/>
        </w:trPr>
        <w:tc>
          <w:tcPr>
            <w:tcW w:w="1180" w:type="dxa"/>
            <w:tcBorders>
              <w:top w:val="nil"/>
              <w:left w:val="nil"/>
              <w:bottom w:val="single" w:sz="4" w:space="0" w:color="auto"/>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0</w:t>
            </w:r>
          </w:p>
        </w:tc>
        <w:tc>
          <w:tcPr>
            <w:tcW w:w="1640" w:type="dxa"/>
            <w:tcBorders>
              <w:top w:val="nil"/>
              <w:left w:val="nil"/>
              <w:bottom w:val="single" w:sz="4" w:space="0" w:color="auto"/>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57  (0-17)</w:t>
            </w:r>
          </w:p>
        </w:tc>
        <w:tc>
          <w:tcPr>
            <w:tcW w:w="2131" w:type="dxa"/>
            <w:tcBorders>
              <w:top w:val="nil"/>
              <w:left w:val="nil"/>
              <w:bottom w:val="single" w:sz="4" w:space="0" w:color="auto"/>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lang w:val="en-NZ" w:eastAsia="zh-CN"/>
              </w:rPr>
            </w:pPr>
            <w:r w:rsidRPr="00C466D6">
              <w:rPr>
                <w:rFonts w:ascii="Calibri" w:eastAsia="Times New Roman" w:hAnsi="Calibri" w:cs="Calibri"/>
                <w:lang w:val="en-NZ" w:eastAsia="zh-CN"/>
              </w:rPr>
              <w:t>57  (0-17)</w:t>
            </w:r>
          </w:p>
        </w:tc>
      </w:tr>
      <w:tr w:rsidR="003C1F6B" w:rsidRPr="00C466D6" w:rsidTr="000D16A8">
        <w:trPr>
          <w:trHeight w:val="300"/>
          <w:jc w:val="center"/>
        </w:trPr>
        <w:tc>
          <w:tcPr>
            <w:tcW w:w="1180" w:type="dxa"/>
            <w:tcBorders>
              <w:top w:val="single" w:sz="4" w:space="0" w:color="auto"/>
              <w:left w:val="nil"/>
              <w:bottom w:val="single" w:sz="4" w:space="0" w:color="auto"/>
              <w:right w:val="nil"/>
            </w:tcBorders>
            <w:shd w:val="clear" w:color="auto" w:fill="auto"/>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 of Staff</w:t>
            </w:r>
          </w:p>
        </w:tc>
        <w:tc>
          <w:tcPr>
            <w:tcW w:w="1640" w:type="dxa"/>
            <w:tcBorders>
              <w:top w:val="single" w:sz="4" w:space="0" w:color="auto"/>
              <w:left w:val="nil"/>
              <w:bottom w:val="single" w:sz="4" w:space="0" w:color="auto"/>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110</w:t>
            </w:r>
          </w:p>
        </w:tc>
        <w:tc>
          <w:tcPr>
            <w:tcW w:w="2131" w:type="dxa"/>
            <w:tcBorders>
              <w:top w:val="single" w:sz="4" w:space="0" w:color="auto"/>
              <w:left w:val="nil"/>
              <w:bottom w:val="single" w:sz="4" w:space="0" w:color="auto"/>
              <w:right w:val="nil"/>
            </w:tcBorders>
            <w:shd w:val="clear" w:color="auto" w:fill="auto"/>
            <w:noWrap/>
            <w:vAlign w:val="bottom"/>
            <w:hideMark/>
          </w:tcPr>
          <w:p w:rsidR="003C1F6B" w:rsidRPr="00C466D6" w:rsidRDefault="003C1F6B" w:rsidP="00786AA4">
            <w:pPr>
              <w:spacing w:after="0" w:line="240" w:lineRule="auto"/>
              <w:jc w:val="both"/>
              <w:rPr>
                <w:rFonts w:ascii="Calibri" w:eastAsia="Times New Roman" w:hAnsi="Calibri" w:cs="Calibri"/>
                <w:color w:val="000000"/>
                <w:lang w:val="en-NZ" w:eastAsia="zh-CN"/>
              </w:rPr>
            </w:pPr>
            <w:r w:rsidRPr="00C466D6">
              <w:rPr>
                <w:rFonts w:ascii="Calibri" w:eastAsia="Times New Roman" w:hAnsi="Calibri" w:cs="Calibri"/>
                <w:color w:val="000000"/>
                <w:lang w:val="en-NZ" w:eastAsia="zh-CN"/>
              </w:rPr>
              <w:t>110</w:t>
            </w:r>
          </w:p>
        </w:tc>
      </w:tr>
      <w:tr w:rsidR="003C1F6B" w:rsidRPr="00C466D6" w:rsidTr="000D16A8">
        <w:trPr>
          <w:trHeight w:val="300"/>
          <w:jc w:val="center"/>
        </w:trPr>
        <w:tc>
          <w:tcPr>
            <w:tcW w:w="4951" w:type="dxa"/>
            <w:gridSpan w:val="3"/>
            <w:tcBorders>
              <w:top w:val="single" w:sz="4" w:space="0" w:color="auto"/>
              <w:left w:val="nil"/>
              <w:right w:val="nil"/>
            </w:tcBorders>
            <w:shd w:val="clear" w:color="auto" w:fill="auto"/>
            <w:vAlign w:val="bottom"/>
          </w:tcPr>
          <w:p w:rsidR="003C1F6B" w:rsidRPr="003C1F6B" w:rsidRDefault="003C1F6B" w:rsidP="00786AA4">
            <w:pPr>
              <w:spacing w:after="0" w:line="240" w:lineRule="auto"/>
              <w:jc w:val="both"/>
              <w:rPr>
                <w:rFonts w:ascii="Calibri" w:eastAsia="Times New Roman" w:hAnsi="Calibri" w:cs="Calibri"/>
                <w:color w:val="000000"/>
                <w:sz w:val="16"/>
                <w:szCs w:val="16"/>
                <w:lang w:val="en-NZ" w:eastAsia="zh-CN"/>
              </w:rPr>
            </w:pPr>
            <w:r w:rsidRPr="003C1F6B">
              <w:rPr>
                <w:rFonts w:ascii="Calibri" w:eastAsia="Times New Roman" w:hAnsi="Calibri" w:cs="Calibri"/>
                <w:i/>
                <w:iCs/>
                <w:color w:val="000000"/>
                <w:sz w:val="16"/>
                <w:szCs w:val="16"/>
                <w:lang w:val="en-NZ" w:eastAsia="zh-CN"/>
              </w:rPr>
              <w:t>Note1</w:t>
            </w:r>
            <w:r w:rsidRPr="003C1F6B">
              <w:rPr>
                <w:rFonts w:ascii="Calibri" w:eastAsia="Times New Roman" w:hAnsi="Calibri" w:cs="Calibri"/>
                <w:color w:val="000000"/>
                <w:sz w:val="16"/>
                <w:szCs w:val="16"/>
                <w:lang w:val="en-NZ" w:eastAsia="zh-CN"/>
              </w:rPr>
              <w:t>: All Staff with 6 years experience as at 31 December 2008</w:t>
            </w:r>
          </w:p>
          <w:p w:rsidR="00284E5C" w:rsidRPr="00C466D6" w:rsidRDefault="003C1F6B" w:rsidP="00786AA4">
            <w:pPr>
              <w:spacing w:after="0" w:line="240" w:lineRule="auto"/>
              <w:jc w:val="both"/>
              <w:rPr>
                <w:rFonts w:ascii="Calibri" w:eastAsia="Times New Roman" w:hAnsi="Calibri" w:cs="Calibri"/>
                <w:color w:val="000000"/>
                <w:lang w:val="en-NZ" w:eastAsia="zh-CN"/>
              </w:rPr>
            </w:pPr>
            <w:r w:rsidRPr="003C1F6B">
              <w:rPr>
                <w:rFonts w:ascii="Calibri" w:eastAsia="Times New Roman" w:hAnsi="Calibri" w:cs="Calibri"/>
                <w:i/>
                <w:iCs/>
                <w:color w:val="000000"/>
                <w:sz w:val="16"/>
                <w:szCs w:val="16"/>
                <w:lang w:val="en-NZ" w:eastAsia="zh-CN"/>
              </w:rPr>
              <w:t>Note2</w:t>
            </w:r>
            <w:r w:rsidRPr="003C1F6B">
              <w:rPr>
                <w:rFonts w:ascii="Calibri" w:eastAsia="Times New Roman" w:hAnsi="Calibri" w:cs="Calibri"/>
                <w:color w:val="000000"/>
                <w:sz w:val="16"/>
                <w:szCs w:val="16"/>
                <w:lang w:val="en-NZ" w:eastAsia="zh-CN"/>
              </w:rPr>
              <w:t>: In brackets, number of papers (range) by researchers</w:t>
            </w:r>
          </w:p>
        </w:tc>
      </w:tr>
    </w:tbl>
    <w:p w:rsidR="00C466D6" w:rsidRPr="00284E5C" w:rsidRDefault="00C466D6" w:rsidP="00786AA4">
      <w:pPr>
        <w:jc w:val="both"/>
        <w:rPr>
          <w:lang w:val="en-NZ"/>
        </w:rPr>
      </w:pPr>
    </w:p>
    <w:tbl>
      <w:tblPr>
        <w:tblW w:w="9421" w:type="dxa"/>
        <w:tblInd w:w="93" w:type="dxa"/>
        <w:tblLook w:val="04A0"/>
      </w:tblPr>
      <w:tblGrid>
        <w:gridCol w:w="1604"/>
        <w:gridCol w:w="1025"/>
        <w:gridCol w:w="1025"/>
        <w:gridCol w:w="1025"/>
        <w:gridCol w:w="1604"/>
        <w:gridCol w:w="1025"/>
        <w:gridCol w:w="1025"/>
        <w:gridCol w:w="1088"/>
      </w:tblGrid>
      <w:tr w:rsidR="00397568" w:rsidRPr="00397568" w:rsidTr="00397568">
        <w:trPr>
          <w:trHeight w:val="300"/>
        </w:trPr>
        <w:tc>
          <w:tcPr>
            <w:tcW w:w="9421" w:type="dxa"/>
            <w:gridSpan w:val="8"/>
            <w:tcBorders>
              <w:top w:val="nil"/>
              <w:left w:val="nil"/>
              <w:bottom w:val="nil"/>
              <w:right w:val="nil"/>
            </w:tcBorders>
            <w:shd w:val="clear" w:color="auto" w:fill="auto"/>
            <w:noWrap/>
            <w:vAlign w:val="bottom"/>
            <w:hideMark/>
          </w:tcPr>
          <w:p w:rsidR="00397568" w:rsidRDefault="00397568" w:rsidP="00365D9A">
            <w:pPr>
              <w:spacing w:after="0" w:line="240" w:lineRule="auto"/>
              <w:jc w:val="center"/>
              <w:rPr>
                <w:rFonts w:ascii="Calibri" w:eastAsia="Times New Roman" w:hAnsi="Calibri" w:cs="Calibri"/>
                <w:i/>
                <w:iCs/>
                <w:color w:val="000000"/>
                <w:lang w:val="en-NZ" w:eastAsia="zh-CN"/>
              </w:rPr>
            </w:pPr>
            <w:r w:rsidRPr="00397568">
              <w:rPr>
                <w:rFonts w:ascii="Calibri" w:eastAsia="Times New Roman" w:hAnsi="Calibri" w:cs="Calibri"/>
                <w:b/>
                <w:bCs/>
                <w:color w:val="000000"/>
                <w:lang w:val="en-NZ" w:eastAsia="zh-CN"/>
              </w:rPr>
              <w:t>Table 3</w:t>
            </w:r>
            <w:r>
              <w:rPr>
                <w:rFonts w:ascii="Calibri" w:eastAsia="Times New Roman" w:hAnsi="Calibri" w:cs="Calibri"/>
                <w:b/>
                <w:bCs/>
                <w:color w:val="000000"/>
                <w:lang w:val="en-NZ" w:eastAsia="zh-CN"/>
              </w:rPr>
              <w:t>.</w:t>
            </w:r>
            <w:r w:rsidRPr="00397568">
              <w:rPr>
                <w:rFonts w:ascii="Calibri" w:eastAsia="Times New Roman" w:hAnsi="Calibri" w:cs="Calibri"/>
                <w:b/>
                <w:bCs/>
                <w:color w:val="000000"/>
                <w:lang w:val="en-NZ" w:eastAsia="zh-CN"/>
              </w:rPr>
              <w:t xml:space="preserve"> </w:t>
            </w:r>
            <w:r w:rsidRPr="00397568">
              <w:rPr>
                <w:rFonts w:ascii="Calibri" w:eastAsia="Times New Roman" w:hAnsi="Calibri" w:cs="Calibri"/>
                <w:i/>
                <w:iCs/>
                <w:color w:val="000000"/>
                <w:lang w:val="en-NZ" w:eastAsia="zh-CN"/>
              </w:rPr>
              <w:t>Pearson Correlation Coefficients; Various Output Measures over the Period 2003-2008</w:t>
            </w:r>
          </w:p>
          <w:p w:rsidR="00365D9A" w:rsidRPr="00365D9A" w:rsidRDefault="00365D9A" w:rsidP="00786AA4">
            <w:pPr>
              <w:spacing w:after="0" w:line="240" w:lineRule="auto"/>
              <w:jc w:val="both"/>
              <w:rPr>
                <w:rFonts w:ascii="Calibri" w:eastAsia="Times New Roman" w:hAnsi="Calibri" w:cs="Calibri"/>
                <w:b/>
                <w:bCs/>
                <w:color w:val="000000"/>
                <w:sz w:val="8"/>
                <w:szCs w:val="8"/>
                <w:lang w:val="en-NZ" w:eastAsia="zh-CN"/>
              </w:rPr>
            </w:pPr>
          </w:p>
        </w:tc>
      </w:tr>
      <w:tr w:rsidR="00397568" w:rsidRPr="00397568" w:rsidTr="00397568">
        <w:trPr>
          <w:trHeight w:val="300"/>
        </w:trPr>
        <w:tc>
          <w:tcPr>
            <w:tcW w:w="1604" w:type="dxa"/>
            <w:tcBorders>
              <w:top w:val="single" w:sz="4" w:space="0" w:color="auto"/>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single" w:sz="4" w:space="0" w:color="auto"/>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ISIC</w:t>
            </w:r>
          </w:p>
        </w:tc>
        <w:tc>
          <w:tcPr>
            <w:tcW w:w="1025" w:type="dxa"/>
            <w:tcBorders>
              <w:top w:val="single" w:sz="4" w:space="0" w:color="auto"/>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roofErr w:type="spellStart"/>
            <w:r w:rsidRPr="00397568">
              <w:rPr>
                <w:rFonts w:ascii="Calibri" w:eastAsia="Times New Roman" w:hAnsi="Calibri" w:cs="Calibri"/>
                <w:color w:val="000000"/>
                <w:lang w:val="en-NZ" w:eastAsia="zh-CN"/>
              </w:rPr>
              <w:t>ISIg</w:t>
            </w:r>
            <w:proofErr w:type="spellEnd"/>
          </w:p>
        </w:tc>
        <w:tc>
          <w:tcPr>
            <w:tcW w:w="1025" w:type="dxa"/>
            <w:tcBorders>
              <w:top w:val="single" w:sz="4" w:space="0" w:color="auto"/>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roofErr w:type="spellStart"/>
            <w:r w:rsidRPr="00397568">
              <w:rPr>
                <w:rFonts w:ascii="Calibri" w:eastAsia="Times New Roman" w:hAnsi="Calibri" w:cs="Calibri"/>
                <w:color w:val="000000"/>
                <w:lang w:val="en-NZ" w:eastAsia="zh-CN"/>
              </w:rPr>
              <w:t>ISIh</w:t>
            </w:r>
            <w:proofErr w:type="spellEnd"/>
          </w:p>
        </w:tc>
        <w:tc>
          <w:tcPr>
            <w:tcW w:w="1604" w:type="dxa"/>
            <w:tcBorders>
              <w:top w:val="single" w:sz="4" w:space="0" w:color="auto"/>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EQUAL</w:t>
            </w:r>
          </w:p>
        </w:tc>
        <w:tc>
          <w:tcPr>
            <w:tcW w:w="1025" w:type="dxa"/>
            <w:tcBorders>
              <w:top w:val="single" w:sz="4" w:space="0" w:color="auto"/>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ERA</w:t>
            </w:r>
          </w:p>
        </w:tc>
        <w:tc>
          <w:tcPr>
            <w:tcW w:w="1025" w:type="dxa"/>
            <w:tcBorders>
              <w:top w:val="single" w:sz="4" w:space="0" w:color="auto"/>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JCR</w:t>
            </w:r>
          </w:p>
        </w:tc>
        <w:tc>
          <w:tcPr>
            <w:tcW w:w="1088" w:type="dxa"/>
            <w:tcBorders>
              <w:top w:val="single" w:sz="4" w:space="0" w:color="auto"/>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KMS</w:t>
            </w:r>
          </w:p>
        </w:tc>
      </w:tr>
      <w:tr w:rsidR="00397568" w:rsidRPr="00397568" w:rsidTr="00397568">
        <w:trPr>
          <w:trHeight w:val="300"/>
        </w:trPr>
        <w:tc>
          <w:tcPr>
            <w:tcW w:w="1604"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ISIC</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1.00</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0.90</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0.86</w:t>
            </w:r>
          </w:p>
        </w:tc>
        <w:tc>
          <w:tcPr>
            <w:tcW w:w="1604"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0.58</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0.72</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0.59</w:t>
            </w:r>
          </w:p>
        </w:tc>
        <w:tc>
          <w:tcPr>
            <w:tcW w:w="1088"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0.40</w:t>
            </w:r>
          </w:p>
        </w:tc>
      </w:tr>
      <w:tr w:rsidR="00397568" w:rsidRPr="00397568" w:rsidTr="00397568">
        <w:trPr>
          <w:trHeight w:val="300"/>
        </w:trPr>
        <w:tc>
          <w:tcPr>
            <w:tcW w:w="1604"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roofErr w:type="spellStart"/>
            <w:r w:rsidRPr="00397568">
              <w:rPr>
                <w:rFonts w:ascii="Calibri" w:eastAsia="Times New Roman" w:hAnsi="Calibri" w:cs="Calibri"/>
                <w:color w:val="000000"/>
                <w:lang w:val="en-NZ" w:eastAsia="zh-CN"/>
              </w:rPr>
              <w:t>ISIg</w:t>
            </w:r>
            <w:proofErr w:type="spellEnd"/>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1.00</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0.97</w:t>
            </w:r>
          </w:p>
        </w:tc>
        <w:tc>
          <w:tcPr>
            <w:tcW w:w="1604"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0.61</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0.78</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0.69</w:t>
            </w:r>
          </w:p>
        </w:tc>
        <w:tc>
          <w:tcPr>
            <w:tcW w:w="1088"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0.48</w:t>
            </w:r>
          </w:p>
        </w:tc>
      </w:tr>
      <w:tr w:rsidR="00397568" w:rsidRPr="00397568" w:rsidTr="00397568">
        <w:trPr>
          <w:trHeight w:val="300"/>
        </w:trPr>
        <w:tc>
          <w:tcPr>
            <w:tcW w:w="1604"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roofErr w:type="spellStart"/>
            <w:r w:rsidRPr="00397568">
              <w:rPr>
                <w:rFonts w:ascii="Calibri" w:eastAsia="Times New Roman" w:hAnsi="Calibri" w:cs="Calibri"/>
                <w:color w:val="000000"/>
                <w:lang w:val="en-NZ" w:eastAsia="zh-CN"/>
              </w:rPr>
              <w:t>ISIh</w:t>
            </w:r>
            <w:proofErr w:type="spellEnd"/>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1.00</w:t>
            </w:r>
          </w:p>
        </w:tc>
        <w:tc>
          <w:tcPr>
            <w:tcW w:w="1604"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0.62</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0.77</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0.67</w:t>
            </w:r>
          </w:p>
        </w:tc>
        <w:tc>
          <w:tcPr>
            <w:tcW w:w="1088"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0.46</w:t>
            </w:r>
          </w:p>
        </w:tc>
      </w:tr>
      <w:tr w:rsidR="00397568" w:rsidRPr="00397568" w:rsidTr="00397568">
        <w:trPr>
          <w:trHeight w:val="300"/>
        </w:trPr>
        <w:tc>
          <w:tcPr>
            <w:tcW w:w="1604"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EQUAL</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604"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1.00</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0.91</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0.57</w:t>
            </w:r>
          </w:p>
        </w:tc>
        <w:tc>
          <w:tcPr>
            <w:tcW w:w="1088"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0.31</w:t>
            </w:r>
          </w:p>
        </w:tc>
      </w:tr>
      <w:tr w:rsidR="00397568" w:rsidRPr="00397568" w:rsidTr="00397568">
        <w:trPr>
          <w:trHeight w:val="300"/>
        </w:trPr>
        <w:tc>
          <w:tcPr>
            <w:tcW w:w="1604"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ERAB</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604"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1.00</w:t>
            </w:r>
          </w:p>
        </w:tc>
        <w:tc>
          <w:tcPr>
            <w:tcW w:w="1025"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0.79</w:t>
            </w:r>
          </w:p>
        </w:tc>
        <w:tc>
          <w:tcPr>
            <w:tcW w:w="1088" w:type="dxa"/>
            <w:tcBorders>
              <w:top w:val="nil"/>
              <w:left w:val="nil"/>
              <w:bottom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0.51</w:t>
            </w:r>
          </w:p>
        </w:tc>
      </w:tr>
      <w:tr w:rsidR="00397568" w:rsidRPr="00397568" w:rsidTr="00397568">
        <w:trPr>
          <w:trHeight w:val="300"/>
        </w:trPr>
        <w:tc>
          <w:tcPr>
            <w:tcW w:w="1604" w:type="dxa"/>
            <w:tcBorders>
              <w:top w:val="nil"/>
              <w:left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JCR</w:t>
            </w:r>
          </w:p>
        </w:tc>
        <w:tc>
          <w:tcPr>
            <w:tcW w:w="1025" w:type="dxa"/>
            <w:tcBorders>
              <w:top w:val="nil"/>
              <w:left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604" w:type="dxa"/>
            <w:tcBorders>
              <w:top w:val="nil"/>
              <w:left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1.00</w:t>
            </w:r>
          </w:p>
        </w:tc>
        <w:tc>
          <w:tcPr>
            <w:tcW w:w="1088" w:type="dxa"/>
            <w:tcBorders>
              <w:top w:val="nil"/>
              <w:left w:val="nil"/>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0.82</w:t>
            </w:r>
          </w:p>
        </w:tc>
      </w:tr>
      <w:tr w:rsidR="00397568" w:rsidRPr="00397568" w:rsidTr="00397568">
        <w:trPr>
          <w:trHeight w:val="300"/>
        </w:trPr>
        <w:tc>
          <w:tcPr>
            <w:tcW w:w="1604" w:type="dxa"/>
            <w:tcBorders>
              <w:top w:val="nil"/>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KMS</w:t>
            </w:r>
          </w:p>
        </w:tc>
        <w:tc>
          <w:tcPr>
            <w:tcW w:w="1025" w:type="dxa"/>
            <w:tcBorders>
              <w:top w:val="nil"/>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604" w:type="dxa"/>
            <w:tcBorders>
              <w:top w:val="nil"/>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25" w:type="dxa"/>
            <w:tcBorders>
              <w:top w:val="nil"/>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p>
        </w:tc>
        <w:tc>
          <w:tcPr>
            <w:tcW w:w="1088" w:type="dxa"/>
            <w:tcBorders>
              <w:top w:val="nil"/>
              <w:left w:val="nil"/>
              <w:bottom w:val="single" w:sz="4" w:space="0" w:color="auto"/>
              <w:right w:val="nil"/>
            </w:tcBorders>
            <w:shd w:val="clear" w:color="auto" w:fill="auto"/>
            <w:noWrap/>
            <w:vAlign w:val="bottom"/>
            <w:hideMark/>
          </w:tcPr>
          <w:p w:rsidR="00397568" w:rsidRPr="00397568" w:rsidRDefault="00397568" w:rsidP="00786AA4">
            <w:pPr>
              <w:spacing w:after="0" w:line="240" w:lineRule="auto"/>
              <w:jc w:val="both"/>
              <w:rPr>
                <w:rFonts w:ascii="Calibri" w:eastAsia="Times New Roman" w:hAnsi="Calibri" w:cs="Calibri"/>
                <w:color w:val="000000"/>
                <w:lang w:val="en-NZ" w:eastAsia="zh-CN"/>
              </w:rPr>
            </w:pPr>
            <w:r w:rsidRPr="00397568">
              <w:rPr>
                <w:rFonts w:ascii="Calibri" w:eastAsia="Times New Roman" w:hAnsi="Calibri" w:cs="Calibri"/>
                <w:color w:val="000000"/>
                <w:lang w:val="en-NZ" w:eastAsia="zh-CN"/>
              </w:rPr>
              <w:t>1.00</w:t>
            </w:r>
          </w:p>
        </w:tc>
      </w:tr>
    </w:tbl>
    <w:p w:rsidR="00DA1CD6" w:rsidRDefault="00397568" w:rsidP="00786AA4">
      <w:pPr>
        <w:jc w:val="both"/>
      </w:pPr>
      <w:r w:rsidRPr="00397568">
        <w:rPr>
          <w:rFonts w:ascii="Calibri" w:eastAsia="Times New Roman" w:hAnsi="Calibri" w:cs="Calibri"/>
          <w:i/>
          <w:iCs/>
          <w:sz w:val="16"/>
          <w:szCs w:val="16"/>
          <w:lang w:val="en-NZ" w:eastAsia="zh-CN"/>
        </w:rPr>
        <w:t>Note1:</w:t>
      </w:r>
      <w:r w:rsidRPr="00397568">
        <w:rPr>
          <w:rFonts w:ascii="Calibri" w:eastAsia="Times New Roman" w:hAnsi="Calibri" w:cs="Calibri"/>
          <w:b/>
          <w:bCs/>
          <w:sz w:val="16"/>
          <w:szCs w:val="16"/>
          <w:lang w:val="en-NZ" w:eastAsia="zh-CN"/>
        </w:rPr>
        <w:t xml:space="preserve"> </w:t>
      </w:r>
      <w:r w:rsidRPr="00397568">
        <w:rPr>
          <w:rFonts w:ascii="Calibri" w:eastAsia="Times New Roman" w:hAnsi="Calibri" w:cs="Calibri"/>
          <w:sz w:val="16"/>
          <w:szCs w:val="16"/>
          <w:lang w:val="en-NZ" w:eastAsia="zh-CN"/>
        </w:rPr>
        <w:t>All Academic Staff as of 15 April 2009 with at least six years experience (N=110)</w:t>
      </w:r>
      <w:r w:rsidR="00DA1CD6" w:rsidRPr="00DA1CD6">
        <w:t xml:space="preserve"> </w:t>
      </w:r>
    </w:p>
    <w:p w:rsidR="00365D9A" w:rsidRPr="00365D9A" w:rsidRDefault="00365D9A" w:rsidP="00786AA4">
      <w:pPr>
        <w:jc w:val="both"/>
        <w:rPr>
          <w:sz w:val="8"/>
          <w:szCs w:val="8"/>
        </w:rPr>
      </w:pPr>
    </w:p>
    <w:p w:rsidR="00365D9A" w:rsidRDefault="00DA1CD6" w:rsidP="00786AA4">
      <w:pPr>
        <w:jc w:val="both"/>
      </w:pPr>
      <w:r>
        <w:t xml:space="preserve">One notable feature of our database is the large number of zero output estimates.  Not only does this apply to </w:t>
      </w:r>
      <w:proofErr w:type="spellStart"/>
      <w:r w:rsidRPr="00AA2ABE">
        <w:rPr>
          <w:b/>
        </w:rPr>
        <w:t>ISIg</w:t>
      </w:r>
      <w:proofErr w:type="spellEnd"/>
      <w:r>
        <w:t xml:space="preserve"> and </w:t>
      </w:r>
      <w:proofErr w:type="spellStart"/>
      <w:r w:rsidRPr="00AA2ABE">
        <w:rPr>
          <w:b/>
        </w:rPr>
        <w:t>ISIh</w:t>
      </w:r>
      <w:proofErr w:type="spellEnd"/>
      <w:r>
        <w:t xml:space="preserve">, but also to </w:t>
      </w:r>
      <w:r w:rsidRPr="00801DAD">
        <w:rPr>
          <w:b/>
        </w:rPr>
        <w:t>JCR08IF</w:t>
      </w:r>
      <w:r>
        <w:t xml:space="preserve"> and </w:t>
      </w:r>
      <w:r w:rsidRPr="00801DAD">
        <w:rPr>
          <w:b/>
        </w:rPr>
        <w:t>KMS</w:t>
      </w:r>
      <w:r>
        <w:t xml:space="preserve"> output measures.  For example, 52 percent of researchers possess </w:t>
      </w:r>
      <w:proofErr w:type="spellStart"/>
      <w:r w:rsidRPr="00450FB9">
        <w:rPr>
          <w:b/>
        </w:rPr>
        <w:t>ISIh</w:t>
      </w:r>
      <w:proofErr w:type="spellEnd"/>
      <w:r>
        <w:t xml:space="preserve"> and </w:t>
      </w:r>
      <w:proofErr w:type="spellStart"/>
      <w:r w:rsidRPr="00450FB9">
        <w:rPr>
          <w:b/>
        </w:rPr>
        <w:t>ISIg</w:t>
      </w:r>
      <w:proofErr w:type="spellEnd"/>
      <w:r>
        <w:t xml:space="preserve"> scores of </w:t>
      </w:r>
      <w:r w:rsidR="000D16A8">
        <w:t>‘</w:t>
      </w:r>
      <w:r>
        <w:t>zero</w:t>
      </w:r>
      <w:r w:rsidR="000D16A8">
        <w:t>’</w:t>
      </w:r>
      <w:r>
        <w:t xml:space="preserve">; for </w:t>
      </w:r>
      <w:r w:rsidRPr="00C00005">
        <w:rPr>
          <w:b/>
        </w:rPr>
        <w:t>JCR</w:t>
      </w:r>
      <w:r>
        <w:t xml:space="preserve"> and </w:t>
      </w:r>
      <w:r w:rsidRPr="00C00005">
        <w:rPr>
          <w:b/>
        </w:rPr>
        <w:t>KMS</w:t>
      </w:r>
      <w:r>
        <w:t xml:space="preserve"> the corresponding percentage is 33.  To address this issue, we created a new dataset restricted to the top thirty producers of share-adjusted ISI cites (</w:t>
      </w:r>
      <w:r w:rsidRPr="00450FB9">
        <w:rPr>
          <w:b/>
        </w:rPr>
        <w:t>ISIC</w:t>
      </w:r>
      <w:r>
        <w:t>).   The results of the exercise are shown in TABLE 4.   It is apparent that all combinations of</w:t>
      </w:r>
      <w:r w:rsidR="009A1613" w:rsidRPr="009A1613">
        <w:t xml:space="preserve"> </w:t>
      </w:r>
      <w:r w:rsidR="009A1613">
        <w:t>direct citation measures (</w:t>
      </w:r>
      <w:r w:rsidR="009A1613" w:rsidRPr="00450FB9">
        <w:rPr>
          <w:b/>
        </w:rPr>
        <w:t>ISIC</w:t>
      </w:r>
      <w:r w:rsidR="009A1613">
        <w:t xml:space="preserve">, </w:t>
      </w:r>
      <w:proofErr w:type="spellStart"/>
      <w:r w:rsidR="009A1613" w:rsidRPr="00450FB9">
        <w:rPr>
          <w:b/>
        </w:rPr>
        <w:t>ISIg</w:t>
      </w:r>
      <w:proofErr w:type="spellEnd"/>
      <w:r w:rsidR="009A1613">
        <w:t xml:space="preserve"> and </w:t>
      </w:r>
      <w:proofErr w:type="spellStart"/>
      <w:r w:rsidR="009A1613" w:rsidRPr="00450FB9">
        <w:rPr>
          <w:b/>
        </w:rPr>
        <w:t>ISIh</w:t>
      </w:r>
      <w:proofErr w:type="spellEnd"/>
      <w:r w:rsidR="009A1613">
        <w:t xml:space="preserve">) are highly correlated (0.92 to 0.94); however, the relationship between direct citation and journal-based output measures is much weaker and more variable than under the original dataset.  In particular, note that </w:t>
      </w:r>
      <w:proofErr w:type="spellStart"/>
      <w:r w:rsidR="009A1613" w:rsidRPr="007F7E16">
        <w:rPr>
          <w:b/>
        </w:rPr>
        <w:t>ISIg</w:t>
      </w:r>
      <w:proofErr w:type="spellEnd"/>
      <w:r w:rsidR="009A1613">
        <w:t xml:space="preserve"> and </w:t>
      </w:r>
      <w:proofErr w:type="spellStart"/>
      <w:r w:rsidR="009A1613" w:rsidRPr="007F7E16">
        <w:rPr>
          <w:b/>
        </w:rPr>
        <w:t>ISIh</w:t>
      </w:r>
      <w:proofErr w:type="spellEnd"/>
      <w:r w:rsidR="009A1613">
        <w:t xml:space="preserve"> are weakly correlated with </w:t>
      </w:r>
      <w:r w:rsidR="009A1613" w:rsidRPr="007F7E16">
        <w:rPr>
          <w:b/>
        </w:rPr>
        <w:t>EQUAL</w:t>
      </w:r>
      <w:r w:rsidR="009A1613">
        <w:t xml:space="preserve"> (0.36/ 0.40) and even more so with </w:t>
      </w:r>
      <w:r w:rsidR="009A1613" w:rsidRPr="007F7E16">
        <w:rPr>
          <w:b/>
        </w:rPr>
        <w:t>KMS</w:t>
      </w:r>
      <w:r w:rsidR="009A1613">
        <w:t xml:space="preserve"> (0.29/ 0.26).</w:t>
      </w:r>
      <w:r w:rsidR="009A1613">
        <w:rPr>
          <w:rStyle w:val="FootnoteReference"/>
        </w:rPr>
        <w:footnoteReference w:id="10"/>
      </w:r>
      <w:r w:rsidR="009A1613">
        <w:t xml:space="preserve"> </w:t>
      </w:r>
    </w:p>
    <w:tbl>
      <w:tblPr>
        <w:tblW w:w="10774" w:type="dxa"/>
        <w:tblInd w:w="93" w:type="dxa"/>
        <w:tblLook w:val="04A0"/>
      </w:tblPr>
      <w:tblGrid>
        <w:gridCol w:w="598"/>
        <w:gridCol w:w="970"/>
        <w:gridCol w:w="352"/>
        <w:gridCol w:w="236"/>
        <w:gridCol w:w="1004"/>
        <w:gridCol w:w="904"/>
        <w:gridCol w:w="276"/>
        <w:gridCol w:w="516"/>
        <w:gridCol w:w="598"/>
        <w:gridCol w:w="6"/>
        <w:gridCol w:w="79"/>
        <w:gridCol w:w="1001"/>
        <w:gridCol w:w="34"/>
        <w:gridCol w:w="422"/>
        <w:gridCol w:w="624"/>
        <w:gridCol w:w="374"/>
        <w:gridCol w:w="97"/>
        <w:gridCol w:w="629"/>
        <w:gridCol w:w="28"/>
        <w:gridCol w:w="206"/>
        <w:gridCol w:w="366"/>
        <w:gridCol w:w="334"/>
        <w:gridCol w:w="146"/>
        <w:gridCol w:w="114"/>
        <w:gridCol w:w="526"/>
        <w:gridCol w:w="334"/>
      </w:tblGrid>
      <w:tr w:rsidR="00D02ED5" w:rsidRPr="00D02ED5" w:rsidTr="00365D9A">
        <w:trPr>
          <w:gridAfter w:val="3"/>
          <w:wAfter w:w="974" w:type="dxa"/>
          <w:trHeight w:val="300"/>
        </w:trPr>
        <w:tc>
          <w:tcPr>
            <w:tcW w:w="9800" w:type="dxa"/>
            <w:gridSpan w:val="23"/>
            <w:tcBorders>
              <w:top w:val="nil"/>
              <w:left w:val="nil"/>
              <w:bottom w:val="nil"/>
              <w:right w:val="nil"/>
            </w:tcBorders>
            <w:shd w:val="clear" w:color="auto" w:fill="auto"/>
            <w:noWrap/>
            <w:vAlign w:val="bottom"/>
            <w:hideMark/>
          </w:tcPr>
          <w:p w:rsidR="000D16A8" w:rsidRDefault="00365D9A" w:rsidP="000D16A8">
            <w:pPr>
              <w:spacing w:after="0" w:line="240" w:lineRule="auto"/>
              <w:ind w:left="758" w:hanging="758"/>
              <w:jc w:val="center"/>
              <w:rPr>
                <w:rFonts w:ascii="Calibri" w:eastAsia="Times New Roman" w:hAnsi="Calibri" w:cs="Calibri"/>
                <w:i/>
                <w:iCs/>
                <w:color w:val="000000"/>
                <w:lang w:val="en-NZ" w:eastAsia="zh-CN"/>
              </w:rPr>
            </w:pPr>
            <w:r>
              <w:lastRenderedPageBreak/>
              <w:br w:type="page"/>
            </w:r>
            <w:bookmarkStart w:id="0" w:name="RANGE!A1:H17"/>
            <w:bookmarkEnd w:id="0"/>
            <w:r w:rsidR="00D02ED5" w:rsidRPr="00D02ED5">
              <w:rPr>
                <w:rFonts w:ascii="Calibri" w:eastAsia="Times New Roman" w:hAnsi="Calibri" w:cs="Calibri"/>
                <w:b/>
                <w:bCs/>
                <w:color w:val="000000"/>
                <w:lang w:val="en-NZ" w:eastAsia="zh-CN"/>
              </w:rPr>
              <w:t>Table 4.</w:t>
            </w:r>
            <w:r w:rsidR="00D02ED5" w:rsidRPr="00D02ED5">
              <w:rPr>
                <w:rFonts w:ascii="Calibri" w:eastAsia="Times New Roman" w:hAnsi="Calibri" w:cs="Calibri"/>
                <w:i/>
                <w:iCs/>
                <w:color w:val="000000"/>
                <w:lang w:val="en-NZ" w:eastAsia="zh-CN"/>
              </w:rPr>
              <w:t xml:space="preserve"> Pearson Correlation Coefficients</w:t>
            </w:r>
            <w:r w:rsidR="00D02ED5">
              <w:rPr>
                <w:rFonts w:ascii="Calibri" w:eastAsia="Times New Roman" w:hAnsi="Calibri" w:cs="Calibri"/>
                <w:i/>
                <w:iCs/>
                <w:color w:val="000000"/>
                <w:lang w:val="en-NZ" w:eastAsia="zh-CN"/>
              </w:rPr>
              <w:t xml:space="preserve"> for </w:t>
            </w:r>
            <w:r w:rsidR="00D02ED5" w:rsidRPr="00D02ED5">
              <w:rPr>
                <w:rFonts w:ascii="Calibri" w:eastAsia="Times New Roman" w:hAnsi="Calibri" w:cs="Calibri"/>
                <w:i/>
                <w:iCs/>
                <w:lang w:val="en-NZ" w:eastAsia="zh-CN"/>
              </w:rPr>
              <w:t>TOP 30 ISI Share Adjusted Cite Performers</w:t>
            </w:r>
            <w:r w:rsidR="00D02ED5">
              <w:rPr>
                <w:rFonts w:ascii="Calibri" w:eastAsia="Times New Roman" w:hAnsi="Calibri" w:cs="Calibri"/>
                <w:i/>
                <w:iCs/>
                <w:lang w:val="en-NZ" w:eastAsia="zh-CN"/>
              </w:rPr>
              <w:t>,</w:t>
            </w:r>
            <w:r w:rsidR="00D02ED5" w:rsidRPr="00D02ED5">
              <w:rPr>
                <w:rFonts w:ascii="Calibri" w:eastAsia="Times New Roman" w:hAnsi="Calibri" w:cs="Calibri"/>
                <w:i/>
                <w:iCs/>
                <w:color w:val="000000"/>
                <w:lang w:val="en-NZ" w:eastAsia="zh-CN"/>
              </w:rPr>
              <w:t xml:space="preserve"> </w:t>
            </w:r>
          </w:p>
          <w:p w:rsidR="00D02ED5" w:rsidRPr="00D02ED5" w:rsidRDefault="00D02ED5" w:rsidP="000D16A8">
            <w:pPr>
              <w:spacing w:after="0" w:line="240" w:lineRule="auto"/>
              <w:ind w:left="758" w:hanging="758"/>
              <w:jc w:val="center"/>
              <w:rPr>
                <w:rFonts w:ascii="Calibri" w:eastAsia="Times New Roman" w:hAnsi="Calibri" w:cs="Calibri"/>
                <w:i/>
                <w:iCs/>
                <w:color w:val="000000"/>
                <w:lang w:val="en-NZ" w:eastAsia="zh-CN"/>
              </w:rPr>
            </w:pPr>
            <w:r w:rsidRPr="00D02ED5">
              <w:rPr>
                <w:rFonts w:ascii="Calibri" w:eastAsia="Times New Roman" w:hAnsi="Calibri" w:cs="Calibri"/>
                <w:i/>
                <w:iCs/>
                <w:color w:val="000000"/>
                <w:lang w:val="en-NZ" w:eastAsia="zh-CN"/>
              </w:rPr>
              <w:t>Various Output Measures over the Period 2003-2008</w:t>
            </w:r>
          </w:p>
        </w:tc>
      </w:tr>
      <w:tr w:rsidR="00D02ED5" w:rsidRPr="00D02ED5" w:rsidTr="00365D9A">
        <w:trPr>
          <w:gridAfter w:val="3"/>
          <w:wAfter w:w="974" w:type="dxa"/>
          <w:trHeight w:val="300"/>
        </w:trPr>
        <w:tc>
          <w:tcPr>
            <w:tcW w:w="1920" w:type="dxa"/>
            <w:gridSpan w:val="3"/>
            <w:tcBorders>
              <w:top w:val="single" w:sz="4" w:space="0" w:color="auto"/>
              <w:left w:val="nil"/>
              <w:bottom w:val="single" w:sz="4" w:space="0" w:color="auto"/>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240" w:type="dxa"/>
            <w:gridSpan w:val="2"/>
            <w:tcBorders>
              <w:top w:val="single" w:sz="4" w:space="0" w:color="auto"/>
              <w:left w:val="nil"/>
              <w:bottom w:val="single" w:sz="4" w:space="0" w:color="auto"/>
              <w:right w:val="nil"/>
            </w:tcBorders>
            <w:shd w:val="clear" w:color="auto" w:fill="auto"/>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ISIC</w:t>
            </w:r>
          </w:p>
        </w:tc>
        <w:tc>
          <w:tcPr>
            <w:tcW w:w="1180" w:type="dxa"/>
            <w:gridSpan w:val="2"/>
            <w:tcBorders>
              <w:top w:val="single" w:sz="4" w:space="0" w:color="auto"/>
              <w:left w:val="nil"/>
              <w:bottom w:val="single" w:sz="4" w:space="0" w:color="auto"/>
              <w:right w:val="nil"/>
            </w:tcBorders>
            <w:shd w:val="clear" w:color="auto" w:fill="auto"/>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roofErr w:type="spellStart"/>
            <w:r w:rsidRPr="00D02ED5">
              <w:rPr>
                <w:rFonts w:ascii="Calibri" w:eastAsia="Times New Roman" w:hAnsi="Calibri" w:cs="Calibri"/>
                <w:color w:val="000000"/>
                <w:lang w:val="en-NZ" w:eastAsia="zh-CN"/>
              </w:rPr>
              <w:t>ISIg</w:t>
            </w:r>
            <w:proofErr w:type="spellEnd"/>
          </w:p>
        </w:tc>
        <w:tc>
          <w:tcPr>
            <w:tcW w:w="1120" w:type="dxa"/>
            <w:gridSpan w:val="3"/>
            <w:tcBorders>
              <w:top w:val="single" w:sz="4" w:space="0" w:color="auto"/>
              <w:left w:val="nil"/>
              <w:bottom w:val="single" w:sz="4" w:space="0" w:color="auto"/>
              <w:right w:val="nil"/>
            </w:tcBorders>
            <w:shd w:val="clear" w:color="auto" w:fill="auto"/>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roofErr w:type="spellStart"/>
            <w:r w:rsidRPr="00D02ED5">
              <w:rPr>
                <w:rFonts w:ascii="Calibri" w:eastAsia="Times New Roman" w:hAnsi="Calibri" w:cs="Calibri"/>
                <w:color w:val="000000"/>
                <w:lang w:val="en-NZ" w:eastAsia="zh-CN"/>
              </w:rPr>
              <w:t>ISIh</w:t>
            </w:r>
            <w:proofErr w:type="spellEnd"/>
          </w:p>
        </w:tc>
        <w:tc>
          <w:tcPr>
            <w:tcW w:w="1080" w:type="dxa"/>
            <w:gridSpan w:val="2"/>
            <w:tcBorders>
              <w:top w:val="single" w:sz="4" w:space="0" w:color="auto"/>
              <w:left w:val="nil"/>
              <w:bottom w:val="single" w:sz="4" w:space="0" w:color="auto"/>
              <w:right w:val="nil"/>
            </w:tcBorders>
            <w:shd w:val="clear" w:color="auto" w:fill="auto"/>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EQUAL</w:t>
            </w:r>
          </w:p>
        </w:tc>
        <w:tc>
          <w:tcPr>
            <w:tcW w:w="1080" w:type="dxa"/>
            <w:gridSpan w:val="3"/>
            <w:tcBorders>
              <w:top w:val="single" w:sz="4" w:space="0" w:color="auto"/>
              <w:left w:val="nil"/>
              <w:bottom w:val="single" w:sz="4" w:space="0" w:color="auto"/>
              <w:right w:val="nil"/>
            </w:tcBorders>
            <w:shd w:val="clear" w:color="auto" w:fill="auto"/>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ERA</w:t>
            </w:r>
          </w:p>
        </w:tc>
        <w:tc>
          <w:tcPr>
            <w:tcW w:w="1100" w:type="dxa"/>
            <w:gridSpan w:val="3"/>
            <w:tcBorders>
              <w:top w:val="single" w:sz="4" w:space="0" w:color="auto"/>
              <w:left w:val="nil"/>
              <w:bottom w:val="single" w:sz="4" w:space="0" w:color="auto"/>
              <w:right w:val="nil"/>
            </w:tcBorders>
            <w:shd w:val="clear" w:color="auto" w:fill="auto"/>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JCR</w:t>
            </w:r>
          </w:p>
        </w:tc>
        <w:tc>
          <w:tcPr>
            <w:tcW w:w="1080" w:type="dxa"/>
            <w:gridSpan w:val="5"/>
            <w:tcBorders>
              <w:top w:val="single" w:sz="4" w:space="0" w:color="auto"/>
              <w:left w:val="nil"/>
              <w:bottom w:val="single" w:sz="4" w:space="0" w:color="auto"/>
              <w:right w:val="nil"/>
            </w:tcBorders>
            <w:shd w:val="clear" w:color="auto" w:fill="auto"/>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KMS</w:t>
            </w:r>
          </w:p>
        </w:tc>
      </w:tr>
      <w:tr w:rsidR="00D02ED5" w:rsidRPr="00D02ED5" w:rsidTr="00365D9A">
        <w:trPr>
          <w:gridAfter w:val="3"/>
          <w:wAfter w:w="974" w:type="dxa"/>
          <w:trHeight w:val="300"/>
        </w:trPr>
        <w:tc>
          <w:tcPr>
            <w:tcW w:w="1920" w:type="dxa"/>
            <w:gridSpan w:val="3"/>
            <w:tcBorders>
              <w:top w:val="single" w:sz="4" w:space="0" w:color="auto"/>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ISIC</w:t>
            </w:r>
          </w:p>
        </w:tc>
        <w:tc>
          <w:tcPr>
            <w:tcW w:w="1240" w:type="dxa"/>
            <w:gridSpan w:val="2"/>
            <w:tcBorders>
              <w:top w:val="single" w:sz="4" w:space="0" w:color="auto"/>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1.00</w:t>
            </w:r>
          </w:p>
        </w:tc>
        <w:tc>
          <w:tcPr>
            <w:tcW w:w="1180" w:type="dxa"/>
            <w:gridSpan w:val="2"/>
            <w:tcBorders>
              <w:top w:val="single" w:sz="4" w:space="0" w:color="auto"/>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0.94</w:t>
            </w:r>
          </w:p>
        </w:tc>
        <w:tc>
          <w:tcPr>
            <w:tcW w:w="1120" w:type="dxa"/>
            <w:gridSpan w:val="3"/>
            <w:tcBorders>
              <w:top w:val="single" w:sz="4" w:space="0" w:color="auto"/>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0.92</w:t>
            </w:r>
          </w:p>
        </w:tc>
        <w:tc>
          <w:tcPr>
            <w:tcW w:w="1080" w:type="dxa"/>
            <w:gridSpan w:val="2"/>
            <w:tcBorders>
              <w:top w:val="single" w:sz="4" w:space="0" w:color="auto"/>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0.44</w:t>
            </w:r>
          </w:p>
        </w:tc>
        <w:tc>
          <w:tcPr>
            <w:tcW w:w="1080" w:type="dxa"/>
            <w:gridSpan w:val="3"/>
            <w:tcBorders>
              <w:top w:val="single" w:sz="4" w:space="0" w:color="auto"/>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0.65</w:t>
            </w:r>
          </w:p>
        </w:tc>
        <w:tc>
          <w:tcPr>
            <w:tcW w:w="1100" w:type="dxa"/>
            <w:gridSpan w:val="3"/>
            <w:tcBorders>
              <w:top w:val="single" w:sz="4" w:space="0" w:color="auto"/>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0.45</w:t>
            </w:r>
          </w:p>
        </w:tc>
        <w:tc>
          <w:tcPr>
            <w:tcW w:w="1080" w:type="dxa"/>
            <w:gridSpan w:val="5"/>
            <w:tcBorders>
              <w:top w:val="single" w:sz="4" w:space="0" w:color="auto"/>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0.17</w:t>
            </w:r>
          </w:p>
        </w:tc>
      </w:tr>
      <w:tr w:rsidR="00D02ED5" w:rsidRPr="00D02ED5" w:rsidTr="00365D9A">
        <w:trPr>
          <w:gridAfter w:val="3"/>
          <w:wAfter w:w="974" w:type="dxa"/>
          <w:trHeight w:val="300"/>
        </w:trPr>
        <w:tc>
          <w:tcPr>
            <w:tcW w:w="192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roofErr w:type="spellStart"/>
            <w:r w:rsidRPr="00D02ED5">
              <w:rPr>
                <w:rFonts w:ascii="Calibri" w:eastAsia="Times New Roman" w:hAnsi="Calibri" w:cs="Calibri"/>
                <w:color w:val="000000"/>
                <w:lang w:val="en-NZ" w:eastAsia="zh-CN"/>
              </w:rPr>
              <w:t>ISIg</w:t>
            </w:r>
            <w:proofErr w:type="spellEnd"/>
          </w:p>
        </w:tc>
        <w:tc>
          <w:tcPr>
            <w:tcW w:w="124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18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1.00</w:t>
            </w:r>
          </w:p>
        </w:tc>
        <w:tc>
          <w:tcPr>
            <w:tcW w:w="112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0.92</w:t>
            </w:r>
          </w:p>
        </w:tc>
        <w:tc>
          <w:tcPr>
            <w:tcW w:w="108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0.36</w:t>
            </w:r>
          </w:p>
        </w:tc>
        <w:tc>
          <w:tcPr>
            <w:tcW w:w="108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0.65</w:t>
            </w:r>
          </w:p>
        </w:tc>
        <w:tc>
          <w:tcPr>
            <w:tcW w:w="110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0.53</w:t>
            </w:r>
          </w:p>
        </w:tc>
        <w:tc>
          <w:tcPr>
            <w:tcW w:w="1080" w:type="dxa"/>
            <w:gridSpan w:val="5"/>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0.29</w:t>
            </w:r>
          </w:p>
        </w:tc>
      </w:tr>
      <w:tr w:rsidR="00D02ED5" w:rsidRPr="00D02ED5" w:rsidTr="00365D9A">
        <w:trPr>
          <w:gridAfter w:val="3"/>
          <w:wAfter w:w="974" w:type="dxa"/>
          <w:trHeight w:val="300"/>
        </w:trPr>
        <w:tc>
          <w:tcPr>
            <w:tcW w:w="192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roofErr w:type="spellStart"/>
            <w:r w:rsidRPr="00D02ED5">
              <w:rPr>
                <w:rFonts w:ascii="Calibri" w:eastAsia="Times New Roman" w:hAnsi="Calibri" w:cs="Calibri"/>
                <w:color w:val="000000"/>
                <w:lang w:val="en-NZ" w:eastAsia="zh-CN"/>
              </w:rPr>
              <w:t>ISIh</w:t>
            </w:r>
            <w:proofErr w:type="spellEnd"/>
          </w:p>
        </w:tc>
        <w:tc>
          <w:tcPr>
            <w:tcW w:w="124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18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12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1.00</w:t>
            </w:r>
          </w:p>
        </w:tc>
        <w:tc>
          <w:tcPr>
            <w:tcW w:w="108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0.40</w:t>
            </w:r>
          </w:p>
        </w:tc>
        <w:tc>
          <w:tcPr>
            <w:tcW w:w="108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0.67</w:t>
            </w:r>
          </w:p>
        </w:tc>
        <w:tc>
          <w:tcPr>
            <w:tcW w:w="110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0.50</w:t>
            </w:r>
          </w:p>
        </w:tc>
        <w:tc>
          <w:tcPr>
            <w:tcW w:w="1080" w:type="dxa"/>
            <w:gridSpan w:val="5"/>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0.26</w:t>
            </w:r>
          </w:p>
        </w:tc>
      </w:tr>
      <w:tr w:rsidR="00D02ED5" w:rsidRPr="00D02ED5" w:rsidTr="00365D9A">
        <w:trPr>
          <w:gridAfter w:val="3"/>
          <w:wAfter w:w="974" w:type="dxa"/>
          <w:trHeight w:val="300"/>
        </w:trPr>
        <w:tc>
          <w:tcPr>
            <w:tcW w:w="192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EQUAL</w:t>
            </w:r>
          </w:p>
        </w:tc>
        <w:tc>
          <w:tcPr>
            <w:tcW w:w="124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18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12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08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1.00</w:t>
            </w:r>
          </w:p>
        </w:tc>
        <w:tc>
          <w:tcPr>
            <w:tcW w:w="108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0.86</w:t>
            </w:r>
          </w:p>
        </w:tc>
        <w:tc>
          <w:tcPr>
            <w:tcW w:w="110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0.38</w:t>
            </w:r>
          </w:p>
        </w:tc>
        <w:tc>
          <w:tcPr>
            <w:tcW w:w="1080" w:type="dxa"/>
            <w:gridSpan w:val="5"/>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0.09</w:t>
            </w:r>
          </w:p>
        </w:tc>
      </w:tr>
      <w:tr w:rsidR="00D02ED5" w:rsidRPr="00D02ED5" w:rsidTr="00365D9A">
        <w:trPr>
          <w:gridAfter w:val="3"/>
          <w:wAfter w:w="974" w:type="dxa"/>
          <w:trHeight w:val="300"/>
        </w:trPr>
        <w:tc>
          <w:tcPr>
            <w:tcW w:w="192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ERAB</w:t>
            </w:r>
          </w:p>
        </w:tc>
        <w:tc>
          <w:tcPr>
            <w:tcW w:w="124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18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12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080" w:type="dxa"/>
            <w:gridSpan w:val="2"/>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08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1.00</w:t>
            </w:r>
          </w:p>
        </w:tc>
        <w:tc>
          <w:tcPr>
            <w:tcW w:w="1100" w:type="dxa"/>
            <w:gridSpan w:val="3"/>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0.73</w:t>
            </w:r>
          </w:p>
        </w:tc>
        <w:tc>
          <w:tcPr>
            <w:tcW w:w="1080" w:type="dxa"/>
            <w:gridSpan w:val="5"/>
            <w:tcBorders>
              <w:top w:val="nil"/>
              <w:left w:val="nil"/>
              <w:bottom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0.38</w:t>
            </w:r>
          </w:p>
        </w:tc>
      </w:tr>
      <w:tr w:rsidR="00D02ED5" w:rsidRPr="00D02ED5" w:rsidTr="00365D9A">
        <w:trPr>
          <w:gridAfter w:val="3"/>
          <w:wAfter w:w="974" w:type="dxa"/>
          <w:trHeight w:val="300"/>
        </w:trPr>
        <w:tc>
          <w:tcPr>
            <w:tcW w:w="1920" w:type="dxa"/>
            <w:gridSpan w:val="3"/>
            <w:tcBorders>
              <w:top w:val="nil"/>
              <w:left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JCR</w:t>
            </w:r>
          </w:p>
        </w:tc>
        <w:tc>
          <w:tcPr>
            <w:tcW w:w="1240" w:type="dxa"/>
            <w:gridSpan w:val="2"/>
            <w:tcBorders>
              <w:top w:val="nil"/>
              <w:left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180" w:type="dxa"/>
            <w:gridSpan w:val="2"/>
            <w:tcBorders>
              <w:top w:val="nil"/>
              <w:left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120" w:type="dxa"/>
            <w:gridSpan w:val="3"/>
            <w:tcBorders>
              <w:top w:val="nil"/>
              <w:left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080" w:type="dxa"/>
            <w:gridSpan w:val="2"/>
            <w:tcBorders>
              <w:top w:val="nil"/>
              <w:left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080" w:type="dxa"/>
            <w:gridSpan w:val="3"/>
            <w:tcBorders>
              <w:top w:val="nil"/>
              <w:left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p>
        </w:tc>
        <w:tc>
          <w:tcPr>
            <w:tcW w:w="1100" w:type="dxa"/>
            <w:gridSpan w:val="3"/>
            <w:tcBorders>
              <w:top w:val="nil"/>
              <w:left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1.00</w:t>
            </w:r>
          </w:p>
        </w:tc>
        <w:tc>
          <w:tcPr>
            <w:tcW w:w="1080" w:type="dxa"/>
            <w:gridSpan w:val="5"/>
            <w:tcBorders>
              <w:top w:val="nil"/>
              <w:left w:val="nil"/>
              <w:right w:val="nil"/>
            </w:tcBorders>
            <w:shd w:val="clear" w:color="auto" w:fill="auto"/>
            <w:noWrap/>
            <w:vAlign w:val="bottom"/>
            <w:hideMark/>
          </w:tcPr>
          <w:p w:rsidR="00D02ED5" w:rsidRPr="00D02ED5" w:rsidRDefault="00D02ED5" w:rsidP="00786AA4">
            <w:pPr>
              <w:spacing w:after="0" w:line="240" w:lineRule="auto"/>
              <w:jc w:val="both"/>
              <w:rPr>
                <w:rFonts w:ascii="Calibri" w:eastAsia="Times New Roman" w:hAnsi="Calibri" w:cs="Calibri"/>
                <w:color w:val="000000"/>
                <w:lang w:val="en-NZ" w:eastAsia="zh-CN"/>
              </w:rPr>
            </w:pPr>
            <w:r w:rsidRPr="00D02ED5">
              <w:rPr>
                <w:rFonts w:ascii="Calibri" w:eastAsia="Times New Roman" w:hAnsi="Calibri" w:cs="Calibri"/>
                <w:color w:val="000000"/>
                <w:lang w:val="en-NZ" w:eastAsia="zh-CN"/>
              </w:rPr>
              <w:t>0.78</w:t>
            </w:r>
          </w:p>
        </w:tc>
      </w:tr>
      <w:tr w:rsidR="00D02ED5" w:rsidRPr="00D02ED5" w:rsidTr="00365D9A">
        <w:trPr>
          <w:gridAfter w:val="3"/>
          <w:wAfter w:w="974" w:type="dxa"/>
          <w:trHeight w:val="300"/>
        </w:trPr>
        <w:tc>
          <w:tcPr>
            <w:tcW w:w="1920" w:type="dxa"/>
            <w:gridSpan w:val="3"/>
            <w:tcBorders>
              <w:top w:val="nil"/>
              <w:left w:val="nil"/>
              <w:right w:val="nil"/>
            </w:tcBorders>
            <w:shd w:val="clear" w:color="auto" w:fill="auto"/>
            <w:noWrap/>
            <w:vAlign w:val="bottom"/>
            <w:hideMark/>
          </w:tcPr>
          <w:p w:rsidR="00D02ED5" w:rsidRPr="000D16A8" w:rsidRDefault="00D02ED5" w:rsidP="00786AA4">
            <w:pPr>
              <w:spacing w:after="0" w:line="240" w:lineRule="auto"/>
              <w:jc w:val="both"/>
              <w:rPr>
                <w:rFonts w:ascii="Calibri" w:eastAsia="Times New Roman" w:hAnsi="Calibri" w:cs="Calibri"/>
                <w:color w:val="000000"/>
                <w:lang w:val="en-NZ" w:eastAsia="zh-CN"/>
              </w:rPr>
            </w:pPr>
            <w:r w:rsidRPr="000D16A8">
              <w:rPr>
                <w:rFonts w:ascii="Calibri" w:eastAsia="Times New Roman" w:hAnsi="Calibri" w:cs="Calibri"/>
                <w:color w:val="000000"/>
                <w:lang w:val="en-NZ" w:eastAsia="zh-CN"/>
              </w:rPr>
              <w:t>KMS</w:t>
            </w:r>
          </w:p>
        </w:tc>
        <w:tc>
          <w:tcPr>
            <w:tcW w:w="1240" w:type="dxa"/>
            <w:gridSpan w:val="2"/>
            <w:tcBorders>
              <w:top w:val="nil"/>
              <w:left w:val="nil"/>
              <w:right w:val="nil"/>
            </w:tcBorders>
            <w:shd w:val="clear" w:color="auto" w:fill="auto"/>
            <w:noWrap/>
            <w:vAlign w:val="bottom"/>
            <w:hideMark/>
          </w:tcPr>
          <w:p w:rsidR="00D02ED5" w:rsidRPr="000D16A8" w:rsidRDefault="00D02ED5" w:rsidP="00786AA4">
            <w:pPr>
              <w:spacing w:after="0" w:line="240" w:lineRule="auto"/>
              <w:jc w:val="both"/>
              <w:rPr>
                <w:rFonts w:ascii="Calibri" w:eastAsia="Times New Roman" w:hAnsi="Calibri" w:cs="Calibri"/>
                <w:color w:val="000000"/>
                <w:lang w:val="en-NZ" w:eastAsia="zh-CN"/>
              </w:rPr>
            </w:pPr>
          </w:p>
        </w:tc>
        <w:tc>
          <w:tcPr>
            <w:tcW w:w="1180" w:type="dxa"/>
            <w:gridSpan w:val="2"/>
            <w:tcBorders>
              <w:top w:val="nil"/>
              <w:left w:val="nil"/>
              <w:right w:val="nil"/>
            </w:tcBorders>
            <w:shd w:val="clear" w:color="auto" w:fill="auto"/>
            <w:noWrap/>
            <w:vAlign w:val="bottom"/>
            <w:hideMark/>
          </w:tcPr>
          <w:p w:rsidR="00D02ED5" w:rsidRPr="000D16A8" w:rsidRDefault="00D02ED5" w:rsidP="00786AA4">
            <w:pPr>
              <w:spacing w:after="0" w:line="240" w:lineRule="auto"/>
              <w:jc w:val="both"/>
              <w:rPr>
                <w:rFonts w:ascii="Calibri" w:eastAsia="Times New Roman" w:hAnsi="Calibri" w:cs="Calibri"/>
                <w:color w:val="000000"/>
                <w:lang w:val="en-NZ" w:eastAsia="zh-CN"/>
              </w:rPr>
            </w:pPr>
          </w:p>
        </w:tc>
        <w:tc>
          <w:tcPr>
            <w:tcW w:w="1120" w:type="dxa"/>
            <w:gridSpan w:val="3"/>
            <w:tcBorders>
              <w:top w:val="nil"/>
              <w:left w:val="nil"/>
              <w:right w:val="nil"/>
            </w:tcBorders>
            <w:shd w:val="clear" w:color="auto" w:fill="auto"/>
            <w:noWrap/>
            <w:vAlign w:val="bottom"/>
            <w:hideMark/>
          </w:tcPr>
          <w:p w:rsidR="00D02ED5" w:rsidRPr="000D16A8" w:rsidRDefault="00D02ED5" w:rsidP="00786AA4">
            <w:pPr>
              <w:spacing w:after="0" w:line="240" w:lineRule="auto"/>
              <w:jc w:val="both"/>
              <w:rPr>
                <w:rFonts w:ascii="Calibri" w:eastAsia="Times New Roman" w:hAnsi="Calibri" w:cs="Calibri"/>
                <w:color w:val="000000"/>
                <w:lang w:val="en-NZ" w:eastAsia="zh-CN"/>
              </w:rPr>
            </w:pPr>
          </w:p>
        </w:tc>
        <w:tc>
          <w:tcPr>
            <w:tcW w:w="1080" w:type="dxa"/>
            <w:gridSpan w:val="2"/>
            <w:tcBorders>
              <w:top w:val="nil"/>
              <w:left w:val="nil"/>
              <w:right w:val="nil"/>
            </w:tcBorders>
            <w:shd w:val="clear" w:color="auto" w:fill="auto"/>
            <w:noWrap/>
            <w:vAlign w:val="bottom"/>
            <w:hideMark/>
          </w:tcPr>
          <w:p w:rsidR="00D02ED5" w:rsidRPr="000D16A8" w:rsidRDefault="00D02ED5" w:rsidP="00786AA4">
            <w:pPr>
              <w:spacing w:after="0" w:line="240" w:lineRule="auto"/>
              <w:jc w:val="both"/>
              <w:rPr>
                <w:rFonts w:ascii="Calibri" w:eastAsia="Times New Roman" w:hAnsi="Calibri" w:cs="Calibri"/>
                <w:color w:val="000000"/>
                <w:lang w:val="en-NZ" w:eastAsia="zh-CN"/>
              </w:rPr>
            </w:pPr>
          </w:p>
        </w:tc>
        <w:tc>
          <w:tcPr>
            <w:tcW w:w="1080" w:type="dxa"/>
            <w:gridSpan w:val="3"/>
            <w:tcBorders>
              <w:top w:val="nil"/>
              <w:left w:val="nil"/>
              <w:right w:val="nil"/>
            </w:tcBorders>
            <w:shd w:val="clear" w:color="auto" w:fill="auto"/>
            <w:noWrap/>
            <w:vAlign w:val="bottom"/>
            <w:hideMark/>
          </w:tcPr>
          <w:p w:rsidR="00D02ED5" w:rsidRPr="000D16A8" w:rsidRDefault="00D02ED5" w:rsidP="00786AA4">
            <w:pPr>
              <w:spacing w:after="0" w:line="240" w:lineRule="auto"/>
              <w:jc w:val="both"/>
              <w:rPr>
                <w:rFonts w:ascii="Calibri" w:eastAsia="Times New Roman" w:hAnsi="Calibri" w:cs="Calibri"/>
                <w:color w:val="000000"/>
                <w:lang w:val="en-NZ" w:eastAsia="zh-CN"/>
              </w:rPr>
            </w:pPr>
          </w:p>
        </w:tc>
        <w:tc>
          <w:tcPr>
            <w:tcW w:w="1100" w:type="dxa"/>
            <w:gridSpan w:val="3"/>
            <w:tcBorders>
              <w:top w:val="nil"/>
              <w:left w:val="nil"/>
              <w:right w:val="nil"/>
            </w:tcBorders>
            <w:shd w:val="clear" w:color="auto" w:fill="auto"/>
            <w:noWrap/>
            <w:vAlign w:val="bottom"/>
            <w:hideMark/>
          </w:tcPr>
          <w:p w:rsidR="00D02ED5" w:rsidRPr="000D16A8" w:rsidRDefault="00D02ED5" w:rsidP="00786AA4">
            <w:pPr>
              <w:spacing w:after="0" w:line="240" w:lineRule="auto"/>
              <w:jc w:val="both"/>
              <w:rPr>
                <w:rFonts w:ascii="Calibri" w:eastAsia="Times New Roman" w:hAnsi="Calibri" w:cs="Calibri"/>
                <w:color w:val="000000"/>
                <w:lang w:val="en-NZ" w:eastAsia="zh-CN"/>
              </w:rPr>
            </w:pPr>
          </w:p>
        </w:tc>
        <w:tc>
          <w:tcPr>
            <w:tcW w:w="1080" w:type="dxa"/>
            <w:gridSpan w:val="5"/>
            <w:tcBorders>
              <w:top w:val="nil"/>
              <w:left w:val="nil"/>
              <w:right w:val="nil"/>
            </w:tcBorders>
            <w:shd w:val="clear" w:color="auto" w:fill="auto"/>
            <w:noWrap/>
            <w:vAlign w:val="bottom"/>
            <w:hideMark/>
          </w:tcPr>
          <w:p w:rsidR="00D02ED5" w:rsidRPr="000D16A8" w:rsidRDefault="00D02ED5" w:rsidP="00786AA4">
            <w:pPr>
              <w:spacing w:after="0" w:line="240" w:lineRule="auto"/>
              <w:jc w:val="both"/>
              <w:rPr>
                <w:rFonts w:ascii="Calibri" w:eastAsia="Times New Roman" w:hAnsi="Calibri" w:cs="Calibri"/>
                <w:color w:val="000000"/>
                <w:lang w:val="en-NZ" w:eastAsia="zh-CN"/>
              </w:rPr>
            </w:pPr>
            <w:r w:rsidRPr="000D16A8">
              <w:rPr>
                <w:rFonts w:ascii="Calibri" w:eastAsia="Times New Roman" w:hAnsi="Calibri" w:cs="Calibri"/>
                <w:color w:val="000000"/>
                <w:lang w:val="en-NZ" w:eastAsia="zh-CN"/>
              </w:rPr>
              <w:t>1.00</w:t>
            </w:r>
          </w:p>
        </w:tc>
      </w:tr>
      <w:tr w:rsidR="00D02ED5" w:rsidRPr="00D02ED5" w:rsidTr="00365D9A">
        <w:trPr>
          <w:gridAfter w:val="3"/>
          <w:wAfter w:w="974" w:type="dxa"/>
          <w:trHeight w:val="300"/>
        </w:trPr>
        <w:tc>
          <w:tcPr>
            <w:tcW w:w="9800" w:type="dxa"/>
            <w:gridSpan w:val="23"/>
            <w:tcBorders>
              <w:left w:val="nil"/>
              <w:right w:val="nil"/>
            </w:tcBorders>
            <w:shd w:val="clear" w:color="auto" w:fill="auto"/>
            <w:noWrap/>
            <w:vAlign w:val="bottom"/>
            <w:hideMark/>
          </w:tcPr>
          <w:p w:rsidR="009A1613" w:rsidRDefault="00D02ED5" w:rsidP="000D16A8">
            <w:pPr>
              <w:pBdr>
                <w:bottom w:val="single" w:sz="4" w:space="1" w:color="auto"/>
              </w:pBdr>
              <w:jc w:val="both"/>
              <w:rPr>
                <w:rFonts w:ascii="Calibri" w:eastAsia="Times New Roman" w:hAnsi="Calibri" w:cs="Calibri"/>
                <w:b/>
                <w:bCs/>
                <w:color w:val="000000"/>
                <w:lang w:val="en-NZ" w:eastAsia="zh-CN"/>
              </w:rPr>
            </w:pPr>
            <w:r w:rsidRPr="00D02ED5">
              <w:rPr>
                <w:rFonts w:ascii="Calibri" w:eastAsia="Times New Roman" w:hAnsi="Calibri" w:cs="Calibri"/>
                <w:i/>
                <w:iCs/>
                <w:color w:val="000000"/>
                <w:sz w:val="16"/>
                <w:szCs w:val="16"/>
                <w:lang w:val="en-NZ" w:eastAsia="zh-CN"/>
              </w:rPr>
              <w:t>Note1:</w:t>
            </w:r>
            <w:r w:rsidRPr="00D02ED5">
              <w:rPr>
                <w:rFonts w:ascii="Calibri" w:eastAsia="Times New Roman" w:hAnsi="Calibri" w:cs="Calibri"/>
                <w:color w:val="000000"/>
                <w:sz w:val="16"/>
                <w:szCs w:val="16"/>
                <w:lang w:val="en-NZ" w:eastAsia="zh-CN"/>
              </w:rPr>
              <w:t> </w:t>
            </w:r>
            <w:r w:rsidRPr="00D02ED5">
              <w:rPr>
                <w:rFonts w:ascii="Calibri" w:eastAsia="Times New Roman" w:hAnsi="Calibri" w:cs="Calibri"/>
                <w:sz w:val="16"/>
                <w:szCs w:val="16"/>
                <w:lang w:val="en-NZ" w:eastAsia="zh-CN"/>
              </w:rPr>
              <w:t>Academic Staff as at 15 April 2009, min. six years experience</w:t>
            </w:r>
            <w:r w:rsidR="009A1613">
              <w:rPr>
                <w:rFonts w:ascii="Calibri" w:eastAsia="Times New Roman" w:hAnsi="Calibri" w:cs="Calibri"/>
                <w:sz w:val="16"/>
                <w:szCs w:val="16"/>
                <w:lang w:val="en-NZ" w:eastAsia="zh-CN"/>
              </w:rPr>
              <w:t>.</w:t>
            </w:r>
            <w:r w:rsidRPr="00D02ED5">
              <w:rPr>
                <w:rFonts w:ascii="Calibri" w:eastAsia="Times New Roman" w:hAnsi="Calibri" w:cs="Calibri"/>
                <w:b/>
                <w:bCs/>
                <w:color w:val="000000"/>
                <w:lang w:val="en-NZ" w:eastAsia="zh-CN"/>
              </w:rPr>
              <w:t> </w:t>
            </w:r>
          </w:p>
          <w:p w:rsidR="000D16A8" w:rsidRDefault="000D16A8" w:rsidP="00786AA4">
            <w:pPr>
              <w:jc w:val="both"/>
            </w:pPr>
          </w:p>
          <w:p w:rsidR="009A1613" w:rsidRDefault="009A1613" w:rsidP="00786AA4">
            <w:pPr>
              <w:jc w:val="both"/>
            </w:pPr>
            <w:r>
              <w:t>The impact of alternative output measures on individual researchers is clearly shown in TABLE 5.  Here we list the top 30 performers as ranked by the number of ISI share-adjusted cites (</w:t>
            </w:r>
            <w:r w:rsidRPr="008742A4">
              <w:rPr>
                <w:b/>
              </w:rPr>
              <w:t>ISIC</w:t>
            </w:r>
            <w:r>
              <w:t xml:space="preserve">).  As expected, the </w:t>
            </w:r>
            <w:r w:rsidRPr="008742A4">
              <w:rPr>
                <w:b/>
              </w:rPr>
              <w:t>ISIC</w:t>
            </w:r>
            <w:r>
              <w:t xml:space="preserve"> leaders perform well under </w:t>
            </w:r>
            <w:proofErr w:type="spellStart"/>
            <w:r w:rsidRPr="008742A4">
              <w:rPr>
                <w:b/>
              </w:rPr>
              <w:t>ISIg</w:t>
            </w:r>
            <w:proofErr w:type="spellEnd"/>
            <w:r>
              <w:t xml:space="preserve"> and </w:t>
            </w:r>
            <w:proofErr w:type="spellStart"/>
            <w:r w:rsidRPr="008742A4">
              <w:rPr>
                <w:b/>
              </w:rPr>
              <w:t>ISIh</w:t>
            </w:r>
            <w:proofErr w:type="spellEnd"/>
            <w:r>
              <w:rPr>
                <w:b/>
              </w:rPr>
              <w:t xml:space="preserve">; </w:t>
            </w:r>
            <w:r>
              <w:t xml:space="preserve">in general, they also perform well under our alternative schemes, with the notable exception of </w:t>
            </w:r>
            <w:r w:rsidRPr="008742A4">
              <w:rPr>
                <w:b/>
              </w:rPr>
              <w:t>KMS</w:t>
            </w:r>
            <w:r>
              <w:rPr>
                <w:b/>
              </w:rPr>
              <w:t xml:space="preserve">.  </w:t>
            </w:r>
            <w:r>
              <w:t xml:space="preserve">Nevertheless, there is enough variation throughout to suggest that individual researchers have much to lose or gain from the RAM selection process.  For example, see TABLE 6.  Here we provide a few arbitrarily selected examples of the situation faced by some of our researchers assuming </w:t>
            </w:r>
            <w:proofErr w:type="spellStart"/>
            <w:r w:rsidRPr="009E298C">
              <w:rPr>
                <w:b/>
              </w:rPr>
              <w:t>ISIh</w:t>
            </w:r>
            <w:proofErr w:type="spellEnd"/>
            <w:r>
              <w:t xml:space="preserve"> to be the official RAM.  In </w:t>
            </w:r>
            <w:r w:rsidR="00497FCD">
              <w:t xml:space="preserve">the upper portion of </w:t>
            </w:r>
            <w:r>
              <w:t xml:space="preserve">the table we show the research output of six researchers who have obtained an </w:t>
            </w:r>
            <w:proofErr w:type="spellStart"/>
            <w:r w:rsidRPr="009E298C">
              <w:rPr>
                <w:b/>
              </w:rPr>
              <w:t>ISIh</w:t>
            </w:r>
            <w:proofErr w:type="spellEnd"/>
            <w:r>
              <w:t xml:space="preserve"> score of </w:t>
            </w:r>
            <w:r w:rsidR="000D16A8">
              <w:t>‘</w:t>
            </w:r>
            <w:r>
              <w:t>1</w:t>
            </w:r>
            <w:r w:rsidR="000D16A8">
              <w:t>’</w:t>
            </w:r>
            <w:r>
              <w:t xml:space="preserve">.  We suggest that most tenure, appointment and promotion committees would not be indifferent between a candidate with a research portfolio consisting of the </w:t>
            </w:r>
            <w:r w:rsidRPr="00465463">
              <w:rPr>
                <w:i/>
              </w:rPr>
              <w:t>Journal of Economic Theory</w:t>
            </w:r>
            <w:r>
              <w:t xml:space="preserve">, </w:t>
            </w:r>
            <w:r w:rsidRPr="00465463">
              <w:rPr>
                <w:i/>
              </w:rPr>
              <w:t xml:space="preserve">Review of Economics and Dynamics </w:t>
            </w:r>
            <w:r w:rsidRPr="00465463">
              <w:t>and the</w:t>
            </w:r>
            <w:r w:rsidRPr="00465463">
              <w:rPr>
                <w:i/>
              </w:rPr>
              <w:t xml:space="preserve"> Journal of Monetary Economics</w:t>
            </w:r>
            <w:r>
              <w:t xml:space="preserve"> and a candidate with a single publication from one of the Group B listed journals.   Note that the economist with the above portfolio was ranked 7</w:t>
            </w:r>
            <w:r w:rsidRPr="00202DD0">
              <w:rPr>
                <w:vertAlign w:val="superscript"/>
              </w:rPr>
              <w:t>th</w:t>
            </w:r>
            <w:r>
              <w:t xml:space="preserve"> out of 135 according to the KMS scheme but received the same ISI h-index score as Researchers 4 to 6 who received the lowest possible KMS score (135/135).  A similar situation exists with respect to some researchers with an </w:t>
            </w:r>
            <w:proofErr w:type="spellStart"/>
            <w:r w:rsidRPr="009E298C">
              <w:rPr>
                <w:b/>
              </w:rPr>
              <w:t>ISIh</w:t>
            </w:r>
            <w:proofErr w:type="spellEnd"/>
            <w:r>
              <w:t xml:space="preserve"> score of </w:t>
            </w:r>
            <w:r w:rsidR="000D16A8">
              <w:t>‘</w:t>
            </w:r>
            <w:r>
              <w:t>zero</w:t>
            </w:r>
            <w:r w:rsidR="000D16A8">
              <w:t>’</w:t>
            </w:r>
            <w:r>
              <w:t xml:space="preserve">.  For example, it is difficult for us to imagine that a publication in the </w:t>
            </w:r>
            <w:r w:rsidRPr="00F44EC3">
              <w:rPr>
                <w:i/>
              </w:rPr>
              <w:t>Journal of Economic Literature</w:t>
            </w:r>
            <w:r>
              <w:t xml:space="preserve"> has zero value, or that it could be judged to be of equal value to a </w:t>
            </w:r>
            <w:r w:rsidR="000D16A8">
              <w:t>‘</w:t>
            </w:r>
            <w:r>
              <w:t>null set</w:t>
            </w:r>
            <w:r w:rsidR="000D16A8">
              <w:t>’</w:t>
            </w:r>
            <w:r>
              <w:t xml:space="preserve"> (see </w:t>
            </w:r>
            <w:r w:rsidR="00497FCD">
              <w:t>h=0; Researcher5</w:t>
            </w:r>
            <w:r>
              <w:t xml:space="preserve">).  Once again, for comparison purposes note that the individual with a portfolio consisting solely of the </w:t>
            </w:r>
            <w:r w:rsidRPr="003D6795">
              <w:rPr>
                <w:i/>
              </w:rPr>
              <w:t>Journal of Economic Literature</w:t>
            </w:r>
            <w:r>
              <w:t xml:space="preserve"> is ranked 18</w:t>
            </w:r>
            <w:r w:rsidRPr="00202DD0">
              <w:rPr>
                <w:vertAlign w:val="superscript"/>
              </w:rPr>
              <w:t>th</w:t>
            </w:r>
            <w:r>
              <w:t xml:space="preserve"> by KMS, and receives the same </w:t>
            </w:r>
            <w:proofErr w:type="spellStart"/>
            <w:r w:rsidRPr="009D28F7">
              <w:rPr>
                <w:b/>
              </w:rPr>
              <w:t>ISIh</w:t>
            </w:r>
            <w:proofErr w:type="spellEnd"/>
            <w:r>
              <w:t xml:space="preserve"> score as 18 academics who failed to produce a single paper in an </w:t>
            </w:r>
            <w:proofErr w:type="spellStart"/>
            <w:r>
              <w:t>Econlit</w:t>
            </w:r>
            <w:proofErr w:type="spellEnd"/>
            <w:r>
              <w:t xml:space="preserve"> listed journal (KMS rank: 135/135).</w:t>
            </w:r>
          </w:p>
          <w:p w:rsidR="00D02ED5" w:rsidRPr="00D02ED5" w:rsidRDefault="009A1613" w:rsidP="000D16A8">
            <w:pPr>
              <w:jc w:val="both"/>
              <w:rPr>
                <w:rFonts w:ascii="Calibri" w:eastAsia="Times New Roman" w:hAnsi="Calibri" w:cs="Calibri"/>
                <w:b/>
                <w:bCs/>
                <w:color w:val="000000"/>
                <w:lang w:val="en-NZ" w:eastAsia="zh-CN"/>
              </w:rPr>
            </w:pPr>
            <w:r>
              <w:t xml:space="preserve">Let us now turn our attention to the impact of </w:t>
            </w:r>
            <w:r w:rsidRPr="009E298C">
              <w:rPr>
                <w:b/>
              </w:rPr>
              <w:t>g</w:t>
            </w:r>
            <w:r>
              <w:t xml:space="preserve"> and </w:t>
            </w:r>
            <w:r w:rsidRPr="009E298C">
              <w:rPr>
                <w:b/>
              </w:rPr>
              <w:t>h</w:t>
            </w:r>
            <w:r>
              <w:t>-index measures on departmental performance.</w:t>
            </w:r>
            <w:r>
              <w:rPr>
                <w:rStyle w:val="FootnoteReference"/>
              </w:rPr>
              <w:footnoteReference w:id="11"/>
            </w:r>
            <w:r>
              <w:t xml:space="preserve">  At this point we must remind the reader that under the PBRF scheme, both absolute and relative performance is important to institutions.  For example, a university’s absolute score is the key variable in determining its share of the research revenue pie, whereas </w:t>
            </w:r>
            <w:proofErr w:type="gramStart"/>
            <w:r>
              <w:t>its</w:t>
            </w:r>
            <w:proofErr w:type="gramEnd"/>
            <w:r>
              <w:t xml:space="preserve"> ranking is the critical factor in the public relations game.  That is, if institution A receives a score of 10, and Institution B receives a score of, say, 5, institution A will claim to be better than B and will receive twice as much funding (everything else being </w:t>
            </w:r>
            <w:r w:rsidR="005B545E">
              <w:lastRenderedPageBreak/>
              <w:t xml:space="preserve">equal).  If however, Institution B were to improve its score to 9 in the next evaluation round, it would still be without bragging rights, but it would now receive 90% as much funding as Institution A (once again, everything else being equal).  Therefore, it is important to look at the impact of </w:t>
            </w:r>
            <w:proofErr w:type="spellStart"/>
            <w:r w:rsidR="005B545E" w:rsidRPr="00EA2CA0">
              <w:rPr>
                <w:b/>
              </w:rPr>
              <w:t>ISIg</w:t>
            </w:r>
            <w:proofErr w:type="spellEnd"/>
            <w:r w:rsidR="005B545E">
              <w:t xml:space="preserve"> and </w:t>
            </w:r>
            <w:proofErr w:type="spellStart"/>
            <w:r w:rsidR="005B545E" w:rsidRPr="00EA2CA0">
              <w:rPr>
                <w:b/>
              </w:rPr>
              <w:t>ISIh</w:t>
            </w:r>
            <w:proofErr w:type="spellEnd"/>
            <w:r w:rsidR="005B545E">
              <w:t xml:space="preserve"> on both cardinal and ordinal performance.</w:t>
            </w:r>
            <w:r w:rsidR="000D16A8" w:rsidRPr="00D02ED5">
              <w:rPr>
                <w:rFonts w:ascii="Calibri" w:eastAsia="Times New Roman" w:hAnsi="Calibri" w:cs="Calibri"/>
                <w:b/>
                <w:bCs/>
                <w:color w:val="000000"/>
                <w:lang w:val="en-NZ" w:eastAsia="zh-CN"/>
              </w:rPr>
              <w:t xml:space="preserve"> </w:t>
            </w:r>
          </w:p>
        </w:tc>
      </w:tr>
      <w:tr w:rsidR="00B83897" w:rsidRPr="00CC6C5A" w:rsidTr="00365D9A">
        <w:trPr>
          <w:trHeight w:val="300"/>
        </w:trPr>
        <w:tc>
          <w:tcPr>
            <w:tcW w:w="9654" w:type="dxa"/>
            <w:gridSpan w:val="22"/>
            <w:tcBorders>
              <w:top w:val="nil"/>
              <w:left w:val="nil"/>
              <w:bottom w:val="nil"/>
              <w:right w:val="nil"/>
            </w:tcBorders>
            <w:shd w:val="clear" w:color="auto" w:fill="auto"/>
            <w:noWrap/>
            <w:vAlign w:val="bottom"/>
            <w:hideMark/>
          </w:tcPr>
          <w:p w:rsidR="00365D9A" w:rsidRDefault="00365D9A" w:rsidP="000D16A8">
            <w:pPr>
              <w:spacing w:after="0" w:line="240" w:lineRule="auto"/>
              <w:jc w:val="center"/>
              <w:rPr>
                <w:rFonts w:ascii="Calibri" w:eastAsia="Times New Roman" w:hAnsi="Calibri" w:cs="Calibri"/>
                <w:b/>
                <w:bCs/>
                <w:color w:val="000000"/>
                <w:lang w:val="en-NZ" w:eastAsia="zh-CN"/>
              </w:rPr>
            </w:pPr>
          </w:p>
          <w:p w:rsidR="000D1827" w:rsidRDefault="005B545E" w:rsidP="000D16A8">
            <w:pPr>
              <w:spacing w:after="0" w:line="240" w:lineRule="auto"/>
              <w:jc w:val="center"/>
              <w:rPr>
                <w:rFonts w:ascii="Calibri" w:eastAsia="Times New Roman" w:hAnsi="Calibri" w:cs="Calibri"/>
                <w:i/>
                <w:iCs/>
                <w:color w:val="000000"/>
                <w:lang w:val="en-NZ" w:eastAsia="zh-CN"/>
              </w:rPr>
            </w:pPr>
            <w:r>
              <w:rPr>
                <w:rFonts w:ascii="Calibri" w:eastAsia="Times New Roman" w:hAnsi="Calibri" w:cs="Calibri"/>
                <w:b/>
                <w:bCs/>
                <w:color w:val="000000"/>
                <w:lang w:val="en-NZ" w:eastAsia="zh-CN"/>
              </w:rPr>
              <w:br/>
            </w:r>
            <w:r w:rsidR="00B83897" w:rsidRPr="00CC6C5A">
              <w:rPr>
                <w:rFonts w:ascii="Calibri" w:eastAsia="Times New Roman" w:hAnsi="Calibri" w:cs="Calibri"/>
                <w:b/>
                <w:bCs/>
                <w:color w:val="000000"/>
                <w:lang w:val="en-NZ" w:eastAsia="zh-CN"/>
              </w:rPr>
              <w:t>Table 5</w:t>
            </w:r>
            <w:r w:rsidR="00B83897">
              <w:rPr>
                <w:rFonts w:ascii="Calibri" w:eastAsia="Times New Roman" w:hAnsi="Calibri" w:cs="Calibri"/>
                <w:b/>
                <w:bCs/>
                <w:color w:val="000000"/>
                <w:lang w:val="en-NZ" w:eastAsia="zh-CN"/>
              </w:rPr>
              <w:t>.</w:t>
            </w:r>
            <w:r w:rsidR="00B83897" w:rsidRPr="00CC6C5A">
              <w:rPr>
                <w:rFonts w:ascii="Calibri" w:eastAsia="Times New Roman" w:hAnsi="Calibri" w:cs="Calibri"/>
                <w:b/>
                <w:bCs/>
                <w:color w:val="000000"/>
                <w:lang w:val="en-NZ" w:eastAsia="zh-CN"/>
              </w:rPr>
              <w:t xml:space="preserve"> </w:t>
            </w:r>
            <w:r w:rsidR="00B83897" w:rsidRPr="0006044B">
              <w:rPr>
                <w:rFonts w:ascii="Calibri" w:eastAsia="Times New Roman" w:hAnsi="Calibri" w:cs="Calibri"/>
                <w:i/>
                <w:iCs/>
                <w:color w:val="000000"/>
                <w:lang w:val="en-NZ" w:eastAsia="zh-CN"/>
              </w:rPr>
              <w:t>Rank by Various Output Measures of Top30 ISI S</w:t>
            </w:r>
            <w:r w:rsidR="000D1827">
              <w:rPr>
                <w:rFonts w:ascii="Calibri" w:eastAsia="Times New Roman" w:hAnsi="Calibri" w:cs="Calibri"/>
                <w:i/>
                <w:iCs/>
                <w:color w:val="000000"/>
                <w:lang w:val="en-NZ" w:eastAsia="zh-CN"/>
              </w:rPr>
              <w:t>hare Adjusted Cites Performers</w:t>
            </w:r>
          </w:p>
          <w:p w:rsidR="00B83897" w:rsidRPr="00CC6C5A" w:rsidRDefault="00B83897" w:rsidP="000D16A8">
            <w:pPr>
              <w:spacing w:after="0" w:line="240" w:lineRule="auto"/>
              <w:jc w:val="center"/>
              <w:rPr>
                <w:rFonts w:ascii="Calibri" w:eastAsia="Times New Roman" w:hAnsi="Calibri" w:cs="Calibri"/>
                <w:b/>
                <w:bCs/>
                <w:color w:val="000000"/>
                <w:lang w:val="en-NZ" w:eastAsia="zh-CN"/>
              </w:rPr>
            </w:pPr>
            <w:r w:rsidRPr="0006044B">
              <w:rPr>
                <w:rFonts w:ascii="Calibri" w:eastAsia="Times New Roman" w:hAnsi="Calibri" w:cs="Calibri"/>
                <w:i/>
                <w:iCs/>
                <w:color w:val="000000"/>
                <w:lang w:val="en-NZ" w:eastAsia="zh-CN"/>
              </w:rPr>
              <w:t>2003-2008</w:t>
            </w:r>
          </w:p>
        </w:tc>
        <w:tc>
          <w:tcPr>
            <w:tcW w:w="1120" w:type="dxa"/>
            <w:gridSpan w:val="4"/>
            <w:tcBorders>
              <w:top w:val="nil"/>
              <w:left w:val="nil"/>
              <w:bottom w:val="nil"/>
              <w:right w:val="nil"/>
            </w:tcBorders>
            <w:shd w:val="clear" w:color="auto" w:fill="auto"/>
            <w:noWrap/>
            <w:vAlign w:val="bottom"/>
            <w:hideMark/>
          </w:tcPr>
          <w:p w:rsidR="00B83897" w:rsidRDefault="00B83897" w:rsidP="00786AA4">
            <w:pPr>
              <w:spacing w:after="0" w:line="240" w:lineRule="auto"/>
              <w:jc w:val="both"/>
              <w:rPr>
                <w:rFonts w:ascii="Calibri" w:eastAsia="Times New Roman" w:hAnsi="Calibri" w:cs="Calibri"/>
                <w:color w:val="000000"/>
                <w:lang w:val="en-NZ" w:eastAsia="zh-CN"/>
              </w:rPr>
            </w:pPr>
          </w:p>
          <w:p w:rsidR="00365D9A" w:rsidRDefault="00365D9A" w:rsidP="00786AA4">
            <w:pPr>
              <w:spacing w:after="0" w:line="240" w:lineRule="auto"/>
              <w:jc w:val="both"/>
              <w:rPr>
                <w:rFonts w:ascii="Calibri" w:eastAsia="Times New Roman" w:hAnsi="Calibri" w:cs="Calibri"/>
                <w:color w:val="000000"/>
                <w:lang w:val="en-NZ" w:eastAsia="zh-CN"/>
              </w:rPr>
            </w:pPr>
          </w:p>
          <w:p w:rsidR="00365D9A" w:rsidRPr="00CC6C5A" w:rsidRDefault="00365D9A" w:rsidP="00786AA4">
            <w:pPr>
              <w:spacing w:after="0" w:line="240" w:lineRule="auto"/>
              <w:jc w:val="both"/>
              <w:rPr>
                <w:rFonts w:ascii="Calibri" w:eastAsia="Times New Roman" w:hAnsi="Calibri" w:cs="Calibri"/>
                <w:color w:val="000000"/>
                <w:lang w:val="en-NZ" w:eastAsia="zh-CN"/>
              </w:rPr>
            </w:pPr>
          </w:p>
        </w:tc>
      </w:tr>
      <w:tr w:rsidR="00B83897" w:rsidRPr="00CC6C5A" w:rsidTr="00365D9A">
        <w:trPr>
          <w:gridAfter w:val="1"/>
          <w:wAfter w:w="334" w:type="dxa"/>
          <w:trHeight w:val="300"/>
        </w:trPr>
        <w:tc>
          <w:tcPr>
            <w:tcW w:w="2156" w:type="dxa"/>
            <w:gridSpan w:val="4"/>
            <w:tcBorders>
              <w:top w:val="single" w:sz="4" w:space="0" w:color="auto"/>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b/>
                <w:bCs/>
                <w:color w:val="000000"/>
                <w:lang w:val="en-NZ" w:eastAsia="zh-CN"/>
              </w:rPr>
            </w:pPr>
            <w:r w:rsidRPr="00CC6C5A">
              <w:rPr>
                <w:rFonts w:ascii="Calibri" w:eastAsia="Times New Roman" w:hAnsi="Calibri" w:cs="Calibri"/>
                <w:b/>
                <w:bCs/>
                <w:color w:val="000000"/>
                <w:lang w:val="en-NZ" w:eastAsia="zh-CN"/>
              </w:rPr>
              <w:t>Researcher ID</w:t>
            </w:r>
          </w:p>
        </w:tc>
        <w:tc>
          <w:tcPr>
            <w:tcW w:w="1908" w:type="dxa"/>
            <w:gridSpan w:val="2"/>
            <w:tcBorders>
              <w:top w:val="single" w:sz="4" w:space="0" w:color="auto"/>
              <w:left w:val="nil"/>
              <w:bottom w:val="single" w:sz="4" w:space="0" w:color="auto"/>
              <w:right w:val="nil"/>
            </w:tcBorders>
            <w:shd w:val="clear" w:color="auto" w:fill="auto"/>
            <w:vAlign w:val="bottom"/>
            <w:hideMark/>
          </w:tcPr>
          <w:p w:rsidR="00B83897" w:rsidRPr="00CC6C5A" w:rsidRDefault="00B83897" w:rsidP="00786AA4">
            <w:pPr>
              <w:spacing w:after="0" w:line="240" w:lineRule="auto"/>
              <w:jc w:val="both"/>
              <w:rPr>
                <w:rFonts w:ascii="Arial" w:eastAsia="Times New Roman" w:hAnsi="Arial" w:cs="Arial"/>
                <w:b/>
                <w:bCs/>
                <w:sz w:val="20"/>
                <w:szCs w:val="20"/>
                <w:lang w:val="en-NZ" w:eastAsia="zh-CN"/>
              </w:rPr>
            </w:pPr>
            <w:r w:rsidRPr="00CC6C5A">
              <w:rPr>
                <w:rFonts w:ascii="Arial" w:eastAsia="Times New Roman" w:hAnsi="Arial" w:cs="Arial"/>
                <w:b/>
                <w:bCs/>
                <w:sz w:val="20"/>
                <w:szCs w:val="20"/>
                <w:lang w:val="en-NZ" w:eastAsia="zh-CN"/>
              </w:rPr>
              <w:t xml:space="preserve">ISI </w:t>
            </w:r>
            <w:proofErr w:type="spellStart"/>
            <w:r w:rsidRPr="00CC6C5A">
              <w:rPr>
                <w:rFonts w:ascii="Arial" w:eastAsia="Times New Roman" w:hAnsi="Arial" w:cs="Arial"/>
                <w:b/>
                <w:bCs/>
                <w:sz w:val="20"/>
                <w:szCs w:val="20"/>
                <w:lang w:val="en-NZ" w:eastAsia="zh-CN"/>
              </w:rPr>
              <w:t>Shadj</w:t>
            </w:r>
            <w:proofErr w:type="spellEnd"/>
            <w:r w:rsidRPr="00CC6C5A">
              <w:rPr>
                <w:rFonts w:ascii="Arial" w:eastAsia="Times New Roman" w:hAnsi="Arial" w:cs="Arial"/>
                <w:b/>
                <w:bCs/>
                <w:sz w:val="20"/>
                <w:szCs w:val="20"/>
                <w:lang w:val="en-NZ" w:eastAsia="zh-CN"/>
              </w:rPr>
              <w:t xml:space="preserve"> Cites</w:t>
            </w:r>
          </w:p>
        </w:tc>
        <w:tc>
          <w:tcPr>
            <w:tcW w:w="1475" w:type="dxa"/>
            <w:gridSpan w:val="5"/>
            <w:tcBorders>
              <w:top w:val="single" w:sz="4" w:space="0" w:color="auto"/>
              <w:left w:val="nil"/>
              <w:bottom w:val="single" w:sz="4" w:space="0" w:color="auto"/>
              <w:right w:val="nil"/>
            </w:tcBorders>
            <w:shd w:val="clear" w:color="auto" w:fill="auto"/>
            <w:vAlign w:val="bottom"/>
            <w:hideMark/>
          </w:tcPr>
          <w:p w:rsidR="00B83897" w:rsidRPr="00CC6C5A" w:rsidRDefault="00B83897" w:rsidP="00786AA4">
            <w:pPr>
              <w:spacing w:after="0" w:line="240" w:lineRule="auto"/>
              <w:jc w:val="both"/>
              <w:rPr>
                <w:rFonts w:ascii="Arial" w:eastAsia="Times New Roman" w:hAnsi="Arial" w:cs="Arial"/>
                <w:b/>
                <w:bCs/>
                <w:sz w:val="20"/>
                <w:szCs w:val="20"/>
                <w:lang w:val="en-NZ" w:eastAsia="zh-CN"/>
              </w:rPr>
            </w:pPr>
            <w:r w:rsidRPr="00CC6C5A">
              <w:rPr>
                <w:rFonts w:ascii="Arial" w:eastAsia="Times New Roman" w:hAnsi="Arial" w:cs="Arial"/>
                <w:b/>
                <w:bCs/>
                <w:sz w:val="20"/>
                <w:szCs w:val="20"/>
                <w:lang w:val="en-NZ" w:eastAsia="zh-CN"/>
              </w:rPr>
              <w:t xml:space="preserve">ISI </w:t>
            </w:r>
            <w:proofErr w:type="spellStart"/>
            <w:r w:rsidRPr="00CC6C5A">
              <w:rPr>
                <w:rFonts w:ascii="Arial" w:eastAsia="Times New Roman" w:hAnsi="Arial" w:cs="Arial"/>
                <w:b/>
                <w:bCs/>
                <w:sz w:val="20"/>
                <w:szCs w:val="20"/>
                <w:lang w:val="en-NZ" w:eastAsia="zh-CN"/>
              </w:rPr>
              <w:t>Shadj</w:t>
            </w:r>
            <w:proofErr w:type="spellEnd"/>
            <w:r w:rsidRPr="00CC6C5A">
              <w:rPr>
                <w:rFonts w:ascii="Arial" w:eastAsia="Times New Roman" w:hAnsi="Arial" w:cs="Arial"/>
                <w:b/>
                <w:bCs/>
                <w:sz w:val="20"/>
                <w:szCs w:val="20"/>
                <w:lang w:val="en-NZ" w:eastAsia="zh-CN"/>
              </w:rPr>
              <w:t xml:space="preserve"> g</w:t>
            </w:r>
          </w:p>
        </w:tc>
        <w:tc>
          <w:tcPr>
            <w:tcW w:w="1457" w:type="dxa"/>
            <w:gridSpan w:val="3"/>
            <w:tcBorders>
              <w:top w:val="single" w:sz="4" w:space="0" w:color="auto"/>
              <w:left w:val="nil"/>
              <w:bottom w:val="single" w:sz="4" w:space="0" w:color="auto"/>
              <w:right w:val="nil"/>
            </w:tcBorders>
            <w:shd w:val="clear" w:color="auto" w:fill="auto"/>
            <w:vAlign w:val="bottom"/>
            <w:hideMark/>
          </w:tcPr>
          <w:p w:rsidR="00B83897" w:rsidRPr="00CC6C5A" w:rsidRDefault="00B83897" w:rsidP="00786AA4">
            <w:pPr>
              <w:spacing w:after="0" w:line="240" w:lineRule="auto"/>
              <w:jc w:val="both"/>
              <w:rPr>
                <w:rFonts w:ascii="Arial" w:eastAsia="Times New Roman" w:hAnsi="Arial" w:cs="Arial"/>
                <w:b/>
                <w:bCs/>
                <w:sz w:val="20"/>
                <w:szCs w:val="20"/>
                <w:lang w:val="en-NZ" w:eastAsia="zh-CN"/>
              </w:rPr>
            </w:pPr>
            <w:r w:rsidRPr="00CC6C5A">
              <w:rPr>
                <w:rFonts w:ascii="Arial" w:eastAsia="Times New Roman" w:hAnsi="Arial" w:cs="Arial"/>
                <w:b/>
                <w:bCs/>
                <w:sz w:val="20"/>
                <w:szCs w:val="20"/>
                <w:lang w:val="en-NZ" w:eastAsia="zh-CN"/>
              </w:rPr>
              <w:t xml:space="preserve">ISI </w:t>
            </w:r>
            <w:proofErr w:type="spellStart"/>
            <w:r w:rsidRPr="00CC6C5A">
              <w:rPr>
                <w:rFonts w:ascii="Arial" w:eastAsia="Times New Roman" w:hAnsi="Arial" w:cs="Arial"/>
                <w:b/>
                <w:bCs/>
                <w:sz w:val="20"/>
                <w:szCs w:val="20"/>
                <w:lang w:val="en-NZ" w:eastAsia="zh-CN"/>
              </w:rPr>
              <w:t>shadj</w:t>
            </w:r>
            <w:proofErr w:type="spellEnd"/>
            <w:r w:rsidRPr="00CC6C5A">
              <w:rPr>
                <w:rFonts w:ascii="Arial" w:eastAsia="Times New Roman" w:hAnsi="Arial" w:cs="Arial"/>
                <w:b/>
                <w:bCs/>
                <w:sz w:val="20"/>
                <w:szCs w:val="20"/>
                <w:lang w:val="en-NZ" w:eastAsia="zh-CN"/>
              </w:rPr>
              <w:t xml:space="preserve"> h</w:t>
            </w:r>
          </w:p>
        </w:tc>
        <w:tc>
          <w:tcPr>
            <w:tcW w:w="1095" w:type="dxa"/>
            <w:gridSpan w:val="3"/>
            <w:tcBorders>
              <w:top w:val="single" w:sz="4" w:space="0" w:color="auto"/>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b/>
                <w:bCs/>
                <w:color w:val="000000"/>
                <w:lang w:val="en-NZ" w:eastAsia="zh-CN"/>
              </w:rPr>
            </w:pPr>
            <w:r w:rsidRPr="00CC6C5A">
              <w:rPr>
                <w:rFonts w:ascii="Calibri" w:eastAsia="Times New Roman" w:hAnsi="Calibri" w:cs="Calibri"/>
                <w:b/>
                <w:bCs/>
                <w:color w:val="000000"/>
                <w:lang w:val="en-NZ" w:eastAsia="zh-CN"/>
              </w:rPr>
              <w:t>EQUAL</w:t>
            </w:r>
          </w:p>
        </w:tc>
        <w:tc>
          <w:tcPr>
            <w:tcW w:w="657" w:type="dxa"/>
            <w:gridSpan w:val="2"/>
            <w:tcBorders>
              <w:top w:val="single" w:sz="4" w:space="0" w:color="auto"/>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b/>
                <w:bCs/>
                <w:color w:val="000000"/>
                <w:lang w:val="en-NZ" w:eastAsia="zh-CN"/>
              </w:rPr>
            </w:pPr>
            <w:r w:rsidRPr="00CC6C5A">
              <w:rPr>
                <w:rFonts w:ascii="Calibri" w:eastAsia="Times New Roman" w:hAnsi="Calibri" w:cs="Calibri"/>
                <w:b/>
                <w:bCs/>
                <w:color w:val="000000"/>
                <w:lang w:val="en-NZ" w:eastAsia="zh-CN"/>
              </w:rPr>
              <w:t>ERA</w:t>
            </w:r>
          </w:p>
        </w:tc>
        <w:tc>
          <w:tcPr>
            <w:tcW w:w="572" w:type="dxa"/>
            <w:gridSpan w:val="2"/>
            <w:tcBorders>
              <w:top w:val="single" w:sz="4" w:space="0" w:color="auto"/>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b/>
                <w:bCs/>
                <w:color w:val="000000"/>
                <w:lang w:val="en-NZ" w:eastAsia="zh-CN"/>
              </w:rPr>
            </w:pPr>
            <w:r w:rsidRPr="00CC6C5A">
              <w:rPr>
                <w:rFonts w:ascii="Calibri" w:eastAsia="Times New Roman" w:hAnsi="Calibri" w:cs="Calibri"/>
                <w:b/>
                <w:bCs/>
                <w:color w:val="000000"/>
                <w:lang w:val="en-NZ" w:eastAsia="zh-CN"/>
              </w:rPr>
              <w:t>JCR</w:t>
            </w:r>
          </w:p>
        </w:tc>
        <w:tc>
          <w:tcPr>
            <w:tcW w:w="1120" w:type="dxa"/>
            <w:gridSpan w:val="4"/>
            <w:tcBorders>
              <w:top w:val="single" w:sz="4" w:space="0" w:color="auto"/>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b/>
                <w:bCs/>
                <w:color w:val="000000"/>
                <w:lang w:val="en-NZ" w:eastAsia="zh-CN"/>
              </w:rPr>
            </w:pPr>
            <w:r w:rsidRPr="00CC6C5A">
              <w:rPr>
                <w:rFonts w:ascii="Calibri" w:eastAsia="Times New Roman" w:hAnsi="Calibri" w:cs="Calibri"/>
                <w:b/>
                <w:bCs/>
                <w:color w:val="000000"/>
                <w:lang w:val="en-NZ" w:eastAsia="zh-CN"/>
              </w:rPr>
              <w:t>KMS</w:t>
            </w:r>
          </w:p>
        </w:tc>
      </w:tr>
      <w:tr w:rsidR="00B83897" w:rsidRPr="00CC6C5A" w:rsidTr="00365D9A">
        <w:trPr>
          <w:gridAfter w:val="1"/>
          <w:wAfter w:w="334" w:type="dxa"/>
          <w:trHeight w:val="300"/>
        </w:trPr>
        <w:tc>
          <w:tcPr>
            <w:tcW w:w="2156" w:type="dxa"/>
            <w:gridSpan w:val="4"/>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R1</w:t>
            </w:r>
          </w:p>
        </w:tc>
        <w:tc>
          <w:tcPr>
            <w:tcW w:w="1908" w:type="dxa"/>
            <w:gridSpan w:val="2"/>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w:t>
            </w:r>
          </w:p>
        </w:tc>
        <w:tc>
          <w:tcPr>
            <w:tcW w:w="1475" w:type="dxa"/>
            <w:gridSpan w:val="5"/>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w:t>
            </w:r>
          </w:p>
        </w:tc>
        <w:tc>
          <w:tcPr>
            <w:tcW w:w="1457" w:type="dxa"/>
            <w:gridSpan w:val="3"/>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w:t>
            </w:r>
          </w:p>
        </w:tc>
        <w:tc>
          <w:tcPr>
            <w:tcW w:w="1095" w:type="dxa"/>
            <w:gridSpan w:val="3"/>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w:t>
            </w:r>
          </w:p>
        </w:tc>
        <w:tc>
          <w:tcPr>
            <w:tcW w:w="657" w:type="dxa"/>
            <w:gridSpan w:val="2"/>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w:t>
            </w:r>
          </w:p>
        </w:tc>
        <w:tc>
          <w:tcPr>
            <w:tcW w:w="572" w:type="dxa"/>
            <w:gridSpan w:val="2"/>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6</w:t>
            </w:r>
          </w:p>
        </w:tc>
        <w:tc>
          <w:tcPr>
            <w:tcW w:w="1120" w:type="dxa"/>
            <w:gridSpan w:val="4"/>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23</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R2</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6</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7</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R3</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7</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9</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R4</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9</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6</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R5</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R6</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6</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42</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28</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28</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6</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R7</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7</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7</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5</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5</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R8</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7</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40</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43</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39</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25</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R9</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9</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12</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12</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18</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R10</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10</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9</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12</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9</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15</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7</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R11</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11</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9</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29</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31</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27</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R12</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12</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9</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30</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16</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5</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R13</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12</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9</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19</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21</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16</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22</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R14</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14</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39</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26</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25</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41</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R15</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15</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25</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15</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5</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R16</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16</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28</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32</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28</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R17</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17</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35</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49</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35</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34</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R18</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18</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50</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46</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23</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11</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R19</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19</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17</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18</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30</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38</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R20</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18</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22</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19</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53</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R21</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21</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28</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61</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67</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63</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49</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R22</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22</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11</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27</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47</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R23</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23</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63</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60</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40</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60</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R24</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23</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7</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10</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29</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29</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R25</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25</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46</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35</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24</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17</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R26</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25</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37</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27</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36</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44</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R27</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27</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74</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74</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50</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59</w:t>
            </w:r>
          </w:p>
        </w:tc>
      </w:tr>
      <w:tr w:rsidR="00B83897" w:rsidRPr="00CC6C5A" w:rsidTr="00365D9A">
        <w:trPr>
          <w:gridAfter w:val="1"/>
          <w:wAfter w:w="334" w:type="dxa"/>
          <w:trHeight w:val="300"/>
        </w:trPr>
        <w:tc>
          <w:tcPr>
            <w:tcW w:w="2156"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R28</w:t>
            </w:r>
          </w:p>
        </w:tc>
        <w:tc>
          <w:tcPr>
            <w:tcW w:w="1908"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28</w:t>
            </w:r>
          </w:p>
        </w:tc>
        <w:tc>
          <w:tcPr>
            <w:tcW w:w="1475" w:type="dxa"/>
            <w:gridSpan w:val="5"/>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095" w:type="dxa"/>
            <w:gridSpan w:val="3"/>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52</w:t>
            </w:r>
          </w:p>
        </w:tc>
        <w:tc>
          <w:tcPr>
            <w:tcW w:w="657"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30</w:t>
            </w:r>
          </w:p>
        </w:tc>
        <w:tc>
          <w:tcPr>
            <w:tcW w:w="572" w:type="dxa"/>
            <w:gridSpan w:val="2"/>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17</w:t>
            </w:r>
          </w:p>
        </w:tc>
        <w:tc>
          <w:tcPr>
            <w:tcW w:w="1120" w:type="dxa"/>
            <w:gridSpan w:val="4"/>
            <w:tcBorders>
              <w:top w:val="nil"/>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10</w:t>
            </w:r>
          </w:p>
        </w:tc>
      </w:tr>
      <w:tr w:rsidR="00B83897" w:rsidRPr="00CC6C5A" w:rsidTr="00365D9A">
        <w:trPr>
          <w:gridAfter w:val="1"/>
          <w:wAfter w:w="334" w:type="dxa"/>
          <w:trHeight w:val="300"/>
        </w:trPr>
        <w:tc>
          <w:tcPr>
            <w:tcW w:w="2156" w:type="dxa"/>
            <w:gridSpan w:val="4"/>
            <w:tcBorders>
              <w:top w:val="nil"/>
              <w:left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R29</w:t>
            </w:r>
          </w:p>
        </w:tc>
        <w:tc>
          <w:tcPr>
            <w:tcW w:w="1908" w:type="dxa"/>
            <w:gridSpan w:val="2"/>
            <w:tcBorders>
              <w:top w:val="nil"/>
              <w:left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28</w:t>
            </w:r>
          </w:p>
        </w:tc>
        <w:tc>
          <w:tcPr>
            <w:tcW w:w="1475" w:type="dxa"/>
            <w:gridSpan w:val="5"/>
            <w:tcBorders>
              <w:top w:val="nil"/>
              <w:left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28</w:t>
            </w:r>
          </w:p>
        </w:tc>
        <w:tc>
          <w:tcPr>
            <w:tcW w:w="1457" w:type="dxa"/>
            <w:gridSpan w:val="3"/>
            <w:tcBorders>
              <w:top w:val="nil"/>
              <w:left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20</w:t>
            </w:r>
          </w:p>
        </w:tc>
        <w:tc>
          <w:tcPr>
            <w:tcW w:w="1095" w:type="dxa"/>
            <w:gridSpan w:val="3"/>
            <w:tcBorders>
              <w:top w:val="nil"/>
              <w:left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28</w:t>
            </w:r>
          </w:p>
        </w:tc>
        <w:tc>
          <w:tcPr>
            <w:tcW w:w="657" w:type="dxa"/>
            <w:gridSpan w:val="2"/>
            <w:tcBorders>
              <w:top w:val="nil"/>
              <w:left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23</w:t>
            </w:r>
          </w:p>
        </w:tc>
        <w:tc>
          <w:tcPr>
            <w:tcW w:w="572" w:type="dxa"/>
            <w:gridSpan w:val="2"/>
            <w:tcBorders>
              <w:top w:val="nil"/>
              <w:left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21</w:t>
            </w:r>
          </w:p>
        </w:tc>
        <w:tc>
          <w:tcPr>
            <w:tcW w:w="1120" w:type="dxa"/>
            <w:gridSpan w:val="4"/>
            <w:tcBorders>
              <w:top w:val="nil"/>
              <w:left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14</w:t>
            </w:r>
          </w:p>
        </w:tc>
      </w:tr>
      <w:tr w:rsidR="00B83897" w:rsidRPr="00CC6C5A" w:rsidTr="00365D9A">
        <w:trPr>
          <w:gridAfter w:val="1"/>
          <w:wAfter w:w="334" w:type="dxa"/>
          <w:trHeight w:val="300"/>
        </w:trPr>
        <w:tc>
          <w:tcPr>
            <w:tcW w:w="2156" w:type="dxa"/>
            <w:gridSpan w:val="4"/>
            <w:tcBorders>
              <w:top w:val="nil"/>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R30</w:t>
            </w:r>
          </w:p>
        </w:tc>
        <w:tc>
          <w:tcPr>
            <w:tcW w:w="1908" w:type="dxa"/>
            <w:gridSpan w:val="2"/>
            <w:tcBorders>
              <w:top w:val="nil"/>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30</w:t>
            </w:r>
          </w:p>
        </w:tc>
        <w:tc>
          <w:tcPr>
            <w:tcW w:w="1475" w:type="dxa"/>
            <w:gridSpan w:val="5"/>
            <w:tcBorders>
              <w:top w:val="nil"/>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13</w:t>
            </w:r>
          </w:p>
        </w:tc>
        <w:tc>
          <w:tcPr>
            <w:tcW w:w="1457" w:type="dxa"/>
            <w:gridSpan w:val="3"/>
            <w:tcBorders>
              <w:top w:val="nil"/>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8</w:t>
            </w:r>
          </w:p>
        </w:tc>
        <w:tc>
          <w:tcPr>
            <w:tcW w:w="1095" w:type="dxa"/>
            <w:gridSpan w:val="3"/>
            <w:tcBorders>
              <w:top w:val="nil"/>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26</w:t>
            </w:r>
          </w:p>
        </w:tc>
        <w:tc>
          <w:tcPr>
            <w:tcW w:w="657" w:type="dxa"/>
            <w:gridSpan w:val="2"/>
            <w:tcBorders>
              <w:top w:val="nil"/>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19</w:t>
            </w:r>
          </w:p>
        </w:tc>
        <w:tc>
          <w:tcPr>
            <w:tcW w:w="572" w:type="dxa"/>
            <w:gridSpan w:val="2"/>
            <w:tcBorders>
              <w:top w:val="nil"/>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11</w:t>
            </w:r>
          </w:p>
        </w:tc>
        <w:tc>
          <w:tcPr>
            <w:tcW w:w="1120" w:type="dxa"/>
            <w:gridSpan w:val="4"/>
            <w:tcBorders>
              <w:top w:val="nil"/>
              <w:left w:val="nil"/>
              <w:bottom w:val="single" w:sz="4" w:space="0" w:color="auto"/>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r w:rsidRPr="00CC6C5A">
              <w:rPr>
                <w:rFonts w:ascii="Calibri" w:eastAsia="Times New Roman" w:hAnsi="Calibri" w:cs="Calibri"/>
                <w:color w:val="000000"/>
                <w:lang w:val="en-NZ" w:eastAsia="zh-CN"/>
              </w:rPr>
              <w:t>19</w:t>
            </w:r>
          </w:p>
        </w:tc>
      </w:tr>
      <w:tr w:rsidR="00B83897" w:rsidRPr="00CC6C5A" w:rsidTr="00365D9A">
        <w:trPr>
          <w:gridAfter w:val="1"/>
          <w:wAfter w:w="334" w:type="dxa"/>
          <w:trHeight w:val="300"/>
        </w:trPr>
        <w:tc>
          <w:tcPr>
            <w:tcW w:w="8091" w:type="dxa"/>
            <w:gridSpan w:val="17"/>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sz w:val="16"/>
                <w:szCs w:val="16"/>
                <w:lang w:val="en-NZ" w:eastAsia="zh-CN"/>
              </w:rPr>
            </w:pPr>
            <w:r w:rsidRPr="00CC6C5A">
              <w:rPr>
                <w:rFonts w:ascii="Calibri" w:eastAsia="Times New Roman" w:hAnsi="Calibri" w:cs="Calibri"/>
                <w:i/>
                <w:iCs/>
                <w:color w:val="000000"/>
                <w:sz w:val="16"/>
                <w:szCs w:val="16"/>
                <w:lang w:val="en-NZ" w:eastAsia="zh-CN"/>
              </w:rPr>
              <w:t>Note1:</w:t>
            </w:r>
            <w:r w:rsidRPr="00CC6C5A">
              <w:rPr>
                <w:rFonts w:ascii="Calibri" w:eastAsia="Times New Roman" w:hAnsi="Calibri" w:cs="Calibri"/>
                <w:color w:val="000000"/>
                <w:sz w:val="16"/>
                <w:szCs w:val="16"/>
                <w:lang w:val="en-NZ" w:eastAsia="zh-CN"/>
              </w:rPr>
              <w:t xml:space="preserve"> Citations collected over the period 1 January 2003 to 31 December 2010 </w:t>
            </w:r>
          </w:p>
          <w:p w:rsidR="00B83897" w:rsidRDefault="00B83897" w:rsidP="00786AA4">
            <w:pPr>
              <w:spacing w:after="0" w:line="240" w:lineRule="auto"/>
              <w:jc w:val="both"/>
              <w:rPr>
                <w:rFonts w:ascii="Calibri" w:eastAsia="Times New Roman" w:hAnsi="Calibri" w:cs="Calibri"/>
                <w:color w:val="000000"/>
                <w:sz w:val="16"/>
                <w:szCs w:val="16"/>
                <w:lang w:val="en-NZ" w:eastAsia="zh-CN"/>
              </w:rPr>
            </w:pPr>
            <w:r w:rsidRPr="00CC6C5A">
              <w:rPr>
                <w:rFonts w:ascii="Calibri" w:eastAsia="Times New Roman" w:hAnsi="Calibri" w:cs="Calibri"/>
                <w:i/>
                <w:iCs/>
                <w:color w:val="000000"/>
                <w:sz w:val="16"/>
                <w:szCs w:val="16"/>
                <w:lang w:val="en-NZ" w:eastAsia="zh-CN"/>
              </w:rPr>
              <w:t>Note2:</w:t>
            </w:r>
            <w:r w:rsidRPr="00CC6C5A">
              <w:rPr>
                <w:rFonts w:ascii="Calibri" w:eastAsia="Times New Roman" w:hAnsi="Calibri" w:cs="Calibri"/>
                <w:color w:val="000000"/>
                <w:sz w:val="16"/>
                <w:szCs w:val="16"/>
                <w:lang w:val="en-NZ" w:eastAsia="zh-CN"/>
              </w:rPr>
              <w:t xml:space="preserve"> Academic Staff with 6 or more experience as at 31 December 2008</w:t>
            </w:r>
          </w:p>
          <w:p w:rsidR="009A1613" w:rsidRDefault="009A1613" w:rsidP="00786AA4">
            <w:pPr>
              <w:spacing w:after="0" w:line="240" w:lineRule="auto"/>
              <w:jc w:val="both"/>
              <w:rPr>
                <w:rFonts w:ascii="Calibri" w:eastAsia="Times New Roman" w:hAnsi="Calibri" w:cs="Calibri"/>
                <w:color w:val="000000"/>
                <w:sz w:val="16"/>
                <w:szCs w:val="16"/>
                <w:lang w:val="en-NZ" w:eastAsia="zh-CN"/>
              </w:rPr>
            </w:pPr>
          </w:p>
          <w:p w:rsidR="009A1613" w:rsidRDefault="009A1613" w:rsidP="00786AA4">
            <w:pPr>
              <w:spacing w:after="0" w:line="240" w:lineRule="auto"/>
              <w:jc w:val="both"/>
              <w:rPr>
                <w:rFonts w:ascii="Calibri" w:eastAsia="Times New Roman" w:hAnsi="Calibri" w:cs="Calibri"/>
                <w:color w:val="000000"/>
                <w:sz w:val="16"/>
                <w:szCs w:val="16"/>
                <w:lang w:val="en-NZ" w:eastAsia="zh-CN"/>
              </w:rPr>
            </w:pPr>
          </w:p>
          <w:p w:rsidR="009A1613" w:rsidRDefault="009A1613" w:rsidP="00786AA4">
            <w:pPr>
              <w:spacing w:after="0" w:line="240" w:lineRule="auto"/>
              <w:jc w:val="both"/>
              <w:rPr>
                <w:rFonts w:ascii="Calibri" w:eastAsia="Times New Roman" w:hAnsi="Calibri" w:cs="Calibri"/>
                <w:b/>
                <w:bCs/>
                <w:color w:val="000000"/>
                <w:sz w:val="16"/>
                <w:szCs w:val="16"/>
                <w:lang w:val="en-NZ" w:eastAsia="zh-CN"/>
              </w:rPr>
            </w:pPr>
          </w:p>
          <w:p w:rsidR="000D16A8" w:rsidRDefault="000D16A8" w:rsidP="00786AA4">
            <w:pPr>
              <w:spacing w:after="0" w:line="240" w:lineRule="auto"/>
              <w:jc w:val="both"/>
              <w:rPr>
                <w:rFonts w:ascii="Calibri" w:eastAsia="Times New Roman" w:hAnsi="Calibri" w:cs="Calibri"/>
                <w:b/>
                <w:bCs/>
                <w:color w:val="000000"/>
                <w:sz w:val="16"/>
                <w:szCs w:val="16"/>
                <w:lang w:val="en-NZ" w:eastAsia="zh-CN"/>
              </w:rPr>
            </w:pPr>
          </w:p>
          <w:p w:rsidR="00365D9A" w:rsidRPr="00CC6C5A" w:rsidRDefault="00365D9A" w:rsidP="00786AA4">
            <w:pPr>
              <w:spacing w:after="0" w:line="240" w:lineRule="auto"/>
              <w:jc w:val="both"/>
              <w:rPr>
                <w:rFonts w:ascii="Calibri" w:eastAsia="Times New Roman" w:hAnsi="Calibri" w:cs="Calibri"/>
                <w:b/>
                <w:bCs/>
                <w:color w:val="000000"/>
                <w:sz w:val="16"/>
                <w:szCs w:val="16"/>
                <w:lang w:val="en-NZ" w:eastAsia="zh-CN"/>
              </w:rPr>
            </w:pPr>
          </w:p>
        </w:tc>
        <w:tc>
          <w:tcPr>
            <w:tcW w:w="657" w:type="dxa"/>
            <w:gridSpan w:val="2"/>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p>
        </w:tc>
        <w:tc>
          <w:tcPr>
            <w:tcW w:w="572" w:type="dxa"/>
            <w:gridSpan w:val="2"/>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single" w:sz="4" w:space="0" w:color="auto"/>
              <w:left w:val="nil"/>
              <w:bottom w:val="nil"/>
              <w:right w:val="nil"/>
            </w:tcBorders>
            <w:shd w:val="clear" w:color="auto" w:fill="auto"/>
            <w:noWrap/>
            <w:vAlign w:val="bottom"/>
            <w:hideMark/>
          </w:tcPr>
          <w:p w:rsidR="00B83897" w:rsidRPr="00CC6C5A" w:rsidRDefault="00B838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9914" w:type="dxa"/>
            <w:gridSpan w:val="24"/>
            <w:tcBorders>
              <w:top w:val="nil"/>
              <w:left w:val="nil"/>
              <w:bottom w:val="nil"/>
              <w:right w:val="nil"/>
            </w:tcBorders>
            <w:shd w:val="clear" w:color="auto" w:fill="auto"/>
            <w:noWrap/>
            <w:vAlign w:val="bottom"/>
          </w:tcPr>
          <w:p w:rsidR="00726C97" w:rsidRPr="004C3C54" w:rsidRDefault="00726C97" w:rsidP="005B545E">
            <w:pPr>
              <w:spacing w:after="0" w:line="240" w:lineRule="auto"/>
              <w:jc w:val="center"/>
              <w:rPr>
                <w:rFonts w:ascii="Calibri" w:eastAsia="Times New Roman" w:hAnsi="Calibri" w:cs="Calibri"/>
                <w:b/>
                <w:bCs/>
                <w:color w:val="000000"/>
                <w:lang w:val="en-NZ" w:eastAsia="zh-CN"/>
              </w:rPr>
            </w:pPr>
            <w:r w:rsidRPr="006309A3">
              <w:rPr>
                <w:rFonts w:ascii="Calibri" w:eastAsia="Times New Roman" w:hAnsi="Calibri" w:cs="Calibri"/>
                <w:b/>
                <w:bCs/>
                <w:color w:val="000000"/>
                <w:lang w:val="en-NZ" w:eastAsia="zh-CN"/>
              </w:rPr>
              <w:lastRenderedPageBreak/>
              <w:t>Table 6</w:t>
            </w:r>
            <w:r>
              <w:rPr>
                <w:rFonts w:ascii="Calibri" w:eastAsia="Times New Roman" w:hAnsi="Calibri" w:cs="Calibri"/>
                <w:b/>
                <w:bCs/>
                <w:color w:val="000000"/>
                <w:lang w:val="en-NZ" w:eastAsia="zh-CN"/>
              </w:rPr>
              <w:t>.</w:t>
            </w:r>
            <w:r w:rsidRPr="006309A3">
              <w:rPr>
                <w:rFonts w:ascii="Calibri" w:eastAsia="Times New Roman" w:hAnsi="Calibri" w:cs="Calibri"/>
                <w:b/>
                <w:bCs/>
                <w:color w:val="000000"/>
                <w:lang w:val="en-NZ" w:eastAsia="zh-CN"/>
              </w:rPr>
              <w:t xml:space="preserve"> </w:t>
            </w:r>
            <w:r>
              <w:rPr>
                <w:rFonts w:ascii="Calibri" w:eastAsia="Times New Roman" w:hAnsi="Calibri" w:cs="Calibri"/>
                <w:b/>
                <w:bCs/>
                <w:color w:val="000000"/>
                <w:lang w:val="en-NZ" w:eastAsia="zh-CN"/>
              </w:rPr>
              <w:t xml:space="preserve"> </w:t>
            </w:r>
            <w:r w:rsidRPr="006309A3">
              <w:rPr>
                <w:rFonts w:ascii="Calibri" w:eastAsia="Times New Roman" w:hAnsi="Calibri" w:cs="Calibri"/>
                <w:i/>
                <w:iCs/>
                <w:color w:val="000000"/>
                <w:lang w:val="en-NZ" w:eastAsia="zh-CN"/>
              </w:rPr>
              <w:t>Examples of Outcomes for Individual E</w:t>
            </w:r>
            <w:r w:rsidR="00B30740">
              <w:rPr>
                <w:rFonts w:ascii="Calibri" w:eastAsia="Times New Roman" w:hAnsi="Calibri" w:cs="Calibri"/>
                <w:i/>
                <w:iCs/>
                <w:color w:val="000000"/>
                <w:lang w:val="en-NZ" w:eastAsia="zh-CN"/>
              </w:rPr>
              <w:t>c</w:t>
            </w:r>
            <w:r w:rsidRPr="006309A3">
              <w:rPr>
                <w:rFonts w:ascii="Calibri" w:eastAsia="Times New Roman" w:hAnsi="Calibri" w:cs="Calibri"/>
                <w:i/>
                <w:iCs/>
                <w:color w:val="000000"/>
                <w:lang w:val="en-NZ" w:eastAsia="zh-CN"/>
              </w:rPr>
              <w:t>onomists: ISI-based h-index</w:t>
            </w:r>
          </w:p>
        </w:tc>
      </w:tr>
      <w:tr w:rsidR="00726C97" w:rsidRPr="006F63BD" w:rsidTr="00365D9A">
        <w:trPr>
          <w:gridAfter w:val="2"/>
          <w:wAfter w:w="860" w:type="dxa"/>
          <w:trHeight w:val="300"/>
        </w:trPr>
        <w:tc>
          <w:tcPr>
            <w:tcW w:w="9914" w:type="dxa"/>
            <w:gridSpan w:val="24"/>
            <w:tcBorders>
              <w:top w:val="nil"/>
              <w:left w:val="nil"/>
              <w:bottom w:val="single" w:sz="4" w:space="0" w:color="auto"/>
              <w:right w:val="nil"/>
            </w:tcBorders>
            <w:shd w:val="clear" w:color="auto" w:fill="auto"/>
            <w:noWrap/>
            <w:vAlign w:val="bottom"/>
          </w:tcPr>
          <w:p w:rsidR="00726C97" w:rsidRPr="003F37B9" w:rsidRDefault="00726C97" w:rsidP="005B545E">
            <w:pPr>
              <w:spacing w:after="0" w:line="240" w:lineRule="auto"/>
              <w:jc w:val="center"/>
              <w:rPr>
                <w:rFonts w:ascii="Calibri" w:eastAsia="Times New Roman" w:hAnsi="Calibri" w:cs="Calibri"/>
                <w:i/>
                <w:iCs/>
                <w:color w:val="000000"/>
                <w:lang w:val="en-NZ" w:eastAsia="zh-CN"/>
              </w:rPr>
            </w:pPr>
            <w:r w:rsidRPr="003F37B9">
              <w:rPr>
                <w:rFonts w:ascii="Calibri" w:eastAsia="Times New Roman" w:hAnsi="Calibri" w:cs="Calibri"/>
                <w:i/>
                <w:iCs/>
                <w:color w:val="000000"/>
                <w:lang w:val="en-NZ" w:eastAsia="zh-CN"/>
              </w:rPr>
              <w:t xml:space="preserve">Research Portfolios </w:t>
            </w:r>
            <w:r w:rsidR="003F37B9" w:rsidRPr="003F37B9">
              <w:rPr>
                <w:rFonts w:ascii="Calibri" w:eastAsia="Times New Roman" w:hAnsi="Calibri" w:cs="Calibri"/>
                <w:i/>
                <w:iCs/>
                <w:color w:val="000000"/>
                <w:lang w:val="en-NZ" w:eastAsia="zh-CN"/>
              </w:rPr>
              <w:t>with an</w:t>
            </w:r>
            <w:r w:rsidRPr="003F37B9">
              <w:rPr>
                <w:rFonts w:ascii="Calibri" w:eastAsia="Times New Roman" w:hAnsi="Calibri" w:cs="Calibri"/>
                <w:i/>
                <w:iCs/>
                <w:color w:val="000000"/>
                <w:lang w:val="en-NZ" w:eastAsia="zh-CN"/>
              </w:rPr>
              <w:t xml:space="preserve"> h-</w:t>
            </w:r>
            <w:r w:rsidR="003F37B9" w:rsidRPr="003F37B9">
              <w:rPr>
                <w:rFonts w:ascii="Calibri" w:eastAsia="Times New Roman" w:hAnsi="Calibri" w:cs="Calibri"/>
                <w:i/>
                <w:iCs/>
                <w:color w:val="000000"/>
                <w:lang w:val="en-NZ" w:eastAsia="zh-CN"/>
              </w:rPr>
              <w:t>I</w:t>
            </w:r>
            <w:r w:rsidRPr="003F37B9">
              <w:rPr>
                <w:rFonts w:ascii="Calibri" w:eastAsia="Times New Roman" w:hAnsi="Calibri" w:cs="Calibri"/>
                <w:i/>
                <w:iCs/>
                <w:color w:val="000000"/>
                <w:lang w:val="en-NZ" w:eastAsia="zh-CN"/>
              </w:rPr>
              <w:t xml:space="preserve">ndex </w:t>
            </w:r>
            <w:r w:rsidR="003F37B9" w:rsidRPr="003F37B9">
              <w:rPr>
                <w:rFonts w:ascii="Calibri" w:eastAsia="Times New Roman" w:hAnsi="Calibri" w:cs="Calibri"/>
                <w:i/>
                <w:iCs/>
                <w:color w:val="000000"/>
                <w:lang w:val="en-NZ" w:eastAsia="zh-CN"/>
              </w:rPr>
              <w:t>of</w:t>
            </w:r>
            <w:r w:rsidRPr="003F37B9">
              <w:rPr>
                <w:rFonts w:ascii="Calibri" w:eastAsia="Times New Roman" w:hAnsi="Calibri" w:cs="Calibri"/>
                <w:i/>
                <w:iCs/>
                <w:color w:val="000000"/>
                <w:lang w:val="en-NZ" w:eastAsia="zh-CN"/>
              </w:rPr>
              <w:t xml:space="preserve"> 1</w:t>
            </w:r>
          </w:p>
        </w:tc>
      </w:tr>
      <w:tr w:rsidR="003F37B9" w:rsidRPr="006F63BD" w:rsidTr="00365D9A">
        <w:trPr>
          <w:gridAfter w:val="2"/>
          <w:wAfter w:w="860" w:type="dxa"/>
          <w:trHeight w:val="300"/>
        </w:trPr>
        <w:tc>
          <w:tcPr>
            <w:tcW w:w="598" w:type="dxa"/>
            <w:tcBorders>
              <w:top w:val="single" w:sz="4" w:space="0" w:color="auto"/>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Res</w:t>
            </w:r>
            <w:r w:rsidRPr="003F37B9">
              <w:rPr>
                <w:rFonts w:ascii="Calibri" w:eastAsia="Times New Roman" w:hAnsi="Calibri" w:cs="Calibri"/>
                <w:color w:val="000000"/>
                <w:lang w:val="en-NZ" w:eastAsia="zh-CN"/>
              </w:rPr>
              <w:t>.</w:t>
            </w:r>
          </w:p>
        </w:tc>
        <w:tc>
          <w:tcPr>
            <w:tcW w:w="970" w:type="dxa"/>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KMS RANK</w:t>
            </w:r>
          </w:p>
        </w:tc>
        <w:tc>
          <w:tcPr>
            <w:tcW w:w="3288" w:type="dxa"/>
            <w:gridSpan w:val="6"/>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Publications</w:t>
            </w:r>
          </w:p>
        </w:tc>
        <w:tc>
          <w:tcPr>
            <w:tcW w:w="598" w:type="dxa"/>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Res</w:t>
            </w:r>
            <w:r w:rsidRPr="003F37B9">
              <w:rPr>
                <w:rFonts w:ascii="Calibri" w:eastAsia="Times New Roman" w:hAnsi="Calibri" w:cs="Calibri"/>
                <w:color w:val="000000"/>
                <w:lang w:val="en-NZ" w:eastAsia="zh-CN"/>
              </w:rPr>
              <w:t>.</w:t>
            </w:r>
          </w:p>
        </w:tc>
        <w:tc>
          <w:tcPr>
            <w:tcW w:w="1120" w:type="dxa"/>
            <w:gridSpan w:val="4"/>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KMS RANK</w:t>
            </w:r>
          </w:p>
        </w:tc>
        <w:tc>
          <w:tcPr>
            <w:tcW w:w="1420" w:type="dxa"/>
            <w:gridSpan w:val="3"/>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Publications</w:t>
            </w:r>
          </w:p>
        </w:tc>
        <w:tc>
          <w:tcPr>
            <w:tcW w:w="960" w:type="dxa"/>
            <w:gridSpan w:val="4"/>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single" w:sz="4" w:space="0" w:color="auto"/>
              <w:left w:val="nil"/>
              <w:bottom w:val="single" w:sz="4" w:space="0" w:color="auto"/>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1</w:t>
            </w: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5/135</w:t>
            </w: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Quarterly Journal of Economics</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4</w:t>
            </w: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135/135</w:t>
            </w:r>
          </w:p>
        </w:tc>
        <w:tc>
          <w:tcPr>
            <w:tcW w:w="2380" w:type="dxa"/>
            <w:gridSpan w:val="7"/>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 xml:space="preserve">Aust. J of </w:t>
            </w:r>
            <w:proofErr w:type="spellStart"/>
            <w:r w:rsidRPr="006F63BD">
              <w:rPr>
                <w:rFonts w:ascii="Calibri" w:eastAsia="Times New Roman" w:hAnsi="Calibri" w:cs="Calibri"/>
                <w:color w:val="000000"/>
                <w:lang w:val="en-NZ" w:eastAsia="zh-CN"/>
              </w:rPr>
              <w:t>Agr</w:t>
            </w:r>
            <w:proofErr w:type="spellEnd"/>
            <w:r w:rsidRPr="006F63BD">
              <w:rPr>
                <w:rFonts w:ascii="Calibri" w:eastAsia="Times New Roman" w:hAnsi="Calibri" w:cs="Calibri"/>
                <w:color w:val="000000"/>
                <w:lang w:val="en-NZ" w:eastAsia="zh-CN"/>
              </w:rPr>
              <w:t xml:space="preserve"> &amp; Res </w:t>
            </w:r>
            <w:proofErr w:type="spellStart"/>
            <w:r w:rsidRPr="006F63BD">
              <w:rPr>
                <w:rFonts w:ascii="Calibri" w:eastAsia="Times New Roman" w:hAnsi="Calibri" w:cs="Calibri"/>
                <w:color w:val="000000"/>
                <w:lang w:val="en-NZ" w:eastAsia="zh-CN"/>
              </w:rPr>
              <w:t>Ec</w:t>
            </w:r>
            <w:proofErr w:type="spellEnd"/>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 xml:space="preserve">Journal of International </w:t>
            </w:r>
            <w:r>
              <w:rPr>
                <w:rFonts w:ascii="Calibri" w:eastAsia="Times New Roman" w:hAnsi="Calibri" w:cs="Calibri"/>
                <w:color w:val="000000"/>
                <w:lang w:val="en-NZ" w:eastAsia="zh-CN"/>
              </w:rPr>
              <w:t>Econ.</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2</w:t>
            </w: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7/135</w:t>
            </w: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Journal of Economic Theory</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5</w:t>
            </w: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135/135</w:t>
            </w:r>
          </w:p>
        </w:tc>
        <w:tc>
          <w:tcPr>
            <w:tcW w:w="3340" w:type="dxa"/>
            <w:gridSpan w:val="11"/>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Telecommunications Policy</w:t>
            </w: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Review of Economics and  Dynamics</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Journal  of Monetary Economics</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3F37B9"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p>
        </w:tc>
        <w:tc>
          <w:tcPr>
            <w:tcW w:w="598" w:type="dxa"/>
            <w:tcBorders>
              <w:top w:val="nil"/>
              <w:left w:val="nil"/>
              <w:bottom w:val="nil"/>
              <w:right w:val="nil"/>
            </w:tcBorders>
            <w:shd w:val="clear" w:color="auto" w:fill="auto"/>
            <w:noWrap/>
            <w:vAlign w:val="bottom"/>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2380" w:type="dxa"/>
            <w:gridSpan w:val="7"/>
            <w:tcBorders>
              <w:top w:val="nil"/>
              <w:left w:val="nil"/>
              <w:bottom w:val="nil"/>
              <w:right w:val="nil"/>
            </w:tcBorders>
            <w:shd w:val="clear" w:color="auto" w:fill="auto"/>
            <w:noWrap/>
            <w:vAlign w:val="bottom"/>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3</w:t>
            </w: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31/135</w:t>
            </w: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Journal of Applied Economics</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6</w:t>
            </w: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135/135</w:t>
            </w:r>
          </w:p>
        </w:tc>
        <w:tc>
          <w:tcPr>
            <w:tcW w:w="3340" w:type="dxa"/>
            <w:gridSpan w:val="11"/>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Economics Letters</w:t>
            </w: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Economics Letters</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Manchester School</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Open Economies Review</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Journal of Development Studies</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3F37B9" w:rsidRPr="006F63BD" w:rsidTr="00365D9A">
        <w:trPr>
          <w:gridAfter w:val="2"/>
          <w:wAfter w:w="860" w:type="dxa"/>
          <w:trHeight w:val="300"/>
        </w:trPr>
        <w:tc>
          <w:tcPr>
            <w:tcW w:w="598" w:type="dxa"/>
            <w:tcBorders>
              <w:top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Plus: 30 additional refereed papers</w:t>
            </w:r>
          </w:p>
        </w:tc>
        <w:tc>
          <w:tcPr>
            <w:tcW w:w="598" w:type="dxa"/>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single" w:sz="4" w:space="0" w:color="auto"/>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single" w:sz="4" w:space="0" w:color="auto"/>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b/>
                <w:bCs/>
                <w:color w:val="000000"/>
                <w:lang w:val="en-NZ" w:eastAsia="zh-CN"/>
              </w:rPr>
            </w:pPr>
          </w:p>
        </w:tc>
        <w:tc>
          <w:tcPr>
            <w:tcW w:w="970" w:type="dxa"/>
            <w:tcBorders>
              <w:top w:val="single" w:sz="4" w:space="0" w:color="auto"/>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b/>
                <w:bCs/>
                <w:color w:val="000000"/>
                <w:lang w:val="en-NZ" w:eastAsia="zh-CN"/>
              </w:rPr>
            </w:pPr>
          </w:p>
        </w:tc>
        <w:tc>
          <w:tcPr>
            <w:tcW w:w="3288" w:type="dxa"/>
            <w:gridSpan w:val="6"/>
            <w:tcBorders>
              <w:top w:val="single" w:sz="4" w:space="0" w:color="auto"/>
              <w:left w:val="nil"/>
              <w:bottom w:val="nil"/>
              <w:right w:val="nil"/>
            </w:tcBorders>
            <w:shd w:val="clear" w:color="auto" w:fill="auto"/>
            <w:noWrap/>
            <w:vAlign w:val="bottom"/>
            <w:hideMark/>
          </w:tcPr>
          <w:p w:rsidR="00726C97" w:rsidRDefault="00726C97" w:rsidP="00786AA4">
            <w:pPr>
              <w:spacing w:after="0" w:line="240" w:lineRule="auto"/>
              <w:jc w:val="both"/>
              <w:rPr>
                <w:rFonts w:ascii="Calibri" w:eastAsia="Times New Roman" w:hAnsi="Calibri" w:cs="Calibri"/>
                <w:color w:val="000000"/>
                <w:lang w:val="en-NZ" w:eastAsia="zh-CN"/>
              </w:rPr>
            </w:pPr>
          </w:p>
          <w:p w:rsidR="000D16A8" w:rsidRPr="006F63BD" w:rsidRDefault="000D16A8" w:rsidP="00786AA4">
            <w:pPr>
              <w:spacing w:after="0" w:line="240" w:lineRule="auto"/>
              <w:jc w:val="both"/>
              <w:rPr>
                <w:rFonts w:ascii="Calibri" w:eastAsia="Times New Roman" w:hAnsi="Calibri" w:cs="Calibri"/>
                <w:color w:val="000000"/>
                <w:lang w:val="en-NZ" w:eastAsia="zh-CN"/>
              </w:rPr>
            </w:pPr>
          </w:p>
        </w:tc>
        <w:tc>
          <w:tcPr>
            <w:tcW w:w="598" w:type="dxa"/>
            <w:tcBorders>
              <w:top w:val="single" w:sz="4" w:space="0" w:color="auto"/>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single" w:sz="4" w:space="0" w:color="auto"/>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single" w:sz="4" w:space="0" w:color="auto"/>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single" w:sz="4" w:space="0" w:color="auto"/>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single" w:sz="4" w:space="0" w:color="auto"/>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9914" w:type="dxa"/>
            <w:gridSpan w:val="24"/>
            <w:tcBorders>
              <w:top w:val="nil"/>
              <w:left w:val="nil"/>
              <w:bottom w:val="single" w:sz="4" w:space="0" w:color="auto"/>
              <w:right w:val="nil"/>
            </w:tcBorders>
            <w:shd w:val="clear" w:color="auto" w:fill="auto"/>
            <w:noWrap/>
            <w:vAlign w:val="bottom"/>
          </w:tcPr>
          <w:p w:rsidR="00726C97" w:rsidRPr="003F37B9" w:rsidRDefault="00726C97" w:rsidP="005B545E">
            <w:pPr>
              <w:spacing w:after="0" w:line="240" w:lineRule="auto"/>
              <w:jc w:val="center"/>
              <w:rPr>
                <w:rFonts w:ascii="Calibri" w:eastAsia="Times New Roman" w:hAnsi="Calibri" w:cs="Calibri"/>
                <w:i/>
                <w:iCs/>
                <w:color w:val="000000"/>
                <w:lang w:val="en-NZ" w:eastAsia="zh-CN"/>
              </w:rPr>
            </w:pPr>
            <w:r w:rsidRPr="003F37B9">
              <w:rPr>
                <w:rFonts w:ascii="Calibri" w:eastAsia="Times New Roman" w:hAnsi="Calibri" w:cs="Calibri"/>
                <w:i/>
                <w:iCs/>
                <w:color w:val="000000"/>
                <w:lang w:val="en-NZ" w:eastAsia="zh-CN"/>
              </w:rPr>
              <w:t xml:space="preserve">Research Portfolios </w:t>
            </w:r>
            <w:r w:rsidR="003F37B9" w:rsidRPr="003F37B9">
              <w:rPr>
                <w:rFonts w:ascii="Calibri" w:eastAsia="Times New Roman" w:hAnsi="Calibri" w:cs="Calibri"/>
                <w:i/>
                <w:iCs/>
                <w:color w:val="000000"/>
                <w:lang w:val="en-NZ" w:eastAsia="zh-CN"/>
              </w:rPr>
              <w:t xml:space="preserve"> with an </w:t>
            </w:r>
            <w:r w:rsidRPr="003F37B9">
              <w:rPr>
                <w:rFonts w:ascii="Calibri" w:eastAsia="Times New Roman" w:hAnsi="Calibri" w:cs="Calibri"/>
                <w:i/>
                <w:iCs/>
                <w:color w:val="000000"/>
                <w:lang w:val="en-NZ" w:eastAsia="zh-CN"/>
              </w:rPr>
              <w:t>h-</w:t>
            </w:r>
            <w:r w:rsidR="003F37B9" w:rsidRPr="003F37B9">
              <w:rPr>
                <w:rFonts w:ascii="Calibri" w:eastAsia="Times New Roman" w:hAnsi="Calibri" w:cs="Calibri"/>
                <w:i/>
                <w:iCs/>
                <w:color w:val="000000"/>
                <w:lang w:val="en-NZ" w:eastAsia="zh-CN"/>
              </w:rPr>
              <w:t>I</w:t>
            </w:r>
            <w:r w:rsidRPr="003F37B9">
              <w:rPr>
                <w:rFonts w:ascii="Calibri" w:eastAsia="Times New Roman" w:hAnsi="Calibri" w:cs="Calibri"/>
                <w:i/>
                <w:iCs/>
                <w:color w:val="000000"/>
                <w:lang w:val="en-NZ" w:eastAsia="zh-CN"/>
              </w:rPr>
              <w:t xml:space="preserve">ndex </w:t>
            </w:r>
            <w:r w:rsidR="003F37B9" w:rsidRPr="003F37B9">
              <w:rPr>
                <w:rFonts w:ascii="Calibri" w:eastAsia="Times New Roman" w:hAnsi="Calibri" w:cs="Calibri"/>
                <w:i/>
                <w:iCs/>
                <w:color w:val="000000"/>
                <w:lang w:val="en-NZ" w:eastAsia="zh-CN"/>
              </w:rPr>
              <w:t xml:space="preserve">of </w:t>
            </w:r>
            <w:r w:rsidRPr="003F37B9">
              <w:rPr>
                <w:rFonts w:ascii="Calibri" w:eastAsia="Times New Roman" w:hAnsi="Calibri" w:cs="Calibri"/>
                <w:i/>
                <w:iCs/>
                <w:color w:val="000000"/>
                <w:lang w:val="en-NZ" w:eastAsia="zh-CN"/>
              </w:rPr>
              <w:t>0</w:t>
            </w:r>
          </w:p>
        </w:tc>
      </w:tr>
      <w:tr w:rsidR="003F37B9" w:rsidRPr="006F63BD" w:rsidTr="00365D9A">
        <w:trPr>
          <w:gridAfter w:val="2"/>
          <w:wAfter w:w="860" w:type="dxa"/>
          <w:trHeight w:val="300"/>
        </w:trPr>
        <w:tc>
          <w:tcPr>
            <w:tcW w:w="598" w:type="dxa"/>
            <w:tcBorders>
              <w:top w:val="single" w:sz="4" w:space="0" w:color="auto"/>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 xml:space="preserve">Res </w:t>
            </w:r>
          </w:p>
        </w:tc>
        <w:tc>
          <w:tcPr>
            <w:tcW w:w="970" w:type="dxa"/>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KMS RANK</w:t>
            </w:r>
          </w:p>
        </w:tc>
        <w:tc>
          <w:tcPr>
            <w:tcW w:w="3288" w:type="dxa"/>
            <w:gridSpan w:val="6"/>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Publication</w:t>
            </w:r>
          </w:p>
        </w:tc>
        <w:tc>
          <w:tcPr>
            <w:tcW w:w="598" w:type="dxa"/>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Res</w:t>
            </w:r>
            <w:r w:rsidRPr="003F37B9">
              <w:rPr>
                <w:rFonts w:ascii="Calibri" w:eastAsia="Times New Roman" w:hAnsi="Calibri" w:cs="Calibri"/>
                <w:color w:val="000000"/>
                <w:lang w:val="en-NZ" w:eastAsia="zh-CN"/>
              </w:rPr>
              <w:t>.</w:t>
            </w:r>
            <w:r w:rsidRPr="006F63BD">
              <w:rPr>
                <w:rFonts w:ascii="Calibri" w:eastAsia="Times New Roman" w:hAnsi="Calibri" w:cs="Calibri"/>
                <w:color w:val="000000"/>
                <w:lang w:val="en-NZ" w:eastAsia="zh-CN"/>
              </w:rPr>
              <w:t xml:space="preserve"> </w:t>
            </w:r>
          </w:p>
        </w:tc>
        <w:tc>
          <w:tcPr>
            <w:tcW w:w="1120" w:type="dxa"/>
            <w:gridSpan w:val="4"/>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KMS RANK</w:t>
            </w:r>
          </w:p>
        </w:tc>
        <w:tc>
          <w:tcPr>
            <w:tcW w:w="1420" w:type="dxa"/>
            <w:gridSpan w:val="3"/>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Publication</w:t>
            </w:r>
          </w:p>
        </w:tc>
        <w:tc>
          <w:tcPr>
            <w:tcW w:w="960" w:type="dxa"/>
            <w:gridSpan w:val="4"/>
            <w:tcBorders>
              <w:top w:val="single" w:sz="4" w:space="0" w:color="auto"/>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single" w:sz="4" w:space="0" w:color="auto"/>
              <w:left w:val="nil"/>
              <w:bottom w:val="single" w:sz="4" w:space="0" w:color="auto"/>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Pr>
                <w:rFonts w:ascii="Calibri" w:eastAsia="Times New Roman" w:hAnsi="Calibri" w:cs="Calibri"/>
                <w:color w:val="000000"/>
                <w:lang w:val="en-NZ" w:eastAsia="zh-CN"/>
              </w:rPr>
              <w:t>1</w:t>
            </w: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18/135</w:t>
            </w: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 xml:space="preserve">Journal of Economic Literature </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5</w:t>
            </w: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135/135</w:t>
            </w:r>
          </w:p>
        </w:tc>
        <w:tc>
          <w:tcPr>
            <w:tcW w:w="3340" w:type="dxa"/>
            <w:gridSpan w:val="11"/>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18 Researchers with Zero Output</w:t>
            </w:r>
          </w:p>
        </w:tc>
      </w:tr>
      <w:tr w:rsidR="003F37B9"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598" w:type="dxa"/>
            <w:tcBorders>
              <w:top w:val="nil"/>
              <w:left w:val="nil"/>
              <w:bottom w:val="nil"/>
              <w:right w:val="nil"/>
            </w:tcBorders>
            <w:shd w:val="clear" w:color="auto" w:fill="auto"/>
            <w:noWrap/>
            <w:vAlign w:val="bottom"/>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340" w:type="dxa"/>
            <w:gridSpan w:val="11"/>
            <w:tcBorders>
              <w:top w:val="nil"/>
              <w:left w:val="nil"/>
              <w:bottom w:val="nil"/>
            </w:tcBorders>
            <w:shd w:val="clear" w:color="auto" w:fill="auto"/>
            <w:noWrap/>
            <w:vAlign w:val="bottom"/>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2</w:t>
            </w: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55/135</w:t>
            </w: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roofErr w:type="spellStart"/>
            <w:r w:rsidRPr="006F63BD">
              <w:rPr>
                <w:rFonts w:ascii="Calibri" w:eastAsia="Times New Roman" w:hAnsi="Calibri" w:cs="Calibri"/>
                <w:color w:val="000000"/>
                <w:lang w:val="en-NZ" w:eastAsia="zh-CN"/>
              </w:rPr>
              <w:t>Ec</w:t>
            </w:r>
            <w:proofErr w:type="spellEnd"/>
            <w:r w:rsidRPr="006F63BD">
              <w:rPr>
                <w:rFonts w:ascii="Calibri" w:eastAsia="Times New Roman" w:hAnsi="Calibri" w:cs="Calibri"/>
                <w:color w:val="000000"/>
                <w:lang w:val="en-NZ" w:eastAsia="zh-CN"/>
              </w:rPr>
              <w:t xml:space="preserve"> of Education Review</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 xml:space="preserve">Australian J of Labour </w:t>
            </w:r>
            <w:proofErr w:type="spellStart"/>
            <w:r w:rsidRPr="006F63BD">
              <w:rPr>
                <w:rFonts w:ascii="Calibri" w:eastAsia="Times New Roman" w:hAnsi="Calibri" w:cs="Calibri"/>
                <w:color w:val="000000"/>
                <w:lang w:val="en-NZ" w:eastAsia="zh-CN"/>
              </w:rPr>
              <w:t>Ec</w:t>
            </w:r>
            <w:proofErr w:type="spellEnd"/>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 xml:space="preserve">Australian </w:t>
            </w:r>
            <w:proofErr w:type="spellStart"/>
            <w:r w:rsidRPr="006F63BD">
              <w:rPr>
                <w:rFonts w:ascii="Calibri" w:eastAsia="Times New Roman" w:hAnsi="Calibri" w:cs="Calibri"/>
                <w:color w:val="000000"/>
                <w:lang w:val="en-NZ" w:eastAsia="zh-CN"/>
              </w:rPr>
              <w:t>Ec</w:t>
            </w:r>
            <w:proofErr w:type="spellEnd"/>
            <w:r w:rsidRPr="006F63BD">
              <w:rPr>
                <w:rFonts w:ascii="Calibri" w:eastAsia="Times New Roman" w:hAnsi="Calibri" w:cs="Calibri"/>
                <w:color w:val="000000"/>
                <w:lang w:val="en-NZ" w:eastAsia="zh-CN"/>
              </w:rPr>
              <w:t xml:space="preserve"> Papers</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 xml:space="preserve">International Rev of Applied </w:t>
            </w:r>
            <w:proofErr w:type="spellStart"/>
            <w:r w:rsidRPr="006F63BD">
              <w:rPr>
                <w:rFonts w:ascii="Calibri" w:eastAsia="Times New Roman" w:hAnsi="Calibri" w:cs="Calibri"/>
                <w:color w:val="000000"/>
                <w:lang w:val="en-NZ" w:eastAsia="zh-CN"/>
              </w:rPr>
              <w:t>Ec</w:t>
            </w:r>
            <w:proofErr w:type="spellEnd"/>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Arial" w:eastAsia="Times New Roman" w:hAnsi="Arial" w:cs="Arial"/>
                <w:sz w:val="20"/>
                <w:szCs w:val="20"/>
                <w:lang w:val="en-NZ" w:eastAsia="zh-CN"/>
              </w:rPr>
            </w:pPr>
            <w:r w:rsidRPr="006F63BD">
              <w:rPr>
                <w:rFonts w:ascii="Arial" w:eastAsia="Times New Roman" w:hAnsi="Arial" w:cs="Arial"/>
                <w:sz w:val="20"/>
                <w:szCs w:val="20"/>
                <w:lang w:val="en-NZ" w:eastAsia="zh-CN"/>
              </w:rPr>
              <w:t xml:space="preserve">New Zealand </w:t>
            </w:r>
            <w:proofErr w:type="spellStart"/>
            <w:r w:rsidRPr="006F63BD">
              <w:rPr>
                <w:rFonts w:ascii="Arial" w:eastAsia="Times New Roman" w:hAnsi="Arial" w:cs="Arial"/>
                <w:sz w:val="20"/>
                <w:szCs w:val="20"/>
                <w:lang w:val="en-NZ" w:eastAsia="zh-CN"/>
              </w:rPr>
              <w:t>Ec</w:t>
            </w:r>
            <w:proofErr w:type="spellEnd"/>
            <w:r w:rsidRPr="006F63BD">
              <w:rPr>
                <w:rFonts w:ascii="Arial" w:eastAsia="Times New Roman" w:hAnsi="Arial" w:cs="Arial"/>
                <w:sz w:val="20"/>
                <w:szCs w:val="20"/>
                <w:lang w:val="en-NZ" w:eastAsia="zh-CN"/>
              </w:rPr>
              <w:t xml:space="preserve"> Papers</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Int</w:t>
            </w:r>
            <w:r>
              <w:rPr>
                <w:rFonts w:ascii="Calibri" w:eastAsia="Times New Roman" w:hAnsi="Calibri" w:cs="Calibri"/>
                <w:color w:val="000000"/>
                <w:lang w:val="en-NZ" w:eastAsia="zh-CN"/>
              </w:rPr>
              <w:t>er</w:t>
            </w:r>
            <w:r w:rsidRPr="006F63BD">
              <w:rPr>
                <w:rFonts w:ascii="Calibri" w:eastAsia="Times New Roman" w:hAnsi="Calibri" w:cs="Calibri"/>
                <w:color w:val="000000"/>
                <w:lang w:val="en-NZ" w:eastAsia="zh-CN"/>
              </w:rPr>
              <w:t>national J of Manpower</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3</w:t>
            </w: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63/135</w:t>
            </w: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International J of Industrial Org</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4</w:t>
            </w: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135/135</w:t>
            </w: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J of Markets &amp; Morality</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 xml:space="preserve">History of </w:t>
            </w:r>
            <w:proofErr w:type="spellStart"/>
            <w:r w:rsidRPr="006F63BD">
              <w:rPr>
                <w:rFonts w:ascii="Calibri" w:eastAsia="Times New Roman" w:hAnsi="Calibri" w:cs="Calibri"/>
                <w:color w:val="000000"/>
                <w:lang w:val="en-NZ" w:eastAsia="zh-CN"/>
              </w:rPr>
              <w:t>Ec</w:t>
            </w:r>
            <w:proofErr w:type="spellEnd"/>
            <w:r w:rsidRPr="006F63BD">
              <w:rPr>
                <w:rFonts w:ascii="Calibri" w:eastAsia="Times New Roman" w:hAnsi="Calibri" w:cs="Calibri"/>
                <w:color w:val="000000"/>
                <w:lang w:val="en-NZ" w:eastAsia="zh-CN"/>
              </w:rPr>
              <w:t xml:space="preserve"> Review (2)</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598" w:type="dxa"/>
            <w:tcBorders>
              <w:top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 xml:space="preserve">European J of Hist. of </w:t>
            </w:r>
            <w:proofErr w:type="spellStart"/>
            <w:r w:rsidRPr="006F63BD">
              <w:rPr>
                <w:rFonts w:ascii="Calibri" w:eastAsia="Times New Roman" w:hAnsi="Calibri" w:cs="Calibri"/>
                <w:color w:val="000000"/>
                <w:lang w:val="en-NZ" w:eastAsia="zh-CN"/>
              </w:rPr>
              <w:t>Ec</w:t>
            </w:r>
            <w:proofErr w:type="spellEnd"/>
            <w:r w:rsidRPr="006F63BD">
              <w:rPr>
                <w:rFonts w:ascii="Calibri" w:eastAsia="Times New Roman" w:hAnsi="Calibri" w:cs="Calibri"/>
                <w:color w:val="000000"/>
                <w:lang w:val="en-NZ" w:eastAsia="zh-CN"/>
              </w:rPr>
              <w:t xml:space="preserve"> Thou</w:t>
            </w:r>
          </w:p>
        </w:tc>
        <w:tc>
          <w:tcPr>
            <w:tcW w:w="598" w:type="dxa"/>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3F37B9" w:rsidRPr="006F63BD" w:rsidTr="00365D9A">
        <w:trPr>
          <w:gridAfter w:val="2"/>
          <w:wAfter w:w="860" w:type="dxa"/>
          <w:trHeight w:val="300"/>
        </w:trPr>
        <w:tc>
          <w:tcPr>
            <w:tcW w:w="598" w:type="dxa"/>
            <w:tcBorders>
              <w:top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 xml:space="preserve">Journal of Interdisciplinary </w:t>
            </w:r>
            <w:proofErr w:type="spellStart"/>
            <w:r w:rsidRPr="006F63BD">
              <w:rPr>
                <w:rFonts w:ascii="Calibri" w:eastAsia="Times New Roman" w:hAnsi="Calibri" w:cs="Calibri"/>
                <w:color w:val="000000"/>
                <w:lang w:val="en-NZ" w:eastAsia="zh-CN"/>
              </w:rPr>
              <w:t>Ec</w:t>
            </w:r>
            <w:proofErr w:type="spellEnd"/>
          </w:p>
        </w:tc>
        <w:tc>
          <w:tcPr>
            <w:tcW w:w="598" w:type="dxa"/>
            <w:tcBorders>
              <w:top w:val="nil"/>
              <w:left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3F37B9" w:rsidRPr="006F63BD" w:rsidTr="00365D9A">
        <w:trPr>
          <w:gridAfter w:val="2"/>
          <w:wAfter w:w="860" w:type="dxa"/>
          <w:trHeight w:val="300"/>
        </w:trPr>
        <w:tc>
          <w:tcPr>
            <w:tcW w:w="598" w:type="dxa"/>
            <w:tcBorders>
              <w:top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70" w:type="dxa"/>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3288" w:type="dxa"/>
            <w:gridSpan w:val="6"/>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r w:rsidRPr="006F63BD">
              <w:rPr>
                <w:rFonts w:ascii="Calibri" w:eastAsia="Times New Roman" w:hAnsi="Calibri" w:cs="Calibri"/>
                <w:color w:val="000000"/>
                <w:lang w:val="en-NZ" w:eastAsia="zh-CN"/>
              </w:rPr>
              <w:t xml:space="preserve">International J of Social </w:t>
            </w:r>
            <w:proofErr w:type="spellStart"/>
            <w:r w:rsidRPr="006F63BD">
              <w:rPr>
                <w:rFonts w:ascii="Calibri" w:eastAsia="Times New Roman" w:hAnsi="Calibri" w:cs="Calibri"/>
                <w:color w:val="000000"/>
                <w:lang w:val="en-NZ" w:eastAsia="zh-CN"/>
              </w:rPr>
              <w:t>Ec</w:t>
            </w:r>
            <w:proofErr w:type="spellEnd"/>
          </w:p>
        </w:tc>
        <w:tc>
          <w:tcPr>
            <w:tcW w:w="598" w:type="dxa"/>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120" w:type="dxa"/>
            <w:gridSpan w:val="4"/>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1420" w:type="dxa"/>
            <w:gridSpan w:val="3"/>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single" w:sz="4" w:space="0" w:color="auto"/>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c>
          <w:tcPr>
            <w:tcW w:w="960" w:type="dxa"/>
            <w:gridSpan w:val="4"/>
            <w:tcBorders>
              <w:top w:val="nil"/>
              <w:left w:val="nil"/>
              <w:bottom w:val="single" w:sz="4" w:space="0" w:color="auto"/>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lang w:val="en-NZ" w:eastAsia="zh-CN"/>
              </w:rPr>
            </w:pPr>
          </w:p>
        </w:tc>
      </w:tr>
      <w:tr w:rsidR="00726C97" w:rsidRPr="006F63BD" w:rsidTr="00365D9A">
        <w:trPr>
          <w:gridAfter w:val="2"/>
          <w:wAfter w:w="860" w:type="dxa"/>
          <w:trHeight w:val="300"/>
        </w:trPr>
        <w:tc>
          <w:tcPr>
            <w:tcW w:w="9914" w:type="dxa"/>
            <w:gridSpan w:val="24"/>
            <w:tcBorders>
              <w:top w:val="single" w:sz="4" w:space="0" w:color="auto"/>
              <w:left w:val="nil"/>
              <w:right w:val="nil"/>
            </w:tcBorders>
            <w:shd w:val="clear" w:color="auto" w:fill="auto"/>
            <w:noWrap/>
            <w:vAlign w:val="bottom"/>
            <w:hideMark/>
          </w:tcPr>
          <w:p w:rsidR="00726C97" w:rsidRPr="006F63BD" w:rsidRDefault="00726C97" w:rsidP="00786AA4">
            <w:pPr>
              <w:spacing w:after="0" w:line="240" w:lineRule="auto"/>
              <w:jc w:val="both"/>
              <w:rPr>
                <w:rFonts w:ascii="Calibri" w:eastAsia="Times New Roman" w:hAnsi="Calibri" w:cs="Calibri"/>
                <w:color w:val="000000"/>
                <w:sz w:val="16"/>
                <w:szCs w:val="16"/>
                <w:lang w:val="en-NZ" w:eastAsia="zh-CN"/>
              </w:rPr>
            </w:pPr>
            <w:r w:rsidRPr="006309A3">
              <w:rPr>
                <w:rFonts w:ascii="Calibri" w:eastAsia="Times New Roman" w:hAnsi="Calibri" w:cs="Calibri"/>
                <w:i/>
                <w:iCs/>
                <w:color w:val="000000"/>
                <w:sz w:val="16"/>
                <w:szCs w:val="16"/>
                <w:lang w:val="en-NZ" w:eastAsia="zh-CN"/>
              </w:rPr>
              <w:t>Note:</w:t>
            </w:r>
            <w:r w:rsidRPr="006309A3">
              <w:rPr>
                <w:rFonts w:ascii="Calibri" w:eastAsia="Times New Roman" w:hAnsi="Calibri" w:cs="Calibri"/>
                <w:color w:val="000000"/>
                <w:sz w:val="16"/>
                <w:szCs w:val="16"/>
                <w:lang w:val="en-NZ" w:eastAsia="zh-CN"/>
              </w:rPr>
              <w:t xml:space="preserve"> 36 economists received a KMS score of zero, and for ranking purposes are denoted as achieving a rank of 135/135.</w:t>
            </w:r>
          </w:p>
        </w:tc>
      </w:tr>
    </w:tbl>
    <w:p w:rsidR="003F37B9" w:rsidRDefault="003F37B9" w:rsidP="00786AA4">
      <w:pPr>
        <w:jc w:val="both"/>
      </w:pPr>
    </w:p>
    <w:p w:rsidR="008B54F8" w:rsidRDefault="00AE520B" w:rsidP="00786AA4">
      <w:pPr>
        <w:jc w:val="both"/>
      </w:pPr>
      <w:r>
        <w:lastRenderedPageBreak/>
        <w:t>In Table</w:t>
      </w:r>
      <w:r w:rsidR="0032311A">
        <w:t xml:space="preserve"> 7</w:t>
      </w:r>
      <w:r>
        <w:t xml:space="preserve"> we present the Pearson Correlation Coefficients associated with all combinations of our seven RAMs.  Note that the coefficients for all combinations of our three ISI-based measures range from 0.88 to 0.98.  </w:t>
      </w:r>
      <w:proofErr w:type="spellStart"/>
      <w:r w:rsidRPr="00F244A3">
        <w:rPr>
          <w:b/>
        </w:rPr>
        <w:t>ISIg</w:t>
      </w:r>
      <w:proofErr w:type="spellEnd"/>
      <w:r>
        <w:t xml:space="preserve"> and </w:t>
      </w:r>
      <w:proofErr w:type="spellStart"/>
      <w:r w:rsidRPr="00F244A3">
        <w:rPr>
          <w:b/>
        </w:rPr>
        <w:t>ISIh</w:t>
      </w:r>
      <w:proofErr w:type="spellEnd"/>
      <w:r>
        <w:t xml:space="preserve"> are strongly correlated with </w:t>
      </w:r>
      <w:r w:rsidRPr="00F244A3">
        <w:rPr>
          <w:b/>
        </w:rPr>
        <w:t>ERAB</w:t>
      </w:r>
      <w:r>
        <w:t xml:space="preserve"> and </w:t>
      </w:r>
      <w:r w:rsidRPr="00F244A3">
        <w:rPr>
          <w:b/>
        </w:rPr>
        <w:t>JCR</w:t>
      </w:r>
      <w:r>
        <w:t xml:space="preserve">, less so with </w:t>
      </w:r>
      <w:r w:rsidRPr="00F244A3">
        <w:rPr>
          <w:b/>
        </w:rPr>
        <w:t>EQUAL</w:t>
      </w:r>
      <w:r>
        <w:t xml:space="preserve"> and </w:t>
      </w:r>
      <w:r w:rsidR="00017EDC">
        <w:t xml:space="preserve">only </w:t>
      </w:r>
      <w:r>
        <w:t xml:space="preserve">modestly so with </w:t>
      </w:r>
      <w:r w:rsidRPr="00F244A3">
        <w:rPr>
          <w:b/>
        </w:rPr>
        <w:t>KMS</w:t>
      </w:r>
      <w:r>
        <w:t xml:space="preserve"> (0.</w:t>
      </w:r>
      <w:r w:rsidR="001B52F9">
        <w:t xml:space="preserve">46/ </w:t>
      </w:r>
      <w:r>
        <w:t>0.</w:t>
      </w:r>
      <w:r w:rsidR="001B52F9">
        <w:t>38</w:t>
      </w:r>
      <w:r>
        <w:t>)</w:t>
      </w:r>
      <w:r w:rsidR="00113A6E">
        <w:t>.  However, our raw citation measure (</w:t>
      </w:r>
      <w:r w:rsidR="00113A6E" w:rsidRPr="00F244A3">
        <w:rPr>
          <w:b/>
        </w:rPr>
        <w:t>ISIC</w:t>
      </w:r>
      <w:r w:rsidR="00113A6E">
        <w:t xml:space="preserve">) exhibits somewhat different behaviour: strongly correlated with </w:t>
      </w:r>
      <w:r w:rsidR="00113A6E" w:rsidRPr="00F244A3">
        <w:rPr>
          <w:b/>
        </w:rPr>
        <w:t>EQUAL</w:t>
      </w:r>
      <w:r w:rsidR="00113A6E">
        <w:t xml:space="preserve"> (0.94) but essentially uncorrelated with </w:t>
      </w:r>
      <w:r w:rsidR="00113A6E" w:rsidRPr="00F244A3">
        <w:rPr>
          <w:b/>
        </w:rPr>
        <w:t>KMS</w:t>
      </w:r>
      <w:r w:rsidR="00113A6E">
        <w:t xml:space="preserve"> (0.09).  In general, the departmental correlation coefficients tend to </w:t>
      </w:r>
      <w:r w:rsidR="00FE1C60">
        <w:t xml:space="preserve">be </w:t>
      </w:r>
      <w:r w:rsidR="00113A6E">
        <w:t>less stable than those associated with our individual results, probably due to the rather small size in the former case (eight observations only).</w:t>
      </w:r>
      <w:r w:rsidR="006212DD">
        <w:t xml:space="preserve"> </w:t>
      </w:r>
      <w:r w:rsidR="00775DE5">
        <w:t>The associated Spearman Rank correlation coefficients are displayed in TABLE</w:t>
      </w:r>
      <w:r w:rsidR="0032311A">
        <w:t xml:space="preserve"> 8</w:t>
      </w:r>
      <w:r w:rsidR="00775DE5">
        <w:t xml:space="preserve">.  </w:t>
      </w:r>
      <w:r w:rsidR="00113A6E">
        <w:t xml:space="preserve">We now find that the relationship between </w:t>
      </w:r>
      <w:r w:rsidR="006212DD">
        <w:t>the</w:t>
      </w:r>
      <w:r w:rsidR="00113A6E">
        <w:t xml:space="preserve"> three ISI RAMs and </w:t>
      </w:r>
      <w:r w:rsidR="00113A6E" w:rsidRPr="00F244A3">
        <w:rPr>
          <w:b/>
        </w:rPr>
        <w:t xml:space="preserve">KMS </w:t>
      </w:r>
      <w:r w:rsidR="00113A6E">
        <w:t xml:space="preserve">is quite similar to that </w:t>
      </w:r>
      <w:r w:rsidR="008B54F8">
        <w:t xml:space="preserve">displayed by the former with </w:t>
      </w:r>
      <w:r w:rsidR="008B54F8" w:rsidRPr="00F244A3">
        <w:rPr>
          <w:b/>
        </w:rPr>
        <w:t>EQUAL</w:t>
      </w:r>
      <w:r w:rsidR="008B54F8">
        <w:t xml:space="preserve">, </w:t>
      </w:r>
      <w:r w:rsidR="008B54F8" w:rsidRPr="00F244A3">
        <w:rPr>
          <w:b/>
        </w:rPr>
        <w:t>JCR</w:t>
      </w:r>
      <w:r w:rsidR="008B54F8">
        <w:t xml:space="preserve"> and </w:t>
      </w:r>
      <w:r w:rsidR="008B54F8" w:rsidRPr="00F244A3">
        <w:rPr>
          <w:b/>
        </w:rPr>
        <w:t>ERAB</w:t>
      </w:r>
      <w:r w:rsidR="008B54F8">
        <w:t xml:space="preserve">.  With one exception, the relevant correlation coefficients range from 0.53 to 0.76.  </w:t>
      </w:r>
      <w:r w:rsidR="00113A6E">
        <w:t xml:space="preserve"> </w:t>
      </w:r>
    </w:p>
    <w:p w:rsidR="00D555CC" w:rsidRPr="000D1827" w:rsidRDefault="00D555CC" w:rsidP="00786AA4">
      <w:pPr>
        <w:jc w:val="both"/>
        <w:rPr>
          <w:sz w:val="10"/>
          <w:szCs w:val="10"/>
        </w:rPr>
      </w:pPr>
    </w:p>
    <w:tbl>
      <w:tblPr>
        <w:tblW w:w="8800" w:type="dxa"/>
        <w:tblInd w:w="93" w:type="dxa"/>
        <w:tblLook w:val="04A0"/>
      </w:tblPr>
      <w:tblGrid>
        <w:gridCol w:w="1920"/>
        <w:gridCol w:w="1220"/>
        <w:gridCol w:w="880"/>
        <w:gridCol w:w="940"/>
        <w:gridCol w:w="960"/>
        <w:gridCol w:w="960"/>
        <w:gridCol w:w="960"/>
        <w:gridCol w:w="960"/>
      </w:tblGrid>
      <w:tr w:rsidR="003F37B9" w:rsidRPr="003F37B9" w:rsidTr="00DA1CD6">
        <w:trPr>
          <w:trHeight w:val="300"/>
        </w:trPr>
        <w:tc>
          <w:tcPr>
            <w:tcW w:w="8800" w:type="dxa"/>
            <w:gridSpan w:val="8"/>
            <w:tcBorders>
              <w:top w:val="nil"/>
              <w:left w:val="nil"/>
              <w:bottom w:val="nil"/>
              <w:right w:val="nil"/>
            </w:tcBorders>
            <w:shd w:val="clear" w:color="auto" w:fill="auto"/>
            <w:noWrap/>
            <w:vAlign w:val="bottom"/>
            <w:hideMark/>
          </w:tcPr>
          <w:p w:rsidR="00365D9A" w:rsidRDefault="003F37B9" w:rsidP="00365D9A">
            <w:pPr>
              <w:spacing w:after="0" w:line="240" w:lineRule="auto"/>
              <w:jc w:val="center"/>
              <w:rPr>
                <w:rFonts w:ascii="Calibri" w:eastAsia="Times New Roman" w:hAnsi="Calibri" w:cs="Calibri"/>
                <w:i/>
                <w:iCs/>
                <w:color w:val="000000"/>
                <w:lang w:val="en-NZ" w:eastAsia="zh-CN"/>
              </w:rPr>
            </w:pPr>
            <w:bookmarkStart w:id="1" w:name="RANGE!A1:H18"/>
            <w:bookmarkEnd w:id="1"/>
            <w:r w:rsidRPr="003F37B9">
              <w:rPr>
                <w:rFonts w:ascii="Calibri" w:eastAsia="Times New Roman" w:hAnsi="Calibri" w:cs="Calibri"/>
                <w:b/>
                <w:bCs/>
                <w:color w:val="000000"/>
                <w:lang w:val="en-NZ" w:eastAsia="zh-CN"/>
              </w:rPr>
              <w:t>Table 7</w:t>
            </w:r>
            <w:r w:rsidR="00B30740">
              <w:rPr>
                <w:rFonts w:ascii="Calibri" w:eastAsia="Times New Roman" w:hAnsi="Calibri" w:cs="Calibri"/>
                <w:b/>
                <w:bCs/>
                <w:color w:val="000000"/>
                <w:lang w:val="en-NZ" w:eastAsia="zh-CN"/>
              </w:rPr>
              <w:t>.</w:t>
            </w:r>
            <w:r w:rsidRPr="003F37B9">
              <w:rPr>
                <w:rFonts w:ascii="Calibri" w:eastAsia="Times New Roman" w:hAnsi="Calibri" w:cs="Calibri"/>
                <w:b/>
                <w:bCs/>
                <w:color w:val="000000"/>
                <w:lang w:val="en-NZ" w:eastAsia="zh-CN"/>
              </w:rPr>
              <w:t xml:space="preserve"> </w:t>
            </w:r>
            <w:r w:rsidRPr="003F37B9">
              <w:rPr>
                <w:rFonts w:ascii="Calibri" w:eastAsia="Times New Roman" w:hAnsi="Calibri" w:cs="Calibri"/>
                <w:i/>
                <w:iCs/>
                <w:color w:val="000000"/>
                <w:lang w:val="en-NZ" w:eastAsia="zh-CN"/>
              </w:rPr>
              <w:t>Pearson Correlation Coefficients</w:t>
            </w:r>
            <w:r w:rsidRPr="00B30740">
              <w:rPr>
                <w:rFonts w:ascii="Calibri" w:eastAsia="Times New Roman" w:hAnsi="Calibri" w:cs="Calibri"/>
                <w:i/>
                <w:iCs/>
                <w:color w:val="000000"/>
                <w:lang w:val="en-NZ" w:eastAsia="zh-CN"/>
              </w:rPr>
              <w:t xml:space="preserve"> for Departmental</w:t>
            </w:r>
            <w:r w:rsidRPr="003F37B9">
              <w:rPr>
                <w:rFonts w:ascii="Calibri" w:eastAsia="Times New Roman" w:hAnsi="Calibri" w:cs="Calibri"/>
                <w:i/>
                <w:iCs/>
                <w:color w:val="000000"/>
                <w:lang w:val="en-NZ" w:eastAsia="zh-CN"/>
              </w:rPr>
              <w:t xml:space="preserve"> Output Measures</w:t>
            </w:r>
          </w:p>
          <w:p w:rsidR="003F37B9" w:rsidRDefault="003F37B9" w:rsidP="00365D9A">
            <w:pPr>
              <w:spacing w:after="0" w:line="240" w:lineRule="auto"/>
              <w:jc w:val="center"/>
              <w:rPr>
                <w:rFonts w:ascii="Calibri" w:eastAsia="Times New Roman" w:hAnsi="Calibri" w:cs="Calibri"/>
                <w:b/>
                <w:bCs/>
                <w:lang w:val="en-NZ" w:eastAsia="zh-CN"/>
              </w:rPr>
            </w:pPr>
            <w:r w:rsidRPr="003F37B9">
              <w:rPr>
                <w:rFonts w:ascii="Calibri" w:eastAsia="Times New Roman" w:hAnsi="Calibri" w:cs="Calibri"/>
                <w:i/>
                <w:iCs/>
                <w:lang w:val="en-NZ" w:eastAsia="zh-CN"/>
              </w:rPr>
              <w:t>2003-2008</w:t>
            </w:r>
          </w:p>
          <w:p w:rsidR="00365D9A" w:rsidRPr="00365D9A" w:rsidRDefault="00365D9A" w:rsidP="00786AA4">
            <w:pPr>
              <w:spacing w:after="0" w:line="240" w:lineRule="auto"/>
              <w:jc w:val="both"/>
              <w:rPr>
                <w:rFonts w:ascii="Calibri" w:eastAsia="Times New Roman" w:hAnsi="Calibri" w:cs="Calibri"/>
                <w:color w:val="000000"/>
                <w:sz w:val="8"/>
                <w:szCs w:val="8"/>
                <w:lang w:val="en-NZ" w:eastAsia="zh-CN"/>
              </w:rPr>
            </w:pPr>
          </w:p>
        </w:tc>
      </w:tr>
      <w:tr w:rsidR="003F37B9" w:rsidRPr="003F37B9" w:rsidTr="003F37B9">
        <w:trPr>
          <w:trHeight w:val="300"/>
        </w:trPr>
        <w:tc>
          <w:tcPr>
            <w:tcW w:w="1920" w:type="dxa"/>
            <w:tcBorders>
              <w:top w:val="single" w:sz="4" w:space="0" w:color="auto"/>
              <w:left w:val="nil"/>
              <w:bottom w:val="single" w:sz="4" w:space="0" w:color="auto"/>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1220" w:type="dxa"/>
            <w:tcBorders>
              <w:top w:val="single" w:sz="4" w:space="0" w:color="auto"/>
              <w:left w:val="nil"/>
              <w:bottom w:val="single" w:sz="4" w:space="0" w:color="auto"/>
              <w:right w:val="nil"/>
            </w:tcBorders>
            <w:shd w:val="clear" w:color="auto" w:fill="auto"/>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ISIC</w:t>
            </w:r>
          </w:p>
        </w:tc>
        <w:tc>
          <w:tcPr>
            <w:tcW w:w="880" w:type="dxa"/>
            <w:tcBorders>
              <w:top w:val="single" w:sz="4" w:space="0" w:color="auto"/>
              <w:left w:val="nil"/>
              <w:bottom w:val="single" w:sz="4" w:space="0" w:color="auto"/>
              <w:right w:val="nil"/>
            </w:tcBorders>
            <w:shd w:val="clear" w:color="auto" w:fill="auto"/>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roofErr w:type="spellStart"/>
            <w:r w:rsidRPr="003F37B9">
              <w:rPr>
                <w:rFonts w:ascii="Calibri" w:eastAsia="Times New Roman" w:hAnsi="Calibri" w:cs="Calibri"/>
                <w:color w:val="000000"/>
                <w:lang w:val="en-NZ" w:eastAsia="zh-CN"/>
              </w:rPr>
              <w:t>ISIg</w:t>
            </w:r>
            <w:proofErr w:type="spellEnd"/>
          </w:p>
        </w:tc>
        <w:tc>
          <w:tcPr>
            <w:tcW w:w="940" w:type="dxa"/>
            <w:tcBorders>
              <w:top w:val="single" w:sz="4" w:space="0" w:color="auto"/>
              <w:left w:val="nil"/>
              <w:bottom w:val="single" w:sz="4" w:space="0" w:color="auto"/>
              <w:right w:val="nil"/>
            </w:tcBorders>
            <w:shd w:val="clear" w:color="auto" w:fill="auto"/>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roofErr w:type="spellStart"/>
            <w:r w:rsidRPr="003F37B9">
              <w:rPr>
                <w:rFonts w:ascii="Calibri" w:eastAsia="Times New Roman" w:hAnsi="Calibri" w:cs="Calibri"/>
                <w:color w:val="000000"/>
                <w:lang w:val="en-NZ" w:eastAsia="zh-CN"/>
              </w:rPr>
              <w:t>ISIh</w:t>
            </w:r>
            <w:proofErr w:type="spellEnd"/>
          </w:p>
        </w:tc>
        <w:tc>
          <w:tcPr>
            <w:tcW w:w="960" w:type="dxa"/>
            <w:tcBorders>
              <w:top w:val="single" w:sz="4" w:space="0" w:color="auto"/>
              <w:left w:val="nil"/>
              <w:bottom w:val="single" w:sz="4" w:space="0" w:color="auto"/>
              <w:right w:val="nil"/>
            </w:tcBorders>
            <w:shd w:val="clear" w:color="auto" w:fill="auto"/>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EQUAL</w:t>
            </w:r>
          </w:p>
        </w:tc>
        <w:tc>
          <w:tcPr>
            <w:tcW w:w="960" w:type="dxa"/>
            <w:tcBorders>
              <w:top w:val="single" w:sz="4" w:space="0" w:color="auto"/>
              <w:left w:val="nil"/>
              <w:bottom w:val="single" w:sz="4" w:space="0" w:color="auto"/>
              <w:right w:val="nil"/>
            </w:tcBorders>
            <w:shd w:val="clear" w:color="auto" w:fill="auto"/>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ERA</w:t>
            </w:r>
          </w:p>
        </w:tc>
        <w:tc>
          <w:tcPr>
            <w:tcW w:w="960" w:type="dxa"/>
            <w:tcBorders>
              <w:top w:val="single" w:sz="4" w:space="0" w:color="auto"/>
              <w:left w:val="nil"/>
              <w:bottom w:val="single" w:sz="4" w:space="0" w:color="auto"/>
              <w:right w:val="nil"/>
            </w:tcBorders>
            <w:shd w:val="clear" w:color="auto" w:fill="auto"/>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JCR</w:t>
            </w:r>
          </w:p>
        </w:tc>
        <w:tc>
          <w:tcPr>
            <w:tcW w:w="960" w:type="dxa"/>
            <w:tcBorders>
              <w:top w:val="single" w:sz="4" w:space="0" w:color="auto"/>
              <w:left w:val="nil"/>
              <w:bottom w:val="single" w:sz="4" w:space="0" w:color="auto"/>
              <w:right w:val="nil"/>
            </w:tcBorders>
            <w:shd w:val="clear" w:color="auto" w:fill="auto"/>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KMS</w:t>
            </w:r>
          </w:p>
        </w:tc>
      </w:tr>
      <w:tr w:rsidR="003F37B9" w:rsidRPr="003F37B9" w:rsidTr="003F37B9">
        <w:trPr>
          <w:trHeight w:val="300"/>
        </w:trPr>
        <w:tc>
          <w:tcPr>
            <w:tcW w:w="192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ISIC</w:t>
            </w:r>
          </w:p>
        </w:tc>
        <w:tc>
          <w:tcPr>
            <w:tcW w:w="122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1.00</w:t>
            </w:r>
          </w:p>
        </w:tc>
        <w:tc>
          <w:tcPr>
            <w:tcW w:w="88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0.89</w:t>
            </w:r>
          </w:p>
        </w:tc>
        <w:tc>
          <w:tcPr>
            <w:tcW w:w="94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0.88</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0.94</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0.88</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0.67</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0.09</w:t>
            </w:r>
          </w:p>
        </w:tc>
      </w:tr>
      <w:tr w:rsidR="003F37B9" w:rsidRPr="003F37B9" w:rsidTr="003F37B9">
        <w:trPr>
          <w:trHeight w:val="300"/>
        </w:trPr>
        <w:tc>
          <w:tcPr>
            <w:tcW w:w="192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roofErr w:type="spellStart"/>
            <w:r w:rsidRPr="003F37B9">
              <w:rPr>
                <w:rFonts w:ascii="Calibri" w:eastAsia="Times New Roman" w:hAnsi="Calibri" w:cs="Calibri"/>
                <w:color w:val="000000"/>
                <w:lang w:val="en-NZ" w:eastAsia="zh-CN"/>
              </w:rPr>
              <w:t>ISIg</w:t>
            </w:r>
            <w:proofErr w:type="spellEnd"/>
          </w:p>
        </w:tc>
        <w:tc>
          <w:tcPr>
            <w:tcW w:w="122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88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1.00</w:t>
            </w:r>
          </w:p>
        </w:tc>
        <w:tc>
          <w:tcPr>
            <w:tcW w:w="94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0.98</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0.77</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0.84</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0.91</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0.46</w:t>
            </w:r>
          </w:p>
        </w:tc>
      </w:tr>
      <w:tr w:rsidR="003F37B9" w:rsidRPr="003F37B9" w:rsidTr="003F37B9">
        <w:trPr>
          <w:trHeight w:val="300"/>
        </w:trPr>
        <w:tc>
          <w:tcPr>
            <w:tcW w:w="192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roofErr w:type="spellStart"/>
            <w:r w:rsidRPr="003F37B9">
              <w:rPr>
                <w:rFonts w:ascii="Calibri" w:eastAsia="Times New Roman" w:hAnsi="Calibri" w:cs="Calibri"/>
                <w:color w:val="000000"/>
                <w:lang w:val="en-NZ" w:eastAsia="zh-CN"/>
              </w:rPr>
              <w:t>ISIh</w:t>
            </w:r>
            <w:proofErr w:type="spellEnd"/>
          </w:p>
        </w:tc>
        <w:tc>
          <w:tcPr>
            <w:tcW w:w="122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88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4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1.00</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0.77</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0.82</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0.85</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0.38</w:t>
            </w:r>
          </w:p>
        </w:tc>
      </w:tr>
      <w:tr w:rsidR="003F37B9" w:rsidRPr="003F37B9" w:rsidTr="003F37B9">
        <w:trPr>
          <w:trHeight w:val="300"/>
        </w:trPr>
        <w:tc>
          <w:tcPr>
            <w:tcW w:w="192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EQUAL</w:t>
            </w:r>
          </w:p>
        </w:tc>
        <w:tc>
          <w:tcPr>
            <w:tcW w:w="122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88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4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1.00</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0.93</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0.56</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-0.13</w:t>
            </w:r>
          </w:p>
        </w:tc>
      </w:tr>
      <w:tr w:rsidR="003F37B9" w:rsidRPr="003F37B9" w:rsidTr="003F37B9">
        <w:trPr>
          <w:trHeight w:val="300"/>
        </w:trPr>
        <w:tc>
          <w:tcPr>
            <w:tcW w:w="192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ERAB</w:t>
            </w:r>
          </w:p>
        </w:tc>
        <w:tc>
          <w:tcPr>
            <w:tcW w:w="122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88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4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1.00</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0.76</w:t>
            </w:r>
          </w:p>
        </w:tc>
        <w:tc>
          <w:tcPr>
            <w:tcW w:w="960" w:type="dxa"/>
            <w:tcBorders>
              <w:top w:val="nil"/>
              <w:left w:val="nil"/>
              <w:bottom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0.25</w:t>
            </w:r>
          </w:p>
        </w:tc>
      </w:tr>
      <w:tr w:rsidR="003F37B9" w:rsidRPr="003F37B9" w:rsidTr="00B30740">
        <w:trPr>
          <w:trHeight w:val="300"/>
        </w:trPr>
        <w:tc>
          <w:tcPr>
            <w:tcW w:w="1920" w:type="dxa"/>
            <w:tcBorders>
              <w:top w:val="nil"/>
              <w:left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JCR</w:t>
            </w:r>
          </w:p>
        </w:tc>
        <w:tc>
          <w:tcPr>
            <w:tcW w:w="1220" w:type="dxa"/>
            <w:tcBorders>
              <w:top w:val="nil"/>
              <w:left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880" w:type="dxa"/>
            <w:tcBorders>
              <w:top w:val="nil"/>
              <w:left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40" w:type="dxa"/>
            <w:tcBorders>
              <w:top w:val="nil"/>
              <w:left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60" w:type="dxa"/>
            <w:tcBorders>
              <w:top w:val="nil"/>
              <w:left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60" w:type="dxa"/>
            <w:tcBorders>
              <w:top w:val="nil"/>
              <w:left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60" w:type="dxa"/>
            <w:tcBorders>
              <w:top w:val="nil"/>
              <w:left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1.00</w:t>
            </w:r>
          </w:p>
        </w:tc>
        <w:tc>
          <w:tcPr>
            <w:tcW w:w="960" w:type="dxa"/>
            <w:tcBorders>
              <w:top w:val="nil"/>
              <w:left w:val="nil"/>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0.74</w:t>
            </w:r>
          </w:p>
        </w:tc>
      </w:tr>
      <w:tr w:rsidR="003F37B9" w:rsidRPr="003F37B9" w:rsidTr="00B30740">
        <w:trPr>
          <w:trHeight w:val="300"/>
        </w:trPr>
        <w:tc>
          <w:tcPr>
            <w:tcW w:w="1920" w:type="dxa"/>
            <w:tcBorders>
              <w:top w:val="nil"/>
              <w:left w:val="nil"/>
              <w:bottom w:val="single" w:sz="4" w:space="0" w:color="auto"/>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KMS</w:t>
            </w:r>
          </w:p>
        </w:tc>
        <w:tc>
          <w:tcPr>
            <w:tcW w:w="1220" w:type="dxa"/>
            <w:tcBorders>
              <w:top w:val="nil"/>
              <w:left w:val="nil"/>
              <w:bottom w:val="single" w:sz="4" w:space="0" w:color="auto"/>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880" w:type="dxa"/>
            <w:tcBorders>
              <w:top w:val="nil"/>
              <w:left w:val="nil"/>
              <w:bottom w:val="single" w:sz="4" w:space="0" w:color="auto"/>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40" w:type="dxa"/>
            <w:tcBorders>
              <w:top w:val="nil"/>
              <w:left w:val="nil"/>
              <w:bottom w:val="single" w:sz="4" w:space="0" w:color="auto"/>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60" w:type="dxa"/>
            <w:tcBorders>
              <w:top w:val="nil"/>
              <w:left w:val="nil"/>
              <w:bottom w:val="single" w:sz="4" w:space="0" w:color="auto"/>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60" w:type="dxa"/>
            <w:tcBorders>
              <w:top w:val="nil"/>
              <w:left w:val="nil"/>
              <w:bottom w:val="single" w:sz="4" w:space="0" w:color="auto"/>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60" w:type="dxa"/>
            <w:tcBorders>
              <w:top w:val="nil"/>
              <w:left w:val="nil"/>
              <w:bottom w:val="single" w:sz="4" w:space="0" w:color="auto"/>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p>
        </w:tc>
        <w:tc>
          <w:tcPr>
            <w:tcW w:w="960" w:type="dxa"/>
            <w:tcBorders>
              <w:top w:val="nil"/>
              <w:left w:val="nil"/>
              <w:bottom w:val="single" w:sz="4" w:space="0" w:color="auto"/>
              <w:right w:val="nil"/>
            </w:tcBorders>
            <w:shd w:val="clear" w:color="auto" w:fill="auto"/>
            <w:noWrap/>
            <w:vAlign w:val="bottom"/>
            <w:hideMark/>
          </w:tcPr>
          <w:p w:rsidR="003F37B9" w:rsidRPr="003F37B9" w:rsidRDefault="003F37B9" w:rsidP="00786AA4">
            <w:pPr>
              <w:spacing w:after="0" w:line="240" w:lineRule="auto"/>
              <w:jc w:val="both"/>
              <w:rPr>
                <w:rFonts w:ascii="Calibri" w:eastAsia="Times New Roman" w:hAnsi="Calibri" w:cs="Calibri"/>
                <w:color w:val="000000"/>
                <w:lang w:val="en-NZ" w:eastAsia="zh-CN"/>
              </w:rPr>
            </w:pPr>
            <w:r w:rsidRPr="003F37B9">
              <w:rPr>
                <w:rFonts w:ascii="Calibri" w:eastAsia="Times New Roman" w:hAnsi="Calibri" w:cs="Calibri"/>
                <w:color w:val="000000"/>
                <w:lang w:val="en-NZ" w:eastAsia="zh-CN"/>
              </w:rPr>
              <w:t>1.00</w:t>
            </w:r>
          </w:p>
        </w:tc>
      </w:tr>
      <w:tr w:rsidR="003F37B9" w:rsidRPr="003F37B9" w:rsidTr="00B30740">
        <w:trPr>
          <w:trHeight w:val="300"/>
        </w:trPr>
        <w:tc>
          <w:tcPr>
            <w:tcW w:w="8800" w:type="dxa"/>
            <w:gridSpan w:val="8"/>
            <w:tcBorders>
              <w:top w:val="single" w:sz="4" w:space="0" w:color="auto"/>
              <w:left w:val="nil"/>
              <w:right w:val="nil"/>
            </w:tcBorders>
            <w:shd w:val="clear" w:color="auto" w:fill="auto"/>
            <w:noWrap/>
            <w:vAlign w:val="bottom"/>
          </w:tcPr>
          <w:p w:rsidR="003F37B9" w:rsidRPr="003F37B9" w:rsidRDefault="003F37B9" w:rsidP="00786AA4">
            <w:pPr>
              <w:spacing w:after="0" w:line="240" w:lineRule="auto"/>
              <w:jc w:val="both"/>
              <w:rPr>
                <w:rFonts w:ascii="Calibri" w:eastAsia="Times New Roman" w:hAnsi="Calibri" w:cs="Calibri"/>
                <w:color w:val="000000"/>
                <w:sz w:val="16"/>
                <w:szCs w:val="16"/>
                <w:lang w:val="en-NZ" w:eastAsia="zh-CN"/>
              </w:rPr>
            </w:pPr>
            <w:r w:rsidRPr="003F37B9">
              <w:rPr>
                <w:rFonts w:ascii="Calibri" w:eastAsia="Times New Roman" w:hAnsi="Calibri" w:cs="Calibri"/>
                <w:i/>
                <w:iCs/>
                <w:sz w:val="16"/>
                <w:szCs w:val="16"/>
                <w:lang w:val="en-NZ" w:eastAsia="zh-CN"/>
              </w:rPr>
              <w:t>Note:</w:t>
            </w:r>
            <w:r w:rsidRPr="003F37B9">
              <w:rPr>
                <w:rFonts w:ascii="Calibri" w:eastAsia="Times New Roman" w:hAnsi="Calibri" w:cs="Calibri"/>
                <w:sz w:val="16"/>
                <w:szCs w:val="16"/>
                <w:lang w:val="en-NZ" w:eastAsia="zh-CN"/>
              </w:rPr>
              <w:t xml:space="preserve"> For all academic staff as of 15 April 2009</w:t>
            </w:r>
          </w:p>
        </w:tc>
      </w:tr>
    </w:tbl>
    <w:p w:rsidR="00D555CC" w:rsidRDefault="00D555CC" w:rsidP="00786AA4">
      <w:pPr>
        <w:jc w:val="both"/>
      </w:pPr>
    </w:p>
    <w:tbl>
      <w:tblPr>
        <w:tblW w:w="8804" w:type="dxa"/>
        <w:tblInd w:w="93" w:type="dxa"/>
        <w:tblLook w:val="04A0"/>
      </w:tblPr>
      <w:tblGrid>
        <w:gridCol w:w="1858"/>
        <w:gridCol w:w="1276"/>
        <w:gridCol w:w="850"/>
        <w:gridCol w:w="993"/>
        <w:gridCol w:w="850"/>
        <w:gridCol w:w="992"/>
        <w:gridCol w:w="993"/>
        <w:gridCol w:w="992"/>
      </w:tblGrid>
      <w:tr w:rsidR="00B30740" w:rsidRPr="00B30740" w:rsidTr="00B30740">
        <w:trPr>
          <w:trHeight w:val="300"/>
        </w:trPr>
        <w:tc>
          <w:tcPr>
            <w:tcW w:w="8804" w:type="dxa"/>
            <w:gridSpan w:val="8"/>
            <w:tcBorders>
              <w:top w:val="nil"/>
              <w:left w:val="nil"/>
              <w:bottom w:val="nil"/>
              <w:right w:val="nil"/>
            </w:tcBorders>
            <w:shd w:val="clear" w:color="auto" w:fill="auto"/>
            <w:noWrap/>
            <w:vAlign w:val="bottom"/>
            <w:hideMark/>
          </w:tcPr>
          <w:p w:rsidR="000D1827" w:rsidRDefault="00B30740" w:rsidP="000D1827">
            <w:pPr>
              <w:spacing w:after="0" w:line="240" w:lineRule="auto"/>
              <w:jc w:val="center"/>
              <w:rPr>
                <w:rFonts w:ascii="Calibri" w:eastAsia="Times New Roman" w:hAnsi="Calibri" w:cs="Calibri"/>
                <w:i/>
                <w:iCs/>
                <w:color w:val="000000"/>
                <w:lang w:val="en-NZ" w:eastAsia="zh-CN"/>
              </w:rPr>
            </w:pPr>
            <w:r w:rsidRPr="00B30740">
              <w:rPr>
                <w:rFonts w:ascii="Calibri" w:eastAsia="Times New Roman" w:hAnsi="Calibri" w:cs="Calibri"/>
                <w:b/>
                <w:bCs/>
                <w:color w:val="000000"/>
                <w:lang w:val="en-NZ" w:eastAsia="zh-CN"/>
              </w:rPr>
              <w:t>Table 8</w:t>
            </w:r>
            <w:r w:rsidR="00AA4395">
              <w:rPr>
                <w:rFonts w:ascii="Calibri" w:eastAsia="Times New Roman" w:hAnsi="Calibri" w:cs="Calibri"/>
                <w:b/>
                <w:bCs/>
                <w:color w:val="000000"/>
                <w:lang w:val="en-NZ" w:eastAsia="zh-CN"/>
              </w:rPr>
              <w:t>.</w:t>
            </w:r>
            <w:r w:rsidRPr="00B30740">
              <w:rPr>
                <w:rFonts w:ascii="Calibri" w:eastAsia="Times New Roman" w:hAnsi="Calibri" w:cs="Calibri"/>
                <w:b/>
                <w:bCs/>
                <w:color w:val="000000"/>
                <w:lang w:val="en-NZ" w:eastAsia="zh-CN"/>
              </w:rPr>
              <w:t xml:space="preserve"> </w:t>
            </w:r>
            <w:r w:rsidRPr="00B30740">
              <w:rPr>
                <w:rFonts w:ascii="Calibri" w:eastAsia="Times New Roman" w:hAnsi="Calibri" w:cs="Calibri"/>
                <w:i/>
                <w:iCs/>
                <w:color w:val="000000"/>
                <w:lang w:val="en-NZ" w:eastAsia="zh-CN"/>
              </w:rPr>
              <w:t>Spearman Rank Correlation Coefficients</w:t>
            </w:r>
            <w:r w:rsidRPr="00AA4395">
              <w:rPr>
                <w:rFonts w:ascii="Calibri" w:eastAsia="Times New Roman" w:hAnsi="Calibri" w:cs="Calibri"/>
                <w:i/>
                <w:iCs/>
                <w:color w:val="000000"/>
                <w:lang w:val="en-NZ" w:eastAsia="zh-CN"/>
              </w:rPr>
              <w:t xml:space="preserve"> fo</w:t>
            </w:r>
            <w:r w:rsidR="000D1827">
              <w:rPr>
                <w:rFonts w:ascii="Calibri" w:eastAsia="Times New Roman" w:hAnsi="Calibri" w:cs="Calibri"/>
                <w:i/>
                <w:iCs/>
                <w:color w:val="000000"/>
                <w:lang w:val="en-NZ" w:eastAsia="zh-CN"/>
              </w:rPr>
              <w:t>r Departmental Output Measures</w:t>
            </w:r>
          </w:p>
          <w:p w:rsidR="00B30740" w:rsidRPr="00B30740" w:rsidRDefault="00B30740" w:rsidP="000D1827">
            <w:pPr>
              <w:spacing w:after="0" w:line="240" w:lineRule="auto"/>
              <w:jc w:val="center"/>
              <w:rPr>
                <w:rFonts w:ascii="Calibri" w:eastAsia="Times New Roman" w:hAnsi="Calibri" w:cs="Calibri"/>
                <w:b/>
                <w:bCs/>
                <w:color w:val="000000"/>
                <w:lang w:val="en-NZ" w:eastAsia="zh-CN"/>
              </w:rPr>
            </w:pPr>
            <w:r w:rsidRPr="00AA4395">
              <w:rPr>
                <w:rFonts w:ascii="Calibri" w:eastAsia="Times New Roman" w:hAnsi="Calibri" w:cs="Calibri"/>
                <w:i/>
                <w:iCs/>
                <w:color w:val="000000"/>
                <w:lang w:val="en-NZ" w:eastAsia="zh-CN"/>
              </w:rPr>
              <w:t>2003-2008</w:t>
            </w:r>
          </w:p>
        </w:tc>
      </w:tr>
      <w:tr w:rsidR="00B30740" w:rsidRPr="00B30740" w:rsidTr="00B30740">
        <w:trPr>
          <w:trHeight w:val="300"/>
        </w:trPr>
        <w:tc>
          <w:tcPr>
            <w:tcW w:w="1858" w:type="dxa"/>
            <w:tcBorders>
              <w:top w:val="single" w:sz="4" w:space="0" w:color="auto"/>
              <w:left w:val="nil"/>
              <w:bottom w:val="single" w:sz="4" w:space="0" w:color="auto"/>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p>
        </w:tc>
        <w:tc>
          <w:tcPr>
            <w:tcW w:w="1276" w:type="dxa"/>
            <w:tcBorders>
              <w:top w:val="single" w:sz="4" w:space="0" w:color="auto"/>
              <w:left w:val="nil"/>
              <w:bottom w:val="single" w:sz="4" w:space="0" w:color="auto"/>
              <w:right w:val="nil"/>
            </w:tcBorders>
            <w:shd w:val="clear" w:color="auto" w:fill="auto"/>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r w:rsidRPr="00B30740">
              <w:rPr>
                <w:rFonts w:ascii="Calibri" w:eastAsia="Times New Roman" w:hAnsi="Calibri" w:cs="Calibri"/>
                <w:b/>
                <w:bCs/>
                <w:color w:val="000000"/>
                <w:lang w:val="en-NZ" w:eastAsia="zh-CN"/>
              </w:rPr>
              <w:t>ISIC</w:t>
            </w:r>
          </w:p>
        </w:tc>
        <w:tc>
          <w:tcPr>
            <w:tcW w:w="850" w:type="dxa"/>
            <w:tcBorders>
              <w:top w:val="single" w:sz="4" w:space="0" w:color="auto"/>
              <w:left w:val="nil"/>
              <w:bottom w:val="single" w:sz="4" w:space="0" w:color="auto"/>
              <w:right w:val="nil"/>
            </w:tcBorders>
            <w:shd w:val="clear" w:color="auto" w:fill="auto"/>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proofErr w:type="spellStart"/>
            <w:r w:rsidRPr="00B30740">
              <w:rPr>
                <w:rFonts w:ascii="Calibri" w:eastAsia="Times New Roman" w:hAnsi="Calibri" w:cs="Calibri"/>
                <w:b/>
                <w:bCs/>
                <w:color w:val="000000"/>
                <w:lang w:val="en-NZ" w:eastAsia="zh-CN"/>
              </w:rPr>
              <w:t>ISIg</w:t>
            </w:r>
            <w:proofErr w:type="spellEnd"/>
          </w:p>
        </w:tc>
        <w:tc>
          <w:tcPr>
            <w:tcW w:w="993" w:type="dxa"/>
            <w:tcBorders>
              <w:top w:val="single" w:sz="4" w:space="0" w:color="auto"/>
              <w:left w:val="nil"/>
              <w:bottom w:val="single" w:sz="4" w:space="0" w:color="auto"/>
              <w:right w:val="nil"/>
            </w:tcBorders>
            <w:shd w:val="clear" w:color="auto" w:fill="auto"/>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proofErr w:type="spellStart"/>
            <w:r w:rsidRPr="00B30740">
              <w:rPr>
                <w:rFonts w:ascii="Calibri" w:eastAsia="Times New Roman" w:hAnsi="Calibri" w:cs="Calibri"/>
                <w:b/>
                <w:bCs/>
                <w:color w:val="000000"/>
                <w:lang w:val="en-NZ" w:eastAsia="zh-CN"/>
              </w:rPr>
              <w:t>ISIh</w:t>
            </w:r>
            <w:proofErr w:type="spellEnd"/>
          </w:p>
        </w:tc>
        <w:tc>
          <w:tcPr>
            <w:tcW w:w="850" w:type="dxa"/>
            <w:tcBorders>
              <w:top w:val="single" w:sz="4" w:space="0" w:color="auto"/>
              <w:left w:val="nil"/>
              <w:bottom w:val="single" w:sz="4" w:space="0" w:color="auto"/>
              <w:right w:val="nil"/>
            </w:tcBorders>
            <w:shd w:val="clear" w:color="auto" w:fill="auto"/>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r w:rsidRPr="00B30740">
              <w:rPr>
                <w:rFonts w:ascii="Calibri" w:eastAsia="Times New Roman" w:hAnsi="Calibri" w:cs="Calibri"/>
                <w:b/>
                <w:bCs/>
                <w:color w:val="000000"/>
                <w:lang w:val="en-NZ" w:eastAsia="zh-CN"/>
              </w:rPr>
              <w:t>EQUAL</w:t>
            </w:r>
          </w:p>
        </w:tc>
        <w:tc>
          <w:tcPr>
            <w:tcW w:w="992" w:type="dxa"/>
            <w:tcBorders>
              <w:top w:val="single" w:sz="4" w:space="0" w:color="auto"/>
              <w:left w:val="nil"/>
              <w:bottom w:val="single" w:sz="4" w:space="0" w:color="auto"/>
              <w:right w:val="nil"/>
            </w:tcBorders>
            <w:shd w:val="clear" w:color="auto" w:fill="auto"/>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r w:rsidRPr="00B30740">
              <w:rPr>
                <w:rFonts w:ascii="Calibri" w:eastAsia="Times New Roman" w:hAnsi="Calibri" w:cs="Calibri"/>
                <w:b/>
                <w:bCs/>
                <w:color w:val="000000"/>
                <w:lang w:val="en-NZ" w:eastAsia="zh-CN"/>
              </w:rPr>
              <w:t>ERA</w:t>
            </w:r>
          </w:p>
        </w:tc>
        <w:tc>
          <w:tcPr>
            <w:tcW w:w="993" w:type="dxa"/>
            <w:tcBorders>
              <w:top w:val="single" w:sz="4" w:space="0" w:color="auto"/>
              <w:left w:val="nil"/>
              <w:bottom w:val="single" w:sz="4" w:space="0" w:color="auto"/>
              <w:right w:val="nil"/>
            </w:tcBorders>
            <w:shd w:val="clear" w:color="auto" w:fill="auto"/>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r w:rsidRPr="00B30740">
              <w:rPr>
                <w:rFonts w:ascii="Calibri" w:eastAsia="Times New Roman" w:hAnsi="Calibri" w:cs="Calibri"/>
                <w:b/>
                <w:bCs/>
                <w:color w:val="000000"/>
                <w:lang w:val="en-NZ" w:eastAsia="zh-CN"/>
              </w:rPr>
              <w:t>JCR</w:t>
            </w:r>
          </w:p>
        </w:tc>
        <w:tc>
          <w:tcPr>
            <w:tcW w:w="992" w:type="dxa"/>
            <w:tcBorders>
              <w:top w:val="single" w:sz="4" w:space="0" w:color="auto"/>
              <w:left w:val="nil"/>
              <w:bottom w:val="single" w:sz="4" w:space="0" w:color="auto"/>
              <w:right w:val="nil"/>
            </w:tcBorders>
            <w:shd w:val="clear" w:color="auto" w:fill="auto"/>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r w:rsidRPr="00B30740">
              <w:rPr>
                <w:rFonts w:ascii="Calibri" w:eastAsia="Times New Roman" w:hAnsi="Calibri" w:cs="Calibri"/>
                <w:b/>
                <w:bCs/>
                <w:color w:val="000000"/>
                <w:lang w:val="en-NZ" w:eastAsia="zh-CN"/>
              </w:rPr>
              <w:t>KMS</w:t>
            </w:r>
          </w:p>
        </w:tc>
      </w:tr>
      <w:tr w:rsidR="00B30740" w:rsidRPr="00B30740" w:rsidTr="00B30740">
        <w:trPr>
          <w:trHeight w:val="300"/>
        </w:trPr>
        <w:tc>
          <w:tcPr>
            <w:tcW w:w="1858"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r w:rsidRPr="00B30740">
              <w:rPr>
                <w:rFonts w:ascii="Calibri" w:eastAsia="Times New Roman" w:hAnsi="Calibri" w:cs="Calibri"/>
                <w:b/>
                <w:bCs/>
                <w:color w:val="000000"/>
                <w:lang w:val="en-NZ" w:eastAsia="zh-CN"/>
              </w:rPr>
              <w:t>ISIC</w:t>
            </w:r>
          </w:p>
        </w:tc>
        <w:tc>
          <w:tcPr>
            <w:tcW w:w="1276"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1.00</w:t>
            </w:r>
          </w:p>
        </w:tc>
        <w:tc>
          <w:tcPr>
            <w:tcW w:w="850"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0.85</w:t>
            </w:r>
          </w:p>
        </w:tc>
        <w:tc>
          <w:tcPr>
            <w:tcW w:w="993"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0.81</w:t>
            </w:r>
          </w:p>
        </w:tc>
        <w:tc>
          <w:tcPr>
            <w:tcW w:w="850"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0.67</w:t>
            </w:r>
          </w:p>
        </w:tc>
        <w:tc>
          <w:tcPr>
            <w:tcW w:w="992"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0.71</w:t>
            </w:r>
          </w:p>
        </w:tc>
        <w:tc>
          <w:tcPr>
            <w:tcW w:w="993"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0.64</w:t>
            </w:r>
          </w:p>
        </w:tc>
        <w:tc>
          <w:tcPr>
            <w:tcW w:w="992"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0.60</w:t>
            </w:r>
          </w:p>
        </w:tc>
      </w:tr>
      <w:tr w:rsidR="00B30740" w:rsidRPr="00B30740" w:rsidTr="00B30740">
        <w:trPr>
          <w:trHeight w:val="300"/>
        </w:trPr>
        <w:tc>
          <w:tcPr>
            <w:tcW w:w="1858"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proofErr w:type="spellStart"/>
            <w:r w:rsidRPr="00B30740">
              <w:rPr>
                <w:rFonts w:ascii="Calibri" w:eastAsia="Times New Roman" w:hAnsi="Calibri" w:cs="Calibri"/>
                <w:b/>
                <w:bCs/>
                <w:color w:val="000000"/>
                <w:lang w:val="en-NZ" w:eastAsia="zh-CN"/>
              </w:rPr>
              <w:t>ISIg</w:t>
            </w:r>
            <w:proofErr w:type="spellEnd"/>
          </w:p>
        </w:tc>
        <w:tc>
          <w:tcPr>
            <w:tcW w:w="1276"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850"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1.00</w:t>
            </w:r>
          </w:p>
        </w:tc>
        <w:tc>
          <w:tcPr>
            <w:tcW w:w="993"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0.85</w:t>
            </w:r>
          </w:p>
        </w:tc>
        <w:tc>
          <w:tcPr>
            <w:tcW w:w="850"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0.53</w:t>
            </w:r>
          </w:p>
        </w:tc>
        <w:tc>
          <w:tcPr>
            <w:tcW w:w="992"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0.65</w:t>
            </w:r>
          </w:p>
        </w:tc>
        <w:tc>
          <w:tcPr>
            <w:tcW w:w="993"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0.87</w:t>
            </w:r>
          </w:p>
        </w:tc>
        <w:tc>
          <w:tcPr>
            <w:tcW w:w="992"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0.76</w:t>
            </w:r>
          </w:p>
        </w:tc>
      </w:tr>
      <w:tr w:rsidR="00B30740" w:rsidRPr="00B30740" w:rsidTr="00B30740">
        <w:trPr>
          <w:trHeight w:val="300"/>
        </w:trPr>
        <w:tc>
          <w:tcPr>
            <w:tcW w:w="1858"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proofErr w:type="spellStart"/>
            <w:r w:rsidRPr="00B30740">
              <w:rPr>
                <w:rFonts w:ascii="Calibri" w:eastAsia="Times New Roman" w:hAnsi="Calibri" w:cs="Calibri"/>
                <w:b/>
                <w:bCs/>
                <w:color w:val="000000"/>
                <w:lang w:val="en-NZ" w:eastAsia="zh-CN"/>
              </w:rPr>
              <w:t>ISIh</w:t>
            </w:r>
            <w:proofErr w:type="spellEnd"/>
          </w:p>
        </w:tc>
        <w:tc>
          <w:tcPr>
            <w:tcW w:w="1276"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850"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993"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1.00</w:t>
            </w:r>
          </w:p>
        </w:tc>
        <w:tc>
          <w:tcPr>
            <w:tcW w:w="850"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0.67</w:t>
            </w:r>
          </w:p>
        </w:tc>
        <w:tc>
          <w:tcPr>
            <w:tcW w:w="992"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0.76</w:t>
            </w:r>
          </w:p>
        </w:tc>
        <w:tc>
          <w:tcPr>
            <w:tcW w:w="993"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0.69</w:t>
            </w:r>
          </w:p>
        </w:tc>
        <w:tc>
          <w:tcPr>
            <w:tcW w:w="992"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0.55</w:t>
            </w:r>
          </w:p>
        </w:tc>
      </w:tr>
      <w:tr w:rsidR="00B30740" w:rsidRPr="00B30740" w:rsidTr="00B30740">
        <w:trPr>
          <w:trHeight w:val="300"/>
        </w:trPr>
        <w:tc>
          <w:tcPr>
            <w:tcW w:w="1858"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r w:rsidRPr="00B30740">
              <w:rPr>
                <w:rFonts w:ascii="Calibri" w:eastAsia="Times New Roman" w:hAnsi="Calibri" w:cs="Calibri"/>
                <w:b/>
                <w:bCs/>
                <w:color w:val="000000"/>
                <w:lang w:val="en-NZ" w:eastAsia="zh-CN"/>
              </w:rPr>
              <w:t>EQUAL</w:t>
            </w:r>
          </w:p>
        </w:tc>
        <w:tc>
          <w:tcPr>
            <w:tcW w:w="1276"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850"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993"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850"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1.00</w:t>
            </w:r>
          </w:p>
        </w:tc>
        <w:tc>
          <w:tcPr>
            <w:tcW w:w="992"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0.95</w:t>
            </w:r>
          </w:p>
        </w:tc>
        <w:tc>
          <w:tcPr>
            <w:tcW w:w="993"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0.52</w:t>
            </w:r>
          </w:p>
        </w:tc>
        <w:tc>
          <w:tcPr>
            <w:tcW w:w="992"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0.48</w:t>
            </w:r>
          </w:p>
        </w:tc>
      </w:tr>
      <w:tr w:rsidR="00B30740" w:rsidRPr="00B30740" w:rsidTr="00B30740">
        <w:trPr>
          <w:trHeight w:val="300"/>
        </w:trPr>
        <w:tc>
          <w:tcPr>
            <w:tcW w:w="1858"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r w:rsidRPr="00B30740">
              <w:rPr>
                <w:rFonts w:ascii="Calibri" w:eastAsia="Times New Roman" w:hAnsi="Calibri" w:cs="Calibri"/>
                <w:b/>
                <w:bCs/>
                <w:color w:val="000000"/>
                <w:lang w:val="en-NZ" w:eastAsia="zh-CN"/>
              </w:rPr>
              <w:t>ERAB</w:t>
            </w:r>
          </w:p>
        </w:tc>
        <w:tc>
          <w:tcPr>
            <w:tcW w:w="1276"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850"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993"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850"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992"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1.00</w:t>
            </w:r>
          </w:p>
        </w:tc>
        <w:tc>
          <w:tcPr>
            <w:tcW w:w="993"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0.67</w:t>
            </w:r>
          </w:p>
        </w:tc>
        <w:tc>
          <w:tcPr>
            <w:tcW w:w="992" w:type="dxa"/>
            <w:tcBorders>
              <w:top w:val="nil"/>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0.62</w:t>
            </w:r>
          </w:p>
        </w:tc>
      </w:tr>
      <w:tr w:rsidR="00B30740" w:rsidRPr="00B30740" w:rsidTr="00B30740">
        <w:trPr>
          <w:trHeight w:val="300"/>
        </w:trPr>
        <w:tc>
          <w:tcPr>
            <w:tcW w:w="1858" w:type="dxa"/>
            <w:tcBorders>
              <w:top w:val="nil"/>
              <w:left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r w:rsidRPr="00B30740">
              <w:rPr>
                <w:rFonts w:ascii="Calibri" w:eastAsia="Times New Roman" w:hAnsi="Calibri" w:cs="Calibri"/>
                <w:b/>
                <w:bCs/>
                <w:color w:val="000000"/>
                <w:lang w:val="en-NZ" w:eastAsia="zh-CN"/>
              </w:rPr>
              <w:t>JCR</w:t>
            </w:r>
          </w:p>
        </w:tc>
        <w:tc>
          <w:tcPr>
            <w:tcW w:w="1276" w:type="dxa"/>
            <w:tcBorders>
              <w:top w:val="nil"/>
              <w:left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850" w:type="dxa"/>
            <w:tcBorders>
              <w:top w:val="nil"/>
              <w:left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993" w:type="dxa"/>
            <w:tcBorders>
              <w:top w:val="nil"/>
              <w:left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850" w:type="dxa"/>
            <w:tcBorders>
              <w:top w:val="nil"/>
              <w:left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992" w:type="dxa"/>
            <w:tcBorders>
              <w:top w:val="nil"/>
              <w:left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993" w:type="dxa"/>
            <w:tcBorders>
              <w:top w:val="nil"/>
              <w:left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1.00</w:t>
            </w:r>
          </w:p>
        </w:tc>
        <w:tc>
          <w:tcPr>
            <w:tcW w:w="992" w:type="dxa"/>
            <w:tcBorders>
              <w:top w:val="nil"/>
              <w:left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0.91</w:t>
            </w:r>
          </w:p>
        </w:tc>
      </w:tr>
      <w:tr w:rsidR="00B30740" w:rsidRPr="00B30740" w:rsidTr="00B30740">
        <w:trPr>
          <w:trHeight w:val="300"/>
        </w:trPr>
        <w:tc>
          <w:tcPr>
            <w:tcW w:w="1858" w:type="dxa"/>
            <w:tcBorders>
              <w:top w:val="nil"/>
              <w:left w:val="nil"/>
              <w:bottom w:val="single" w:sz="4" w:space="0" w:color="auto"/>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b/>
                <w:bCs/>
                <w:color w:val="000000"/>
                <w:lang w:val="en-NZ" w:eastAsia="zh-CN"/>
              </w:rPr>
            </w:pPr>
            <w:r w:rsidRPr="00B30740">
              <w:rPr>
                <w:rFonts w:ascii="Calibri" w:eastAsia="Times New Roman" w:hAnsi="Calibri" w:cs="Calibri"/>
                <w:b/>
                <w:bCs/>
                <w:color w:val="000000"/>
                <w:lang w:val="en-NZ" w:eastAsia="zh-CN"/>
              </w:rPr>
              <w:t>KMS</w:t>
            </w:r>
          </w:p>
        </w:tc>
        <w:tc>
          <w:tcPr>
            <w:tcW w:w="1276" w:type="dxa"/>
            <w:tcBorders>
              <w:top w:val="nil"/>
              <w:left w:val="nil"/>
              <w:bottom w:val="single" w:sz="4" w:space="0" w:color="auto"/>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850" w:type="dxa"/>
            <w:tcBorders>
              <w:top w:val="nil"/>
              <w:left w:val="nil"/>
              <w:bottom w:val="single" w:sz="4" w:space="0" w:color="auto"/>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993" w:type="dxa"/>
            <w:tcBorders>
              <w:top w:val="nil"/>
              <w:left w:val="nil"/>
              <w:bottom w:val="single" w:sz="4" w:space="0" w:color="auto"/>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850" w:type="dxa"/>
            <w:tcBorders>
              <w:top w:val="nil"/>
              <w:left w:val="nil"/>
              <w:bottom w:val="single" w:sz="4" w:space="0" w:color="auto"/>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992" w:type="dxa"/>
            <w:tcBorders>
              <w:top w:val="nil"/>
              <w:left w:val="nil"/>
              <w:bottom w:val="single" w:sz="4" w:space="0" w:color="auto"/>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993" w:type="dxa"/>
            <w:tcBorders>
              <w:top w:val="nil"/>
              <w:left w:val="nil"/>
              <w:bottom w:val="single" w:sz="4" w:space="0" w:color="auto"/>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p>
        </w:tc>
        <w:tc>
          <w:tcPr>
            <w:tcW w:w="992" w:type="dxa"/>
            <w:tcBorders>
              <w:top w:val="nil"/>
              <w:left w:val="nil"/>
              <w:bottom w:val="single" w:sz="4" w:space="0" w:color="auto"/>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lang w:val="en-NZ" w:eastAsia="zh-CN"/>
              </w:rPr>
            </w:pPr>
            <w:r w:rsidRPr="00B30740">
              <w:rPr>
                <w:rFonts w:ascii="Calibri" w:eastAsia="Times New Roman" w:hAnsi="Calibri" w:cs="Calibri"/>
                <w:color w:val="000000"/>
                <w:lang w:val="en-NZ" w:eastAsia="zh-CN"/>
              </w:rPr>
              <w:t>1.00</w:t>
            </w:r>
          </w:p>
        </w:tc>
      </w:tr>
      <w:tr w:rsidR="00B30740" w:rsidRPr="00B30740" w:rsidTr="00B30740">
        <w:trPr>
          <w:trHeight w:val="300"/>
        </w:trPr>
        <w:tc>
          <w:tcPr>
            <w:tcW w:w="8804" w:type="dxa"/>
            <w:gridSpan w:val="8"/>
            <w:tcBorders>
              <w:top w:val="single" w:sz="4" w:space="0" w:color="auto"/>
              <w:left w:val="nil"/>
              <w:bottom w:val="nil"/>
              <w:right w:val="nil"/>
            </w:tcBorders>
            <w:shd w:val="clear" w:color="auto" w:fill="auto"/>
            <w:noWrap/>
            <w:vAlign w:val="bottom"/>
            <w:hideMark/>
          </w:tcPr>
          <w:p w:rsidR="00B30740" w:rsidRPr="00B30740" w:rsidRDefault="00B30740" w:rsidP="00786AA4">
            <w:pPr>
              <w:spacing w:after="0" w:line="240" w:lineRule="auto"/>
              <w:jc w:val="both"/>
              <w:rPr>
                <w:rFonts w:ascii="Calibri" w:eastAsia="Times New Roman" w:hAnsi="Calibri" w:cs="Calibri"/>
                <w:color w:val="000000"/>
                <w:sz w:val="16"/>
                <w:szCs w:val="16"/>
                <w:lang w:val="en-NZ" w:eastAsia="zh-CN"/>
              </w:rPr>
            </w:pPr>
            <w:r w:rsidRPr="00B30740">
              <w:rPr>
                <w:rFonts w:ascii="Calibri" w:eastAsia="Times New Roman" w:hAnsi="Calibri" w:cs="Calibri"/>
                <w:i/>
                <w:iCs/>
                <w:sz w:val="16"/>
                <w:szCs w:val="16"/>
                <w:lang w:val="en-NZ" w:eastAsia="zh-CN"/>
              </w:rPr>
              <w:t>Note:</w:t>
            </w:r>
            <w:r w:rsidRPr="00B30740">
              <w:rPr>
                <w:rFonts w:ascii="Calibri" w:eastAsia="Times New Roman" w:hAnsi="Calibri" w:cs="Calibri"/>
                <w:sz w:val="16"/>
                <w:szCs w:val="16"/>
                <w:lang w:val="en-NZ" w:eastAsia="zh-CN"/>
              </w:rPr>
              <w:t xml:space="preserve"> For all academic staff as of 15 April 2009</w:t>
            </w:r>
          </w:p>
        </w:tc>
      </w:tr>
    </w:tbl>
    <w:p w:rsidR="00B30740" w:rsidRDefault="00B30740" w:rsidP="00786AA4">
      <w:pPr>
        <w:jc w:val="both"/>
      </w:pPr>
    </w:p>
    <w:p w:rsidR="00F244A3" w:rsidRDefault="00B60181" w:rsidP="00786AA4">
      <w:pPr>
        <w:jc w:val="both"/>
      </w:pPr>
      <w:r>
        <w:t xml:space="preserve">Although somewhat less sophisticated, the importance of the RAM selection process in determining institutional winners and losers can best be seen </w:t>
      </w:r>
      <w:r w:rsidR="00C54E9C">
        <w:t>in</w:t>
      </w:r>
      <w:r>
        <w:t xml:space="preserve"> </w:t>
      </w:r>
      <w:r w:rsidR="008B54F8">
        <w:t>Table</w:t>
      </w:r>
      <w:r w:rsidR="0032311A">
        <w:t xml:space="preserve"> 9</w:t>
      </w:r>
      <w:r w:rsidR="008B54F8">
        <w:t xml:space="preserve"> and Table</w:t>
      </w:r>
      <w:r w:rsidR="0032311A">
        <w:t xml:space="preserve"> 10</w:t>
      </w:r>
      <w:r w:rsidR="008B54F8">
        <w:t xml:space="preserve">.  </w:t>
      </w:r>
      <w:r w:rsidR="006212DD">
        <w:t xml:space="preserve">In the former we present standardized results for each output measure; that is, </w:t>
      </w:r>
      <w:r w:rsidR="00825AF4">
        <w:t xml:space="preserve">listed scores represent the percentage attainment of a given department relative to that attained by the leading department.  For example, under </w:t>
      </w:r>
      <w:r w:rsidR="00825AF4" w:rsidRPr="00F13954">
        <w:rPr>
          <w:b/>
        </w:rPr>
        <w:t>ISIC</w:t>
      </w:r>
      <w:r w:rsidR="00825AF4">
        <w:t xml:space="preserve">, </w:t>
      </w:r>
      <w:r w:rsidR="00825AF4">
        <w:lastRenderedPageBreak/>
        <w:t xml:space="preserve">Auckland’s per capita output is 24 percent of that produced by Waikato’s researchers. The importance of the RAM selection process can be seen by continuing to compare the above noted departments under alternative RAMs.  For example, </w:t>
      </w:r>
      <w:r w:rsidR="00F13954">
        <w:t xml:space="preserve">if we substitute </w:t>
      </w:r>
      <w:proofErr w:type="spellStart"/>
      <w:r w:rsidR="00825AF4" w:rsidRPr="00835693">
        <w:rPr>
          <w:b/>
        </w:rPr>
        <w:t>ISIg</w:t>
      </w:r>
      <w:proofErr w:type="spellEnd"/>
      <w:r w:rsidR="00825AF4">
        <w:t xml:space="preserve"> and </w:t>
      </w:r>
      <w:proofErr w:type="spellStart"/>
      <w:r w:rsidR="00825AF4" w:rsidRPr="00835693">
        <w:rPr>
          <w:b/>
        </w:rPr>
        <w:t>ISIh</w:t>
      </w:r>
      <w:proofErr w:type="spellEnd"/>
      <w:r w:rsidR="00F13954">
        <w:t xml:space="preserve"> for </w:t>
      </w:r>
      <w:r w:rsidR="00F13954" w:rsidRPr="00835693">
        <w:rPr>
          <w:b/>
        </w:rPr>
        <w:t>ISIC</w:t>
      </w:r>
      <w:r w:rsidR="00825AF4">
        <w:t>, Auckland’s performance relative to Waikato’s improves dramatically in absolute terms: from 23.9</w:t>
      </w:r>
      <w:r w:rsidR="00F13954">
        <w:t xml:space="preserve"> to</w:t>
      </w:r>
      <w:r w:rsidR="00825AF4">
        <w:t xml:space="preserve"> 66.2</w:t>
      </w:r>
      <w:r w:rsidR="00F13954">
        <w:t xml:space="preserve"> </w:t>
      </w:r>
      <w:r w:rsidR="00825AF4">
        <w:t xml:space="preserve">and </w:t>
      </w:r>
      <w:r w:rsidR="00F13954">
        <w:t xml:space="preserve">to </w:t>
      </w:r>
      <w:r w:rsidR="00825AF4">
        <w:t>65.0 percent</w:t>
      </w:r>
      <w:r w:rsidR="00F13954">
        <w:t xml:space="preserve">. </w:t>
      </w:r>
      <w:r w:rsidR="00825AF4">
        <w:t xml:space="preserve"> </w:t>
      </w:r>
      <w:r w:rsidR="00F13954">
        <w:t>Auckland also improves its relative ranking</w:t>
      </w:r>
      <w:r w:rsidR="00604C3C">
        <w:t xml:space="preserve"> (see Table9)</w:t>
      </w:r>
      <w:r w:rsidR="00F13954">
        <w:t xml:space="preserve">: from </w:t>
      </w:r>
      <w:r w:rsidR="00505129">
        <w:t>5</w:t>
      </w:r>
      <w:r w:rsidR="00F13954" w:rsidRPr="00F13954">
        <w:rPr>
          <w:vertAlign w:val="superscript"/>
        </w:rPr>
        <w:t>th</w:t>
      </w:r>
      <w:r w:rsidR="00F13954">
        <w:t xml:space="preserve"> under </w:t>
      </w:r>
      <w:r w:rsidR="00F13954" w:rsidRPr="00835693">
        <w:rPr>
          <w:b/>
        </w:rPr>
        <w:t>ISIC</w:t>
      </w:r>
      <w:r w:rsidR="00F13954">
        <w:t xml:space="preserve"> to 3</w:t>
      </w:r>
      <w:r w:rsidR="00F13954" w:rsidRPr="00F13954">
        <w:rPr>
          <w:vertAlign w:val="superscript"/>
        </w:rPr>
        <w:t>rd</w:t>
      </w:r>
      <w:r w:rsidR="00F13954">
        <w:t xml:space="preserve"> and 2</w:t>
      </w:r>
      <w:r w:rsidR="00F13954" w:rsidRPr="00F13954">
        <w:rPr>
          <w:vertAlign w:val="superscript"/>
        </w:rPr>
        <w:t>nd</w:t>
      </w:r>
      <w:r w:rsidR="00F13954">
        <w:t xml:space="preserve"> for </w:t>
      </w:r>
      <w:proofErr w:type="spellStart"/>
      <w:r w:rsidR="00F13954" w:rsidRPr="00835693">
        <w:rPr>
          <w:b/>
        </w:rPr>
        <w:t>ISIg</w:t>
      </w:r>
      <w:proofErr w:type="spellEnd"/>
      <w:r w:rsidR="00F13954">
        <w:t xml:space="preserve"> and </w:t>
      </w:r>
      <w:proofErr w:type="spellStart"/>
      <w:r w:rsidR="00F13954" w:rsidRPr="00835693">
        <w:rPr>
          <w:b/>
        </w:rPr>
        <w:t>ISIh</w:t>
      </w:r>
      <w:proofErr w:type="spellEnd"/>
      <w:r w:rsidR="00F13954">
        <w:t xml:space="preserve">, respectively.  In this case Auckland’s financial payout increases substantially but its bragging rights improve modestly (it is unusual for institutions </w:t>
      </w:r>
      <w:r w:rsidR="00CD6B68">
        <w:t xml:space="preserve">to </w:t>
      </w:r>
      <w:r w:rsidR="00F13954">
        <w:t xml:space="preserve">refer to their ranking unless they are </w:t>
      </w:r>
      <w:r w:rsidR="000D16A8">
        <w:t>‘</w:t>
      </w:r>
      <w:r w:rsidR="00F13954">
        <w:t>#1</w:t>
      </w:r>
      <w:r w:rsidR="000D16A8">
        <w:t>’</w:t>
      </w:r>
      <w:r w:rsidR="00F13954">
        <w:t>).</w:t>
      </w:r>
      <w:r w:rsidR="00C54E9C">
        <w:t xml:space="preserve">  At this point we should stress that </w:t>
      </w:r>
      <w:r w:rsidR="00835693">
        <w:t xml:space="preserve">if either of our </w:t>
      </w:r>
      <w:r w:rsidR="00C54E9C">
        <w:t>impact factor</w:t>
      </w:r>
      <w:r w:rsidR="00835693">
        <w:t xml:space="preserve">-based </w:t>
      </w:r>
      <w:r w:rsidR="00C54E9C">
        <w:t>RAMs (</w:t>
      </w:r>
      <w:r w:rsidR="00C54E9C" w:rsidRPr="00835693">
        <w:rPr>
          <w:b/>
        </w:rPr>
        <w:t>JCR</w:t>
      </w:r>
      <w:r w:rsidR="00C54E9C">
        <w:t xml:space="preserve"> or </w:t>
      </w:r>
      <w:r w:rsidR="00C54E9C" w:rsidRPr="00835693">
        <w:rPr>
          <w:b/>
        </w:rPr>
        <w:t>KMS)</w:t>
      </w:r>
      <w:r w:rsidR="00C54E9C">
        <w:t xml:space="preserve"> were to be the official weighting scheme, Auckland’s economics department would assume first place in the rankings.  </w:t>
      </w:r>
    </w:p>
    <w:p w:rsidR="005B545E" w:rsidRDefault="005B545E" w:rsidP="00786AA4">
      <w:pPr>
        <w:jc w:val="both"/>
      </w:pPr>
    </w:p>
    <w:tbl>
      <w:tblPr>
        <w:tblW w:w="10164" w:type="dxa"/>
        <w:jc w:val="center"/>
        <w:tblInd w:w="-842" w:type="dxa"/>
        <w:tblLook w:val="04A0"/>
      </w:tblPr>
      <w:tblGrid>
        <w:gridCol w:w="1291"/>
        <w:gridCol w:w="1701"/>
        <w:gridCol w:w="1418"/>
        <w:gridCol w:w="1417"/>
        <w:gridCol w:w="1134"/>
        <w:gridCol w:w="992"/>
        <w:gridCol w:w="1134"/>
        <w:gridCol w:w="1077"/>
      </w:tblGrid>
      <w:tr w:rsidR="00AA4395" w:rsidRPr="00AA4395" w:rsidTr="005E0DA3">
        <w:trPr>
          <w:trHeight w:val="255"/>
          <w:jc w:val="center"/>
        </w:trPr>
        <w:tc>
          <w:tcPr>
            <w:tcW w:w="10164" w:type="dxa"/>
            <w:gridSpan w:val="8"/>
            <w:tcBorders>
              <w:top w:val="nil"/>
              <w:left w:val="nil"/>
              <w:bottom w:val="nil"/>
              <w:right w:val="nil"/>
            </w:tcBorders>
            <w:shd w:val="clear" w:color="auto" w:fill="auto"/>
            <w:noWrap/>
            <w:vAlign w:val="bottom"/>
            <w:hideMark/>
          </w:tcPr>
          <w:p w:rsidR="00365D9A" w:rsidRDefault="00AA4395" w:rsidP="00365D9A">
            <w:pPr>
              <w:spacing w:after="0" w:line="240" w:lineRule="auto"/>
              <w:ind w:left="861" w:hanging="861"/>
              <w:jc w:val="center"/>
              <w:rPr>
                <w:rFonts w:ascii="Arial" w:eastAsia="Times New Roman" w:hAnsi="Arial" w:cs="Arial"/>
                <w:i/>
                <w:iCs/>
                <w:sz w:val="20"/>
                <w:szCs w:val="20"/>
                <w:lang w:val="en-NZ" w:eastAsia="zh-CN"/>
              </w:rPr>
            </w:pPr>
            <w:bookmarkStart w:id="2" w:name="RANGE!A2:H20"/>
            <w:bookmarkEnd w:id="2"/>
            <w:r w:rsidRPr="00AA4395">
              <w:rPr>
                <w:rFonts w:ascii="Arial" w:eastAsia="Times New Roman" w:hAnsi="Arial" w:cs="Arial"/>
                <w:b/>
                <w:bCs/>
                <w:sz w:val="20"/>
                <w:szCs w:val="20"/>
                <w:lang w:val="en-NZ" w:eastAsia="zh-CN"/>
              </w:rPr>
              <w:t xml:space="preserve">Table 9. </w:t>
            </w:r>
            <w:r w:rsidRPr="00AA4395">
              <w:rPr>
                <w:rFonts w:ascii="Arial" w:eastAsia="Times New Roman" w:hAnsi="Arial" w:cs="Arial"/>
                <w:i/>
                <w:iCs/>
                <w:sz w:val="20"/>
                <w:szCs w:val="20"/>
                <w:lang w:val="en-NZ" w:eastAsia="zh-CN"/>
              </w:rPr>
              <w:t xml:space="preserve">Normalized Departmental Scores: Weighted Pages per Capita </w:t>
            </w:r>
            <w:r w:rsidR="005E0DA3">
              <w:rPr>
                <w:rFonts w:ascii="Arial" w:eastAsia="Times New Roman" w:hAnsi="Arial" w:cs="Arial"/>
                <w:i/>
                <w:iCs/>
                <w:sz w:val="20"/>
                <w:szCs w:val="20"/>
                <w:lang w:val="en-NZ" w:eastAsia="zh-CN"/>
              </w:rPr>
              <w:t>Various Output Measures</w:t>
            </w:r>
          </w:p>
          <w:p w:rsidR="00AA4395" w:rsidRPr="00AA4395" w:rsidRDefault="00AA4395" w:rsidP="00365D9A">
            <w:pPr>
              <w:spacing w:after="0" w:line="240" w:lineRule="auto"/>
              <w:ind w:left="861" w:hanging="861"/>
              <w:jc w:val="center"/>
              <w:rPr>
                <w:rFonts w:ascii="Arial" w:eastAsia="Times New Roman" w:hAnsi="Arial" w:cs="Arial"/>
                <w:b/>
                <w:bCs/>
                <w:sz w:val="20"/>
                <w:szCs w:val="20"/>
                <w:lang w:val="en-NZ" w:eastAsia="zh-CN"/>
              </w:rPr>
            </w:pPr>
            <w:r w:rsidRPr="00AA4395">
              <w:rPr>
                <w:rFonts w:ascii="Arial" w:eastAsia="Times New Roman" w:hAnsi="Arial" w:cs="Arial"/>
                <w:i/>
                <w:iCs/>
                <w:sz w:val="20"/>
                <w:szCs w:val="20"/>
                <w:lang w:val="en-NZ" w:eastAsia="zh-CN"/>
              </w:rPr>
              <w:t>2003-2008</w:t>
            </w:r>
          </w:p>
        </w:tc>
      </w:tr>
      <w:tr w:rsidR="00AA4395" w:rsidRPr="00AA4395" w:rsidTr="005E0DA3">
        <w:trPr>
          <w:trHeight w:val="255"/>
          <w:jc w:val="center"/>
        </w:trPr>
        <w:tc>
          <w:tcPr>
            <w:tcW w:w="1291" w:type="dxa"/>
            <w:tcBorders>
              <w:top w:val="single" w:sz="4" w:space="0" w:color="auto"/>
              <w:left w:val="nil"/>
              <w:bottom w:val="single" w:sz="4" w:space="0" w:color="auto"/>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p>
        </w:tc>
        <w:tc>
          <w:tcPr>
            <w:tcW w:w="1701" w:type="dxa"/>
            <w:tcBorders>
              <w:top w:val="single" w:sz="4" w:space="0" w:color="auto"/>
              <w:left w:val="nil"/>
              <w:bottom w:val="single" w:sz="4" w:space="0" w:color="auto"/>
              <w:right w:val="nil"/>
            </w:tcBorders>
            <w:shd w:val="clear" w:color="auto" w:fill="auto"/>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 xml:space="preserve">ISI </w:t>
            </w:r>
            <w:proofErr w:type="spellStart"/>
            <w:r w:rsidRPr="00AA4395">
              <w:rPr>
                <w:rFonts w:ascii="Arial" w:eastAsia="Times New Roman" w:hAnsi="Arial" w:cs="Arial"/>
                <w:sz w:val="20"/>
                <w:szCs w:val="20"/>
                <w:lang w:val="en-NZ" w:eastAsia="zh-CN"/>
              </w:rPr>
              <w:t>Shadj</w:t>
            </w:r>
            <w:proofErr w:type="spellEnd"/>
            <w:r w:rsidRPr="00AA4395">
              <w:rPr>
                <w:rFonts w:ascii="Arial" w:eastAsia="Times New Roman" w:hAnsi="Arial" w:cs="Arial"/>
                <w:sz w:val="20"/>
                <w:szCs w:val="20"/>
                <w:lang w:val="en-NZ" w:eastAsia="zh-CN"/>
              </w:rPr>
              <w:t xml:space="preserve"> Cites</w:t>
            </w:r>
          </w:p>
        </w:tc>
        <w:tc>
          <w:tcPr>
            <w:tcW w:w="1418" w:type="dxa"/>
            <w:tcBorders>
              <w:top w:val="single" w:sz="4" w:space="0" w:color="auto"/>
              <w:left w:val="nil"/>
              <w:bottom w:val="single" w:sz="4" w:space="0" w:color="auto"/>
              <w:right w:val="nil"/>
            </w:tcBorders>
            <w:shd w:val="clear" w:color="auto" w:fill="auto"/>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 xml:space="preserve">ISI </w:t>
            </w:r>
            <w:proofErr w:type="spellStart"/>
            <w:r w:rsidRPr="00AA4395">
              <w:rPr>
                <w:rFonts w:ascii="Arial" w:eastAsia="Times New Roman" w:hAnsi="Arial" w:cs="Arial"/>
                <w:sz w:val="20"/>
                <w:szCs w:val="20"/>
                <w:lang w:val="en-NZ" w:eastAsia="zh-CN"/>
              </w:rPr>
              <w:t>Shadj</w:t>
            </w:r>
            <w:proofErr w:type="spellEnd"/>
            <w:r w:rsidRPr="00AA4395">
              <w:rPr>
                <w:rFonts w:ascii="Arial" w:eastAsia="Times New Roman" w:hAnsi="Arial" w:cs="Arial"/>
                <w:sz w:val="20"/>
                <w:szCs w:val="20"/>
                <w:lang w:val="en-NZ" w:eastAsia="zh-CN"/>
              </w:rPr>
              <w:t xml:space="preserve"> h</w:t>
            </w:r>
          </w:p>
        </w:tc>
        <w:tc>
          <w:tcPr>
            <w:tcW w:w="1417" w:type="dxa"/>
            <w:tcBorders>
              <w:top w:val="single" w:sz="4" w:space="0" w:color="auto"/>
              <w:left w:val="nil"/>
              <w:bottom w:val="single" w:sz="4" w:space="0" w:color="auto"/>
              <w:right w:val="nil"/>
            </w:tcBorders>
            <w:shd w:val="clear" w:color="auto" w:fill="auto"/>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 xml:space="preserve">ISI </w:t>
            </w:r>
            <w:proofErr w:type="spellStart"/>
            <w:r w:rsidRPr="00AA4395">
              <w:rPr>
                <w:rFonts w:ascii="Arial" w:eastAsia="Times New Roman" w:hAnsi="Arial" w:cs="Arial"/>
                <w:sz w:val="20"/>
                <w:szCs w:val="20"/>
                <w:lang w:val="en-NZ" w:eastAsia="zh-CN"/>
              </w:rPr>
              <w:t>Shadj</w:t>
            </w:r>
            <w:proofErr w:type="spellEnd"/>
            <w:r w:rsidRPr="00AA4395">
              <w:rPr>
                <w:rFonts w:ascii="Arial" w:eastAsia="Times New Roman" w:hAnsi="Arial" w:cs="Arial"/>
                <w:sz w:val="20"/>
                <w:szCs w:val="20"/>
                <w:lang w:val="en-NZ" w:eastAsia="zh-CN"/>
              </w:rPr>
              <w:t xml:space="preserve"> g</w:t>
            </w:r>
          </w:p>
        </w:tc>
        <w:tc>
          <w:tcPr>
            <w:tcW w:w="1134" w:type="dxa"/>
            <w:tcBorders>
              <w:top w:val="single" w:sz="4" w:space="0" w:color="auto"/>
              <w:left w:val="nil"/>
              <w:bottom w:val="single" w:sz="4" w:space="0" w:color="auto"/>
              <w:right w:val="nil"/>
            </w:tcBorders>
            <w:shd w:val="clear" w:color="auto" w:fill="auto"/>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 xml:space="preserve"> EQUAL</w:t>
            </w:r>
          </w:p>
        </w:tc>
        <w:tc>
          <w:tcPr>
            <w:tcW w:w="992" w:type="dxa"/>
            <w:tcBorders>
              <w:top w:val="single" w:sz="4" w:space="0" w:color="auto"/>
              <w:left w:val="nil"/>
              <w:bottom w:val="single" w:sz="4" w:space="0" w:color="auto"/>
              <w:right w:val="nil"/>
            </w:tcBorders>
            <w:shd w:val="clear" w:color="auto" w:fill="auto"/>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ERA</w:t>
            </w:r>
          </w:p>
        </w:tc>
        <w:tc>
          <w:tcPr>
            <w:tcW w:w="1134" w:type="dxa"/>
            <w:tcBorders>
              <w:top w:val="single" w:sz="4" w:space="0" w:color="auto"/>
              <w:left w:val="nil"/>
              <w:bottom w:val="single" w:sz="4" w:space="0" w:color="auto"/>
              <w:right w:val="nil"/>
            </w:tcBorders>
            <w:shd w:val="clear" w:color="auto" w:fill="auto"/>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JCR</w:t>
            </w:r>
          </w:p>
        </w:tc>
        <w:tc>
          <w:tcPr>
            <w:tcW w:w="1077" w:type="dxa"/>
            <w:tcBorders>
              <w:top w:val="single" w:sz="4" w:space="0" w:color="auto"/>
              <w:left w:val="nil"/>
              <w:bottom w:val="single" w:sz="4" w:space="0" w:color="auto"/>
              <w:right w:val="nil"/>
            </w:tcBorders>
            <w:shd w:val="clear" w:color="auto" w:fill="auto"/>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KMS</w:t>
            </w:r>
          </w:p>
        </w:tc>
      </w:tr>
      <w:tr w:rsidR="005E0DA3" w:rsidRPr="00AA4395" w:rsidTr="005E0DA3">
        <w:trPr>
          <w:trHeight w:val="255"/>
          <w:jc w:val="center"/>
        </w:trPr>
        <w:tc>
          <w:tcPr>
            <w:tcW w:w="1291" w:type="dxa"/>
            <w:tcBorders>
              <w:top w:val="single" w:sz="4" w:space="0" w:color="auto"/>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Auckland</w:t>
            </w:r>
          </w:p>
        </w:tc>
        <w:tc>
          <w:tcPr>
            <w:tcW w:w="1701" w:type="dxa"/>
            <w:tcBorders>
              <w:top w:val="single" w:sz="4" w:space="0" w:color="auto"/>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23.9</w:t>
            </w:r>
          </w:p>
        </w:tc>
        <w:tc>
          <w:tcPr>
            <w:tcW w:w="1418" w:type="dxa"/>
            <w:tcBorders>
              <w:top w:val="single" w:sz="4" w:space="0" w:color="auto"/>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66.2</w:t>
            </w:r>
          </w:p>
        </w:tc>
        <w:tc>
          <w:tcPr>
            <w:tcW w:w="1417" w:type="dxa"/>
            <w:tcBorders>
              <w:top w:val="single" w:sz="4" w:space="0" w:color="auto"/>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65.0</w:t>
            </w:r>
          </w:p>
        </w:tc>
        <w:tc>
          <w:tcPr>
            <w:tcW w:w="1134" w:type="dxa"/>
            <w:tcBorders>
              <w:top w:val="single" w:sz="4" w:space="0" w:color="auto"/>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39.8</w:t>
            </w:r>
          </w:p>
        </w:tc>
        <w:tc>
          <w:tcPr>
            <w:tcW w:w="992" w:type="dxa"/>
            <w:tcBorders>
              <w:top w:val="single" w:sz="4" w:space="0" w:color="auto"/>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55.9</w:t>
            </w:r>
          </w:p>
        </w:tc>
        <w:tc>
          <w:tcPr>
            <w:tcW w:w="1134" w:type="dxa"/>
            <w:tcBorders>
              <w:top w:val="single" w:sz="4" w:space="0" w:color="auto"/>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100.0</w:t>
            </w:r>
          </w:p>
        </w:tc>
        <w:tc>
          <w:tcPr>
            <w:tcW w:w="1077" w:type="dxa"/>
            <w:tcBorders>
              <w:top w:val="single" w:sz="4" w:space="0" w:color="auto"/>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100.0</w:t>
            </w:r>
          </w:p>
        </w:tc>
      </w:tr>
      <w:tr w:rsidR="005E0DA3" w:rsidRPr="00AA4395" w:rsidTr="005E0DA3">
        <w:trPr>
          <w:trHeight w:val="255"/>
          <w:jc w:val="center"/>
        </w:trPr>
        <w:tc>
          <w:tcPr>
            <w:tcW w:w="1291"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AUT</w:t>
            </w:r>
          </w:p>
        </w:tc>
        <w:tc>
          <w:tcPr>
            <w:tcW w:w="1701"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4.4</w:t>
            </w:r>
          </w:p>
        </w:tc>
        <w:tc>
          <w:tcPr>
            <w:tcW w:w="1418"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20.0</w:t>
            </w:r>
          </w:p>
        </w:tc>
        <w:tc>
          <w:tcPr>
            <w:tcW w:w="1417"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14.3</w:t>
            </w:r>
          </w:p>
        </w:tc>
        <w:tc>
          <w:tcPr>
            <w:tcW w:w="1134"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45.8</w:t>
            </w:r>
          </w:p>
        </w:tc>
        <w:tc>
          <w:tcPr>
            <w:tcW w:w="992"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51.8</w:t>
            </w:r>
          </w:p>
        </w:tc>
        <w:tc>
          <w:tcPr>
            <w:tcW w:w="1134"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25.5</w:t>
            </w:r>
          </w:p>
        </w:tc>
        <w:tc>
          <w:tcPr>
            <w:tcW w:w="1077"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5.0</w:t>
            </w:r>
          </w:p>
        </w:tc>
      </w:tr>
      <w:tr w:rsidR="005E0DA3" w:rsidRPr="00AA4395" w:rsidTr="005E0DA3">
        <w:trPr>
          <w:trHeight w:val="255"/>
          <w:jc w:val="center"/>
        </w:trPr>
        <w:tc>
          <w:tcPr>
            <w:tcW w:w="1291"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Canterbury</w:t>
            </w:r>
          </w:p>
        </w:tc>
        <w:tc>
          <w:tcPr>
            <w:tcW w:w="1701"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27.2</w:t>
            </w:r>
          </w:p>
        </w:tc>
        <w:tc>
          <w:tcPr>
            <w:tcW w:w="1418"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60.0</w:t>
            </w:r>
          </w:p>
        </w:tc>
        <w:tc>
          <w:tcPr>
            <w:tcW w:w="1417"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60.7</w:t>
            </w:r>
          </w:p>
        </w:tc>
        <w:tc>
          <w:tcPr>
            <w:tcW w:w="1134"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49.3</w:t>
            </w:r>
          </w:p>
        </w:tc>
        <w:tc>
          <w:tcPr>
            <w:tcW w:w="992"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59.5</w:t>
            </w:r>
          </w:p>
        </w:tc>
        <w:tc>
          <w:tcPr>
            <w:tcW w:w="1134"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82.5</w:t>
            </w:r>
          </w:p>
        </w:tc>
        <w:tc>
          <w:tcPr>
            <w:tcW w:w="1077"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54.7</w:t>
            </w:r>
          </w:p>
        </w:tc>
      </w:tr>
      <w:tr w:rsidR="005E0DA3" w:rsidRPr="00AA4395" w:rsidTr="005E0DA3">
        <w:trPr>
          <w:trHeight w:val="255"/>
          <w:jc w:val="center"/>
        </w:trPr>
        <w:tc>
          <w:tcPr>
            <w:tcW w:w="1291"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Lincoln</w:t>
            </w:r>
          </w:p>
        </w:tc>
        <w:tc>
          <w:tcPr>
            <w:tcW w:w="1701"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7.3</w:t>
            </w:r>
          </w:p>
        </w:tc>
        <w:tc>
          <w:tcPr>
            <w:tcW w:w="1418"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36.4</w:t>
            </w:r>
          </w:p>
        </w:tc>
        <w:tc>
          <w:tcPr>
            <w:tcW w:w="1417"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26.0</w:t>
            </w:r>
          </w:p>
        </w:tc>
        <w:tc>
          <w:tcPr>
            <w:tcW w:w="1134"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27.9</w:t>
            </w:r>
          </w:p>
        </w:tc>
        <w:tc>
          <w:tcPr>
            <w:tcW w:w="992"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17.9</w:t>
            </w:r>
          </w:p>
        </w:tc>
        <w:tc>
          <w:tcPr>
            <w:tcW w:w="1134"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14.6</w:t>
            </w:r>
          </w:p>
        </w:tc>
        <w:tc>
          <w:tcPr>
            <w:tcW w:w="1077"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1.8</w:t>
            </w:r>
          </w:p>
        </w:tc>
      </w:tr>
      <w:tr w:rsidR="005E0DA3" w:rsidRPr="00AA4395" w:rsidTr="005E0DA3">
        <w:trPr>
          <w:trHeight w:val="255"/>
          <w:jc w:val="center"/>
        </w:trPr>
        <w:tc>
          <w:tcPr>
            <w:tcW w:w="1291"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Massey</w:t>
            </w:r>
          </w:p>
        </w:tc>
        <w:tc>
          <w:tcPr>
            <w:tcW w:w="1701"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5.2</w:t>
            </w:r>
          </w:p>
        </w:tc>
        <w:tc>
          <w:tcPr>
            <w:tcW w:w="1418"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25.6</w:t>
            </w:r>
          </w:p>
        </w:tc>
        <w:tc>
          <w:tcPr>
            <w:tcW w:w="1417"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20.6</w:t>
            </w:r>
          </w:p>
        </w:tc>
        <w:tc>
          <w:tcPr>
            <w:tcW w:w="1134"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25.4</w:t>
            </w:r>
          </w:p>
        </w:tc>
        <w:tc>
          <w:tcPr>
            <w:tcW w:w="992"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25.1</w:t>
            </w:r>
          </w:p>
        </w:tc>
        <w:tc>
          <w:tcPr>
            <w:tcW w:w="1134"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17.9</w:t>
            </w:r>
          </w:p>
        </w:tc>
        <w:tc>
          <w:tcPr>
            <w:tcW w:w="1077"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2.7</w:t>
            </w:r>
          </w:p>
        </w:tc>
      </w:tr>
      <w:tr w:rsidR="005E0DA3" w:rsidRPr="00AA4395" w:rsidTr="005E0DA3">
        <w:trPr>
          <w:trHeight w:val="255"/>
          <w:jc w:val="center"/>
        </w:trPr>
        <w:tc>
          <w:tcPr>
            <w:tcW w:w="1291"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Otago</w:t>
            </w:r>
          </w:p>
        </w:tc>
        <w:tc>
          <w:tcPr>
            <w:tcW w:w="1701"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25.8</w:t>
            </w:r>
          </w:p>
        </w:tc>
        <w:tc>
          <w:tcPr>
            <w:tcW w:w="1418"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70.6</w:t>
            </w:r>
          </w:p>
        </w:tc>
        <w:tc>
          <w:tcPr>
            <w:tcW w:w="1417"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57.1</w:t>
            </w:r>
          </w:p>
        </w:tc>
        <w:tc>
          <w:tcPr>
            <w:tcW w:w="1134"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46.2</w:t>
            </w:r>
          </w:p>
        </w:tc>
        <w:tc>
          <w:tcPr>
            <w:tcW w:w="992"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57.8</w:t>
            </w:r>
          </w:p>
        </w:tc>
        <w:tc>
          <w:tcPr>
            <w:tcW w:w="1134"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64.5</w:t>
            </w:r>
          </w:p>
        </w:tc>
        <w:tc>
          <w:tcPr>
            <w:tcW w:w="1077" w:type="dxa"/>
            <w:tcBorders>
              <w:top w:val="nil"/>
              <w:left w:val="nil"/>
              <w:bottom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17.8</w:t>
            </w:r>
          </w:p>
        </w:tc>
      </w:tr>
      <w:tr w:rsidR="005E0DA3" w:rsidRPr="00AA4395" w:rsidTr="005E0DA3">
        <w:trPr>
          <w:trHeight w:val="255"/>
          <w:jc w:val="center"/>
        </w:trPr>
        <w:tc>
          <w:tcPr>
            <w:tcW w:w="1291" w:type="dxa"/>
            <w:tcBorders>
              <w:top w:val="nil"/>
              <w:left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Victoria</w:t>
            </w:r>
          </w:p>
        </w:tc>
        <w:tc>
          <w:tcPr>
            <w:tcW w:w="1701" w:type="dxa"/>
            <w:tcBorders>
              <w:top w:val="nil"/>
              <w:left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26.3</w:t>
            </w:r>
          </w:p>
        </w:tc>
        <w:tc>
          <w:tcPr>
            <w:tcW w:w="1418" w:type="dxa"/>
            <w:tcBorders>
              <w:top w:val="nil"/>
              <w:left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56.5</w:t>
            </w:r>
          </w:p>
        </w:tc>
        <w:tc>
          <w:tcPr>
            <w:tcW w:w="1417" w:type="dxa"/>
            <w:tcBorders>
              <w:top w:val="nil"/>
              <w:left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60.5</w:t>
            </w:r>
          </w:p>
        </w:tc>
        <w:tc>
          <w:tcPr>
            <w:tcW w:w="1134" w:type="dxa"/>
            <w:tcBorders>
              <w:top w:val="nil"/>
              <w:left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36.2</w:t>
            </w:r>
          </w:p>
        </w:tc>
        <w:tc>
          <w:tcPr>
            <w:tcW w:w="992" w:type="dxa"/>
            <w:tcBorders>
              <w:top w:val="nil"/>
              <w:left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50.1</w:t>
            </w:r>
          </w:p>
        </w:tc>
        <w:tc>
          <w:tcPr>
            <w:tcW w:w="1134" w:type="dxa"/>
            <w:tcBorders>
              <w:top w:val="nil"/>
              <w:left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88.5</w:t>
            </w:r>
          </w:p>
        </w:tc>
        <w:tc>
          <w:tcPr>
            <w:tcW w:w="1077" w:type="dxa"/>
            <w:tcBorders>
              <w:top w:val="nil"/>
              <w:left w:val="nil"/>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44.7</w:t>
            </w:r>
          </w:p>
        </w:tc>
      </w:tr>
      <w:tr w:rsidR="005E0DA3" w:rsidRPr="00AA4395" w:rsidTr="005E0DA3">
        <w:trPr>
          <w:trHeight w:val="255"/>
          <w:jc w:val="center"/>
        </w:trPr>
        <w:tc>
          <w:tcPr>
            <w:tcW w:w="1291" w:type="dxa"/>
            <w:tcBorders>
              <w:top w:val="nil"/>
              <w:left w:val="nil"/>
              <w:bottom w:val="single" w:sz="4" w:space="0" w:color="auto"/>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Waikato</w:t>
            </w:r>
          </w:p>
        </w:tc>
        <w:tc>
          <w:tcPr>
            <w:tcW w:w="1701" w:type="dxa"/>
            <w:tcBorders>
              <w:top w:val="nil"/>
              <w:left w:val="nil"/>
              <w:bottom w:val="single" w:sz="4" w:space="0" w:color="auto"/>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100.0</w:t>
            </w:r>
          </w:p>
        </w:tc>
        <w:tc>
          <w:tcPr>
            <w:tcW w:w="1418" w:type="dxa"/>
            <w:tcBorders>
              <w:top w:val="nil"/>
              <w:left w:val="nil"/>
              <w:bottom w:val="single" w:sz="4" w:space="0" w:color="auto"/>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100.0</w:t>
            </w:r>
          </w:p>
        </w:tc>
        <w:tc>
          <w:tcPr>
            <w:tcW w:w="1417" w:type="dxa"/>
            <w:tcBorders>
              <w:top w:val="nil"/>
              <w:left w:val="nil"/>
              <w:bottom w:val="single" w:sz="4" w:space="0" w:color="auto"/>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100.0</w:t>
            </w:r>
          </w:p>
        </w:tc>
        <w:tc>
          <w:tcPr>
            <w:tcW w:w="1134" w:type="dxa"/>
            <w:tcBorders>
              <w:top w:val="nil"/>
              <w:left w:val="nil"/>
              <w:bottom w:val="single" w:sz="4" w:space="0" w:color="auto"/>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100.0</w:t>
            </w:r>
          </w:p>
        </w:tc>
        <w:tc>
          <w:tcPr>
            <w:tcW w:w="992" w:type="dxa"/>
            <w:tcBorders>
              <w:top w:val="nil"/>
              <w:left w:val="nil"/>
              <w:bottom w:val="single" w:sz="4" w:space="0" w:color="auto"/>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100.0</w:t>
            </w:r>
          </w:p>
        </w:tc>
        <w:tc>
          <w:tcPr>
            <w:tcW w:w="1134" w:type="dxa"/>
            <w:tcBorders>
              <w:top w:val="nil"/>
              <w:left w:val="nil"/>
              <w:bottom w:val="single" w:sz="4" w:space="0" w:color="auto"/>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99.6</w:t>
            </w:r>
          </w:p>
        </w:tc>
        <w:tc>
          <w:tcPr>
            <w:tcW w:w="1077" w:type="dxa"/>
            <w:tcBorders>
              <w:top w:val="nil"/>
              <w:left w:val="nil"/>
              <w:bottom w:val="single" w:sz="4" w:space="0" w:color="auto"/>
              <w:right w:val="nil"/>
            </w:tcBorders>
            <w:shd w:val="clear" w:color="auto" w:fill="auto"/>
            <w:noWrap/>
            <w:vAlign w:val="bottom"/>
            <w:hideMark/>
          </w:tcPr>
          <w:p w:rsidR="00AA4395" w:rsidRPr="00AA4395" w:rsidRDefault="00AA4395" w:rsidP="00786AA4">
            <w:pPr>
              <w:spacing w:after="0" w:line="240" w:lineRule="auto"/>
              <w:jc w:val="both"/>
              <w:rPr>
                <w:rFonts w:ascii="Arial" w:eastAsia="Times New Roman" w:hAnsi="Arial" w:cs="Arial"/>
                <w:sz w:val="20"/>
                <w:szCs w:val="20"/>
                <w:lang w:val="en-NZ" w:eastAsia="zh-CN"/>
              </w:rPr>
            </w:pPr>
            <w:r w:rsidRPr="00AA4395">
              <w:rPr>
                <w:rFonts w:ascii="Arial" w:eastAsia="Times New Roman" w:hAnsi="Arial" w:cs="Arial"/>
                <w:sz w:val="20"/>
                <w:szCs w:val="20"/>
                <w:lang w:val="en-NZ" w:eastAsia="zh-CN"/>
              </w:rPr>
              <w:t>18.0</w:t>
            </w:r>
          </w:p>
        </w:tc>
      </w:tr>
    </w:tbl>
    <w:p w:rsidR="005B545E" w:rsidRDefault="005B545E" w:rsidP="00786AA4">
      <w:pPr>
        <w:jc w:val="both"/>
      </w:pPr>
    </w:p>
    <w:tbl>
      <w:tblPr>
        <w:tblW w:w="10240" w:type="dxa"/>
        <w:jc w:val="center"/>
        <w:tblInd w:w="93" w:type="dxa"/>
        <w:tblLook w:val="04A0"/>
      </w:tblPr>
      <w:tblGrid>
        <w:gridCol w:w="1824"/>
        <w:gridCol w:w="1708"/>
        <w:gridCol w:w="1708"/>
        <w:gridCol w:w="1526"/>
        <w:gridCol w:w="1214"/>
        <w:gridCol w:w="753"/>
        <w:gridCol w:w="717"/>
        <w:gridCol w:w="790"/>
      </w:tblGrid>
      <w:tr w:rsidR="00F42B3A" w:rsidRPr="00F42B3A" w:rsidTr="00F42B3A">
        <w:trPr>
          <w:trHeight w:val="300"/>
          <w:jc w:val="center"/>
        </w:trPr>
        <w:tc>
          <w:tcPr>
            <w:tcW w:w="10240" w:type="dxa"/>
            <w:gridSpan w:val="8"/>
            <w:tcBorders>
              <w:top w:val="nil"/>
              <w:left w:val="nil"/>
              <w:bottom w:val="nil"/>
              <w:right w:val="nil"/>
            </w:tcBorders>
            <w:shd w:val="clear" w:color="auto" w:fill="auto"/>
            <w:noWrap/>
            <w:vAlign w:val="bottom"/>
            <w:hideMark/>
          </w:tcPr>
          <w:p w:rsidR="00365D9A" w:rsidRDefault="00F42B3A" w:rsidP="00365D9A">
            <w:pPr>
              <w:spacing w:after="0" w:line="240" w:lineRule="auto"/>
              <w:jc w:val="center"/>
              <w:rPr>
                <w:rFonts w:ascii="Arial" w:eastAsia="Times New Roman" w:hAnsi="Arial" w:cs="Arial"/>
                <w:i/>
                <w:iCs/>
                <w:sz w:val="20"/>
                <w:szCs w:val="20"/>
                <w:lang w:val="en-NZ" w:eastAsia="zh-CN"/>
              </w:rPr>
            </w:pPr>
            <w:bookmarkStart w:id="3" w:name="RANGE!A2:H19"/>
            <w:r w:rsidRPr="00F42B3A">
              <w:rPr>
                <w:rFonts w:ascii="Arial" w:eastAsia="Times New Roman" w:hAnsi="Arial" w:cs="Arial"/>
                <w:b/>
                <w:bCs/>
                <w:sz w:val="20"/>
                <w:szCs w:val="20"/>
                <w:lang w:val="en-NZ" w:eastAsia="zh-CN"/>
              </w:rPr>
              <w:t xml:space="preserve">Table 10.    </w:t>
            </w:r>
            <w:r w:rsidRPr="00F42B3A">
              <w:rPr>
                <w:rFonts w:ascii="Arial" w:eastAsia="Times New Roman" w:hAnsi="Arial" w:cs="Arial"/>
                <w:i/>
                <w:iCs/>
                <w:sz w:val="20"/>
                <w:szCs w:val="20"/>
                <w:lang w:val="en-NZ" w:eastAsia="zh-CN"/>
              </w:rPr>
              <w:t>Departmental Rankings: Weighted Pages Per Capita, Various Citation Measures</w:t>
            </w:r>
          </w:p>
          <w:p w:rsidR="00F42B3A" w:rsidRPr="00F42B3A" w:rsidRDefault="00F42B3A" w:rsidP="00365D9A">
            <w:pPr>
              <w:spacing w:after="0" w:line="240" w:lineRule="auto"/>
              <w:jc w:val="center"/>
              <w:rPr>
                <w:rFonts w:ascii="Arial" w:eastAsia="Times New Roman" w:hAnsi="Arial" w:cs="Arial"/>
                <w:b/>
                <w:bCs/>
                <w:sz w:val="20"/>
                <w:szCs w:val="20"/>
                <w:lang w:val="en-NZ" w:eastAsia="zh-CN"/>
              </w:rPr>
            </w:pPr>
            <w:r w:rsidRPr="00F42B3A">
              <w:rPr>
                <w:rFonts w:ascii="Arial" w:eastAsia="Times New Roman" w:hAnsi="Arial" w:cs="Arial"/>
                <w:i/>
                <w:iCs/>
                <w:sz w:val="20"/>
                <w:szCs w:val="20"/>
                <w:lang w:val="en-NZ" w:eastAsia="zh-CN"/>
              </w:rPr>
              <w:t>2003-2008</w:t>
            </w:r>
            <w:bookmarkEnd w:id="3"/>
          </w:p>
        </w:tc>
      </w:tr>
      <w:tr w:rsidR="00F42B3A" w:rsidRPr="00F42B3A" w:rsidTr="00F42B3A">
        <w:trPr>
          <w:trHeight w:val="255"/>
          <w:jc w:val="center"/>
        </w:trPr>
        <w:tc>
          <w:tcPr>
            <w:tcW w:w="1824" w:type="dxa"/>
            <w:tcBorders>
              <w:top w:val="single" w:sz="4" w:space="0" w:color="auto"/>
              <w:left w:val="nil"/>
              <w:bottom w:val="single" w:sz="4" w:space="0" w:color="auto"/>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p>
        </w:tc>
        <w:tc>
          <w:tcPr>
            <w:tcW w:w="1708" w:type="dxa"/>
            <w:tcBorders>
              <w:top w:val="single" w:sz="4" w:space="0" w:color="auto"/>
              <w:left w:val="nil"/>
              <w:bottom w:val="single" w:sz="4" w:space="0" w:color="auto"/>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 xml:space="preserve">ISI </w:t>
            </w:r>
            <w:proofErr w:type="spellStart"/>
            <w:r w:rsidRPr="00497FCD">
              <w:rPr>
                <w:rFonts w:ascii="Arial" w:eastAsia="Times New Roman" w:hAnsi="Arial" w:cs="Arial"/>
                <w:bCs/>
                <w:sz w:val="20"/>
                <w:szCs w:val="20"/>
                <w:lang w:val="en-NZ" w:eastAsia="zh-CN"/>
              </w:rPr>
              <w:t>Shadj</w:t>
            </w:r>
            <w:proofErr w:type="spellEnd"/>
            <w:r w:rsidRPr="00497FCD">
              <w:rPr>
                <w:rFonts w:ascii="Arial" w:eastAsia="Times New Roman" w:hAnsi="Arial" w:cs="Arial"/>
                <w:bCs/>
                <w:sz w:val="20"/>
                <w:szCs w:val="20"/>
                <w:lang w:val="en-NZ" w:eastAsia="zh-CN"/>
              </w:rPr>
              <w:t xml:space="preserve"> Cites</w:t>
            </w:r>
          </w:p>
        </w:tc>
        <w:tc>
          <w:tcPr>
            <w:tcW w:w="1708" w:type="dxa"/>
            <w:tcBorders>
              <w:top w:val="single" w:sz="4" w:space="0" w:color="auto"/>
              <w:left w:val="nil"/>
              <w:bottom w:val="single" w:sz="4" w:space="0" w:color="auto"/>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 xml:space="preserve">ISI </w:t>
            </w:r>
            <w:proofErr w:type="spellStart"/>
            <w:r w:rsidRPr="00497FCD">
              <w:rPr>
                <w:rFonts w:ascii="Arial" w:eastAsia="Times New Roman" w:hAnsi="Arial" w:cs="Arial"/>
                <w:bCs/>
                <w:sz w:val="20"/>
                <w:szCs w:val="20"/>
                <w:lang w:val="en-NZ" w:eastAsia="zh-CN"/>
              </w:rPr>
              <w:t>Shadj</w:t>
            </w:r>
            <w:proofErr w:type="spellEnd"/>
            <w:r w:rsidRPr="00497FCD">
              <w:rPr>
                <w:rFonts w:ascii="Arial" w:eastAsia="Times New Roman" w:hAnsi="Arial" w:cs="Arial"/>
                <w:bCs/>
                <w:sz w:val="20"/>
                <w:szCs w:val="20"/>
                <w:lang w:val="en-NZ" w:eastAsia="zh-CN"/>
              </w:rPr>
              <w:t xml:space="preserve"> h</w:t>
            </w:r>
          </w:p>
        </w:tc>
        <w:tc>
          <w:tcPr>
            <w:tcW w:w="1526" w:type="dxa"/>
            <w:tcBorders>
              <w:top w:val="single" w:sz="4" w:space="0" w:color="auto"/>
              <w:left w:val="nil"/>
              <w:bottom w:val="single" w:sz="4" w:space="0" w:color="auto"/>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 xml:space="preserve">ISI </w:t>
            </w:r>
            <w:proofErr w:type="spellStart"/>
            <w:r w:rsidRPr="00497FCD">
              <w:rPr>
                <w:rFonts w:ascii="Arial" w:eastAsia="Times New Roman" w:hAnsi="Arial" w:cs="Arial"/>
                <w:bCs/>
                <w:sz w:val="20"/>
                <w:szCs w:val="20"/>
                <w:lang w:val="en-NZ" w:eastAsia="zh-CN"/>
              </w:rPr>
              <w:t>Shadj</w:t>
            </w:r>
            <w:proofErr w:type="spellEnd"/>
            <w:r w:rsidRPr="00497FCD">
              <w:rPr>
                <w:rFonts w:ascii="Arial" w:eastAsia="Times New Roman" w:hAnsi="Arial" w:cs="Arial"/>
                <w:bCs/>
                <w:sz w:val="20"/>
                <w:szCs w:val="20"/>
                <w:lang w:val="en-NZ" w:eastAsia="zh-CN"/>
              </w:rPr>
              <w:t xml:space="preserve"> g</w:t>
            </w:r>
          </w:p>
        </w:tc>
        <w:tc>
          <w:tcPr>
            <w:tcW w:w="1214" w:type="dxa"/>
            <w:tcBorders>
              <w:top w:val="single" w:sz="4" w:space="0" w:color="auto"/>
              <w:left w:val="nil"/>
              <w:bottom w:val="single" w:sz="4" w:space="0" w:color="auto"/>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EQUAL</w:t>
            </w:r>
          </w:p>
        </w:tc>
        <w:tc>
          <w:tcPr>
            <w:tcW w:w="753" w:type="dxa"/>
            <w:tcBorders>
              <w:top w:val="single" w:sz="4" w:space="0" w:color="auto"/>
              <w:left w:val="nil"/>
              <w:bottom w:val="single" w:sz="4" w:space="0" w:color="auto"/>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ERA</w:t>
            </w:r>
          </w:p>
        </w:tc>
        <w:tc>
          <w:tcPr>
            <w:tcW w:w="717" w:type="dxa"/>
            <w:tcBorders>
              <w:top w:val="single" w:sz="4" w:space="0" w:color="auto"/>
              <w:left w:val="nil"/>
              <w:bottom w:val="single" w:sz="4" w:space="0" w:color="auto"/>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JCR</w:t>
            </w:r>
          </w:p>
        </w:tc>
        <w:tc>
          <w:tcPr>
            <w:tcW w:w="790" w:type="dxa"/>
            <w:tcBorders>
              <w:top w:val="single" w:sz="4" w:space="0" w:color="auto"/>
              <w:left w:val="nil"/>
              <w:bottom w:val="single" w:sz="4" w:space="0" w:color="auto"/>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KMS</w:t>
            </w:r>
          </w:p>
        </w:tc>
      </w:tr>
      <w:tr w:rsidR="00F42B3A" w:rsidRPr="00F42B3A" w:rsidTr="00F42B3A">
        <w:trPr>
          <w:trHeight w:val="255"/>
          <w:jc w:val="center"/>
        </w:trPr>
        <w:tc>
          <w:tcPr>
            <w:tcW w:w="1824" w:type="dxa"/>
            <w:tcBorders>
              <w:top w:val="single" w:sz="4" w:space="0" w:color="auto"/>
              <w:left w:val="nil"/>
              <w:bottom w:val="nil"/>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Auckland</w:t>
            </w:r>
          </w:p>
        </w:tc>
        <w:tc>
          <w:tcPr>
            <w:tcW w:w="1708" w:type="dxa"/>
            <w:tcBorders>
              <w:top w:val="single" w:sz="4" w:space="0" w:color="auto"/>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5</w:t>
            </w:r>
          </w:p>
        </w:tc>
        <w:tc>
          <w:tcPr>
            <w:tcW w:w="1708" w:type="dxa"/>
            <w:tcBorders>
              <w:top w:val="single" w:sz="4" w:space="0" w:color="auto"/>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3</w:t>
            </w:r>
          </w:p>
        </w:tc>
        <w:tc>
          <w:tcPr>
            <w:tcW w:w="1526" w:type="dxa"/>
            <w:tcBorders>
              <w:top w:val="single" w:sz="4" w:space="0" w:color="auto"/>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2</w:t>
            </w:r>
          </w:p>
        </w:tc>
        <w:tc>
          <w:tcPr>
            <w:tcW w:w="1214" w:type="dxa"/>
            <w:tcBorders>
              <w:top w:val="single" w:sz="4" w:space="0" w:color="auto"/>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5</w:t>
            </w:r>
          </w:p>
        </w:tc>
        <w:tc>
          <w:tcPr>
            <w:tcW w:w="753" w:type="dxa"/>
            <w:tcBorders>
              <w:top w:val="single" w:sz="4" w:space="0" w:color="auto"/>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4</w:t>
            </w:r>
          </w:p>
        </w:tc>
        <w:tc>
          <w:tcPr>
            <w:tcW w:w="717" w:type="dxa"/>
            <w:tcBorders>
              <w:top w:val="single" w:sz="4" w:space="0" w:color="auto"/>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1</w:t>
            </w:r>
          </w:p>
        </w:tc>
        <w:tc>
          <w:tcPr>
            <w:tcW w:w="790" w:type="dxa"/>
            <w:tcBorders>
              <w:top w:val="single" w:sz="4" w:space="0" w:color="auto"/>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1</w:t>
            </w:r>
          </w:p>
        </w:tc>
      </w:tr>
      <w:tr w:rsidR="00F42B3A" w:rsidRPr="00F42B3A" w:rsidTr="00F42B3A">
        <w:trPr>
          <w:trHeight w:val="255"/>
          <w:jc w:val="center"/>
        </w:trPr>
        <w:tc>
          <w:tcPr>
            <w:tcW w:w="1824" w:type="dxa"/>
            <w:tcBorders>
              <w:top w:val="nil"/>
              <w:left w:val="nil"/>
              <w:bottom w:val="nil"/>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AUT</w:t>
            </w:r>
          </w:p>
        </w:tc>
        <w:tc>
          <w:tcPr>
            <w:tcW w:w="1708"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8</w:t>
            </w:r>
          </w:p>
        </w:tc>
        <w:tc>
          <w:tcPr>
            <w:tcW w:w="1708"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8</w:t>
            </w:r>
          </w:p>
        </w:tc>
        <w:tc>
          <w:tcPr>
            <w:tcW w:w="1526"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8</w:t>
            </w:r>
          </w:p>
        </w:tc>
        <w:tc>
          <w:tcPr>
            <w:tcW w:w="1214"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4</w:t>
            </w:r>
          </w:p>
        </w:tc>
        <w:tc>
          <w:tcPr>
            <w:tcW w:w="753"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5</w:t>
            </w:r>
          </w:p>
        </w:tc>
        <w:tc>
          <w:tcPr>
            <w:tcW w:w="717"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6</w:t>
            </w:r>
          </w:p>
        </w:tc>
        <w:tc>
          <w:tcPr>
            <w:tcW w:w="790"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6</w:t>
            </w:r>
          </w:p>
        </w:tc>
      </w:tr>
      <w:tr w:rsidR="00F42B3A" w:rsidRPr="00F42B3A" w:rsidTr="00F42B3A">
        <w:trPr>
          <w:trHeight w:val="255"/>
          <w:jc w:val="center"/>
        </w:trPr>
        <w:tc>
          <w:tcPr>
            <w:tcW w:w="1824" w:type="dxa"/>
            <w:tcBorders>
              <w:top w:val="nil"/>
              <w:left w:val="nil"/>
              <w:bottom w:val="nil"/>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Canterbury</w:t>
            </w:r>
          </w:p>
        </w:tc>
        <w:tc>
          <w:tcPr>
            <w:tcW w:w="1708"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2</w:t>
            </w:r>
          </w:p>
        </w:tc>
        <w:tc>
          <w:tcPr>
            <w:tcW w:w="1708"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4</w:t>
            </w:r>
          </w:p>
        </w:tc>
        <w:tc>
          <w:tcPr>
            <w:tcW w:w="1526"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3</w:t>
            </w:r>
          </w:p>
        </w:tc>
        <w:tc>
          <w:tcPr>
            <w:tcW w:w="1214"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2</w:t>
            </w:r>
          </w:p>
        </w:tc>
        <w:tc>
          <w:tcPr>
            <w:tcW w:w="753"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2</w:t>
            </w:r>
          </w:p>
        </w:tc>
        <w:tc>
          <w:tcPr>
            <w:tcW w:w="717"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4</w:t>
            </w:r>
          </w:p>
        </w:tc>
        <w:tc>
          <w:tcPr>
            <w:tcW w:w="790"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2</w:t>
            </w:r>
          </w:p>
        </w:tc>
      </w:tr>
      <w:tr w:rsidR="00F42B3A" w:rsidRPr="00F42B3A" w:rsidTr="00F42B3A">
        <w:trPr>
          <w:trHeight w:val="255"/>
          <w:jc w:val="center"/>
        </w:trPr>
        <w:tc>
          <w:tcPr>
            <w:tcW w:w="1824" w:type="dxa"/>
            <w:tcBorders>
              <w:top w:val="nil"/>
              <w:left w:val="nil"/>
              <w:bottom w:val="nil"/>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Lincoln</w:t>
            </w:r>
          </w:p>
        </w:tc>
        <w:tc>
          <w:tcPr>
            <w:tcW w:w="1708"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6</w:t>
            </w:r>
          </w:p>
        </w:tc>
        <w:tc>
          <w:tcPr>
            <w:tcW w:w="1708"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6</w:t>
            </w:r>
          </w:p>
        </w:tc>
        <w:tc>
          <w:tcPr>
            <w:tcW w:w="1526"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6</w:t>
            </w:r>
          </w:p>
        </w:tc>
        <w:tc>
          <w:tcPr>
            <w:tcW w:w="1214"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7</w:t>
            </w:r>
          </w:p>
        </w:tc>
        <w:tc>
          <w:tcPr>
            <w:tcW w:w="753"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8</w:t>
            </w:r>
          </w:p>
        </w:tc>
        <w:tc>
          <w:tcPr>
            <w:tcW w:w="717"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8</w:t>
            </w:r>
          </w:p>
        </w:tc>
        <w:tc>
          <w:tcPr>
            <w:tcW w:w="790"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8</w:t>
            </w:r>
          </w:p>
        </w:tc>
      </w:tr>
      <w:tr w:rsidR="00F42B3A" w:rsidRPr="00F42B3A" w:rsidTr="00F42B3A">
        <w:trPr>
          <w:trHeight w:val="255"/>
          <w:jc w:val="center"/>
        </w:trPr>
        <w:tc>
          <w:tcPr>
            <w:tcW w:w="1824" w:type="dxa"/>
            <w:tcBorders>
              <w:top w:val="nil"/>
              <w:left w:val="nil"/>
              <w:bottom w:val="nil"/>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Massey</w:t>
            </w:r>
          </w:p>
        </w:tc>
        <w:tc>
          <w:tcPr>
            <w:tcW w:w="1708"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7</w:t>
            </w:r>
          </w:p>
        </w:tc>
        <w:tc>
          <w:tcPr>
            <w:tcW w:w="1708"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7</w:t>
            </w:r>
          </w:p>
        </w:tc>
        <w:tc>
          <w:tcPr>
            <w:tcW w:w="1526"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7</w:t>
            </w:r>
          </w:p>
        </w:tc>
        <w:tc>
          <w:tcPr>
            <w:tcW w:w="1214"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8</w:t>
            </w:r>
          </w:p>
        </w:tc>
        <w:tc>
          <w:tcPr>
            <w:tcW w:w="753"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7</w:t>
            </w:r>
          </w:p>
        </w:tc>
        <w:tc>
          <w:tcPr>
            <w:tcW w:w="717"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7</w:t>
            </w:r>
          </w:p>
        </w:tc>
        <w:tc>
          <w:tcPr>
            <w:tcW w:w="790"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7</w:t>
            </w:r>
          </w:p>
        </w:tc>
      </w:tr>
      <w:tr w:rsidR="00F42B3A" w:rsidRPr="00F42B3A" w:rsidTr="00F42B3A">
        <w:trPr>
          <w:trHeight w:val="255"/>
          <w:jc w:val="center"/>
        </w:trPr>
        <w:tc>
          <w:tcPr>
            <w:tcW w:w="1824" w:type="dxa"/>
            <w:tcBorders>
              <w:top w:val="nil"/>
              <w:left w:val="nil"/>
              <w:bottom w:val="nil"/>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Otago</w:t>
            </w:r>
          </w:p>
        </w:tc>
        <w:tc>
          <w:tcPr>
            <w:tcW w:w="1708"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4</w:t>
            </w:r>
          </w:p>
        </w:tc>
        <w:tc>
          <w:tcPr>
            <w:tcW w:w="1708"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2</w:t>
            </w:r>
          </w:p>
        </w:tc>
        <w:tc>
          <w:tcPr>
            <w:tcW w:w="1526"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5</w:t>
            </w:r>
          </w:p>
        </w:tc>
        <w:tc>
          <w:tcPr>
            <w:tcW w:w="1214"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3</w:t>
            </w:r>
          </w:p>
        </w:tc>
        <w:tc>
          <w:tcPr>
            <w:tcW w:w="753"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3</w:t>
            </w:r>
          </w:p>
        </w:tc>
        <w:tc>
          <w:tcPr>
            <w:tcW w:w="717"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5</w:t>
            </w:r>
          </w:p>
        </w:tc>
        <w:tc>
          <w:tcPr>
            <w:tcW w:w="790" w:type="dxa"/>
            <w:tcBorders>
              <w:top w:val="nil"/>
              <w:left w:val="nil"/>
              <w:bottom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5</w:t>
            </w:r>
          </w:p>
        </w:tc>
      </w:tr>
      <w:tr w:rsidR="00F42B3A" w:rsidRPr="00F42B3A" w:rsidTr="00F42B3A">
        <w:trPr>
          <w:trHeight w:val="255"/>
          <w:jc w:val="center"/>
        </w:trPr>
        <w:tc>
          <w:tcPr>
            <w:tcW w:w="1824" w:type="dxa"/>
            <w:tcBorders>
              <w:top w:val="nil"/>
              <w:left w:val="nil"/>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Victoria</w:t>
            </w:r>
          </w:p>
        </w:tc>
        <w:tc>
          <w:tcPr>
            <w:tcW w:w="1708" w:type="dxa"/>
            <w:tcBorders>
              <w:top w:val="nil"/>
              <w:left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3</w:t>
            </w:r>
          </w:p>
        </w:tc>
        <w:tc>
          <w:tcPr>
            <w:tcW w:w="1708" w:type="dxa"/>
            <w:tcBorders>
              <w:top w:val="nil"/>
              <w:left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5</w:t>
            </w:r>
          </w:p>
        </w:tc>
        <w:tc>
          <w:tcPr>
            <w:tcW w:w="1526" w:type="dxa"/>
            <w:tcBorders>
              <w:top w:val="nil"/>
              <w:left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3</w:t>
            </w:r>
          </w:p>
        </w:tc>
        <w:tc>
          <w:tcPr>
            <w:tcW w:w="1214" w:type="dxa"/>
            <w:tcBorders>
              <w:top w:val="nil"/>
              <w:left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6</w:t>
            </w:r>
          </w:p>
        </w:tc>
        <w:tc>
          <w:tcPr>
            <w:tcW w:w="753" w:type="dxa"/>
            <w:tcBorders>
              <w:top w:val="nil"/>
              <w:left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6</w:t>
            </w:r>
          </w:p>
        </w:tc>
        <w:tc>
          <w:tcPr>
            <w:tcW w:w="717" w:type="dxa"/>
            <w:tcBorders>
              <w:top w:val="nil"/>
              <w:left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3</w:t>
            </w:r>
          </w:p>
        </w:tc>
        <w:tc>
          <w:tcPr>
            <w:tcW w:w="790" w:type="dxa"/>
            <w:tcBorders>
              <w:top w:val="nil"/>
              <w:left w:val="nil"/>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3</w:t>
            </w:r>
          </w:p>
        </w:tc>
      </w:tr>
      <w:tr w:rsidR="00F42B3A" w:rsidRPr="00F42B3A" w:rsidTr="00F42B3A">
        <w:trPr>
          <w:trHeight w:val="255"/>
          <w:jc w:val="center"/>
        </w:trPr>
        <w:tc>
          <w:tcPr>
            <w:tcW w:w="1824" w:type="dxa"/>
            <w:tcBorders>
              <w:top w:val="nil"/>
              <w:left w:val="nil"/>
              <w:bottom w:val="single" w:sz="4" w:space="0" w:color="auto"/>
              <w:right w:val="nil"/>
            </w:tcBorders>
            <w:shd w:val="clear" w:color="auto" w:fill="auto"/>
            <w:noWrap/>
            <w:vAlign w:val="bottom"/>
            <w:hideMark/>
          </w:tcPr>
          <w:p w:rsidR="00F42B3A" w:rsidRPr="00497FCD" w:rsidRDefault="00F42B3A" w:rsidP="00786AA4">
            <w:pPr>
              <w:spacing w:after="0" w:line="240" w:lineRule="auto"/>
              <w:jc w:val="both"/>
              <w:rPr>
                <w:rFonts w:ascii="Arial" w:eastAsia="Times New Roman" w:hAnsi="Arial" w:cs="Arial"/>
                <w:bCs/>
                <w:sz w:val="20"/>
                <w:szCs w:val="20"/>
                <w:lang w:val="en-NZ" w:eastAsia="zh-CN"/>
              </w:rPr>
            </w:pPr>
            <w:r w:rsidRPr="00497FCD">
              <w:rPr>
                <w:rFonts w:ascii="Arial" w:eastAsia="Times New Roman" w:hAnsi="Arial" w:cs="Arial"/>
                <w:bCs/>
                <w:sz w:val="20"/>
                <w:szCs w:val="20"/>
                <w:lang w:val="en-NZ" w:eastAsia="zh-CN"/>
              </w:rPr>
              <w:t>Waikato</w:t>
            </w:r>
          </w:p>
        </w:tc>
        <w:tc>
          <w:tcPr>
            <w:tcW w:w="1708" w:type="dxa"/>
            <w:tcBorders>
              <w:top w:val="nil"/>
              <w:left w:val="nil"/>
              <w:bottom w:val="single" w:sz="4" w:space="0" w:color="auto"/>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1</w:t>
            </w:r>
          </w:p>
        </w:tc>
        <w:tc>
          <w:tcPr>
            <w:tcW w:w="1708" w:type="dxa"/>
            <w:tcBorders>
              <w:top w:val="nil"/>
              <w:left w:val="nil"/>
              <w:bottom w:val="single" w:sz="4" w:space="0" w:color="auto"/>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1</w:t>
            </w:r>
          </w:p>
        </w:tc>
        <w:tc>
          <w:tcPr>
            <w:tcW w:w="1526" w:type="dxa"/>
            <w:tcBorders>
              <w:top w:val="nil"/>
              <w:left w:val="nil"/>
              <w:bottom w:val="single" w:sz="4" w:space="0" w:color="auto"/>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1</w:t>
            </w:r>
          </w:p>
        </w:tc>
        <w:tc>
          <w:tcPr>
            <w:tcW w:w="1214" w:type="dxa"/>
            <w:tcBorders>
              <w:top w:val="nil"/>
              <w:left w:val="nil"/>
              <w:bottom w:val="single" w:sz="4" w:space="0" w:color="auto"/>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1</w:t>
            </w:r>
          </w:p>
        </w:tc>
        <w:tc>
          <w:tcPr>
            <w:tcW w:w="753" w:type="dxa"/>
            <w:tcBorders>
              <w:top w:val="nil"/>
              <w:left w:val="nil"/>
              <w:bottom w:val="single" w:sz="4" w:space="0" w:color="auto"/>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1</w:t>
            </w:r>
          </w:p>
        </w:tc>
        <w:tc>
          <w:tcPr>
            <w:tcW w:w="717" w:type="dxa"/>
            <w:tcBorders>
              <w:top w:val="nil"/>
              <w:left w:val="nil"/>
              <w:bottom w:val="single" w:sz="4" w:space="0" w:color="auto"/>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2</w:t>
            </w:r>
          </w:p>
        </w:tc>
        <w:tc>
          <w:tcPr>
            <w:tcW w:w="790" w:type="dxa"/>
            <w:tcBorders>
              <w:top w:val="nil"/>
              <w:left w:val="nil"/>
              <w:bottom w:val="single" w:sz="4" w:space="0" w:color="auto"/>
              <w:right w:val="nil"/>
            </w:tcBorders>
            <w:shd w:val="clear" w:color="auto" w:fill="auto"/>
            <w:noWrap/>
            <w:vAlign w:val="bottom"/>
            <w:hideMark/>
          </w:tcPr>
          <w:p w:rsidR="00F42B3A" w:rsidRPr="00F42B3A" w:rsidRDefault="00F42B3A" w:rsidP="00786AA4">
            <w:pPr>
              <w:spacing w:after="0" w:line="240" w:lineRule="auto"/>
              <w:jc w:val="both"/>
              <w:rPr>
                <w:rFonts w:ascii="Arial" w:eastAsia="Times New Roman" w:hAnsi="Arial" w:cs="Arial"/>
                <w:sz w:val="20"/>
                <w:szCs w:val="20"/>
                <w:lang w:val="en-NZ" w:eastAsia="zh-CN"/>
              </w:rPr>
            </w:pPr>
            <w:r w:rsidRPr="00F42B3A">
              <w:rPr>
                <w:rFonts w:ascii="Arial" w:eastAsia="Times New Roman" w:hAnsi="Arial" w:cs="Arial"/>
                <w:sz w:val="20"/>
                <w:szCs w:val="20"/>
                <w:lang w:val="en-NZ" w:eastAsia="zh-CN"/>
              </w:rPr>
              <w:t>4</w:t>
            </w:r>
          </w:p>
        </w:tc>
      </w:tr>
    </w:tbl>
    <w:p w:rsidR="005E0DA3" w:rsidRDefault="005E0DA3" w:rsidP="00786AA4">
      <w:pPr>
        <w:jc w:val="both"/>
      </w:pPr>
    </w:p>
    <w:p w:rsidR="00F13954" w:rsidRDefault="00F13954" w:rsidP="00786AA4">
      <w:pPr>
        <w:jc w:val="both"/>
      </w:pPr>
      <w:r>
        <w:t>The argument that the RAM selection process matters can be clearly seen by referring to the situation facing AUT.</w:t>
      </w:r>
      <w:r w:rsidR="007E7457">
        <w:t xml:space="preserve">  Under </w:t>
      </w:r>
      <w:r w:rsidR="007E7457" w:rsidRPr="00787FA8">
        <w:rPr>
          <w:b/>
        </w:rPr>
        <w:t>ISIC</w:t>
      </w:r>
      <w:r w:rsidR="007E7457">
        <w:t xml:space="preserve">, its per capita performance is only 4.4% of Waikato’s; however, under </w:t>
      </w:r>
      <w:proofErr w:type="spellStart"/>
      <w:r w:rsidR="007E7457" w:rsidRPr="00787FA8">
        <w:rPr>
          <w:b/>
        </w:rPr>
        <w:t>ISIg</w:t>
      </w:r>
      <w:proofErr w:type="spellEnd"/>
      <w:r w:rsidR="007E7457">
        <w:t xml:space="preserve"> and </w:t>
      </w:r>
      <w:proofErr w:type="spellStart"/>
      <w:r w:rsidR="007E7457" w:rsidRPr="00787FA8">
        <w:rPr>
          <w:b/>
        </w:rPr>
        <w:t>ISIh</w:t>
      </w:r>
      <w:proofErr w:type="spellEnd"/>
      <w:r w:rsidR="007E7457">
        <w:t xml:space="preserve"> it improves three and four fold respectively (to 14.3 and 20.0 percent respectively).  Although AUT’s financial position improves greatly (everything else being equal) if either </w:t>
      </w:r>
      <w:proofErr w:type="spellStart"/>
      <w:r w:rsidR="007E7457" w:rsidRPr="00787FA8">
        <w:rPr>
          <w:b/>
        </w:rPr>
        <w:t>ISIg</w:t>
      </w:r>
      <w:proofErr w:type="spellEnd"/>
      <w:r w:rsidR="007E7457">
        <w:t xml:space="preserve"> or </w:t>
      </w:r>
      <w:proofErr w:type="spellStart"/>
      <w:r w:rsidR="007E7457" w:rsidRPr="00787FA8">
        <w:rPr>
          <w:b/>
        </w:rPr>
        <w:t>ISIh</w:t>
      </w:r>
      <w:proofErr w:type="spellEnd"/>
      <w:r w:rsidR="007E7457">
        <w:t xml:space="preserve"> is substituted for </w:t>
      </w:r>
      <w:r w:rsidR="007E7457" w:rsidRPr="00787FA8">
        <w:rPr>
          <w:b/>
        </w:rPr>
        <w:t>ISIC</w:t>
      </w:r>
      <w:r w:rsidR="007E7457">
        <w:t>, they experience no change in relative ranking- 8</w:t>
      </w:r>
      <w:r w:rsidR="007E7457" w:rsidRPr="007E7457">
        <w:rPr>
          <w:vertAlign w:val="superscript"/>
        </w:rPr>
        <w:t>th</w:t>
      </w:r>
      <w:r w:rsidR="007E7457">
        <w:t xml:space="preserve"> in each and every case.  </w:t>
      </w:r>
      <w:r w:rsidR="00787FA8">
        <w:t xml:space="preserve">At this point all we can say is that </w:t>
      </w:r>
      <w:proofErr w:type="spellStart"/>
      <w:r w:rsidR="00787FA8" w:rsidRPr="00787FA8">
        <w:rPr>
          <w:b/>
        </w:rPr>
        <w:t>ISIg</w:t>
      </w:r>
      <w:proofErr w:type="spellEnd"/>
      <w:r w:rsidR="00787FA8">
        <w:t xml:space="preserve"> and </w:t>
      </w:r>
      <w:proofErr w:type="spellStart"/>
      <w:r w:rsidR="00787FA8" w:rsidRPr="00787FA8">
        <w:rPr>
          <w:b/>
        </w:rPr>
        <w:t>ISIh</w:t>
      </w:r>
      <w:proofErr w:type="spellEnd"/>
      <w:r w:rsidR="00787FA8">
        <w:t xml:space="preserve"> yield somewhat similar results with respect to absolute performance and relative ranking, but in many  cases rather dissimilar results from those generated by </w:t>
      </w:r>
      <w:r w:rsidR="00835693">
        <w:t xml:space="preserve">alternatives, </w:t>
      </w:r>
      <w:r w:rsidR="00787FA8">
        <w:t xml:space="preserve">especially </w:t>
      </w:r>
      <w:r w:rsidR="00787FA8" w:rsidRPr="00787FA8">
        <w:rPr>
          <w:b/>
        </w:rPr>
        <w:t>KMS</w:t>
      </w:r>
      <w:r w:rsidR="00787FA8">
        <w:t xml:space="preserve"> and, surprisingly, with respect to absolute performance, </w:t>
      </w:r>
      <w:r w:rsidR="00787FA8" w:rsidRPr="00787FA8">
        <w:rPr>
          <w:b/>
        </w:rPr>
        <w:t>ISIC</w:t>
      </w:r>
      <w:r w:rsidR="00787FA8">
        <w:t>.</w:t>
      </w:r>
    </w:p>
    <w:p w:rsidR="00EC3DBA" w:rsidRPr="00AA2699" w:rsidRDefault="005D0DE8" w:rsidP="00786AA4">
      <w:pPr>
        <w:pStyle w:val="ListParagraph"/>
        <w:numPr>
          <w:ilvl w:val="0"/>
          <w:numId w:val="2"/>
        </w:numPr>
        <w:jc w:val="both"/>
        <w:rPr>
          <w:b/>
        </w:rPr>
      </w:pPr>
      <w:r w:rsidRPr="00AA2699">
        <w:rPr>
          <w:b/>
        </w:rPr>
        <w:lastRenderedPageBreak/>
        <w:t>P</w:t>
      </w:r>
      <w:r w:rsidR="00EC3DBA" w:rsidRPr="00AA2699">
        <w:rPr>
          <w:b/>
        </w:rPr>
        <w:t>olicy Implications</w:t>
      </w:r>
      <w:r w:rsidRPr="00AA2699">
        <w:rPr>
          <w:b/>
        </w:rPr>
        <w:t xml:space="preserve"> and Conclusion</w:t>
      </w:r>
    </w:p>
    <w:p w:rsidR="00CC5869" w:rsidRDefault="004C7CB7" w:rsidP="00786AA4">
      <w:pPr>
        <w:jc w:val="both"/>
      </w:pPr>
      <w:r>
        <w:t xml:space="preserve">Our findings are such that it is difficult to argue that the </w:t>
      </w:r>
      <w:r w:rsidRPr="00FA0DB8">
        <w:rPr>
          <w:b/>
        </w:rPr>
        <w:t xml:space="preserve">g </w:t>
      </w:r>
      <w:r>
        <w:t xml:space="preserve">and </w:t>
      </w:r>
      <w:r w:rsidRPr="00FA0DB8">
        <w:rPr>
          <w:b/>
        </w:rPr>
        <w:t>h</w:t>
      </w:r>
      <w:r>
        <w:t xml:space="preserve">-index should be formally incorporated into </w:t>
      </w:r>
      <w:r w:rsidR="0079354B">
        <w:t xml:space="preserve">a </w:t>
      </w:r>
      <w:r>
        <w:t>New Zealand</w:t>
      </w:r>
      <w:r w:rsidR="0079354B">
        <w:t xml:space="preserve">-like </w:t>
      </w:r>
      <w:r w:rsidR="00190659">
        <w:t>research assessment scheme (</w:t>
      </w:r>
      <w:r>
        <w:t>PBRF</w:t>
      </w:r>
      <w:r w:rsidR="00190659">
        <w:t>)</w:t>
      </w:r>
      <w:r>
        <w:t xml:space="preserve">.  </w:t>
      </w:r>
      <w:r w:rsidR="00787485">
        <w:t xml:space="preserve">Technically, the </w:t>
      </w:r>
      <w:r w:rsidR="00190659" w:rsidRPr="00190659">
        <w:rPr>
          <w:b/>
        </w:rPr>
        <w:t>g</w:t>
      </w:r>
      <w:r w:rsidR="00190659">
        <w:t xml:space="preserve"> and </w:t>
      </w:r>
      <w:r w:rsidR="00190659" w:rsidRPr="00190659">
        <w:rPr>
          <w:b/>
        </w:rPr>
        <w:t>h</w:t>
      </w:r>
      <w:r w:rsidR="00190659">
        <w:t xml:space="preserve"> RAMs </w:t>
      </w:r>
      <w:r>
        <w:t xml:space="preserve">yield </w:t>
      </w:r>
      <w:r w:rsidR="00787485">
        <w:t>individual and departmental rankings and scores that are somewhat consistent with those generated by our low powered journal weighting schemes (</w:t>
      </w:r>
      <w:r w:rsidR="00787485" w:rsidRPr="009C7586">
        <w:rPr>
          <w:b/>
        </w:rPr>
        <w:t>EQUAL</w:t>
      </w:r>
      <w:r w:rsidR="00787485">
        <w:t xml:space="preserve"> and </w:t>
      </w:r>
      <w:r w:rsidR="00787485" w:rsidRPr="009C7586">
        <w:rPr>
          <w:b/>
        </w:rPr>
        <w:t>ERA</w:t>
      </w:r>
      <w:r w:rsidR="00787485">
        <w:t>), less so with the scheme based on the basic impact factor methodology (</w:t>
      </w:r>
      <w:r w:rsidR="00787485" w:rsidRPr="009C7586">
        <w:rPr>
          <w:b/>
        </w:rPr>
        <w:t>JCR</w:t>
      </w:r>
      <w:r w:rsidR="00787485">
        <w:t>) and far less so with the weighting scheme based on adjusted impact factors (</w:t>
      </w:r>
      <w:r w:rsidR="00787485" w:rsidRPr="009C7586">
        <w:rPr>
          <w:b/>
        </w:rPr>
        <w:t>KMS</w:t>
      </w:r>
      <w:r w:rsidR="00787485">
        <w:t>)</w:t>
      </w:r>
      <w:r w:rsidR="009C7586">
        <w:t>.  Hence, one is ultimately faced with the same issues encountered in the journal weighting scheme selection process:  wh</w:t>
      </w:r>
      <w:r w:rsidR="00CC5869">
        <w:t xml:space="preserve">ich journals should be included in the citation exporting and importing </w:t>
      </w:r>
      <w:r w:rsidR="0079354B">
        <w:t xml:space="preserve">lists; </w:t>
      </w:r>
      <w:r w:rsidR="00CC5869">
        <w:t xml:space="preserve">and is it appropriate to assume that all cites to and from selected journals are of equal value.  </w:t>
      </w:r>
    </w:p>
    <w:p w:rsidR="00553E32" w:rsidRDefault="00082DA2" w:rsidP="00786AA4">
      <w:pPr>
        <w:jc w:val="both"/>
      </w:pPr>
      <w:r>
        <w:t xml:space="preserve">Our </w:t>
      </w:r>
      <w:r w:rsidR="009D28F7">
        <w:t xml:space="preserve">primary reason for recommending </w:t>
      </w:r>
      <w:r>
        <w:t xml:space="preserve">that </w:t>
      </w:r>
      <w:r w:rsidRPr="009D28F7">
        <w:rPr>
          <w:b/>
        </w:rPr>
        <w:t>h</w:t>
      </w:r>
      <w:r>
        <w:t xml:space="preserve"> and </w:t>
      </w:r>
      <w:r w:rsidRPr="009D28F7">
        <w:rPr>
          <w:b/>
        </w:rPr>
        <w:t>g</w:t>
      </w:r>
      <w:r>
        <w:t xml:space="preserve">-indexes </w:t>
      </w:r>
      <w:r w:rsidR="009D28F7">
        <w:t xml:space="preserve">not be </w:t>
      </w:r>
      <w:r>
        <w:t>utilized in the PBRF relates to pragmatic matters</w:t>
      </w:r>
      <w:r w:rsidR="00866648">
        <w:t>:</w:t>
      </w:r>
      <w:r>
        <w:t xml:space="preserve"> the results by</w:t>
      </w:r>
      <w:r w:rsidR="00866648">
        <w:t>-</w:t>
      </w:r>
      <w:r>
        <w:t>and</w:t>
      </w:r>
      <w:r w:rsidR="00866648">
        <w:t>-</w:t>
      </w:r>
      <w:r>
        <w:t xml:space="preserve">large fail the test of reasonableness. </w:t>
      </w:r>
      <w:r w:rsidR="0079354B">
        <w:t xml:space="preserve">  For example, it is difficult to imagine that most academic economists </w:t>
      </w:r>
      <w:r w:rsidR="00480A20">
        <w:t xml:space="preserve">could </w:t>
      </w:r>
      <w:r w:rsidR="0079354B">
        <w:t xml:space="preserve">have faith in a scheme that places 52 percent of members in the </w:t>
      </w:r>
      <w:r w:rsidR="000D16A8">
        <w:t>‘</w:t>
      </w:r>
      <w:r w:rsidR="0079354B">
        <w:t>no measureable output</w:t>
      </w:r>
      <w:r w:rsidR="000D16A8">
        <w:t>’</w:t>
      </w:r>
      <w:r w:rsidR="0079354B">
        <w:t xml:space="preserve"> category, and 94 and 89 percent of participants in the </w:t>
      </w:r>
      <w:r w:rsidR="00497FCD">
        <w:t xml:space="preserve">three </w:t>
      </w:r>
      <w:r w:rsidR="0079354B">
        <w:t xml:space="preserve">lowest categories for </w:t>
      </w:r>
      <w:proofErr w:type="spellStart"/>
      <w:r w:rsidR="0079354B" w:rsidRPr="0079354B">
        <w:rPr>
          <w:b/>
        </w:rPr>
        <w:t>ISIh</w:t>
      </w:r>
      <w:proofErr w:type="spellEnd"/>
      <w:r w:rsidR="0079354B">
        <w:t xml:space="preserve"> and </w:t>
      </w:r>
      <w:proofErr w:type="spellStart"/>
      <w:r w:rsidR="0079354B" w:rsidRPr="0079354B">
        <w:rPr>
          <w:b/>
        </w:rPr>
        <w:t>ISIg</w:t>
      </w:r>
      <w:proofErr w:type="spellEnd"/>
      <w:r w:rsidR="0079354B">
        <w:t xml:space="preserve">, respectively.  </w:t>
      </w:r>
      <w:r w:rsidR="008A1225">
        <w:t xml:space="preserve">Or consider the case previously outlined in which an individual placed </w:t>
      </w:r>
      <w:r w:rsidR="009D28F7">
        <w:t>7</w:t>
      </w:r>
      <w:r w:rsidR="008A1225" w:rsidRPr="008A1225">
        <w:rPr>
          <w:vertAlign w:val="superscript"/>
        </w:rPr>
        <w:t>th</w:t>
      </w:r>
      <w:r w:rsidR="008A1225">
        <w:t xml:space="preserve"> out of 135 under the KMS ranking scheme (arguably the most respected of all journal based ranking schemes</w:t>
      </w:r>
      <w:r w:rsidR="00480A20">
        <w:t xml:space="preserve"> in economics</w:t>
      </w:r>
      <w:r w:rsidR="008A1225">
        <w:t xml:space="preserve">) and yet received an </w:t>
      </w:r>
      <w:proofErr w:type="spellStart"/>
      <w:r w:rsidR="008A1225" w:rsidRPr="00C3641E">
        <w:rPr>
          <w:b/>
        </w:rPr>
        <w:t>ISIh</w:t>
      </w:r>
      <w:proofErr w:type="spellEnd"/>
      <w:r w:rsidR="008A1225">
        <w:t xml:space="preserve"> score of </w:t>
      </w:r>
      <w:r w:rsidR="000D16A8">
        <w:t>‘</w:t>
      </w:r>
      <w:r w:rsidR="008A1225">
        <w:t>1</w:t>
      </w:r>
      <w:r w:rsidR="000D16A8">
        <w:t>’</w:t>
      </w:r>
      <w:r w:rsidR="008A1225">
        <w:t xml:space="preserve"> along with 33 other researchers.  All of these examples relate to the lack of differentiation in scores and rankings associated with </w:t>
      </w:r>
      <w:r w:rsidR="008A1225" w:rsidRPr="00480A20">
        <w:rPr>
          <w:b/>
        </w:rPr>
        <w:t>h</w:t>
      </w:r>
      <w:r w:rsidR="008A1225">
        <w:t xml:space="preserve"> and </w:t>
      </w:r>
      <w:r w:rsidR="008A1225" w:rsidRPr="00480A20">
        <w:rPr>
          <w:b/>
        </w:rPr>
        <w:t>g</w:t>
      </w:r>
      <w:r w:rsidR="008A1225">
        <w:t xml:space="preserve"> indexes in the context of a time limited, all inclusive (with respect to both individuals and institutions) research assessment scheme.  </w:t>
      </w:r>
      <w:r w:rsidR="0066332F">
        <w:t xml:space="preserve">However, </w:t>
      </w:r>
      <w:r w:rsidR="008A1225">
        <w:t xml:space="preserve">we must acknowledge that </w:t>
      </w:r>
      <w:r w:rsidR="0066332F">
        <w:t>this outcome may be New Zealand</w:t>
      </w:r>
      <w:r w:rsidR="00866648">
        <w:t>-</w:t>
      </w:r>
      <w:r w:rsidR="0066332F">
        <w:t xml:space="preserve">specific or </w:t>
      </w:r>
      <w:r w:rsidR="00FA0DB8">
        <w:t xml:space="preserve">attributable to </w:t>
      </w:r>
      <w:r w:rsidR="0066332F">
        <w:t xml:space="preserve">data collection and timing issues.  Let us now turn our attention to these matters.  </w:t>
      </w:r>
    </w:p>
    <w:p w:rsidR="0066332F" w:rsidRDefault="008914FA" w:rsidP="00786AA4">
      <w:pPr>
        <w:jc w:val="both"/>
      </w:pPr>
      <w:r>
        <w:t xml:space="preserve">Recall that </w:t>
      </w:r>
      <w:r w:rsidR="00190659">
        <w:t xml:space="preserve">our objective was to </w:t>
      </w:r>
      <w:r>
        <w:t xml:space="preserve">assess </w:t>
      </w:r>
      <w:r w:rsidR="00190659">
        <w:t xml:space="preserve">the relevance of the </w:t>
      </w:r>
      <w:r w:rsidR="00190659" w:rsidRPr="00190659">
        <w:rPr>
          <w:b/>
        </w:rPr>
        <w:t>h</w:t>
      </w:r>
      <w:r w:rsidR="00190659">
        <w:t xml:space="preserve"> and </w:t>
      </w:r>
      <w:r w:rsidR="00190659" w:rsidRPr="00190659">
        <w:rPr>
          <w:b/>
        </w:rPr>
        <w:t>g</w:t>
      </w:r>
      <w:r w:rsidR="00190659">
        <w:t xml:space="preserve">-indexes to economics in the context of a nation-wide research evaluation scheme.  </w:t>
      </w:r>
      <w:r>
        <w:t xml:space="preserve">For this purpose we chose </w:t>
      </w:r>
      <w:r w:rsidR="00190659">
        <w:t xml:space="preserve">New Zealand’s </w:t>
      </w:r>
      <w:r>
        <w:t xml:space="preserve">PBRF.  This meant that we only counted citations to work generated over a six year period, although the citation collection period was extended by two years to yield a maximum citation generation period of eight years. </w:t>
      </w:r>
      <w:r w:rsidR="00190659">
        <w:t xml:space="preserve"> Alternatively, virtually </w:t>
      </w:r>
      <w:r w:rsidR="008626E6">
        <w:t xml:space="preserve">all prior </w:t>
      </w:r>
      <w:r>
        <w:t>work, as noted earlier in the paper, has been based on life</w:t>
      </w:r>
      <w:r w:rsidR="003C03D9">
        <w:t xml:space="preserve"> </w:t>
      </w:r>
      <w:r>
        <w:t xml:space="preserve">time citations to </w:t>
      </w:r>
      <w:r w:rsidR="00190659">
        <w:t>the life</w:t>
      </w:r>
      <w:r w:rsidR="00866648">
        <w:t xml:space="preserve"> </w:t>
      </w:r>
      <w:r w:rsidR="00190659">
        <w:t xml:space="preserve">time output of selected </w:t>
      </w:r>
      <w:r>
        <w:t xml:space="preserve">researchers.  Obviously, this approach generates many more citations per researcher, </w:t>
      </w:r>
      <w:r w:rsidR="004E2786">
        <w:t>everything</w:t>
      </w:r>
      <w:r>
        <w:t xml:space="preserve"> else being equal, and undoubtedly results in a much greater spread of </w:t>
      </w:r>
      <w:r w:rsidRPr="00F704FF">
        <w:rPr>
          <w:b/>
        </w:rPr>
        <w:t xml:space="preserve">g </w:t>
      </w:r>
      <w:r>
        <w:t xml:space="preserve">and </w:t>
      </w:r>
      <w:r w:rsidRPr="00F704FF">
        <w:rPr>
          <w:b/>
        </w:rPr>
        <w:t>h</w:t>
      </w:r>
      <w:r>
        <w:t xml:space="preserve"> scores, and f</w:t>
      </w:r>
      <w:r w:rsidR="00F704FF">
        <w:t>ar</w:t>
      </w:r>
      <w:r>
        <w:t xml:space="preserve"> fewer zero scores that characterize our results.  However, the life</w:t>
      </w:r>
      <w:r w:rsidR="00866648">
        <w:t xml:space="preserve"> </w:t>
      </w:r>
      <w:r>
        <w:t>time citation counting approach is not consistent with research assessment exercises that attempt to reward current (or recent) output.</w:t>
      </w:r>
    </w:p>
    <w:p w:rsidR="0066332F" w:rsidRDefault="008914FA" w:rsidP="00786AA4">
      <w:pPr>
        <w:jc w:val="both"/>
      </w:pPr>
      <w:r>
        <w:t xml:space="preserve">The PBRF is all inclusive; that is, all academics are part of the </w:t>
      </w:r>
      <w:r w:rsidR="00F704FF">
        <w:t>assessment</w:t>
      </w:r>
      <w:r>
        <w:t xml:space="preserve"> group.  Hence, </w:t>
      </w:r>
      <w:r w:rsidR="00F704FF">
        <w:t xml:space="preserve">the study includes </w:t>
      </w:r>
      <w:r w:rsidR="00A31980">
        <w:t xml:space="preserve">many academics </w:t>
      </w:r>
      <w:r w:rsidR="001619D0">
        <w:t xml:space="preserve">that produce </w:t>
      </w:r>
      <w:r w:rsidR="00A31980">
        <w:t xml:space="preserve">very few, if any, refereed papers over the applicable time period.  </w:t>
      </w:r>
      <w:r w:rsidR="00130F53">
        <w:t xml:space="preserve">On the other hand, most </w:t>
      </w:r>
      <w:r w:rsidR="00746094">
        <w:t xml:space="preserve">existing </w:t>
      </w:r>
      <w:r w:rsidR="00130F53">
        <w:t xml:space="preserve">economics papers on </w:t>
      </w:r>
      <w:r w:rsidR="00130F53" w:rsidRPr="00130F53">
        <w:rPr>
          <w:b/>
        </w:rPr>
        <w:t>g</w:t>
      </w:r>
      <w:r w:rsidR="00130F53">
        <w:t xml:space="preserve"> and/or </w:t>
      </w:r>
      <w:r w:rsidR="00130F53" w:rsidRPr="00130F53">
        <w:rPr>
          <w:b/>
        </w:rPr>
        <w:t>h</w:t>
      </w:r>
      <w:r w:rsidR="00130F53">
        <w:t xml:space="preserve"> </w:t>
      </w:r>
      <w:r w:rsidR="00746094">
        <w:t>are based on a selective sample</w:t>
      </w:r>
      <w:r w:rsidR="00130F53">
        <w:t xml:space="preserve"> of researchers</w:t>
      </w:r>
      <w:r w:rsidR="00746094">
        <w:t xml:space="preserve">.  For example, some </w:t>
      </w:r>
      <w:r w:rsidR="00130F53">
        <w:t xml:space="preserve">studies </w:t>
      </w:r>
      <w:r w:rsidR="00F704FF">
        <w:t>include</w:t>
      </w:r>
      <w:r w:rsidR="00746094">
        <w:t xml:space="preserve"> only Full Professor</w:t>
      </w:r>
      <w:r w:rsidR="00A1381A">
        <w:t>s (</w:t>
      </w:r>
      <w:proofErr w:type="spellStart"/>
      <w:r w:rsidR="00A1381A">
        <w:t>Hendrekson</w:t>
      </w:r>
      <w:proofErr w:type="spellEnd"/>
      <w:r w:rsidR="00A1381A">
        <w:t xml:space="preserve"> and </w:t>
      </w:r>
      <w:proofErr w:type="spellStart"/>
      <w:r w:rsidR="00A1381A">
        <w:t>Waldenstrom</w:t>
      </w:r>
      <w:proofErr w:type="spellEnd"/>
      <w:r w:rsidR="00A1381A">
        <w:t>, 2011)</w:t>
      </w:r>
      <w:r w:rsidR="00746094">
        <w:t xml:space="preserve">, some </w:t>
      </w:r>
      <w:r w:rsidR="006F4315">
        <w:t>attempt to identify elite producers (</w:t>
      </w:r>
      <w:proofErr w:type="spellStart"/>
      <w:r w:rsidR="006F4315">
        <w:t>Bodman</w:t>
      </w:r>
      <w:proofErr w:type="spellEnd"/>
      <w:r w:rsidR="006F4315">
        <w:t>, 2010</w:t>
      </w:r>
      <w:r w:rsidR="00D77926">
        <w:t>)</w:t>
      </w:r>
      <w:r w:rsidR="006F4315">
        <w:t xml:space="preserve">; </w:t>
      </w:r>
      <w:r w:rsidR="00D77926">
        <w:t xml:space="preserve">others restrict the sample to academics in a select group of economics departments (Ellison, 2010; and </w:t>
      </w:r>
      <w:proofErr w:type="spellStart"/>
      <w:r w:rsidR="00D77926">
        <w:t>Courtault</w:t>
      </w:r>
      <w:proofErr w:type="spellEnd"/>
      <w:r w:rsidR="00D77926">
        <w:t xml:space="preserve"> et al, 2010)</w:t>
      </w:r>
      <w:r w:rsidR="00866648">
        <w:t xml:space="preserve">; </w:t>
      </w:r>
      <w:r w:rsidR="006F4315">
        <w:t xml:space="preserve">and </w:t>
      </w:r>
      <w:r w:rsidR="00866648">
        <w:t xml:space="preserve">some </w:t>
      </w:r>
      <w:r w:rsidR="00D77926">
        <w:t xml:space="preserve">that attempt to provide nation-wide coverage utilize life-time cites </w:t>
      </w:r>
      <w:r w:rsidR="006F4315">
        <w:t xml:space="preserve">to generate </w:t>
      </w:r>
      <w:r w:rsidR="006F4315" w:rsidRPr="00FA0DB8">
        <w:rPr>
          <w:b/>
        </w:rPr>
        <w:t>g</w:t>
      </w:r>
      <w:r w:rsidR="006F4315">
        <w:t xml:space="preserve"> and </w:t>
      </w:r>
      <w:r w:rsidR="006F4315" w:rsidRPr="00FA0DB8">
        <w:rPr>
          <w:b/>
        </w:rPr>
        <w:t>h</w:t>
      </w:r>
      <w:r w:rsidR="006F4315">
        <w:t xml:space="preserve"> scores </w:t>
      </w:r>
      <w:r w:rsidR="006F4315">
        <w:lastRenderedPageBreak/>
        <w:t>(</w:t>
      </w:r>
      <w:proofErr w:type="spellStart"/>
      <w:r w:rsidR="006F4315">
        <w:t>Ruane</w:t>
      </w:r>
      <w:proofErr w:type="spellEnd"/>
      <w:r w:rsidR="006F4315">
        <w:t xml:space="preserve"> and </w:t>
      </w:r>
      <w:proofErr w:type="spellStart"/>
      <w:r w:rsidR="006F4315">
        <w:t>Tol</w:t>
      </w:r>
      <w:proofErr w:type="spellEnd"/>
      <w:r w:rsidR="006F4315">
        <w:t xml:space="preserve">, 2006; </w:t>
      </w:r>
      <w:proofErr w:type="spellStart"/>
      <w:r w:rsidR="006F4315">
        <w:t>Tol</w:t>
      </w:r>
      <w:proofErr w:type="spellEnd"/>
      <w:r w:rsidR="006F4315">
        <w:t>, 2006</w:t>
      </w:r>
      <w:r w:rsidR="00D77926">
        <w:t xml:space="preserve">).  </w:t>
      </w:r>
      <w:r w:rsidR="00746094">
        <w:t>Without belabouring the point, all pr</w:t>
      </w:r>
      <w:r w:rsidR="00130F53">
        <w:t>evious</w:t>
      </w:r>
      <w:r w:rsidR="00746094">
        <w:t xml:space="preserve"> empirical studies of the </w:t>
      </w:r>
      <w:r w:rsidR="00130F53" w:rsidRPr="00130F53">
        <w:rPr>
          <w:b/>
        </w:rPr>
        <w:t>g</w:t>
      </w:r>
      <w:r w:rsidR="00130F53">
        <w:t xml:space="preserve"> and </w:t>
      </w:r>
      <w:r w:rsidR="00130F53" w:rsidRPr="00130F53">
        <w:rPr>
          <w:b/>
        </w:rPr>
        <w:t>h</w:t>
      </w:r>
      <w:r w:rsidR="00130F53">
        <w:t xml:space="preserve">-index, in the context of the </w:t>
      </w:r>
      <w:r w:rsidR="00746094">
        <w:t>economics profession</w:t>
      </w:r>
      <w:r w:rsidR="00130F53">
        <w:t>,</w:t>
      </w:r>
      <w:r w:rsidR="00746094">
        <w:t xml:space="preserve"> have been based on </w:t>
      </w:r>
      <w:r w:rsidR="00130F53">
        <w:t xml:space="preserve">restrictive </w:t>
      </w:r>
      <w:r w:rsidR="00746094">
        <w:t>criteria.  They have attempted to identify elite researchers and</w:t>
      </w:r>
      <w:r w:rsidR="00130F53">
        <w:t>/or</w:t>
      </w:r>
      <w:r w:rsidR="00746094">
        <w:t xml:space="preserve"> elite departments.  This is not to detract from their findings, but merely to suggest that the </w:t>
      </w:r>
      <w:r w:rsidR="00746094" w:rsidRPr="00F704FF">
        <w:rPr>
          <w:b/>
        </w:rPr>
        <w:t>g</w:t>
      </w:r>
      <w:r w:rsidR="00746094">
        <w:t xml:space="preserve"> and </w:t>
      </w:r>
      <w:r w:rsidR="00746094" w:rsidRPr="00F704FF">
        <w:rPr>
          <w:b/>
        </w:rPr>
        <w:t>h</w:t>
      </w:r>
      <w:r w:rsidR="00746094">
        <w:t xml:space="preserve">-index </w:t>
      </w:r>
      <w:r w:rsidR="00955847">
        <w:t xml:space="preserve">may be very good at identifying </w:t>
      </w:r>
      <w:r w:rsidR="000D16A8">
        <w:t>‘</w:t>
      </w:r>
      <w:r w:rsidR="00955847">
        <w:t>stars</w:t>
      </w:r>
      <w:r w:rsidR="000D16A8">
        <w:t>’</w:t>
      </w:r>
      <w:r w:rsidR="00955847">
        <w:t xml:space="preserve">, </w:t>
      </w:r>
      <w:r w:rsidR="00130F53">
        <w:t xml:space="preserve">but </w:t>
      </w:r>
      <w:r w:rsidR="00955847">
        <w:t xml:space="preserve">may not be suited to a world populated by some very good researchers, </w:t>
      </w:r>
      <w:r w:rsidR="00F704FF">
        <w:t xml:space="preserve">many </w:t>
      </w:r>
      <w:r w:rsidR="00955847">
        <w:t xml:space="preserve">average performers, and </w:t>
      </w:r>
      <w:r w:rsidR="00F704FF">
        <w:t xml:space="preserve">some </w:t>
      </w:r>
      <w:r w:rsidR="00955847">
        <w:t>non-performer</w:t>
      </w:r>
      <w:r w:rsidR="00F704FF">
        <w:t>s, especially if only a portion of their life</w:t>
      </w:r>
      <w:r w:rsidR="00866648">
        <w:t xml:space="preserve"> </w:t>
      </w:r>
      <w:r w:rsidR="00F704FF">
        <w:t>time work is included in the study</w:t>
      </w:r>
      <w:r w:rsidR="00955847">
        <w:t xml:space="preserve">.  </w:t>
      </w:r>
    </w:p>
    <w:p w:rsidR="009136C1" w:rsidRDefault="00DF173B" w:rsidP="00786AA4">
      <w:pPr>
        <w:jc w:val="both"/>
      </w:pPr>
      <w:r>
        <w:t xml:space="preserve">Before concluding, we must provide a number of qualifications to our work.  First, we have utilized the ISI database throughout the study.  It is possible that the use of a competing scheme such as Google Scholar (GS) </w:t>
      </w:r>
      <w:r w:rsidR="00885975">
        <w:t xml:space="preserve">or Scopus </w:t>
      </w:r>
      <w:r>
        <w:t xml:space="preserve">would lead to different results.  </w:t>
      </w:r>
      <w:r w:rsidR="00885975">
        <w:t xml:space="preserve">For example, </w:t>
      </w:r>
      <w:r>
        <w:t xml:space="preserve">GS has the advantage of </w:t>
      </w:r>
      <w:r w:rsidR="00130F53">
        <w:t xml:space="preserve">normally yielding </w:t>
      </w:r>
      <w:r>
        <w:t xml:space="preserve">a </w:t>
      </w:r>
      <w:r w:rsidR="00130F53">
        <w:t xml:space="preserve">much </w:t>
      </w:r>
      <w:r>
        <w:t>larger number of citations per paper, and hence it should lead to a broader range of scores and far fewer zero scores that plague our study.  On the other hand, GS is far less discriminating with respect to citing source</w:t>
      </w:r>
      <w:r w:rsidR="00130F53">
        <w:t>s</w:t>
      </w:r>
      <w:r>
        <w:t>, as it covers working papers, conference papers, books and reports.  We leave it to others to argue the</w:t>
      </w:r>
      <w:r w:rsidR="00130F53">
        <w:t xml:space="preserve"> relative merits of GS, ISI and </w:t>
      </w:r>
      <w:r>
        <w:t xml:space="preserve">Scopus.  Second, </w:t>
      </w:r>
      <w:r w:rsidR="00F0483B">
        <w:t xml:space="preserve">we have followed convention and have restricted countable research to refereed journal articles only.  </w:t>
      </w:r>
      <w:r w:rsidR="00771202">
        <w:t xml:space="preserve"> We acknowledge that other forms of scholarship </w:t>
      </w:r>
      <w:r w:rsidR="00663E9B">
        <w:t xml:space="preserve">ideally </w:t>
      </w:r>
      <w:r w:rsidR="00771202">
        <w:t xml:space="preserve">should be included such as citations to books, conference papers and working papers; however, they have been ignored for pragmatic reasons and in this regard we have </w:t>
      </w:r>
      <w:r w:rsidR="00663E9B">
        <w:t xml:space="preserve">once again </w:t>
      </w:r>
      <w:r w:rsidR="00771202">
        <w:t xml:space="preserve">followed convention.  Third, </w:t>
      </w:r>
      <w:r w:rsidR="008626E6">
        <w:t xml:space="preserve">our </w:t>
      </w:r>
      <w:r w:rsidR="00771202">
        <w:t xml:space="preserve">findings are based </w:t>
      </w:r>
      <w:r w:rsidR="00885975">
        <w:t xml:space="preserve">on </w:t>
      </w:r>
      <w:r w:rsidR="00771202">
        <w:t xml:space="preserve">the performance of </w:t>
      </w:r>
      <w:r w:rsidR="008626E6">
        <w:t>New Zealand’s academic economists</w:t>
      </w:r>
      <w:r w:rsidR="00771202">
        <w:t xml:space="preserve"> over the period 2003 to 2008.  Hence, our results may be time specific and are definitely discipline specific.  Fourth, New Zealand is a </w:t>
      </w:r>
      <w:r w:rsidR="00663E9B">
        <w:t xml:space="preserve">very </w:t>
      </w:r>
      <w:r w:rsidR="00771202">
        <w:t>small country with only eight university</w:t>
      </w:r>
      <w:r w:rsidR="00D27F56">
        <w:t>-</w:t>
      </w:r>
      <w:bookmarkStart w:id="4" w:name="_GoBack"/>
      <w:bookmarkEnd w:id="4"/>
      <w:r w:rsidR="00771202">
        <w:t>based economics departments</w:t>
      </w:r>
      <w:r w:rsidR="00607594">
        <w:t>; therefore the transferability of our findings to larger domains is open to question</w:t>
      </w:r>
      <w:r w:rsidR="00C96552">
        <w:t xml:space="preserve"> and further study.</w:t>
      </w:r>
    </w:p>
    <w:p w:rsidR="00786AA4" w:rsidRDefault="00786AA4" w:rsidP="00786AA4">
      <w:pPr>
        <w:spacing w:after="100"/>
        <w:jc w:val="both"/>
        <w:rPr>
          <w:b/>
        </w:rPr>
      </w:pPr>
    </w:p>
    <w:p w:rsidR="006215DB" w:rsidRDefault="006215DB" w:rsidP="00786AA4">
      <w:pPr>
        <w:spacing w:after="100"/>
        <w:jc w:val="both"/>
        <w:rPr>
          <w:b/>
        </w:rPr>
      </w:pPr>
      <w:r>
        <w:rPr>
          <w:b/>
        </w:rPr>
        <w:t>References</w:t>
      </w:r>
    </w:p>
    <w:p w:rsidR="006215DB" w:rsidRPr="00786AA4" w:rsidRDefault="006215DB" w:rsidP="00786AA4">
      <w:pPr>
        <w:spacing w:before="100" w:after="0" w:line="240" w:lineRule="auto"/>
        <w:ind w:left="425" w:hanging="425"/>
        <w:jc w:val="both"/>
        <w:rPr>
          <w:sz w:val="20"/>
          <w:szCs w:val="20"/>
        </w:rPr>
      </w:pPr>
      <w:r w:rsidRPr="00786AA4">
        <w:rPr>
          <w:sz w:val="20"/>
          <w:szCs w:val="20"/>
        </w:rPr>
        <w:t>Anderson, D.L. and Tressler, J. (2012), ‘Using Citations to Measure Research Output in New Zealand Economics Departments: The Problem of ‘Long and Variable’ Lags’</w:t>
      </w:r>
      <w:proofErr w:type="gramStart"/>
      <w:r w:rsidRPr="00786AA4">
        <w:rPr>
          <w:sz w:val="20"/>
          <w:szCs w:val="20"/>
        </w:rPr>
        <w:t xml:space="preserve">,  </w:t>
      </w:r>
      <w:r w:rsidRPr="00786AA4">
        <w:rPr>
          <w:i/>
          <w:sz w:val="20"/>
          <w:szCs w:val="20"/>
        </w:rPr>
        <w:t>Agenda</w:t>
      </w:r>
      <w:proofErr w:type="gramEnd"/>
      <w:r w:rsidRPr="00786AA4">
        <w:rPr>
          <w:i/>
          <w:sz w:val="20"/>
          <w:szCs w:val="20"/>
        </w:rPr>
        <w:t xml:space="preserve">,  </w:t>
      </w:r>
      <w:r w:rsidRPr="00786AA4">
        <w:rPr>
          <w:b/>
          <w:sz w:val="20"/>
          <w:szCs w:val="20"/>
        </w:rPr>
        <w:t>19</w:t>
      </w:r>
      <w:r w:rsidRPr="00786AA4">
        <w:rPr>
          <w:sz w:val="20"/>
          <w:szCs w:val="20"/>
        </w:rPr>
        <w:t>(1), forthcoming.</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Bodman</w:t>
      </w:r>
      <w:proofErr w:type="spellEnd"/>
      <w:r w:rsidRPr="00786AA4">
        <w:rPr>
          <w:sz w:val="20"/>
          <w:szCs w:val="20"/>
        </w:rPr>
        <w:t xml:space="preserve">, A.R. (2010), ‘Measuring the </w:t>
      </w:r>
      <w:proofErr w:type="spellStart"/>
      <w:r w:rsidRPr="00786AA4">
        <w:rPr>
          <w:sz w:val="20"/>
          <w:szCs w:val="20"/>
        </w:rPr>
        <w:t>Influentialness</w:t>
      </w:r>
      <w:proofErr w:type="spellEnd"/>
      <w:r w:rsidRPr="00786AA4">
        <w:rPr>
          <w:sz w:val="20"/>
          <w:szCs w:val="20"/>
        </w:rPr>
        <w:t xml:space="preserve"> of economic geographers during the ‘great half century’: an approach using the h index’</w:t>
      </w:r>
      <w:proofErr w:type="gramStart"/>
      <w:r w:rsidRPr="00786AA4">
        <w:rPr>
          <w:sz w:val="20"/>
          <w:szCs w:val="20"/>
        </w:rPr>
        <w:t xml:space="preserve">,  </w:t>
      </w:r>
      <w:r w:rsidRPr="00786AA4">
        <w:rPr>
          <w:i/>
          <w:sz w:val="20"/>
          <w:szCs w:val="20"/>
        </w:rPr>
        <w:t>Journal</w:t>
      </w:r>
      <w:proofErr w:type="gramEnd"/>
      <w:r w:rsidRPr="00786AA4">
        <w:rPr>
          <w:i/>
          <w:sz w:val="20"/>
          <w:szCs w:val="20"/>
        </w:rPr>
        <w:t xml:space="preserve"> of Economic Geography,</w:t>
      </w:r>
      <w:r w:rsidRPr="00786AA4">
        <w:rPr>
          <w:sz w:val="20"/>
          <w:szCs w:val="20"/>
        </w:rPr>
        <w:t xml:space="preserve"> </w:t>
      </w:r>
      <w:r w:rsidRPr="00786AA4">
        <w:rPr>
          <w:b/>
          <w:sz w:val="20"/>
          <w:szCs w:val="20"/>
        </w:rPr>
        <w:t>10</w:t>
      </w:r>
      <w:r w:rsidRPr="00786AA4">
        <w:rPr>
          <w:sz w:val="20"/>
          <w:szCs w:val="20"/>
        </w:rPr>
        <w:t>(1), 141-156.</w:t>
      </w:r>
    </w:p>
    <w:p w:rsidR="006215DB" w:rsidRPr="00786AA4" w:rsidRDefault="006215DB" w:rsidP="00786AA4">
      <w:pPr>
        <w:spacing w:before="100" w:after="0" w:line="240" w:lineRule="auto"/>
        <w:ind w:left="425" w:hanging="425"/>
        <w:jc w:val="both"/>
        <w:rPr>
          <w:sz w:val="20"/>
          <w:szCs w:val="20"/>
        </w:rPr>
      </w:pPr>
      <w:proofErr w:type="gramStart"/>
      <w:r w:rsidRPr="00786AA4">
        <w:rPr>
          <w:sz w:val="20"/>
          <w:szCs w:val="20"/>
        </w:rPr>
        <w:t>Centre for Science and Technology Studies (2007).</w:t>
      </w:r>
      <w:proofErr w:type="gramEnd"/>
      <w:r w:rsidRPr="00786AA4">
        <w:rPr>
          <w:sz w:val="20"/>
          <w:szCs w:val="20"/>
        </w:rPr>
        <w:t xml:space="preserve"> </w:t>
      </w:r>
      <w:r w:rsidRPr="00786AA4">
        <w:rPr>
          <w:i/>
          <w:sz w:val="20"/>
          <w:szCs w:val="20"/>
        </w:rPr>
        <w:t xml:space="preserve">Scoping Study on the use of </w:t>
      </w:r>
      <w:proofErr w:type="spellStart"/>
      <w:r w:rsidRPr="00786AA4">
        <w:rPr>
          <w:i/>
          <w:sz w:val="20"/>
          <w:szCs w:val="20"/>
        </w:rPr>
        <w:t>bibliometric</w:t>
      </w:r>
      <w:proofErr w:type="spellEnd"/>
      <w:r w:rsidRPr="00786AA4">
        <w:rPr>
          <w:i/>
          <w:sz w:val="20"/>
          <w:szCs w:val="20"/>
        </w:rPr>
        <w:t xml:space="preserve"> analysis to measure the quality of research in UK higher education institutions,</w:t>
      </w:r>
      <w:r w:rsidRPr="00786AA4">
        <w:rPr>
          <w:sz w:val="20"/>
          <w:szCs w:val="20"/>
        </w:rPr>
        <w:t xml:space="preserve"> Leiden University, U.K.</w:t>
      </w:r>
    </w:p>
    <w:p w:rsidR="006215DB" w:rsidRPr="00786AA4" w:rsidRDefault="006215DB" w:rsidP="00786AA4">
      <w:pPr>
        <w:spacing w:before="100" w:after="0" w:line="240" w:lineRule="auto"/>
        <w:ind w:left="425" w:hanging="425"/>
        <w:jc w:val="both"/>
        <w:rPr>
          <w:sz w:val="20"/>
          <w:szCs w:val="20"/>
        </w:rPr>
      </w:pPr>
      <w:r w:rsidRPr="00786AA4">
        <w:rPr>
          <w:sz w:val="20"/>
          <w:szCs w:val="20"/>
        </w:rPr>
        <w:t>Chang, C.L., McAleer, M., and Oxley, L. (2011)</w:t>
      </w:r>
      <w:proofErr w:type="gramStart"/>
      <w:r w:rsidRPr="00786AA4">
        <w:rPr>
          <w:sz w:val="20"/>
          <w:szCs w:val="20"/>
        </w:rPr>
        <w:t>,  ‘What</w:t>
      </w:r>
      <w:proofErr w:type="gramEnd"/>
      <w:r w:rsidRPr="00786AA4">
        <w:rPr>
          <w:sz w:val="20"/>
          <w:szCs w:val="20"/>
        </w:rPr>
        <w:t xml:space="preserve"> Makes a Great Journal Great in economics?  The Singer not the Song’</w:t>
      </w:r>
      <w:proofErr w:type="gramStart"/>
      <w:r w:rsidRPr="00786AA4">
        <w:rPr>
          <w:sz w:val="20"/>
          <w:szCs w:val="20"/>
        </w:rPr>
        <w:t xml:space="preserve">,  </w:t>
      </w:r>
      <w:r w:rsidRPr="00786AA4">
        <w:rPr>
          <w:i/>
          <w:sz w:val="20"/>
          <w:szCs w:val="20"/>
        </w:rPr>
        <w:t>Journal</w:t>
      </w:r>
      <w:proofErr w:type="gramEnd"/>
      <w:r w:rsidRPr="00786AA4">
        <w:rPr>
          <w:i/>
          <w:sz w:val="20"/>
          <w:szCs w:val="20"/>
        </w:rPr>
        <w:t xml:space="preserve"> of Economic Surveys,</w:t>
      </w:r>
      <w:r w:rsidRPr="00786AA4">
        <w:rPr>
          <w:sz w:val="20"/>
          <w:szCs w:val="20"/>
        </w:rPr>
        <w:t xml:space="preserve"> </w:t>
      </w:r>
      <w:r w:rsidRPr="00786AA4">
        <w:rPr>
          <w:b/>
          <w:sz w:val="20"/>
          <w:szCs w:val="20"/>
        </w:rPr>
        <w:t>25</w:t>
      </w:r>
      <w:r w:rsidRPr="00786AA4">
        <w:rPr>
          <w:sz w:val="20"/>
          <w:szCs w:val="20"/>
        </w:rPr>
        <w:t>(2), 326-361.</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Courtault</w:t>
      </w:r>
      <w:proofErr w:type="spellEnd"/>
      <w:r w:rsidRPr="00786AA4">
        <w:rPr>
          <w:sz w:val="20"/>
          <w:szCs w:val="20"/>
        </w:rPr>
        <w:t xml:space="preserve">, J.M., Hayek, N., </w:t>
      </w:r>
      <w:proofErr w:type="spellStart"/>
      <w:r w:rsidRPr="00786AA4">
        <w:rPr>
          <w:sz w:val="20"/>
          <w:szCs w:val="20"/>
        </w:rPr>
        <w:t>Rimbaux</w:t>
      </w:r>
      <w:proofErr w:type="spellEnd"/>
      <w:r w:rsidRPr="00786AA4">
        <w:rPr>
          <w:sz w:val="20"/>
          <w:szCs w:val="20"/>
        </w:rPr>
        <w:t>, E., and T. Zhu (2010), ‘Research in economics and managemen</w:t>
      </w:r>
      <w:r w:rsidR="009008A9" w:rsidRPr="00786AA4">
        <w:rPr>
          <w:sz w:val="20"/>
          <w:szCs w:val="20"/>
        </w:rPr>
        <w:t xml:space="preserve">t in France:  A </w:t>
      </w:r>
      <w:proofErr w:type="spellStart"/>
      <w:r w:rsidR="009008A9" w:rsidRPr="00786AA4">
        <w:rPr>
          <w:sz w:val="20"/>
          <w:szCs w:val="20"/>
        </w:rPr>
        <w:t>bibliometric</w:t>
      </w:r>
      <w:proofErr w:type="spellEnd"/>
      <w:r w:rsidR="009008A9" w:rsidRPr="00786AA4">
        <w:rPr>
          <w:sz w:val="20"/>
          <w:szCs w:val="20"/>
        </w:rPr>
        <w:t xml:space="preserve"> </w:t>
      </w:r>
      <w:proofErr w:type="gramStart"/>
      <w:r w:rsidR="009008A9" w:rsidRPr="00786AA4">
        <w:rPr>
          <w:sz w:val="20"/>
          <w:szCs w:val="20"/>
        </w:rPr>
        <w:t xml:space="preserve">study  </w:t>
      </w:r>
      <w:r w:rsidRPr="00786AA4">
        <w:rPr>
          <w:sz w:val="20"/>
          <w:szCs w:val="20"/>
        </w:rPr>
        <w:t>using</w:t>
      </w:r>
      <w:proofErr w:type="gramEnd"/>
      <w:r w:rsidRPr="00786AA4">
        <w:rPr>
          <w:sz w:val="20"/>
          <w:szCs w:val="20"/>
        </w:rPr>
        <w:t xml:space="preserve"> the h-index’,  </w:t>
      </w:r>
      <w:r w:rsidRPr="00786AA4">
        <w:rPr>
          <w:i/>
          <w:sz w:val="20"/>
          <w:szCs w:val="20"/>
        </w:rPr>
        <w:t>Journal of Socio-Economics</w:t>
      </w:r>
      <w:r w:rsidRPr="00786AA4">
        <w:rPr>
          <w:sz w:val="20"/>
          <w:szCs w:val="20"/>
        </w:rPr>
        <w:t xml:space="preserve">, </w:t>
      </w:r>
      <w:r w:rsidRPr="00786AA4">
        <w:rPr>
          <w:b/>
          <w:sz w:val="20"/>
          <w:szCs w:val="20"/>
        </w:rPr>
        <w:t>39</w:t>
      </w:r>
      <w:r w:rsidRPr="00786AA4">
        <w:rPr>
          <w:sz w:val="20"/>
          <w:szCs w:val="20"/>
        </w:rPr>
        <w:t>(2), 329-337.</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Egghe</w:t>
      </w:r>
      <w:proofErr w:type="spellEnd"/>
      <w:r w:rsidRPr="00786AA4">
        <w:rPr>
          <w:sz w:val="20"/>
          <w:szCs w:val="20"/>
        </w:rPr>
        <w:t>, L. (2006), ‘Theory and practice of the g-index’</w:t>
      </w:r>
      <w:proofErr w:type="gramStart"/>
      <w:r w:rsidRPr="00786AA4">
        <w:rPr>
          <w:sz w:val="20"/>
          <w:szCs w:val="20"/>
        </w:rPr>
        <w:t xml:space="preserve">,  </w:t>
      </w:r>
      <w:proofErr w:type="spellStart"/>
      <w:r w:rsidRPr="00786AA4">
        <w:rPr>
          <w:i/>
          <w:sz w:val="20"/>
          <w:szCs w:val="20"/>
        </w:rPr>
        <w:t>Scientometrics</w:t>
      </w:r>
      <w:proofErr w:type="spellEnd"/>
      <w:proofErr w:type="gramEnd"/>
      <w:r w:rsidRPr="00786AA4">
        <w:rPr>
          <w:i/>
          <w:sz w:val="20"/>
          <w:szCs w:val="20"/>
        </w:rPr>
        <w:t>,</w:t>
      </w:r>
      <w:r w:rsidRPr="00786AA4">
        <w:rPr>
          <w:sz w:val="20"/>
          <w:szCs w:val="20"/>
        </w:rPr>
        <w:t xml:space="preserve">  </w:t>
      </w:r>
      <w:r w:rsidRPr="00786AA4">
        <w:rPr>
          <w:b/>
          <w:sz w:val="20"/>
          <w:szCs w:val="20"/>
        </w:rPr>
        <w:t>69</w:t>
      </w:r>
      <w:r w:rsidRPr="00786AA4">
        <w:rPr>
          <w:sz w:val="20"/>
          <w:szCs w:val="20"/>
        </w:rPr>
        <w:t>(1), 131-152.</w:t>
      </w:r>
    </w:p>
    <w:p w:rsidR="006215DB" w:rsidRPr="00786AA4" w:rsidRDefault="006215DB" w:rsidP="00786AA4">
      <w:pPr>
        <w:spacing w:before="100" w:after="0" w:line="240" w:lineRule="auto"/>
        <w:ind w:left="425" w:hanging="425"/>
        <w:jc w:val="both"/>
        <w:rPr>
          <w:sz w:val="20"/>
          <w:szCs w:val="20"/>
        </w:rPr>
      </w:pPr>
      <w:r w:rsidRPr="00786AA4">
        <w:rPr>
          <w:sz w:val="20"/>
          <w:szCs w:val="20"/>
        </w:rPr>
        <w:t xml:space="preserve">Ellison, G. (2010), ‘How does </w:t>
      </w:r>
      <w:r w:rsidR="000D1827">
        <w:rPr>
          <w:sz w:val="20"/>
          <w:szCs w:val="20"/>
        </w:rPr>
        <w:t>the Market Use Citation Data</w:t>
      </w:r>
      <w:proofErr w:type="gramStart"/>
      <w:r w:rsidR="000D1827">
        <w:rPr>
          <w:sz w:val="20"/>
          <w:szCs w:val="20"/>
        </w:rPr>
        <w:t>?,</w:t>
      </w:r>
      <w:proofErr w:type="gramEnd"/>
      <w:r w:rsidR="000D1827">
        <w:rPr>
          <w:sz w:val="20"/>
          <w:szCs w:val="20"/>
        </w:rPr>
        <w:t xml:space="preserve"> </w:t>
      </w:r>
      <w:r w:rsidRPr="00786AA4">
        <w:rPr>
          <w:sz w:val="20"/>
          <w:szCs w:val="20"/>
        </w:rPr>
        <w:t xml:space="preserve">The Hirsch Index in Economics’,  </w:t>
      </w:r>
      <w:r w:rsidR="00C72659" w:rsidRPr="00786AA4">
        <w:rPr>
          <w:sz w:val="20"/>
          <w:szCs w:val="20"/>
        </w:rPr>
        <w:t xml:space="preserve">NBER, Working Paper 16419, </w:t>
      </w:r>
      <w:hyperlink r:id="rId8" w:history="1">
        <w:r w:rsidR="00C72659" w:rsidRPr="00786AA4">
          <w:rPr>
            <w:rStyle w:val="Hyperlink"/>
            <w:sz w:val="20"/>
            <w:szCs w:val="20"/>
          </w:rPr>
          <w:t>http://www.nber.org/papers/w16419</w:t>
        </w:r>
      </w:hyperlink>
      <w:r w:rsidR="00C72659" w:rsidRPr="00786AA4">
        <w:rPr>
          <w:sz w:val="20"/>
          <w:szCs w:val="20"/>
        </w:rPr>
        <w:t xml:space="preserve">. </w:t>
      </w:r>
    </w:p>
    <w:p w:rsidR="006215DB" w:rsidRPr="00786AA4" w:rsidRDefault="006215DB" w:rsidP="00786AA4">
      <w:pPr>
        <w:spacing w:before="100" w:after="0" w:line="240" w:lineRule="auto"/>
        <w:ind w:left="425" w:hanging="425"/>
        <w:jc w:val="both"/>
        <w:rPr>
          <w:sz w:val="20"/>
          <w:szCs w:val="20"/>
        </w:rPr>
      </w:pPr>
      <w:r w:rsidRPr="00786AA4">
        <w:rPr>
          <w:sz w:val="20"/>
          <w:szCs w:val="20"/>
        </w:rPr>
        <w:t xml:space="preserve">Garfield, E. (1972), ‘Citation Analysis as a Tool in Journal Evaluation’, </w:t>
      </w:r>
      <w:r w:rsidRPr="00786AA4">
        <w:rPr>
          <w:i/>
          <w:sz w:val="20"/>
          <w:szCs w:val="20"/>
        </w:rPr>
        <w:t>Science,</w:t>
      </w:r>
      <w:r w:rsidRPr="00786AA4">
        <w:rPr>
          <w:sz w:val="20"/>
          <w:szCs w:val="20"/>
        </w:rPr>
        <w:t xml:space="preserve"> </w:t>
      </w:r>
      <w:r w:rsidRPr="00786AA4">
        <w:rPr>
          <w:b/>
          <w:sz w:val="20"/>
          <w:szCs w:val="20"/>
        </w:rPr>
        <w:t>178</w:t>
      </w:r>
      <w:r w:rsidRPr="00786AA4">
        <w:rPr>
          <w:sz w:val="20"/>
          <w:szCs w:val="20"/>
        </w:rPr>
        <w:t xml:space="preserve">(4060), 471-479. </w:t>
      </w:r>
    </w:p>
    <w:p w:rsidR="006215DB" w:rsidRPr="00786AA4" w:rsidRDefault="006215DB" w:rsidP="00786AA4">
      <w:pPr>
        <w:spacing w:before="100" w:after="0" w:line="240" w:lineRule="auto"/>
        <w:ind w:left="425" w:hanging="425"/>
        <w:jc w:val="both"/>
        <w:rPr>
          <w:sz w:val="20"/>
          <w:szCs w:val="20"/>
        </w:rPr>
      </w:pPr>
      <w:r w:rsidRPr="00786AA4">
        <w:rPr>
          <w:sz w:val="20"/>
          <w:szCs w:val="20"/>
        </w:rPr>
        <w:t>Harris, G.T. (1990), ‘Research Output in Australian University Economics Departments: An Update for 1984-1988’</w:t>
      </w:r>
      <w:proofErr w:type="gramStart"/>
      <w:r w:rsidRPr="00786AA4">
        <w:rPr>
          <w:sz w:val="20"/>
          <w:szCs w:val="20"/>
        </w:rPr>
        <w:t xml:space="preserve">,  </w:t>
      </w:r>
      <w:r w:rsidRPr="00786AA4">
        <w:rPr>
          <w:i/>
          <w:sz w:val="20"/>
          <w:szCs w:val="20"/>
        </w:rPr>
        <w:t>Australian</w:t>
      </w:r>
      <w:proofErr w:type="gramEnd"/>
      <w:r w:rsidRPr="00786AA4">
        <w:rPr>
          <w:i/>
          <w:sz w:val="20"/>
          <w:szCs w:val="20"/>
        </w:rPr>
        <w:t xml:space="preserve"> Economic Papers,</w:t>
      </w:r>
      <w:r w:rsidRPr="00786AA4">
        <w:rPr>
          <w:sz w:val="20"/>
          <w:szCs w:val="20"/>
        </w:rPr>
        <w:t xml:space="preserve"> </w:t>
      </w:r>
      <w:r w:rsidRPr="00786AA4">
        <w:rPr>
          <w:b/>
          <w:sz w:val="20"/>
          <w:szCs w:val="20"/>
        </w:rPr>
        <w:t>29</w:t>
      </w:r>
      <w:r w:rsidRPr="00786AA4">
        <w:rPr>
          <w:sz w:val="20"/>
          <w:szCs w:val="20"/>
        </w:rPr>
        <w:t>(3), 249-259.</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lastRenderedPageBreak/>
        <w:t>Henrekson</w:t>
      </w:r>
      <w:proofErr w:type="spellEnd"/>
      <w:r w:rsidRPr="00786AA4">
        <w:rPr>
          <w:sz w:val="20"/>
          <w:szCs w:val="20"/>
        </w:rPr>
        <w:t xml:space="preserve">, M. and </w:t>
      </w:r>
      <w:proofErr w:type="spellStart"/>
      <w:r w:rsidRPr="00786AA4">
        <w:rPr>
          <w:sz w:val="20"/>
          <w:szCs w:val="20"/>
        </w:rPr>
        <w:t>Waldenstrom</w:t>
      </w:r>
      <w:proofErr w:type="spellEnd"/>
      <w:r w:rsidRPr="00786AA4">
        <w:rPr>
          <w:sz w:val="20"/>
          <w:szCs w:val="20"/>
        </w:rPr>
        <w:t>, D. (2009)</w:t>
      </w:r>
      <w:proofErr w:type="gramStart"/>
      <w:r w:rsidRPr="00786AA4">
        <w:rPr>
          <w:sz w:val="20"/>
          <w:szCs w:val="20"/>
        </w:rPr>
        <w:t>,  ‘How</w:t>
      </w:r>
      <w:proofErr w:type="gramEnd"/>
      <w:r w:rsidRPr="00786AA4">
        <w:rPr>
          <w:sz w:val="20"/>
          <w:szCs w:val="20"/>
        </w:rPr>
        <w:t xml:space="preserve"> Should Research Performance be Measured?  A Study of Swedish Economists’</w:t>
      </w:r>
      <w:proofErr w:type="gramStart"/>
      <w:r w:rsidRPr="00786AA4">
        <w:rPr>
          <w:sz w:val="20"/>
          <w:szCs w:val="20"/>
        </w:rPr>
        <w:t xml:space="preserve">,  </w:t>
      </w:r>
      <w:r w:rsidRPr="00786AA4">
        <w:rPr>
          <w:i/>
          <w:sz w:val="20"/>
          <w:szCs w:val="20"/>
        </w:rPr>
        <w:t>Manchester</w:t>
      </w:r>
      <w:proofErr w:type="gramEnd"/>
      <w:r w:rsidRPr="00786AA4">
        <w:rPr>
          <w:i/>
          <w:sz w:val="20"/>
          <w:szCs w:val="20"/>
        </w:rPr>
        <w:t xml:space="preserve"> School,</w:t>
      </w:r>
      <w:r w:rsidRPr="00786AA4">
        <w:rPr>
          <w:sz w:val="20"/>
          <w:szCs w:val="20"/>
        </w:rPr>
        <w:t xml:space="preserve"> </w:t>
      </w:r>
      <w:r w:rsidRPr="00786AA4">
        <w:rPr>
          <w:b/>
          <w:sz w:val="20"/>
          <w:szCs w:val="20"/>
        </w:rPr>
        <w:t>79</w:t>
      </w:r>
      <w:r w:rsidRPr="00786AA4">
        <w:rPr>
          <w:sz w:val="20"/>
          <w:szCs w:val="20"/>
        </w:rPr>
        <w:t xml:space="preserve">(6), 1139-1156. </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Kalaitzidakis</w:t>
      </w:r>
      <w:proofErr w:type="spellEnd"/>
      <w:r w:rsidRPr="00786AA4">
        <w:rPr>
          <w:sz w:val="20"/>
          <w:szCs w:val="20"/>
        </w:rPr>
        <w:t xml:space="preserve">, P., </w:t>
      </w:r>
      <w:proofErr w:type="spellStart"/>
      <w:r w:rsidRPr="00786AA4">
        <w:rPr>
          <w:sz w:val="20"/>
          <w:szCs w:val="20"/>
        </w:rPr>
        <w:t>Mamuneas</w:t>
      </w:r>
      <w:proofErr w:type="spellEnd"/>
      <w:r w:rsidRPr="00786AA4">
        <w:rPr>
          <w:sz w:val="20"/>
          <w:szCs w:val="20"/>
        </w:rPr>
        <w:t xml:space="preserve">, T., and </w:t>
      </w:r>
      <w:proofErr w:type="spellStart"/>
      <w:r w:rsidRPr="00786AA4">
        <w:rPr>
          <w:sz w:val="20"/>
          <w:szCs w:val="20"/>
        </w:rPr>
        <w:t>Stengos</w:t>
      </w:r>
      <w:proofErr w:type="spellEnd"/>
      <w:r w:rsidRPr="00786AA4">
        <w:rPr>
          <w:sz w:val="20"/>
          <w:szCs w:val="20"/>
        </w:rPr>
        <w:t>, T. (2003),   ‘Rankings of Academic Journals and Institutions in Economics’</w:t>
      </w:r>
      <w:proofErr w:type="gramStart"/>
      <w:r w:rsidRPr="00786AA4">
        <w:rPr>
          <w:sz w:val="20"/>
          <w:szCs w:val="20"/>
        </w:rPr>
        <w:t xml:space="preserve">,  </w:t>
      </w:r>
      <w:r w:rsidRPr="00786AA4">
        <w:rPr>
          <w:i/>
          <w:sz w:val="20"/>
          <w:szCs w:val="20"/>
        </w:rPr>
        <w:t>Journal</w:t>
      </w:r>
      <w:proofErr w:type="gramEnd"/>
      <w:r w:rsidRPr="00786AA4">
        <w:rPr>
          <w:i/>
          <w:sz w:val="20"/>
          <w:szCs w:val="20"/>
        </w:rPr>
        <w:t xml:space="preserve"> of the European Economic Association,</w:t>
      </w:r>
      <w:r w:rsidRPr="00786AA4">
        <w:rPr>
          <w:sz w:val="20"/>
          <w:szCs w:val="20"/>
        </w:rPr>
        <w:t xml:space="preserve"> </w:t>
      </w:r>
      <w:r w:rsidRPr="00786AA4">
        <w:rPr>
          <w:b/>
          <w:sz w:val="20"/>
          <w:szCs w:val="20"/>
        </w:rPr>
        <w:t>1</w:t>
      </w:r>
      <w:r w:rsidRPr="00786AA4">
        <w:rPr>
          <w:sz w:val="20"/>
          <w:szCs w:val="20"/>
        </w:rPr>
        <w:t>(6), 1346-1366.</w:t>
      </w:r>
    </w:p>
    <w:p w:rsidR="00C5179F" w:rsidRPr="00786AA4" w:rsidRDefault="006215DB" w:rsidP="00786AA4">
      <w:pPr>
        <w:spacing w:before="100" w:after="0" w:line="240" w:lineRule="auto"/>
        <w:ind w:left="425" w:hanging="425"/>
        <w:jc w:val="both"/>
        <w:rPr>
          <w:sz w:val="20"/>
          <w:szCs w:val="20"/>
        </w:rPr>
      </w:pPr>
      <w:proofErr w:type="spellStart"/>
      <w:r w:rsidRPr="00786AA4">
        <w:rPr>
          <w:sz w:val="20"/>
          <w:szCs w:val="20"/>
        </w:rPr>
        <w:t>Kalaitzidakis</w:t>
      </w:r>
      <w:proofErr w:type="spellEnd"/>
      <w:r w:rsidRPr="00786AA4">
        <w:rPr>
          <w:sz w:val="20"/>
          <w:szCs w:val="20"/>
        </w:rPr>
        <w:t xml:space="preserve">, P., </w:t>
      </w:r>
      <w:proofErr w:type="spellStart"/>
      <w:r w:rsidRPr="00786AA4">
        <w:rPr>
          <w:sz w:val="20"/>
          <w:szCs w:val="20"/>
        </w:rPr>
        <w:t>Mamuneas</w:t>
      </w:r>
      <w:proofErr w:type="spellEnd"/>
      <w:r w:rsidRPr="00786AA4">
        <w:rPr>
          <w:sz w:val="20"/>
          <w:szCs w:val="20"/>
        </w:rPr>
        <w:t xml:space="preserve">, T., and </w:t>
      </w:r>
      <w:proofErr w:type="spellStart"/>
      <w:r w:rsidRPr="00786AA4">
        <w:rPr>
          <w:sz w:val="20"/>
          <w:szCs w:val="20"/>
        </w:rPr>
        <w:t>Stengos</w:t>
      </w:r>
      <w:proofErr w:type="spellEnd"/>
      <w:r w:rsidRPr="00786AA4">
        <w:rPr>
          <w:sz w:val="20"/>
          <w:szCs w:val="20"/>
        </w:rPr>
        <w:t>, T. (201</w:t>
      </w:r>
      <w:r w:rsidR="00C5179F" w:rsidRPr="00786AA4">
        <w:rPr>
          <w:sz w:val="20"/>
          <w:szCs w:val="20"/>
        </w:rPr>
        <w:t>1</w:t>
      </w:r>
      <w:r w:rsidRPr="00786AA4">
        <w:rPr>
          <w:sz w:val="20"/>
          <w:szCs w:val="20"/>
        </w:rPr>
        <w:t xml:space="preserve">), ‘An Updated Ranking of Academic Journals in Economics’, </w:t>
      </w:r>
      <w:r w:rsidR="00C5179F" w:rsidRPr="00786AA4">
        <w:rPr>
          <w:sz w:val="20"/>
          <w:szCs w:val="20"/>
        </w:rPr>
        <w:t>C</w:t>
      </w:r>
      <w:r w:rsidR="00C5179F" w:rsidRPr="00786AA4">
        <w:rPr>
          <w:i/>
          <w:sz w:val="20"/>
          <w:szCs w:val="20"/>
        </w:rPr>
        <w:t>anadian Journal of Economics</w:t>
      </w:r>
      <w:r w:rsidR="00C5179F" w:rsidRPr="00786AA4">
        <w:rPr>
          <w:sz w:val="20"/>
          <w:szCs w:val="20"/>
        </w:rPr>
        <w:t xml:space="preserve">, </w:t>
      </w:r>
      <w:r w:rsidR="00C5179F" w:rsidRPr="00786AA4">
        <w:rPr>
          <w:b/>
          <w:sz w:val="20"/>
          <w:szCs w:val="20"/>
        </w:rPr>
        <w:t>44</w:t>
      </w:r>
      <w:r w:rsidR="00C5179F" w:rsidRPr="00786AA4">
        <w:rPr>
          <w:sz w:val="20"/>
          <w:szCs w:val="20"/>
        </w:rPr>
        <w:t xml:space="preserve">(4), 1525-1538. </w:t>
      </w:r>
    </w:p>
    <w:p w:rsidR="006215DB" w:rsidRPr="00786AA4" w:rsidRDefault="006215DB" w:rsidP="00786AA4">
      <w:pPr>
        <w:spacing w:before="100" w:after="0" w:line="240" w:lineRule="auto"/>
        <w:ind w:left="425" w:hanging="425"/>
        <w:jc w:val="both"/>
        <w:rPr>
          <w:sz w:val="20"/>
          <w:szCs w:val="20"/>
        </w:rPr>
      </w:pPr>
      <w:r w:rsidRPr="00786AA4">
        <w:rPr>
          <w:sz w:val="20"/>
          <w:szCs w:val="20"/>
        </w:rPr>
        <w:t>Kim, J.Y., Min, I., and Zimmermann, C. (2011)</w:t>
      </w:r>
      <w:proofErr w:type="gramStart"/>
      <w:r w:rsidRPr="00786AA4">
        <w:rPr>
          <w:sz w:val="20"/>
          <w:szCs w:val="20"/>
        </w:rPr>
        <w:t>,  ‘The</w:t>
      </w:r>
      <w:proofErr w:type="gramEnd"/>
      <w:r w:rsidRPr="00786AA4">
        <w:rPr>
          <w:sz w:val="20"/>
          <w:szCs w:val="20"/>
        </w:rPr>
        <w:t xml:space="preserve"> Economics of Citation’,  </w:t>
      </w:r>
      <w:r w:rsidRPr="00786AA4">
        <w:rPr>
          <w:i/>
          <w:sz w:val="20"/>
          <w:szCs w:val="20"/>
        </w:rPr>
        <w:t>Korean Economic Review,</w:t>
      </w:r>
      <w:r w:rsidRPr="00786AA4">
        <w:rPr>
          <w:sz w:val="20"/>
          <w:szCs w:val="20"/>
        </w:rPr>
        <w:t xml:space="preserve">  </w:t>
      </w:r>
      <w:r w:rsidRPr="00786AA4">
        <w:rPr>
          <w:b/>
          <w:sz w:val="20"/>
          <w:szCs w:val="20"/>
        </w:rPr>
        <w:t>27</w:t>
      </w:r>
      <w:r w:rsidRPr="00786AA4">
        <w:rPr>
          <w:sz w:val="20"/>
          <w:szCs w:val="20"/>
        </w:rPr>
        <w:t>(1), 93-114.</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Kodrzycki</w:t>
      </w:r>
      <w:proofErr w:type="spellEnd"/>
      <w:r w:rsidRPr="00786AA4">
        <w:rPr>
          <w:sz w:val="20"/>
          <w:szCs w:val="20"/>
        </w:rPr>
        <w:t xml:space="preserve">, Y.K. and Yu, P. (2006), ‘New Approaches to Ranking economics Journals’,  </w:t>
      </w:r>
      <w:r w:rsidRPr="00786AA4">
        <w:rPr>
          <w:i/>
          <w:sz w:val="20"/>
          <w:szCs w:val="20"/>
        </w:rPr>
        <w:t xml:space="preserve">B.E. Journal of Economic Analysis and Policy: Contributions to Economic Analysis and Policy, </w:t>
      </w:r>
      <w:r w:rsidRPr="00786AA4">
        <w:rPr>
          <w:sz w:val="20"/>
          <w:szCs w:val="20"/>
        </w:rPr>
        <w:t xml:space="preserve"> </w:t>
      </w:r>
      <w:r w:rsidRPr="00786AA4">
        <w:rPr>
          <w:b/>
          <w:sz w:val="20"/>
          <w:szCs w:val="20"/>
        </w:rPr>
        <w:t>5</w:t>
      </w:r>
      <w:r w:rsidRPr="00786AA4">
        <w:rPr>
          <w:sz w:val="20"/>
          <w:szCs w:val="20"/>
        </w:rPr>
        <w:t xml:space="preserve">(1), Article 24.  </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Liebowitz</w:t>
      </w:r>
      <w:proofErr w:type="spellEnd"/>
      <w:r w:rsidRPr="00786AA4">
        <w:rPr>
          <w:sz w:val="20"/>
          <w:szCs w:val="20"/>
        </w:rPr>
        <w:t>, S.J. and Palmer, J.P. (1984), ‘Assessing the Relative Impact of Economics Journals’</w:t>
      </w:r>
      <w:proofErr w:type="gramStart"/>
      <w:r w:rsidRPr="00786AA4">
        <w:rPr>
          <w:sz w:val="20"/>
          <w:szCs w:val="20"/>
        </w:rPr>
        <w:t xml:space="preserve">,  </w:t>
      </w:r>
      <w:r w:rsidRPr="00786AA4">
        <w:rPr>
          <w:i/>
          <w:sz w:val="20"/>
          <w:szCs w:val="20"/>
        </w:rPr>
        <w:t>Journal</w:t>
      </w:r>
      <w:proofErr w:type="gramEnd"/>
      <w:r w:rsidRPr="00786AA4">
        <w:rPr>
          <w:i/>
          <w:sz w:val="20"/>
          <w:szCs w:val="20"/>
        </w:rPr>
        <w:t xml:space="preserve"> of Economic Literature, </w:t>
      </w:r>
      <w:r w:rsidRPr="00786AA4">
        <w:rPr>
          <w:b/>
          <w:sz w:val="20"/>
          <w:szCs w:val="20"/>
        </w:rPr>
        <w:t>22</w:t>
      </w:r>
      <w:r w:rsidRPr="00786AA4">
        <w:rPr>
          <w:sz w:val="20"/>
          <w:szCs w:val="20"/>
        </w:rPr>
        <w:t xml:space="preserve">(1), 77-88. </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Macri</w:t>
      </w:r>
      <w:proofErr w:type="spellEnd"/>
      <w:r w:rsidRPr="00786AA4">
        <w:rPr>
          <w:sz w:val="20"/>
          <w:szCs w:val="20"/>
        </w:rPr>
        <w:t>, J. and Sinha, D. (2006), ‘Rankings Methodology for International Comparisons of Institutions and Individuals: An Application to Economics in Australia and New Zealand’</w:t>
      </w:r>
      <w:proofErr w:type="gramStart"/>
      <w:r w:rsidRPr="00786AA4">
        <w:rPr>
          <w:sz w:val="20"/>
          <w:szCs w:val="20"/>
        </w:rPr>
        <w:t xml:space="preserve">,  </w:t>
      </w:r>
      <w:r w:rsidRPr="00786AA4">
        <w:rPr>
          <w:i/>
          <w:sz w:val="20"/>
          <w:szCs w:val="20"/>
        </w:rPr>
        <w:t>Journal</w:t>
      </w:r>
      <w:proofErr w:type="gramEnd"/>
      <w:r w:rsidRPr="00786AA4">
        <w:rPr>
          <w:i/>
          <w:sz w:val="20"/>
          <w:szCs w:val="20"/>
        </w:rPr>
        <w:t xml:space="preserve"> of Economic Surveys,</w:t>
      </w:r>
      <w:r w:rsidRPr="00786AA4">
        <w:rPr>
          <w:sz w:val="20"/>
          <w:szCs w:val="20"/>
        </w:rPr>
        <w:t xml:space="preserve">  </w:t>
      </w:r>
      <w:r w:rsidRPr="00786AA4">
        <w:rPr>
          <w:b/>
          <w:sz w:val="20"/>
          <w:szCs w:val="20"/>
        </w:rPr>
        <w:t>20</w:t>
      </w:r>
      <w:r w:rsidRPr="00786AA4">
        <w:rPr>
          <w:sz w:val="20"/>
          <w:szCs w:val="20"/>
        </w:rPr>
        <w:t>(1), 111-156.</w:t>
      </w:r>
    </w:p>
    <w:p w:rsidR="006215DB" w:rsidRPr="00786AA4" w:rsidRDefault="006215DB" w:rsidP="00786AA4">
      <w:pPr>
        <w:spacing w:before="100" w:after="0" w:line="240" w:lineRule="auto"/>
        <w:ind w:left="425" w:hanging="425"/>
        <w:jc w:val="both"/>
        <w:rPr>
          <w:sz w:val="20"/>
          <w:szCs w:val="20"/>
        </w:rPr>
      </w:pPr>
      <w:r w:rsidRPr="00786AA4">
        <w:rPr>
          <w:sz w:val="20"/>
          <w:szCs w:val="20"/>
        </w:rPr>
        <w:t>Oswald, A.J. (2007), ‘An Examination of the Reliability of Prestigious Scholarly Journals: Evidence and Implications for Decision-Makers’</w:t>
      </w:r>
      <w:proofErr w:type="gramStart"/>
      <w:r w:rsidRPr="00786AA4">
        <w:rPr>
          <w:sz w:val="20"/>
          <w:szCs w:val="20"/>
        </w:rPr>
        <w:t xml:space="preserve">,  </w:t>
      </w:r>
      <w:r w:rsidRPr="00786AA4">
        <w:rPr>
          <w:i/>
          <w:sz w:val="20"/>
          <w:szCs w:val="20"/>
        </w:rPr>
        <w:t>Economica</w:t>
      </w:r>
      <w:proofErr w:type="gramEnd"/>
      <w:r w:rsidRPr="00786AA4">
        <w:rPr>
          <w:i/>
          <w:sz w:val="20"/>
          <w:szCs w:val="20"/>
        </w:rPr>
        <w:t xml:space="preserve">, </w:t>
      </w:r>
      <w:r w:rsidRPr="00786AA4">
        <w:rPr>
          <w:b/>
          <w:sz w:val="20"/>
          <w:szCs w:val="20"/>
        </w:rPr>
        <w:t>74</w:t>
      </w:r>
      <w:r w:rsidRPr="00786AA4">
        <w:rPr>
          <w:sz w:val="20"/>
          <w:szCs w:val="20"/>
        </w:rPr>
        <w:t xml:space="preserve">(1), 21-31. </w:t>
      </w:r>
    </w:p>
    <w:p w:rsidR="006215DB" w:rsidRPr="00786AA4" w:rsidRDefault="006215DB" w:rsidP="00786AA4">
      <w:pPr>
        <w:spacing w:before="100" w:after="0" w:line="240" w:lineRule="auto"/>
        <w:ind w:left="425" w:hanging="425"/>
        <w:jc w:val="both"/>
        <w:rPr>
          <w:sz w:val="20"/>
          <w:szCs w:val="20"/>
        </w:rPr>
      </w:pPr>
      <w:r w:rsidRPr="00786AA4">
        <w:rPr>
          <w:sz w:val="20"/>
          <w:szCs w:val="20"/>
        </w:rPr>
        <w:t xml:space="preserve">Palacios-Huerta, I. and </w:t>
      </w:r>
      <w:proofErr w:type="spellStart"/>
      <w:r w:rsidRPr="00786AA4">
        <w:rPr>
          <w:sz w:val="20"/>
          <w:szCs w:val="20"/>
        </w:rPr>
        <w:t>Volij</w:t>
      </w:r>
      <w:proofErr w:type="spellEnd"/>
      <w:r w:rsidRPr="00786AA4">
        <w:rPr>
          <w:sz w:val="20"/>
          <w:szCs w:val="20"/>
        </w:rPr>
        <w:t xml:space="preserve">, O. (2004), ‘The Measurement of Intellectual Influence’, </w:t>
      </w:r>
      <w:r w:rsidRPr="00786AA4">
        <w:rPr>
          <w:i/>
          <w:sz w:val="20"/>
          <w:szCs w:val="20"/>
        </w:rPr>
        <w:t>Econometrica</w:t>
      </w:r>
      <w:proofErr w:type="gramStart"/>
      <w:r w:rsidRPr="00786AA4">
        <w:rPr>
          <w:i/>
          <w:sz w:val="20"/>
          <w:szCs w:val="20"/>
        </w:rPr>
        <w:t>,</w:t>
      </w:r>
      <w:r w:rsidRPr="00786AA4">
        <w:rPr>
          <w:sz w:val="20"/>
          <w:szCs w:val="20"/>
        </w:rPr>
        <w:t xml:space="preserve">  </w:t>
      </w:r>
      <w:r w:rsidRPr="00786AA4">
        <w:rPr>
          <w:b/>
          <w:sz w:val="20"/>
          <w:szCs w:val="20"/>
        </w:rPr>
        <w:t>72</w:t>
      </w:r>
      <w:proofErr w:type="gramEnd"/>
      <w:r w:rsidRPr="00786AA4">
        <w:rPr>
          <w:sz w:val="20"/>
          <w:szCs w:val="20"/>
        </w:rPr>
        <w:t>(3), 963-977.</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Pomfret</w:t>
      </w:r>
      <w:proofErr w:type="spellEnd"/>
      <w:r w:rsidRPr="00786AA4">
        <w:rPr>
          <w:sz w:val="20"/>
          <w:szCs w:val="20"/>
        </w:rPr>
        <w:t xml:space="preserve">, R. and Wang, L.C. (2003), ‘Evaluating the Research Output of Australian Universities’ Economics Departments’,  </w:t>
      </w:r>
      <w:r w:rsidRPr="00786AA4">
        <w:rPr>
          <w:i/>
          <w:sz w:val="20"/>
          <w:szCs w:val="20"/>
        </w:rPr>
        <w:t>Australian Economic Papers,</w:t>
      </w:r>
      <w:r w:rsidRPr="00786AA4">
        <w:rPr>
          <w:sz w:val="20"/>
          <w:szCs w:val="20"/>
        </w:rPr>
        <w:t xml:space="preserve"> </w:t>
      </w:r>
      <w:r w:rsidRPr="00786AA4">
        <w:rPr>
          <w:b/>
          <w:sz w:val="20"/>
          <w:szCs w:val="20"/>
        </w:rPr>
        <w:t>42</w:t>
      </w:r>
      <w:r w:rsidRPr="00786AA4">
        <w:rPr>
          <w:sz w:val="20"/>
          <w:szCs w:val="20"/>
        </w:rPr>
        <w:t>(4), 418-441.</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Ravallion</w:t>
      </w:r>
      <w:proofErr w:type="spellEnd"/>
      <w:r w:rsidRPr="00786AA4">
        <w:rPr>
          <w:sz w:val="20"/>
          <w:szCs w:val="20"/>
        </w:rPr>
        <w:t xml:space="preserve">, M. and </w:t>
      </w:r>
      <w:proofErr w:type="spellStart"/>
      <w:r w:rsidRPr="00786AA4">
        <w:rPr>
          <w:sz w:val="20"/>
          <w:szCs w:val="20"/>
        </w:rPr>
        <w:t>Wagstaff</w:t>
      </w:r>
      <w:proofErr w:type="spellEnd"/>
      <w:r w:rsidRPr="00786AA4">
        <w:rPr>
          <w:sz w:val="20"/>
          <w:szCs w:val="20"/>
        </w:rPr>
        <w:t>, A. (2011), ‘On Measuring Scholarly Influence by Citations’</w:t>
      </w:r>
      <w:proofErr w:type="gramStart"/>
      <w:r w:rsidRPr="00786AA4">
        <w:rPr>
          <w:sz w:val="20"/>
          <w:szCs w:val="20"/>
        </w:rPr>
        <w:t xml:space="preserve">,  </w:t>
      </w:r>
      <w:proofErr w:type="spellStart"/>
      <w:r w:rsidRPr="00786AA4">
        <w:rPr>
          <w:i/>
          <w:sz w:val="20"/>
          <w:szCs w:val="20"/>
        </w:rPr>
        <w:t>Scientometrics</w:t>
      </w:r>
      <w:proofErr w:type="spellEnd"/>
      <w:proofErr w:type="gramEnd"/>
      <w:r w:rsidRPr="00786AA4">
        <w:rPr>
          <w:i/>
          <w:sz w:val="20"/>
          <w:szCs w:val="20"/>
        </w:rPr>
        <w:t>,</w:t>
      </w:r>
      <w:r w:rsidRPr="00786AA4">
        <w:rPr>
          <w:sz w:val="20"/>
          <w:szCs w:val="20"/>
        </w:rPr>
        <w:t xml:space="preserve"> </w:t>
      </w:r>
      <w:r w:rsidRPr="00786AA4">
        <w:rPr>
          <w:b/>
          <w:sz w:val="20"/>
          <w:szCs w:val="20"/>
        </w:rPr>
        <w:t>88</w:t>
      </w:r>
      <w:r w:rsidRPr="00786AA4">
        <w:rPr>
          <w:sz w:val="20"/>
          <w:szCs w:val="20"/>
        </w:rPr>
        <w:t xml:space="preserve">(1), 321-337. </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Ruane</w:t>
      </w:r>
      <w:proofErr w:type="spellEnd"/>
      <w:r w:rsidRPr="00786AA4">
        <w:rPr>
          <w:sz w:val="20"/>
          <w:szCs w:val="20"/>
        </w:rPr>
        <w:t xml:space="preserve">, F. and </w:t>
      </w:r>
      <w:proofErr w:type="spellStart"/>
      <w:r w:rsidRPr="00786AA4">
        <w:rPr>
          <w:sz w:val="20"/>
          <w:szCs w:val="20"/>
        </w:rPr>
        <w:t>Tol</w:t>
      </w:r>
      <w:proofErr w:type="spellEnd"/>
      <w:r w:rsidRPr="00786AA4">
        <w:rPr>
          <w:sz w:val="20"/>
          <w:szCs w:val="20"/>
        </w:rPr>
        <w:t>, R.S.J. (2008), ‘Rational (successive) h-indices: An application to economics in the Republic of Ireland’</w:t>
      </w:r>
      <w:proofErr w:type="gramStart"/>
      <w:r w:rsidRPr="00786AA4">
        <w:rPr>
          <w:sz w:val="20"/>
          <w:szCs w:val="20"/>
        </w:rPr>
        <w:t>,</w:t>
      </w:r>
      <w:r w:rsidRPr="00786AA4">
        <w:rPr>
          <w:i/>
          <w:sz w:val="20"/>
          <w:szCs w:val="20"/>
        </w:rPr>
        <w:t xml:space="preserve">  </w:t>
      </w:r>
      <w:proofErr w:type="spellStart"/>
      <w:r w:rsidRPr="00786AA4">
        <w:rPr>
          <w:i/>
          <w:sz w:val="20"/>
          <w:szCs w:val="20"/>
        </w:rPr>
        <w:t>Scientometrics</w:t>
      </w:r>
      <w:proofErr w:type="spellEnd"/>
      <w:proofErr w:type="gramEnd"/>
      <w:r w:rsidRPr="00786AA4">
        <w:rPr>
          <w:i/>
          <w:sz w:val="20"/>
          <w:szCs w:val="20"/>
        </w:rPr>
        <w:t>,</w:t>
      </w:r>
      <w:r w:rsidRPr="00786AA4">
        <w:rPr>
          <w:sz w:val="20"/>
          <w:szCs w:val="20"/>
        </w:rPr>
        <w:t xml:space="preserve">  </w:t>
      </w:r>
      <w:r w:rsidRPr="00786AA4">
        <w:rPr>
          <w:b/>
          <w:sz w:val="20"/>
          <w:szCs w:val="20"/>
        </w:rPr>
        <w:t>75</w:t>
      </w:r>
      <w:r w:rsidRPr="00786AA4">
        <w:rPr>
          <w:sz w:val="20"/>
          <w:szCs w:val="20"/>
        </w:rPr>
        <w:t>(2), 395-405.</w:t>
      </w:r>
    </w:p>
    <w:p w:rsidR="006215DB" w:rsidRPr="00786AA4" w:rsidRDefault="00786AA4" w:rsidP="00786AA4">
      <w:pPr>
        <w:spacing w:before="100" w:after="0" w:line="240" w:lineRule="auto"/>
        <w:ind w:left="425" w:hanging="425"/>
        <w:jc w:val="both"/>
        <w:rPr>
          <w:sz w:val="20"/>
          <w:szCs w:val="20"/>
        </w:rPr>
      </w:pPr>
      <w:r>
        <w:rPr>
          <w:sz w:val="20"/>
          <w:szCs w:val="20"/>
        </w:rPr>
        <w:t xml:space="preserve">Schreiber, M. (2010), </w:t>
      </w:r>
      <w:r w:rsidR="006215DB" w:rsidRPr="00786AA4">
        <w:rPr>
          <w:sz w:val="20"/>
          <w:szCs w:val="20"/>
        </w:rPr>
        <w:t>‘Twenty Hirsch index variants and other indicators giving more or less preference to highly cited papers’</w:t>
      </w:r>
      <w:proofErr w:type="gramStart"/>
      <w:r w:rsidR="006215DB" w:rsidRPr="00786AA4">
        <w:rPr>
          <w:sz w:val="20"/>
          <w:szCs w:val="20"/>
        </w:rPr>
        <w:t xml:space="preserve">,  </w:t>
      </w:r>
      <w:r w:rsidR="006215DB" w:rsidRPr="00786AA4">
        <w:rPr>
          <w:i/>
          <w:sz w:val="20"/>
          <w:szCs w:val="20"/>
        </w:rPr>
        <w:t>Annals</w:t>
      </w:r>
      <w:proofErr w:type="gramEnd"/>
      <w:r w:rsidR="006215DB" w:rsidRPr="00786AA4">
        <w:rPr>
          <w:i/>
          <w:sz w:val="20"/>
          <w:szCs w:val="20"/>
        </w:rPr>
        <w:t xml:space="preserve"> of Physics (Berlin),</w:t>
      </w:r>
      <w:r w:rsidR="006215DB" w:rsidRPr="00786AA4">
        <w:rPr>
          <w:sz w:val="20"/>
          <w:szCs w:val="20"/>
        </w:rPr>
        <w:t xml:space="preserve">  </w:t>
      </w:r>
      <w:r w:rsidR="006215DB" w:rsidRPr="00786AA4">
        <w:rPr>
          <w:b/>
          <w:sz w:val="20"/>
          <w:szCs w:val="20"/>
        </w:rPr>
        <w:t>522</w:t>
      </w:r>
      <w:r w:rsidR="006215DB" w:rsidRPr="00786AA4">
        <w:rPr>
          <w:sz w:val="20"/>
          <w:szCs w:val="20"/>
        </w:rPr>
        <w:t>(8), 536-554.</w:t>
      </w:r>
    </w:p>
    <w:p w:rsidR="006215DB" w:rsidRPr="00786AA4" w:rsidRDefault="006215DB" w:rsidP="00786AA4">
      <w:pPr>
        <w:spacing w:before="100" w:after="0" w:line="240" w:lineRule="auto"/>
        <w:ind w:left="425" w:hanging="425"/>
        <w:jc w:val="both"/>
        <w:rPr>
          <w:sz w:val="20"/>
          <w:szCs w:val="20"/>
        </w:rPr>
      </w:pPr>
      <w:r w:rsidRPr="00786AA4">
        <w:rPr>
          <w:sz w:val="20"/>
          <w:szCs w:val="20"/>
        </w:rPr>
        <w:t xml:space="preserve">Starbuck, W.H. (2005), ‘How much Better are the Most-Prestigious Journals?  The Statistics of Academic Publication’, </w:t>
      </w:r>
      <w:r w:rsidRPr="00786AA4">
        <w:rPr>
          <w:i/>
          <w:sz w:val="20"/>
          <w:szCs w:val="20"/>
        </w:rPr>
        <w:t>Organization Science,</w:t>
      </w:r>
      <w:r w:rsidRPr="00786AA4">
        <w:rPr>
          <w:sz w:val="20"/>
          <w:szCs w:val="20"/>
        </w:rPr>
        <w:t xml:space="preserve"> 16(2), 180-200.</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Tol</w:t>
      </w:r>
      <w:proofErr w:type="spellEnd"/>
      <w:r w:rsidRPr="00786AA4">
        <w:rPr>
          <w:sz w:val="20"/>
          <w:szCs w:val="20"/>
        </w:rPr>
        <w:t xml:space="preserve">, R.S.J. (2008), ‘A rational, successive g-index applied to economics departments in Ireland’, </w:t>
      </w:r>
      <w:r w:rsidRPr="00786AA4">
        <w:rPr>
          <w:i/>
          <w:sz w:val="20"/>
          <w:szCs w:val="20"/>
        </w:rPr>
        <w:t xml:space="preserve">Journal of </w:t>
      </w:r>
      <w:proofErr w:type="spellStart"/>
      <w:r w:rsidRPr="00786AA4">
        <w:rPr>
          <w:i/>
          <w:sz w:val="20"/>
          <w:szCs w:val="20"/>
        </w:rPr>
        <w:t>Informetrics</w:t>
      </w:r>
      <w:proofErr w:type="spellEnd"/>
      <w:r w:rsidRPr="00786AA4">
        <w:rPr>
          <w:i/>
          <w:sz w:val="20"/>
          <w:szCs w:val="20"/>
        </w:rPr>
        <w:t>,</w:t>
      </w:r>
      <w:r w:rsidRPr="00786AA4">
        <w:rPr>
          <w:sz w:val="20"/>
          <w:szCs w:val="20"/>
        </w:rPr>
        <w:t xml:space="preserve"> </w:t>
      </w:r>
      <w:r w:rsidRPr="00786AA4">
        <w:rPr>
          <w:b/>
          <w:sz w:val="20"/>
          <w:szCs w:val="20"/>
        </w:rPr>
        <w:t>2</w:t>
      </w:r>
      <w:r w:rsidRPr="00786AA4">
        <w:rPr>
          <w:sz w:val="20"/>
          <w:szCs w:val="20"/>
        </w:rPr>
        <w:t>(</w:t>
      </w:r>
      <w:r w:rsidR="00014C3E" w:rsidRPr="00786AA4">
        <w:rPr>
          <w:sz w:val="20"/>
          <w:szCs w:val="20"/>
        </w:rPr>
        <w:t>2</w:t>
      </w:r>
      <w:r w:rsidRPr="00786AA4">
        <w:rPr>
          <w:sz w:val="20"/>
          <w:szCs w:val="20"/>
        </w:rPr>
        <w:t>), 149-155.</w:t>
      </w:r>
    </w:p>
    <w:p w:rsidR="006215DB" w:rsidRPr="00786AA4" w:rsidRDefault="006215DB" w:rsidP="00786AA4">
      <w:pPr>
        <w:spacing w:before="100" w:after="0" w:line="240" w:lineRule="auto"/>
        <w:ind w:left="425" w:hanging="425"/>
        <w:jc w:val="both"/>
        <w:rPr>
          <w:sz w:val="20"/>
          <w:szCs w:val="20"/>
        </w:rPr>
      </w:pPr>
      <w:proofErr w:type="spellStart"/>
      <w:r w:rsidRPr="00786AA4">
        <w:rPr>
          <w:sz w:val="20"/>
          <w:szCs w:val="20"/>
        </w:rPr>
        <w:t>Tol</w:t>
      </w:r>
      <w:proofErr w:type="spellEnd"/>
      <w:r w:rsidRPr="00786AA4">
        <w:rPr>
          <w:sz w:val="20"/>
          <w:szCs w:val="20"/>
        </w:rPr>
        <w:t>, R.S.J. (2009), ‘</w:t>
      </w:r>
      <w:proofErr w:type="gramStart"/>
      <w:r w:rsidRPr="00786AA4">
        <w:rPr>
          <w:sz w:val="20"/>
          <w:szCs w:val="20"/>
        </w:rPr>
        <w:t>The</w:t>
      </w:r>
      <w:proofErr w:type="gramEnd"/>
      <w:r w:rsidRPr="00786AA4">
        <w:rPr>
          <w:sz w:val="20"/>
          <w:szCs w:val="20"/>
        </w:rPr>
        <w:t xml:space="preserve"> h-index and its alternatives:  An application to the 100 most prolific economists’, </w:t>
      </w:r>
      <w:proofErr w:type="spellStart"/>
      <w:r w:rsidRPr="00786AA4">
        <w:rPr>
          <w:i/>
          <w:sz w:val="20"/>
          <w:szCs w:val="20"/>
        </w:rPr>
        <w:t>Scientometrics</w:t>
      </w:r>
      <w:proofErr w:type="spellEnd"/>
      <w:r w:rsidRPr="00786AA4">
        <w:rPr>
          <w:i/>
          <w:sz w:val="20"/>
          <w:szCs w:val="20"/>
        </w:rPr>
        <w:t>,</w:t>
      </w:r>
      <w:r w:rsidRPr="00786AA4">
        <w:rPr>
          <w:sz w:val="20"/>
          <w:szCs w:val="20"/>
        </w:rPr>
        <w:t xml:space="preserve"> </w:t>
      </w:r>
      <w:r w:rsidRPr="00786AA4">
        <w:rPr>
          <w:b/>
          <w:sz w:val="20"/>
          <w:szCs w:val="20"/>
        </w:rPr>
        <w:t>80</w:t>
      </w:r>
      <w:r w:rsidRPr="00786AA4">
        <w:rPr>
          <w:sz w:val="20"/>
          <w:szCs w:val="20"/>
        </w:rPr>
        <w:t xml:space="preserve">(2), 317-324. </w:t>
      </w:r>
    </w:p>
    <w:p w:rsidR="006215DB" w:rsidRPr="00786AA4" w:rsidRDefault="006215DB" w:rsidP="00786AA4">
      <w:pPr>
        <w:spacing w:before="100" w:after="0" w:line="240" w:lineRule="auto"/>
        <w:ind w:left="425" w:hanging="425"/>
        <w:jc w:val="both"/>
        <w:rPr>
          <w:sz w:val="20"/>
          <w:szCs w:val="20"/>
        </w:rPr>
      </w:pPr>
      <w:r w:rsidRPr="00786AA4">
        <w:rPr>
          <w:sz w:val="20"/>
          <w:szCs w:val="20"/>
        </w:rPr>
        <w:t>Wall, H.J. (2009), ‘Don’t Get Skewed Over by Journal Rankings’</w:t>
      </w:r>
      <w:proofErr w:type="gramStart"/>
      <w:r w:rsidRPr="00786AA4">
        <w:rPr>
          <w:sz w:val="20"/>
          <w:szCs w:val="20"/>
        </w:rPr>
        <w:t xml:space="preserve">,  </w:t>
      </w:r>
      <w:r w:rsidRPr="00786AA4">
        <w:rPr>
          <w:i/>
          <w:sz w:val="20"/>
          <w:szCs w:val="20"/>
        </w:rPr>
        <w:t>B.E</w:t>
      </w:r>
      <w:proofErr w:type="gramEnd"/>
      <w:r w:rsidRPr="00786AA4">
        <w:rPr>
          <w:i/>
          <w:sz w:val="20"/>
          <w:szCs w:val="20"/>
        </w:rPr>
        <w:t>. Journal of Economic Analysis and Policy: Topics,</w:t>
      </w:r>
      <w:r w:rsidRPr="00786AA4">
        <w:rPr>
          <w:sz w:val="20"/>
          <w:szCs w:val="20"/>
        </w:rPr>
        <w:t xml:space="preserve"> </w:t>
      </w:r>
      <w:r w:rsidRPr="00786AA4">
        <w:rPr>
          <w:b/>
          <w:sz w:val="20"/>
          <w:szCs w:val="20"/>
        </w:rPr>
        <w:t>9</w:t>
      </w:r>
      <w:r w:rsidRPr="00786AA4">
        <w:rPr>
          <w:sz w:val="20"/>
          <w:szCs w:val="20"/>
        </w:rPr>
        <w:t xml:space="preserve">(1), Article 34. </w:t>
      </w:r>
    </w:p>
    <w:p w:rsidR="006215DB" w:rsidRDefault="006215DB" w:rsidP="00786AA4">
      <w:pPr>
        <w:jc w:val="both"/>
      </w:pPr>
    </w:p>
    <w:p w:rsidR="006215DB" w:rsidRDefault="006215DB" w:rsidP="00786AA4">
      <w:pPr>
        <w:jc w:val="both"/>
      </w:pPr>
    </w:p>
    <w:p w:rsidR="004B245A" w:rsidRDefault="004B245A" w:rsidP="00786AA4">
      <w:pPr>
        <w:jc w:val="both"/>
      </w:pPr>
    </w:p>
    <w:p w:rsidR="004B245A" w:rsidRPr="00B3508F" w:rsidRDefault="004B245A" w:rsidP="00786AA4">
      <w:pPr>
        <w:jc w:val="both"/>
      </w:pPr>
    </w:p>
    <w:sectPr w:rsidR="004B245A" w:rsidRPr="00B3508F" w:rsidSect="007B157E">
      <w:footerReference w:type="default" r:id="rId9"/>
      <w:pgSz w:w="12240" w:h="15840" w:code="1"/>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59F" w:rsidRDefault="009B059F" w:rsidP="00AA7279">
      <w:pPr>
        <w:spacing w:after="0" w:line="240" w:lineRule="auto"/>
      </w:pPr>
      <w:r>
        <w:separator/>
      </w:r>
    </w:p>
  </w:endnote>
  <w:endnote w:type="continuationSeparator" w:id="0">
    <w:p w:rsidR="009B059F" w:rsidRDefault="009B059F" w:rsidP="00AA7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9532"/>
      <w:docPartObj>
        <w:docPartGallery w:val="Page Numbers (Bottom of Page)"/>
        <w:docPartUnique/>
      </w:docPartObj>
    </w:sdtPr>
    <w:sdtContent>
      <w:p w:rsidR="000D16A8" w:rsidRDefault="00CD53CA">
        <w:pPr>
          <w:pStyle w:val="Footer"/>
          <w:jc w:val="center"/>
        </w:pPr>
        <w:fldSimple w:instr=" PAGE   \* MERGEFORMAT ">
          <w:r w:rsidR="00F05919">
            <w:rPr>
              <w:noProof/>
            </w:rPr>
            <w:t>2</w:t>
          </w:r>
        </w:fldSimple>
      </w:p>
    </w:sdtContent>
  </w:sdt>
  <w:p w:rsidR="000D16A8" w:rsidRDefault="000D1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59F" w:rsidRDefault="009B059F" w:rsidP="00AA7279">
      <w:pPr>
        <w:spacing w:after="0" w:line="240" w:lineRule="auto"/>
      </w:pPr>
      <w:r>
        <w:separator/>
      </w:r>
    </w:p>
  </w:footnote>
  <w:footnote w:type="continuationSeparator" w:id="0">
    <w:p w:rsidR="009B059F" w:rsidRDefault="009B059F" w:rsidP="00AA7279">
      <w:pPr>
        <w:spacing w:after="0" w:line="240" w:lineRule="auto"/>
      </w:pPr>
      <w:r>
        <w:continuationSeparator/>
      </w:r>
    </w:p>
  </w:footnote>
  <w:footnote w:id="1">
    <w:p w:rsidR="000D16A8" w:rsidRDefault="000D16A8" w:rsidP="005B545E">
      <w:pPr>
        <w:pStyle w:val="FootnoteText"/>
        <w:ind w:left="284" w:hanging="284"/>
        <w:jc w:val="both"/>
      </w:pPr>
      <w:r>
        <w:rPr>
          <w:rStyle w:val="FootnoteReference"/>
        </w:rPr>
        <w:footnoteRef/>
      </w:r>
      <w:r>
        <w:t xml:space="preserve"> </w:t>
      </w:r>
      <w:r>
        <w:tab/>
        <w:t xml:space="preserve">The impact factor can be defined as: the total number of citations from journals in year t to articles published in year’s t-1 to t-x, divided by the number of articles published by the receiving journal in year's t-1 to t-x, where x can range from 2 to the number of years the journal has been in publication. </w:t>
      </w:r>
    </w:p>
  </w:footnote>
  <w:footnote w:id="2">
    <w:p w:rsidR="000D16A8" w:rsidRDefault="000D16A8" w:rsidP="005B545E">
      <w:pPr>
        <w:pStyle w:val="FootnoteText"/>
        <w:ind w:left="284" w:hanging="284"/>
        <w:jc w:val="both"/>
      </w:pPr>
      <w:r>
        <w:rPr>
          <w:rStyle w:val="FootnoteReference"/>
        </w:rPr>
        <w:footnoteRef/>
      </w:r>
      <w:r>
        <w:t xml:space="preserve"> </w:t>
      </w:r>
      <w:r>
        <w:tab/>
        <w:t xml:space="preserve">The basic </w:t>
      </w:r>
      <w:proofErr w:type="spellStart"/>
      <w:r>
        <w:t>Liebowitz</w:t>
      </w:r>
      <w:proofErr w:type="spellEnd"/>
      <w:r>
        <w:t xml:space="preserve"> and Palmer (1984) approach can be characterized as follows: the starting point is a set of impact factors.  In the second stage, all cites are weighted by the relevant impact factor of the journal generating a citation.  The adjusted impact factors generated by the second iteration are then substituted for the initial impact factors, and the process repeated until a stable solution is found. The final weights are known as adjusted impact factors.  </w:t>
      </w:r>
    </w:p>
  </w:footnote>
  <w:footnote w:id="3">
    <w:p w:rsidR="000D16A8" w:rsidRDefault="000D16A8" w:rsidP="005B545E">
      <w:pPr>
        <w:pStyle w:val="FootnoteText"/>
        <w:tabs>
          <w:tab w:val="left" w:pos="426"/>
        </w:tabs>
        <w:ind w:left="284" w:hanging="284"/>
      </w:pPr>
      <w:r>
        <w:rPr>
          <w:rStyle w:val="FootnoteReference"/>
        </w:rPr>
        <w:footnoteRef/>
      </w:r>
      <w:r>
        <w:t xml:space="preserve"> </w:t>
      </w:r>
      <w:r>
        <w:tab/>
        <w:t xml:space="preserve">Officially known as the Thomson Reuters Institute for Scientific Information Web of Science database, but generally referred to as the ISI database.  </w:t>
      </w:r>
    </w:p>
  </w:footnote>
  <w:footnote w:id="4">
    <w:p w:rsidR="000D16A8" w:rsidRDefault="000D16A8" w:rsidP="00365D9A">
      <w:pPr>
        <w:pStyle w:val="FootnoteText"/>
        <w:ind w:left="284" w:hanging="284"/>
      </w:pPr>
      <w:r>
        <w:rPr>
          <w:rStyle w:val="FootnoteReference"/>
        </w:rPr>
        <w:footnoteRef/>
      </w:r>
      <w:r>
        <w:t xml:space="preserve"> </w:t>
      </w:r>
      <w:r>
        <w:tab/>
        <w:t xml:space="preserve">For example, see Schreiber (2010) for a study based on 20 variations of the h-index.  For a review of the broad range of </w:t>
      </w:r>
      <w:proofErr w:type="spellStart"/>
      <w:r>
        <w:t>bibliometric</w:t>
      </w:r>
      <w:proofErr w:type="spellEnd"/>
      <w:r>
        <w:t>-based RAMs, see Chang, McAleer and Oxley (2011).</w:t>
      </w:r>
    </w:p>
  </w:footnote>
  <w:footnote w:id="5">
    <w:p w:rsidR="000D16A8" w:rsidRDefault="000D16A8" w:rsidP="00365D9A">
      <w:pPr>
        <w:pStyle w:val="FootnoteText"/>
        <w:ind w:left="284" w:hanging="284"/>
      </w:pPr>
      <w:r>
        <w:rPr>
          <w:rStyle w:val="FootnoteReference"/>
        </w:rPr>
        <w:footnoteRef/>
      </w:r>
      <w:r>
        <w:tab/>
      </w:r>
      <w:proofErr w:type="spellStart"/>
      <w:r>
        <w:t>Ruane</w:t>
      </w:r>
      <w:proofErr w:type="spellEnd"/>
      <w:r>
        <w:t xml:space="preserve"> and </w:t>
      </w:r>
      <w:proofErr w:type="spellStart"/>
      <w:r>
        <w:t>Tol</w:t>
      </w:r>
      <w:proofErr w:type="spellEnd"/>
      <w:r>
        <w:t xml:space="preserve"> (2008) and </w:t>
      </w:r>
      <w:proofErr w:type="spellStart"/>
      <w:r>
        <w:t>Tol</w:t>
      </w:r>
      <w:proofErr w:type="spellEnd"/>
      <w:r>
        <w:t xml:space="preserve"> (2008) provide a partial analysis only.  They only consider those with active research records (those for whom they could find ISI or Scopus citations).  This led them to exclude 90 academics from a pool of approximately 225.</w:t>
      </w:r>
    </w:p>
  </w:footnote>
  <w:footnote w:id="6">
    <w:p w:rsidR="000D16A8" w:rsidRDefault="000D16A8" w:rsidP="005B545E">
      <w:pPr>
        <w:pStyle w:val="FootnoteText"/>
        <w:ind w:left="284" w:hanging="284"/>
      </w:pPr>
      <w:r>
        <w:rPr>
          <w:rStyle w:val="FootnoteReference"/>
        </w:rPr>
        <w:footnoteRef/>
      </w:r>
      <w:r>
        <w:t xml:space="preserve"> </w:t>
      </w:r>
      <w:r>
        <w:tab/>
        <w:t>Strictly speaking, researchers are not required to submit a research portfolio for evaluation, but those failing to do so are, in effect, given a score of zero.</w:t>
      </w:r>
    </w:p>
  </w:footnote>
  <w:footnote w:id="7">
    <w:p w:rsidR="000D16A8" w:rsidRDefault="000D16A8" w:rsidP="005B545E">
      <w:pPr>
        <w:pStyle w:val="FootnoteText"/>
        <w:ind w:left="284" w:hanging="284"/>
      </w:pPr>
      <w:r>
        <w:rPr>
          <w:rStyle w:val="FootnoteReference"/>
        </w:rPr>
        <w:footnoteRef/>
      </w:r>
      <w:r>
        <w:t xml:space="preserve"> </w:t>
      </w:r>
      <w:r>
        <w:tab/>
        <w:t xml:space="preserve">The ISI document listing the organizations various RAMs, including the 2year impact factor utilized in this study is known as the Journal Citation Report (JCR).  </w:t>
      </w:r>
    </w:p>
  </w:footnote>
  <w:footnote w:id="8">
    <w:p w:rsidR="000D16A8" w:rsidRDefault="000D16A8" w:rsidP="005B545E">
      <w:pPr>
        <w:pStyle w:val="FootnoteText"/>
        <w:ind w:left="284" w:hanging="284"/>
      </w:pPr>
      <w:r>
        <w:rPr>
          <w:rStyle w:val="FootnoteReference"/>
        </w:rPr>
        <w:footnoteRef/>
      </w:r>
      <w:r>
        <w:t xml:space="preserve"> </w:t>
      </w:r>
      <w:r>
        <w:tab/>
        <w:t>This restriction reduces the sample size from 135 to 110.</w:t>
      </w:r>
    </w:p>
    <w:p w:rsidR="000D16A8" w:rsidRPr="000D16A8" w:rsidRDefault="000D16A8" w:rsidP="005B545E">
      <w:pPr>
        <w:pStyle w:val="FootnoteText"/>
        <w:ind w:left="284" w:hanging="284"/>
        <w:rPr>
          <w:sz w:val="8"/>
          <w:szCs w:val="8"/>
        </w:rPr>
      </w:pPr>
    </w:p>
  </w:footnote>
  <w:footnote w:id="9">
    <w:p w:rsidR="000D16A8" w:rsidRDefault="000D16A8" w:rsidP="005B545E">
      <w:pPr>
        <w:pStyle w:val="FootnoteText"/>
        <w:ind w:left="284" w:hanging="284"/>
      </w:pPr>
      <w:r>
        <w:rPr>
          <w:rStyle w:val="FootnoteReference"/>
        </w:rPr>
        <w:footnoteRef/>
      </w:r>
      <w:r>
        <w:t xml:space="preserve"> </w:t>
      </w:r>
      <w:r>
        <w:tab/>
        <w:t xml:space="preserve">The Spearman Rank Correlation Coefficients have much the same look as do the estimates in the prior table.  </w:t>
      </w:r>
    </w:p>
  </w:footnote>
  <w:footnote w:id="10">
    <w:p w:rsidR="000D16A8" w:rsidRDefault="000D16A8" w:rsidP="00365D9A">
      <w:pPr>
        <w:pStyle w:val="FootnoteText"/>
        <w:ind w:left="426" w:hanging="426"/>
      </w:pPr>
      <w:r>
        <w:rPr>
          <w:rStyle w:val="FootnoteReference"/>
        </w:rPr>
        <w:footnoteRef/>
      </w:r>
      <w:r>
        <w:t xml:space="preserve"> </w:t>
      </w:r>
      <w:r w:rsidR="00365D9A">
        <w:tab/>
      </w:r>
      <w:r>
        <w:t xml:space="preserve">The corresponding rank order correlation coefficients exhibit the same relationship patterns as discussed above, save for somewhat larger coefficients from our three ISI RAMs and KMS (0.45, 0.49 and 0.58, respectively).  </w:t>
      </w:r>
    </w:p>
  </w:footnote>
  <w:footnote w:id="11">
    <w:p w:rsidR="000D16A8" w:rsidRDefault="000D16A8" w:rsidP="005B545E">
      <w:pPr>
        <w:pStyle w:val="FootnoteText"/>
        <w:ind w:left="284" w:hanging="284"/>
      </w:pPr>
      <w:r>
        <w:rPr>
          <w:rStyle w:val="FootnoteReference"/>
        </w:rPr>
        <w:footnoteRef/>
      </w:r>
      <w:r>
        <w:tab/>
        <w:t xml:space="preserve"> Recall that this analysis is based on our full dataset (N=135); that is, we include all academic staff employed by each economics department as at  April 2009 without regard to years of professional experience.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159F3"/>
    <w:multiLevelType w:val="hybridMultilevel"/>
    <w:tmpl w:val="22F475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70B63C83"/>
    <w:multiLevelType w:val="hybridMultilevel"/>
    <w:tmpl w:val="27EE1AA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B81CDC"/>
    <w:rsid w:val="000054F5"/>
    <w:rsid w:val="0000622E"/>
    <w:rsid w:val="00014C3E"/>
    <w:rsid w:val="00015ED4"/>
    <w:rsid w:val="00017EDC"/>
    <w:rsid w:val="000233EE"/>
    <w:rsid w:val="00043611"/>
    <w:rsid w:val="0004521B"/>
    <w:rsid w:val="00047493"/>
    <w:rsid w:val="00050C2B"/>
    <w:rsid w:val="0005658A"/>
    <w:rsid w:val="00060D5F"/>
    <w:rsid w:val="00063380"/>
    <w:rsid w:val="00065D08"/>
    <w:rsid w:val="00082DA2"/>
    <w:rsid w:val="000A6EE1"/>
    <w:rsid w:val="000B12F1"/>
    <w:rsid w:val="000C0238"/>
    <w:rsid w:val="000D16A8"/>
    <w:rsid w:val="000D1827"/>
    <w:rsid w:val="000F0CB2"/>
    <w:rsid w:val="000F61FA"/>
    <w:rsid w:val="00103240"/>
    <w:rsid w:val="00110C57"/>
    <w:rsid w:val="00113A6E"/>
    <w:rsid w:val="00122106"/>
    <w:rsid w:val="00130F53"/>
    <w:rsid w:val="00136B76"/>
    <w:rsid w:val="00140086"/>
    <w:rsid w:val="00142A74"/>
    <w:rsid w:val="00152B24"/>
    <w:rsid w:val="00153606"/>
    <w:rsid w:val="00154872"/>
    <w:rsid w:val="00156555"/>
    <w:rsid w:val="00161102"/>
    <w:rsid w:val="001619D0"/>
    <w:rsid w:val="001700D4"/>
    <w:rsid w:val="00177944"/>
    <w:rsid w:val="00181949"/>
    <w:rsid w:val="00190659"/>
    <w:rsid w:val="00197681"/>
    <w:rsid w:val="001A3829"/>
    <w:rsid w:val="001A3CBA"/>
    <w:rsid w:val="001A420F"/>
    <w:rsid w:val="001B16CC"/>
    <w:rsid w:val="001B1D6A"/>
    <w:rsid w:val="001B52F9"/>
    <w:rsid w:val="001B5448"/>
    <w:rsid w:val="001B7710"/>
    <w:rsid w:val="001C15F6"/>
    <w:rsid w:val="001D77A9"/>
    <w:rsid w:val="001D7B61"/>
    <w:rsid w:val="001E4E3A"/>
    <w:rsid w:val="001F45C5"/>
    <w:rsid w:val="001F5D21"/>
    <w:rsid w:val="001F6628"/>
    <w:rsid w:val="001F6BEF"/>
    <w:rsid w:val="001F7AD0"/>
    <w:rsid w:val="00202DD0"/>
    <w:rsid w:val="00221D4E"/>
    <w:rsid w:val="00223BF6"/>
    <w:rsid w:val="00226371"/>
    <w:rsid w:val="002374E7"/>
    <w:rsid w:val="002425A0"/>
    <w:rsid w:val="002470CA"/>
    <w:rsid w:val="00250598"/>
    <w:rsid w:val="00250F25"/>
    <w:rsid w:val="00262367"/>
    <w:rsid w:val="00266036"/>
    <w:rsid w:val="0027244B"/>
    <w:rsid w:val="00284E5C"/>
    <w:rsid w:val="00287CDE"/>
    <w:rsid w:val="002941E2"/>
    <w:rsid w:val="002A32C9"/>
    <w:rsid w:val="002C6D51"/>
    <w:rsid w:val="002E4A26"/>
    <w:rsid w:val="002E4B15"/>
    <w:rsid w:val="002E6F08"/>
    <w:rsid w:val="0032311A"/>
    <w:rsid w:val="00325053"/>
    <w:rsid w:val="00325E0A"/>
    <w:rsid w:val="0033141C"/>
    <w:rsid w:val="00332037"/>
    <w:rsid w:val="00334054"/>
    <w:rsid w:val="0033584A"/>
    <w:rsid w:val="0034507A"/>
    <w:rsid w:val="00345EE0"/>
    <w:rsid w:val="00360C8A"/>
    <w:rsid w:val="00364BDA"/>
    <w:rsid w:val="00365D9A"/>
    <w:rsid w:val="00371EDA"/>
    <w:rsid w:val="00372603"/>
    <w:rsid w:val="00372953"/>
    <w:rsid w:val="00375F03"/>
    <w:rsid w:val="00376AF3"/>
    <w:rsid w:val="0038134C"/>
    <w:rsid w:val="00385BEE"/>
    <w:rsid w:val="0038736B"/>
    <w:rsid w:val="00387C3A"/>
    <w:rsid w:val="00397568"/>
    <w:rsid w:val="003A1F77"/>
    <w:rsid w:val="003A26C9"/>
    <w:rsid w:val="003A3970"/>
    <w:rsid w:val="003B00A7"/>
    <w:rsid w:val="003C0342"/>
    <w:rsid w:val="003C03D9"/>
    <w:rsid w:val="003C1F6B"/>
    <w:rsid w:val="003D0230"/>
    <w:rsid w:val="003D0BA4"/>
    <w:rsid w:val="003D6795"/>
    <w:rsid w:val="003D6961"/>
    <w:rsid w:val="003E1C13"/>
    <w:rsid w:val="003F0B55"/>
    <w:rsid w:val="003F37B9"/>
    <w:rsid w:val="003F7270"/>
    <w:rsid w:val="00413ACE"/>
    <w:rsid w:val="00414CE0"/>
    <w:rsid w:val="00421AB0"/>
    <w:rsid w:val="00443C4A"/>
    <w:rsid w:val="00450FB9"/>
    <w:rsid w:val="004539EE"/>
    <w:rsid w:val="0045709A"/>
    <w:rsid w:val="004625F5"/>
    <w:rsid w:val="00464F62"/>
    <w:rsid w:val="00465463"/>
    <w:rsid w:val="00471F9F"/>
    <w:rsid w:val="00480A20"/>
    <w:rsid w:val="00486FE4"/>
    <w:rsid w:val="00494881"/>
    <w:rsid w:val="00497FCD"/>
    <w:rsid w:val="004A097B"/>
    <w:rsid w:val="004A4973"/>
    <w:rsid w:val="004A65E2"/>
    <w:rsid w:val="004B245A"/>
    <w:rsid w:val="004C192F"/>
    <w:rsid w:val="004C1CB0"/>
    <w:rsid w:val="004C2365"/>
    <w:rsid w:val="004C7CB7"/>
    <w:rsid w:val="004D21EB"/>
    <w:rsid w:val="004E2786"/>
    <w:rsid w:val="004E4A6D"/>
    <w:rsid w:val="004E532B"/>
    <w:rsid w:val="00505129"/>
    <w:rsid w:val="005139E3"/>
    <w:rsid w:val="00540A7E"/>
    <w:rsid w:val="00553E32"/>
    <w:rsid w:val="005543A6"/>
    <w:rsid w:val="00556022"/>
    <w:rsid w:val="00593ABF"/>
    <w:rsid w:val="00595DE3"/>
    <w:rsid w:val="005A38A5"/>
    <w:rsid w:val="005A52DF"/>
    <w:rsid w:val="005B545E"/>
    <w:rsid w:val="005D06BB"/>
    <w:rsid w:val="005D0DE8"/>
    <w:rsid w:val="005D32B2"/>
    <w:rsid w:val="005D6D3E"/>
    <w:rsid w:val="005E0DA3"/>
    <w:rsid w:val="005E780F"/>
    <w:rsid w:val="00604C3C"/>
    <w:rsid w:val="0060556F"/>
    <w:rsid w:val="00607594"/>
    <w:rsid w:val="006130A8"/>
    <w:rsid w:val="006212DD"/>
    <w:rsid w:val="006215DB"/>
    <w:rsid w:val="00623526"/>
    <w:rsid w:val="00632E7E"/>
    <w:rsid w:val="006333BC"/>
    <w:rsid w:val="00637B8B"/>
    <w:rsid w:val="00642CF8"/>
    <w:rsid w:val="00645FB2"/>
    <w:rsid w:val="0066223E"/>
    <w:rsid w:val="00662D47"/>
    <w:rsid w:val="0066332F"/>
    <w:rsid w:val="00663E9B"/>
    <w:rsid w:val="00666BB5"/>
    <w:rsid w:val="00671B12"/>
    <w:rsid w:val="006722B3"/>
    <w:rsid w:val="00674E1C"/>
    <w:rsid w:val="0069154E"/>
    <w:rsid w:val="006A122F"/>
    <w:rsid w:val="006B4AAD"/>
    <w:rsid w:val="006B61CC"/>
    <w:rsid w:val="006C0F1C"/>
    <w:rsid w:val="006C23C3"/>
    <w:rsid w:val="006C6531"/>
    <w:rsid w:val="006C7709"/>
    <w:rsid w:val="006D22CD"/>
    <w:rsid w:val="006F1073"/>
    <w:rsid w:val="006F1B57"/>
    <w:rsid w:val="006F4315"/>
    <w:rsid w:val="00716E30"/>
    <w:rsid w:val="00722980"/>
    <w:rsid w:val="00725D3E"/>
    <w:rsid w:val="00726C97"/>
    <w:rsid w:val="00733C02"/>
    <w:rsid w:val="0073710B"/>
    <w:rsid w:val="007403AF"/>
    <w:rsid w:val="00744527"/>
    <w:rsid w:val="00744AB7"/>
    <w:rsid w:val="00746094"/>
    <w:rsid w:val="0074732F"/>
    <w:rsid w:val="007627C5"/>
    <w:rsid w:val="007654A9"/>
    <w:rsid w:val="00767BF5"/>
    <w:rsid w:val="00771202"/>
    <w:rsid w:val="0077306D"/>
    <w:rsid w:val="00775DE5"/>
    <w:rsid w:val="007818D9"/>
    <w:rsid w:val="00782242"/>
    <w:rsid w:val="0078658E"/>
    <w:rsid w:val="00786AA4"/>
    <w:rsid w:val="00787485"/>
    <w:rsid w:val="00787FA8"/>
    <w:rsid w:val="00792DE7"/>
    <w:rsid w:val="0079354B"/>
    <w:rsid w:val="007945AA"/>
    <w:rsid w:val="007958A0"/>
    <w:rsid w:val="007B157E"/>
    <w:rsid w:val="007B1BC3"/>
    <w:rsid w:val="007B295A"/>
    <w:rsid w:val="007B412D"/>
    <w:rsid w:val="007C7C58"/>
    <w:rsid w:val="007D0D34"/>
    <w:rsid w:val="007D2ADC"/>
    <w:rsid w:val="007E0621"/>
    <w:rsid w:val="007E34BC"/>
    <w:rsid w:val="007E7457"/>
    <w:rsid w:val="007F7E16"/>
    <w:rsid w:val="00800BC1"/>
    <w:rsid w:val="00801DAD"/>
    <w:rsid w:val="00804D8C"/>
    <w:rsid w:val="00805601"/>
    <w:rsid w:val="00806DA5"/>
    <w:rsid w:val="00825AF4"/>
    <w:rsid w:val="00833967"/>
    <w:rsid w:val="00835693"/>
    <w:rsid w:val="00837799"/>
    <w:rsid w:val="008438F2"/>
    <w:rsid w:val="00850850"/>
    <w:rsid w:val="00851043"/>
    <w:rsid w:val="0086217F"/>
    <w:rsid w:val="008626E6"/>
    <w:rsid w:val="00863D83"/>
    <w:rsid w:val="00866648"/>
    <w:rsid w:val="008729B8"/>
    <w:rsid w:val="008742A4"/>
    <w:rsid w:val="0087501E"/>
    <w:rsid w:val="00875922"/>
    <w:rsid w:val="0088415F"/>
    <w:rsid w:val="00885975"/>
    <w:rsid w:val="008914FA"/>
    <w:rsid w:val="0089595B"/>
    <w:rsid w:val="008A1225"/>
    <w:rsid w:val="008A6890"/>
    <w:rsid w:val="008B54F8"/>
    <w:rsid w:val="008D4271"/>
    <w:rsid w:val="008D4630"/>
    <w:rsid w:val="008E0E56"/>
    <w:rsid w:val="008E1B1D"/>
    <w:rsid w:val="008E2A25"/>
    <w:rsid w:val="008E478B"/>
    <w:rsid w:val="008E7B5C"/>
    <w:rsid w:val="008F03ED"/>
    <w:rsid w:val="008F6675"/>
    <w:rsid w:val="009008A9"/>
    <w:rsid w:val="009029A8"/>
    <w:rsid w:val="00904FED"/>
    <w:rsid w:val="009136C1"/>
    <w:rsid w:val="00920430"/>
    <w:rsid w:val="00925730"/>
    <w:rsid w:val="009257D7"/>
    <w:rsid w:val="009378FE"/>
    <w:rsid w:val="00941DBB"/>
    <w:rsid w:val="00943905"/>
    <w:rsid w:val="00953377"/>
    <w:rsid w:val="00955847"/>
    <w:rsid w:val="00957156"/>
    <w:rsid w:val="00965DFD"/>
    <w:rsid w:val="009675B9"/>
    <w:rsid w:val="009679F6"/>
    <w:rsid w:val="00974595"/>
    <w:rsid w:val="0098186A"/>
    <w:rsid w:val="00995184"/>
    <w:rsid w:val="009A1613"/>
    <w:rsid w:val="009A1A37"/>
    <w:rsid w:val="009B059F"/>
    <w:rsid w:val="009B3F98"/>
    <w:rsid w:val="009C7586"/>
    <w:rsid w:val="009D28F7"/>
    <w:rsid w:val="009E0BE7"/>
    <w:rsid w:val="009E298C"/>
    <w:rsid w:val="009F1BFF"/>
    <w:rsid w:val="009F3D87"/>
    <w:rsid w:val="00A0448F"/>
    <w:rsid w:val="00A0508C"/>
    <w:rsid w:val="00A1381A"/>
    <w:rsid w:val="00A15E5F"/>
    <w:rsid w:val="00A16462"/>
    <w:rsid w:val="00A23D23"/>
    <w:rsid w:val="00A31980"/>
    <w:rsid w:val="00A3771E"/>
    <w:rsid w:val="00A554B0"/>
    <w:rsid w:val="00A56937"/>
    <w:rsid w:val="00A624B0"/>
    <w:rsid w:val="00A66DAF"/>
    <w:rsid w:val="00A801A7"/>
    <w:rsid w:val="00A802B2"/>
    <w:rsid w:val="00A87752"/>
    <w:rsid w:val="00A97901"/>
    <w:rsid w:val="00AA0F42"/>
    <w:rsid w:val="00AA1197"/>
    <w:rsid w:val="00AA1CD2"/>
    <w:rsid w:val="00AA2699"/>
    <w:rsid w:val="00AA2ABE"/>
    <w:rsid w:val="00AA4395"/>
    <w:rsid w:val="00AA7279"/>
    <w:rsid w:val="00AD10C1"/>
    <w:rsid w:val="00AE520B"/>
    <w:rsid w:val="00AF2722"/>
    <w:rsid w:val="00AF4A55"/>
    <w:rsid w:val="00AF745F"/>
    <w:rsid w:val="00B04C1F"/>
    <w:rsid w:val="00B135C0"/>
    <w:rsid w:val="00B13F34"/>
    <w:rsid w:val="00B21AAC"/>
    <w:rsid w:val="00B21DCA"/>
    <w:rsid w:val="00B30740"/>
    <w:rsid w:val="00B318D4"/>
    <w:rsid w:val="00B3508F"/>
    <w:rsid w:val="00B43783"/>
    <w:rsid w:val="00B60181"/>
    <w:rsid w:val="00B61AAC"/>
    <w:rsid w:val="00B70171"/>
    <w:rsid w:val="00B81CDC"/>
    <w:rsid w:val="00B83897"/>
    <w:rsid w:val="00B85AF9"/>
    <w:rsid w:val="00B87081"/>
    <w:rsid w:val="00B928D6"/>
    <w:rsid w:val="00BB472C"/>
    <w:rsid w:val="00BB59E0"/>
    <w:rsid w:val="00BB7A13"/>
    <w:rsid w:val="00BC1E73"/>
    <w:rsid w:val="00BC4879"/>
    <w:rsid w:val="00BE6A81"/>
    <w:rsid w:val="00BF2F2A"/>
    <w:rsid w:val="00BF750A"/>
    <w:rsid w:val="00C00005"/>
    <w:rsid w:val="00C04840"/>
    <w:rsid w:val="00C2012A"/>
    <w:rsid w:val="00C34B10"/>
    <w:rsid w:val="00C35073"/>
    <w:rsid w:val="00C35205"/>
    <w:rsid w:val="00C3641E"/>
    <w:rsid w:val="00C36610"/>
    <w:rsid w:val="00C378E2"/>
    <w:rsid w:val="00C41019"/>
    <w:rsid w:val="00C43070"/>
    <w:rsid w:val="00C466D6"/>
    <w:rsid w:val="00C51308"/>
    <w:rsid w:val="00C5179F"/>
    <w:rsid w:val="00C52EF8"/>
    <w:rsid w:val="00C54CED"/>
    <w:rsid w:val="00C54E9C"/>
    <w:rsid w:val="00C72659"/>
    <w:rsid w:val="00C77AF7"/>
    <w:rsid w:val="00C96552"/>
    <w:rsid w:val="00C96CE1"/>
    <w:rsid w:val="00C97735"/>
    <w:rsid w:val="00CA5AF9"/>
    <w:rsid w:val="00CB239C"/>
    <w:rsid w:val="00CC5869"/>
    <w:rsid w:val="00CD5228"/>
    <w:rsid w:val="00CD53CA"/>
    <w:rsid w:val="00CD6B68"/>
    <w:rsid w:val="00CE4A1E"/>
    <w:rsid w:val="00CF3C5B"/>
    <w:rsid w:val="00D02E9E"/>
    <w:rsid w:val="00D02ED5"/>
    <w:rsid w:val="00D057A7"/>
    <w:rsid w:val="00D166BA"/>
    <w:rsid w:val="00D256AD"/>
    <w:rsid w:val="00D27624"/>
    <w:rsid w:val="00D27F56"/>
    <w:rsid w:val="00D46CC4"/>
    <w:rsid w:val="00D555CC"/>
    <w:rsid w:val="00D575D7"/>
    <w:rsid w:val="00D60FF2"/>
    <w:rsid w:val="00D73AAE"/>
    <w:rsid w:val="00D73D6D"/>
    <w:rsid w:val="00D77926"/>
    <w:rsid w:val="00D81F7B"/>
    <w:rsid w:val="00D82758"/>
    <w:rsid w:val="00D858AA"/>
    <w:rsid w:val="00D87415"/>
    <w:rsid w:val="00D92BE4"/>
    <w:rsid w:val="00D9788D"/>
    <w:rsid w:val="00DA1CD6"/>
    <w:rsid w:val="00DA47C9"/>
    <w:rsid w:val="00DA6424"/>
    <w:rsid w:val="00DB1D98"/>
    <w:rsid w:val="00DC11FD"/>
    <w:rsid w:val="00DC1CF8"/>
    <w:rsid w:val="00DC677F"/>
    <w:rsid w:val="00DD1702"/>
    <w:rsid w:val="00DE0BE5"/>
    <w:rsid w:val="00DF173B"/>
    <w:rsid w:val="00DF6C53"/>
    <w:rsid w:val="00E00299"/>
    <w:rsid w:val="00E005B4"/>
    <w:rsid w:val="00E06239"/>
    <w:rsid w:val="00E12E18"/>
    <w:rsid w:val="00E233A2"/>
    <w:rsid w:val="00E5650D"/>
    <w:rsid w:val="00E652EC"/>
    <w:rsid w:val="00E65904"/>
    <w:rsid w:val="00E77BA8"/>
    <w:rsid w:val="00E83E05"/>
    <w:rsid w:val="00E86ECF"/>
    <w:rsid w:val="00E870B4"/>
    <w:rsid w:val="00E90490"/>
    <w:rsid w:val="00EA0F2F"/>
    <w:rsid w:val="00EA2CA0"/>
    <w:rsid w:val="00EA5C36"/>
    <w:rsid w:val="00EB4F0A"/>
    <w:rsid w:val="00EC3DBA"/>
    <w:rsid w:val="00ED0402"/>
    <w:rsid w:val="00ED66B3"/>
    <w:rsid w:val="00EE3BBE"/>
    <w:rsid w:val="00EF0C4D"/>
    <w:rsid w:val="00F011F6"/>
    <w:rsid w:val="00F0483B"/>
    <w:rsid w:val="00F05919"/>
    <w:rsid w:val="00F13954"/>
    <w:rsid w:val="00F2064C"/>
    <w:rsid w:val="00F244A3"/>
    <w:rsid w:val="00F3233C"/>
    <w:rsid w:val="00F42B3A"/>
    <w:rsid w:val="00F44EC3"/>
    <w:rsid w:val="00F4560B"/>
    <w:rsid w:val="00F45EE3"/>
    <w:rsid w:val="00F47722"/>
    <w:rsid w:val="00F56999"/>
    <w:rsid w:val="00F704FF"/>
    <w:rsid w:val="00F721F2"/>
    <w:rsid w:val="00F72B72"/>
    <w:rsid w:val="00F82007"/>
    <w:rsid w:val="00F86592"/>
    <w:rsid w:val="00F951B5"/>
    <w:rsid w:val="00FA0DB8"/>
    <w:rsid w:val="00FA2EC8"/>
    <w:rsid w:val="00FD1C14"/>
    <w:rsid w:val="00FE1C60"/>
    <w:rsid w:val="00FE4295"/>
    <w:rsid w:val="00FF6E2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4F5"/>
  </w:style>
  <w:style w:type="paragraph" w:styleId="Heading4">
    <w:name w:val="heading 4"/>
    <w:basedOn w:val="Normal"/>
    <w:next w:val="Normal"/>
    <w:link w:val="Heading4Char"/>
    <w:unhideWhenUsed/>
    <w:qFormat/>
    <w:rsid w:val="007627C5"/>
    <w:pPr>
      <w:keepNext/>
      <w:spacing w:before="240" w:after="60" w:line="240" w:lineRule="auto"/>
      <w:outlineLvl w:val="3"/>
    </w:pPr>
    <w:rPr>
      <w:rFonts w:ascii="Times New Roman" w:eastAsia="Batang" w:hAnsi="Times New Roman" w:cs="Times New Roman"/>
      <w:b/>
      <w:bCs/>
      <w:sz w:val="28"/>
      <w:szCs w:val="2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72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279"/>
    <w:rPr>
      <w:sz w:val="20"/>
      <w:szCs w:val="20"/>
    </w:rPr>
  </w:style>
  <w:style w:type="character" w:styleId="FootnoteReference">
    <w:name w:val="footnote reference"/>
    <w:basedOn w:val="DefaultParagraphFont"/>
    <w:uiPriority w:val="99"/>
    <w:semiHidden/>
    <w:unhideWhenUsed/>
    <w:rsid w:val="00AA7279"/>
    <w:rPr>
      <w:vertAlign w:val="superscript"/>
    </w:rPr>
  </w:style>
  <w:style w:type="paragraph" w:styleId="Header">
    <w:name w:val="header"/>
    <w:basedOn w:val="Normal"/>
    <w:link w:val="HeaderChar"/>
    <w:uiPriority w:val="99"/>
    <w:semiHidden/>
    <w:unhideWhenUsed/>
    <w:rsid w:val="00A044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448F"/>
  </w:style>
  <w:style w:type="paragraph" w:styleId="Footer">
    <w:name w:val="footer"/>
    <w:basedOn w:val="Normal"/>
    <w:link w:val="FooterChar"/>
    <w:uiPriority w:val="99"/>
    <w:unhideWhenUsed/>
    <w:rsid w:val="00A04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8F"/>
  </w:style>
  <w:style w:type="character" w:customStyle="1" w:styleId="Heading4Char">
    <w:name w:val="Heading 4 Char"/>
    <w:basedOn w:val="DefaultParagraphFont"/>
    <w:link w:val="Heading4"/>
    <w:rsid w:val="007627C5"/>
    <w:rPr>
      <w:rFonts w:ascii="Times New Roman" w:eastAsia="Batang" w:hAnsi="Times New Roman" w:cs="Times New Roman"/>
      <w:b/>
      <w:bCs/>
      <w:sz w:val="28"/>
      <w:szCs w:val="28"/>
      <w:lang w:val="en-US" w:eastAsia="ko-KR"/>
    </w:rPr>
  </w:style>
  <w:style w:type="paragraph" w:styleId="NoSpacing">
    <w:name w:val="No Spacing"/>
    <w:uiPriority w:val="1"/>
    <w:qFormat/>
    <w:rsid w:val="007627C5"/>
    <w:pPr>
      <w:spacing w:after="0" w:line="240" w:lineRule="auto"/>
    </w:pPr>
    <w:rPr>
      <w:lang w:val="en-US"/>
    </w:rPr>
  </w:style>
  <w:style w:type="paragraph" w:styleId="BodyText">
    <w:name w:val="Body Text"/>
    <w:basedOn w:val="Normal"/>
    <w:link w:val="BodyTextChar"/>
    <w:unhideWhenUsed/>
    <w:rsid w:val="007627C5"/>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7627C5"/>
    <w:rPr>
      <w:rFonts w:ascii="Times New Roman" w:eastAsia="Batang" w:hAnsi="Times New Roman" w:cs="Times New Roman"/>
      <w:sz w:val="24"/>
      <w:szCs w:val="24"/>
      <w:lang w:val="en-US" w:eastAsia="ko-KR"/>
    </w:rPr>
  </w:style>
  <w:style w:type="paragraph" w:styleId="PlainText">
    <w:name w:val="Plain Text"/>
    <w:basedOn w:val="Normal"/>
    <w:link w:val="PlainTextChar"/>
    <w:unhideWhenUsed/>
    <w:rsid w:val="007627C5"/>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7627C5"/>
    <w:rPr>
      <w:rFonts w:ascii="Courier New" w:eastAsia="Times New Roman" w:hAnsi="Courier New" w:cs="Courier New"/>
      <w:sz w:val="20"/>
      <w:szCs w:val="20"/>
      <w:lang w:val="en-GB" w:eastAsia="en-GB"/>
    </w:rPr>
  </w:style>
  <w:style w:type="paragraph" w:customStyle="1" w:styleId="TitlePage">
    <w:name w:val="Title Page"/>
    <w:basedOn w:val="Normal"/>
    <w:rsid w:val="007627C5"/>
    <w:pPr>
      <w:widowControl w:val="0"/>
      <w:spacing w:after="0" w:line="240" w:lineRule="auto"/>
      <w:ind w:firstLine="432"/>
      <w:jc w:val="center"/>
    </w:pPr>
    <w:rPr>
      <w:rFonts w:ascii="Times New Roman" w:eastAsia="Times New Roman" w:hAnsi="Times New Roman" w:cs="Times New Roman"/>
      <w:sz w:val="24"/>
      <w:szCs w:val="20"/>
      <w:lang w:val="en-US"/>
    </w:rPr>
  </w:style>
  <w:style w:type="paragraph" w:styleId="NormalWeb">
    <w:name w:val="Normal (Web)"/>
    <w:basedOn w:val="Normal"/>
    <w:uiPriority w:val="99"/>
    <w:semiHidden/>
    <w:unhideWhenUsed/>
    <w:rsid w:val="00920430"/>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BalloonText">
    <w:name w:val="Balloon Text"/>
    <w:basedOn w:val="Normal"/>
    <w:link w:val="BalloonTextChar"/>
    <w:uiPriority w:val="99"/>
    <w:semiHidden/>
    <w:unhideWhenUsed/>
    <w:rsid w:val="002E4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B15"/>
    <w:rPr>
      <w:rFonts w:ascii="Tahoma" w:hAnsi="Tahoma" w:cs="Tahoma"/>
      <w:sz w:val="16"/>
      <w:szCs w:val="16"/>
    </w:rPr>
  </w:style>
  <w:style w:type="paragraph" w:styleId="ListParagraph">
    <w:name w:val="List Paragraph"/>
    <w:basedOn w:val="Normal"/>
    <w:uiPriority w:val="34"/>
    <w:qFormat/>
    <w:rsid w:val="00AA2699"/>
    <w:pPr>
      <w:ind w:left="720"/>
      <w:contextualSpacing/>
    </w:pPr>
  </w:style>
  <w:style w:type="character" w:styleId="Hyperlink">
    <w:name w:val="Hyperlink"/>
    <w:basedOn w:val="DefaultParagraphFont"/>
    <w:uiPriority w:val="99"/>
    <w:unhideWhenUsed/>
    <w:rsid w:val="00C726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435039">
      <w:bodyDiv w:val="1"/>
      <w:marLeft w:val="0"/>
      <w:marRight w:val="0"/>
      <w:marTop w:val="0"/>
      <w:marBottom w:val="0"/>
      <w:divBdr>
        <w:top w:val="none" w:sz="0" w:space="0" w:color="auto"/>
        <w:left w:val="none" w:sz="0" w:space="0" w:color="auto"/>
        <w:bottom w:val="none" w:sz="0" w:space="0" w:color="auto"/>
        <w:right w:val="none" w:sz="0" w:space="0" w:color="auto"/>
      </w:divBdr>
    </w:div>
    <w:div w:id="204408383">
      <w:bodyDiv w:val="1"/>
      <w:marLeft w:val="0"/>
      <w:marRight w:val="0"/>
      <w:marTop w:val="0"/>
      <w:marBottom w:val="0"/>
      <w:divBdr>
        <w:top w:val="none" w:sz="0" w:space="0" w:color="auto"/>
        <w:left w:val="none" w:sz="0" w:space="0" w:color="auto"/>
        <w:bottom w:val="none" w:sz="0" w:space="0" w:color="auto"/>
        <w:right w:val="none" w:sz="0" w:space="0" w:color="auto"/>
      </w:divBdr>
    </w:div>
    <w:div w:id="324672373">
      <w:bodyDiv w:val="1"/>
      <w:marLeft w:val="0"/>
      <w:marRight w:val="0"/>
      <w:marTop w:val="0"/>
      <w:marBottom w:val="0"/>
      <w:divBdr>
        <w:top w:val="none" w:sz="0" w:space="0" w:color="auto"/>
        <w:left w:val="none" w:sz="0" w:space="0" w:color="auto"/>
        <w:bottom w:val="none" w:sz="0" w:space="0" w:color="auto"/>
        <w:right w:val="none" w:sz="0" w:space="0" w:color="auto"/>
      </w:divBdr>
    </w:div>
    <w:div w:id="414518083">
      <w:bodyDiv w:val="1"/>
      <w:marLeft w:val="0"/>
      <w:marRight w:val="0"/>
      <w:marTop w:val="0"/>
      <w:marBottom w:val="0"/>
      <w:divBdr>
        <w:top w:val="none" w:sz="0" w:space="0" w:color="auto"/>
        <w:left w:val="none" w:sz="0" w:space="0" w:color="auto"/>
        <w:bottom w:val="none" w:sz="0" w:space="0" w:color="auto"/>
        <w:right w:val="none" w:sz="0" w:space="0" w:color="auto"/>
      </w:divBdr>
    </w:div>
    <w:div w:id="433402896">
      <w:bodyDiv w:val="1"/>
      <w:marLeft w:val="0"/>
      <w:marRight w:val="0"/>
      <w:marTop w:val="0"/>
      <w:marBottom w:val="0"/>
      <w:divBdr>
        <w:top w:val="none" w:sz="0" w:space="0" w:color="auto"/>
        <w:left w:val="none" w:sz="0" w:space="0" w:color="auto"/>
        <w:bottom w:val="none" w:sz="0" w:space="0" w:color="auto"/>
        <w:right w:val="none" w:sz="0" w:space="0" w:color="auto"/>
      </w:divBdr>
    </w:div>
    <w:div w:id="452142024">
      <w:bodyDiv w:val="1"/>
      <w:marLeft w:val="0"/>
      <w:marRight w:val="0"/>
      <w:marTop w:val="0"/>
      <w:marBottom w:val="0"/>
      <w:divBdr>
        <w:top w:val="none" w:sz="0" w:space="0" w:color="auto"/>
        <w:left w:val="none" w:sz="0" w:space="0" w:color="auto"/>
        <w:bottom w:val="none" w:sz="0" w:space="0" w:color="auto"/>
        <w:right w:val="none" w:sz="0" w:space="0" w:color="auto"/>
      </w:divBdr>
    </w:div>
    <w:div w:id="500899401">
      <w:bodyDiv w:val="1"/>
      <w:marLeft w:val="0"/>
      <w:marRight w:val="0"/>
      <w:marTop w:val="0"/>
      <w:marBottom w:val="0"/>
      <w:divBdr>
        <w:top w:val="none" w:sz="0" w:space="0" w:color="auto"/>
        <w:left w:val="none" w:sz="0" w:space="0" w:color="auto"/>
        <w:bottom w:val="none" w:sz="0" w:space="0" w:color="auto"/>
        <w:right w:val="none" w:sz="0" w:space="0" w:color="auto"/>
      </w:divBdr>
    </w:div>
    <w:div w:id="719935341">
      <w:bodyDiv w:val="1"/>
      <w:marLeft w:val="0"/>
      <w:marRight w:val="0"/>
      <w:marTop w:val="0"/>
      <w:marBottom w:val="0"/>
      <w:divBdr>
        <w:top w:val="none" w:sz="0" w:space="0" w:color="auto"/>
        <w:left w:val="none" w:sz="0" w:space="0" w:color="auto"/>
        <w:bottom w:val="none" w:sz="0" w:space="0" w:color="auto"/>
        <w:right w:val="none" w:sz="0" w:space="0" w:color="auto"/>
      </w:divBdr>
    </w:div>
    <w:div w:id="722753881">
      <w:bodyDiv w:val="1"/>
      <w:marLeft w:val="0"/>
      <w:marRight w:val="0"/>
      <w:marTop w:val="0"/>
      <w:marBottom w:val="0"/>
      <w:divBdr>
        <w:top w:val="none" w:sz="0" w:space="0" w:color="auto"/>
        <w:left w:val="none" w:sz="0" w:space="0" w:color="auto"/>
        <w:bottom w:val="none" w:sz="0" w:space="0" w:color="auto"/>
        <w:right w:val="none" w:sz="0" w:space="0" w:color="auto"/>
      </w:divBdr>
    </w:div>
    <w:div w:id="927157399">
      <w:bodyDiv w:val="1"/>
      <w:marLeft w:val="0"/>
      <w:marRight w:val="0"/>
      <w:marTop w:val="0"/>
      <w:marBottom w:val="0"/>
      <w:divBdr>
        <w:top w:val="none" w:sz="0" w:space="0" w:color="auto"/>
        <w:left w:val="none" w:sz="0" w:space="0" w:color="auto"/>
        <w:bottom w:val="none" w:sz="0" w:space="0" w:color="auto"/>
        <w:right w:val="none" w:sz="0" w:space="0" w:color="auto"/>
      </w:divBdr>
    </w:div>
    <w:div w:id="1069378411">
      <w:bodyDiv w:val="1"/>
      <w:marLeft w:val="0"/>
      <w:marRight w:val="0"/>
      <w:marTop w:val="0"/>
      <w:marBottom w:val="0"/>
      <w:divBdr>
        <w:top w:val="none" w:sz="0" w:space="0" w:color="auto"/>
        <w:left w:val="none" w:sz="0" w:space="0" w:color="auto"/>
        <w:bottom w:val="none" w:sz="0" w:space="0" w:color="auto"/>
        <w:right w:val="none" w:sz="0" w:space="0" w:color="auto"/>
      </w:divBdr>
    </w:div>
    <w:div w:id="1301305389">
      <w:bodyDiv w:val="1"/>
      <w:marLeft w:val="0"/>
      <w:marRight w:val="0"/>
      <w:marTop w:val="0"/>
      <w:marBottom w:val="0"/>
      <w:divBdr>
        <w:top w:val="none" w:sz="0" w:space="0" w:color="auto"/>
        <w:left w:val="none" w:sz="0" w:space="0" w:color="auto"/>
        <w:bottom w:val="none" w:sz="0" w:space="0" w:color="auto"/>
        <w:right w:val="none" w:sz="0" w:space="0" w:color="auto"/>
      </w:divBdr>
    </w:div>
    <w:div w:id="1391423888">
      <w:bodyDiv w:val="1"/>
      <w:marLeft w:val="0"/>
      <w:marRight w:val="0"/>
      <w:marTop w:val="0"/>
      <w:marBottom w:val="0"/>
      <w:divBdr>
        <w:top w:val="none" w:sz="0" w:space="0" w:color="auto"/>
        <w:left w:val="none" w:sz="0" w:space="0" w:color="auto"/>
        <w:bottom w:val="none" w:sz="0" w:space="0" w:color="auto"/>
        <w:right w:val="none" w:sz="0" w:space="0" w:color="auto"/>
      </w:divBdr>
    </w:div>
    <w:div w:id="1661735301">
      <w:bodyDiv w:val="1"/>
      <w:marLeft w:val="0"/>
      <w:marRight w:val="0"/>
      <w:marTop w:val="0"/>
      <w:marBottom w:val="0"/>
      <w:divBdr>
        <w:top w:val="none" w:sz="0" w:space="0" w:color="auto"/>
        <w:left w:val="none" w:sz="0" w:space="0" w:color="auto"/>
        <w:bottom w:val="none" w:sz="0" w:space="0" w:color="auto"/>
        <w:right w:val="none" w:sz="0" w:space="0" w:color="auto"/>
      </w:divBdr>
      <w:divsChild>
        <w:div w:id="574358968">
          <w:marLeft w:val="120"/>
          <w:marRight w:val="120"/>
          <w:marTop w:val="120"/>
          <w:marBottom w:val="120"/>
          <w:divBdr>
            <w:top w:val="none" w:sz="0" w:space="0" w:color="auto"/>
            <w:left w:val="none" w:sz="0" w:space="0" w:color="auto"/>
            <w:bottom w:val="none" w:sz="0" w:space="0" w:color="auto"/>
            <w:right w:val="none" w:sz="0" w:space="0" w:color="auto"/>
          </w:divBdr>
          <w:divsChild>
            <w:div w:id="5007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1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er.org/papers/w16419"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3B23C-29E5-40A2-8F54-25A29D01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7076</Words>
  <Characters>40334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47316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Brian Silverstone</cp:lastModifiedBy>
  <cp:revision>10</cp:revision>
  <cp:lastPrinted>2012-02-14T01:04:00Z</cp:lastPrinted>
  <dcterms:created xsi:type="dcterms:W3CDTF">2012-04-04T05:56:00Z</dcterms:created>
  <dcterms:modified xsi:type="dcterms:W3CDTF">2012-04-07T02:34:00Z</dcterms:modified>
</cp:coreProperties>
</file>