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F6D" w:rsidRPr="00B606C9" w:rsidRDefault="00231F6D" w:rsidP="00231F6D">
      <w:pPr>
        <w:pStyle w:val="PlainText"/>
        <w:tabs>
          <w:tab w:val="left" w:pos="284"/>
        </w:tabs>
        <w:jc w:val="center"/>
        <w:rPr>
          <w:rFonts w:asciiTheme="minorHAnsi" w:hAnsiTheme="minorHAnsi"/>
          <w:b/>
          <w:sz w:val="28"/>
        </w:rPr>
      </w:pPr>
      <w:smartTag w:uri="urn:schemas-microsoft-com:office:smarttags" w:element="place">
        <w:smartTag w:uri="urn:schemas-microsoft-com:office:smarttags" w:element="PlaceType">
          <w:r w:rsidRPr="00B606C9">
            <w:rPr>
              <w:rFonts w:asciiTheme="minorHAnsi" w:hAnsiTheme="minorHAnsi"/>
              <w:b/>
              <w:sz w:val="28"/>
            </w:rPr>
            <w:t>UNIVERSITY</w:t>
          </w:r>
        </w:smartTag>
        <w:r w:rsidRPr="00B606C9">
          <w:rPr>
            <w:rFonts w:asciiTheme="minorHAnsi" w:hAnsiTheme="minorHAnsi"/>
            <w:b/>
            <w:sz w:val="28"/>
          </w:rPr>
          <w:t xml:space="preserve"> OF </w:t>
        </w:r>
        <w:smartTag w:uri="urn:schemas-microsoft-com:office:smarttags" w:element="PlaceName">
          <w:r w:rsidRPr="00B606C9">
            <w:rPr>
              <w:rFonts w:asciiTheme="minorHAnsi" w:hAnsiTheme="minorHAnsi"/>
              <w:b/>
              <w:sz w:val="28"/>
            </w:rPr>
            <w:t>WAIKATO</w:t>
          </w:r>
        </w:smartTag>
      </w:smartTag>
    </w:p>
    <w:p w:rsidR="00231F6D" w:rsidRPr="00B606C9" w:rsidRDefault="00231F6D" w:rsidP="00231F6D">
      <w:pPr>
        <w:pStyle w:val="PlainText"/>
        <w:tabs>
          <w:tab w:val="left" w:pos="284"/>
        </w:tabs>
        <w:jc w:val="center"/>
        <w:rPr>
          <w:rFonts w:asciiTheme="minorHAnsi" w:hAnsiTheme="minorHAnsi"/>
          <w:b/>
          <w:sz w:val="28"/>
        </w:rPr>
      </w:pPr>
      <w:smartTag w:uri="urn:schemas-microsoft-com:office:smarttags" w:element="place">
        <w:smartTag w:uri="urn:schemas-microsoft-com:office:smarttags" w:element="City">
          <w:r w:rsidRPr="00B606C9">
            <w:rPr>
              <w:rFonts w:asciiTheme="minorHAnsi" w:hAnsiTheme="minorHAnsi"/>
              <w:b/>
              <w:sz w:val="28"/>
            </w:rPr>
            <w:t>Hamilton</w:t>
          </w:r>
        </w:smartTag>
      </w:smartTag>
    </w:p>
    <w:p w:rsidR="00231F6D" w:rsidRPr="00B606C9" w:rsidRDefault="00231F6D" w:rsidP="00231F6D">
      <w:pPr>
        <w:pStyle w:val="PlainText"/>
        <w:tabs>
          <w:tab w:val="left" w:pos="284"/>
        </w:tabs>
        <w:jc w:val="center"/>
        <w:rPr>
          <w:rFonts w:asciiTheme="minorHAnsi" w:hAnsiTheme="minorHAnsi"/>
          <w:b/>
          <w:sz w:val="28"/>
        </w:rPr>
      </w:pPr>
      <w:smartTag w:uri="urn:schemas-microsoft-com:office:smarttags" w:element="place">
        <w:smartTag w:uri="urn:schemas-microsoft-com:office:smarttags" w:element="country-region">
          <w:r w:rsidRPr="00B606C9">
            <w:rPr>
              <w:rFonts w:asciiTheme="minorHAnsi" w:hAnsiTheme="minorHAnsi"/>
              <w:b/>
              <w:sz w:val="28"/>
            </w:rPr>
            <w:t>New Zealand</w:t>
          </w:r>
        </w:smartTag>
      </w:smartTag>
    </w:p>
    <w:p w:rsidR="00231F6D" w:rsidRPr="00B606C9" w:rsidRDefault="00231F6D" w:rsidP="00231F6D">
      <w:pPr>
        <w:pStyle w:val="PlainText"/>
        <w:tabs>
          <w:tab w:val="left" w:pos="284"/>
        </w:tabs>
        <w:jc w:val="center"/>
        <w:rPr>
          <w:rFonts w:asciiTheme="minorHAnsi" w:hAnsiTheme="minorHAnsi"/>
          <w:b/>
          <w:sz w:val="14"/>
          <w:szCs w:val="14"/>
        </w:rPr>
      </w:pPr>
    </w:p>
    <w:p w:rsidR="00231F6D" w:rsidRPr="00B606C9" w:rsidRDefault="00231F6D" w:rsidP="00231F6D">
      <w:pPr>
        <w:pStyle w:val="PlainText"/>
        <w:tabs>
          <w:tab w:val="left" w:pos="284"/>
        </w:tabs>
        <w:jc w:val="center"/>
        <w:rPr>
          <w:rFonts w:asciiTheme="minorHAnsi" w:hAnsiTheme="minorHAnsi"/>
          <w:b/>
          <w:sz w:val="14"/>
          <w:szCs w:val="14"/>
        </w:rPr>
      </w:pPr>
    </w:p>
    <w:p w:rsidR="00231F6D" w:rsidRPr="00B606C9" w:rsidRDefault="00231F6D" w:rsidP="00231F6D">
      <w:pPr>
        <w:pStyle w:val="PlainText"/>
        <w:tabs>
          <w:tab w:val="left" w:pos="284"/>
        </w:tabs>
        <w:jc w:val="center"/>
        <w:rPr>
          <w:rFonts w:asciiTheme="minorHAnsi" w:hAnsiTheme="minorHAnsi"/>
          <w:b/>
          <w:sz w:val="28"/>
        </w:rPr>
      </w:pPr>
    </w:p>
    <w:p w:rsidR="00231F6D" w:rsidRPr="00B606C9" w:rsidRDefault="00231F6D" w:rsidP="00231F6D">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heme="minorHAnsi" w:hAnsiTheme="minorHAnsi"/>
          <w:b/>
        </w:rPr>
      </w:pPr>
    </w:p>
    <w:p w:rsidR="00B606C9" w:rsidRDefault="00B606C9" w:rsidP="00B606C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heme="minorHAnsi" w:hAnsiTheme="minorHAnsi"/>
          <w:b/>
          <w:sz w:val="28"/>
          <w:szCs w:val="28"/>
        </w:rPr>
      </w:pPr>
      <w:r>
        <w:rPr>
          <w:rFonts w:asciiTheme="minorHAnsi" w:hAnsiTheme="minorHAnsi"/>
          <w:b/>
          <w:sz w:val="28"/>
          <w:szCs w:val="28"/>
        </w:rPr>
        <w:t xml:space="preserve">Evaluating Research - </w:t>
      </w:r>
      <w:r w:rsidR="00231F6D" w:rsidRPr="00B606C9">
        <w:rPr>
          <w:rFonts w:asciiTheme="minorHAnsi" w:hAnsiTheme="minorHAnsi"/>
          <w:b/>
          <w:sz w:val="28"/>
          <w:szCs w:val="28"/>
        </w:rPr>
        <w:t xml:space="preserve">Peer Review Team Assessment </w:t>
      </w:r>
    </w:p>
    <w:p w:rsidR="00B606C9" w:rsidRDefault="00231F6D" w:rsidP="00B606C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heme="minorHAnsi" w:hAnsiTheme="minorHAnsi"/>
          <w:b/>
          <w:sz w:val="28"/>
          <w:szCs w:val="28"/>
        </w:rPr>
      </w:pPr>
      <w:proofErr w:type="gramStart"/>
      <w:r w:rsidRPr="00B606C9">
        <w:rPr>
          <w:rFonts w:asciiTheme="minorHAnsi" w:hAnsiTheme="minorHAnsi"/>
          <w:b/>
          <w:sz w:val="28"/>
          <w:szCs w:val="28"/>
        </w:rPr>
        <w:t>and</w:t>
      </w:r>
      <w:proofErr w:type="gramEnd"/>
      <w:r w:rsidRPr="00B606C9">
        <w:rPr>
          <w:rFonts w:asciiTheme="minorHAnsi" w:hAnsiTheme="minorHAnsi"/>
          <w:b/>
          <w:sz w:val="28"/>
          <w:szCs w:val="28"/>
        </w:rPr>
        <w:t xml:space="preserve"> Journa</w:t>
      </w:r>
      <w:r w:rsidR="00B606C9">
        <w:rPr>
          <w:rFonts w:asciiTheme="minorHAnsi" w:hAnsiTheme="minorHAnsi"/>
          <w:b/>
          <w:sz w:val="28"/>
          <w:szCs w:val="28"/>
        </w:rPr>
        <w:t>l-Based Bibliographic Measures:</w:t>
      </w:r>
    </w:p>
    <w:p w:rsidR="00231F6D" w:rsidRPr="00B606C9" w:rsidRDefault="00231F6D" w:rsidP="00B606C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heme="minorHAnsi" w:hAnsiTheme="minorHAnsi"/>
          <w:b/>
          <w:sz w:val="28"/>
          <w:szCs w:val="28"/>
        </w:rPr>
      </w:pPr>
      <w:r w:rsidRPr="00B606C9">
        <w:rPr>
          <w:rFonts w:asciiTheme="minorHAnsi" w:hAnsiTheme="minorHAnsi"/>
          <w:b/>
          <w:sz w:val="28"/>
          <w:szCs w:val="28"/>
        </w:rPr>
        <w:t>New Zealand PBRF Research Output Scores in 2006</w:t>
      </w:r>
    </w:p>
    <w:p w:rsidR="00231F6D" w:rsidRPr="00B606C9" w:rsidRDefault="00231F6D" w:rsidP="00231F6D">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ind w:firstLine="431"/>
        <w:jc w:val="center"/>
        <w:rPr>
          <w:rFonts w:asciiTheme="minorHAnsi" w:hAnsiTheme="minorHAnsi"/>
          <w:b/>
          <w:sz w:val="28"/>
          <w:szCs w:val="28"/>
        </w:rPr>
      </w:pPr>
    </w:p>
    <w:p w:rsidR="00231F6D" w:rsidRPr="00B606C9" w:rsidRDefault="00231F6D" w:rsidP="00231F6D">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ind w:firstLine="431"/>
        <w:jc w:val="center"/>
        <w:rPr>
          <w:rFonts w:asciiTheme="minorHAnsi" w:hAnsiTheme="minorHAnsi"/>
          <w:sz w:val="28"/>
        </w:rPr>
      </w:pPr>
      <w:r w:rsidRPr="00B606C9">
        <w:rPr>
          <w:rFonts w:asciiTheme="minorHAnsi" w:hAnsiTheme="minorHAnsi"/>
          <w:sz w:val="28"/>
        </w:rPr>
        <w:t>David L. Anderson, Warren Smart and John Tressler</w:t>
      </w:r>
    </w:p>
    <w:p w:rsidR="00231F6D" w:rsidRPr="00B606C9" w:rsidRDefault="00231F6D" w:rsidP="00231F6D">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heme="minorHAnsi" w:hAnsiTheme="minorHAnsi"/>
          <w:b/>
        </w:rPr>
      </w:pPr>
    </w:p>
    <w:p w:rsidR="00231F6D" w:rsidRPr="00B606C9" w:rsidRDefault="00231F6D" w:rsidP="00231F6D">
      <w:pPr>
        <w:pStyle w:val="PlainText"/>
        <w:tabs>
          <w:tab w:val="left" w:pos="284"/>
        </w:tabs>
        <w:spacing w:before="100" w:line="360" w:lineRule="auto"/>
        <w:jc w:val="center"/>
        <w:rPr>
          <w:rFonts w:asciiTheme="minorHAnsi" w:hAnsiTheme="minorHAnsi"/>
          <w:b/>
          <w:bCs/>
          <w:sz w:val="28"/>
        </w:rPr>
      </w:pPr>
    </w:p>
    <w:p w:rsidR="00B606C9" w:rsidRPr="00B606C9" w:rsidRDefault="00B606C9" w:rsidP="00B606C9">
      <w:pPr>
        <w:pStyle w:val="PlainText"/>
        <w:tabs>
          <w:tab w:val="left" w:pos="426"/>
        </w:tabs>
        <w:spacing w:before="100" w:line="360" w:lineRule="auto"/>
        <w:jc w:val="center"/>
        <w:rPr>
          <w:rFonts w:asciiTheme="minorHAnsi" w:hAnsiTheme="minorHAnsi"/>
          <w:b/>
          <w:bCs/>
          <w:sz w:val="28"/>
        </w:rPr>
      </w:pPr>
      <w:r w:rsidRPr="00B606C9">
        <w:rPr>
          <w:rFonts w:asciiTheme="minorHAnsi" w:hAnsiTheme="minorHAnsi"/>
          <w:b/>
          <w:bCs/>
          <w:sz w:val="28"/>
        </w:rPr>
        <w:t>Department of Economics</w:t>
      </w:r>
    </w:p>
    <w:p w:rsidR="00B606C9" w:rsidRPr="00B606C9" w:rsidRDefault="00B606C9" w:rsidP="00B606C9">
      <w:pPr>
        <w:pStyle w:val="PlainText"/>
        <w:tabs>
          <w:tab w:val="left" w:pos="426"/>
        </w:tabs>
        <w:spacing w:before="100" w:line="360" w:lineRule="auto"/>
        <w:jc w:val="center"/>
        <w:rPr>
          <w:rFonts w:asciiTheme="minorHAnsi" w:hAnsiTheme="minorHAnsi"/>
          <w:b/>
          <w:bCs/>
          <w:sz w:val="28"/>
        </w:rPr>
      </w:pPr>
      <w:r w:rsidRPr="00B606C9">
        <w:rPr>
          <w:rFonts w:asciiTheme="minorHAnsi" w:hAnsiTheme="minorHAnsi"/>
          <w:b/>
          <w:bCs/>
          <w:sz w:val="28"/>
        </w:rPr>
        <w:t>Working Paper in Economics 03/12</w:t>
      </w:r>
    </w:p>
    <w:p w:rsidR="00B606C9" w:rsidRPr="00B606C9" w:rsidRDefault="00B606C9" w:rsidP="00B606C9">
      <w:pPr>
        <w:pStyle w:val="PlainText"/>
        <w:tabs>
          <w:tab w:val="left" w:pos="426"/>
        </w:tabs>
        <w:spacing w:before="100" w:line="360" w:lineRule="auto"/>
        <w:jc w:val="center"/>
        <w:rPr>
          <w:rFonts w:asciiTheme="minorHAnsi" w:hAnsiTheme="minorHAnsi"/>
          <w:sz w:val="28"/>
        </w:rPr>
      </w:pPr>
      <w:r w:rsidRPr="00B606C9">
        <w:rPr>
          <w:rFonts w:asciiTheme="minorHAnsi" w:hAnsiTheme="minorHAnsi"/>
          <w:sz w:val="28"/>
        </w:rPr>
        <w:t>April 2012</w:t>
      </w:r>
    </w:p>
    <w:p w:rsidR="006A19F7" w:rsidRPr="00B606C9" w:rsidRDefault="006A19F7" w:rsidP="00231F6D">
      <w:pPr>
        <w:pStyle w:val="NoSpacing"/>
        <w:jc w:val="center"/>
        <w:rPr>
          <w:rFonts w:asciiTheme="minorHAnsi" w:hAnsiTheme="minorHAnsi"/>
          <w:sz w:val="28"/>
        </w:rPr>
      </w:pPr>
    </w:p>
    <w:tbl>
      <w:tblPr>
        <w:tblW w:w="18484" w:type="dxa"/>
        <w:tblLook w:val="01E0"/>
      </w:tblPr>
      <w:tblGrid>
        <w:gridCol w:w="4621"/>
        <w:gridCol w:w="4621"/>
        <w:gridCol w:w="4621"/>
        <w:gridCol w:w="4621"/>
      </w:tblGrid>
      <w:tr w:rsidR="00231F6D" w:rsidRPr="00B606C9" w:rsidTr="00AF47B4">
        <w:trPr>
          <w:trHeight w:val="4723"/>
        </w:trPr>
        <w:tc>
          <w:tcPr>
            <w:tcW w:w="4621" w:type="dxa"/>
          </w:tcPr>
          <w:p w:rsidR="00231F6D" w:rsidRPr="00B606C9" w:rsidRDefault="00231F6D" w:rsidP="00AF47B4">
            <w:pPr>
              <w:pStyle w:val="TitlePage"/>
              <w:widowControl/>
              <w:tabs>
                <w:tab w:val="left" w:pos="426"/>
              </w:tabs>
              <w:ind w:hanging="42"/>
              <w:rPr>
                <w:rFonts w:asciiTheme="minorHAnsi" w:hAnsiTheme="minorHAnsi"/>
                <w:i/>
              </w:rPr>
            </w:pPr>
            <w:r w:rsidRPr="00B606C9">
              <w:rPr>
                <w:rFonts w:asciiTheme="minorHAnsi" w:hAnsiTheme="minorHAnsi"/>
                <w:i/>
              </w:rPr>
              <w:t>Corresponding Author</w:t>
            </w:r>
          </w:p>
          <w:p w:rsidR="00231F6D" w:rsidRPr="00B606C9" w:rsidRDefault="00231F6D" w:rsidP="00AF47B4">
            <w:pPr>
              <w:pStyle w:val="BodyText"/>
              <w:spacing w:after="0"/>
              <w:ind w:hanging="40"/>
              <w:jc w:val="center"/>
              <w:rPr>
                <w:rFonts w:asciiTheme="minorHAnsi" w:hAnsiTheme="minorHAnsi"/>
                <w:b/>
                <w:lang w:val="en-NZ"/>
              </w:rPr>
            </w:pPr>
            <w:r w:rsidRPr="00B606C9">
              <w:rPr>
                <w:rFonts w:asciiTheme="minorHAnsi" w:hAnsiTheme="minorHAnsi"/>
                <w:b/>
                <w:lang w:val="en-NZ"/>
              </w:rPr>
              <w:t>John Tressler</w:t>
            </w:r>
          </w:p>
          <w:p w:rsidR="00231F6D" w:rsidRPr="00B606C9" w:rsidRDefault="00231F6D" w:rsidP="00AF47B4">
            <w:pPr>
              <w:pStyle w:val="BodyText"/>
              <w:spacing w:after="0"/>
              <w:ind w:hanging="40"/>
              <w:jc w:val="center"/>
              <w:rPr>
                <w:rFonts w:asciiTheme="minorHAnsi" w:hAnsiTheme="minorHAnsi"/>
                <w:lang w:val="en-NZ"/>
              </w:rPr>
            </w:pPr>
            <w:r w:rsidRPr="00B606C9">
              <w:rPr>
                <w:rFonts w:asciiTheme="minorHAnsi" w:hAnsiTheme="minorHAnsi"/>
                <w:lang w:val="en-NZ"/>
              </w:rPr>
              <w:t>Economics Department</w:t>
            </w:r>
          </w:p>
          <w:p w:rsidR="00231F6D" w:rsidRPr="00B606C9" w:rsidRDefault="00231F6D" w:rsidP="00AF47B4">
            <w:pPr>
              <w:pStyle w:val="BodyText"/>
              <w:spacing w:after="0"/>
              <w:ind w:hanging="40"/>
              <w:jc w:val="center"/>
              <w:rPr>
                <w:rFonts w:asciiTheme="minorHAnsi" w:hAnsiTheme="minorHAnsi"/>
                <w:lang w:val="en-NZ"/>
              </w:rPr>
            </w:pPr>
            <w:r w:rsidRPr="00B606C9">
              <w:rPr>
                <w:rFonts w:asciiTheme="minorHAnsi" w:hAnsiTheme="minorHAnsi"/>
                <w:lang w:val="en-NZ"/>
              </w:rPr>
              <w:t xml:space="preserve"> University of Waikato</w:t>
            </w:r>
          </w:p>
          <w:p w:rsidR="00231F6D" w:rsidRPr="00B606C9" w:rsidRDefault="00231F6D" w:rsidP="00AF47B4">
            <w:pPr>
              <w:pStyle w:val="BodyText"/>
              <w:spacing w:after="0"/>
              <w:ind w:hanging="40"/>
              <w:jc w:val="center"/>
              <w:rPr>
                <w:rFonts w:asciiTheme="minorHAnsi" w:hAnsiTheme="minorHAnsi"/>
                <w:lang w:val="en-NZ"/>
              </w:rPr>
            </w:pPr>
            <w:r w:rsidRPr="00B606C9">
              <w:rPr>
                <w:rFonts w:asciiTheme="minorHAnsi" w:hAnsiTheme="minorHAnsi"/>
                <w:lang w:val="en-NZ"/>
              </w:rPr>
              <w:t>Private Bag 3105</w:t>
            </w:r>
          </w:p>
          <w:p w:rsidR="00231F6D" w:rsidRPr="00B606C9" w:rsidRDefault="00231F6D" w:rsidP="00AF47B4">
            <w:pPr>
              <w:pStyle w:val="BodyText"/>
              <w:spacing w:after="0"/>
              <w:ind w:hanging="40"/>
              <w:jc w:val="center"/>
              <w:rPr>
                <w:rFonts w:asciiTheme="minorHAnsi" w:hAnsiTheme="minorHAnsi"/>
                <w:lang w:val="en-NZ"/>
              </w:rPr>
            </w:pPr>
            <w:r w:rsidRPr="00B606C9">
              <w:rPr>
                <w:rFonts w:asciiTheme="minorHAnsi" w:hAnsiTheme="minorHAnsi"/>
                <w:lang w:val="en-NZ"/>
              </w:rPr>
              <w:t>Hamilton</w:t>
            </w:r>
          </w:p>
          <w:p w:rsidR="00231F6D" w:rsidRPr="00B606C9" w:rsidRDefault="00231F6D" w:rsidP="00AF47B4">
            <w:pPr>
              <w:pStyle w:val="BodyText"/>
              <w:spacing w:after="0"/>
              <w:ind w:hanging="40"/>
              <w:jc w:val="center"/>
              <w:rPr>
                <w:rFonts w:asciiTheme="minorHAnsi" w:hAnsiTheme="minorHAnsi"/>
                <w:lang w:val="en-NZ"/>
              </w:rPr>
            </w:pPr>
            <w:r w:rsidRPr="00B606C9">
              <w:rPr>
                <w:rFonts w:asciiTheme="minorHAnsi" w:hAnsiTheme="minorHAnsi"/>
                <w:lang w:val="en-NZ"/>
              </w:rPr>
              <w:t>NEW ZEALAND</w:t>
            </w:r>
          </w:p>
          <w:p w:rsidR="00231F6D" w:rsidRPr="00B606C9" w:rsidRDefault="00231F6D" w:rsidP="00AF47B4">
            <w:pPr>
              <w:pStyle w:val="BodyText"/>
              <w:spacing w:after="0"/>
              <w:ind w:hanging="40"/>
              <w:jc w:val="center"/>
              <w:rPr>
                <w:rFonts w:asciiTheme="minorHAnsi" w:hAnsiTheme="minorHAnsi"/>
              </w:rPr>
            </w:pPr>
            <w:r w:rsidRPr="00B606C9">
              <w:rPr>
                <w:rFonts w:asciiTheme="minorHAnsi" w:hAnsiTheme="minorHAnsi"/>
              </w:rPr>
              <w:t xml:space="preserve"> </w:t>
            </w:r>
          </w:p>
          <w:p w:rsidR="00231F6D" w:rsidRPr="00B606C9" w:rsidRDefault="00231F6D" w:rsidP="00AF47B4">
            <w:pPr>
              <w:pStyle w:val="Heading4"/>
              <w:spacing w:before="0" w:after="0"/>
              <w:ind w:hanging="40"/>
              <w:jc w:val="center"/>
              <w:rPr>
                <w:rFonts w:asciiTheme="minorHAnsi" w:hAnsiTheme="minorHAnsi"/>
                <w:b w:val="0"/>
                <w:bCs w:val="0"/>
                <w:sz w:val="24"/>
                <w:szCs w:val="24"/>
              </w:rPr>
            </w:pPr>
            <w:r w:rsidRPr="00B606C9">
              <w:rPr>
                <w:rFonts w:asciiTheme="minorHAnsi" w:hAnsiTheme="minorHAnsi"/>
                <w:b w:val="0"/>
                <w:bCs w:val="0"/>
                <w:sz w:val="24"/>
                <w:szCs w:val="24"/>
              </w:rPr>
              <w:t>Tel: +64 (0) 7-838-4045</w:t>
            </w:r>
          </w:p>
          <w:p w:rsidR="00231F6D" w:rsidRPr="00B606C9" w:rsidRDefault="00231F6D" w:rsidP="00AF47B4">
            <w:pPr>
              <w:pStyle w:val="Heading4"/>
              <w:spacing w:before="0" w:after="0"/>
              <w:ind w:hanging="40"/>
              <w:jc w:val="center"/>
              <w:rPr>
                <w:rFonts w:asciiTheme="minorHAnsi" w:hAnsiTheme="minorHAnsi"/>
                <w:b w:val="0"/>
                <w:bCs w:val="0"/>
                <w:sz w:val="24"/>
                <w:szCs w:val="24"/>
              </w:rPr>
            </w:pPr>
            <w:r w:rsidRPr="00B606C9">
              <w:rPr>
                <w:rFonts w:asciiTheme="minorHAnsi" w:hAnsiTheme="minorHAnsi"/>
                <w:b w:val="0"/>
                <w:bCs w:val="0"/>
                <w:sz w:val="24"/>
                <w:szCs w:val="24"/>
              </w:rPr>
              <w:t xml:space="preserve">Email: </w:t>
            </w:r>
            <w:r w:rsidRPr="006A19F7">
              <w:rPr>
                <w:rFonts w:asciiTheme="minorHAnsi" w:hAnsiTheme="minorHAnsi"/>
                <w:b w:val="0"/>
                <w:sz w:val="24"/>
                <w:szCs w:val="24"/>
                <w:u w:val="single"/>
              </w:rPr>
              <w:t>tressler@waikato.ac.nz</w:t>
            </w:r>
          </w:p>
          <w:p w:rsidR="00231F6D" w:rsidRPr="00B606C9" w:rsidRDefault="00231F6D" w:rsidP="006A19F7">
            <w:pPr>
              <w:spacing w:after="0" w:line="240" w:lineRule="auto"/>
              <w:jc w:val="center"/>
              <w:rPr>
                <w:sz w:val="28"/>
              </w:rPr>
            </w:pPr>
            <w:r w:rsidRPr="00B606C9">
              <w:rPr>
                <w:sz w:val="24"/>
                <w:szCs w:val="24"/>
              </w:rPr>
              <w:t>Homepage: http://wms-soros.mngt.waikato.ac.nz/personal/tressler</w:t>
            </w:r>
            <w:r w:rsidRPr="00B606C9">
              <w:rPr>
                <w:sz w:val="28"/>
              </w:rPr>
              <w:t xml:space="preserve"> </w:t>
            </w:r>
          </w:p>
        </w:tc>
        <w:tc>
          <w:tcPr>
            <w:tcW w:w="4621" w:type="dxa"/>
          </w:tcPr>
          <w:p w:rsidR="00231F6D" w:rsidRPr="00B606C9" w:rsidRDefault="00231F6D" w:rsidP="00AF47B4">
            <w:pPr>
              <w:pStyle w:val="TitlePage"/>
              <w:widowControl/>
              <w:ind w:hanging="42"/>
              <w:rPr>
                <w:rFonts w:asciiTheme="minorHAnsi" w:hAnsiTheme="minorHAnsi"/>
                <w:b/>
              </w:rPr>
            </w:pPr>
          </w:p>
          <w:p w:rsidR="00231F6D" w:rsidRPr="00B606C9" w:rsidRDefault="00231F6D" w:rsidP="00AF47B4">
            <w:pPr>
              <w:pStyle w:val="TitlePage"/>
              <w:widowControl/>
              <w:ind w:hanging="42"/>
              <w:rPr>
                <w:rFonts w:asciiTheme="minorHAnsi" w:hAnsiTheme="minorHAnsi"/>
                <w:b/>
              </w:rPr>
            </w:pPr>
            <w:r w:rsidRPr="00B606C9">
              <w:rPr>
                <w:rFonts w:asciiTheme="minorHAnsi" w:hAnsiTheme="minorHAnsi"/>
                <w:b/>
              </w:rPr>
              <w:t>David L. Anderson</w:t>
            </w:r>
          </w:p>
          <w:p w:rsidR="00231F6D" w:rsidRPr="00B606C9" w:rsidRDefault="00231F6D" w:rsidP="00AF47B4">
            <w:pPr>
              <w:pStyle w:val="TitlePage"/>
              <w:widowControl/>
              <w:ind w:hanging="42"/>
              <w:rPr>
                <w:rFonts w:asciiTheme="minorHAnsi" w:hAnsiTheme="minorHAnsi"/>
              </w:rPr>
            </w:pPr>
            <w:smartTag w:uri="urn:schemas-microsoft-com:office:smarttags" w:element="place">
              <w:smartTag w:uri="urn:schemas-microsoft-com:office:smarttags" w:element="PlaceType">
                <w:r w:rsidRPr="00B606C9">
                  <w:rPr>
                    <w:rFonts w:asciiTheme="minorHAnsi" w:hAnsiTheme="minorHAnsi"/>
                  </w:rPr>
                  <w:t>School</w:t>
                </w:r>
              </w:smartTag>
              <w:r w:rsidRPr="00B606C9">
                <w:rPr>
                  <w:rFonts w:asciiTheme="minorHAnsi" w:hAnsiTheme="minorHAnsi"/>
                </w:rPr>
                <w:t xml:space="preserve"> of </w:t>
              </w:r>
              <w:smartTag w:uri="urn:schemas-microsoft-com:office:smarttags" w:element="PlaceName">
                <w:r w:rsidRPr="00B606C9">
                  <w:rPr>
                    <w:rFonts w:asciiTheme="minorHAnsi" w:hAnsiTheme="minorHAnsi"/>
                  </w:rPr>
                  <w:t>Business</w:t>
                </w:r>
              </w:smartTag>
            </w:smartTag>
          </w:p>
          <w:p w:rsidR="00231F6D" w:rsidRPr="00B606C9" w:rsidRDefault="00231F6D" w:rsidP="00AF47B4">
            <w:pPr>
              <w:pStyle w:val="TitlePage"/>
              <w:widowControl/>
              <w:ind w:hanging="42"/>
              <w:rPr>
                <w:rFonts w:asciiTheme="minorHAnsi" w:hAnsiTheme="minorHAnsi"/>
              </w:rPr>
            </w:pPr>
            <w:r w:rsidRPr="00B606C9">
              <w:rPr>
                <w:rFonts w:asciiTheme="minorHAnsi" w:hAnsiTheme="minorHAnsi"/>
              </w:rPr>
              <w:t>Queen’s University</w:t>
            </w:r>
          </w:p>
          <w:p w:rsidR="00231F6D" w:rsidRPr="00B606C9" w:rsidRDefault="00231F6D" w:rsidP="00AF47B4">
            <w:pPr>
              <w:pStyle w:val="TitlePage"/>
              <w:widowControl/>
              <w:ind w:hanging="42"/>
              <w:rPr>
                <w:rFonts w:asciiTheme="minorHAnsi" w:hAnsiTheme="minorHAnsi"/>
              </w:rPr>
            </w:pPr>
            <w:r w:rsidRPr="00B606C9">
              <w:rPr>
                <w:rFonts w:asciiTheme="minorHAnsi" w:hAnsiTheme="minorHAnsi"/>
              </w:rPr>
              <w:t>Kingston, Ontario K7L 3N6</w:t>
            </w:r>
          </w:p>
          <w:p w:rsidR="00231F6D" w:rsidRPr="00B606C9" w:rsidRDefault="00231F6D" w:rsidP="00AF47B4">
            <w:pPr>
              <w:pStyle w:val="TitlePage"/>
              <w:widowControl/>
              <w:ind w:hanging="42"/>
              <w:rPr>
                <w:rFonts w:asciiTheme="minorHAnsi" w:hAnsiTheme="minorHAnsi"/>
                <w:b/>
                <w:bCs/>
              </w:rPr>
            </w:pPr>
            <w:r w:rsidRPr="00B606C9">
              <w:rPr>
                <w:rFonts w:asciiTheme="minorHAnsi" w:hAnsiTheme="minorHAnsi"/>
              </w:rPr>
              <w:t>CANADA</w:t>
            </w:r>
          </w:p>
          <w:p w:rsidR="00231F6D" w:rsidRPr="00B606C9" w:rsidRDefault="00231F6D" w:rsidP="00AF47B4">
            <w:pPr>
              <w:pStyle w:val="Heading4"/>
              <w:spacing w:before="0" w:after="0"/>
              <w:ind w:hanging="40"/>
              <w:jc w:val="center"/>
              <w:rPr>
                <w:rFonts w:asciiTheme="minorHAnsi" w:hAnsiTheme="minorHAnsi"/>
                <w:b w:val="0"/>
                <w:bCs w:val="0"/>
                <w:sz w:val="24"/>
                <w:szCs w:val="24"/>
              </w:rPr>
            </w:pPr>
            <w:r w:rsidRPr="00B606C9">
              <w:rPr>
                <w:rFonts w:asciiTheme="minorHAnsi" w:hAnsiTheme="minorHAnsi"/>
                <w:b w:val="0"/>
                <w:bCs w:val="0"/>
                <w:sz w:val="24"/>
                <w:szCs w:val="24"/>
              </w:rPr>
              <w:t xml:space="preserve">Email: </w:t>
            </w:r>
            <w:hyperlink r:id="rId8" w:history="1">
              <w:r w:rsidRPr="006A19F7">
                <w:rPr>
                  <w:rStyle w:val="Hyperlink"/>
                  <w:rFonts w:asciiTheme="minorHAnsi" w:hAnsiTheme="minorHAnsi"/>
                  <w:b w:val="0"/>
                  <w:bCs w:val="0"/>
                  <w:color w:val="000000" w:themeColor="text1"/>
                  <w:sz w:val="24"/>
                  <w:szCs w:val="24"/>
                </w:rPr>
                <w:t>dla@queensu.ca</w:t>
              </w:r>
            </w:hyperlink>
          </w:p>
          <w:p w:rsidR="00231F6D" w:rsidRPr="00B606C9" w:rsidRDefault="00231F6D" w:rsidP="00AF47B4">
            <w:pPr>
              <w:spacing w:after="0" w:line="240" w:lineRule="auto"/>
              <w:jc w:val="center"/>
              <w:rPr>
                <w:i/>
                <w:lang w:val="en-US" w:eastAsia="ko-KR"/>
              </w:rPr>
            </w:pPr>
            <w:r w:rsidRPr="00B606C9">
              <w:rPr>
                <w:i/>
                <w:lang w:val="en-US" w:eastAsia="ko-KR"/>
              </w:rPr>
              <w:t>and</w:t>
            </w:r>
          </w:p>
          <w:p w:rsidR="00231F6D" w:rsidRPr="00B606C9" w:rsidRDefault="00231F6D" w:rsidP="00AF47B4">
            <w:pPr>
              <w:pStyle w:val="NoSpacing"/>
              <w:jc w:val="center"/>
              <w:rPr>
                <w:rFonts w:asciiTheme="minorHAnsi" w:hAnsiTheme="minorHAnsi"/>
                <w:lang w:val="en-US" w:eastAsia="ko-KR"/>
              </w:rPr>
            </w:pPr>
            <w:r w:rsidRPr="00B606C9">
              <w:rPr>
                <w:rFonts w:asciiTheme="minorHAnsi" w:hAnsiTheme="minorHAnsi"/>
                <w:lang w:val="en-US" w:eastAsia="ko-KR"/>
              </w:rPr>
              <w:t>Waikato Management School</w:t>
            </w:r>
          </w:p>
          <w:p w:rsidR="00231F6D" w:rsidRPr="00B606C9" w:rsidRDefault="00231F6D" w:rsidP="00AF47B4">
            <w:pPr>
              <w:pStyle w:val="NoSpacing"/>
              <w:jc w:val="center"/>
              <w:rPr>
                <w:rFonts w:asciiTheme="minorHAnsi" w:hAnsiTheme="minorHAnsi"/>
                <w:lang w:val="en-US" w:eastAsia="ko-KR"/>
              </w:rPr>
            </w:pPr>
            <w:r w:rsidRPr="00B606C9">
              <w:rPr>
                <w:rFonts w:asciiTheme="minorHAnsi" w:hAnsiTheme="minorHAnsi"/>
                <w:lang w:val="en-US" w:eastAsia="ko-KR"/>
              </w:rPr>
              <w:t>University of Waikato</w:t>
            </w:r>
          </w:p>
          <w:p w:rsidR="00231F6D" w:rsidRPr="00B606C9" w:rsidRDefault="00231F6D" w:rsidP="00AF47B4">
            <w:pPr>
              <w:pStyle w:val="NoSpacing"/>
              <w:jc w:val="center"/>
              <w:rPr>
                <w:rFonts w:asciiTheme="minorHAnsi" w:hAnsiTheme="minorHAnsi"/>
                <w:lang w:val="en-US" w:eastAsia="ko-KR"/>
              </w:rPr>
            </w:pPr>
            <w:r w:rsidRPr="00B606C9">
              <w:rPr>
                <w:rFonts w:asciiTheme="minorHAnsi" w:hAnsiTheme="minorHAnsi"/>
                <w:lang w:val="en-US" w:eastAsia="ko-KR"/>
              </w:rPr>
              <w:t>Private Bag 3105</w:t>
            </w:r>
          </w:p>
          <w:p w:rsidR="00231F6D" w:rsidRPr="00B606C9" w:rsidRDefault="00231F6D" w:rsidP="00AF47B4">
            <w:pPr>
              <w:pStyle w:val="NoSpacing"/>
              <w:jc w:val="center"/>
              <w:rPr>
                <w:rFonts w:asciiTheme="minorHAnsi" w:hAnsiTheme="minorHAnsi"/>
                <w:lang w:val="en-US" w:eastAsia="ko-KR"/>
              </w:rPr>
            </w:pPr>
            <w:r w:rsidRPr="00B606C9">
              <w:rPr>
                <w:rFonts w:asciiTheme="minorHAnsi" w:hAnsiTheme="minorHAnsi"/>
                <w:lang w:val="en-US" w:eastAsia="ko-KR"/>
              </w:rPr>
              <w:t>Hamilton, NEW ZEALAND</w:t>
            </w:r>
          </w:p>
          <w:p w:rsidR="00231F6D" w:rsidRPr="00B606C9" w:rsidRDefault="00231F6D" w:rsidP="006A19F7">
            <w:pPr>
              <w:pStyle w:val="NoSpacing"/>
              <w:jc w:val="center"/>
              <w:rPr>
                <w:lang w:val="en-US" w:eastAsia="ko-KR"/>
              </w:rPr>
            </w:pPr>
            <w:r w:rsidRPr="00B606C9">
              <w:rPr>
                <w:rFonts w:asciiTheme="minorHAnsi" w:hAnsiTheme="minorHAnsi"/>
                <w:lang w:val="en-US" w:eastAsia="ko-KR"/>
              </w:rPr>
              <w:t xml:space="preserve">Email: </w:t>
            </w:r>
            <w:hyperlink r:id="rId9" w:history="1">
              <w:r w:rsidRPr="006A19F7">
                <w:rPr>
                  <w:rStyle w:val="Hyperlink"/>
                  <w:rFonts w:asciiTheme="minorHAnsi" w:hAnsiTheme="minorHAnsi"/>
                  <w:color w:val="000000" w:themeColor="text1"/>
                  <w:lang w:val="en-US" w:eastAsia="ko-KR"/>
                </w:rPr>
                <w:t>anderson@waikato.ac.nz</w:t>
              </w:r>
            </w:hyperlink>
          </w:p>
        </w:tc>
        <w:tc>
          <w:tcPr>
            <w:tcW w:w="4621" w:type="dxa"/>
          </w:tcPr>
          <w:p w:rsidR="00231F6D" w:rsidRPr="00B606C9" w:rsidRDefault="00231F6D" w:rsidP="00AF47B4">
            <w:pPr>
              <w:pStyle w:val="PlainText"/>
              <w:tabs>
                <w:tab w:val="left" w:pos="284"/>
              </w:tabs>
              <w:jc w:val="center"/>
              <w:rPr>
                <w:rFonts w:asciiTheme="minorHAnsi" w:hAnsiTheme="minorHAnsi"/>
                <w:b/>
                <w:sz w:val="24"/>
                <w:szCs w:val="24"/>
              </w:rPr>
            </w:pPr>
          </w:p>
        </w:tc>
        <w:tc>
          <w:tcPr>
            <w:tcW w:w="4621" w:type="dxa"/>
          </w:tcPr>
          <w:p w:rsidR="00231F6D" w:rsidRPr="00B606C9" w:rsidRDefault="00231F6D" w:rsidP="00AF47B4">
            <w:pPr>
              <w:pStyle w:val="Heading4"/>
              <w:spacing w:before="0" w:after="0"/>
              <w:ind w:hanging="40"/>
              <w:jc w:val="center"/>
              <w:rPr>
                <w:rFonts w:asciiTheme="minorHAnsi" w:hAnsiTheme="minorHAnsi"/>
              </w:rPr>
            </w:pPr>
          </w:p>
        </w:tc>
      </w:tr>
    </w:tbl>
    <w:p w:rsidR="00231F6D" w:rsidRPr="00B606C9" w:rsidRDefault="00231F6D" w:rsidP="00AF47B4">
      <w:pPr>
        <w:pStyle w:val="PlainText"/>
        <w:tabs>
          <w:tab w:val="left" w:pos="284"/>
        </w:tabs>
        <w:jc w:val="center"/>
        <w:rPr>
          <w:rFonts w:asciiTheme="minorHAnsi" w:hAnsiTheme="minorHAnsi"/>
          <w:b/>
          <w:bCs/>
          <w:sz w:val="24"/>
          <w:szCs w:val="24"/>
        </w:rPr>
      </w:pPr>
      <w:r w:rsidRPr="00B606C9">
        <w:rPr>
          <w:rFonts w:asciiTheme="minorHAnsi" w:hAnsiTheme="minorHAnsi"/>
          <w:b/>
          <w:bCs/>
          <w:sz w:val="24"/>
          <w:szCs w:val="24"/>
        </w:rPr>
        <w:t>Warren Smart</w:t>
      </w:r>
    </w:p>
    <w:p w:rsidR="00231F6D" w:rsidRPr="00B606C9" w:rsidRDefault="00231F6D" w:rsidP="00AF47B4">
      <w:pPr>
        <w:pStyle w:val="PlainText"/>
        <w:tabs>
          <w:tab w:val="left" w:pos="284"/>
        </w:tabs>
        <w:jc w:val="center"/>
        <w:rPr>
          <w:rFonts w:asciiTheme="minorHAnsi" w:hAnsiTheme="minorHAnsi"/>
          <w:sz w:val="24"/>
          <w:szCs w:val="24"/>
        </w:rPr>
      </w:pPr>
      <w:r w:rsidRPr="00B606C9">
        <w:rPr>
          <w:rFonts w:asciiTheme="minorHAnsi" w:hAnsiTheme="minorHAnsi"/>
          <w:sz w:val="24"/>
          <w:szCs w:val="24"/>
        </w:rPr>
        <w:t>Principal Research Analyst</w:t>
      </w:r>
    </w:p>
    <w:p w:rsidR="00231F6D" w:rsidRPr="00B606C9" w:rsidRDefault="00231F6D" w:rsidP="00AF47B4">
      <w:pPr>
        <w:pStyle w:val="PlainText"/>
        <w:tabs>
          <w:tab w:val="left" w:pos="284"/>
        </w:tabs>
        <w:jc w:val="center"/>
        <w:rPr>
          <w:rFonts w:asciiTheme="minorHAnsi" w:hAnsiTheme="minorHAnsi"/>
          <w:sz w:val="24"/>
          <w:szCs w:val="24"/>
        </w:rPr>
      </w:pPr>
      <w:r w:rsidRPr="00B606C9">
        <w:rPr>
          <w:rFonts w:asciiTheme="minorHAnsi" w:hAnsiTheme="minorHAnsi"/>
          <w:sz w:val="24"/>
          <w:szCs w:val="24"/>
        </w:rPr>
        <w:t>Ministry of Education</w:t>
      </w:r>
    </w:p>
    <w:p w:rsidR="00231F6D" w:rsidRPr="00B606C9" w:rsidRDefault="00231F6D" w:rsidP="00AF47B4">
      <w:pPr>
        <w:pStyle w:val="PlainText"/>
        <w:tabs>
          <w:tab w:val="left" w:pos="284"/>
        </w:tabs>
        <w:jc w:val="center"/>
        <w:rPr>
          <w:rFonts w:asciiTheme="minorHAnsi" w:hAnsiTheme="minorHAnsi"/>
          <w:sz w:val="24"/>
          <w:szCs w:val="24"/>
        </w:rPr>
      </w:pPr>
      <w:r w:rsidRPr="00B606C9">
        <w:rPr>
          <w:rFonts w:asciiTheme="minorHAnsi" w:hAnsiTheme="minorHAnsi"/>
          <w:sz w:val="24"/>
          <w:szCs w:val="24"/>
        </w:rPr>
        <w:t>Wellington</w:t>
      </w:r>
    </w:p>
    <w:p w:rsidR="00231F6D" w:rsidRPr="00B606C9" w:rsidRDefault="00231F6D" w:rsidP="00AF47B4">
      <w:pPr>
        <w:pStyle w:val="PlainText"/>
        <w:tabs>
          <w:tab w:val="left" w:pos="284"/>
        </w:tabs>
        <w:jc w:val="center"/>
        <w:rPr>
          <w:rFonts w:asciiTheme="minorHAnsi" w:hAnsiTheme="minorHAnsi"/>
          <w:sz w:val="24"/>
          <w:szCs w:val="24"/>
        </w:rPr>
      </w:pPr>
      <w:r w:rsidRPr="00B606C9">
        <w:rPr>
          <w:rFonts w:asciiTheme="minorHAnsi" w:hAnsiTheme="minorHAnsi"/>
          <w:sz w:val="24"/>
          <w:szCs w:val="24"/>
        </w:rPr>
        <w:t>NEW ZEALAND</w:t>
      </w:r>
    </w:p>
    <w:p w:rsidR="00231F6D" w:rsidRPr="006A19F7" w:rsidRDefault="00231F6D" w:rsidP="00AF47B4">
      <w:pPr>
        <w:pStyle w:val="PlainText"/>
        <w:tabs>
          <w:tab w:val="left" w:pos="284"/>
        </w:tabs>
        <w:jc w:val="center"/>
        <w:rPr>
          <w:rFonts w:asciiTheme="minorHAnsi" w:hAnsiTheme="minorHAnsi"/>
          <w:color w:val="000000" w:themeColor="text1"/>
          <w:sz w:val="24"/>
          <w:szCs w:val="24"/>
        </w:rPr>
      </w:pPr>
      <w:r w:rsidRPr="00B606C9">
        <w:rPr>
          <w:rFonts w:asciiTheme="minorHAnsi" w:hAnsiTheme="minorHAnsi"/>
          <w:sz w:val="24"/>
          <w:szCs w:val="24"/>
        </w:rPr>
        <w:t xml:space="preserve">Email: </w:t>
      </w:r>
      <w:hyperlink r:id="rId10" w:history="1">
        <w:r w:rsidRPr="006A19F7">
          <w:rPr>
            <w:rStyle w:val="Hyperlink"/>
            <w:rFonts w:asciiTheme="minorHAnsi" w:hAnsiTheme="minorHAnsi"/>
            <w:color w:val="000000" w:themeColor="text1"/>
            <w:sz w:val="24"/>
            <w:szCs w:val="24"/>
          </w:rPr>
          <w:t>warren.smart@minedu.govt.nz</w:t>
        </w:r>
      </w:hyperlink>
    </w:p>
    <w:p w:rsidR="00231F6D" w:rsidRPr="00B606C9" w:rsidRDefault="00231F6D" w:rsidP="00231F6D">
      <w:pPr>
        <w:pStyle w:val="PlainText"/>
        <w:tabs>
          <w:tab w:val="left" w:pos="284"/>
        </w:tabs>
        <w:jc w:val="center"/>
        <w:rPr>
          <w:rFonts w:asciiTheme="minorHAnsi" w:hAnsiTheme="minorHAnsi"/>
          <w:sz w:val="24"/>
          <w:szCs w:val="24"/>
        </w:rPr>
      </w:pPr>
    </w:p>
    <w:p w:rsidR="00231F6D" w:rsidRPr="00B606C9" w:rsidRDefault="00231F6D" w:rsidP="00231F6D">
      <w:pPr>
        <w:pStyle w:val="PlainText"/>
        <w:tabs>
          <w:tab w:val="left" w:pos="284"/>
        </w:tabs>
        <w:jc w:val="center"/>
        <w:rPr>
          <w:rFonts w:asciiTheme="minorHAnsi" w:hAnsiTheme="minorHAnsi"/>
          <w:b/>
        </w:rPr>
      </w:pPr>
    </w:p>
    <w:p w:rsidR="00231F6D" w:rsidRPr="00B606C9" w:rsidRDefault="00231F6D" w:rsidP="00231F6D"/>
    <w:p w:rsidR="00257243" w:rsidRPr="00B606C9" w:rsidRDefault="00257243" w:rsidP="00257243">
      <w:pPr>
        <w:pStyle w:val="NoSpacing"/>
        <w:jc w:val="center"/>
        <w:rPr>
          <w:rFonts w:asciiTheme="minorHAnsi" w:hAnsiTheme="minorHAnsi"/>
          <w:b/>
          <w:lang w:val="en-GB"/>
        </w:rPr>
      </w:pPr>
      <w:bookmarkStart w:id="0" w:name="_GoBack"/>
      <w:bookmarkEnd w:id="0"/>
    </w:p>
    <w:p w:rsidR="00257243" w:rsidRPr="00B606C9" w:rsidRDefault="00257243" w:rsidP="00257243">
      <w:pPr>
        <w:pStyle w:val="NoSpacing"/>
        <w:jc w:val="center"/>
        <w:rPr>
          <w:rFonts w:asciiTheme="minorHAnsi" w:hAnsiTheme="minorHAnsi"/>
          <w:b/>
        </w:rPr>
      </w:pPr>
    </w:p>
    <w:p w:rsidR="00257243" w:rsidRPr="00B606C9" w:rsidRDefault="00257243" w:rsidP="00257243">
      <w:pPr>
        <w:pStyle w:val="NoSpacing"/>
        <w:jc w:val="center"/>
        <w:rPr>
          <w:rFonts w:asciiTheme="minorHAnsi" w:hAnsiTheme="minorHAnsi"/>
          <w:b/>
        </w:rPr>
      </w:pPr>
    </w:p>
    <w:p w:rsidR="00257243" w:rsidRPr="00B606C9" w:rsidRDefault="00257243" w:rsidP="00257243">
      <w:pPr>
        <w:pStyle w:val="NoSpacing"/>
        <w:jc w:val="center"/>
        <w:rPr>
          <w:rFonts w:asciiTheme="minorHAnsi" w:hAnsiTheme="minorHAnsi"/>
          <w:b/>
          <w:sz w:val="24"/>
          <w:szCs w:val="24"/>
        </w:rPr>
      </w:pPr>
      <w:r w:rsidRPr="00B606C9">
        <w:rPr>
          <w:rFonts w:asciiTheme="minorHAnsi" w:hAnsiTheme="minorHAnsi"/>
          <w:b/>
          <w:sz w:val="24"/>
          <w:szCs w:val="24"/>
        </w:rPr>
        <w:t>Abstract</w:t>
      </w:r>
    </w:p>
    <w:p w:rsidR="00257243" w:rsidRPr="00B606C9" w:rsidRDefault="00257243" w:rsidP="00257243">
      <w:pPr>
        <w:pStyle w:val="NoSpacing"/>
        <w:rPr>
          <w:rFonts w:asciiTheme="minorHAnsi" w:hAnsiTheme="minorHAnsi"/>
          <w:b/>
        </w:rPr>
      </w:pPr>
    </w:p>
    <w:p w:rsidR="00257243" w:rsidRPr="00B606C9" w:rsidRDefault="00257243" w:rsidP="006A19F7">
      <w:pPr>
        <w:pStyle w:val="NoSpacing"/>
        <w:spacing w:line="360" w:lineRule="auto"/>
        <w:jc w:val="both"/>
        <w:rPr>
          <w:rFonts w:asciiTheme="minorHAnsi" w:hAnsiTheme="minorHAnsi"/>
          <w:bCs/>
        </w:rPr>
      </w:pPr>
      <w:r w:rsidRPr="00B606C9">
        <w:rPr>
          <w:rFonts w:asciiTheme="minorHAnsi" w:hAnsiTheme="minorHAnsi"/>
          <w:bCs/>
        </w:rPr>
        <w:t xml:space="preserve">This paper concerns the relationship between the assessment of the research of individual academics by peer or expert review teams with a variety of </w:t>
      </w:r>
      <w:proofErr w:type="spellStart"/>
      <w:r w:rsidRPr="00B606C9">
        <w:rPr>
          <w:rFonts w:asciiTheme="minorHAnsi" w:hAnsiTheme="minorHAnsi"/>
          <w:bCs/>
        </w:rPr>
        <w:t>bibliometric</w:t>
      </w:r>
      <w:proofErr w:type="spellEnd"/>
      <w:r w:rsidRPr="00B606C9">
        <w:rPr>
          <w:rFonts w:asciiTheme="minorHAnsi" w:hAnsiTheme="minorHAnsi"/>
          <w:bCs/>
        </w:rPr>
        <w:t xml:space="preserve"> schemes based on journal quality weights.  Specifically, for a common group of economists from New Zealand departments of economics the relationship between Performance-Based Research Fund (PBRF) Research Output measures for those submitting new research portfolios in 2006 are compared with evaluations of journal based research over the 2000-2005 assessment period.   This comparison identifies the journal weighting schemes that appear most similar to PBRF peer evaluations.  The paper provides an indication of the </w:t>
      </w:r>
      <w:r w:rsidR="00B56B33">
        <w:rPr>
          <w:rFonts w:asciiTheme="minorHAnsi" w:hAnsiTheme="minorHAnsi"/>
          <w:bCs/>
        </w:rPr>
        <w:t>‘</w:t>
      </w:r>
      <w:r w:rsidRPr="00B606C9">
        <w:rPr>
          <w:rFonts w:asciiTheme="minorHAnsi" w:hAnsiTheme="minorHAnsi"/>
          <w:bCs/>
        </w:rPr>
        <w:t>power or aggressiveness</w:t>
      </w:r>
      <w:r w:rsidR="00B56B33">
        <w:rPr>
          <w:rFonts w:asciiTheme="minorHAnsi" w:hAnsiTheme="minorHAnsi"/>
          <w:bCs/>
        </w:rPr>
        <w:t>’</w:t>
      </w:r>
      <w:r w:rsidRPr="00B606C9">
        <w:rPr>
          <w:rFonts w:asciiTheme="minorHAnsi" w:hAnsiTheme="minorHAnsi"/>
          <w:bCs/>
        </w:rPr>
        <w:t xml:space="preserve"> of PBRF evaluations in terms of the weighting given to quality.  The implied views of PBRF peer review teams are also useful in assessing common assumptions made in evaluating journal based research.</w:t>
      </w:r>
    </w:p>
    <w:p w:rsidR="00257243" w:rsidRPr="00B606C9" w:rsidRDefault="00257243" w:rsidP="00257243">
      <w:pPr>
        <w:pStyle w:val="NoSpacing"/>
        <w:rPr>
          <w:rFonts w:asciiTheme="minorHAnsi" w:hAnsiTheme="minorHAnsi"/>
          <w:b/>
        </w:rPr>
      </w:pPr>
    </w:p>
    <w:p w:rsidR="00257243" w:rsidRPr="00B606C9" w:rsidRDefault="00257243" w:rsidP="00257243">
      <w:pPr>
        <w:pStyle w:val="NoSpacing"/>
        <w:rPr>
          <w:rFonts w:asciiTheme="minorHAnsi" w:hAnsiTheme="minorHAnsi"/>
          <w:b/>
        </w:rPr>
      </w:pPr>
    </w:p>
    <w:p w:rsidR="00257243" w:rsidRPr="00B606C9" w:rsidRDefault="00257243" w:rsidP="00257243">
      <w:pPr>
        <w:pStyle w:val="NoSpacing"/>
        <w:rPr>
          <w:rFonts w:asciiTheme="minorHAnsi" w:hAnsiTheme="minorHAnsi"/>
          <w:b/>
        </w:rPr>
      </w:pPr>
    </w:p>
    <w:p w:rsidR="00257243" w:rsidRPr="00B606C9" w:rsidRDefault="00257243" w:rsidP="00257243">
      <w:pPr>
        <w:pStyle w:val="NoSpacing"/>
        <w:rPr>
          <w:rFonts w:asciiTheme="minorHAnsi" w:hAnsiTheme="minorHAnsi"/>
          <w:b/>
        </w:rPr>
      </w:pPr>
    </w:p>
    <w:p w:rsidR="00257243" w:rsidRPr="00B606C9" w:rsidRDefault="00257243" w:rsidP="00257243">
      <w:pPr>
        <w:pStyle w:val="NoSpacing"/>
        <w:rPr>
          <w:rFonts w:asciiTheme="minorHAnsi" w:hAnsiTheme="minorHAnsi"/>
          <w:b/>
        </w:rPr>
      </w:pPr>
    </w:p>
    <w:p w:rsidR="00257243" w:rsidRPr="00FA37B0" w:rsidRDefault="00257243" w:rsidP="00257243">
      <w:pPr>
        <w:pStyle w:val="NoSpacing"/>
        <w:jc w:val="center"/>
        <w:rPr>
          <w:b/>
        </w:rPr>
      </w:pPr>
      <w:r w:rsidRPr="00FA37B0">
        <w:rPr>
          <w:b/>
        </w:rPr>
        <w:t>Keywords</w:t>
      </w:r>
    </w:p>
    <w:p w:rsidR="00257243" w:rsidRPr="00FA37B0" w:rsidRDefault="00257243" w:rsidP="00257243">
      <w:pPr>
        <w:pStyle w:val="NoSpacing"/>
        <w:jc w:val="center"/>
        <w:rPr>
          <w:b/>
        </w:rPr>
      </w:pPr>
    </w:p>
    <w:p w:rsidR="00257243" w:rsidRPr="00FA37B0" w:rsidRDefault="00B606C9" w:rsidP="00257243">
      <w:pPr>
        <w:pStyle w:val="NoSpacing"/>
        <w:jc w:val="center"/>
      </w:pPr>
      <w:proofErr w:type="spellStart"/>
      <w:proofErr w:type="gramStart"/>
      <w:r>
        <w:t>b</w:t>
      </w:r>
      <w:r w:rsidR="00257243">
        <w:t>ibliometrics</w:t>
      </w:r>
      <w:proofErr w:type="spellEnd"/>
      <w:proofErr w:type="gramEnd"/>
    </w:p>
    <w:p w:rsidR="00257243" w:rsidRPr="00FA37B0" w:rsidRDefault="00B606C9" w:rsidP="00257243">
      <w:pPr>
        <w:pStyle w:val="NoSpacing"/>
        <w:jc w:val="center"/>
      </w:pPr>
      <w:proofErr w:type="gramStart"/>
      <w:r>
        <w:t>j</w:t>
      </w:r>
      <w:r w:rsidR="00257243" w:rsidRPr="00FA37B0">
        <w:t>ournal</w:t>
      </w:r>
      <w:proofErr w:type="gramEnd"/>
      <w:r w:rsidR="00257243" w:rsidRPr="00FA37B0">
        <w:t xml:space="preserve"> </w:t>
      </w:r>
      <w:r>
        <w:t>w</w:t>
      </w:r>
      <w:r w:rsidR="00257243" w:rsidRPr="00FA37B0">
        <w:t xml:space="preserve">eighting </w:t>
      </w:r>
      <w:r>
        <w:t>s</w:t>
      </w:r>
      <w:r w:rsidR="00257243" w:rsidRPr="00FA37B0">
        <w:t>chemes</w:t>
      </w:r>
    </w:p>
    <w:p w:rsidR="00257243" w:rsidRDefault="00257243" w:rsidP="00257243">
      <w:pPr>
        <w:pStyle w:val="NoSpacing"/>
        <w:jc w:val="center"/>
      </w:pPr>
      <w:r w:rsidRPr="00FA37B0">
        <w:t>PBRF</w:t>
      </w:r>
    </w:p>
    <w:p w:rsidR="00257243" w:rsidRPr="00FA37B0" w:rsidRDefault="00B606C9" w:rsidP="00257243">
      <w:pPr>
        <w:pStyle w:val="NoSpacing"/>
        <w:jc w:val="center"/>
      </w:pPr>
      <w:proofErr w:type="gramStart"/>
      <w:r>
        <w:t>r</w:t>
      </w:r>
      <w:r w:rsidR="00257243" w:rsidRPr="00FA37B0">
        <w:t>esearch</w:t>
      </w:r>
      <w:proofErr w:type="gramEnd"/>
      <w:r w:rsidR="00257243" w:rsidRPr="00FA37B0">
        <w:t xml:space="preserve"> </w:t>
      </w:r>
      <w:r>
        <w:t>m</w:t>
      </w:r>
      <w:r w:rsidR="00257243">
        <w:t xml:space="preserve">easurement </w:t>
      </w:r>
    </w:p>
    <w:p w:rsidR="00257243" w:rsidRPr="00FA37B0" w:rsidRDefault="00257243" w:rsidP="00257243">
      <w:pPr>
        <w:pStyle w:val="NoSpacing"/>
        <w:rPr>
          <w:b/>
        </w:rPr>
      </w:pPr>
    </w:p>
    <w:p w:rsidR="00257243" w:rsidRPr="00FA37B0" w:rsidRDefault="00257243" w:rsidP="00257243">
      <w:pPr>
        <w:pStyle w:val="NoSpacing"/>
        <w:rPr>
          <w:b/>
        </w:rPr>
      </w:pPr>
    </w:p>
    <w:p w:rsidR="00257243" w:rsidRPr="00FA37B0" w:rsidRDefault="00257243" w:rsidP="00257243">
      <w:pPr>
        <w:pStyle w:val="NoSpacing"/>
        <w:rPr>
          <w:b/>
        </w:rPr>
      </w:pPr>
    </w:p>
    <w:p w:rsidR="00257243" w:rsidRPr="003B3384" w:rsidRDefault="00257243" w:rsidP="00257243">
      <w:pPr>
        <w:pStyle w:val="NoSpacing"/>
        <w:jc w:val="center"/>
        <w:rPr>
          <w:b/>
        </w:rPr>
      </w:pPr>
      <w:r w:rsidRPr="003B3384">
        <w:rPr>
          <w:b/>
        </w:rPr>
        <w:t>JEL Codes</w:t>
      </w:r>
    </w:p>
    <w:p w:rsidR="00257243" w:rsidRPr="003B3384" w:rsidRDefault="00257243" w:rsidP="00257243">
      <w:pPr>
        <w:pStyle w:val="NoSpacing"/>
        <w:rPr>
          <w:b/>
        </w:rPr>
      </w:pPr>
    </w:p>
    <w:p w:rsidR="00257243" w:rsidRPr="003B3384" w:rsidRDefault="00257243" w:rsidP="00257243">
      <w:pPr>
        <w:pStyle w:val="NoSpacing"/>
        <w:jc w:val="center"/>
      </w:pPr>
      <w:r w:rsidRPr="003B3384">
        <w:t>A19, C81, J24</w:t>
      </w:r>
    </w:p>
    <w:p w:rsidR="00257243" w:rsidRPr="003B3384" w:rsidRDefault="00257243" w:rsidP="00257243">
      <w:pPr>
        <w:pStyle w:val="NoSpacing"/>
        <w:rPr>
          <w:b/>
        </w:rPr>
      </w:pPr>
    </w:p>
    <w:p w:rsidR="00B606C9" w:rsidRDefault="00B606C9" w:rsidP="00B606C9">
      <w:pPr>
        <w:pStyle w:val="NoSpacing"/>
        <w:jc w:val="center"/>
        <w:rPr>
          <w:b/>
        </w:rPr>
      </w:pPr>
    </w:p>
    <w:p w:rsidR="00B606C9" w:rsidRDefault="00B606C9" w:rsidP="00B606C9">
      <w:pPr>
        <w:pStyle w:val="NoSpacing"/>
        <w:jc w:val="center"/>
        <w:rPr>
          <w:b/>
        </w:rPr>
      </w:pPr>
    </w:p>
    <w:p w:rsidR="00257243" w:rsidRPr="003B3384" w:rsidRDefault="00B606C9" w:rsidP="00B606C9">
      <w:pPr>
        <w:pStyle w:val="NoSpacing"/>
        <w:jc w:val="center"/>
        <w:rPr>
          <w:b/>
        </w:rPr>
      </w:pPr>
      <w:r>
        <w:rPr>
          <w:b/>
        </w:rPr>
        <w:t>Acknowledgements</w:t>
      </w:r>
    </w:p>
    <w:p w:rsidR="00B606C9" w:rsidRPr="00B606C9" w:rsidRDefault="00B606C9" w:rsidP="00AF47B4">
      <w:pPr>
        <w:pStyle w:val="ListParagraph"/>
        <w:spacing w:after="0" w:line="240" w:lineRule="auto"/>
        <w:ind w:left="0"/>
        <w:jc w:val="center"/>
        <w:rPr>
          <w:b/>
          <w:sz w:val="20"/>
          <w:szCs w:val="20"/>
          <w:lang w:val="en-GB"/>
        </w:rPr>
      </w:pPr>
      <w:r w:rsidRPr="00B606C9">
        <w:rPr>
          <w:bCs/>
          <w:sz w:val="20"/>
          <w:szCs w:val="20"/>
          <w:lang w:val="en-GB"/>
        </w:rPr>
        <w:t xml:space="preserve">We would like to thank the Tertiary Education Commission for access to the PBRF data used in this study.  </w:t>
      </w:r>
      <w:proofErr w:type="spellStart"/>
      <w:r w:rsidRPr="00B606C9">
        <w:rPr>
          <w:bCs/>
          <w:sz w:val="20"/>
          <w:szCs w:val="20"/>
          <w:lang w:val="en-GB"/>
        </w:rPr>
        <w:t>Ric</w:t>
      </w:r>
      <w:proofErr w:type="spellEnd"/>
      <w:r w:rsidRPr="00B606C9">
        <w:rPr>
          <w:bCs/>
          <w:sz w:val="20"/>
          <w:szCs w:val="20"/>
          <w:lang w:val="en-GB"/>
        </w:rPr>
        <w:t xml:space="preserve"> Scarpa assisted with the maximum likelihood estimation.</w:t>
      </w:r>
    </w:p>
    <w:p w:rsidR="00257243" w:rsidRDefault="00257243" w:rsidP="00AF47B4">
      <w:pPr>
        <w:jc w:val="center"/>
      </w:pPr>
    </w:p>
    <w:p w:rsidR="006E1460" w:rsidRPr="00257243" w:rsidRDefault="006E1460" w:rsidP="00257243">
      <w:pPr>
        <w:jc w:val="both"/>
        <w:rPr>
          <w:b/>
        </w:rPr>
      </w:pPr>
    </w:p>
    <w:p w:rsidR="006E1460" w:rsidRDefault="006E1460">
      <w:r>
        <w:br w:type="page"/>
      </w:r>
    </w:p>
    <w:p w:rsidR="005D2229" w:rsidRPr="005D2229" w:rsidRDefault="005D2229" w:rsidP="001C0DF8">
      <w:pPr>
        <w:jc w:val="both"/>
        <w:rPr>
          <w:b/>
        </w:rPr>
      </w:pPr>
      <w:r w:rsidRPr="005D2229">
        <w:rPr>
          <w:b/>
        </w:rPr>
        <w:lastRenderedPageBreak/>
        <w:t>Introduction</w:t>
      </w:r>
    </w:p>
    <w:p w:rsidR="006550AA" w:rsidRDefault="006550AA" w:rsidP="001C0DF8">
      <w:pPr>
        <w:jc w:val="both"/>
      </w:pPr>
      <w:r>
        <w:t>In the last two decades research assessment programmes have had a significant impact on universities in a number of countries.  The</w:t>
      </w:r>
      <w:r w:rsidR="00DC3E69">
        <w:t>y</w:t>
      </w:r>
      <w:r>
        <w:t xml:space="preserve"> have resulted in the evaluations of institutions, departments, and in some cases, individual researchers.  These results have influenced public funding decisions, the development strategies of universities and departments, and the incentives and employment prospects faced by academics.  Typically research assessment exercises are based on peer review or expert panels, supplemented in some cases by bibliographic methods, including the analysis of citation patterns.  In New Zealand the Performance</w:t>
      </w:r>
      <w:r w:rsidR="005972F7">
        <w:t>-</w:t>
      </w:r>
      <w:r>
        <w:t>Based Research Fund (PBRF) processes have produced evaluations of tertiary institutions</w:t>
      </w:r>
      <w:r w:rsidR="00723BB6">
        <w:t>,</w:t>
      </w:r>
      <w:r>
        <w:t xml:space="preserve"> and subject areas within them</w:t>
      </w:r>
      <w:r w:rsidR="00723BB6">
        <w:t>,</w:t>
      </w:r>
      <w:r>
        <w:t xml:space="preserve"> based on the assessment by expert panels of the research portfolios submitted by individual academics.</w:t>
      </w:r>
      <w:r w:rsidR="00DC3E69">
        <w:t xml:space="preserve">  The process and its outcomes have had a significant impact on the incentives faced by academics, research outputs and the staffing of tertiary institutions</w:t>
      </w:r>
      <w:r w:rsidR="00C86168">
        <w:t xml:space="preserve"> in New Zealand</w:t>
      </w:r>
      <w:r w:rsidR="00DC3E69">
        <w:t>.</w:t>
      </w:r>
      <w:r w:rsidR="00C86168">
        <w:rPr>
          <w:rStyle w:val="FootnoteReference"/>
        </w:rPr>
        <w:footnoteReference w:id="1"/>
      </w:r>
    </w:p>
    <w:p w:rsidR="006550AA" w:rsidRDefault="00DC3E69" w:rsidP="0004070A">
      <w:pPr>
        <w:jc w:val="both"/>
      </w:pPr>
      <w:r>
        <w:t>In economics and other disciplines there</w:t>
      </w:r>
      <w:r w:rsidR="0066277D">
        <w:t xml:space="preserve"> is</w:t>
      </w:r>
      <w:r>
        <w:t xml:space="preserve"> a</w:t>
      </w:r>
      <w:r w:rsidR="00C86168">
        <w:t xml:space="preserve">n existing </w:t>
      </w:r>
      <w:r>
        <w:t>literature dealing with the evaluation of academic journals, department</w:t>
      </w:r>
      <w:r w:rsidR="00AE1DC8">
        <w:t>s</w:t>
      </w:r>
      <w:r>
        <w:t xml:space="preserve"> and individuals</w:t>
      </w:r>
      <w:r w:rsidR="00C15294">
        <w:t xml:space="preserve">.  </w:t>
      </w:r>
      <w:r w:rsidR="00C86168">
        <w:t>Much of this research</w:t>
      </w:r>
      <w:r w:rsidR="00C15294">
        <w:t xml:space="preserve"> has used journal ranking and weighting schemes to assess research outputs.  The journal ranking and weighting schemes are in turn often based on bibliographic citation analysis o</w:t>
      </w:r>
      <w:r w:rsidR="0066277D">
        <w:t>r</w:t>
      </w:r>
      <w:r w:rsidR="00C15294">
        <w:t xml:space="preserve"> the perceptions of academic economists.   Surveys of the research and journal evaluation literature </w:t>
      </w:r>
      <w:r w:rsidR="0066277D">
        <w:t xml:space="preserve">in economics </w:t>
      </w:r>
      <w:r w:rsidR="00C15294">
        <w:t xml:space="preserve">are provided by </w:t>
      </w:r>
      <w:proofErr w:type="spellStart"/>
      <w:r w:rsidR="00C15294">
        <w:t>Macri</w:t>
      </w:r>
      <w:proofErr w:type="spellEnd"/>
      <w:r w:rsidR="00C15294">
        <w:t xml:space="preserve"> and Sinha (2006), Anderson and Tressler (2011) and Chang, McAleer and Oxley (201</w:t>
      </w:r>
      <w:r w:rsidR="005D2229">
        <w:t>1</w:t>
      </w:r>
      <w:r w:rsidR="00C15294">
        <w:t>)</w:t>
      </w:r>
      <w:r w:rsidR="00CD2FF0">
        <w:t>.</w:t>
      </w:r>
    </w:p>
    <w:p w:rsidR="005972F7" w:rsidRDefault="00F54955" w:rsidP="00690184">
      <w:pPr>
        <w:jc w:val="both"/>
      </w:pPr>
      <w:r>
        <w:t>Given these two approaches</w:t>
      </w:r>
      <w:r w:rsidR="005D2229">
        <w:t>,</w:t>
      </w:r>
      <w:r>
        <w:t xml:space="preserve"> researchers have </w:t>
      </w:r>
      <w:r w:rsidR="009B1C58">
        <w:t>considered</w:t>
      </w:r>
      <w:r>
        <w:t xml:space="preserve"> the relationship between panel based research assessments </w:t>
      </w:r>
      <w:r w:rsidR="005D2229">
        <w:t xml:space="preserve">and </w:t>
      </w:r>
      <w:r>
        <w:t>journal based bibliographic assessments.  For example, Taylor (2011) shows that quantitative measures, including the UK Association of Business Schools (ABS) rankings, are highly correlated with the outcomes of the UK 2008 Research Assessment Exercise</w:t>
      </w:r>
      <w:r w:rsidR="00690184">
        <w:t xml:space="preserve"> (RAE)</w:t>
      </w:r>
      <w:r>
        <w:t>.  He concludes that bibliographic measures should be used in research assessment exercises.</w:t>
      </w:r>
      <w:r w:rsidR="00690184">
        <w:rPr>
          <w:rStyle w:val="FootnoteReference"/>
        </w:rPr>
        <w:footnoteReference w:id="2"/>
      </w:r>
      <w:r>
        <w:t xml:space="preserve">  Viewing the relationship the other way around</w:t>
      </w:r>
      <w:r w:rsidR="00D01B4E">
        <w:t>,</w:t>
      </w:r>
      <w:r>
        <w:t xml:space="preserve"> </w:t>
      </w:r>
      <w:r w:rsidR="00690184">
        <w:t xml:space="preserve">Geary, Marriott and </w:t>
      </w:r>
      <w:proofErr w:type="spellStart"/>
      <w:r w:rsidR="00690184">
        <w:t>Rowlinson</w:t>
      </w:r>
      <w:proofErr w:type="spellEnd"/>
      <w:r w:rsidR="00690184">
        <w:t xml:space="preserve"> (2004) use the 2001 RAE publication submissions data and outcomes to rate core journals in Business and Management on a 1-7 scale.  </w:t>
      </w:r>
      <w:proofErr w:type="spellStart"/>
      <w:r w:rsidR="00690184">
        <w:t>Mingers</w:t>
      </w:r>
      <w:proofErr w:type="spellEnd"/>
      <w:r w:rsidR="00690184">
        <w:t xml:space="preserve">, Watson and </w:t>
      </w:r>
      <w:proofErr w:type="spellStart"/>
      <w:r w:rsidR="00690184">
        <w:t>Scaparra</w:t>
      </w:r>
      <w:proofErr w:type="spellEnd"/>
      <w:r w:rsidR="00690184">
        <w:t xml:space="preserve"> (2009) apply linear programming techniques to 2008 RAE publication submission data and outcomes to provide rankings of 700 journals in Business and Management on a 0-4 scale. </w:t>
      </w:r>
    </w:p>
    <w:p w:rsidR="00867F29" w:rsidRDefault="005972F7" w:rsidP="005E29D9">
      <w:pPr>
        <w:jc w:val="both"/>
      </w:pPr>
      <w:r>
        <w:t xml:space="preserve">Previous research examining the association between PBRF and </w:t>
      </w:r>
      <w:proofErr w:type="spellStart"/>
      <w:r>
        <w:t>bibliometric</w:t>
      </w:r>
      <w:proofErr w:type="spellEnd"/>
      <w:r>
        <w:t xml:space="preserve"> performance is limited. </w:t>
      </w:r>
      <w:r w:rsidR="00867F29">
        <w:t xml:space="preserve">Smart (2007) compared the PBRF average quality scores in various subject areas </w:t>
      </w:r>
      <w:r>
        <w:t xml:space="preserve">(including business and economics) </w:t>
      </w:r>
      <w:r w:rsidR="00867F29">
        <w:t>with the number of citations</w:t>
      </w:r>
      <w:r>
        <w:t xml:space="preserve"> in indexed journals</w:t>
      </w:r>
      <w:r w:rsidR="00867F29">
        <w:t xml:space="preserve"> per eligible staff member.</w:t>
      </w:r>
      <w:r>
        <w:t xml:space="preserve"> The study found there was a degree of correlation between the two measures in some subject areas, but the magnitude of the correlation was not particularly high. The study </w:t>
      </w:r>
      <w:r w:rsidR="005E29D9">
        <w:t>noted that</w:t>
      </w:r>
      <w:r>
        <w:t xml:space="preserve"> one possible reason for the limited level of association was because the analysis used university subject area as the unit of assessment rather than the individual researcher.</w:t>
      </w:r>
    </w:p>
    <w:p w:rsidR="00CD2FF0" w:rsidRDefault="009A478C" w:rsidP="00690184">
      <w:pPr>
        <w:jc w:val="both"/>
      </w:pPr>
      <w:r>
        <w:t xml:space="preserve">The purpose of this paper is to consider the relationship between the </w:t>
      </w:r>
      <w:r w:rsidR="009B1C58">
        <w:t>assessment</w:t>
      </w:r>
      <w:r>
        <w:t xml:space="preserve"> of the research of individual academics </w:t>
      </w:r>
      <w:r w:rsidR="00D01B4E">
        <w:t xml:space="preserve">by </w:t>
      </w:r>
      <w:r w:rsidR="006E1460">
        <w:t xml:space="preserve">peer/expert review teams </w:t>
      </w:r>
      <w:r w:rsidR="00690184">
        <w:t xml:space="preserve">as part of New Zealand’s PBRF programme </w:t>
      </w:r>
      <w:r>
        <w:t xml:space="preserve">with the </w:t>
      </w:r>
      <w:r w:rsidR="006E1460">
        <w:t xml:space="preserve">evaluation of the research of </w:t>
      </w:r>
      <w:r>
        <w:t xml:space="preserve">the same individuals </w:t>
      </w:r>
      <w:r w:rsidR="006E1460">
        <w:t xml:space="preserve">based on </w:t>
      </w:r>
      <w:r>
        <w:t xml:space="preserve">a variety of journal weighting </w:t>
      </w:r>
      <w:r>
        <w:lastRenderedPageBreak/>
        <w:t>schemes.</w:t>
      </w:r>
      <w:r w:rsidR="00342DD7">
        <w:t xml:space="preserve">  </w:t>
      </w:r>
      <w:r w:rsidR="00CD2FF0">
        <w:t xml:space="preserve">To our knowledge, this is the first time </w:t>
      </w:r>
      <w:r w:rsidR="006E1460">
        <w:t xml:space="preserve">these different types of research assessments </w:t>
      </w:r>
      <w:r w:rsidR="00690184">
        <w:t xml:space="preserve">for individual academics </w:t>
      </w:r>
      <w:r w:rsidR="006E1460">
        <w:t xml:space="preserve">have been compared, at least for </w:t>
      </w:r>
      <w:r w:rsidR="00CD2FF0">
        <w:t xml:space="preserve">research in economics.  </w:t>
      </w:r>
    </w:p>
    <w:p w:rsidR="009A478C" w:rsidRDefault="00CD2FF0" w:rsidP="000C3651">
      <w:pPr>
        <w:jc w:val="both"/>
      </w:pPr>
      <w:r>
        <w:t xml:space="preserve">Comparing these two approaches to research assessment </w:t>
      </w:r>
      <w:r w:rsidR="009A478C">
        <w:t>provides a number of insights.  First, we are able to consider how closely bibliographic techniques based on journal rankings match</w:t>
      </w:r>
      <w:r w:rsidR="00863B43">
        <w:t xml:space="preserve"> the</w:t>
      </w:r>
      <w:r w:rsidR="009A478C">
        <w:t xml:space="preserve"> considerably more costly assessments</w:t>
      </w:r>
      <w:r w:rsidR="000C3651">
        <w:t xml:space="preserve"> of individual academics </w:t>
      </w:r>
      <w:r w:rsidR="00C15294">
        <w:t>by</w:t>
      </w:r>
      <w:r w:rsidR="009A478C">
        <w:t xml:space="preserve"> expert panels.  Secondly, we are able to provide quantitative data that indicates which journal ranking schemes most closely resemble the assessments of PBRF expert panels in economics.  Thirdly, we are able to provide a quantitative indication of the </w:t>
      </w:r>
      <w:r w:rsidR="00B56B33">
        <w:t>‘</w:t>
      </w:r>
      <w:r w:rsidR="009A478C">
        <w:t>power</w:t>
      </w:r>
      <w:r w:rsidR="00C15294">
        <w:t xml:space="preserve"> or aggressiveness</w:t>
      </w:r>
      <w:r w:rsidR="00B56B33">
        <w:t>’</w:t>
      </w:r>
      <w:r w:rsidR="009A478C">
        <w:t xml:space="preserve"> of the research evaluations of expert panels, i.e., the weight placed on research published in the top </w:t>
      </w:r>
      <w:r w:rsidR="00411C77">
        <w:t xml:space="preserve">level </w:t>
      </w:r>
      <w:r w:rsidR="009A478C">
        <w:t xml:space="preserve">relative to low level journals.  </w:t>
      </w:r>
      <w:r w:rsidR="000C3651">
        <w:t xml:space="preserve">This factor has been largely ignored by existing studies of research assessment.  </w:t>
      </w:r>
      <w:r w:rsidR="009A478C">
        <w:t xml:space="preserve">The comparison also throws some light on </w:t>
      </w:r>
      <w:r w:rsidR="00E07312">
        <w:t>common assumptions</w:t>
      </w:r>
      <w:r>
        <w:t xml:space="preserve"> about research assessment </w:t>
      </w:r>
      <w:r w:rsidR="00E07312">
        <w:t>often made in the literature that evaluates research based on journal rankings.</w:t>
      </w:r>
    </w:p>
    <w:p w:rsidR="00EB79F7" w:rsidRDefault="00E07312" w:rsidP="001C0DF8">
      <w:pPr>
        <w:jc w:val="both"/>
      </w:pPr>
      <w:r>
        <w:t>Speci</w:t>
      </w:r>
      <w:r w:rsidR="00C15294">
        <w:t>fic</w:t>
      </w:r>
      <w:r>
        <w:t>ally, for a common group of economists from New Zealand Economics departments</w:t>
      </w:r>
      <w:r w:rsidR="00411C77">
        <w:t>,</w:t>
      </w:r>
      <w:r>
        <w:t xml:space="preserve"> th</w:t>
      </w:r>
      <w:r w:rsidR="00C15294">
        <w:t>is</w:t>
      </w:r>
      <w:r>
        <w:t xml:space="preserve"> paper considers the relationship between the evaluation</w:t>
      </w:r>
      <w:r w:rsidR="00411C77">
        <w:t>s</w:t>
      </w:r>
      <w:r>
        <w:t xml:space="preserve"> of journal based research output between 2000 and 2005 using journal weighting schemes with PBRF Research Output </w:t>
      </w:r>
      <w:r w:rsidR="00CD2FF0">
        <w:t xml:space="preserve">(RO) </w:t>
      </w:r>
      <w:r>
        <w:t xml:space="preserve">assessments.  </w:t>
      </w:r>
      <w:r w:rsidR="00C15294">
        <w:t>We consider the general nature of the relationship for a large number of journal based weighting schemes commonly used in the literature</w:t>
      </w:r>
      <w:r w:rsidR="0066277D">
        <w:t>.  We also consider</w:t>
      </w:r>
      <w:r w:rsidR="00411C77">
        <w:t>,</w:t>
      </w:r>
      <w:r w:rsidR="0066277D">
        <w:t xml:space="preserve"> in more detail</w:t>
      </w:r>
      <w:r w:rsidR="00411C77">
        <w:t>,</w:t>
      </w:r>
      <w:r w:rsidR="0066277D">
        <w:t xml:space="preserve"> </w:t>
      </w:r>
      <w:r w:rsidR="00411C77">
        <w:t>six schemes which</w:t>
      </w:r>
      <w:r w:rsidR="0066277D">
        <w:t xml:space="preserve"> capture a range of </w:t>
      </w:r>
      <w:r>
        <w:t xml:space="preserve">power or aggressiveness </w:t>
      </w:r>
      <w:r w:rsidR="0066277D">
        <w:t>in evaluations, including two influential Australian journal ranking schemes.</w:t>
      </w:r>
      <w:r w:rsidR="00EB79F7">
        <w:t xml:space="preserve">  Finally the paper considers how </w:t>
      </w:r>
      <w:r w:rsidR="00863B43">
        <w:t xml:space="preserve">various </w:t>
      </w:r>
      <w:r w:rsidR="00EB79F7">
        <w:t xml:space="preserve">factors affect the relationship including: the treatment of co-authored papers, papers versus pages, all journal publications or the </w:t>
      </w:r>
      <w:r w:rsidR="00B56B33">
        <w:t>‘</w:t>
      </w:r>
      <w:r w:rsidR="00EB79F7">
        <w:t>best four</w:t>
      </w:r>
      <w:r w:rsidR="00B56B33">
        <w:t>’</w:t>
      </w:r>
      <w:r w:rsidR="00EB79F7">
        <w:t xml:space="preserve"> and the treatment of New Zealand’s regional economics journal</w:t>
      </w:r>
      <w:r w:rsidR="00863B43">
        <w:t>:</w:t>
      </w:r>
      <w:r w:rsidR="00EB79F7">
        <w:t xml:space="preserve"> the </w:t>
      </w:r>
      <w:r w:rsidR="00EB79F7" w:rsidRPr="0066277D">
        <w:rPr>
          <w:i/>
          <w:iCs/>
        </w:rPr>
        <w:t>New Zealand Economics Papers</w:t>
      </w:r>
      <w:r w:rsidR="0066277D">
        <w:rPr>
          <w:i/>
          <w:iCs/>
        </w:rPr>
        <w:t xml:space="preserve"> </w:t>
      </w:r>
      <w:r w:rsidR="0066277D">
        <w:t>(</w:t>
      </w:r>
      <w:r w:rsidR="0066277D">
        <w:rPr>
          <w:i/>
          <w:iCs/>
        </w:rPr>
        <w:t>NZEP</w:t>
      </w:r>
      <w:r w:rsidR="0066277D">
        <w:t>)</w:t>
      </w:r>
      <w:r w:rsidR="00EB79F7">
        <w:t>.</w:t>
      </w:r>
    </w:p>
    <w:p w:rsidR="005C61F9" w:rsidRDefault="005C61F9" w:rsidP="001C0DF8">
      <w:pPr>
        <w:jc w:val="both"/>
      </w:pPr>
    </w:p>
    <w:p w:rsidR="00EB79F7" w:rsidRPr="00342DD7" w:rsidRDefault="00EB79F7" w:rsidP="00E07312">
      <w:pPr>
        <w:rPr>
          <w:b/>
          <w:bCs/>
        </w:rPr>
      </w:pPr>
      <w:r w:rsidRPr="00342DD7">
        <w:rPr>
          <w:b/>
          <w:bCs/>
        </w:rPr>
        <w:t>Background and Data</w:t>
      </w:r>
    </w:p>
    <w:p w:rsidR="000C59F4" w:rsidRDefault="00EB79F7" w:rsidP="001C0DF8">
      <w:pPr>
        <w:jc w:val="both"/>
      </w:pPr>
      <w:r>
        <w:t xml:space="preserve">New Zealand’s Performance </w:t>
      </w:r>
      <w:r w:rsidR="00863B43">
        <w:t>B</w:t>
      </w:r>
      <w:r>
        <w:t>ased Research fund was established in 2003.  In 2010</w:t>
      </w:r>
      <w:r w:rsidR="001F3AB6">
        <w:t>, universities received around $236 million</w:t>
      </w:r>
      <w:r>
        <w:t xml:space="preserve"> </w:t>
      </w:r>
      <w:r w:rsidR="001F3AB6">
        <w:t>from the Performance-Based Research Fund</w:t>
      </w:r>
      <w:r>
        <w:t xml:space="preserve">.  Sixty per cent of the fund is allocated on the basis </w:t>
      </w:r>
      <w:r w:rsidR="00CF43A1">
        <w:t xml:space="preserve">of </w:t>
      </w:r>
      <w:r>
        <w:t>research quality asse</w:t>
      </w:r>
      <w:r w:rsidR="00342DD7">
        <w:t>sse</w:t>
      </w:r>
      <w:r>
        <w:t xml:space="preserve">d </w:t>
      </w:r>
      <w:r w:rsidR="00342DD7">
        <w:t xml:space="preserve">using </w:t>
      </w:r>
      <w:r>
        <w:t>Evidence Portfolios submi</w:t>
      </w:r>
      <w:r w:rsidR="00631861">
        <w:t xml:space="preserve">tted by individual researchers.  </w:t>
      </w:r>
      <w:r w:rsidR="00CD2FF0">
        <w:t xml:space="preserve">These reviews are undertaken by expert panels that include overseas researchers.  </w:t>
      </w:r>
      <w:r w:rsidR="00A610CB">
        <w:t>In the 2006 evaluation, r</w:t>
      </w:r>
      <w:r w:rsidR="00342DD7">
        <w:t xml:space="preserve">esearchers </w:t>
      </w:r>
      <w:r w:rsidR="00A610CB">
        <w:t>we</w:t>
      </w:r>
      <w:r w:rsidR="00342DD7">
        <w:t xml:space="preserve">re able to </w:t>
      </w:r>
      <w:r w:rsidR="00631861">
        <w:t xml:space="preserve">list up to </w:t>
      </w:r>
      <w:r w:rsidR="00FC1345">
        <w:t>34</w:t>
      </w:r>
      <w:r w:rsidR="00631861">
        <w:t xml:space="preserve"> research outputs</w:t>
      </w:r>
      <w:r w:rsidR="00342DD7">
        <w:t xml:space="preserve"> in their Evidence Portfolios</w:t>
      </w:r>
      <w:r w:rsidR="00631861">
        <w:t>, with four self-nominated as most significant and discussed by the submitter</w:t>
      </w:r>
      <w:r w:rsidR="00631861">
        <w:rPr>
          <w:rStyle w:val="FootnoteReference"/>
        </w:rPr>
        <w:footnoteReference w:id="3"/>
      </w:r>
      <w:r w:rsidR="00631861">
        <w:t xml:space="preserve">.  </w:t>
      </w:r>
      <w:r w:rsidR="004B51E5">
        <w:t>Research outputs are defined broadly and include:</w:t>
      </w:r>
      <w:r w:rsidR="00342DD7">
        <w:t xml:space="preserve"> journal publications,</w:t>
      </w:r>
      <w:r w:rsidR="004B51E5">
        <w:t xml:space="preserve"> working papers, conference papers, books, book chapters and doctoral theses. </w:t>
      </w:r>
      <w:r w:rsidR="00631861">
        <w:t>Evidence Portfolios also include information relating to claims of Peer Esteem and Contributions to the Research Environment.  The expert panels that assess the portfolios pro</w:t>
      </w:r>
      <w:r w:rsidR="00CD2FF0">
        <w:t>duce</w:t>
      </w:r>
      <w:r w:rsidR="00631861">
        <w:t xml:space="preserve"> scores on Research Output (RO), Peer Esteem (PE) and Contributions to the Research Environment (CRE), each on an eight point scale (0 to 7).</w:t>
      </w:r>
      <w:r w:rsidR="00631861">
        <w:rPr>
          <w:rStyle w:val="FootnoteReference"/>
        </w:rPr>
        <w:footnoteReference w:id="4"/>
      </w:r>
      <w:r w:rsidR="000C59F4">
        <w:t xml:space="preserve">  These scores are combined to provide an overall score with a weight of 70% given to RO and 15</w:t>
      </w:r>
      <w:r w:rsidR="00247953">
        <w:t>%</w:t>
      </w:r>
      <w:r w:rsidR="000C59F4">
        <w:t xml:space="preserve"> to each </w:t>
      </w:r>
      <w:r w:rsidR="000C59F4">
        <w:lastRenderedPageBreak/>
        <w:t xml:space="preserve">of PE and CRE scores.  Using the resulting aggregated score </w:t>
      </w:r>
      <w:r w:rsidR="00FC1345">
        <w:t xml:space="preserve">as a guide </w:t>
      </w:r>
      <w:r w:rsidR="000C59F4">
        <w:t xml:space="preserve">each individual is assessed as being an A, B, C or R researcher.  Individuals are advised of their assessments and can obtain access to their RO, PE and CRE </w:t>
      </w:r>
      <w:r w:rsidR="00C56DF5">
        <w:t>scores</w:t>
      </w:r>
      <w:r w:rsidR="000C59F4">
        <w:t>.</w:t>
      </w:r>
      <w:r w:rsidR="00631861">
        <w:t xml:space="preserve"> </w:t>
      </w:r>
      <w:r w:rsidR="00314327">
        <w:t xml:space="preserve">  </w:t>
      </w:r>
      <w:r w:rsidR="00B16BBC">
        <w:t>PBRF a</w:t>
      </w:r>
      <w:r w:rsidR="00C82E04">
        <w:t xml:space="preserve">ssessments of research </w:t>
      </w:r>
      <w:r w:rsidR="00B16BBC">
        <w:t>are</w:t>
      </w:r>
      <w:r w:rsidR="00C82E04">
        <w:t xml:space="preserve"> </w:t>
      </w:r>
      <w:r w:rsidR="00D01B4E">
        <w:t xml:space="preserve">said to be </w:t>
      </w:r>
      <w:r w:rsidR="00B56B33">
        <w:t>‘</w:t>
      </w:r>
      <w:r w:rsidR="00C82E04">
        <w:t>….primarily about quality, not quantity.</w:t>
      </w:r>
      <w:r w:rsidR="00B56B33">
        <w:t>’</w:t>
      </w:r>
      <w:r w:rsidR="00C82E04">
        <w:rPr>
          <w:rStyle w:val="FootnoteReference"/>
        </w:rPr>
        <w:footnoteReference w:id="5"/>
      </w:r>
    </w:p>
    <w:p w:rsidR="000C59F4" w:rsidRDefault="000C59F4" w:rsidP="001C0DF8">
      <w:pPr>
        <w:jc w:val="both"/>
      </w:pPr>
      <w:r>
        <w:t xml:space="preserve">This paper considers results from the 2006 PBRF evaluations.  </w:t>
      </w:r>
      <w:r w:rsidR="004B51E5">
        <w:t>The staff census date for this round was the 14</w:t>
      </w:r>
      <w:r w:rsidR="004B51E5" w:rsidRPr="004B51E5">
        <w:rPr>
          <w:vertAlign w:val="superscript"/>
        </w:rPr>
        <w:t>th</w:t>
      </w:r>
      <w:r w:rsidR="004B51E5">
        <w:t xml:space="preserve"> of June 2006, and research output between the 1</w:t>
      </w:r>
      <w:r w:rsidR="004B51E5" w:rsidRPr="004B51E5">
        <w:rPr>
          <w:vertAlign w:val="superscript"/>
        </w:rPr>
        <w:t>st</w:t>
      </w:r>
      <w:r w:rsidR="004B51E5">
        <w:t xml:space="preserve"> of January 2000 and the 31</w:t>
      </w:r>
      <w:r w:rsidR="004B51E5" w:rsidRPr="004B51E5">
        <w:rPr>
          <w:vertAlign w:val="superscript"/>
        </w:rPr>
        <w:t>st</w:t>
      </w:r>
      <w:r w:rsidR="004B51E5">
        <w:t xml:space="preserve"> of December</w:t>
      </w:r>
      <w:r w:rsidR="00247953">
        <w:t xml:space="preserve"> 2005</w:t>
      </w:r>
      <w:r w:rsidR="004B51E5">
        <w:t xml:space="preserve"> could be submitted</w:t>
      </w:r>
      <w:r w:rsidR="00C56DF5">
        <w:t xml:space="preserve"> in Evidence Portfolios</w:t>
      </w:r>
      <w:r w:rsidR="004B51E5">
        <w:t xml:space="preserve">.  </w:t>
      </w:r>
      <w:r>
        <w:t>The 2006 round was a partial round where staff who also participated in the 2003 evaluation had the option of submitting a new evidence portfolio</w:t>
      </w:r>
      <w:r w:rsidR="00C9415C">
        <w:t xml:space="preserve"> (31 percent chose this)</w:t>
      </w:r>
      <w:r>
        <w:t xml:space="preserve"> or carrying over the results from 2003</w:t>
      </w:r>
      <w:r w:rsidR="00C9415C">
        <w:t xml:space="preserve"> (around 35 percent chose this option).  </w:t>
      </w:r>
      <w:r w:rsidR="00404652">
        <w:t xml:space="preserve">The remaining staff submitted portfolios for the first time.  In the 2006 </w:t>
      </w:r>
      <w:r w:rsidR="00C56F52">
        <w:t xml:space="preserve">PBRF </w:t>
      </w:r>
      <w:r w:rsidR="00404652">
        <w:t>evaluation</w:t>
      </w:r>
      <w:r w:rsidR="00C56F52">
        <w:t xml:space="preserve">, </w:t>
      </w:r>
      <w:r w:rsidR="00404652">
        <w:t xml:space="preserve">two </w:t>
      </w:r>
      <w:r w:rsidR="00C56F52">
        <w:t xml:space="preserve">additional </w:t>
      </w:r>
      <w:r w:rsidR="00404652">
        <w:t xml:space="preserve">categories (C(NE) and R(NE)) were introduced for new and emerging staff.  Portfolios for new and emerging staff were assessed against different criteria.  </w:t>
      </w:r>
      <w:r w:rsidR="00B16BBC">
        <w:t>T</w:t>
      </w:r>
      <w:r w:rsidR="00404652">
        <w:t>his paper concentrates on RO scores for economists submitting new portfolios in 2006 who were not new and emerging scholars</w:t>
      </w:r>
      <w:r w:rsidR="00C56DF5">
        <w:t xml:space="preserve"> and had published journal based research during the period</w:t>
      </w:r>
      <w:r w:rsidR="00404652">
        <w:t xml:space="preserve">, although some results are provided for </w:t>
      </w:r>
      <w:r w:rsidR="00925949">
        <w:t xml:space="preserve">all matching economists and </w:t>
      </w:r>
      <w:r w:rsidR="00B16BBC">
        <w:t>those carrying over portfolios from the 2003 evaluations</w:t>
      </w:r>
      <w:r w:rsidR="00404652">
        <w:t>.</w:t>
      </w:r>
      <w:r w:rsidR="00404652">
        <w:rPr>
          <w:rStyle w:val="FootnoteReference"/>
        </w:rPr>
        <w:footnoteReference w:id="6"/>
      </w:r>
    </w:p>
    <w:p w:rsidR="004D6FA2" w:rsidRDefault="004D6FA2" w:rsidP="001C0DF8">
      <w:pPr>
        <w:jc w:val="both"/>
      </w:pPr>
      <w:r>
        <w:t>The evaluation of the research output of New Zealand economists using journal weighting schemes is based on a dataset that includes the journal publications of all economists in New Zealand economics departments as at the 15</w:t>
      </w:r>
      <w:r w:rsidRPr="004D6FA2">
        <w:rPr>
          <w:vertAlign w:val="superscript"/>
        </w:rPr>
        <w:t>th</w:t>
      </w:r>
      <w:r>
        <w:t xml:space="preserve"> of April 2007.  </w:t>
      </w:r>
      <w:r w:rsidR="008847FC">
        <w:t>For this group of economists</w:t>
      </w:r>
      <w:r w:rsidR="00C56F52">
        <w:t>,</w:t>
      </w:r>
      <w:r w:rsidR="008847FC">
        <w:t xml:space="preserve"> a</w:t>
      </w:r>
      <w:r>
        <w:t>ll publications between the 1</w:t>
      </w:r>
      <w:r w:rsidRPr="004D6FA2">
        <w:rPr>
          <w:vertAlign w:val="superscript"/>
        </w:rPr>
        <w:t>st</w:t>
      </w:r>
      <w:r>
        <w:t xml:space="preserve"> of January 2000 and the 31</w:t>
      </w:r>
      <w:r w:rsidRPr="004D6FA2">
        <w:rPr>
          <w:vertAlign w:val="superscript"/>
        </w:rPr>
        <w:t>st</w:t>
      </w:r>
      <w:r>
        <w:t xml:space="preserve"> of December 2005 in </w:t>
      </w:r>
      <w:proofErr w:type="spellStart"/>
      <w:r w:rsidR="009B1C58">
        <w:t>Econlit</w:t>
      </w:r>
      <w:proofErr w:type="spellEnd"/>
      <w:r>
        <w:t xml:space="preserve"> journals as at the 15</w:t>
      </w:r>
      <w:r w:rsidRPr="004D6FA2">
        <w:rPr>
          <w:vertAlign w:val="superscript"/>
        </w:rPr>
        <w:t>th</w:t>
      </w:r>
      <w:r>
        <w:t xml:space="preserve"> of April 2007 are included.  In total</w:t>
      </w:r>
      <w:r w:rsidR="008E73C7">
        <w:t>,</w:t>
      </w:r>
      <w:r>
        <w:t xml:space="preserve"> 103 academic staff published at least one </w:t>
      </w:r>
      <w:proofErr w:type="spellStart"/>
      <w:r w:rsidR="009B1C58">
        <w:t>Econlit</w:t>
      </w:r>
      <w:proofErr w:type="spellEnd"/>
      <w:r>
        <w:t xml:space="preserve"> journal paper over the 2006 PBRF period.  Of the 103, 9</w:t>
      </w:r>
      <w:r w:rsidR="00A610CB">
        <w:t>8</w:t>
      </w:r>
      <w:r>
        <w:t xml:space="preserve"> could be matched to PBRF data.  Of the 9</w:t>
      </w:r>
      <w:r w:rsidR="00A610CB">
        <w:t>8</w:t>
      </w:r>
      <w:r>
        <w:t>, 6</w:t>
      </w:r>
      <w:r w:rsidR="00A610CB">
        <w:t>5</w:t>
      </w:r>
      <w:r>
        <w:t xml:space="preserve"> submitted new portfolios in 2006 and 33 carried over evaluation score</w:t>
      </w:r>
      <w:r w:rsidR="00314327">
        <w:t>s from 2003.  Of the 6</w:t>
      </w:r>
      <w:r w:rsidR="00A610CB">
        <w:t>5</w:t>
      </w:r>
      <w:r w:rsidR="00314327">
        <w:t xml:space="preserve"> who submitted new portfolios</w:t>
      </w:r>
      <w:r w:rsidR="008E73C7">
        <w:t>,</w:t>
      </w:r>
      <w:r w:rsidR="00314327">
        <w:t xml:space="preserve"> 10 were new and emerging scholars.</w:t>
      </w:r>
      <w:r w:rsidR="00C82E04">
        <w:rPr>
          <w:rStyle w:val="FootnoteReference"/>
        </w:rPr>
        <w:footnoteReference w:id="7"/>
      </w:r>
      <w:r>
        <w:t xml:space="preserve"> </w:t>
      </w:r>
    </w:p>
    <w:p w:rsidR="00C82E04" w:rsidRDefault="00C82E04" w:rsidP="001C0DF8">
      <w:pPr>
        <w:jc w:val="both"/>
      </w:pPr>
      <w:r>
        <w:t xml:space="preserve">We follow prevailing practice by allocating author shares on multiple authored papers by utilizing the 1/n rule, where n is the number of authors, although we also consider varying this rule.  Once again we follow convention and adopt the </w:t>
      </w:r>
      <w:r w:rsidR="00B56B33">
        <w:t>‘</w:t>
      </w:r>
      <w:r>
        <w:t>weighted page</w:t>
      </w:r>
      <w:r w:rsidR="00B56B33">
        <w:t>’</w:t>
      </w:r>
      <w:r>
        <w:t xml:space="preserve"> as our unit of output, with adjustments to allow for page size differentials between journals.  The average size of an American Economic Review page is used as a reference point and given a value of 1.</w:t>
      </w:r>
      <w:r>
        <w:rPr>
          <w:rStyle w:val="FootnoteReference"/>
        </w:rPr>
        <w:footnoteReference w:id="8"/>
      </w:r>
    </w:p>
    <w:p w:rsidR="00647BA8" w:rsidRDefault="009E465E" w:rsidP="001C0DF8">
      <w:pPr>
        <w:jc w:val="both"/>
      </w:pPr>
      <w:r>
        <w:t>There are a large number of journal-based weighting schemes used by economists in research evaluations.  These weighting schemes differ in three key ways: the ran</w:t>
      </w:r>
      <w:r w:rsidR="008847FC">
        <w:t xml:space="preserve">king of the journals evaluated, </w:t>
      </w:r>
      <w:r w:rsidR="009A5503">
        <w:t xml:space="preserve">the range or </w:t>
      </w:r>
      <w:r w:rsidR="008847FC">
        <w:t>comprehensive</w:t>
      </w:r>
      <w:r w:rsidR="009A5503">
        <w:t xml:space="preserve"> of</w:t>
      </w:r>
      <w:r w:rsidR="008847FC">
        <w:t xml:space="preserve"> the evaluations as indicated by </w:t>
      </w:r>
      <w:r>
        <w:t xml:space="preserve">the number of non-zero weights </w:t>
      </w:r>
      <w:r w:rsidR="00C56DF5">
        <w:lastRenderedPageBreak/>
        <w:t xml:space="preserve">given </w:t>
      </w:r>
      <w:r>
        <w:t xml:space="preserve"> and the </w:t>
      </w:r>
      <w:r w:rsidR="00B56B33">
        <w:t>‘</w:t>
      </w:r>
      <w:r w:rsidR="008847FC">
        <w:t>aggressiveness</w:t>
      </w:r>
      <w:r w:rsidR="00B56B33">
        <w:t>’</w:t>
      </w:r>
      <w:r>
        <w:t xml:space="preserve"> of the non-zero weights allocated, i.e. the difference</w:t>
      </w:r>
      <w:r w:rsidR="008847FC">
        <w:t>s</w:t>
      </w:r>
      <w:r>
        <w:t xml:space="preserve"> between the weights given to highly ranked and relatively low ranked journals.</w:t>
      </w:r>
      <w:r w:rsidR="009D4FDB">
        <w:t xml:space="preserve">  </w:t>
      </w:r>
    </w:p>
    <w:p w:rsidR="00C56DF5" w:rsidRDefault="009D4FDB" w:rsidP="002C3EC8">
      <w:pPr>
        <w:jc w:val="both"/>
      </w:pPr>
      <w:r>
        <w:t xml:space="preserve">Table </w:t>
      </w:r>
      <w:r w:rsidR="008E73C7">
        <w:t>1</w:t>
      </w:r>
      <w:r>
        <w:t xml:space="preserve"> describes some of the characteristics of the</w:t>
      </w:r>
      <w:r w:rsidR="000D7322">
        <w:t xml:space="preserve"> journal </w:t>
      </w:r>
      <w:r w:rsidR="002E2859">
        <w:t xml:space="preserve">weighting </w:t>
      </w:r>
      <w:r>
        <w:t xml:space="preserve">schemes </w:t>
      </w:r>
      <w:r w:rsidR="000D7322">
        <w:t xml:space="preserve">that </w:t>
      </w:r>
      <w:r w:rsidR="00647BA8">
        <w:t>w</w:t>
      </w:r>
      <w:r w:rsidR="008847FC">
        <w:t>ill</w:t>
      </w:r>
      <w:r w:rsidR="00647BA8">
        <w:t xml:space="preserve"> be referred to in this </w:t>
      </w:r>
      <w:r w:rsidR="000D7322">
        <w:t xml:space="preserve">paper.  To represent the overall characteristics of these schemes </w:t>
      </w:r>
      <w:r>
        <w:t>as applied to publications of New Zealand economists between 2000 and 2005</w:t>
      </w:r>
      <w:r w:rsidR="00D01B4E">
        <w:t>,</w:t>
      </w:r>
      <w:r w:rsidR="000D7322">
        <w:t xml:space="preserve"> </w:t>
      </w:r>
      <w:r>
        <w:t>we show the percentage of publications that would receive a non-zero weight</w:t>
      </w:r>
      <w:r w:rsidR="008847FC">
        <w:t xml:space="preserve"> (</w:t>
      </w:r>
      <w:r w:rsidR="009A5503">
        <w:t>range</w:t>
      </w:r>
      <w:r w:rsidR="008847FC">
        <w:t>)</w:t>
      </w:r>
      <w:r w:rsidR="008E73C7">
        <w:t>,</w:t>
      </w:r>
      <w:r w:rsidR="008847FC">
        <w:t xml:space="preserve"> </w:t>
      </w:r>
      <w:r>
        <w:t>and the percentage weight received by the 30</w:t>
      </w:r>
      <w:r w:rsidRPr="009D4FDB">
        <w:rPr>
          <w:vertAlign w:val="superscript"/>
        </w:rPr>
        <w:t>th</w:t>
      </w:r>
      <w:r>
        <w:t xml:space="preserve"> ranked publication compared with the highest ranked publication</w:t>
      </w:r>
      <w:r w:rsidR="008847FC">
        <w:t xml:space="preserve"> (as an indicator of aggressiveness)</w:t>
      </w:r>
      <w:r>
        <w:t xml:space="preserve">.  </w:t>
      </w:r>
      <w:r w:rsidR="008847FC">
        <w:t xml:space="preserve">To provide an example of the </w:t>
      </w:r>
      <w:r w:rsidR="00D01B4E">
        <w:t xml:space="preserve">differences between weighting schemes </w:t>
      </w:r>
      <w:r w:rsidR="008847FC">
        <w:t xml:space="preserve">we show </w:t>
      </w:r>
      <w:r>
        <w:t xml:space="preserve">the number of standardised pages in the </w:t>
      </w:r>
      <w:r w:rsidR="000D7322" w:rsidRPr="000D7322">
        <w:rPr>
          <w:i/>
          <w:iCs/>
        </w:rPr>
        <w:t>Economic Record</w:t>
      </w:r>
      <w:r w:rsidR="000D7322">
        <w:t xml:space="preserve"> </w:t>
      </w:r>
      <w:r>
        <w:t xml:space="preserve">that would receive the same weight as a page in the </w:t>
      </w:r>
      <w:r w:rsidRPr="009D4FDB">
        <w:rPr>
          <w:i/>
          <w:iCs/>
        </w:rPr>
        <w:t>American Economic Review</w:t>
      </w:r>
      <w:r>
        <w:t>.</w:t>
      </w:r>
      <w:r>
        <w:rPr>
          <w:rStyle w:val="FootnoteReference"/>
        </w:rPr>
        <w:footnoteReference w:id="9"/>
      </w:r>
      <w:r>
        <w:t xml:space="preserve">  </w:t>
      </w:r>
      <w:r w:rsidR="00665B4F">
        <w:t xml:space="preserve">The </w:t>
      </w:r>
      <w:proofErr w:type="spellStart"/>
      <w:r w:rsidR="00665B4F">
        <w:t>Gini</w:t>
      </w:r>
      <w:proofErr w:type="spellEnd"/>
      <w:r w:rsidR="00665B4F">
        <w:t xml:space="preserve"> Coefficient </w:t>
      </w:r>
      <w:r w:rsidR="008847FC">
        <w:t xml:space="preserve">is widely used as a </w:t>
      </w:r>
      <w:r w:rsidR="00665B4F">
        <w:t xml:space="preserve">measure of inequality.  Here we </w:t>
      </w:r>
      <w:r w:rsidR="0025635E">
        <w:t xml:space="preserve">employ </w:t>
      </w:r>
      <w:r w:rsidR="00665B4F">
        <w:t xml:space="preserve">it using the weights applied to </w:t>
      </w:r>
      <w:r w:rsidR="008847FC">
        <w:t xml:space="preserve">journals </w:t>
      </w:r>
      <w:r w:rsidR="00665B4F">
        <w:t xml:space="preserve">in which New Zealand economists published over the review period.  We use it to provide an index of the </w:t>
      </w:r>
      <w:r w:rsidR="00B56B33">
        <w:t>‘</w:t>
      </w:r>
      <w:r w:rsidR="00665B4F">
        <w:t>power</w:t>
      </w:r>
      <w:r w:rsidR="00B56B33">
        <w:t>’</w:t>
      </w:r>
      <w:r w:rsidR="00665B4F">
        <w:t xml:space="preserve"> of each weighting scheme, i.e. the degree of inequality in the weights given to different journals.  It is important to note that the inequality or </w:t>
      </w:r>
      <w:r w:rsidR="00B56B33">
        <w:t>‘</w:t>
      </w:r>
      <w:r w:rsidR="00665B4F">
        <w:t>power</w:t>
      </w:r>
      <w:r w:rsidR="00B56B33">
        <w:t>’</w:t>
      </w:r>
      <w:r w:rsidR="00665B4F">
        <w:t xml:space="preserve"> of a weighting scheme can derive from inequality in the weights applied to the journals actually evaluated</w:t>
      </w:r>
      <w:r w:rsidR="008847FC">
        <w:t xml:space="preserve"> (aggressiveness)</w:t>
      </w:r>
      <w:r w:rsidR="00665B4F">
        <w:t xml:space="preserve"> or the number of journals that receive no evaluation or a zero weight</w:t>
      </w:r>
      <w:r w:rsidR="008847FC">
        <w:t xml:space="preserve"> (</w:t>
      </w:r>
      <w:r w:rsidR="009A5503">
        <w:t>range</w:t>
      </w:r>
      <w:r w:rsidR="008847FC">
        <w:t>)</w:t>
      </w:r>
      <w:r w:rsidR="00665B4F">
        <w:t xml:space="preserve">.    </w:t>
      </w:r>
      <w:r w:rsidR="000D7322">
        <w:t>Further discussion of the weighting schemes used here can be found in Anderson and Tressler (200</w:t>
      </w:r>
      <w:r w:rsidR="008E73C7">
        <w:t>8</w:t>
      </w:r>
      <w:r w:rsidR="000D7322">
        <w:t xml:space="preserve"> and 2011).</w:t>
      </w:r>
      <w:r w:rsidR="00647BA8">
        <w:t xml:space="preserve">  </w:t>
      </w:r>
    </w:p>
    <w:p w:rsidR="002C3EC8" w:rsidRDefault="00C56DF5" w:rsidP="002C3EC8">
      <w:pPr>
        <w:jc w:val="both"/>
      </w:pPr>
      <w:r>
        <w:t xml:space="preserve">Across the journal weighting schemes outlined in Table </w:t>
      </w:r>
      <w:r w:rsidR="008E73C7">
        <w:t>1</w:t>
      </w:r>
      <w:r>
        <w:t xml:space="preserve"> </w:t>
      </w:r>
      <w:r w:rsidR="008E73C7">
        <w:t xml:space="preserve">notice </w:t>
      </w:r>
      <w:r w:rsidR="00647BA8">
        <w:t>that the commonly used journal weighting schemes</w:t>
      </w:r>
      <w:r w:rsidR="008E73C7">
        <w:t>,</w:t>
      </w:r>
      <w:r w:rsidR="00647BA8">
        <w:t xml:space="preserve"> based on citation counts adjusted for the impact of the journals in which the citations occur</w:t>
      </w:r>
      <w:r w:rsidR="008E73C7">
        <w:t>,</w:t>
      </w:r>
      <w:r w:rsidR="00647BA8">
        <w:t xml:space="preserve"> are </w:t>
      </w:r>
      <w:r w:rsidR="008847FC">
        <w:t>high-powered</w:t>
      </w:r>
      <w:r w:rsidR="00647BA8">
        <w:t xml:space="preserve">, both in their </w:t>
      </w:r>
      <w:r w:rsidR="008847FC">
        <w:t xml:space="preserve">relatively narrow </w:t>
      </w:r>
      <w:r w:rsidR="009A5503">
        <w:t>range</w:t>
      </w:r>
      <w:r w:rsidR="00647BA8">
        <w:t xml:space="preserve"> and the weight assigned to highly ranked journals relative to lower ranked journals.  In contrast</w:t>
      </w:r>
      <w:r w:rsidR="008E73C7">
        <w:t>,</w:t>
      </w:r>
      <w:r w:rsidR="00647BA8">
        <w:t xml:space="preserve"> journal weighting schemes based on the perceptions of economists </w:t>
      </w:r>
      <w:r w:rsidR="008847FC">
        <w:t xml:space="preserve">tend to be </w:t>
      </w:r>
      <w:r w:rsidR="00647BA8">
        <w:t xml:space="preserve">less </w:t>
      </w:r>
      <w:r w:rsidR="008847FC">
        <w:t>a</w:t>
      </w:r>
      <w:r w:rsidR="001852B9">
        <w:t>g</w:t>
      </w:r>
      <w:r w:rsidR="008847FC">
        <w:t>gressive</w:t>
      </w:r>
      <w:r w:rsidR="00647BA8">
        <w:t xml:space="preserve"> in the weights applied, but have various degrees of coverage.</w:t>
      </w:r>
      <w:r w:rsidR="00665B4F">
        <w:t xml:space="preserve">  To provide a benchmark we also include Equal as a weighting scheme, i.e. equal weights to all publications, or an index of quantity.</w:t>
      </w:r>
    </w:p>
    <w:p w:rsidR="009D4FDB" w:rsidRDefault="0025635E" w:rsidP="00CD089F">
      <w:pPr>
        <w:jc w:val="both"/>
      </w:pPr>
      <w:r>
        <w:t xml:space="preserve">Later in this paper </w:t>
      </w:r>
      <w:r w:rsidR="000D7322">
        <w:t xml:space="preserve">we </w:t>
      </w:r>
      <w:r w:rsidR="001852B9">
        <w:t>consider</w:t>
      </w:r>
      <w:r w:rsidR="008E73C7">
        <w:t>,</w:t>
      </w:r>
      <w:r w:rsidR="001852B9">
        <w:t xml:space="preserve"> in more detail</w:t>
      </w:r>
      <w:r w:rsidR="008E73C7">
        <w:t>,</w:t>
      </w:r>
      <w:r w:rsidR="001852B9">
        <w:t xml:space="preserve"> </w:t>
      </w:r>
      <w:r w:rsidR="000D7322">
        <w:t>six weighting schemes that are representative of the range of schemes considered in the literature or of particular interest to economists in Australasia.</w:t>
      </w:r>
      <w:r w:rsidR="00647BA8">
        <w:t xml:space="preserve">  </w:t>
      </w:r>
      <w:r w:rsidR="000D7322">
        <w:t xml:space="preserve"> </w:t>
      </w:r>
      <w:r w:rsidR="009D4FDB">
        <w:t>LP</w:t>
      </w:r>
      <w:r w:rsidR="00AF53AE">
        <w:t xml:space="preserve">94 is the </w:t>
      </w:r>
      <w:r w:rsidR="002E2859">
        <w:t xml:space="preserve">weighting </w:t>
      </w:r>
      <w:r w:rsidR="00AF53AE">
        <w:t xml:space="preserve">scheme developed by </w:t>
      </w:r>
      <w:proofErr w:type="spellStart"/>
      <w:r w:rsidR="00AF53AE">
        <w:t>Laband</w:t>
      </w:r>
      <w:proofErr w:type="spellEnd"/>
      <w:r w:rsidR="00AF53AE">
        <w:t xml:space="preserve"> and </w:t>
      </w:r>
      <w:proofErr w:type="spellStart"/>
      <w:r w:rsidR="00AF53AE">
        <w:t>Piette</w:t>
      </w:r>
      <w:proofErr w:type="spellEnd"/>
      <w:r w:rsidR="00AF53AE">
        <w:t xml:space="preserve"> (1994) which updated the pioneering work on journal weighting scheme</w:t>
      </w:r>
      <w:r w:rsidR="00D866E2">
        <w:t>s</w:t>
      </w:r>
      <w:r w:rsidR="00AF53AE">
        <w:t xml:space="preserve"> of </w:t>
      </w:r>
      <w:proofErr w:type="spellStart"/>
      <w:r w:rsidR="00AF53AE">
        <w:t>Liebowitz</w:t>
      </w:r>
      <w:proofErr w:type="spellEnd"/>
      <w:r w:rsidR="00AF53AE">
        <w:t xml:space="preserve"> and Palmer (1984).  The journal weights are derived from citations weighted by the impact factor of the journal in which the citations occurs using an iterative process.  This weighting scheme is sometimes referred to as the </w:t>
      </w:r>
      <w:r w:rsidR="00B56B33">
        <w:t>‘</w:t>
      </w:r>
      <w:r w:rsidR="00AF53AE">
        <w:t>industry standard</w:t>
      </w:r>
      <w:r w:rsidR="00B56B33">
        <w:t>’</w:t>
      </w:r>
      <w:r w:rsidR="00AF53AE">
        <w:t xml:space="preserve"> or </w:t>
      </w:r>
      <w:r w:rsidR="00B56B33">
        <w:t>‘</w:t>
      </w:r>
      <w:r w:rsidR="00AF53AE">
        <w:t>gold standard</w:t>
      </w:r>
      <w:r w:rsidR="00B56B33">
        <w:t>’</w:t>
      </w:r>
      <w:r w:rsidR="00AF53AE">
        <w:t xml:space="preserve">.  It is a highly aggressive </w:t>
      </w:r>
      <w:r w:rsidR="00D866E2">
        <w:t xml:space="preserve">and narrow scheme.  </w:t>
      </w:r>
      <w:r w:rsidR="008E73C7">
        <w:t>For example, a</w:t>
      </w:r>
      <w:r w:rsidR="00AF53AE">
        <w:t xml:space="preserve"> pa</w:t>
      </w:r>
      <w:r w:rsidR="001852B9">
        <w:t xml:space="preserve">ge in the </w:t>
      </w:r>
      <w:r w:rsidR="001852B9">
        <w:rPr>
          <w:i/>
          <w:iCs/>
        </w:rPr>
        <w:t xml:space="preserve">American Economic Review </w:t>
      </w:r>
      <w:r w:rsidR="001852B9">
        <w:t>receiv</w:t>
      </w:r>
      <w:r w:rsidR="008E73C7">
        <w:t>es</w:t>
      </w:r>
      <w:r w:rsidR="001852B9">
        <w:t xml:space="preserve"> the same weight as 402 pages in </w:t>
      </w:r>
      <w:r w:rsidR="00AF53AE">
        <w:t xml:space="preserve">the </w:t>
      </w:r>
      <w:r w:rsidR="00AF53AE" w:rsidRPr="00AF53AE">
        <w:rPr>
          <w:i/>
          <w:iCs/>
        </w:rPr>
        <w:t>Economic Record</w:t>
      </w:r>
      <w:r w:rsidR="00D866E2">
        <w:rPr>
          <w:i/>
          <w:iCs/>
        </w:rPr>
        <w:t xml:space="preserve">  </w:t>
      </w:r>
      <w:r w:rsidR="00D866E2">
        <w:t>and only 33.5% of publications by New Zealand economists between 2000 and 2005 receiv</w:t>
      </w:r>
      <w:r w:rsidR="008E73C7">
        <w:t>e</w:t>
      </w:r>
      <w:r w:rsidR="00D866E2">
        <w:t xml:space="preserve"> a non-zero weight</w:t>
      </w:r>
      <w:r w:rsidR="00AF53AE">
        <w:t>.</w:t>
      </w:r>
      <w:r w:rsidR="00665B4F">
        <w:t xml:space="preserve">  The </w:t>
      </w:r>
      <w:proofErr w:type="spellStart"/>
      <w:r w:rsidR="00665B4F">
        <w:t>Gini</w:t>
      </w:r>
      <w:proofErr w:type="spellEnd"/>
      <w:r w:rsidR="00665B4F">
        <w:t xml:space="preserve"> Coefficient</w:t>
      </w:r>
      <w:r w:rsidR="001852B9">
        <w:t xml:space="preserve"> </w:t>
      </w:r>
      <w:r w:rsidR="008E73C7">
        <w:t xml:space="preserve">for LP94 is </w:t>
      </w:r>
      <w:r w:rsidR="001852B9">
        <w:t>0.93</w:t>
      </w:r>
      <w:r w:rsidR="008E73C7">
        <w:t>,</w:t>
      </w:r>
      <w:r w:rsidR="00665B4F">
        <w:t xml:space="preserve"> </w:t>
      </w:r>
      <w:r w:rsidR="00CD089F">
        <w:t xml:space="preserve">it </w:t>
      </w:r>
      <w:r w:rsidR="00665B4F">
        <w:t>is the highest of all the weighting schemes considered.</w:t>
      </w:r>
    </w:p>
    <w:p w:rsidR="00AF53AE" w:rsidRDefault="00AF53AE" w:rsidP="001C0DF8">
      <w:pPr>
        <w:jc w:val="both"/>
      </w:pPr>
      <w:r>
        <w:t xml:space="preserve">KMS2010 is the </w:t>
      </w:r>
      <w:r w:rsidR="002E2859">
        <w:t>weighting</w:t>
      </w:r>
      <w:r>
        <w:t xml:space="preserve"> scheme published by </w:t>
      </w:r>
      <w:proofErr w:type="spellStart"/>
      <w:r>
        <w:t>Kalaitzidakis</w:t>
      </w:r>
      <w:proofErr w:type="spellEnd"/>
      <w:r>
        <w:t xml:space="preserve">, </w:t>
      </w:r>
      <w:proofErr w:type="spellStart"/>
      <w:r>
        <w:t>Manuneous</w:t>
      </w:r>
      <w:proofErr w:type="spellEnd"/>
      <w:r>
        <w:t xml:space="preserve"> and </w:t>
      </w:r>
      <w:proofErr w:type="spellStart"/>
      <w:r>
        <w:t>Stengos</w:t>
      </w:r>
      <w:proofErr w:type="spellEnd"/>
      <w:r>
        <w:t xml:space="preserve"> (2010) which updates their earlier 2003 weights.  Like the </w:t>
      </w:r>
      <w:proofErr w:type="spellStart"/>
      <w:r>
        <w:t>Laband</w:t>
      </w:r>
      <w:proofErr w:type="spellEnd"/>
      <w:r>
        <w:t xml:space="preserve"> and </w:t>
      </w:r>
      <w:proofErr w:type="spellStart"/>
      <w:r>
        <w:t>Piette</w:t>
      </w:r>
      <w:proofErr w:type="spellEnd"/>
      <w:r>
        <w:t xml:space="preserve"> weights, these are based on impact factor adjusted citations, but cover a much broader and </w:t>
      </w:r>
      <w:r w:rsidR="001852B9">
        <w:t xml:space="preserve">more </w:t>
      </w:r>
      <w:r>
        <w:t xml:space="preserve">recent list of journals.  Under this scheme 59% of the papers published by New Zealand economists between 2000 and 2005 receive a non-zero weight </w:t>
      </w:r>
      <w:r w:rsidR="002E2859">
        <w:t xml:space="preserve">and 80 </w:t>
      </w:r>
      <w:r w:rsidR="002E2859" w:rsidRPr="002E2859">
        <w:rPr>
          <w:i/>
          <w:iCs/>
        </w:rPr>
        <w:t>Economic Record</w:t>
      </w:r>
      <w:r w:rsidR="002E2859">
        <w:t xml:space="preserve"> pages equate to an </w:t>
      </w:r>
      <w:r w:rsidR="002E2859" w:rsidRPr="002E2859">
        <w:rPr>
          <w:i/>
          <w:iCs/>
        </w:rPr>
        <w:t>American Economic Review</w:t>
      </w:r>
      <w:r w:rsidR="002E2859">
        <w:t xml:space="preserve"> page.</w:t>
      </w:r>
      <w:r w:rsidR="00665B4F">
        <w:t xml:space="preserve">   The </w:t>
      </w:r>
      <w:proofErr w:type="spellStart"/>
      <w:r w:rsidR="00665B4F">
        <w:t>Gini</w:t>
      </w:r>
      <w:proofErr w:type="spellEnd"/>
      <w:r w:rsidR="00665B4F">
        <w:t xml:space="preserve"> Coefficient remains high at 0.86</w:t>
      </w:r>
      <w:r w:rsidR="00D866E2">
        <w:t>,</w:t>
      </w:r>
      <w:r w:rsidR="00665B4F">
        <w:t xml:space="preserve"> </w:t>
      </w:r>
      <w:r w:rsidR="008E73C7">
        <w:t xml:space="preserve">despite </w:t>
      </w:r>
      <w:r w:rsidR="00665B4F">
        <w:t>the relatively wide coverage of this scheme.</w:t>
      </w:r>
    </w:p>
    <w:tbl>
      <w:tblPr>
        <w:tblStyle w:val="TableGrid"/>
        <w:tblW w:w="0" w:type="auto"/>
        <w:tblLook w:val="04A0"/>
      </w:tblPr>
      <w:tblGrid>
        <w:gridCol w:w="1810"/>
        <w:gridCol w:w="746"/>
        <w:gridCol w:w="1328"/>
        <w:gridCol w:w="1429"/>
        <w:gridCol w:w="1429"/>
        <w:gridCol w:w="1245"/>
        <w:gridCol w:w="1255"/>
      </w:tblGrid>
      <w:tr w:rsidR="006A19F7" w:rsidTr="00181BD0">
        <w:tc>
          <w:tcPr>
            <w:tcW w:w="9242" w:type="dxa"/>
            <w:gridSpan w:val="7"/>
            <w:tcBorders>
              <w:top w:val="nil"/>
              <w:left w:val="nil"/>
              <w:bottom w:val="single" w:sz="4" w:space="0" w:color="auto"/>
              <w:right w:val="nil"/>
            </w:tcBorders>
          </w:tcPr>
          <w:p w:rsidR="006A19F7" w:rsidRDefault="006A19F7" w:rsidP="006C5D17">
            <w:pPr>
              <w:jc w:val="center"/>
              <w:rPr>
                <w:b/>
                <w:bCs/>
              </w:rPr>
            </w:pPr>
            <w:r w:rsidRPr="002C3EC8">
              <w:rPr>
                <w:i/>
                <w:iCs/>
              </w:rPr>
              <w:lastRenderedPageBreak/>
              <w:t xml:space="preserve">Table </w:t>
            </w:r>
            <w:r w:rsidR="006C5D17">
              <w:rPr>
                <w:i/>
                <w:iCs/>
              </w:rPr>
              <w:t>1</w:t>
            </w:r>
            <w:r>
              <w:rPr>
                <w:i/>
                <w:iCs/>
              </w:rPr>
              <w:t xml:space="preserve">     </w:t>
            </w:r>
            <w:r w:rsidRPr="002C3EC8">
              <w:rPr>
                <w:i/>
                <w:iCs/>
              </w:rPr>
              <w:t xml:space="preserve"> Summary of Journal Weighting Schemes</w:t>
            </w:r>
          </w:p>
        </w:tc>
      </w:tr>
      <w:tr w:rsidR="006A19F7" w:rsidRPr="002C3EC8" w:rsidTr="00181BD0">
        <w:tc>
          <w:tcPr>
            <w:tcW w:w="1810" w:type="dxa"/>
            <w:tcBorders>
              <w:left w:val="nil"/>
              <w:bottom w:val="single" w:sz="4" w:space="0" w:color="auto"/>
              <w:right w:val="nil"/>
            </w:tcBorders>
          </w:tcPr>
          <w:p w:rsidR="006A19F7" w:rsidRPr="002C3EC8" w:rsidRDefault="006A19F7" w:rsidP="00181BD0">
            <w:pPr>
              <w:jc w:val="center"/>
            </w:pPr>
            <w:r w:rsidRPr="002C3EC8">
              <w:t>Weighting Scheme</w:t>
            </w:r>
          </w:p>
        </w:tc>
        <w:tc>
          <w:tcPr>
            <w:tcW w:w="746" w:type="dxa"/>
            <w:tcBorders>
              <w:left w:val="nil"/>
              <w:bottom w:val="single" w:sz="4" w:space="0" w:color="auto"/>
              <w:right w:val="nil"/>
            </w:tcBorders>
          </w:tcPr>
          <w:p w:rsidR="006A19F7" w:rsidRPr="002C3EC8" w:rsidRDefault="006A19F7" w:rsidP="00181BD0">
            <w:pPr>
              <w:jc w:val="center"/>
            </w:pPr>
            <w:r w:rsidRPr="002C3EC8">
              <w:t>Date</w:t>
            </w:r>
          </w:p>
        </w:tc>
        <w:tc>
          <w:tcPr>
            <w:tcW w:w="1328" w:type="dxa"/>
            <w:tcBorders>
              <w:left w:val="nil"/>
              <w:bottom w:val="single" w:sz="4" w:space="0" w:color="auto"/>
              <w:right w:val="nil"/>
            </w:tcBorders>
          </w:tcPr>
          <w:p w:rsidR="006A19F7" w:rsidRPr="002C3EC8" w:rsidRDefault="006A19F7" w:rsidP="00181BD0">
            <w:pPr>
              <w:jc w:val="center"/>
            </w:pPr>
            <w:r w:rsidRPr="002C3EC8">
              <w:t>Method</w:t>
            </w:r>
          </w:p>
        </w:tc>
        <w:tc>
          <w:tcPr>
            <w:tcW w:w="1429" w:type="dxa"/>
            <w:tcBorders>
              <w:left w:val="nil"/>
              <w:bottom w:val="single" w:sz="4" w:space="0" w:color="auto"/>
              <w:right w:val="nil"/>
            </w:tcBorders>
          </w:tcPr>
          <w:p w:rsidR="006A19F7" w:rsidRPr="002C3EC8" w:rsidRDefault="006A19F7" w:rsidP="00181BD0">
            <w:pPr>
              <w:jc w:val="center"/>
            </w:pPr>
            <w:r w:rsidRPr="002C3EC8">
              <w:t>Non-Zero Weighted Pubs., NZ Economists</w:t>
            </w:r>
          </w:p>
          <w:p w:rsidR="006A19F7" w:rsidRPr="002C3EC8" w:rsidRDefault="006A19F7" w:rsidP="00181BD0">
            <w:pPr>
              <w:jc w:val="center"/>
            </w:pPr>
            <w:r w:rsidRPr="002C3EC8">
              <w:t>2000-2005</w:t>
            </w:r>
          </w:p>
          <w:p w:rsidR="006A19F7" w:rsidRPr="002C3EC8" w:rsidRDefault="006A19F7" w:rsidP="00181BD0">
            <w:pPr>
              <w:jc w:val="center"/>
            </w:pPr>
            <w:r w:rsidRPr="002C3EC8">
              <w:t>%</w:t>
            </w:r>
          </w:p>
        </w:tc>
        <w:tc>
          <w:tcPr>
            <w:tcW w:w="1429" w:type="dxa"/>
            <w:tcBorders>
              <w:left w:val="nil"/>
              <w:bottom w:val="single" w:sz="4" w:space="0" w:color="auto"/>
              <w:right w:val="nil"/>
            </w:tcBorders>
          </w:tcPr>
          <w:p w:rsidR="006A19F7" w:rsidRPr="002C3EC8" w:rsidRDefault="006A19F7" w:rsidP="00181BD0">
            <w:pPr>
              <w:jc w:val="center"/>
            </w:pPr>
            <w:r w:rsidRPr="002C3EC8">
              <w:t>Weight of the 30</w:t>
            </w:r>
            <w:r w:rsidRPr="002C3EC8">
              <w:rPr>
                <w:vertAlign w:val="superscript"/>
              </w:rPr>
              <w:t>th</w:t>
            </w:r>
            <w:r w:rsidRPr="002C3EC8">
              <w:t xml:space="preserve"> Publication to the Top Ranked,</w:t>
            </w:r>
          </w:p>
          <w:p w:rsidR="006A19F7" w:rsidRPr="002C3EC8" w:rsidRDefault="006A19F7" w:rsidP="00181BD0">
            <w:pPr>
              <w:jc w:val="center"/>
            </w:pPr>
            <w:r w:rsidRPr="002C3EC8">
              <w:t>NZ Economists</w:t>
            </w:r>
          </w:p>
          <w:p w:rsidR="006A19F7" w:rsidRPr="002C3EC8" w:rsidRDefault="006A19F7" w:rsidP="00181BD0">
            <w:pPr>
              <w:jc w:val="center"/>
            </w:pPr>
            <w:r w:rsidRPr="002C3EC8">
              <w:t>2000-2005</w:t>
            </w:r>
          </w:p>
          <w:p w:rsidR="006A19F7" w:rsidRPr="002C3EC8" w:rsidRDefault="006A19F7" w:rsidP="00181BD0">
            <w:pPr>
              <w:jc w:val="center"/>
            </w:pPr>
            <w:r w:rsidRPr="002C3EC8">
              <w:t>%</w:t>
            </w:r>
          </w:p>
        </w:tc>
        <w:tc>
          <w:tcPr>
            <w:tcW w:w="1245" w:type="dxa"/>
            <w:tcBorders>
              <w:left w:val="nil"/>
              <w:bottom w:val="single" w:sz="4" w:space="0" w:color="auto"/>
              <w:right w:val="nil"/>
            </w:tcBorders>
          </w:tcPr>
          <w:p w:rsidR="006A19F7" w:rsidRPr="002C3EC8" w:rsidRDefault="006A19F7" w:rsidP="00181BD0">
            <w:pPr>
              <w:jc w:val="center"/>
              <w:rPr>
                <w:vertAlign w:val="superscript"/>
              </w:rPr>
            </w:pPr>
            <w:r w:rsidRPr="002C3EC8">
              <w:t xml:space="preserve">Pages in </w:t>
            </w:r>
            <w:r w:rsidRPr="002C3EC8">
              <w:rPr>
                <w:i/>
                <w:iCs/>
              </w:rPr>
              <w:t>Econ Record</w:t>
            </w:r>
            <w:r w:rsidRPr="002C3EC8">
              <w:t xml:space="preserve"> Equivalent to a Page in the </w:t>
            </w:r>
            <w:r w:rsidRPr="002C3EC8">
              <w:rPr>
                <w:i/>
                <w:iCs/>
              </w:rPr>
              <w:t>AER</w:t>
            </w:r>
            <w:r w:rsidRPr="002C3EC8">
              <w:rPr>
                <w:vertAlign w:val="superscript"/>
              </w:rPr>
              <w:t>1</w:t>
            </w:r>
          </w:p>
        </w:tc>
        <w:tc>
          <w:tcPr>
            <w:tcW w:w="1255" w:type="dxa"/>
            <w:tcBorders>
              <w:left w:val="nil"/>
              <w:bottom w:val="single" w:sz="4" w:space="0" w:color="auto"/>
              <w:right w:val="nil"/>
            </w:tcBorders>
          </w:tcPr>
          <w:p w:rsidR="006A19F7" w:rsidRPr="002C3EC8" w:rsidRDefault="006A19F7" w:rsidP="00181BD0">
            <w:pPr>
              <w:jc w:val="center"/>
            </w:pPr>
            <w:r w:rsidRPr="002C3EC8">
              <w:t xml:space="preserve">GINI </w:t>
            </w:r>
            <w:proofErr w:type="spellStart"/>
            <w:r w:rsidRPr="002C3EC8">
              <w:t>Coef</w:t>
            </w:r>
            <w:proofErr w:type="spellEnd"/>
            <w:r w:rsidRPr="002C3EC8">
              <w:t>, Pubs by NZ Economists</w:t>
            </w:r>
          </w:p>
          <w:p w:rsidR="006A19F7" w:rsidRPr="002C3EC8" w:rsidRDefault="006A19F7" w:rsidP="00181BD0">
            <w:pPr>
              <w:jc w:val="center"/>
            </w:pPr>
            <w:r w:rsidRPr="002C3EC8">
              <w:t>2000-2005</w:t>
            </w:r>
          </w:p>
        </w:tc>
      </w:tr>
      <w:tr w:rsidR="006A19F7" w:rsidTr="00181BD0">
        <w:tc>
          <w:tcPr>
            <w:tcW w:w="1810" w:type="dxa"/>
            <w:tcBorders>
              <w:top w:val="single" w:sz="4" w:space="0" w:color="auto"/>
              <w:left w:val="nil"/>
              <w:bottom w:val="nil"/>
              <w:right w:val="nil"/>
            </w:tcBorders>
          </w:tcPr>
          <w:p w:rsidR="006A19F7" w:rsidRPr="00D024DD" w:rsidRDefault="006A19F7" w:rsidP="00181BD0">
            <w:proofErr w:type="spellStart"/>
            <w:r>
              <w:t>Liebowitz</w:t>
            </w:r>
            <w:proofErr w:type="spellEnd"/>
            <w:r>
              <w:t xml:space="preserve"> &amp; Palmer (LP84A1)</w:t>
            </w:r>
          </w:p>
        </w:tc>
        <w:tc>
          <w:tcPr>
            <w:tcW w:w="746" w:type="dxa"/>
            <w:tcBorders>
              <w:top w:val="single" w:sz="4" w:space="0" w:color="auto"/>
              <w:left w:val="nil"/>
              <w:bottom w:val="nil"/>
              <w:right w:val="nil"/>
            </w:tcBorders>
          </w:tcPr>
          <w:p w:rsidR="006A19F7" w:rsidRPr="00D024DD" w:rsidRDefault="006A19F7" w:rsidP="00181BD0">
            <w:r>
              <w:t>1984</w:t>
            </w:r>
          </w:p>
        </w:tc>
        <w:tc>
          <w:tcPr>
            <w:tcW w:w="1328" w:type="dxa"/>
            <w:tcBorders>
              <w:top w:val="single" w:sz="4" w:space="0" w:color="auto"/>
              <w:left w:val="nil"/>
              <w:bottom w:val="nil"/>
              <w:right w:val="nil"/>
            </w:tcBorders>
          </w:tcPr>
          <w:p w:rsidR="006A19F7" w:rsidRPr="00D024DD" w:rsidRDefault="006A19F7" w:rsidP="00181BD0">
            <w:r>
              <w:t>Impact Adj. Citations</w:t>
            </w:r>
          </w:p>
        </w:tc>
        <w:tc>
          <w:tcPr>
            <w:tcW w:w="1429" w:type="dxa"/>
            <w:tcBorders>
              <w:top w:val="single" w:sz="4" w:space="0" w:color="auto"/>
              <w:left w:val="nil"/>
              <w:bottom w:val="nil"/>
              <w:right w:val="nil"/>
            </w:tcBorders>
          </w:tcPr>
          <w:p w:rsidR="006A19F7" w:rsidRPr="00D024DD" w:rsidRDefault="006A19F7" w:rsidP="00181BD0">
            <w:pPr>
              <w:jc w:val="center"/>
            </w:pPr>
            <w:r>
              <w:t>32.5</w:t>
            </w:r>
          </w:p>
        </w:tc>
        <w:tc>
          <w:tcPr>
            <w:tcW w:w="1429" w:type="dxa"/>
            <w:tcBorders>
              <w:top w:val="single" w:sz="4" w:space="0" w:color="auto"/>
              <w:left w:val="nil"/>
              <w:bottom w:val="nil"/>
              <w:right w:val="nil"/>
            </w:tcBorders>
          </w:tcPr>
          <w:p w:rsidR="006A19F7" w:rsidRPr="00D024DD" w:rsidRDefault="006A19F7" w:rsidP="00181BD0">
            <w:pPr>
              <w:jc w:val="center"/>
            </w:pPr>
            <w:r>
              <w:t>7.1</w:t>
            </w:r>
          </w:p>
        </w:tc>
        <w:tc>
          <w:tcPr>
            <w:tcW w:w="1245" w:type="dxa"/>
            <w:tcBorders>
              <w:top w:val="single" w:sz="4" w:space="0" w:color="auto"/>
              <w:left w:val="nil"/>
              <w:bottom w:val="nil"/>
              <w:right w:val="nil"/>
            </w:tcBorders>
          </w:tcPr>
          <w:p w:rsidR="006A19F7" w:rsidRPr="00D024DD" w:rsidRDefault="006A19F7" w:rsidP="00181BD0">
            <w:pPr>
              <w:jc w:val="center"/>
            </w:pPr>
            <w:r>
              <w:t>35.2</w:t>
            </w:r>
          </w:p>
        </w:tc>
        <w:tc>
          <w:tcPr>
            <w:tcW w:w="1255" w:type="dxa"/>
            <w:tcBorders>
              <w:top w:val="single" w:sz="4" w:space="0" w:color="auto"/>
              <w:left w:val="nil"/>
              <w:bottom w:val="nil"/>
              <w:right w:val="nil"/>
            </w:tcBorders>
          </w:tcPr>
          <w:p w:rsidR="006A19F7" w:rsidRDefault="006A19F7" w:rsidP="00181BD0">
            <w:pPr>
              <w:jc w:val="center"/>
            </w:pPr>
            <w:r>
              <w:t>0.93</w:t>
            </w:r>
          </w:p>
        </w:tc>
      </w:tr>
      <w:tr w:rsidR="006A19F7" w:rsidTr="00181BD0">
        <w:tc>
          <w:tcPr>
            <w:tcW w:w="1810" w:type="dxa"/>
            <w:tcBorders>
              <w:top w:val="nil"/>
              <w:left w:val="nil"/>
              <w:bottom w:val="nil"/>
              <w:right w:val="nil"/>
            </w:tcBorders>
          </w:tcPr>
          <w:p w:rsidR="006A19F7" w:rsidRPr="00D024DD" w:rsidRDefault="006A19F7" w:rsidP="00181BD0">
            <w:proofErr w:type="spellStart"/>
            <w:r>
              <w:t>Laband</w:t>
            </w:r>
            <w:proofErr w:type="spellEnd"/>
            <w:r>
              <w:t xml:space="preserve"> &amp; </w:t>
            </w:r>
            <w:proofErr w:type="spellStart"/>
            <w:r>
              <w:t>Piette</w:t>
            </w:r>
            <w:proofErr w:type="spellEnd"/>
            <w:r>
              <w:t xml:space="preserve"> (LP94A1)</w:t>
            </w:r>
          </w:p>
        </w:tc>
        <w:tc>
          <w:tcPr>
            <w:tcW w:w="746" w:type="dxa"/>
            <w:tcBorders>
              <w:top w:val="nil"/>
              <w:left w:val="nil"/>
              <w:bottom w:val="nil"/>
              <w:right w:val="nil"/>
            </w:tcBorders>
          </w:tcPr>
          <w:p w:rsidR="006A19F7" w:rsidRPr="00D024DD" w:rsidRDefault="006A19F7" w:rsidP="00181BD0">
            <w:r>
              <w:t>1994</w:t>
            </w:r>
          </w:p>
        </w:tc>
        <w:tc>
          <w:tcPr>
            <w:tcW w:w="1328" w:type="dxa"/>
            <w:tcBorders>
              <w:top w:val="nil"/>
              <w:left w:val="nil"/>
              <w:bottom w:val="nil"/>
              <w:right w:val="nil"/>
            </w:tcBorders>
          </w:tcPr>
          <w:p w:rsidR="006A19F7" w:rsidRPr="00D024DD" w:rsidRDefault="006A19F7" w:rsidP="00181BD0">
            <w:r>
              <w:t>Impact Adj. Citations</w:t>
            </w:r>
          </w:p>
        </w:tc>
        <w:tc>
          <w:tcPr>
            <w:tcW w:w="1429" w:type="dxa"/>
            <w:tcBorders>
              <w:top w:val="nil"/>
              <w:left w:val="nil"/>
              <w:bottom w:val="nil"/>
              <w:right w:val="nil"/>
            </w:tcBorders>
          </w:tcPr>
          <w:p w:rsidR="006A19F7" w:rsidRPr="00D024DD" w:rsidRDefault="006A19F7" w:rsidP="00181BD0">
            <w:pPr>
              <w:jc w:val="center"/>
            </w:pPr>
            <w:r>
              <w:t>36.9</w:t>
            </w:r>
          </w:p>
        </w:tc>
        <w:tc>
          <w:tcPr>
            <w:tcW w:w="1429" w:type="dxa"/>
            <w:tcBorders>
              <w:top w:val="nil"/>
              <w:left w:val="nil"/>
              <w:bottom w:val="nil"/>
              <w:right w:val="nil"/>
            </w:tcBorders>
          </w:tcPr>
          <w:p w:rsidR="006A19F7" w:rsidRPr="00D024DD" w:rsidRDefault="006A19F7" w:rsidP="00181BD0">
            <w:pPr>
              <w:jc w:val="center"/>
            </w:pPr>
            <w:r>
              <w:t>9.8</w:t>
            </w:r>
          </w:p>
        </w:tc>
        <w:tc>
          <w:tcPr>
            <w:tcW w:w="1245" w:type="dxa"/>
            <w:tcBorders>
              <w:top w:val="nil"/>
              <w:left w:val="nil"/>
              <w:bottom w:val="nil"/>
              <w:right w:val="nil"/>
            </w:tcBorders>
          </w:tcPr>
          <w:p w:rsidR="006A19F7" w:rsidRPr="00D024DD" w:rsidRDefault="006A19F7" w:rsidP="00181BD0">
            <w:pPr>
              <w:jc w:val="center"/>
            </w:pPr>
            <w:r>
              <w:t>400.2</w:t>
            </w:r>
          </w:p>
        </w:tc>
        <w:tc>
          <w:tcPr>
            <w:tcW w:w="1255" w:type="dxa"/>
            <w:tcBorders>
              <w:top w:val="nil"/>
              <w:left w:val="nil"/>
              <w:bottom w:val="nil"/>
              <w:right w:val="nil"/>
            </w:tcBorders>
          </w:tcPr>
          <w:p w:rsidR="006A19F7" w:rsidRDefault="006A19F7" w:rsidP="00181BD0">
            <w:pPr>
              <w:jc w:val="center"/>
            </w:pPr>
            <w:r>
              <w:t>0.93</w:t>
            </w:r>
          </w:p>
        </w:tc>
      </w:tr>
      <w:tr w:rsidR="006A19F7" w:rsidTr="00181BD0">
        <w:tc>
          <w:tcPr>
            <w:tcW w:w="1810" w:type="dxa"/>
            <w:tcBorders>
              <w:top w:val="nil"/>
              <w:left w:val="nil"/>
              <w:bottom w:val="nil"/>
              <w:right w:val="nil"/>
            </w:tcBorders>
          </w:tcPr>
          <w:p w:rsidR="006A19F7" w:rsidRPr="00D024DD" w:rsidRDefault="006A19F7" w:rsidP="00181BD0">
            <w:proofErr w:type="spellStart"/>
            <w:r>
              <w:t>Kalaitzidakis</w:t>
            </w:r>
            <w:proofErr w:type="spellEnd"/>
            <w:r>
              <w:t xml:space="preserve">, </w:t>
            </w:r>
            <w:proofErr w:type="spellStart"/>
            <w:r>
              <w:t>Mamuneous</w:t>
            </w:r>
            <w:proofErr w:type="spellEnd"/>
            <w:r>
              <w:t xml:space="preserve"> &amp;</w:t>
            </w:r>
            <w:proofErr w:type="spellStart"/>
            <w:r>
              <w:t>Stengos</w:t>
            </w:r>
            <w:proofErr w:type="spellEnd"/>
            <w:r>
              <w:t xml:space="preserve"> (KMS1)</w:t>
            </w:r>
          </w:p>
        </w:tc>
        <w:tc>
          <w:tcPr>
            <w:tcW w:w="746" w:type="dxa"/>
            <w:tcBorders>
              <w:top w:val="nil"/>
              <w:left w:val="nil"/>
              <w:bottom w:val="nil"/>
              <w:right w:val="nil"/>
            </w:tcBorders>
          </w:tcPr>
          <w:p w:rsidR="006A19F7" w:rsidRPr="00D024DD" w:rsidRDefault="006A19F7" w:rsidP="00181BD0">
            <w:r>
              <w:t>2003</w:t>
            </w:r>
          </w:p>
        </w:tc>
        <w:tc>
          <w:tcPr>
            <w:tcW w:w="1328" w:type="dxa"/>
            <w:tcBorders>
              <w:top w:val="nil"/>
              <w:left w:val="nil"/>
              <w:bottom w:val="nil"/>
              <w:right w:val="nil"/>
            </w:tcBorders>
          </w:tcPr>
          <w:p w:rsidR="006A19F7" w:rsidRPr="00D024DD" w:rsidRDefault="006A19F7" w:rsidP="00181BD0">
            <w:r>
              <w:t>Impact Adj. Citations</w:t>
            </w:r>
          </w:p>
        </w:tc>
        <w:tc>
          <w:tcPr>
            <w:tcW w:w="1429" w:type="dxa"/>
            <w:tcBorders>
              <w:top w:val="nil"/>
              <w:left w:val="nil"/>
              <w:bottom w:val="nil"/>
              <w:right w:val="nil"/>
            </w:tcBorders>
          </w:tcPr>
          <w:p w:rsidR="006A19F7" w:rsidRPr="00D024DD" w:rsidRDefault="006A19F7" w:rsidP="00181BD0">
            <w:pPr>
              <w:jc w:val="center"/>
            </w:pPr>
            <w:r>
              <w:t>50.1</w:t>
            </w:r>
          </w:p>
        </w:tc>
        <w:tc>
          <w:tcPr>
            <w:tcW w:w="1429" w:type="dxa"/>
            <w:tcBorders>
              <w:top w:val="nil"/>
              <w:left w:val="nil"/>
              <w:bottom w:val="nil"/>
              <w:right w:val="nil"/>
            </w:tcBorders>
          </w:tcPr>
          <w:p w:rsidR="006A19F7" w:rsidRPr="00D024DD" w:rsidRDefault="006A19F7" w:rsidP="00181BD0">
            <w:pPr>
              <w:jc w:val="center"/>
            </w:pPr>
            <w:r>
              <w:t>18.7</w:t>
            </w:r>
          </w:p>
        </w:tc>
        <w:tc>
          <w:tcPr>
            <w:tcW w:w="1245" w:type="dxa"/>
            <w:tcBorders>
              <w:top w:val="nil"/>
              <w:left w:val="nil"/>
              <w:bottom w:val="nil"/>
              <w:right w:val="nil"/>
            </w:tcBorders>
          </w:tcPr>
          <w:p w:rsidR="006A19F7" w:rsidRPr="00D024DD" w:rsidRDefault="006A19F7" w:rsidP="00181BD0">
            <w:pPr>
              <w:jc w:val="center"/>
            </w:pPr>
            <w:r>
              <w:t>34.1</w:t>
            </w:r>
          </w:p>
        </w:tc>
        <w:tc>
          <w:tcPr>
            <w:tcW w:w="1255" w:type="dxa"/>
            <w:tcBorders>
              <w:top w:val="nil"/>
              <w:left w:val="nil"/>
              <w:bottom w:val="nil"/>
              <w:right w:val="nil"/>
            </w:tcBorders>
          </w:tcPr>
          <w:p w:rsidR="006A19F7" w:rsidRDefault="006A19F7" w:rsidP="00181BD0">
            <w:pPr>
              <w:jc w:val="center"/>
            </w:pPr>
            <w:r>
              <w:t>0.88</w:t>
            </w:r>
          </w:p>
        </w:tc>
      </w:tr>
      <w:tr w:rsidR="006A19F7" w:rsidTr="00181BD0">
        <w:tc>
          <w:tcPr>
            <w:tcW w:w="1810" w:type="dxa"/>
            <w:tcBorders>
              <w:top w:val="nil"/>
              <w:left w:val="nil"/>
              <w:bottom w:val="nil"/>
              <w:right w:val="nil"/>
            </w:tcBorders>
          </w:tcPr>
          <w:p w:rsidR="006A19F7" w:rsidRPr="00D024DD" w:rsidRDefault="006A19F7" w:rsidP="00181BD0">
            <w:proofErr w:type="spellStart"/>
            <w:r>
              <w:t>Kalaitzidakis</w:t>
            </w:r>
            <w:proofErr w:type="spellEnd"/>
            <w:r>
              <w:t xml:space="preserve">, </w:t>
            </w:r>
            <w:proofErr w:type="spellStart"/>
            <w:r>
              <w:t>Mamuneous</w:t>
            </w:r>
            <w:proofErr w:type="spellEnd"/>
            <w:r>
              <w:t xml:space="preserve"> &amp; </w:t>
            </w:r>
            <w:proofErr w:type="spellStart"/>
            <w:r>
              <w:t>Stengos</w:t>
            </w:r>
            <w:proofErr w:type="spellEnd"/>
            <w:r>
              <w:t xml:space="preserve"> (KMS2)</w:t>
            </w:r>
          </w:p>
        </w:tc>
        <w:tc>
          <w:tcPr>
            <w:tcW w:w="746" w:type="dxa"/>
            <w:tcBorders>
              <w:top w:val="nil"/>
              <w:left w:val="nil"/>
              <w:bottom w:val="nil"/>
              <w:right w:val="nil"/>
            </w:tcBorders>
          </w:tcPr>
          <w:p w:rsidR="006A19F7" w:rsidRPr="00D024DD" w:rsidRDefault="006A19F7" w:rsidP="00181BD0">
            <w:r>
              <w:t>2010</w:t>
            </w:r>
          </w:p>
        </w:tc>
        <w:tc>
          <w:tcPr>
            <w:tcW w:w="1328" w:type="dxa"/>
            <w:tcBorders>
              <w:top w:val="nil"/>
              <w:left w:val="nil"/>
              <w:bottom w:val="nil"/>
              <w:right w:val="nil"/>
            </w:tcBorders>
          </w:tcPr>
          <w:p w:rsidR="006A19F7" w:rsidRPr="00D024DD" w:rsidRDefault="006A19F7" w:rsidP="00181BD0">
            <w:r>
              <w:t xml:space="preserve">Impact </w:t>
            </w:r>
            <w:proofErr w:type="spellStart"/>
            <w:r>
              <w:t>Adj</w:t>
            </w:r>
            <w:proofErr w:type="spellEnd"/>
            <w:r>
              <w:t>, Citations</w:t>
            </w:r>
          </w:p>
        </w:tc>
        <w:tc>
          <w:tcPr>
            <w:tcW w:w="1429" w:type="dxa"/>
            <w:tcBorders>
              <w:top w:val="nil"/>
              <w:left w:val="nil"/>
              <w:bottom w:val="nil"/>
              <w:right w:val="nil"/>
            </w:tcBorders>
          </w:tcPr>
          <w:p w:rsidR="006A19F7" w:rsidRPr="00D024DD" w:rsidRDefault="006A19F7" w:rsidP="00181BD0">
            <w:pPr>
              <w:jc w:val="center"/>
            </w:pPr>
            <w:r>
              <w:t>59.0</w:t>
            </w:r>
          </w:p>
        </w:tc>
        <w:tc>
          <w:tcPr>
            <w:tcW w:w="1429" w:type="dxa"/>
            <w:tcBorders>
              <w:top w:val="nil"/>
              <w:left w:val="nil"/>
              <w:bottom w:val="nil"/>
              <w:right w:val="nil"/>
            </w:tcBorders>
          </w:tcPr>
          <w:p w:rsidR="006A19F7" w:rsidRPr="00D024DD" w:rsidRDefault="006A19F7" w:rsidP="00181BD0">
            <w:pPr>
              <w:jc w:val="center"/>
            </w:pPr>
            <w:r>
              <w:t>10.1</w:t>
            </w:r>
          </w:p>
        </w:tc>
        <w:tc>
          <w:tcPr>
            <w:tcW w:w="1245" w:type="dxa"/>
            <w:tcBorders>
              <w:top w:val="nil"/>
              <w:left w:val="nil"/>
              <w:bottom w:val="nil"/>
              <w:right w:val="nil"/>
            </w:tcBorders>
          </w:tcPr>
          <w:p w:rsidR="006A19F7" w:rsidRPr="00D024DD" w:rsidRDefault="006A19F7" w:rsidP="00181BD0">
            <w:pPr>
              <w:jc w:val="center"/>
            </w:pPr>
            <w:r>
              <w:t>80.0</w:t>
            </w:r>
          </w:p>
        </w:tc>
        <w:tc>
          <w:tcPr>
            <w:tcW w:w="1255" w:type="dxa"/>
            <w:tcBorders>
              <w:top w:val="nil"/>
              <w:left w:val="nil"/>
              <w:bottom w:val="nil"/>
              <w:right w:val="nil"/>
            </w:tcBorders>
          </w:tcPr>
          <w:p w:rsidR="006A19F7" w:rsidRDefault="006A19F7" w:rsidP="00181BD0">
            <w:pPr>
              <w:jc w:val="center"/>
            </w:pPr>
            <w:r>
              <w:t>0.86</w:t>
            </w:r>
          </w:p>
        </w:tc>
      </w:tr>
      <w:tr w:rsidR="006A19F7" w:rsidTr="00181BD0">
        <w:tc>
          <w:tcPr>
            <w:tcW w:w="1810" w:type="dxa"/>
            <w:tcBorders>
              <w:top w:val="nil"/>
              <w:left w:val="nil"/>
              <w:bottom w:val="nil"/>
              <w:right w:val="nil"/>
            </w:tcBorders>
          </w:tcPr>
          <w:p w:rsidR="006A19F7" w:rsidRPr="00D024DD" w:rsidRDefault="006A19F7" w:rsidP="00181BD0">
            <w:r>
              <w:t>Research Papers in Economics (RePEc)</w:t>
            </w:r>
          </w:p>
        </w:tc>
        <w:tc>
          <w:tcPr>
            <w:tcW w:w="746" w:type="dxa"/>
            <w:tcBorders>
              <w:top w:val="nil"/>
              <w:left w:val="nil"/>
              <w:bottom w:val="nil"/>
              <w:right w:val="nil"/>
            </w:tcBorders>
          </w:tcPr>
          <w:p w:rsidR="006A19F7" w:rsidRPr="00D024DD" w:rsidRDefault="006A19F7" w:rsidP="00181BD0">
            <w:r>
              <w:t>2009</w:t>
            </w:r>
          </w:p>
        </w:tc>
        <w:tc>
          <w:tcPr>
            <w:tcW w:w="1328" w:type="dxa"/>
            <w:tcBorders>
              <w:top w:val="nil"/>
              <w:left w:val="nil"/>
              <w:bottom w:val="nil"/>
              <w:right w:val="nil"/>
            </w:tcBorders>
          </w:tcPr>
          <w:p w:rsidR="006A19F7" w:rsidRPr="00D024DD" w:rsidRDefault="006A19F7" w:rsidP="00181BD0">
            <w:r>
              <w:t>Impact Adj. Citations</w:t>
            </w:r>
          </w:p>
        </w:tc>
        <w:tc>
          <w:tcPr>
            <w:tcW w:w="1429" w:type="dxa"/>
            <w:tcBorders>
              <w:top w:val="nil"/>
              <w:left w:val="nil"/>
              <w:bottom w:val="nil"/>
              <w:right w:val="nil"/>
            </w:tcBorders>
          </w:tcPr>
          <w:p w:rsidR="006A19F7" w:rsidRPr="00D024DD" w:rsidRDefault="006A19F7" w:rsidP="00181BD0">
            <w:pPr>
              <w:jc w:val="center"/>
            </w:pPr>
            <w:r>
              <w:t>69.1</w:t>
            </w:r>
          </w:p>
        </w:tc>
        <w:tc>
          <w:tcPr>
            <w:tcW w:w="1429" w:type="dxa"/>
            <w:tcBorders>
              <w:top w:val="nil"/>
              <w:left w:val="nil"/>
              <w:bottom w:val="nil"/>
              <w:right w:val="nil"/>
            </w:tcBorders>
          </w:tcPr>
          <w:p w:rsidR="006A19F7" w:rsidRPr="00D024DD" w:rsidRDefault="006A19F7" w:rsidP="00181BD0">
            <w:pPr>
              <w:jc w:val="center"/>
            </w:pPr>
            <w:r>
              <w:t>23.3</w:t>
            </w:r>
          </w:p>
        </w:tc>
        <w:tc>
          <w:tcPr>
            <w:tcW w:w="1245" w:type="dxa"/>
            <w:tcBorders>
              <w:top w:val="nil"/>
              <w:left w:val="nil"/>
              <w:bottom w:val="nil"/>
              <w:right w:val="nil"/>
            </w:tcBorders>
          </w:tcPr>
          <w:p w:rsidR="006A19F7" w:rsidRPr="00D024DD" w:rsidRDefault="006A19F7" w:rsidP="00181BD0">
            <w:pPr>
              <w:jc w:val="center"/>
            </w:pPr>
            <w:r>
              <w:t>18.0</w:t>
            </w:r>
          </w:p>
        </w:tc>
        <w:tc>
          <w:tcPr>
            <w:tcW w:w="1255" w:type="dxa"/>
            <w:tcBorders>
              <w:top w:val="nil"/>
              <w:left w:val="nil"/>
              <w:bottom w:val="nil"/>
              <w:right w:val="nil"/>
            </w:tcBorders>
          </w:tcPr>
          <w:p w:rsidR="006A19F7" w:rsidRDefault="006A19F7" w:rsidP="00181BD0">
            <w:pPr>
              <w:jc w:val="center"/>
            </w:pPr>
            <w:r>
              <w:t>0.77</w:t>
            </w:r>
          </w:p>
        </w:tc>
      </w:tr>
      <w:tr w:rsidR="006A19F7" w:rsidTr="00181BD0">
        <w:tc>
          <w:tcPr>
            <w:tcW w:w="1810" w:type="dxa"/>
            <w:tcBorders>
              <w:top w:val="nil"/>
              <w:left w:val="nil"/>
              <w:bottom w:val="nil"/>
              <w:right w:val="nil"/>
            </w:tcBorders>
          </w:tcPr>
          <w:p w:rsidR="006A19F7" w:rsidRPr="00D024DD" w:rsidRDefault="006A19F7" w:rsidP="00181BD0">
            <w:proofErr w:type="spellStart"/>
            <w:r>
              <w:t>Kodrzycki</w:t>
            </w:r>
            <w:proofErr w:type="spellEnd"/>
            <w:r>
              <w:t xml:space="preserve"> and Yu, Economics, (KYEI)</w:t>
            </w:r>
          </w:p>
        </w:tc>
        <w:tc>
          <w:tcPr>
            <w:tcW w:w="746" w:type="dxa"/>
            <w:tcBorders>
              <w:top w:val="nil"/>
              <w:left w:val="nil"/>
              <w:bottom w:val="nil"/>
              <w:right w:val="nil"/>
            </w:tcBorders>
          </w:tcPr>
          <w:p w:rsidR="006A19F7" w:rsidRPr="00D024DD" w:rsidRDefault="006A19F7" w:rsidP="00181BD0">
            <w:r>
              <w:t>2006</w:t>
            </w:r>
          </w:p>
        </w:tc>
        <w:tc>
          <w:tcPr>
            <w:tcW w:w="1328" w:type="dxa"/>
            <w:tcBorders>
              <w:top w:val="nil"/>
              <w:left w:val="nil"/>
              <w:bottom w:val="nil"/>
              <w:right w:val="nil"/>
            </w:tcBorders>
          </w:tcPr>
          <w:p w:rsidR="006A19F7" w:rsidRDefault="006A19F7" w:rsidP="00181BD0">
            <w:r>
              <w:t>Impact Adj.  Citations</w:t>
            </w:r>
          </w:p>
          <w:p w:rsidR="006A19F7" w:rsidRPr="00D024DD" w:rsidRDefault="006A19F7" w:rsidP="00181BD0">
            <w:r>
              <w:t>Economics</w:t>
            </w:r>
          </w:p>
        </w:tc>
        <w:tc>
          <w:tcPr>
            <w:tcW w:w="1429" w:type="dxa"/>
            <w:tcBorders>
              <w:top w:val="nil"/>
              <w:left w:val="nil"/>
              <w:bottom w:val="nil"/>
              <w:right w:val="nil"/>
            </w:tcBorders>
          </w:tcPr>
          <w:p w:rsidR="006A19F7" w:rsidRPr="00D024DD" w:rsidRDefault="006A19F7" w:rsidP="00181BD0">
            <w:pPr>
              <w:jc w:val="center"/>
            </w:pPr>
            <w:r>
              <w:t>55.3</w:t>
            </w:r>
          </w:p>
        </w:tc>
        <w:tc>
          <w:tcPr>
            <w:tcW w:w="1429" w:type="dxa"/>
            <w:tcBorders>
              <w:top w:val="nil"/>
              <w:left w:val="nil"/>
              <w:bottom w:val="nil"/>
              <w:right w:val="nil"/>
            </w:tcBorders>
          </w:tcPr>
          <w:p w:rsidR="006A19F7" w:rsidRPr="00D024DD" w:rsidRDefault="006A19F7" w:rsidP="00181BD0">
            <w:pPr>
              <w:jc w:val="center"/>
            </w:pPr>
            <w:r>
              <w:t>9.9</w:t>
            </w:r>
          </w:p>
        </w:tc>
        <w:tc>
          <w:tcPr>
            <w:tcW w:w="1245" w:type="dxa"/>
            <w:tcBorders>
              <w:top w:val="nil"/>
              <w:left w:val="nil"/>
              <w:bottom w:val="nil"/>
              <w:right w:val="nil"/>
            </w:tcBorders>
          </w:tcPr>
          <w:p w:rsidR="006A19F7" w:rsidRPr="00D024DD" w:rsidRDefault="006A19F7" w:rsidP="00181BD0">
            <w:pPr>
              <w:jc w:val="center"/>
            </w:pPr>
            <w:r>
              <w:t>45.2</w:t>
            </w:r>
          </w:p>
        </w:tc>
        <w:tc>
          <w:tcPr>
            <w:tcW w:w="1255" w:type="dxa"/>
            <w:tcBorders>
              <w:top w:val="nil"/>
              <w:left w:val="nil"/>
              <w:bottom w:val="nil"/>
              <w:right w:val="nil"/>
            </w:tcBorders>
          </w:tcPr>
          <w:p w:rsidR="006A19F7" w:rsidRDefault="006A19F7" w:rsidP="00181BD0">
            <w:pPr>
              <w:jc w:val="center"/>
            </w:pPr>
            <w:r>
              <w:t>0.84</w:t>
            </w:r>
          </w:p>
        </w:tc>
      </w:tr>
      <w:tr w:rsidR="006A19F7" w:rsidTr="00181BD0">
        <w:tc>
          <w:tcPr>
            <w:tcW w:w="1810" w:type="dxa"/>
            <w:tcBorders>
              <w:top w:val="nil"/>
              <w:left w:val="nil"/>
              <w:bottom w:val="nil"/>
              <w:right w:val="nil"/>
            </w:tcBorders>
          </w:tcPr>
          <w:p w:rsidR="006A19F7" w:rsidRPr="00D024DD" w:rsidRDefault="006A19F7" w:rsidP="00181BD0">
            <w:proofErr w:type="spellStart"/>
            <w:r>
              <w:t>Kodrzycki</w:t>
            </w:r>
            <w:proofErr w:type="spellEnd"/>
            <w:r>
              <w:t xml:space="preserve"> and Yu, Policy (KYPI)</w:t>
            </w:r>
          </w:p>
        </w:tc>
        <w:tc>
          <w:tcPr>
            <w:tcW w:w="746" w:type="dxa"/>
            <w:tcBorders>
              <w:top w:val="nil"/>
              <w:left w:val="nil"/>
              <w:bottom w:val="nil"/>
              <w:right w:val="nil"/>
            </w:tcBorders>
          </w:tcPr>
          <w:p w:rsidR="006A19F7" w:rsidRPr="00D024DD" w:rsidRDefault="006A19F7" w:rsidP="00181BD0">
            <w:r>
              <w:t>2006</w:t>
            </w:r>
          </w:p>
        </w:tc>
        <w:tc>
          <w:tcPr>
            <w:tcW w:w="1328" w:type="dxa"/>
            <w:tcBorders>
              <w:top w:val="nil"/>
              <w:left w:val="nil"/>
              <w:bottom w:val="nil"/>
              <w:right w:val="nil"/>
            </w:tcBorders>
          </w:tcPr>
          <w:p w:rsidR="006A19F7" w:rsidRDefault="006A19F7" w:rsidP="00181BD0">
            <w:r>
              <w:t xml:space="preserve">Impact Adj. </w:t>
            </w:r>
          </w:p>
          <w:p w:rsidR="006A19F7" w:rsidRDefault="006A19F7" w:rsidP="00181BD0">
            <w:r>
              <w:t>Citations</w:t>
            </w:r>
          </w:p>
          <w:p w:rsidR="006A19F7" w:rsidRPr="00D024DD" w:rsidRDefault="006A19F7" w:rsidP="00181BD0">
            <w:r>
              <w:t>Policy</w:t>
            </w:r>
          </w:p>
        </w:tc>
        <w:tc>
          <w:tcPr>
            <w:tcW w:w="1429" w:type="dxa"/>
            <w:tcBorders>
              <w:top w:val="nil"/>
              <w:left w:val="nil"/>
              <w:bottom w:val="nil"/>
              <w:right w:val="nil"/>
            </w:tcBorders>
          </w:tcPr>
          <w:p w:rsidR="006A19F7" w:rsidRPr="00D024DD" w:rsidRDefault="006A19F7" w:rsidP="00181BD0">
            <w:pPr>
              <w:jc w:val="center"/>
            </w:pPr>
            <w:r>
              <w:t>55.3</w:t>
            </w:r>
          </w:p>
        </w:tc>
        <w:tc>
          <w:tcPr>
            <w:tcW w:w="1429" w:type="dxa"/>
            <w:tcBorders>
              <w:top w:val="nil"/>
              <w:left w:val="nil"/>
              <w:bottom w:val="nil"/>
              <w:right w:val="nil"/>
            </w:tcBorders>
          </w:tcPr>
          <w:p w:rsidR="006A19F7" w:rsidRPr="00D024DD" w:rsidRDefault="006A19F7" w:rsidP="00181BD0">
            <w:pPr>
              <w:jc w:val="center"/>
            </w:pPr>
            <w:r>
              <w:t>14.3</w:t>
            </w:r>
          </w:p>
        </w:tc>
        <w:tc>
          <w:tcPr>
            <w:tcW w:w="1245" w:type="dxa"/>
            <w:tcBorders>
              <w:top w:val="nil"/>
              <w:left w:val="nil"/>
              <w:bottom w:val="nil"/>
              <w:right w:val="nil"/>
            </w:tcBorders>
          </w:tcPr>
          <w:p w:rsidR="006A19F7" w:rsidRPr="00D024DD" w:rsidRDefault="006A19F7" w:rsidP="00181BD0">
            <w:pPr>
              <w:jc w:val="center"/>
            </w:pPr>
            <w:r>
              <w:t>49.6</w:t>
            </w:r>
          </w:p>
        </w:tc>
        <w:tc>
          <w:tcPr>
            <w:tcW w:w="1255" w:type="dxa"/>
            <w:tcBorders>
              <w:top w:val="nil"/>
              <w:left w:val="nil"/>
              <w:bottom w:val="nil"/>
              <w:right w:val="nil"/>
            </w:tcBorders>
          </w:tcPr>
          <w:p w:rsidR="006A19F7" w:rsidRDefault="006A19F7" w:rsidP="00181BD0">
            <w:pPr>
              <w:jc w:val="center"/>
            </w:pPr>
            <w:r>
              <w:t>0.79</w:t>
            </w:r>
          </w:p>
        </w:tc>
      </w:tr>
      <w:tr w:rsidR="006A19F7" w:rsidTr="00181BD0">
        <w:tc>
          <w:tcPr>
            <w:tcW w:w="1810" w:type="dxa"/>
            <w:tcBorders>
              <w:top w:val="nil"/>
              <w:left w:val="nil"/>
              <w:bottom w:val="nil"/>
              <w:right w:val="nil"/>
            </w:tcBorders>
          </w:tcPr>
          <w:p w:rsidR="006A19F7" w:rsidRPr="00D024DD" w:rsidRDefault="006A19F7" w:rsidP="00181BD0">
            <w:r>
              <w:t>Thomson Reuters Journal Citation Report (JCR08IF)</w:t>
            </w:r>
          </w:p>
        </w:tc>
        <w:tc>
          <w:tcPr>
            <w:tcW w:w="746" w:type="dxa"/>
            <w:tcBorders>
              <w:top w:val="nil"/>
              <w:left w:val="nil"/>
              <w:bottom w:val="nil"/>
              <w:right w:val="nil"/>
            </w:tcBorders>
          </w:tcPr>
          <w:p w:rsidR="006A19F7" w:rsidRPr="00D024DD" w:rsidRDefault="006A19F7" w:rsidP="00181BD0">
            <w:r>
              <w:t>2008</w:t>
            </w:r>
          </w:p>
        </w:tc>
        <w:tc>
          <w:tcPr>
            <w:tcW w:w="1328" w:type="dxa"/>
            <w:tcBorders>
              <w:top w:val="nil"/>
              <w:left w:val="nil"/>
              <w:bottom w:val="nil"/>
              <w:right w:val="nil"/>
            </w:tcBorders>
          </w:tcPr>
          <w:p w:rsidR="006A19F7" w:rsidRPr="00D024DD" w:rsidRDefault="006A19F7" w:rsidP="00181BD0">
            <w:r>
              <w:t>Impact Adj. Citations</w:t>
            </w:r>
          </w:p>
        </w:tc>
        <w:tc>
          <w:tcPr>
            <w:tcW w:w="1429" w:type="dxa"/>
            <w:tcBorders>
              <w:top w:val="nil"/>
              <w:left w:val="nil"/>
              <w:bottom w:val="nil"/>
              <w:right w:val="nil"/>
            </w:tcBorders>
          </w:tcPr>
          <w:p w:rsidR="006A19F7" w:rsidRPr="00D024DD" w:rsidRDefault="006A19F7" w:rsidP="00181BD0">
            <w:pPr>
              <w:jc w:val="center"/>
            </w:pPr>
            <w:r>
              <w:t>52.2</w:t>
            </w:r>
          </w:p>
        </w:tc>
        <w:tc>
          <w:tcPr>
            <w:tcW w:w="1429" w:type="dxa"/>
            <w:tcBorders>
              <w:top w:val="nil"/>
              <w:left w:val="nil"/>
              <w:bottom w:val="nil"/>
              <w:right w:val="nil"/>
            </w:tcBorders>
          </w:tcPr>
          <w:p w:rsidR="006A19F7" w:rsidRPr="00D024DD" w:rsidRDefault="006A19F7" w:rsidP="00181BD0">
            <w:pPr>
              <w:jc w:val="center"/>
            </w:pPr>
            <w:r>
              <w:t>35.6</w:t>
            </w:r>
          </w:p>
        </w:tc>
        <w:tc>
          <w:tcPr>
            <w:tcW w:w="1245" w:type="dxa"/>
            <w:tcBorders>
              <w:top w:val="nil"/>
              <w:left w:val="nil"/>
              <w:bottom w:val="nil"/>
              <w:right w:val="nil"/>
            </w:tcBorders>
          </w:tcPr>
          <w:p w:rsidR="006A19F7" w:rsidRPr="00D024DD" w:rsidRDefault="006A19F7" w:rsidP="00181BD0">
            <w:pPr>
              <w:jc w:val="center"/>
            </w:pPr>
            <w:r>
              <w:t>3.0</w:t>
            </w:r>
          </w:p>
        </w:tc>
        <w:tc>
          <w:tcPr>
            <w:tcW w:w="1255" w:type="dxa"/>
            <w:tcBorders>
              <w:top w:val="nil"/>
              <w:left w:val="nil"/>
              <w:bottom w:val="nil"/>
              <w:right w:val="nil"/>
            </w:tcBorders>
          </w:tcPr>
          <w:p w:rsidR="006A19F7" w:rsidRDefault="006A19F7" w:rsidP="00181BD0">
            <w:pPr>
              <w:jc w:val="center"/>
            </w:pPr>
            <w:r>
              <w:t>0.66</w:t>
            </w:r>
          </w:p>
        </w:tc>
      </w:tr>
      <w:tr w:rsidR="006A19F7" w:rsidTr="00181BD0">
        <w:tc>
          <w:tcPr>
            <w:tcW w:w="1810" w:type="dxa"/>
            <w:tcBorders>
              <w:top w:val="nil"/>
              <w:left w:val="nil"/>
              <w:bottom w:val="nil"/>
              <w:right w:val="nil"/>
            </w:tcBorders>
          </w:tcPr>
          <w:p w:rsidR="006A19F7" w:rsidRPr="00D024DD" w:rsidRDefault="006A19F7" w:rsidP="00181BD0">
            <w:proofErr w:type="spellStart"/>
            <w:r>
              <w:t>Bauwens</w:t>
            </w:r>
            <w:proofErr w:type="spellEnd"/>
            <w:r>
              <w:t xml:space="preserve"> (</w:t>
            </w:r>
            <w:proofErr w:type="spellStart"/>
            <w:r>
              <w:t>Bauwens</w:t>
            </w:r>
            <w:proofErr w:type="spellEnd"/>
            <w:r>
              <w:t>)</w:t>
            </w:r>
          </w:p>
        </w:tc>
        <w:tc>
          <w:tcPr>
            <w:tcW w:w="746" w:type="dxa"/>
            <w:tcBorders>
              <w:top w:val="nil"/>
              <w:left w:val="nil"/>
              <w:bottom w:val="nil"/>
              <w:right w:val="nil"/>
            </w:tcBorders>
          </w:tcPr>
          <w:p w:rsidR="006A19F7" w:rsidRPr="00D024DD" w:rsidRDefault="006A19F7" w:rsidP="00181BD0">
            <w:r>
              <w:t>1998</w:t>
            </w:r>
          </w:p>
        </w:tc>
        <w:tc>
          <w:tcPr>
            <w:tcW w:w="1328" w:type="dxa"/>
            <w:tcBorders>
              <w:top w:val="nil"/>
              <w:left w:val="nil"/>
              <w:bottom w:val="nil"/>
              <w:right w:val="nil"/>
            </w:tcBorders>
          </w:tcPr>
          <w:p w:rsidR="006A19F7" w:rsidRDefault="006A19F7" w:rsidP="00181BD0">
            <w:r>
              <w:t xml:space="preserve">Basic Citations </w:t>
            </w:r>
          </w:p>
          <w:p w:rsidR="006A19F7" w:rsidRPr="00D024DD" w:rsidRDefault="006A19F7" w:rsidP="00181BD0">
            <w:r>
              <w:t>(5 groups)</w:t>
            </w:r>
          </w:p>
        </w:tc>
        <w:tc>
          <w:tcPr>
            <w:tcW w:w="1429" w:type="dxa"/>
            <w:tcBorders>
              <w:top w:val="nil"/>
              <w:left w:val="nil"/>
              <w:bottom w:val="nil"/>
              <w:right w:val="nil"/>
            </w:tcBorders>
          </w:tcPr>
          <w:p w:rsidR="006A19F7" w:rsidRPr="00D024DD" w:rsidRDefault="006A19F7" w:rsidP="00181BD0">
            <w:pPr>
              <w:jc w:val="center"/>
            </w:pPr>
            <w:r>
              <w:t>100</w:t>
            </w:r>
          </w:p>
        </w:tc>
        <w:tc>
          <w:tcPr>
            <w:tcW w:w="1429" w:type="dxa"/>
            <w:tcBorders>
              <w:top w:val="nil"/>
              <w:left w:val="nil"/>
              <w:bottom w:val="nil"/>
              <w:right w:val="nil"/>
            </w:tcBorders>
          </w:tcPr>
          <w:p w:rsidR="006A19F7" w:rsidRPr="00D024DD" w:rsidRDefault="006A19F7" w:rsidP="00181BD0">
            <w:pPr>
              <w:jc w:val="center"/>
            </w:pPr>
            <w:r>
              <w:t>80</w:t>
            </w:r>
          </w:p>
        </w:tc>
        <w:tc>
          <w:tcPr>
            <w:tcW w:w="1245" w:type="dxa"/>
            <w:tcBorders>
              <w:top w:val="nil"/>
              <w:left w:val="nil"/>
              <w:bottom w:val="nil"/>
              <w:right w:val="nil"/>
            </w:tcBorders>
          </w:tcPr>
          <w:p w:rsidR="006A19F7" w:rsidRPr="00D024DD" w:rsidRDefault="006A19F7" w:rsidP="00181BD0">
            <w:pPr>
              <w:jc w:val="center"/>
            </w:pPr>
            <w:r>
              <w:t>2.5</w:t>
            </w:r>
          </w:p>
        </w:tc>
        <w:tc>
          <w:tcPr>
            <w:tcW w:w="1255" w:type="dxa"/>
            <w:tcBorders>
              <w:top w:val="nil"/>
              <w:left w:val="nil"/>
              <w:bottom w:val="nil"/>
              <w:right w:val="nil"/>
            </w:tcBorders>
          </w:tcPr>
          <w:p w:rsidR="006A19F7" w:rsidRDefault="006A19F7" w:rsidP="00181BD0">
            <w:pPr>
              <w:jc w:val="center"/>
            </w:pPr>
            <w:r>
              <w:t>0.30</w:t>
            </w:r>
          </w:p>
        </w:tc>
      </w:tr>
      <w:tr w:rsidR="006A19F7" w:rsidTr="00181BD0">
        <w:tc>
          <w:tcPr>
            <w:tcW w:w="1810" w:type="dxa"/>
            <w:tcBorders>
              <w:top w:val="nil"/>
              <w:left w:val="nil"/>
              <w:bottom w:val="nil"/>
              <w:right w:val="nil"/>
            </w:tcBorders>
          </w:tcPr>
          <w:p w:rsidR="006A19F7" w:rsidRPr="00D024DD" w:rsidRDefault="006A19F7" w:rsidP="00181BD0">
            <w:r>
              <w:t xml:space="preserve">Mason, </w:t>
            </w:r>
            <w:proofErr w:type="spellStart"/>
            <w:r>
              <w:t>Steagall</w:t>
            </w:r>
            <w:proofErr w:type="spellEnd"/>
            <w:r>
              <w:t xml:space="preserve"> and </w:t>
            </w:r>
            <w:proofErr w:type="spellStart"/>
            <w:r>
              <w:t>Fabritius</w:t>
            </w:r>
            <w:proofErr w:type="spellEnd"/>
            <w:r>
              <w:t xml:space="preserve"> (MSF)</w:t>
            </w:r>
          </w:p>
        </w:tc>
        <w:tc>
          <w:tcPr>
            <w:tcW w:w="746" w:type="dxa"/>
            <w:tcBorders>
              <w:top w:val="nil"/>
              <w:left w:val="nil"/>
              <w:bottom w:val="nil"/>
              <w:right w:val="nil"/>
            </w:tcBorders>
          </w:tcPr>
          <w:p w:rsidR="006A19F7" w:rsidRPr="00D024DD" w:rsidRDefault="006A19F7" w:rsidP="00181BD0">
            <w:r>
              <w:t>1997</w:t>
            </w:r>
          </w:p>
        </w:tc>
        <w:tc>
          <w:tcPr>
            <w:tcW w:w="1328" w:type="dxa"/>
            <w:tcBorders>
              <w:top w:val="nil"/>
              <w:left w:val="nil"/>
              <w:bottom w:val="nil"/>
              <w:right w:val="nil"/>
            </w:tcBorders>
          </w:tcPr>
          <w:p w:rsidR="006A19F7" w:rsidRPr="00D024DD" w:rsidRDefault="006A19F7" w:rsidP="00181BD0">
            <w:r>
              <w:t>Perceptions</w:t>
            </w:r>
          </w:p>
        </w:tc>
        <w:tc>
          <w:tcPr>
            <w:tcW w:w="1429" w:type="dxa"/>
            <w:tcBorders>
              <w:top w:val="nil"/>
              <w:left w:val="nil"/>
              <w:bottom w:val="nil"/>
              <w:right w:val="nil"/>
            </w:tcBorders>
          </w:tcPr>
          <w:p w:rsidR="006A19F7" w:rsidRPr="00D024DD" w:rsidRDefault="006A19F7" w:rsidP="00181BD0">
            <w:pPr>
              <w:jc w:val="center"/>
            </w:pPr>
            <w:r>
              <w:t>38.7</w:t>
            </w:r>
          </w:p>
        </w:tc>
        <w:tc>
          <w:tcPr>
            <w:tcW w:w="1429" w:type="dxa"/>
            <w:tcBorders>
              <w:top w:val="nil"/>
              <w:left w:val="nil"/>
              <w:bottom w:val="nil"/>
              <w:right w:val="nil"/>
            </w:tcBorders>
          </w:tcPr>
          <w:p w:rsidR="006A19F7" w:rsidRPr="00D024DD" w:rsidRDefault="006A19F7" w:rsidP="00181BD0">
            <w:pPr>
              <w:jc w:val="center"/>
            </w:pPr>
            <w:r>
              <w:t>75</w:t>
            </w:r>
          </w:p>
        </w:tc>
        <w:tc>
          <w:tcPr>
            <w:tcW w:w="1245" w:type="dxa"/>
            <w:tcBorders>
              <w:top w:val="nil"/>
              <w:left w:val="nil"/>
              <w:bottom w:val="nil"/>
              <w:right w:val="nil"/>
            </w:tcBorders>
          </w:tcPr>
          <w:p w:rsidR="006A19F7" w:rsidRPr="00D024DD" w:rsidRDefault="006A19F7" w:rsidP="00181BD0">
            <w:pPr>
              <w:jc w:val="center"/>
            </w:pPr>
            <w:r>
              <w:t>1.7</w:t>
            </w:r>
          </w:p>
        </w:tc>
        <w:tc>
          <w:tcPr>
            <w:tcW w:w="1255" w:type="dxa"/>
            <w:tcBorders>
              <w:top w:val="nil"/>
              <w:left w:val="nil"/>
              <w:bottom w:val="nil"/>
              <w:right w:val="nil"/>
            </w:tcBorders>
          </w:tcPr>
          <w:p w:rsidR="006A19F7" w:rsidRDefault="006A19F7" w:rsidP="00181BD0">
            <w:pPr>
              <w:jc w:val="center"/>
            </w:pPr>
            <w:r>
              <w:t>0.72</w:t>
            </w:r>
          </w:p>
        </w:tc>
      </w:tr>
      <w:tr w:rsidR="006A19F7" w:rsidTr="00181BD0">
        <w:tc>
          <w:tcPr>
            <w:tcW w:w="1810" w:type="dxa"/>
            <w:tcBorders>
              <w:top w:val="nil"/>
              <w:left w:val="nil"/>
              <w:bottom w:val="nil"/>
              <w:right w:val="nil"/>
            </w:tcBorders>
          </w:tcPr>
          <w:p w:rsidR="006A19F7" w:rsidRPr="00BC0F7B" w:rsidRDefault="006A19F7" w:rsidP="00181BD0">
            <w:r>
              <w:t>Excellence in Research for Australia (ERA)</w:t>
            </w:r>
            <w:r>
              <w:rPr>
                <w:vertAlign w:val="superscript"/>
              </w:rPr>
              <w:t>2</w:t>
            </w:r>
          </w:p>
        </w:tc>
        <w:tc>
          <w:tcPr>
            <w:tcW w:w="746" w:type="dxa"/>
            <w:tcBorders>
              <w:top w:val="nil"/>
              <w:left w:val="nil"/>
              <w:bottom w:val="nil"/>
              <w:right w:val="nil"/>
            </w:tcBorders>
          </w:tcPr>
          <w:p w:rsidR="006A19F7" w:rsidRPr="00D024DD" w:rsidRDefault="006A19F7" w:rsidP="00181BD0">
            <w:r>
              <w:t>2008</w:t>
            </w:r>
          </w:p>
        </w:tc>
        <w:tc>
          <w:tcPr>
            <w:tcW w:w="1328" w:type="dxa"/>
            <w:tcBorders>
              <w:top w:val="nil"/>
              <w:left w:val="nil"/>
              <w:bottom w:val="nil"/>
              <w:right w:val="nil"/>
            </w:tcBorders>
          </w:tcPr>
          <w:p w:rsidR="006A19F7" w:rsidRPr="00D024DD" w:rsidRDefault="006A19F7" w:rsidP="00181BD0">
            <w:r>
              <w:t>Perceptions</w:t>
            </w:r>
          </w:p>
        </w:tc>
        <w:tc>
          <w:tcPr>
            <w:tcW w:w="1429" w:type="dxa"/>
            <w:tcBorders>
              <w:top w:val="nil"/>
              <w:left w:val="nil"/>
              <w:bottom w:val="nil"/>
              <w:right w:val="nil"/>
            </w:tcBorders>
          </w:tcPr>
          <w:p w:rsidR="006A19F7" w:rsidRPr="00D024DD" w:rsidRDefault="006A19F7" w:rsidP="00181BD0">
            <w:pPr>
              <w:jc w:val="center"/>
            </w:pPr>
            <w:r>
              <w:t>86.3</w:t>
            </w:r>
          </w:p>
        </w:tc>
        <w:tc>
          <w:tcPr>
            <w:tcW w:w="1429" w:type="dxa"/>
            <w:tcBorders>
              <w:top w:val="nil"/>
              <w:left w:val="nil"/>
              <w:bottom w:val="nil"/>
              <w:right w:val="nil"/>
            </w:tcBorders>
          </w:tcPr>
          <w:p w:rsidR="006A19F7" w:rsidRPr="00D024DD" w:rsidRDefault="006A19F7" w:rsidP="00181BD0">
            <w:pPr>
              <w:jc w:val="center"/>
            </w:pPr>
            <w:r>
              <w:t>100</w:t>
            </w:r>
          </w:p>
        </w:tc>
        <w:tc>
          <w:tcPr>
            <w:tcW w:w="1245" w:type="dxa"/>
            <w:tcBorders>
              <w:top w:val="nil"/>
              <w:left w:val="nil"/>
              <w:bottom w:val="nil"/>
              <w:right w:val="nil"/>
            </w:tcBorders>
          </w:tcPr>
          <w:p w:rsidR="006A19F7" w:rsidRPr="00D024DD" w:rsidRDefault="006A19F7" w:rsidP="00181BD0">
            <w:pPr>
              <w:jc w:val="center"/>
            </w:pPr>
            <w:r>
              <w:t>1.3</w:t>
            </w:r>
          </w:p>
        </w:tc>
        <w:tc>
          <w:tcPr>
            <w:tcW w:w="1255" w:type="dxa"/>
            <w:tcBorders>
              <w:top w:val="nil"/>
              <w:left w:val="nil"/>
              <w:bottom w:val="nil"/>
              <w:right w:val="nil"/>
            </w:tcBorders>
          </w:tcPr>
          <w:p w:rsidR="006A19F7" w:rsidRDefault="006A19F7" w:rsidP="00181BD0">
            <w:pPr>
              <w:jc w:val="center"/>
            </w:pPr>
            <w:r>
              <w:t>0.26</w:t>
            </w:r>
          </w:p>
        </w:tc>
      </w:tr>
      <w:tr w:rsidR="006A19F7" w:rsidTr="00181BD0">
        <w:tc>
          <w:tcPr>
            <w:tcW w:w="1810" w:type="dxa"/>
            <w:tcBorders>
              <w:top w:val="nil"/>
              <w:left w:val="nil"/>
              <w:bottom w:val="nil"/>
              <w:right w:val="nil"/>
            </w:tcBorders>
          </w:tcPr>
          <w:p w:rsidR="006A19F7" w:rsidRPr="00BC0F7B" w:rsidRDefault="006A19F7" w:rsidP="00181BD0">
            <w:pPr>
              <w:rPr>
                <w:vertAlign w:val="superscript"/>
              </w:rPr>
            </w:pPr>
            <w:r>
              <w:t>Economic Society of Australia (ESA)</w:t>
            </w:r>
            <w:r>
              <w:rPr>
                <w:vertAlign w:val="superscript"/>
              </w:rPr>
              <w:t>2</w:t>
            </w:r>
          </w:p>
        </w:tc>
        <w:tc>
          <w:tcPr>
            <w:tcW w:w="746" w:type="dxa"/>
            <w:tcBorders>
              <w:top w:val="nil"/>
              <w:left w:val="nil"/>
              <w:bottom w:val="nil"/>
              <w:right w:val="nil"/>
            </w:tcBorders>
          </w:tcPr>
          <w:p w:rsidR="006A19F7" w:rsidRPr="00D024DD" w:rsidRDefault="006A19F7" w:rsidP="00181BD0">
            <w:r>
              <w:t>2008</w:t>
            </w:r>
          </w:p>
        </w:tc>
        <w:tc>
          <w:tcPr>
            <w:tcW w:w="1328" w:type="dxa"/>
            <w:tcBorders>
              <w:top w:val="nil"/>
              <w:left w:val="nil"/>
              <w:bottom w:val="nil"/>
              <w:right w:val="nil"/>
            </w:tcBorders>
          </w:tcPr>
          <w:p w:rsidR="006A19F7" w:rsidRPr="00D024DD" w:rsidRDefault="006A19F7" w:rsidP="00181BD0">
            <w:r>
              <w:t>Perceptions</w:t>
            </w:r>
          </w:p>
        </w:tc>
        <w:tc>
          <w:tcPr>
            <w:tcW w:w="1429" w:type="dxa"/>
            <w:tcBorders>
              <w:top w:val="nil"/>
              <w:left w:val="nil"/>
              <w:bottom w:val="nil"/>
              <w:right w:val="nil"/>
            </w:tcBorders>
          </w:tcPr>
          <w:p w:rsidR="006A19F7" w:rsidRPr="00D024DD" w:rsidRDefault="006A19F7" w:rsidP="00181BD0">
            <w:pPr>
              <w:jc w:val="center"/>
            </w:pPr>
            <w:r>
              <w:t>93.4</w:t>
            </w:r>
          </w:p>
        </w:tc>
        <w:tc>
          <w:tcPr>
            <w:tcW w:w="1429" w:type="dxa"/>
            <w:tcBorders>
              <w:top w:val="nil"/>
              <w:left w:val="nil"/>
              <w:bottom w:val="nil"/>
              <w:right w:val="nil"/>
            </w:tcBorders>
          </w:tcPr>
          <w:p w:rsidR="006A19F7" w:rsidRPr="00D024DD" w:rsidRDefault="006A19F7" w:rsidP="00181BD0">
            <w:pPr>
              <w:jc w:val="center"/>
            </w:pPr>
            <w:r>
              <w:t>100</w:t>
            </w:r>
          </w:p>
        </w:tc>
        <w:tc>
          <w:tcPr>
            <w:tcW w:w="1245" w:type="dxa"/>
            <w:tcBorders>
              <w:top w:val="nil"/>
              <w:left w:val="nil"/>
              <w:bottom w:val="nil"/>
              <w:right w:val="nil"/>
            </w:tcBorders>
          </w:tcPr>
          <w:p w:rsidR="006A19F7" w:rsidRPr="00D024DD" w:rsidRDefault="006A19F7" w:rsidP="00181BD0">
            <w:pPr>
              <w:jc w:val="center"/>
            </w:pPr>
            <w:r>
              <w:t>1.3</w:t>
            </w:r>
          </w:p>
        </w:tc>
        <w:tc>
          <w:tcPr>
            <w:tcW w:w="1255" w:type="dxa"/>
            <w:tcBorders>
              <w:top w:val="nil"/>
              <w:left w:val="nil"/>
              <w:bottom w:val="nil"/>
              <w:right w:val="nil"/>
            </w:tcBorders>
          </w:tcPr>
          <w:p w:rsidR="006A19F7" w:rsidRDefault="006A19F7" w:rsidP="00181BD0">
            <w:pPr>
              <w:jc w:val="center"/>
            </w:pPr>
            <w:r>
              <w:t>0.31</w:t>
            </w:r>
          </w:p>
        </w:tc>
      </w:tr>
      <w:tr w:rsidR="006A19F7" w:rsidTr="00181BD0">
        <w:tc>
          <w:tcPr>
            <w:tcW w:w="1810" w:type="dxa"/>
            <w:tcBorders>
              <w:top w:val="nil"/>
              <w:left w:val="nil"/>
              <w:bottom w:val="nil"/>
              <w:right w:val="nil"/>
            </w:tcBorders>
          </w:tcPr>
          <w:p w:rsidR="006A19F7" w:rsidRDefault="006A19F7" w:rsidP="00181BD0">
            <w:r>
              <w:t>Gibson (Gibson)</w:t>
            </w:r>
          </w:p>
        </w:tc>
        <w:tc>
          <w:tcPr>
            <w:tcW w:w="746" w:type="dxa"/>
            <w:tcBorders>
              <w:top w:val="nil"/>
              <w:left w:val="nil"/>
              <w:bottom w:val="nil"/>
              <w:right w:val="nil"/>
            </w:tcBorders>
          </w:tcPr>
          <w:p w:rsidR="006A19F7" w:rsidRDefault="006A19F7" w:rsidP="00181BD0">
            <w:r>
              <w:t>2000</w:t>
            </w:r>
          </w:p>
        </w:tc>
        <w:tc>
          <w:tcPr>
            <w:tcW w:w="1328" w:type="dxa"/>
            <w:tcBorders>
              <w:top w:val="nil"/>
              <w:left w:val="nil"/>
              <w:bottom w:val="nil"/>
              <w:right w:val="nil"/>
            </w:tcBorders>
          </w:tcPr>
          <w:p w:rsidR="006A19F7" w:rsidRDefault="006A19F7" w:rsidP="00181BD0">
            <w:r>
              <w:t>Labour Market  Estimation</w:t>
            </w:r>
          </w:p>
        </w:tc>
        <w:tc>
          <w:tcPr>
            <w:tcW w:w="1429" w:type="dxa"/>
            <w:tcBorders>
              <w:top w:val="nil"/>
              <w:left w:val="nil"/>
              <w:bottom w:val="nil"/>
              <w:right w:val="nil"/>
            </w:tcBorders>
          </w:tcPr>
          <w:p w:rsidR="006A19F7" w:rsidRDefault="006A19F7" w:rsidP="00181BD0">
            <w:pPr>
              <w:jc w:val="center"/>
            </w:pPr>
            <w:r>
              <w:t>100</w:t>
            </w:r>
          </w:p>
        </w:tc>
        <w:tc>
          <w:tcPr>
            <w:tcW w:w="1429" w:type="dxa"/>
            <w:tcBorders>
              <w:top w:val="nil"/>
              <w:left w:val="nil"/>
              <w:bottom w:val="nil"/>
              <w:right w:val="nil"/>
            </w:tcBorders>
          </w:tcPr>
          <w:p w:rsidR="006A19F7" w:rsidRDefault="006A19F7" w:rsidP="00181BD0">
            <w:pPr>
              <w:jc w:val="center"/>
            </w:pPr>
            <w:r>
              <w:t>64</w:t>
            </w:r>
          </w:p>
        </w:tc>
        <w:tc>
          <w:tcPr>
            <w:tcW w:w="1245" w:type="dxa"/>
            <w:tcBorders>
              <w:top w:val="nil"/>
              <w:left w:val="nil"/>
              <w:bottom w:val="nil"/>
              <w:right w:val="nil"/>
            </w:tcBorders>
          </w:tcPr>
          <w:p w:rsidR="006A19F7" w:rsidRPr="00D024DD" w:rsidRDefault="006A19F7" w:rsidP="00181BD0">
            <w:pPr>
              <w:jc w:val="center"/>
            </w:pPr>
            <w:r>
              <w:t>2.9</w:t>
            </w:r>
          </w:p>
        </w:tc>
        <w:tc>
          <w:tcPr>
            <w:tcW w:w="1255" w:type="dxa"/>
            <w:tcBorders>
              <w:top w:val="nil"/>
              <w:left w:val="nil"/>
              <w:bottom w:val="nil"/>
              <w:right w:val="nil"/>
            </w:tcBorders>
          </w:tcPr>
          <w:p w:rsidR="006A19F7" w:rsidRDefault="006A19F7" w:rsidP="00181BD0">
            <w:pPr>
              <w:jc w:val="center"/>
            </w:pPr>
            <w:r>
              <w:t>0.54</w:t>
            </w:r>
          </w:p>
        </w:tc>
      </w:tr>
      <w:tr w:rsidR="006A19F7" w:rsidTr="00181BD0">
        <w:tc>
          <w:tcPr>
            <w:tcW w:w="1810" w:type="dxa"/>
            <w:tcBorders>
              <w:top w:val="nil"/>
              <w:left w:val="nil"/>
              <w:bottom w:val="single" w:sz="4" w:space="0" w:color="auto"/>
              <w:right w:val="nil"/>
            </w:tcBorders>
          </w:tcPr>
          <w:p w:rsidR="006A19F7" w:rsidRDefault="006A19F7" w:rsidP="00181BD0">
            <w:r>
              <w:t>Equal</w:t>
            </w:r>
          </w:p>
        </w:tc>
        <w:tc>
          <w:tcPr>
            <w:tcW w:w="746" w:type="dxa"/>
            <w:tcBorders>
              <w:top w:val="nil"/>
              <w:left w:val="nil"/>
              <w:bottom w:val="single" w:sz="4" w:space="0" w:color="auto"/>
              <w:right w:val="nil"/>
            </w:tcBorders>
          </w:tcPr>
          <w:p w:rsidR="006A19F7" w:rsidRDefault="006A19F7" w:rsidP="00181BD0"/>
        </w:tc>
        <w:tc>
          <w:tcPr>
            <w:tcW w:w="1328" w:type="dxa"/>
            <w:tcBorders>
              <w:top w:val="nil"/>
              <w:left w:val="nil"/>
              <w:bottom w:val="single" w:sz="4" w:space="0" w:color="auto"/>
              <w:right w:val="nil"/>
            </w:tcBorders>
          </w:tcPr>
          <w:p w:rsidR="006A19F7" w:rsidRDefault="006A19F7" w:rsidP="00181BD0"/>
        </w:tc>
        <w:tc>
          <w:tcPr>
            <w:tcW w:w="1429" w:type="dxa"/>
            <w:tcBorders>
              <w:top w:val="nil"/>
              <w:left w:val="nil"/>
              <w:bottom w:val="single" w:sz="4" w:space="0" w:color="auto"/>
              <w:right w:val="nil"/>
            </w:tcBorders>
          </w:tcPr>
          <w:p w:rsidR="006A19F7" w:rsidRDefault="006A19F7" w:rsidP="00181BD0">
            <w:pPr>
              <w:jc w:val="center"/>
            </w:pPr>
            <w:r>
              <w:t>100</w:t>
            </w:r>
          </w:p>
        </w:tc>
        <w:tc>
          <w:tcPr>
            <w:tcW w:w="1429" w:type="dxa"/>
            <w:tcBorders>
              <w:top w:val="nil"/>
              <w:left w:val="nil"/>
              <w:bottom w:val="single" w:sz="4" w:space="0" w:color="auto"/>
              <w:right w:val="nil"/>
            </w:tcBorders>
          </w:tcPr>
          <w:p w:rsidR="006A19F7" w:rsidRDefault="006A19F7" w:rsidP="00181BD0">
            <w:pPr>
              <w:jc w:val="center"/>
            </w:pPr>
            <w:r>
              <w:t>100</w:t>
            </w:r>
          </w:p>
        </w:tc>
        <w:tc>
          <w:tcPr>
            <w:tcW w:w="1245" w:type="dxa"/>
            <w:tcBorders>
              <w:top w:val="nil"/>
              <w:left w:val="nil"/>
              <w:bottom w:val="single" w:sz="4" w:space="0" w:color="auto"/>
              <w:right w:val="nil"/>
            </w:tcBorders>
          </w:tcPr>
          <w:p w:rsidR="006A19F7" w:rsidRDefault="006A19F7" w:rsidP="00181BD0">
            <w:pPr>
              <w:jc w:val="center"/>
            </w:pPr>
            <w:r>
              <w:t>100</w:t>
            </w:r>
          </w:p>
        </w:tc>
        <w:tc>
          <w:tcPr>
            <w:tcW w:w="1255" w:type="dxa"/>
            <w:tcBorders>
              <w:top w:val="nil"/>
              <w:left w:val="nil"/>
              <w:bottom w:val="single" w:sz="4" w:space="0" w:color="auto"/>
              <w:right w:val="nil"/>
            </w:tcBorders>
          </w:tcPr>
          <w:p w:rsidR="006A19F7" w:rsidRDefault="006A19F7" w:rsidP="00181BD0">
            <w:pPr>
              <w:jc w:val="center"/>
            </w:pPr>
            <w:r>
              <w:t>0.00</w:t>
            </w:r>
          </w:p>
        </w:tc>
      </w:tr>
      <w:tr w:rsidR="006A19F7" w:rsidRPr="00E95066" w:rsidTr="00181BD0">
        <w:tc>
          <w:tcPr>
            <w:tcW w:w="9242" w:type="dxa"/>
            <w:gridSpan w:val="7"/>
            <w:tcBorders>
              <w:left w:val="nil"/>
              <w:bottom w:val="nil"/>
              <w:right w:val="nil"/>
            </w:tcBorders>
          </w:tcPr>
          <w:p w:rsidR="006A19F7" w:rsidRPr="002C3EC8" w:rsidRDefault="006A19F7" w:rsidP="00181BD0">
            <w:pPr>
              <w:rPr>
                <w:sz w:val="20"/>
                <w:szCs w:val="20"/>
              </w:rPr>
            </w:pPr>
            <w:r w:rsidRPr="002C3EC8">
              <w:rPr>
                <w:sz w:val="20"/>
                <w:szCs w:val="20"/>
                <w:vertAlign w:val="superscript"/>
              </w:rPr>
              <w:t>1</w:t>
            </w:r>
            <w:r w:rsidRPr="002C3EC8">
              <w:rPr>
                <w:sz w:val="20"/>
                <w:szCs w:val="20"/>
              </w:rPr>
              <w:t xml:space="preserve">The </w:t>
            </w:r>
            <w:r w:rsidRPr="002C3EC8">
              <w:rPr>
                <w:i/>
                <w:iCs/>
                <w:sz w:val="20"/>
                <w:szCs w:val="20"/>
              </w:rPr>
              <w:t xml:space="preserve">Economic Record </w:t>
            </w:r>
            <w:r w:rsidRPr="002C3EC8">
              <w:rPr>
                <w:sz w:val="20"/>
                <w:szCs w:val="20"/>
              </w:rPr>
              <w:t xml:space="preserve">is used here as the </w:t>
            </w:r>
            <w:r w:rsidRPr="002C3EC8">
              <w:rPr>
                <w:i/>
                <w:iCs/>
                <w:sz w:val="20"/>
                <w:szCs w:val="20"/>
              </w:rPr>
              <w:t xml:space="preserve">New Zealand Economic Papers </w:t>
            </w:r>
            <w:r w:rsidRPr="002C3EC8">
              <w:rPr>
                <w:sz w:val="20"/>
                <w:szCs w:val="20"/>
              </w:rPr>
              <w:t>is not given a weight by a number of schemes.</w:t>
            </w:r>
          </w:p>
          <w:p w:rsidR="006A19F7" w:rsidRPr="00E95066" w:rsidRDefault="006A19F7" w:rsidP="00181BD0">
            <w:r w:rsidRPr="002C3EC8">
              <w:rPr>
                <w:sz w:val="20"/>
                <w:szCs w:val="20"/>
                <w:vertAlign w:val="superscript"/>
              </w:rPr>
              <w:t>2</w:t>
            </w:r>
            <w:r w:rsidRPr="002C3EC8">
              <w:rPr>
                <w:sz w:val="20"/>
                <w:szCs w:val="20"/>
              </w:rPr>
              <w:t>For ERA and ESA weights of 4</w:t>
            </w:r>
            <w:proofErr w:type="gramStart"/>
            <w:r w:rsidRPr="002C3EC8">
              <w:rPr>
                <w:sz w:val="20"/>
                <w:szCs w:val="20"/>
              </w:rPr>
              <w:t>,3,2</w:t>
            </w:r>
            <w:proofErr w:type="gramEnd"/>
            <w:r w:rsidRPr="002C3EC8">
              <w:rPr>
                <w:sz w:val="20"/>
                <w:szCs w:val="20"/>
              </w:rPr>
              <w:t xml:space="preserve"> and 1 are assigned to assessed grades of A*, A, B and C respectively.</w:t>
            </w:r>
          </w:p>
        </w:tc>
      </w:tr>
    </w:tbl>
    <w:p w:rsidR="006A19F7" w:rsidRDefault="006A19F7" w:rsidP="004735C6">
      <w:pPr>
        <w:jc w:val="both"/>
      </w:pPr>
    </w:p>
    <w:p w:rsidR="00DD033D" w:rsidRDefault="002E2859" w:rsidP="004735C6">
      <w:pPr>
        <w:jc w:val="both"/>
      </w:pPr>
      <w:r>
        <w:lastRenderedPageBreak/>
        <w:t xml:space="preserve">MSF is the widely used weighting scheme suggested by Mason, </w:t>
      </w:r>
      <w:proofErr w:type="spellStart"/>
      <w:r>
        <w:t>Steagall</w:t>
      </w:r>
      <w:proofErr w:type="spellEnd"/>
      <w:r>
        <w:t xml:space="preserve"> and </w:t>
      </w:r>
      <w:proofErr w:type="spellStart"/>
      <w:r>
        <w:t>Fabritius</w:t>
      </w:r>
      <w:proofErr w:type="spellEnd"/>
      <w:r>
        <w:t xml:space="preserve"> (1997)</w:t>
      </w:r>
      <w:r w:rsidR="00D866E2">
        <w:t xml:space="preserve">.  It is </w:t>
      </w:r>
      <w:r>
        <w:t xml:space="preserve">based on the perceptions of chairs of American economics departments obtained from a survey undertaken in 1993.  </w:t>
      </w:r>
      <w:r w:rsidR="000F77CC">
        <w:t>This scheme evaluates only 38.7% of the journals in which New Zealand economist</w:t>
      </w:r>
      <w:r w:rsidR="004735C6">
        <w:t>s</w:t>
      </w:r>
      <w:r w:rsidR="000F77CC">
        <w:t xml:space="preserve"> published over the review period, but the weights applied to the journals evaluated are not </w:t>
      </w:r>
      <w:r w:rsidR="001852B9">
        <w:t>aggressive</w:t>
      </w:r>
      <w:r w:rsidR="000F77CC">
        <w:t>.   For this scheme 1.7</w:t>
      </w:r>
      <w:r>
        <w:t xml:space="preserve"> </w:t>
      </w:r>
      <w:r w:rsidRPr="002E2859">
        <w:rPr>
          <w:i/>
          <w:iCs/>
        </w:rPr>
        <w:t>Economic Record</w:t>
      </w:r>
      <w:r>
        <w:t xml:space="preserve"> pages equat</w:t>
      </w:r>
      <w:r w:rsidR="000F77CC">
        <w:t>e</w:t>
      </w:r>
      <w:r>
        <w:t xml:space="preserve"> to a page in the </w:t>
      </w:r>
      <w:r w:rsidRPr="002E2859">
        <w:rPr>
          <w:i/>
          <w:iCs/>
        </w:rPr>
        <w:t>American Economic Review</w:t>
      </w:r>
      <w:r>
        <w:t xml:space="preserve">.  </w:t>
      </w:r>
      <w:r w:rsidR="000F77CC">
        <w:t>T</w:t>
      </w:r>
      <w:r>
        <w:t xml:space="preserve">he discriminatory power of this weighting scheme lies primarily in </w:t>
      </w:r>
      <w:r w:rsidR="008E73C7">
        <w:t xml:space="preserve">the </w:t>
      </w:r>
      <w:r w:rsidR="00D866E2">
        <w:t xml:space="preserve">relatively small proportion of journals </w:t>
      </w:r>
      <w:r>
        <w:t>included</w:t>
      </w:r>
      <w:r w:rsidR="008E73C7">
        <w:t>,</w:t>
      </w:r>
      <w:r w:rsidR="000F77CC">
        <w:t xml:space="preserve"> </w:t>
      </w:r>
      <w:r w:rsidR="008E73C7">
        <w:t xml:space="preserve">yielding </w:t>
      </w:r>
      <w:r w:rsidR="000F77CC">
        <w:t xml:space="preserve">a relatively high </w:t>
      </w:r>
      <w:proofErr w:type="spellStart"/>
      <w:r w:rsidR="000F77CC">
        <w:t>Gini</w:t>
      </w:r>
      <w:proofErr w:type="spellEnd"/>
      <w:r w:rsidR="000F77CC">
        <w:t xml:space="preserve"> Coefficient of 0.72.</w:t>
      </w:r>
    </w:p>
    <w:p w:rsidR="002E2859" w:rsidRDefault="002E2859" w:rsidP="00DB594A">
      <w:pPr>
        <w:jc w:val="both"/>
      </w:pPr>
      <w:r>
        <w:t xml:space="preserve">ERA is the journal </w:t>
      </w:r>
      <w:r w:rsidR="00313E21">
        <w:t xml:space="preserve">rating </w:t>
      </w:r>
      <w:r>
        <w:t xml:space="preserve">scheme that was part of the Excellence in Research for Australia </w:t>
      </w:r>
      <w:r w:rsidR="004735C6">
        <w:t>assessment</w:t>
      </w:r>
      <w:r>
        <w:t xml:space="preserve">.  It was developed by a committee of the Australian Research Council based on perception information from a variety of sources.  Journals </w:t>
      </w:r>
      <w:r w:rsidR="00D866E2">
        <w:t>are</w:t>
      </w:r>
      <w:r>
        <w:t xml:space="preserve"> assigned ratings of A</w:t>
      </w:r>
      <w:r w:rsidR="009C3A48">
        <w:t>*</w:t>
      </w:r>
      <w:r>
        <w:t>, A, B and C, and some journals are not ranked.</w:t>
      </w:r>
      <w:r w:rsidR="00313E21">
        <w:t xml:space="preserve">  Here these ratings have been converted to a numerical scale with A</w:t>
      </w:r>
      <w:r w:rsidR="009C3A48">
        <w:t>*</w:t>
      </w:r>
      <w:r w:rsidR="00313E21">
        <w:t xml:space="preserve"> receiving a weight of 4 and C a weight of 1.  A large number of journals receive a non-zero rank, </w:t>
      </w:r>
      <w:r w:rsidR="001852B9">
        <w:t xml:space="preserve">thus the scheme is </w:t>
      </w:r>
      <w:r w:rsidR="00D866E2">
        <w:t xml:space="preserve">relatively </w:t>
      </w:r>
      <w:r w:rsidR="001852B9">
        <w:t>comprehensive</w:t>
      </w:r>
      <w:r w:rsidR="00400C78">
        <w:t>,</w:t>
      </w:r>
      <w:r w:rsidR="001852B9">
        <w:t xml:space="preserve"> </w:t>
      </w:r>
      <w:r w:rsidR="00313E21">
        <w:t xml:space="preserve">encompassing 86% of the journal publications by New Zealand Economists between 2000 and 2005.  Under this scheme 1.3 pages in the </w:t>
      </w:r>
      <w:r w:rsidR="00313E21" w:rsidRPr="00DB594A">
        <w:rPr>
          <w:i/>
          <w:iCs/>
        </w:rPr>
        <w:t>Economic Record</w:t>
      </w:r>
      <w:r w:rsidR="00313E21">
        <w:t xml:space="preserve"> would equate to a page in the </w:t>
      </w:r>
      <w:r w:rsidR="00313E21" w:rsidRPr="00DB594A">
        <w:rPr>
          <w:i/>
          <w:iCs/>
        </w:rPr>
        <w:t>American Economic Review</w:t>
      </w:r>
      <w:r w:rsidR="00E9083B">
        <w:t>.</w:t>
      </w:r>
      <w:r w:rsidR="00313E21">
        <w:t xml:space="preserve"> </w:t>
      </w:r>
      <w:r w:rsidR="00DB594A">
        <w:t xml:space="preserve"> T</w:t>
      </w:r>
      <w:r w:rsidR="000F77CC">
        <w:t xml:space="preserve">his is a low-powered weighting scheme with a </w:t>
      </w:r>
      <w:proofErr w:type="spellStart"/>
      <w:r w:rsidR="000F77CC">
        <w:t>Gini</w:t>
      </w:r>
      <w:proofErr w:type="spellEnd"/>
      <w:r w:rsidR="000F77CC">
        <w:t xml:space="preserve"> </w:t>
      </w:r>
      <w:proofErr w:type="spellStart"/>
      <w:r w:rsidR="000F77CC">
        <w:t>Coefficent</w:t>
      </w:r>
      <w:proofErr w:type="spellEnd"/>
      <w:r w:rsidR="000F77CC">
        <w:t xml:space="preserve"> of 0.26</w:t>
      </w:r>
      <w:r w:rsidR="00DB594A">
        <w:t xml:space="preserve"> given the numerical scores assigned to the grades</w:t>
      </w:r>
      <w:r w:rsidR="000F77CC">
        <w:t>.</w:t>
      </w:r>
    </w:p>
    <w:p w:rsidR="00313E21" w:rsidRDefault="00313E21" w:rsidP="009C3A48">
      <w:pPr>
        <w:jc w:val="both"/>
      </w:pPr>
      <w:r>
        <w:t>ESA is a similar journal rating scheme to ERA</w:t>
      </w:r>
      <w:r w:rsidR="00E9083B">
        <w:t>,</w:t>
      </w:r>
      <w:r>
        <w:t xml:space="preserve"> prepared as part of the ERA process by the Economic Society of Australia (2008).  It is based on a survey of the perceptions of professors of economic</w:t>
      </w:r>
      <w:r w:rsidR="00D866E2">
        <w:t>s</w:t>
      </w:r>
      <w:r>
        <w:t xml:space="preserve"> in Australian economics departments.  Journals </w:t>
      </w:r>
      <w:r w:rsidR="00D866E2">
        <w:t>are</w:t>
      </w:r>
      <w:r>
        <w:t xml:space="preserve"> again rated on an A</w:t>
      </w:r>
      <w:r w:rsidR="009C3A48">
        <w:t>*</w:t>
      </w:r>
      <w:r>
        <w:t xml:space="preserve"> to C basis, and numerical weights of 4 to 1 have been applied here.  </w:t>
      </w:r>
      <w:r w:rsidR="000F77CC">
        <w:t xml:space="preserve">For this scheme </w:t>
      </w:r>
      <w:r>
        <w:t>602 economics journals were rated, including 93% of the journals in which New Zealand economists published between 200</w:t>
      </w:r>
      <w:r w:rsidR="0025635E">
        <w:t>0</w:t>
      </w:r>
      <w:r>
        <w:t xml:space="preserve"> and 2005.</w:t>
      </w:r>
      <w:r w:rsidR="000F77CC">
        <w:t xml:space="preserve">  The </w:t>
      </w:r>
      <w:proofErr w:type="spellStart"/>
      <w:r w:rsidR="000F77CC">
        <w:t>Gini</w:t>
      </w:r>
      <w:proofErr w:type="spellEnd"/>
      <w:r w:rsidR="000F77CC">
        <w:t xml:space="preserve"> Coefficient is 0.31.</w:t>
      </w:r>
    </w:p>
    <w:p w:rsidR="000D7322" w:rsidRDefault="00313E21" w:rsidP="001C0DF8">
      <w:pPr>
        <w:jc w:val="both"/>
      </w:pPr>
      <w:r>
        <w:t xml:space="preserve">Gibson is </w:t>
      </w:r>
      <w:r w:rsidR="00647BA8">
        <w:t>the</w:t>
      </w:r>
      <w:r w:rsidR="000F77CC">
        <w:t xml:space="preserve"> </w:t>
      </w:r>
      <w:r>
        <w:t>journal weighting scheme developed by Gibson (2000).  Unlike the other weighting schemes</w:t>
      </w:r>
      <w:r w:rsidR="00E9083B">
        <w:t>,</w:t>
      </w:r>
      <w:r>
        <w:t xml:space="preserve"> it was based on an econometric analysis of the hiring and promotion decisions of New Zealand economics departments</w:t>
      </w:r>
      <w:r w:rsidR="006E4F9F">
        <w:t xml:space="preserve">.  Journals were placed in four classes using the earlier work of </w:t>
      </w:r>
      <w:proofErr w:type="spellStart"/>
      <w:r w:rsidR="006E4F9F">
        <w:t>Towe</w:t>
      </w:r>
      <w:proofErr w:type="spellEnd"/>
      <w:r w:rsidR="006E4F9F">
        <w:t xml:space="preserve"> and Wright (</w:t>
      </w:r>
      <w:r w:rsidR="00E9083B">
        <w:t>1997</w:t>
      </w:r>
      <w:r w:rsidR="006E4F9F">
        <w:t>).  All publications receive some weight under this scheme</w:t>
      </w:r>
      <w:r w:rsidR="00E9083B">
        <w:t>,</w:t>
      </w:r>
      <w:r w:rsidR="006E4F9F">
        <w:t xml:space="preserve"> and 20 pages in the </w:t>
      </w:r>
      <w:r w:rsidR="006E4F9F" w:rsidRPr="006E4F9F">
        <w:rPr>
          <w:i/>
          <w:iCs/>
        </w:rPr>
        <w:t>Economic Record</w:t>
      </w:r>
      <w:r w:rsidR="006E4F9F">
        <w:t xml:space="preserve"> </w:t>
      </w:r>
      <w:r w:rsidR="00E9083B">
        <w:t xml:space="preserve">equates </w:t>
      </w:r>
      <w:r w:rsidR="006E4F9F">
        <w:t xml:space="preserve">to one page in the </w:t>
      </w:r>
      <w:r w:rsidR="006E4F9F" w:rsidRPr="006E4F9F">
        <w:rPr>
          <w:i/>
          <w:iCs/>
        </w:rPr>
        <w:t>American Economic Review</w:t>
      </w:r>
      <w:r w:rsidR="006E4F9F">
        <w:t>.</w:t>
      </w:r>
      <w:r>
        <w:t xml:space="preserve"> </w:t>
      </w:r>
      <w:r w:rsidR="000F77CC">
        <w:t xml:space="preserve">  Although </w:t>
      </w:r>
      <w:r w:rsidR="001852B9">
        <w:t>this scheme is comprehensive</w:t>
      </w:r>
      <w:r w:rsidR="0025635E">
        <w:t>,</w:t>
      </w:r>
      <w:r w:rsidR="00D866E2">
        <w:t xml:space="preserve"> as</w:t>
      </w:r>
      <w:r w:rsidR="001852B9">
        <w:t xml:space="preserve"> </w:t>
      </w:r>
      <w:r w:rsidR="000F77CC">
        <w:t xml:space="preserve">all </w:t>
      </w:r>
      <w:r w:rsidR="009B1C58">
        <w:t>journals</w:t>
      </w:r>
      <w:r w:rsidR="000F77CC">
        <w:t xml:space="preserve"> receive a non-zero </w:t>
      </w:r>
      <w:r w:rsidR="001852B9">
        <w:t xml:space="preserve">weight, </w:t>
      </w:r>
      <w:r w:rsidR="000F77CC">
        <w:t xml:space="preserve">the </w:t>
      </w:r>
      <w:proofErr w:type="spellStart"/>
      <w:r w:rsidR="000F77CC">
        <w:t>Gini</w:t>
      </w:r>
      <w:proofErr w:type="spellEnd"/>
      <w:r w:rsidR="000F77CC">
        <w:t xml:space="preserve"> Coefficient is</w:t>
      </w:r>
      <w:r w:rsidR="00DB594A">
        <w:t xml:space="preserve"> relatively high at</w:t>
      </w:r>
      <w:r w:rsidR="000F77CC">
        <w:t xml:space="preserve"> 0.54.</w:t>
      </w:r>
    </w:p>
    <w:p w:rsidR="002C3EC8" w:rsidRDefault="002C3EC8" w:rsidP="00FD5982">
      <w:pPr>
        <w:rPr>
          <w:b/>
          <w:bCs/>
        </w:rPr>
      </w:pPr>
    </w:p>
    <w:p w:rsidR="00F61B0F" w:rsidRPr="00627025" w:rsidRDefault="00A44DC7" w:rsidP="00FD5982">
      <w:pPr>
        <w:rPr>
          <w:b/>
          <w:bCs/>
        </w:rPr>
      </w:pPr>
      <w:r w:rsidRPr="00627025">
        <w:rPr>
          <w:b/>
          <w:bCs/>
        </w:rPr>
        <w:t xml:space="preserve">PBRF Research Output (RO) </w:t>
      </w:r>
      <w:r w:rsidR="00627025">
        <w:rPr>
          <w:b/>
          <w:bCs/>
        </w:rPr>
        <w:t xml:space="preserve">Scores </w:t>
      </w:r>
      <w:r w:rsidRPr="00627025">
        <w:rPr>
          <w:b/>
          <w:bCs/>
        </w:rPr>
        <w:t>and Journal Based Measures</w:t>
      </w:r>
      <w:r w:rsidR="00627025">
        <w:rPr>
          <w:b/>
          <w:bCs/>
        </w:rPr>
        <w:t xml:space="preserve"> of</w:t>
      </w:r>
      <w:r w:rsidR="00FD5982" w:rsidRPr="00627025">
        <w:rPr>
          <w:b/>
          <w:bCs/>
        </w:rPr>
        <w:t xml:space="preserve"> Research</w:t>
      </w:r>
      <w:r w:rsidR="00627025">
        <w:rPr>
          <w:b/>
          <w:bCs/>
        </w:rPr>
        <w:t xml:space="preserve"> Output</w:t>
      </w:r>
      <w:r w:rsidRPr="00627025">
        <w:rPr>
          <w:b/>
          <w:bCs/>
        </w:rPr>
        <w:t xml:space="preserve"> </w:t>
      </w:r>
      <w:r w:rsidR="00F61B0F" w:rsidRPr="00627025">
        <w:rPr>
          <w:b/>
          <w:bCs/>
        </w:rPr>
        <w:t>– an</w:t>
      </w:r>
      <w:r w:rsidRPr="00627025">
        <w:rPr>
          <w:b/>
          <w:bCs/>
        </w:rPr>
        <w:t xml:space="preserve"> Initial Assessment</w:t>
      </w:r>
    </w:p>
    <w:p w:rsidR="002A1254" w:rsidRDefault="00F61B0F" w:rsidP="00E0253F">
      <w:pPr>
        <w:jc w:val="both"/>
      </w:pPr>
      <w:r>
        <w:t xml:space="preserve">In this section we compare the assessment of research based on the commonly used journal weighting schemes with PBRF </w:t>
      </w:r>
      <w:r w:rsidR="00E0253F">
        <w:t>Research Output (</w:t>
      </w:r>
      <w:r>
        <w:t>RO</w:t>
      </w:r>
      <w:r w:rsidR="00E0253F">
        <w:t>)</w:t>
      </w:r>
      <w:r>
        <w:t xml:space="preserve"> scores</w:t>
      </w:r>
      <w:r w:rsidRPr="00400C78">
        <w:t>.</w:t>
      </w:r>
      <w:r w:rsidR="00A44DC7" w:rsidRPr="00400C78">
        <w:t xml:space="preserve"> </w:t>
      </w:r>
      <w:r w:rsidRPr="00400C78">
        <w:t xml:space="preserve"> In considering this relationship we are </w:t>
      </w:r>
      <w:r w:rsidR="00E0253F">
        <w:t xml:space="preserve">not </w:t>
      </w:r>
      <w:r w:rsidRPr="00400C78">
        <w:t>only concerned with whether the rank or ordering of the individuals assessed by a particular journal-based measure is the same as that implied by the PBRF score</w:t>
      </w:r>
      <w:r w:rsidR="00E0253F">
        <w:t>, but also the relative magnitude of the evaluations</w:t>
      </w:r>
      <w:r w:rsidRPr="00400C78">
        <w:t>.</w:t>
      </w:r>
      <w:r>
        <w:t xml:space="preserve">  </w:t>
      </w:r>
      <w:r w:rsidRPr="00E055C3">
        <w:t>Both the journal-based measures and PBRF RO scores are relevant to the assessment of the relative size of research outcomes.</w:t>
      </w:r>
    </w:p>
    <w:p w:rsidR="00F61B0F" w:rsidRDefault="00F61B0F" w:rsidP="001C0DF8">
      <w:pPr>
        <w:jc w:val="both"/>
      </w:pPr>
      <w:r>
        <w:t>As noted above</w:t>
      </w:r>
      <w:r w:rsidR="001A0733">
        <w:t>,</w:t>
      </w:r>
      <w:r>
        <w:t xml:space="preserve"> the RO scores were based on portfolios that reported on research undertaken between the 1</w:t>
      </w:r>
      <w:r w:rsidRPr="00F61B0F">
        <w:rPr>
          <w:vertAlign w:val="superscript"/>
        </w:rPr>
        <w:t>st</w:t>
      </w:r>
      <w:r>
        <w:t xml:space="preserve"> of January 200</w:t>
      </w:r>
      <w:r w:rsidR="00DA760F">
        <w:t>0</w:t>
      </w:r>
      <w:r>
        <w:t xml:space="preserve"> and December 31, 2005.  We use the journal publications over this </w:t>
      </w:r>
      <w:r>
        <w:lastRenderedPageBreak/>
        <w:t xml:space="preserve">same period for economists submitting new portfolios </w:t>
      </w:r>
      <w:r w:rsidR="00CD1CF1">
        <w:t xml:space="preserve">in 2006 to evaluate research output </w:t>
      </w:r>
      <w:r>
        <w:t xml:space="preserve">using the journal weighting schemes discussed above.  </w:t>
      </w:r>
      <w:r w:rsidR="00CD1CF1">
        <w:t xml:space="preserve"> However, there are two important differences in the scope of the research assessments compared.  </w:t>
      </w:r>
      <w:r w:rsidR="00683FA5">
        <w:t>First, PBRF portfolios allow for the identification of four self-nominated research outputs and descriptions of the research contributions made by these publications.</w:t>
      </w:r>
      <w:r w:rsidR="00683FA5">
        <w:rPr>
          <w:rStyle w:val="FootnoteReference"/>
        </w:rPr>
        <w:footnoteReference w:id="10"/>
      </w:r>
      <w:r w:rsidR="00683FA5">
        <w:t xml:space="preserve">   However, the purpose of the PBRF evaluations is to assess the quality of each individual</w:t>
      </w:r>
      <w:r w:rsidR="001A0733">
        <w:t>’</w:t>
      </w:r>
      <w:r w:rsidR="00683FA5">
        <w:t xml:space="preserve">s overall research contribution over the period.  The gathering of additional information about the four nominated research outputs is part of the PBRF process for making this judgement.  Thus a comparison of all research </w:t>
      </w:r>
      <w:r w:rsidR="001A0733">
        <w:t xml:space="preserve">as measured by both journal weighting schemes and </w:t>
      </w:r>
      <w:r w:rsidR="00683FA5">
        <w:t>the PBRF assessment is relevant to the research question addressed here</w:t>
      </w:r>
      <w:r w:rsidR="001A0733">
        <w:t>in</w:t>
      </w:r>
      <w:r w:rsidR="00683FA5">
        <w:t xml:space="preserve">.  Secondly, </w:t>
      </w:r>
      <w:r w:rsidR="00A76B7D">
        <w:t xml:space="preserve">the </w:t>
      </w:r>
      <w:r w:rsidR="00CD1CF1">
        <w:t>PBRF assessment</w:t>
      </w:r>
      <w:r w:rsidR="0013174C">
        <w:t xml:space="preserve"> </w:t>
      </w:r>
      <w:r w:rsidR="00CD1CF1">
        <w:t xml:space="preserve"> </w:t>
      </w:r>
      <w:r w:rsidR="00A76B7D">
        <w:t xml:space="preserve">covers </w:t>
      </w:r>
      <w:r w:rsidR="00CD1CF1">
        <w:t>a much wider range of research than journal publications.  Thus</w:t>
      </w:r>
      <w:r w:rsidR="00400C78">
        <w:t>,</w:t>
      </w:r>
      <w:r w:rsidR="00CD1CF1">
        <w:t xml:space="preserve"> much of the research described in research portfolios is not represented in the bibliographic analysis of journal publications.</w:t>
      </w:r>
      <w:r w:rsidR="00CD1CF1">
        <w:rPr>
          <w:rStyle w:val="FootnoteReference"/>
        </w:rPr>
        <w:footnoteReference w:id="11"/>
      </w:r>
      <w:r w:rsidR="00CD1CF1">
        <w:t xml:space="preserve">  </w:t>
      </w:r>
    </w:p>
    <w:p w:rsidR="00CD1CF1" w:rsidRDefault="00CD1CF1" w:rsidP="001C0DF8">
      <w:pPr>
        <w:jc w:val="both"/>
      </w:pPr>
      <w:r>
        <w:t xml:space="preserve">In journal weighting schemes changes to the scale of </w:t>
      </w:r>
      <w:r w:rsidR="00DB594A">
        <w:t xml:space="preserve">a </w:t>
      </w:r>
      <w:r>
        <w:t xml:space="preserve">measure do not change the relative weights of different journals or the evaluation of journals that are assessed </w:t>
      </w:r>
      <w:r w:rsidR="009F6A32">
        <w:t xml:space="preserve">compared with </w:t>
      </w:r>
      <w:r>
        <w:t xml:space="preserve">those that are not considered.   </w:t>
      </w:r>
      <w:r w:rsidR="009F6A32">
        <w:t>Correspondingly, the relative research assessments of different academics are not affected by changes in scale of the weights applied.  In general terms other transformations of the weights will change the structure of the research evaluation scheme.  Here we use Pearson correlation coefficients to assess the linear relationship between the assessment of research output using journal weighting schemes and RO assessment scores.  For comparison purposes we provide correlation coefficients for both those submitting new portfolios in 2006 and those carrying over RO scores for portfolios submitted in 2003.</w:t>
      </w:r>
      <w:r w:rsidR="00983711">
        <w:t xml:space="preserve"> </w:t>
      </w:r>
    </w:p>
    <w:p w:rsidR="00183FA9" w:rsidRDefault="009F6A32" w:rsidP="005E29D9">
      <w:pPr>
        <w:jc w:val="both"/>
      </w:pPr>
      <w:r>
        <w:t xml:space="preserve">Table </w:t>
      </w:r>
      <w:r w:rsidR="00F96237">
        <w:t>2</w:t>
      </w:r>
      <w:r>
        <w:t xml:space="preserve"> shows the correlation coefficients for </w:t>
      </w:r>
      <w:r w:rsidR="00850149">
        <w:t xml:space="preserve">all </w:t>
      </w:r>
      <w:r>
        <w:t xml:space="preserve">journal weighting schemes outlined in Table </w:t>
      </w:r>
      <w:r w:rsidR="00F96237">
        <w:t>1,</w:t>
      </w:r>
      <w:r w:rsidR="00983711">
        <w:t xml:space="preserve"> for both </w:t>
      </w:r>
      <w:r w:rsidR="001F3805">
        <w:t>a</w:t>
      </w:r>
      <w:r w:rsidR="00983711">
        <w:t xml:space="preserve"> narrow g</w:t>
      </w:r>
      <w:r w:rsidR="001F3805">
        <w:t xml:space="preserve">roup and all </w:t>
      </w:r>
      <w:r w:rsidR="00983711">
        <w:t>matching economists</w:t>
      </w:r>
      <w:r>
        <w:t xml:space="preserve">.  </w:t>
      </w:r>
      <w:r w:rsidR="001F3805">
        <w:t>The narrow group includes all those that had at least one journal paper over the review period that could be assessed by the journal based weighting schemes (research active) and that received PBRF evaluations on the same criteria (were not new and emerging (NE)).  For the narrow group</w:t>
      </w:r>
      <w:r w:rsidR="00F96237">
        <w:t>,</w:t>
      </w:r>
      <w:r w:rsidR="001F3805">
        <w:t xml:space="preserve"> and </w:t>
      </w:r>
      <w:r>
        <w:t>those submitting new portfolios in 2006</w:t>
      </w:r>
      <w:r w:rsidR="00F96237">
        <w:t>,</w:t>
      </w:r>
      <w:r>
        <w:t xml:space="preserve"> the majority of</w:t>
      </w:r>
      <w:r w:rsidR="00850149">
        <w:t xml:space="preserve"> the journal based </w:t>
      </w:r>
      <w:r>
        <w:t xml:space="preserve">measures are </w:t>
      </w:r>
      <w:r w:rsidR="001F3805">
        <w:t xml:space="preserve">only </w:t>
      </w:r>
      <w:r>
        <w:t>moderately positive</w:t>
      </w:r>
      <w:r w:rsidR="00850149">
        <w:t>ly</w:t>
      </w:r>
      <w:r>
        <w:t xml:space="preserve"> correlated with RO </w:t>
      </w:r>
      <w:r w:rsidR="00F648BE">
        <w:t>research assessment</w:t>
      </w:r>
      <w:r w:rsidR="00850149">
        <w:t>s</w:t>
      </w:r>
      <w:r w:rsidR="00F648BE">
        <w:t xml:space="preserve">.  </w:t>
      </w:r>
      <w:r w:rsidR="001F3805">
        <w:t xml:space="preserve">With the exception of </w:t>
      </w:r>
      <w:r w:rsidR="00F648BE">
        <w:t>the highest powered measures</w:t>
      </w:r>
      <w:r w:rsidR="00F96237">
        <w:t>,</w:t>
      </w:r>
      <w:r w:rsidR="00F648BE">
        <w:t xml:space="preserve"> LP84 and LP94</w:t>
      </w:r>
      <w:r w:rsidR="001F3805">
        <w:t>,</w:t>
      </w:r>
      <w:r w:rsidR="00F648BE">
        <w:t xml:space="preserve"> correlation coefficients are</w:t>
      </w:r>
      <w:r w:rsidR="001F3805">
        <w:t xml:space="preserve"> greater than +0.3</w:t>
      </w:r>
      <w:r w:rsidR="00F648BE">
        <w:t xml:space="preserve">.  What is surprising is that the differences in the correlations between very different measures of journal based research output are quite small.  </w:t>
      </w:r>
      <w:r w:rsidR="00F96237">
        <w:t xml:space="preserve">For example, </w:t>
      </w:r>
      <w:r w:rsidR="00F648BE">
        <w:t xml:space="preserve">Equal which simply gives the same weight to any journal publication is as highly correlated </w:t>
      </w:r>
      <w:r w:rsidR="00F96237">
        <w:t xml:space="preserve">as </w:t>
      </w:r>
      <w:r w:rsidR="00F648BE">
        <w:t>five of the 13</w:t>
      </w:r>
      <w:r w:rsidR="001F3805">
        <w:t xml:space="preserve"> other</w:t>
      </w:r>
      <w:r w:rsidR="00F648BE">
        <w:t xml:space="preserve"> measures.  Relatively high-powered </w:t>
      </w:r>
      <w:r w:rsidR="00F96237">
        <w:t xml:space="preserve">and low coverage </w:t>
      </w:r>
      <w:r w:rsidR="00F648BE">
        <w:t>measures</w:t>
      </w:r>
      <w:r w:rsidR="00F96237">
        <w:t>,</w:t>
      </w:r>
      <w:r w:rsidR="00F648BE">
        <w:t xml:space="preserve"> such as KMS</w:t>
      </w:r>
      <w:r w:rsidR="00F96237">
        <w:t xml:space="preserve">, </w:t>
      </w:r>
      <w:r w:rsidR="001F3805">
        <w:t xml:space="preserve">are </w:t>
      </w:r>
      <w:r w:rsidR="00183FA9">
        <w:t>as</w:t>
      </w:r>
      <w:r w:rsidR="00F648BE">
        <w:t xml:space="preserve"> highly correlated as measures that </w:t>
      </w:r>
      <w:r w:rsidR="001F3805">
        <w:t>are</w:t>
      </w:r>
      <w:r w:rsidR="00F648BE">
        <w:t xml:space="preserve"> very low-powered but incorporate more journals</w:t>
      </w:r>
      <w:r w:rsidR="00183FA9">
        <w:t>, e.g. E</w:t>
      </w:r>
      <w:r w:rsidR="001F3805">
        <w:t>SA</w:t>
      </w:r>
      <w:r w:rsidR="00F648BE">
        <w:t xml:space="preserve">. </w:t>
      </w:r>
      <w:r w:rsidR="00183FA9">
        <w:t xml:space="preserve"> </w:t>
      </w:r>
      <w:r w:rsidR="005E29D9">
        <w:t>However, it must be recognised the correlation coefficients are likely to be influenced by the  lack of variation in RO scores.  Scores are integers ranging between 2 and 7 with approximately 60% of the scores values of 5 or 6.</w:t>
      </w:r>
    </w:p>
    <w:p w:rsidR="00183FA9" w:rsidRDefault="00183FA9" w:rsidP="00306460">
      <w:pPr>
        <w:jc w:val="both"/>
      </w:pPr>
      <w:r>
        <w:t xml:space="preserve">Those carrying over RO scores from the 2003 PBRF assessment are assessed on the basis of different research outputs.  However, for many of the journal weighting schemes the correlation coefficients are very close, and </w:t>
      </w:r>
      <w:r w:rsidR="00F96237">
        <w:t xml:space="preserve">the </w:t>
      </w:r>
      <w:r w:rsidR="00E12216">
        <w:t>majority of carryover correlations are higher (9 o</w:t>
      </w:r>
      <w:r w:rsidR="00F96237">
        <w:t>f</w:t>
      </w:r>
      <w:r w:rsidR="00E12216">
        <w:t xml:space="preserve"> 14)</w:t>
      </w:r>
      <w:r>
        <w:t xml:space="preserve">.  </w:t>
      </w:r>
      <w:r w:rsidR="00E12216">
        <w:t xml:space="preserve"> </w:t>
      </w:r>
      <w:r w:rsidR="00D357C2">
        <w:t>Since the productivity of individual researchers is not likely to</w:t>
      </w:r>
      <w:r w:rsidR="00306460">
        <w:t xml:space="preserve"> have</w:t>
      </w:r>
      <w:r w:rsidR="00D357C2">
        <w:t xml:space="preserve"> change</w:t>
      </w:r>
      <w:r w:rsidR="00306460">
        <w:t>d</w:t>
      </w:r>
      <w:r w:rsidR="00D357C2">
        <w:t xml:space="preserve"> significantly over the three year difference </w:t>
      </w:r>
      <w:r w:rsidR="00D357C2">
        <w:lastRenderedPageBreak/>
        <w:t xml:space="preserve">between </w:t>
      </w:r>
      <w:r w:rsidR="00306460">
        <w:t xml:space="preserve">the </w:t>
      </w:r>
      <w:r w:rsidR="00D357C2">
        <w:t>2003 and 2006 evaluations</w:t>
      </w:r>
      <w:r w:rsidR="00306460">
        <w:t>,</w:t>
      </w:r>
      <w:r w:rsidR="00D357C2">
        <w:t xml:space="preserve"> and as some publications could be included in both assessments</w:t>
      </w:r>
      <w:r w:rsidR="00306460">
        <w:t>,</w:t>
      </w:r>
      <w:r w:rsidR="00D357C2">
        <w:t xml:space="preserve"> it is not surprising that the correlations for those carrying over portfolios are positive and generally significant.  However, higher correlations would be expected for those submitting new portfolios since all journal based research assessed is the same for this group.</w:t>
      </w:r>
      <w:r w:rsidR="00E12216">
        <w:t xml:space="preserve">  </w:t>
      </w:r>
      <w:r w:rsidR="00306460">
        <w:t>It should also be noted that t</w:t>
      </w:r>
      <w:r w:rsidR="00E12216">
        <w:t>hose carrying over portfolios from 2003 are a self-selected group of researchers who: may have been those rated as A researchers in 2003</w:t>
      </w:r>
      <w:r w:rsidR="0025635E">
        <w:t>;</w:t>
      </w:r>
      <w:r w:rsidR="00E12216">
        <w:t xml:space="preserve"> may not have had 2003 evaluations that were close to the cut-offs between scores</w:t>
      </w:r>
      <w:r w:rsidR="0025635E">
        <w:t>;</w:t>
      </w:r>
      <w:r w:rsidR="00E12216">
        <w:t xml:space="preserve"> or those whose research output for the six years prior to 2006 was not better than that prior to 2003.  </w:t>
      </w:r>
    </w:p>
    <w:p w:rsidR="005C61F9" w:rsidRDefault="005C61F9" w:rsidP="00306460">
      <w:pPr>
        <w:jc w:val="both"/>
      </w:pPr>
    </w:p>
    <w:tbl>
      <w:tblPr>
        <w:tblStyle w:val="TableGrid"/>
        <w:tblW w:w="10086" w:type="dxa"/>
        <w:tblLayout w:type="fixed"/>
        <w:tblCellMar>
          <w:top w:w="57" w:type="dxa"/>
          <w:left w:w="113" w:type="dxa"/>
          <w:bottom w:w="57" w:type="dxa"/>
        </w:tblCellMar>
        <w:tblLook w:val="04A0"/>
      </w:tblPr>
      <w:tblGrid>
        <w:gridCol w:w="3510"/>
        <w:gridCol w:w="1644"/>
        <w:gridCol w:w="1644"/>
        <w:gridCol w:w="1644"/>
        <w:gridCol w:w="1644"/>
      </w:tblGrid>
      <w:tr w:rsidR="006A19F7" w:rsidTr="00181BD0">
        <w:tc>
          <w:tcPr>
            <w:tcW w:w="10086" w:type="dxa"/>
            <w:gridSpan w:val="5"/>
            <w:tcBorders>
              <w:top w:val="nil"/>
              <w:left w:val="nil"/>
              <w:bottom w:val="single" w:sz="4" w:space="0" w:color="auto"/>
              <w:right w:val="nil"/>
            </w:tcBorders>
          </w:tcPr>
          <w:p w:rsidR="006A19F7" w:rsidRDefault="006A19F7" w:rsidP="00181BD0">
            <w:pPr>
              <w:jc w:val="center"/>
              <w:rPr>
                <w:b/>
                <w:bCs/>
              </w:rPr>
            </w:pPr>
            <w:r w:rsidRPr="002C3EC8">
              <w:rPr>
                <w:i/>
                <w:iCs/>
              </w:rPr>
              <w:t>Table 2     Pearson Correlation Coefficients between 2006 PBRF RO Scores and Journal Based Measures of Research Output of NZ Economists</w:t>
            </w:r>
            <w:r w:rsidRPr="002C3EC8">
              <w:rPr>
                <w:i/>
                <w:iCs/>
                <w:vertAlign w:val="superscript"/>
              </w:rPr>
              <w:t>1</w:t>
            </w:r>
          </w:p>
        </w:tc>
      </w:tr>
      <w:tr w:rsidR="006A19F7" w:rsidRPr="002C3EC8" w:rsidTr="00181BD0">
        <w:tc>
          <w:tcPr>
            <w:tcW w:w="3510" w:type="dxa"/>
            <w:tcBorders>
              <w:left w:val="nil"/>
              <w:bottom w:val="single" w:sz="4" w:space="0" w:color="auto"/>
              <w:right w:val="nil"/>
            </w:tcBorders>
          </w:tcPr>
          <w:p w:rsidR="006A19F7" w:rsidRPr="002C3EC8" w:rsidRDefault="006A19F7" w:rsidP="00181BD0">
            <w:pPr>
              <w:jc w:val="center"/>
            </w:pPr>
          </w:p>
        </w:tc>
        <w:tc>
          <w:tcPr>
            <w:tcW w:w="3288" w:type="dxa"/>
            <w:gridSpan w:val="2"/>
            <w:tcBorders>
              <w:left w:val="nil"/>
              <w:bottom w:val="single" w:sz="4" w:space="0" w:color="auto"/>
              <w:right w:val="nil"/>
            </w:tcBorders>
          </w:tcPr>
          <w:p w:rsidR="006A19F7" w:rsidRPr="002C3EC8" w:rsidRDefault="006A19F7" w:rsidP="00181BD0">
            <w:pPr>
              <w:jc w:val="center"/>
              <w:rPr>
                <w:vertAlign w:val="superscript"/>
              </w:rPr>
            </w:pPr>
            <w:r w:rsidRPr="002C3EC8">
              <w:t>Research Active, Not NE</w:t>
            </w:r>
            <w:r w:rsidRPr="002C3EC8">
              <w:rPr>
                <w:vertAlign w:val="superscript"/>
              </w:rPr>
              <w:t>2</w:t>
            </w:r>
          </w:p>
        </w:tc>
        <w:tc>
          <w:tcPr>
            <w:tcW w:w="3288" w:type="dxa"/>
            <w:gridSpan w:val="2"/>
            <w:tcBorders>
              <w:left w:val="nil"/>
              <w:bottom w:val="single" w:sz="4" w:space="0" w:color="auto"/>
              <w:right w:val="nil"/>
            </w:tcBorders>
          </w:tcPr>
          <w:p w:rsidR="006A19F7" w:rsidRPr="002C3EC8" w:rsidRDefault="006A19F7" w:rsidP="00181BD0">
            <w:pPr>
              <w:jc w:val="center"/>
            </w:pPr>
            <w:r w:rsidRPr="002C3EC8">
              <w:t>All Matching Researchers</w:t>
            </w:r>
          </w:p>
        </w:tc>
      </w:tr>
      <w:tr w:rsidR="006A19F7" w:rsidRPr="002C3EC8" w:rsidTr="00181BD0">
        <w:tc>
          <w:tcPr>
            <w:tcW w:w="3510" w:type="dxa"/>
            <w:tcBorders>
              <w:top w:val="single" w:sz="4" w:space="0" w:color="auto"/>
              <w:left w:val="nil"/>
              <w:bottom w:val="single" w:sz="4" w:space="0" w:color="auto"/>
              <w:right w:val="nil"/>
            </w:tcBorders>
          </w:tcPr>
          <w:p w:rsidR="006A19F7" w:rsidRPr="002C3EC8" w:rsidRDefault="006A19F7" w:rsidP="00181BD0">
            <w:pPr>
              <w:jc w:val="center"/>
            </w:pPr>
            <w:r w:rsidRPr="002C3EC8">
              <w:t xml:space="preserve"> Weighting Scheme</w:t>
            </w:r>
          </w:p>
        </w:tc>
        <w:tc>
          <w:tcPr>
            <w:tcW w:w="1644" w:type="dxa"/>
            <w:tcBorders>
              <w:top w:val="single" w:sz="4" w:space="0" w:color="auto"/>
              <w:left w:val="nil"/>
              <w:bottom w:val="single" w:sz="4" w:space="0" w:color="auto"/>
              <w:right w:val="nil"/>
            </w:tcBorders>
          </w:tcPr>
          <w:p w:rsidR="006A19F7" w:rsidRPr="002C3EC8" w:rsidRDefault="006A19F7" w:rsidP="00181BD0">
            <w:pPr>
              <w:jc w:val="center"/>
            </w:pPr>
            <w:r w:rsidRPr="002C3EC8">
              <w:t>New Submission and Resubmissions</w:t>
            </w:r>
          </w:p>
          <w:p w:rsidR="006A19F7" w:rsidRPr="002C3EC8" w:rsidRDefault="006A19F7" w:rsidP="00181BD0">
            <w:pPr>
              <w:jc w:val="center"/>
            </w:pPr>
            <w:r w:rsidRPr="002C3EC8">
              <w:t>n = 5</w:t>
            </w:r>
            <w:r>
              <w:t>5</w:t>
            </w:r>
          </w:p>
        </w:tc>
        <w:tc>
          <w:tcPr>
            <w:tcW w:w="1644" w:type="dxa"/>
            <w:tcBorders>
              <w:top w:val="single" w:sz="4" w:space="0" w:color="auto"/>
              <w:left w:val="nil"/>
              <w:bottom w:val="single" w:sz="4" w:space="0" w:color="auto"/>
              <w:right w:val="nil"/>
            </w:tcBorders>
          </w:tcPr>
          <w:p w:rsidR="006A19F7" w:rsidRPr="002C3EC8" w:rsidRDefault="006A19F7" w:rsidP="00181BD0">
            <w:pPr>
              <w:jc w:val="center"/>
            </w:pPr>
            <w:r w:rsidRPr="002C3EC8">
              <w:t xml:space="preserve">Carryovers </w:t>
            </w:r>
          </w:p>
          <w:p w:rsidR="006A19F7" w:rsidRPr="002C3EC8" w:rsidRDefault="006A19F7" w:rsidP="00181BD0">
            <w:pPr>
              <w:jc w:val="center"/>
            </w:pPr>
            <w:r w:rsidRPr="002C3EC8">
              <w:t>n =33</w:t>
            </w:r>
          </w:p>
        </w:tc>
        <w:tc>
          <w:tcPr>
            <w:tcW w:w="1644" w:type="dxa"/>
            <w:tcBorders>
              <w:top w:val="single" w:sz="4" w:space="0" w:color="auto"/>
              <w:left w:val="nil"/>
              <w:bottom w:val="single" w:sz="4" w:space="0" w:color="auto"/>
              <w:right w:val="nil"/>
            </w:tcBorders>
          </w:tcPr>
          <w:p w:rsidR="006A19F7" w:rsidRPr="002C3EC8" w:rsidRDefault="006A19F7" w:rsidP="00181BD0">
            <w:pPr>
              <w:jc w:val="center"/>
            </w:pPr>
            <w:r w:rsidRPr="002C3EC8">
              <w:t>New Submission and Resubmissions</w:t>
            </w:r>
          </w:p>
          <w:p w:rsidR="006A19F7" w:rsidRPr="002C3EC8" w:rsidRDefault="006A19F7" w:rsidP="00181BD0">
            <w:pPr>
              <w:jc w:val="center"/>
            </w:pPr>
            <w:r w:rsidRPr="002C3EC8">
              <w:t>n = 81</w:t>
            </w:r>
          </w:p>
        </w:tc>
        <w:tc>
          <w:tcPr>
            <w:tcW w:w="1644" w:type="dxa"/>
            <w:tcBorders>
              <w:top w:val="single" w:sz="4" w:space="0" w:color="auto"/>
              <w:left w:val="nil"/>
              <w:bottom w:val="single" w:sz="4" w:space="0" w:color="auto"/>
              <w:right w:val="nil"/>
            </w:tcBorders>
          </w:tcPr>
          <w:p w:rsidR="006A19F7" w:rsidRPr="002C3EC8" w:rsidRDefault="006A19F7" w:rsidP="00181BD0">
            <w:pPr>
              <w:jc w:val="center"/>
            </w:pPr>
            <w:r w:rsidRPr="002C3EC8">
              <w:t xml:space="preserve">Carryovers </w:t>
            </w:r>
          </w:p>
          <w:p w:rsidR="006A19F7" w:rsidRPr="002C3EC8" w:rsidRDefault="006A19F7" w:rsidP="00181BD0">
            <w:pPr>
              <w:jc w:val="center"/>
            </w:pPr>
            <w:r w:rsidRPr="002C3EC8">
              <w:t>n =41</w:t>
            </w:r>
          </w:p>
        </w:tc>
      </w:tr>
      <w:tr w:rsidR="006A19F7" w:rsidTr="00181BD0">
        <w:tc>
          <w:tcPr>
            <w:tcW w:w="3510" w:type="dxa"/>
            <w:tcBorders>
              <w:top w:val="single" w:sz="4" w:space="0" w:color="auto"/>
              <w:left w:val="nil"/>
              <w:bottom w:val="nil"/>
              <w:right w:val="nil"/>
            </w:tcBorders>
          </w:tcPr>
          <w:p w:rsidR="006A19F7" w:rsidRPr="00AB5E6A" w:rsidRDefault="006A19F7" w:rsidP="00181BD0">
            <w:proofErr w:type="spellStart"/>
            <w:r w:rsidRPr="00AB5E6A">
              <w:t>Liebowitz</w:t>
            </w:r>
            <w:proofErr w:type="spellEnd"/>
            <w:r w:rsidRPr="00AB5E6A">
              <w:t xml:space="preserve"> &amp; Palmer (LP84A1)</w:t>
            </w:r>
          </w:p>
        </w:tc>
        <w:tc>
          <w:tcPr>
            <w:tcW w:w="1644" w:type="dxa"/>
            <w:tcBorders>
              <w:top w:val="single" w:sz="4" w:space="0" w:color="auto"/>
              <w:left w:val="nil"/>
              <w:bottom w:val="nil"/>
              <w:right w:val="nil"/>
            </w:tcBorders>
          </w:tcPr>
          <w:p w:rsidR="006A19F7" w:rsidRPr="004729C9" w:rsidRDefault="006A19F7" w:rsidP="00181BD0">
            <w:pPr>
              <w:jc w:val="center"/>
            </w:pPr>
            <w:r>
              <w:t>0.16</w:t>
            </w:r>
          </w:p>
        </w:tc>
        <w:tc>
          <w:tcPr>
            <w:tcW w:w="1644" w:type="dxa"/>
            <w:tcBorders>
              <w:top w:val="single" w:sz="4" w:space="0" w:color="auto"/>
              <w:left w:val="nil"/>
              <w:bottom w:val="nil"/>
              <w:right w:val="nil"/>
            </w:tcBorders>
          </w:tcPr>
          <w:p w:rsidR="006A19F7" w:rsidRPr="004729C9" w:rsidRDefault="006A19F7" w:rsidP="00181BD0">
            <w:pPr>
              <w:jc w:val="center"/>
            </w:pPr>
            <w:r>
              <w:t>0.18</w:t>
            </w:r>
          </w:p>
        </w:tc>
        <w:tc>
          <w:tcPr>
            <w:tcW w:w="1644" w:type="dxa"/>
            <w:tcBorders>
              <w:top w:val="single" w:sz="4" w:space="0" w:color="auto"/>
              <w:left w:val="nil"/>
              <w:bottom w:val="nil"/>
              <w:right w:val="nil"/>
            </w:tcBorders>
          </w:tcPr>
          <w:p w:rsidR="006A19F7" w:rsidRDefault="006A19F7" w:rsidP="00181BD0">
            <w:pPr>
              <w:jc w:val="center"/>
            </w:pPr>
            <w:r>
              <w:t>0.26**</w:t>
            </w:r>
          </w:p>
        </w:tc>
        <w:tc>
          <w:tcPr>
            <w:tcW w:w="1644" w:type="dxa"/>
            <w:tcBorders>
              <w:top w:val="single" w:sz="4" w:space="0" w:color="auto"/>
              <w:left w:val="nil"/>
              <w:bottom w:val="nil"/>
              <w:right w:val="nil"/>
            </w:tcBorders>
          </w:tcPr>
          <w:p w:rsidR="006A19F7" w:rsidRDefault="006A19F7" w:rsidP="00181BD0">
            <w:pPr>
              <w:jc w:val="center"/>
            </w:pPr>
            <w:r>
              <w:t>0.22</w:t>
            </w:r>
          </w:p>
        </w:tc>
      </w:tr>
      <w:tr w:rsidR="006A19F7" w:rsidTr="00181BD0">
        <w:tc>
          <w:tcPr>
            <w:tcW w:w="3510" w:type="dxa"/>
            <w:tcBorders>
              <w:top w:val="nil"/>
              <w:left w:val="nil"/>
              <w:bottom w:val="nil"/>
              <w:right w:val="nil"/>
            </w:tcBorders>
          </w:tcPr>
          <w:p w:rsidR="006A19F7" w:rsidRPr="00AB5E6A" w:rsidRDefault="006A19F7" w:rsidP="00181BD0">
            <w:proofErr w:type="spellStart"/>
            <w:r w:rsidRPr="00AB5E6A">
              <w:t>Laband</w:t>
            </w:r>
            <w:proofErr w:type="spellEnd"/>
            <w:r w:rsidRPr="00AB5E6A">
              <w:t xml:space="preserve"> &amp; </w:t>
            </w:r>
            <w:proofErr w:type="spellStart"/>
            <w:r w:rsidRPr="00AB5E6A">
              <w:t>Piette</w:t>
            </w:r>
            <w:proofErr w:type="spellEnd"/>
            <w:r w:rsidRPr="00AB5E6A">
              <w:t xml:space="preserve"> (LP94A1)</w:t>
            </w:r>
          </w:p>
        </w:tc>
        <w:tc>
          <w:tcPr>
            <w:tcW w:w="1644" w:type="dxa"/>
            <w:tcBorders>
              <w:top w:val="nil"/>
              <w:left w:val="nil"/>
              <w:bottom w:val="nil"/>
              <w:right w:val="nil"/>
            </w:tcBorders>
          </w:tcPr>
          <w:p w:rsidR="006A19F7" w:rsidRPr="004729C9" w:rsidRDefault="006A19F7" w:rsidP="00181BD0">
            <w:pPr>
              <w:jc w:val="center"/>
            </w:pPr>
            <w:r>
              <w:t>0.22</w:t>
            </w:r>
          </w:p>
        </w:tc>
        <w:tc>
          <w:tcPr>
            <w:tcW w:w="1644" w:type="dxa"/>
            <w:tcBorders>
              <w:top w:val="nil"/>
              <w:left w:val="nil"/>
              <w:bottom w:val="nil"/>
              <w:right w:val="nil"/>
            </w:tcBorders>
          </w:tcPr>
          <w:p w:rsidR="006A19F7" w:rsidRPr="004729C9" w:rsidRDefault="006A19F7" w:rsidP="00181BD0">
            <w:pPr>
              <w:jc w:val="center"/>
            </w:pPr>
            <w:r>
              <w:t>0.25</w:t>
            </w:r>
          </w:p>
        </w:tc>
        <w:tc>
          <w:tcPr>
            <w:tcW w:w="1644" w:type="dxa"/>
            <w:tcBorders>
              <w:top w:val="nil"/>
              <w:left w:val="nil"/>
              <w:bottom w:val="nil"/>
              <w:right w:val="nil"/>
            </w:tcBorders>
          </w:tcPr>
          <w:p w:rsidR="006A19F7" w:rsidRDefault="006A19F7" w:rsidP="00181BD0">
            <w:pPr>
              <w:jc w:val="center"/>
            </w:pPr>
            <w:r>
              <w:t>0.29*</w:t>
            </w:r>
          </w:p>
        </w:tc>
        <w:tc>
          <w:tcPr>
            <w:tcW w:w="1644" w:type="dxa"/>
            <w:tcBorders>
              <w:top w:val="nil"/>
              <w:left w:val="nil"/>
              <w:bottom w:val="nil"/>
              <w:right w:val="nil"/>
            </w:tcBorders>
          </w:tcPr>
          <w:p w:rsidR="006A19F7" w:rsidRDefault="006A19F7" w:rsidP="00181BD0">
            <w:pPr>
              <w:jc w:val="center"/>
            </w:pPr>
            <w:r>
              <w:t>0.29***</w:t>
            </w:r>
          </w:p>
        </w:tc>
      </w:tr>
      <w:tr w:rsidR="006A19F7" w:rsidTr="00181BD0">
        <w:tc>
          <w:tcPr>
            <w:tcW w:w="3510" w:type="dxa"/>
            <w:tcBorders>
              <w:top w:val="nil"/>
              <w:left w:val="nil"/>
              <w:bottom w:val="nil"/>
              <w:right w:val="nil"/>
            </w:tcBorders>
          </w:tcPr>
          <w:p w:rsidR="006A19F7" w:rsidRPr="00AB5E6A" w:rsidRDefault="006A19F7" w:rsidP="00181BD0">
            <w:proofErr w:type="spellStart"/>
            <w:r w:rsidRPr="00AB5E6A">
              <w:t>Kalaitzidakis</w:t>
            </w:r>
            <w:proofErr w:type="spellEnd"/>
            <w:r w:rsidRPr="00AB5E6A">
              <w:t xml:space="preserve">, </w:t>
            </w:r>
            <w:proofErr w:type="spellStart"/>
            <w:r w:rsidRPr="00AB5E6A">
              <w:t>Mamuneous</w:t>
            </w:r>
            <w:proofErr w:type="spellEnd"/>
            <w:r w:rsidRPr="00AB5E6A">
              <w:t xml:space="preserve"> &amp;</w:t>
            </w:r>
            <w:proofErr w:type="spellStart"/>
            <w:r w:rsidRPr="00AB5E6A">
              <w:t>Stengos</w:t>
            </w:r>
            <w:proofErr w:type="spellEnd"/>
            <w:r w:rsidRPr="00AB5E6A">
              <w:t xml:space="preserve"> </w:t>
            </w:r>
            <w:r>
              <w:t xml:space="preserve">2003 </w:t>
            </w:r>
            <w:r w:rsidRPr="00AB5E6A">
              <w:t>(KMS1)</w:t>
            </w:r>
          </w:p>
        </w:tc>
        <w:tc>
          <w:tcPr>
            <w:tcW w:w="1644" w:type="dxa"/>
            <w:tcBorders>
              <w:top w:val="nil"/>
              <w:left w:val="nil"/>
              <w:bottom w:val="nil"/>
              <w:right w:val="nil"/>
            </w:tcBorders>
          </w:tcPr>
          <w:p w:rsidR="006A19F7" w:rsidRPr="004729C9" w:rsidRDefault="006A19F7" w:rsidP="00181BD0">
            <w:pPr>
              <w:jc w:val="center"/>
            </w:pPr>
            <w:r>
              <w:t>0.51*</w:t>
            </w:r>
          </w:p>
        </w:tc>
        <w:tc>
          <w:tcPr>
            <w:tcW w:w="1644" w:type="dxa"/>
            <w:tcBorders>
              <w:top w:val="nil"/>
              <w:left w:val="nil"/>
              <w:bottom w:val="nil"/>
              <w:right w:val="nil"/>
            </w:tcBorders>
          </w:tcPr>
          <w:p w:rsidR="006A19F7" w:rsidRPr="004729C9" w:rsidRDefault="006A19F7" w:rsidP="00181BD0">
            <w:pPr>
              <w:jc w:val="center"/>
            </w:pPr>
            <w:r>
              <w:t>0.49*</w:t>
            </w:r>
          </w:p>
        </w:tc>
        <w:tc>
          <w:tcPr>
            <w:tcW w:w="1644" w:type="dxa"/>
            <w:tcBorders>
              <w:top w:val="nil"/>
              <w:left w:val="nil"/>
              <w:bottom w:val="nil"/>
              <w:right w:val="nil"/>
            </w:tcBorders>
          </w:tcPr>
          <w:p w:rsidR="006A19F7" w:rsidRDefault="006A19F7" w:rsidP="00181BD0">
            <w:pPr>
              <w:jc w:val="center"/>
            </w:pPr>
            <w:r>
              <w:t>0.57*</w:t>
            </w:r>
          </w:p>
        </w:tc>
        <w:tc>
          <w:tcPr>
            <w:tcW w:w="1644" w:type="dxa"/>
            <w:tcBorders>
              <w:top w:val="nil"/>
              <w:left w:val="nil"/>
              <w:bottom w:val="nil"/>
              <w:right w:val="nil"/>
            </w:tcBorders>
          </w:tcPr>
          <w:p w:rsidR="006A19F7" w:rsidRDefault="006A19F7" w:rsidP="00181BD0">
            <w:pPr>
              <w:jc w:val="center"/>
            </w:pPr>
            <w:r>
              <w:t>0.51*</w:t>
            </w:r>
          </w:p>
        </w:tc>
      </w:tr>
      <w:tr w:rsidR="006A19F7" w:rsidTr="00181BD0">
        <w:trPr>
          <w:trHeight w:val="699"/>
        </w:trPr>
        <w:tc>
          <w:tcPr>
            <w:tcW w:w="3510" w:type="dxa"/>
            <w:tcBorders>
              <w:top w:val="nil"/>
              <w:left w:val="nil"/>
              <w:bottom w:val="nil"/>
              <w:right w:val="nil"/>
            </w:tcBorders>
          </w:tcPr>
          <w:p w:rsidR="006A19F7" w:rsidRPr="00AB5E6A" w:rsidRDefault="006A19F7" w:rsidP="00181BD0">
            <w:proofErr w:type="spellStart"/>
            <w:r w:rsidRPr="00AB5E6A">
              <w:t>Kalaitzidakis</w:t>
            </w:r>
            <w:proofErr w:type="spellEnd"/>
            <w:r w:rsidRPr="00AB5E6A">
              <w:t xml:space="preserve">, </w:t>
            </w:r>
            <w:proofErr w:type="spellStart"/>
            <w:r w:rsidRPr="00AB5E6A">
              <w:t>Mamuneous</w:t>
            </w:r>
            <w:proofErr w:type="spellEnd"/>
            <w:r w:rsidRPr="00AB5E6A">
              <w:t xml:space="preserve"> &amp; </w:t>
            </w:r>
            <w:proofErr w:type="spellStart"/>
            <w:r w:rsidRPr="00AB5E6A">
              <w:t>Stengos</w:t>
            </w:r>
            <w:proofErr w:type="spellEnd"/>
            <w:r>
              <w:t xml:space="preserve"> 2010 </w:t>
            </w:r>
            <w:r w:rsidRPr="00AB5E6A">
              <w:t>(KMS2)</w:t>
            </w:r>
          </w:p>
        </w:tc>
        <w:tc>
          <w:tcPr>
            <w:tcW w:w="1644" w:type="dxa"/>
            <w:tcBorders>
              <w:top w:val="nil"/>
              <w:left w:val="nil"/>
              <w:bottom w:val="nil"/>
              <w:right w:val="nil"/>
            </w:tcBorders>
          </w:tcPr>
          <w:p w:rsidR="006A19F7" w:rsidRPr="004729C9" w:rsidRDefault="006A19F7" w:rsidP="00181BD0">
            <w:pPr>
              <w:jc w:val="center"/>
            </w:pPr>
            <w:r>
              <w:t>0.40*</w:t>
            </w:r>
          </w:p>
        </w:tc>
        <w:tc>
          <w:tcPr>
            <w:tcW w:w="1644" w:type="dxa"/>
            <w:tcBorders>
              <w:top w:val="nil"/>
              <w:left w:val="nil"/>
              <w:bottom w:val="nil"/>
              <w:right w:val="nil"/>
            </w:tcBorders>
          </w:tcPr>
          <w:p w:rsidR="006A19F7" w:rsidRPr="004729C9" w:rsidRDefault="006A19F7" w:rsidP="00181BD0">
            <w:pPr>
              <w:jc w:val="center"/>
            </w:pPr>
            <w:r>
              <w:t>0.44*</w:t>
            </w:r>
          </w:p>
        </w:tc>
        <w:tc>
          <w:tcPr>
            <w:tcW w:w="1644" w:type="dxa"/>
            <w:tcBorders>
              <w:top w:val="nil"/>
              <w:left w:val="nil"/>
              <w:bottom w:val="nil"/>
              <w:right w:val="nil"/>
            </w:tcBorders>
          </w:tcPr>
          <w:p w:rsidR="006A19F7" w:rsidRDefault="006A19F7" w:rsidP="00181BD0">
            <w:pPr>
              <w:jc w:val="center"/>
            </w:pPr>
            <w:r>
              <w:t>0.47*</w:t>
            </w:r>
          </w:p>
        </w:tc>
        <w:tc>
          <w:tcPr>
            <w:tcW w:w="1644" w:type="dxa"/>
            <w:tcBorders>
              <w:top w:val="nil"/>
              <w:left w:val="nil"/>
              <w:bottom w:val="nil"/>
              <w:right w:val="nil"/>
            </w:tcBorders>
          </w:tcPr>
          <w:p w:rsidR="006A19F7" w:rsidRDefault="006A19F7" w:rsidP="00181BD0">
            <w:pPr>
              <w:jc w:val="center"/>
            </w:pPr>
            <w:r>
              <w:t>0.47*</w:t>
            </w:r>
          </w:p>
        </w:tc>
      </w:tr>
      <w:tr w:rsidR="006A19F7" w:rsidTr="00181BD0">
        <w:tc>
          <w:tcPr>
            <w:tcW w:w="3510" w:type="dxa"/>
            <w:tcBorders>
              <w:top w:val="nil"/>
              <w:left w:val="nil"/>
              <w:bottom w:val="nil"/>
              <w:right w:val="nil"/>
            </w:tcBorders>
          </w:tcPr>
          <w:p w:rsidR="006A19F7" w:rsidRPr="00AB5E6A" w:rsidRDefault="006A19F7" w:rsidP="00181BD0">
            <w:r w:rsidRPr="00AB5E6A">
              <w:t>Research Papers in Economics (RePEc)</w:t>
            </w:r>
          </w:p>
        </w:tc>
        <w:tc>
          <w:tcPr>
            <w:tcW w:w="1644" w:type="dxa"/>
            <w:tcBorders>
              <w:top w:val="nil"/>
              <w:left w:val="nil"/>
              <w:bottom w:val="nil"/>
              <w:right w:val="nil"/>
            </w:tcBorders>
          </w:tcPr>
          <w:p w:rsidR="006A19F7" w:rsidRPr="004729C9" w:rsidRDefault="006A19F7" w:rsidP="00181BD0">
            <w:pPr>
              <w:jc w:val="center"/>
            </w:pPr>
            <w:r>
              <w:t>0.42*</w:t>
            </w:r>
          </w:p>
        </w:tc>
        <w:tc>
          <w:tcPr>
            <w:tcW w:w="1644" w:type="dxa"/>
            <w:tcBorders>
              <w:top w:val="nil"/>
              <w:left w:val="nil"/>
              <w:bottom w:val="nil"/>
              <w:right w:val="nil"/>
            </w:tcBorders>
          </w:tcPr>
          <w:p w:rsidR="006A19F7" w:rsidRPr="004729C9" w:rsidRDefault="006A19F7" w:rsidP="00181BD0">
            <w:pPr>
              <w:jc w:val="center"/>
            </w:pPr>
            <w:r>
              <w:t>0.41**</w:t>
            </w:r>
          </w:p>
        </w:tc>
        <w:tc>
          <w:tcPr>
            <w:tcW w:w="1644" w:type="dxa"/>
            <w:tcBorders>
              <w:top w:val="nil"/>
              <w:left w:val="nil"/>
              <w:bottom w:val="nil"/>
              <w:right w:val="nil"/>
            </w:tcBorders>
          </w:tcPr>
          <w:p w:rsidR="006A19F7" w:rsidRDefault="006A19F7" w:rsidP="00181BD0">
            <w:pPr>
              <w:jc w:val="center"/>
            </w:pPr>
            <w:r>
              <w:t>0.51*</w:t>
            </w:r>
          </w:p>
        </w:tc>
        <w:tc>
          <w:tcPr>
            <w:tcW w:w="1644" w:type="dxa"/>
            <w:tcBorders>
              <w:top w:val="nil"/>
              <w:left w:val="nil"/>
              <w:bottom w:val="nil"/>
              <w:right w:val="nil"/>
            </w:tcBorders>
          </w:tcPr>
          <w:p w:rsidR="006A19F7" w:rsidRDefault="006A19F7" w:rsidP="00181BD0">
            <w:pPr>
              <w:jc w:val="center"/>
            </w:pPr>
            <w:r>
              <w:t>0.49*</w:t>
            </w:r>
          </w:p>
        </w:tc>
      </w:tr>
      <w:tr w:rsidR="006A19F7" w:rsidTr="00181BD0">
        <w:tc>
          <w:tcPr>
            <w:tcW w:w="3510" w:type="dxa"/>
            <w:tcBorders>
              <w:top w:val="nil"/>
              <w:left w:val="nil"/>
              <w:bottom w:val="nil"/>
              <w:right w:val="nil"/>
            </w:tcBorders>
          </w:tcPr>
          <w:p w:rsidR="006A19F7" w:rsidRPr="00AB5E6A" w:rsidRDefault="006A19F7" w:rsidP="00181BD0">
            <w:proofErr w:type="spellStart"/>
            <w:r w:rsidRPr="00AB5E6A">
              <w:t>Kodrzycki</w:t>
            </w:r>
            <w:proofErr w:type="spellEnd"/>
            <w:r w:rsidRPr="00AB5E6A">
              <w:t xml:space="preserve"> and Yu, Economics, (KYEI)</w:t>
            </w:r>
          </w:p>
        </w:tc>
        <w:tc>
          <w:tcPr>
            <w:tcW w:w="1644" w:type="dxa"/>
            <w:tcBorders>
              <w:top w:val="nil"/>
              <w:left w:val="nil"/>
              <w:bottom w:val="nil"/>
              <w:right w:val="nil"/>
            </w:tcBorders>
          </w:tcPr>
          <w:p w:rsidR="006A19F7" w:rsidRPr="004729C9" w:rsidRDefault="006A19F7" w:rsidP="00181BD0">
            <w:pPr>
              <w:jc w:val="center"/>
            </w:pPr>
            <w:r>
              <w:t>0.30**</w:t>
            </w:r>
          </w:p>
        </w:tc>
        <w:tc>
          <w:tcPr>
            <w:tcW w:w="1644" w:type="dxa"/>
            <w:tcBorders>
              <w:top w:val="nil"/>
              <w:left w:val="nil"/>
              <w:bottom w:val="nil"/>
              <w:right w:val="nil"/>
            </w:tcBorders>
          </w:tcPr>
          <w:p w:rsidR="006A19F7" w:rsidRPr="004729C9" w:rsidRDefault="006A19F7" w:rsidP="00181BD0">
            <w:pPr>
              <w:jc w:val="center"/>
            </w:pPr>
            <w:r>
              <w:t>0.23</w:t>
            </w:r>
          </w:p>
        </w:tc>
        <w:tc>
          <w:tcPr>
            <w:tcW w:w="1644" w:type="dxa"/>
            <w:tcBorders>
              <w:top w:val="nil"/>
              <w:left w:val="nil"/>
              <w:bottom w:val="nil"/>
              <w:right w:val="nil"/>
            </w:tcBorders>
          </w:tcPr>
          <w:p w:rsidR="006A19F7" w:rsidRDefault="006A19F7" w:rsidP="00181BD0">
            <w:pPr>
              <w:jc w:val="center"/>
            </w:pPr>
            <w:r>
              <w:t>0.40*</w:t>
            </w:r>
          </w:p>
        </w:tc>
        <w:tc>
          <w:tcPr>
            <w:tcW w:w="1644" w:type="dxa"/>
            <w:tcBorders>
              <w:top w:val="nil"/>
              <w:left w:val="nil"/>
              <w:bottom w:val="nil"/>
              <w:right w:val="nil"/>
            </w:tcBorders>
          </w:tcPr>
          <w:p w:rsidR="006A19F7" w:rsidRDefault="006A19F7" w:rsidP="00181BD0">
            <w:pPr>
              <w:jc w:val="center"/>
            </w:pPr>
            <w:r>
              <w:t>0.27***</w:t>
            </w:r>
          </w:p>
        </w:tc>
      </w:tr>
      <w:tr w:rsidR="006A19F7" w:rsidTr="00181BD0">
        <w:tc>
          <w:tcPr>
            <w:tcW w:w="3510" w:type="dxa"/>
            <w:tcBorders>
              <w:top w:val="nil"/>
              <w:left w:val="nil"/>
              <w:bottom w:val="nil"/>
              <w:right w:val="nil"/>
            </w:tcBorders>
          </w:tcPr>
          <w:p w:rsidR="006A19F7" w:rsidRPr="00AB5E6A" w:rsidRDefault="006A19F7" w:rsidP="00181BD0">
            <w:proofErr w:type="spellStart"/>
            <w:r w:rsidRPr="00AB5E6A">
              <w:t>Kodrzycki</w:t>
            </w:r>
            <w:proofErr w:type="spellEnd"/>
            <w:r w:rsidRPr="00AB5E6A">
              <w:t xml:space="preserve"> and Yu, Policy (KYPI)</w:t>
            </w:r>
          </w:p>
        </w:tc>
        <w:tc>
          <w:tcPr>
            <w:tcW w:w="1644" w:type="dxa"/>
            <w:tcBorders>
              <w:top w:val="nil"/>
              <w:left w:val="nil"/>
              <w:bottom w:val="nil"/>
              <w:right w:val="nil"/>
            </w:tcBorders>
          </w:tcPr>
          <w:p w:rsidR="006A19F7" w:rsidRPr="004729C9" w:rsidRDefault="006A19F7" w:rsidP="00181BD0">
            <w:pPr>
              <w:jc w:val="center"/>
            </w:pPr>
            <w:r>
              <w:t>0.31**</w:t>
            </w:r>
          </w:p>
        </w:tc>
        <w:tc>
          <w:tcPr>
            <w:tcW w:w="1644" w:type="dxa"/>
            <w:tcBorders>
              <w:top w:val="nil"/>
              <w:left w:val="nil"/>
              <w:bottom w:val="nil"/>
              <w:right w:val="nil"/>
            </w:tcBorders>
          </w:tcPr>
          <w:p w:rsidR="006A19F7" w:rsidRPr="004729C9" w:rsidRDefault="006A19F7" w:rsidP="00181BD0">
            <w:pPr>
              <w:jc w:val="center"/>
            </w:pPr>
            <w:r>
              <w:t>0.30</w:t>
            </w:r>
          </w:p>
        </w:tc>
        <w:tc>
          <w:tcPr>
            <w:tcW w:w="1644" w:type="dxa"/>
            <w:tcBorders>
              <w:top w:val="nil"/>
              <w:left w:val="nil"/>
              <w:bottom w:val="nil"/>
              <w:right w:val="nil"/>
            </w:tcBorders>
          </w:tcPr>
          <w:p w:rsidR="006A19F7" w:rsidRDefault="006A19F7" w:rsidP="00181BD0">
            <w:pPr>
              <w:jc w:val="center"/>
            </w:pPr>
            <w:r>
              <w:t>0.44*</w:t>
            </w:r>
          </w:p>
        </w:tc>
        <w:tc>
          <w:tcPr>
            <w:tcW w:w="1644" w:type="dxa"/>
            <w:tcBorders>
              <w:top w:val="nil"/>
              <w:left w:val="nil"/>
              <w:bottom w:val="nil"/>
              <w:right w:val="nil"/>
            </w:tcBorders>
          </w:tcPr>
          <w:p w:rsidR="006A19F7" w:rsidRDefault="006A19F7" w:rsidP="00181BD0">
            <w:pPr>
              <w:jc w:val="center"/>
            </w:pPr>
            <w:r>
              <w:t>0.34**</w:t>
            </w:r>
          </w:p>
        </w:tc>
      </w:tr>
      <w:tr w:rsidR="006A19F7" w:rsidTr="00181BD0">
        <w:tc>
          <w:tcPr>
            <w:tcW w:w="3510" w:type="dxa"/>
            <w:tcBorders>
              <w:top w:val="nil"/>
              <w:left w:val="nil"/>
              <w:bottom w:val="nil"/>
              <w:right w:val="nil"/>
            </w:tcBorders>
          </w:tcPr>
          <w:p w:rsidR="006A19F7" w:rsidRPr="00AB5E6A" w:rsidRDefault="006A19F7" w:rsidP="00181BD0">
            <w:r w:rsidRPr="00AB5E6A">
              <w:t>Thomson Reuters Journal Citation Report (JCR08IF)</w:t>
            </w:r>
          </w:p>
        </w:tc>
        <w:tc>
          <w:tcPr>
            <w:tcW w:w="1644" w:type="dxa"/>
            <w:tcBorders>
              <w:top w:val="nil"/>
              <w:left w:val="nil"/>
              <w:bottom w:val="nil"/>
              <w:right w:val="nil"/>
            </w:tcBorders>
          </w:tcPr>
          <w:p w:rsidR="006A19F7" w:rsidRPr="004729C9" w:rsidRDefault="006A19F7" w:rsidP="00181BD0">
            <w:pPr>
              <w:jc w:val="center"/>
            </w:pPr>
            <w:r>
              <w:t>0.49*</w:t>
            </w:r>
          </w:p>
        </w:tc>
        <w:tc>
          <w:tcPr>
            <w:tcW w:w="1644" w:type="dxa"/>
            <w:tcBorders>
              <w:top w:val="nil"/>
              <w:left w:val="nil"/>
              <w:bottom w:val="nil"/>
              <w:right w:val="nil"/>
            </w:tcBorders>
          </w:tcPr>
          <w:p w:rsidR="006A19F7" w:rsidRPr="004729C9" w:rsidRDefault="006A19F7" w:rsidP="00181BD0">
            <w:pPr>
              <w:jc w:val="center"/>
            </w:pPr>
            <w:r>
              <w:t>0.48*</w:t>
            </w:r>
          </w:p>
        </w:tc>
        <w:tc>
          <w:tcPr>
            <w:tcW w:w="1644" w:type="dxa"/>
            <w:tcBorders>
              <w:top w:val="nil"/>
              <w:left w:val="nil"/>
              <w:bottom w:val="nil"/>
              <w:right w:val="nil"/>
            </w:tcBorders>
          </w:tcPr>
          <w:p w:rsidR="006A19F7" w:rsidRDefault="006A19F7" w:rsidP="00181BD0">
            <w:pPr>
              <w:jc w:val="center"/>
            </w:pPr>
            <w:r>
              <w:t>0.61*</w:t>
            </w:r>
          </w:p>
        </w:tc>
        <w:tc>
          <w:tcPr>
            <w:tcW w:w="1644" w:type="dxa"/>
            <w:tcBorders>
              <w:top w:val="nil"/>
              <w:left w:val="nil"/>
              <w:bottom w:val="nil"/>
              <w:right w:val="nil"/>
            </w:tcBorders>
          </w:tcPr>
          <w:p w:rsidR="006A19F7" w:rsidRDefault="006A19F7" w:rsidP="00181BD0">
            <w:pPr>
              <w:jc w:val="center"/>
            </w:pPr>
            <w:r>
              <w:t>0.52*</w:t>
            </w:r>
          </w:p>
        </w:tc>
      </w:tr>
      <w:tr w:rsidR="006A19F7" w:rsidTr="00181BD0">
        <w:tc>
          <w:tcPr>
            <w:tcW w:w="3510" w:type="dxa"/>
            <w:tcBorders>
              <w:top w:val="nil"/>
              <w:left w:val="nil"/>
              <w:bottom w:val="nil"/>
              <w:right w:val="nil"/>
            </w:tcBorders>
          </w:tcPr>
          <w:p w:rsidR="006A19F7" w:rsidRPr="00AB5E6A" w:rsidRDefault="006A19F7" w:rsidP="00181BD0">
            <w:proofErr w:type="spellStart"/>
            <w:r w:rsidRPr="00AB5E6A">
              <w:t>Bauwens</w:t>
            </w:r>
            <w:proofErr w:type="spellEnd"/>
            <w:r w:rsidRPr="00AB5E6A">
              <w:t xml:space="preserve"> (</w:t>
            </w:r>
            <w:proofErr w:type="spellStart"/>
            <w:r w:rsidRPr="00AB5E6A">
              <w:t>Bauwens</w:t>
            </w:r>
            <w:proofErr w:type="spellEnd"/>
            <w:r w:rsidRPr="00AB5E6A">
              <w:t>)</w:t>
            </w:r>
          </w:p>
        </w:tc>
        <w:tc>
          <w:tcPr>
            <w:tcW w:w="1644" w:type="dxa"/>
            <w:tcBorders>
              <w:top w:val="nil"/>
              <w:left w:val="nil"/>
              <w:bottom w:val="nil"/>
              <w:right w:val="nil"/>
            </w:tcBorders>
          </w:tcPr>
          <w:p w:rsidR="006A19F7" w:rsidRPr="004729C9" w:rsidRDefault="006A19F7" w:rsidP="00181BD0">
            <w:pPr>
              <w:jc w:val="center"/>
            </w:pPr>
            <w:r>
              <w:t>0.47*</w:t>
            </w:r>
          </w:p>
        </w:tc>
        <w:tc>
          <w:tcPr>
            <w:tcW w:w="1644" w:type="dxa"/>
            <w:tcBorders>
              <w:top w:val="nil"/>
              <w:left w:val="nil"/>
              <w:bottom w:val="nil"/>
              <w:right w:val="nil"/>
            </w:tcBorders>
          </w:tcPr>
          <w:p w:rsidR="006A19F7" w:rsidRPr="004729C9" w:rsidRDefault="006A19F7" w:rsidP="00181BD0">
            <w:pPr>
              <w:jc w:val="center"/>
            </w:pPr>
            <w:r>
              <w:t>0.53*</w:t>
            </w:r>
          </w:p>
        </w:tc>
        <w:tc>
          <w:tcPr>
            <w:tcW w:w="1644" w:type="dxa"/>
            <w:tcBorders>
              <w:top w:val="nil"/>
              <w:left w:val="nil"/>
              <w:bottom w:val="nil"/>
              <w:right w:val="nil"/>
            </w:tcBorders>
          </w:tcPr>
          <w:p w:rsidR="006A19F7" w:rsidRDefault="006A19F7" w:rsidP="00181BD0">
            <w:pPr>
              <w:jc w:val="center"/>
            </w:pPr>
            <w:r>
              <w:t>0.61*</w:t>
            </w:r>
          </w:p>
        </w:tc>
        <w:tc>
          <w:tcPr>
            <w:tcW w:w="1644" w:type="dxa"/>
            <w:tcBorders>
              <w:top w:val="nil"/>
              <w:left w:val="nil"/>
              <w:bottom w:val="nil"/>
              <w:right w:val="nil"/>
            </w:tcBorders>
          </w:tcPr>
          <w:p w:rsidR="006A19F7" w:rsidRDefault="006A19F7" w:rsidP="00181BD0">
            <w:pPr>
              <w:jc w:val="center"/>
            </w:pPr>
            <w:r>
              <w:t>0.57*</w:t>
            </w:r>
          </w:p>
        </w:tc>
      </w:tr>
      <w:tr w:rsidR="006A19F7" w:rsidTr="00181BD0">
        <w:tc>
          <w:tcPr>
            <w:tcW w:w="3510" w:type="dxa"/>
            <w:tcBorders>
              <w:top w:val="nil"/>
              <w:left w:val="nil"/>
              <w:bottom w:val="nil"/>
              <w:right w:val="nil"/>
            </w:tcBorders>
          </w:tcPr>
          <w:p w:rsidR="006A19F7" w:rsidRPr="00AB5E6A" w:rsidRDefault="006A19F7" w:rsidP="00181BD0">
            <w:r w:rsidRPr="00AB5E6A">
              <w:t xml:space="preserve">Mason, </w:t>
            </w:r>
            <w:proofErr w:type="spellStart"/>
            <w:r w:rsidRPr="00AB5E6A">
              <w:t>Steagall</w:t>
            </w:r>
            <w:proofErr w:type="spellEnd"/>
            <w:r w:rsidRPr="00AB5E6A">
              <w:t xml:space="preserve"> and </w:t>
            </w:r>
            <w:proofErr w:type="spellStart"/>
            <w:r w:rsidRPr="00AB5E6A">
              <w:t>Fabritius</w:t>
            </w:r>
            <w:proofErr w:type="spellEnd"/>
            <w:r w:rsidRPr="00AB5E6A">
              <w:t xml:space="preserve"> (MSF)</w:t>
            </w:r>
          </w:p>
        </w:tc>
        <w:tc>
          <w:tcPr>
            <w:tcW w:w="1644" w:type="dxa"/>
            <w:tcBorders>
              <w:top w:val="nil"/>
              <w:left w:val="nil"/>
              <w:bottom w:val="nil"/>
              <w:right w:val="nil"/>
            </w:tcBorders>
          </w:tcPr>
          <w:p w:rsidR="006A19F7" w:rsidRPr="004729C9" w:rsidRDefault="006A19F7" w:rsidP="00181BD0">
            <w:pPr>
              <w:jc w:val="center"/>
            </w:pPr>
            <w:r>
              <w:t>0.44*</w:t>
            </w:r>
          </w:p>
        </w:tc>
        <w:tc>
          <w:tcPr>
            <w:tcW w:w="1644" w:type="dxa"/>
            <w:tcBorders>
              <w:top w:val="nil"/>
              <w:left w:val="nil"/>
              <w:bottom w:val="nil"/>
              <w:right w:val="nil"/>
            </w:tcBorders>
          </w:tcPr>
          <w:p w:rsidR="006A19F7" w:rsidRPr="004729C9" w:rsidRDefault="006A19F7" w:rsidP="00181BD0">
            <w:pPr>
              <w:jc w:val="center"/>
            </w:pPr>
            <w:r>
              <w:t>0.48*</w:t>
            </w:r>
          </w:p>
        </w:tc>
        <w:tc>
          <w:tcPr>
            <w:tcW w:w="1644" w:type="dxa"/>
            <w:tcBorders>
              <w:top w:val="nil"/>
              <w:left w:val="nil"/>
              <w:bottom w:val="nil"/>
              <w:right w:val="nil"/>
            </w:tcBorders>
          </w:tcPr>
          <w:p w:rsidR="006A19F7" w:rsidRDefault="006A19F7" w:rsidP="00181BD0">
            <w:pPr>
              <w:jc w:val="center"/>
            </w:pPr>
            <w:r>
              <w:t>0.52*</w:t>
            </w:r>
          </w:p>
        </w:tc>
        <w:tc>
          <w:tcPr>
            <w:tcW w:w="1644" w:type="dxa"/>
            <w:tcBorders>
              <w:top w:val="nil"/>
              <w:left w:val="nil"/>
              <w:bottom w:val="nil"/>
              <w:right w:val="nil"/>
            </w:tcBorders>
          </w:tcPr>
          <w:p w:rsidR="006A19F7" w:rsidRDefault="006A19F7" w:rsidP="00181BD0">
            <w:pPr>
              <w:jc w:val="center"/>
            </w:pPr>
            <w:r>
              <w:t>0.51*</w:t>
            </w:r>
          </w:p>
        </w:tc>
      </w:tr>
      <w:tr w:rsidR="006A19F7" w:rsidTr="00181BD0">
        <w:tc>
          <w:tcPr>
            <w:tcW w:w="3510" w:type="dxa"/>
            <w:tcBorders>
              <w:top w:val="nil"/>
              <w:left w:val="nil"/>
              <w:bottom w:val="nil"/>
              <w:right w:val="nil"/>
            </w:tcBorders>
          </w:tcPr>
          <w:p w:rsidR="006A19F7" w:rsidRPr="00AB5E6A" w:rsidRDefault="006A19F7" w:rsidP="00181BD0">
            <w:r w:rsidRPr="00AB5E6A">
              <w:t>Excellence in Research for Australia (ERA)</w:t>
            </w:r>
            <w:r w:rsidRPr="00AB5E6A">
              <w:rPr>
                <w:vertAlign w:val="superscript"/>
              </w:rPr>
              <w:t>2</w:t>
            </w:r>
          </w:p>
        </w:tc>
        <w:tc>
          <w:tcPr>
            <w:tcW w:w="1644" w:type="dxa"/>
            <w:tcBorders>
              <w:top w:val="nil"/>
              <w:left w:val="nil"/>
              <w:bottom w:val="nil"/>
              <w:right w:val="nil"/>
            </w:tcBorders>
          </w:tcPr>
          <w:p w:rsidR="006A19F7" w:rsidRPr="004729C9" w:rsidRDefault="006A19F7" w:rsidP="00181BD0">
            <w:pPr>
              <w:jc w:val="center"/>
            </w:pPr>
            <w:r>
              <w:t>0.45*</w:t>
            </w:r>
          </w:p>
        </w:tc>
        <w:tc>
          <w:tcPr>
            <w:tcW w:w="1644" w:type="dxa"/>
            <w:tcBorders>
              <w:top w:val="nil"/>
              <w:left w:val="nil"/>
              <w:bottom w:val="nil"/>
              <w:right w:val="nil"/>
            </w:tcBorders>
          </w:tcPr>
          <w:p w:rsidR="006A19F7" w:rsidRPr="004729C9" w:rsidRDefault="006A19F7" w:rsidP="00181BD0">
            <w:pPr>
              <w:jc w:val="center"/>
            </w:pPr>
            <w:r>
              <w:t>0.56*</w:t>
            </w:r>
          </w:p>
        </w:tc>
        <w:tc>
          <w:tcPr>
            <w:tcW w:w="1644" w:type="dxa"/>
            <w:tcBorders>
              <w:top w:val="nil"/>
              <w:left w:val="nil"/>
              <w:bottom w:val="nil"/>
              <w:right w:val="nil"/>
            </w:tcBorders>
          </w:tcPr>
          <w:p w:rsidR="006A19F7" w:rsidRDefault="006A19F7" w:rsidP="00181BD0">
            <w:pPr>
              <w:jc w:val="center"/>
            </w:pPr>
            <w:r>
              <w:t>0.59*</w:t>
            </w:r>
          </w:p>
        </w:tc>
        <w:tc>
          <w:tcPr>
            <w:tcW w:w="1644" w:type="dxa"/>
            <w:tcBorders>
              <w:top w:val="nil"/>
              <w:left w:val="nil"/>
              <w:bottom w:val="nil"/>
              <w:right w:val="nil"/>
            </w:tcBorders>
          </w:tcPr>
          <w:p w:rsidR="006A19F7" w:rsidRDefault="006A19F7" w:rsidP="00181BD0">
            <w:pPr>
              <w:jc w:val="center"/>
            </w:pPr>
            <w:r>
              <w:t>0.60*</w:t>
            </w:r>
          </w:p>
        </w:tc>
      </w:tr>
      <w:tr w:rsidR="006A19F7" w:rsidTr="00181BD0">
        <w:tc>
          <w:tcPr>
            <w:tcW w:w="3510" w:type="dxa"/>
            <w:tcBorders>
              <w:top w:val="nil"/>
              <w:left w:val="nil"/>
              <w:bottom w:val="nil"/>
              <w:right w:val="nil"/>
            </w:tcBorders>
          </w:tcPr>
          <w:p w:rsidR="006A19F7" w:rsidRPr="00AB5E6A" w:rsidRDefault="006A19F7" w:rsidP="00181BD0">
            <w:pPr>
              <w:rPr>
                <w:vertAlign w:val="superscript"/>
              </w:rPr>
            </w:pPr>
            <w:r w:rsidRPr="00AB5E6A">
              <w:t>Economic Society of Australia (ESA)</w:t>
            </w:r>
            <w:r w:rsidRPr="00AB5E6A">
              <w:rPr>
                <w:vertAlign w:val="superscript"/>
              </w:rPr>
              <w:t>2</w:t>
            </w:r>
          </w:p>
        </w:tc>
        <w:tc>
          <w:tcPr>
            <w:tcW w:w="1644" w:type="dxa"/>
            <w:tcBorders>
              <w:top w:val="nil"/>
              <w:left w:val="nil"/>
              <w:bottom w:val="nil"/>
              <w:right w:val="nil"/>
            </w:tcBorders>
          </w:tcPr>
          <w:p w:rsidR="006A19F7" w:rsidRPr="004729C9" w:rsidRDefault="006A19F7" w:rsidP="00181BD0">
            <w:pPr>
              <w:jc w:val="center"/>
            </w:pPr>
            <w:r>
              <w:t>0.47*</w:t>
            </w:r>
          </w:p>
        </w:tc>
        <w:tc>
          <w:tcPr>
            <w:tcW w:w="1644" w:type="dxa"/>
            <w:tcBorders>
              <w:top w:val="nil"/>
              <w:left w:val="nil"/>
              <w:bottom w:val="nil"/>
              <w:right w:val="nil"/>
            </w:tcBorders>
          </w:tcPr>
          <w:p w:rsidR="006A19F7" w:rsidRPr="004729C9" w:rsidRDefault="006A19F7" w:rsidP="00181BD0">
            <w:pPr>
              <w:jc w:val="center"/>
            </w:pPr>
            <w:r>
              <w:t>0.56*</w:t>
            </w:r>
          </w:p>
        </w:tc>
        <w:tc>
          <w:tcPr>
            <w:tcW w:w="1644" w:type="dxa"/>
            <w:tcBorders>
              <w:top w:val="nil"/>
              <w:left w:val="nil"/>
              <w:bottom w:val="nil"/>
              <w:right w:val="nil"/>
            </w:tcBorders>
          </w:tcPr>
          <w:p w:rsidR="006A19F7" w:rsidRDefault="006A19F7" w:rsidP="00181BD0">
            <w:pPr>
              <w:jc w:val="center"/>
            </w:pPr>
            <w:r>
              <w:t>0.59*</w:t>
            </w:r>
          </w:p>
        </w:tc>
        <w:tc>
          <w:tcPr>
            <w:tcW w:w="1644" w:type="dxa"/>
            <w:tcBorders>
              <w:top w:val="nil"/>
              <w:left w:val="nil"/>
              <w:bottom w:val="nil"/>
              <w:right w:val="nil"/>
            </w:tcBorders>
          </w:tcPr>
          <w:p w:rsidR="006A19F7" w:rsidRDefault="006A19F7" w:rsidP="00181BD0">
            <w:pPr>
              <w:jc w:val="center"/>
            </w:pPr>
            <w:r>
              <w:t>0.60*</w:t>
            </w:r>
          </w:p>
        </w:tc>
      </w:tr>
      <w:tr w:rsidR="006A19F7" w:rsidTr="00181BD0">
        <w:tc>
          <w:tcPr>
            <w:tcW w:w="3510" w:type="dxa"/>
            <w:tcBorders>
              <w:top w:val="nil"/>
              <w:left w:val="nil"/>
              <w:bottom w:val="nil"/>
              <w:right w:val="nil"/>
            </w:tcBorders>
          </w:tcPr>
          <w:p w:rsidR="006A19F7" w:rsidRPr="00AB5E6A" w:rsidRDefault="006A19F7" w:rsidP="00181BD0">
            <w:r w:rsidRPr="00AB5E6A">
              <w:t>Gibson (Gibson)</w:t>
            </w:r>
          </w:p>
        </w:tc>
        <w:tc>
          <w:tcPr>
            <w:tcW w:w="1644" w:type="dxa"/>
            <w:tcBorders>
              <w:top w:val="nil"/>
              <w:left w:val="nil"/>
              <w:bottom w:val="nil"/>
              <w:right w:val="nil"/>
            </w:tcBorders>
          </w:tcPr>
          <w:p w:rsidR="006A19F7" w:rsidRPr="004729C9" w:rsidRDefault="006A19F7" w:rsidP="00181BD0">
            <w:pPr>
              <w:jc w:val="center"/>
            </w:pPr>
            <w:r>
              <w:t>0.44*</w:t>
            </w:r>
          </w:p>
        </w:tc>
        <w:tc>
          <w:tcPr>
            <w:tcW w:w="1644" w:type="dxa"/>
            <w:tcBorders>
              <w:top w:val="nil"/>
              <w:left w:val="nil"/>
              <w:bottom w:val="nil"/>
              <w:right w:val="nil"/>
            </w:tcBorders>
          </w:tcPr>
          <w:p w:rsidR="006A19F7" w:rsidRPr="004729C9" w:rsidRDefault="006A19F7" w:rsidP="00181BD0">
            <w:pPr>
              <w:jc w:val="center"/>
            </w:pPr>
            <w:r>
              <w:t>0.59*</w:t>
            </w:r>
          </w:p>
        </w:tc>
        <w:tc>
          <w:tcPr>
            <w:tcW w:w="1644" w:type="dxa"/>
            <w:tcBorders>
              <w:top w:val="nil"/>
              <w:left w:val="nil"/>
              <w:bottom w:val="nil"/>
              <w:right w:val="nil"/>
            </w:tcBorders>
          </w:tcPr>
          <w:p w:rsidR="006A19F7" w:rsidRDefault="006A19F7" w:rsidP="00181BD0">
            <w:pPr>
              <w:jc w:val="center"/>
            </w:pPr>
            <w:r>
              <w:t>0.52*</w:t>
            </w:r>
          </w:p>
        </w:tc>
        <w:tc>
          <w:tcPr>
            <w:tcW w:w="1644" w:type="dxa"/>
            <w:tcBorders>
              <w:top w:val="nil"/>
              <w:left w:val="nil"/>
              <w:bottom w:val="nil"/>
              <w:right w:val="nil"/>
            </w:tcBorders>
          </w:tcPr>
          <w:p w:rsidR="006A19F7" w:rsidRDefault="006A19F7" w:rsidP="00181BD0">
            <w:pPr>
              <w:jc w:val="center"/>
            </w:pPr>
            <w:r>
              <w:t>0.61*</w:t>
            </w:r>
          </w:p>
        </w:tc>
      </w:tr>
      <w:tr w:rsidR="006A19F7" w:rsidTr="00181BD0">
        <w:tc>
          <w:tcPr>
            <w:tcW w:w="3510" w:type="dxa"/>
            <w:tcBorders>
              <w:top w:val="nil"/>
              <w:left w:val="nil"/>
              <w:bottom w:val="single" w:sz="4" w:space="0" w:color="auto"/>
              <w:right w:val="nil"/>
            </w:tcBorders>
          </w:tcPr>
          <w:p w:rsidR="006A19F7" w:rsidRPr="00AB5E6A" w:rsidRDefault="006A19F7" w:rsidP="00181BD0">
            <w:r w:rsidRPr="00AB5E6A">
              <w:t>Equal</w:t>
            </w:r>
          </w:p>
        </w:tc>
        <w:tc>
          <w:tcPr>
            <w:tcW w:w="1644" w:type="dxa"/>
            <w:tcBorders>
              <w:top w:val="nil"/>
              <w:left w:val="nil"/>
              <w:bottom w:val="single" w:sz="4" w:space="0" w:color="auto"/>
              <w:right w:val="nil"/>
            </w:tcBorders>
          </w:tcPr>
          <w:p w:rsidR="006A19F7" w:rsidRPr="004729C9" w:rsidRDefault="006A19F7" w:rsidP="00181BD0">
            <w:pPr>
              <w:jc w:val="center"/>
            </w:pPr>
            <w:r>
              <w:t>0.32**</w:t>
            </w:r>
          </w:p>
        </w:tc>
        <w:tc>
          <w:tcPr>
            <w:tcW w:w="1644" w:type="dxa"/>
            <w:tcBorders>
              <w:top w:val="nil"/>
              <w:left w:val="nil"/>
              <w:bottom w:val="single" w:sz="4" w:space="0" w:color="auto"/>
              <w:right w:val="nil"/>
            </w:tcBorders>
          </w:tcPr>
          <w:p w:rsidR="006A19F7" w:rsidRPr="004729C9" w:rsidRDefault="006A19F7" w:rsidP="00181BD0">
            <w:pPr>
              <w:jc w:val="center"/>
            </w:pPr>
            <w:r>
              <w:t>0.51*</w:t>
            </w:r>
          </w:p>
        </w:tc>
        <w:tc>
          <w:tcPr>
            <w:tcW w:w="1644" w:type="dxa"/>
            <w:tcBorders>
              <w:top w:val="nil"/>
              <w:left w:val="nil"/>
              <w:bottom w:val="single" w:sz="4" w:space="0" w:color="auto"/>
              <w:right w:val="nil"/>
            </w:tcBorders>
          </w:tcPr>
          <w:p w:rsidR="006A19F7" w:rsidRDefault="006A19F7" w:rsidP="00181BD0">
            <w:pPr>
              <w:jc w:val="center"/>
            </w:pPr>
            <w:r>
              <w:t>0.50*</w:t>
            </w:r>
          </w:p>
        </w:tc>
        <w:tc>
          <w:tcPr>
            <w:tcW w:w="1644" w:type="dxa"/>
            <w:tcBorders>
              <w:top w:val="nil"/>
              <w:left w:val="nil"/>
              <w:bottom w:val="single" w:sz="4" w:space="0" w:color="auto"/>
              <w:right w:val="nil"/>
            </w:tcBorders>
          </w:tcPr>
          <w:p w:rsidR="006A19F7" w:rsidRDefault="006A19F7" w:rsidP="00181BD0">
            <w:pPr>
              <w:jc w:val="center"/>
            </w:pPr>
            <w:r>
              <w:t>0.56*</w:t>
            </w:r>
          </w:p>
        </w:tc>
      </w:tr>
      <w:tr w:rsidR="006A19F7" w:rsidTr="00181BD0">
        <w:tc>
          <w:tcPr>
            <w:tcW w:w="10086" w:type="dxa"/>
            <w:gridSpan w:val="5"/>
            <w:tcBorders>
              <w:left w:val="nil"/>
              <w:bottom w:val="nil"/>
              <w:right w:val="nil"/>
            </w:tcBorders>
          </w:tcPr>
          <w:p w:rsidR="006A19F7" w:rsidRPr="00455CEE" w:rsidRDefault="006A19F7" w:rsidP="006A19F7">
            <w:pPr>
              <w:ind w:left="284" w:hanging="284"/>
              <w:rPr>
                <w:sz w:val="20"/>
                <w:szCs w:val="20"/>
              </w:rPr>
            </w:pPr>
            <w:r w:rsidRPr="00455CEE">
              <w:rPr>
                <w:sz w:val="20"/>
                <w:szCs w:val="20"/>
                <w:vertAlign w:val="superscript"/>
              </w:rPr>
              <w:t>1</w:t>
            </w:r>
            <w:r>
              <w:rPr>
                <w:sz w:val="20"/>
                <w:szCs w:val="20"/>
                <w:vertAlign w:val="superscript"/>
              </w:rPr>
              <w:tab/>
            </w:r>
            <w:r w:rsidRPr="00455CEE">
              <w:rPr>
                <w:sz w:val="20"/>
                <w:szCs w:val="20"/>
              </w:rPr>
              <w:t>Correlat</w:t>
            </w:r>
            <w:r>
              <w:rPr>
                <w:sz w:val="20"/>
                <w:szCs w:val="20"/>
              </w:rPr>
              <w:t>io</w:t>
            </w:r>
            <w:r w:rsidRPr="00455CEE">
              <w:rPr>
                <w:sz w:val="20"/>
                <w:szCs w:val="20"/>
              </w:rPr>
              <w:t>n coefficients marked with a *, ** and *** are significantly differen</w:t>
            </w:r>
            <w:r>
              <w:rPr>
                <w:sz w:val="20"/>
                <w:szCs w:val="20"/>
              </w:rPr>
              <w:t>t</w:t>
            </w:r>
            <w:r w:rsidRPr="00455CEE">
              <w:rPr>
                <w:sz w:val="20"/>
                <w:szCs w:val="20"/>
              </w:rPr>
              <w:t xml:space="preserve"> from zero at the 1%, 5% and 10% level respectively</w:t>
            </w:r>
          </w:p>
          <w:p w:rsidR="006A19F7" w:rsidRDefault="006A19F7" w:rsidP="006A19F7">
            <w:pPr>
              <w:ind w:left="284" w:hanging="284"/>
            </w:pPr>
            <w:r w:rsidRPr="00455CEE">
              <w:rPr>
                <w:sz w:val="20"/>
                <w:szCs w:val="20"/>
                <w:vertAlign w:val="superscript"/>
              </w:rPr>
              <w:t>2</w:t>
            </w:r>
            <w:r w:rsidRPr="00455CEE">
              <w:rPr>
                <w:sz w:val="20"/>
                <w:szCs w:val="20"/>
              </w:rPr>
              <w:t xml:space="preserve"> </w:t>
            </w:r>
            <w:r>
              <w:rPr>
                <w:sz w:val="20"/>
                <w:szCs w:val="20"/>
              </w:rPr>
              <w:tab/>
            </w:r>
            <w:r w:rsidRPr="00455CEE">
              <w:rPr>
                <w:sz w:val="20"/>
                <w:szCs w:val="20"/>
              </w:rPr>
              <w:t xml:space="preserve">Research active </w:t>
            </w:r>
            <w:proofErr w:type="gramStart"/>
            <w:r w:rsidRPr="00455CEE">
              <w:rPr>
                <w:sz w:val="20"/>
                <w:szCs w:val="20"/>
              </w:rPr>
              <w:t>are</w:t>
            </w:r>
            <w:proofErr w:type="gramEnd"/>
            <w:r w:rsidRPr="00455CEE">
              <w:rPr>
                <w:sz w:val="20"/>
                <w:szCs w:val="20"/>
              </w:rPr>
              <w:t xml:space="preserve"> those who published at least one journal paper between 2000 and 2005.</w:t>
            </w:r>
          </w:p>
        </w:tc>
      </w:tr>
    </w:tbl>
    <w:p w:rsidR="006A19F7" w:rsidRDefault="006A19F7" w:rsidP="00306460">
      <w:pPr>
        <w:jc w:val="both"/>
      </w:pPr>
    </w:p>
    <w:p w:rsidR="00E12216" w:rsidRDefault="00925949" w:rsidP="001C0DF8">
      <w:pPr>
        <w:jc w:val="both"/>
      </w:pPr>
      <w:r>
        <w:lastRenderedPageBreak/>
        <w:t>Correlation coefficients increase in all cases w</w:t>
      </w:r>
      <w:r w:rsidR="00E12216">
        <w:t>hen matching researchers who did not publish a journal paper between 2000 and 2005</w:t>
      </w:r>
      <w:r>
        <w:t xml:space="preserve"> and</w:t>
      </w:r>
      <w:r w:rsidR="00E12216">
        <w:t xml:space="preserve"> new and emerging researchers</w:t>
      </w:r>
      <w:r>
        <w:t xml:space="preserve"> are included.  This reflects the additional zero or generally low scores for both the journal based and PBRF evaluations.</w:t>
      </w:r>
      <w:r w:rsidR="00E12216">
        <w:t xml:space="preserve"> </w:t>
      </w:r>
    </w:p>
    <w:p w:rsidR="00455CEE" w:rsidRDefault="001B2663" w:rsidP="00DB594A">
      <w:pPr>
        <w:jc w:val="both"/>
      </w:pPr>
      <w:r>
        <w:t>Overall, the simple comparison o</w:t>
      </w:r>
      <w:r w:rsidR="007D4E9A">
        <w:t>f</w:t>
      </w:r>
      <w:r>
        <w:t xml:space="preserve"> bibliographic journal based measures and PBRF RO scores </w:t>
      </w:r>
      <w:proofErr w:type="gramStart"/>
      <w:r w:rsidR="009B1C58">
        <w:t>provide</w:t>
      </w:r>
      <w:r w:rsidR="00306460">
        <w:t>s</w:t>
      </w:r>
      <w:proofErr w:type="gramEnd"/>
      <w:r>
        <w:t xml:space="preserve"> little guidance as to the nature of PBRF assessments.  Nor does it provide confirmation that they represent high-powered</w:t>
      </w:r>
      <w:r w:rsidR="007D4E9A">
        <w:t>,</w:t>
      </w:r>
      <w:r>
        <w:t xml:space="preserve"> quality oriented assessments of research output in the sense in which this is measured by internationally accepted journal weighting based assessments of research.   </w:t>
      </w:r>
      <w:r w:rsidRPr="00306460">
        <w:t xml:space="preserve">While </w:t>
      </w:r>
      <w:r w:rsidR="00925949" w:rsidRPr="00306460">
        <w:t xml:space="preserve">it might be argued that there is some evidence that </w:t>
      </w:r>
      <w:r w:rsidRPr="00306460">
        <w:t xml:space="preserve">PBRF </w:t>
      </w:r>
      <w:r w:rsidR="00925949" w:rsidRPr="00306460">
        <w:t>RO scores are</w:t>
      </w:r>
      <w:r w:rsidR="00306460" w:rsidRPr="00306460">
        <w:t xml:space="preserve"> consistent with journals based measures of research output</w:t>
      </w:r>
      <w:r w:rsidRPr="00306460">
        <w:t>, it is clear that there are significant differences in the nature of the assessment.</w:t>
      </w:r>
      <w:r w:rsidR="00925949">
        <w:t xml:space="preserve">  </w:t>
      </w:r>
    </w:p>
    <w:p w:rsidR="00455CEE" w:rsidRDefault="00455CEE" w:rsidP="00306460">
      <w:pPr>
        <w:jc w:val="both"/>
      </w:pPr>
    </w:p>
    <w:p w:rsidR="00D95F83" w:rsidRPr="00CD16C6" w:rsidRDefault="001B2663" w:rsidP="001B2663">
      <w:pPr>
        <w:rPr>
          <w:b/>
          <w:bCs/>
        </w:rPr>
      </w:pPr>
      <w:r w:rsidRPr="00CD16C6">
        <w:rPr>
          <w:b/>
          <w:bCs/>
        </w:rPr>
        <w:t xml:space="preserve">The </w:t>
      </w:r>
      <w:r w:rsidR="00B56B33">
        <w:rPr>
          <w:b/>
          <w:bCs/>
        </w:rPr>
        <w:t>‘</w:t>
      </w:r>
      <w:r w:rsidRPr="00CD16C6">
        <w:rPr>
          <w:b/>
          <w:bCs/>
        </w:rPr>
        <w:t>Aggressiveness</w:t>
      </w:r>
      <w:r w:rsidR="00B56B33">
        <w:rPr>
          <w:b/>
          <w:bCs/>
        </w:rPr>
        <w:t>’</w:t>
      </w:r>
      <w:r w:rsidRPr="00CD16C6">
        <w:rPr>
          <w:b/>
          <w:bCs/>
        </w:rPr>
        <w:t xml:space="preserve"> of Research Evaluations and PBRF Research Output Scores</w:t>
      </w:r>
    </w:p>
    <w:p w:rsidR="000C7502" w:rsidRDefault="001B2663" w:rsidP="007A4D09">
      <w:pPr>
        <w:jc w:val="both"/>
      </w:pPr>
      <w:r>
        <w:t xml:space="preserve">In this section we consider six of the journal weighting schemes in more detail </w:t>
      </w:r>
      <w:r w:rsidR="007434A8">
        <w:t xml:space="preserve">in order </w:t>
      </w:r>
      <w:r>
        <w:t xml:space="preserve">to investigate the relationship between the aggressiveness of the </w:t>
      </w:r>
      <w:r w:rsidR="00CD16C6">
        <w:t xml:space="preserve">weights assigned </w:t>
      </w:r>
      <w:r>
        <w:t>to differently ranked journals and PBRF evaluations</w:t>
      </w:r>
      <w:r w:rsidR="0076398E">
        <w:t xml:space="preserve"> using the narrow group of matching economists, i.e. those</w:t>
      </w:r>
      <w:r w:rsidR="005D7640">
        <w:t xml:space="preserve"> </w:t>
      </w:r>
      <w:r w:rsidR="005E29D9">
        <w:t xml:space="preserve">who </w:t>
      </w:r>
      <w:r w:rsidR="005D7640">
        <w:t xml:space="preserve">submitted a new </w:t>
      </w:r>
      <w:proofErr w:type="spellStart"/>
      <w:r w:rsidR="005D7640">
        <w:t>EP,</w:t>
      </w:r>
      <w:r w:rsidR="0076398E">
        <w:t>were</w:t>
      </w:r>
      <w:proofErr w:type="spellEnd"/>
      <w:r w:rsidR="0076398E">
        <w:t xml:space="preserve"> research active and not NE</w:t>
      </w:r>
      <w:r>
        <w:t xml:space="preserve">.  Two questions will be addressed.  </w:t>
      </w:r>
      <w:r w:rsidR="001E6048">
        <w:t>First, d</w:t>
      </w:r>
      <w:r>
        <w:t xml:space="preserve">o PBRF </w:t>
      </w:r>
      <w:r w:rsidR="00306460">
        <w:t>Research Output (</w:t>
      </w:r>
      <w:r>
        <w:t>RO</w:t>
      </w:r>
      <w:r w:rsidR="00306460">
        <w:t>)</w:t>
      </w:r>
      <w:r>
        <w:t xml:space="preserve"> evaluations provide any guidance on the relative weights that</w:t>
      </w:r>
      <w:r w:rsidR="001E6048">
        <w:t xml:space="preserve"> </w:t>
      </w:r>
      <w:r w:rsidR="009A5503">
        <w:t xml:space="preserve">are or </w:t>
      </w:r>
      <w:r w:rsidR="001E6048">
        <w:t xml:space="preserve">should be </w:t>
      </w:r>
      <w:r>
        <w:t>appl</w:t>
      </w:r>
      <w:r w:rsidR="001E6048">
        <w:t>ied</w:t>
      </w:r>
      <w:r>
        <w:t xml:space="preserve"> to differently ranked journals in</w:t>
      </w:r>
      <w:r w:rsidR="001E6048">
        <w:t xml:space="preserve"> research assessments.  </w:t>
      </w:r>
      <w:r>
        <w:t xml:space="preserve">  </w:t>
      </w:r>
      <w:r w:rsidR="001E6048">
        <w:t>Secondly, for journal based assessment schemes such as ERA, ESA o</w:t>
      </w:r>
      <w:r w:rsidR="009A5503">
        <w:t>r</w:t>
      </w:r>
      <w:r w:rsidR="001E6048">
        <w:t xml:space="preserve"> the Australasian Business Deans rankings, </w:t>
      </w:r>
      <w:r w:rsidR="009A5503">
        <w:t>d</w:t>
      </w:r>
      <w:r w:rsidR="001E6048">
        <w:t>o PBRF R</w:t>
      </w:r>
      <w:r w:rsidR="009A5503">
        <w:t>O</w:t>
      </w:r>
      <w:r w:rsidR="001E6048">
        <w:t xml:space="preserve"> evaluations give any indication of the relative weights that might apply to journals receiving different scores, </w:t>
      </w:r>
      <w:r w:rsidR="00306460">
        <w:t>e.g.</w:t>
      </w:r>
      <w:r w:rsidR="001E6048">
        <w:t xml:space="preserve"> journals receiving an A</w:t>
      </w:r>
      <w:r w:rsidR="007A4D09">
        <w:t>*</w:t>
      </w:r>
      <w:r w:rsidR="001E6048">
        <w:t xml:space="preserve"> grade compared with a B?  This analysis</w:t>
      </w:r>
      <w:r w:rsidR="000C7502">
        <w:t xml:space="preserve"> also enables us to identify the journal based weighting schemes that are most consistent with PBRF evaluations after adjusting for the aggressiveness of the weights applied.</w:t>
      </w:r>
    </w:p>
    <w:p w:rsidR="009F0ADE" w:rsidRDefault="009A5503" w:rsidP="009F0ADE">
      <w:pPr>
        <w:jc w:val="both"/>
      </w:pPr>
      <w:r>
        <w:t>As noted above, j</w:t>
      </w:r>
      <w:r w:rsidR="000C7502">
        <w:t xml:space="preserve">ournal weighting schemes differ in three essential ways: the range of the </w:t>
      </w:r>
      <w:r>
        <w:t>j</w:t>
      </w:r>
      <w:r w:rsidR="000C7502">
        <w:t>ournals that are evaluated</w:t>
      </w:r>
      <w:r>
        <w:t xml:space="preserve"> (</w:t>
      </w:r>
      <w:r w:rsidR="000C7502">
        <w:t>given a non-zero weight</w:t>
      </w:r>
      <w:r>
        <w:t>)</w:t>
      </w:r>
      <w:r w:rsidR="000C7502">
        <w:t xml:space="preserve">, the ranking of the journals evaluated and the aggressiveness of the weights assigned.  For any set of journal based research </w:t>
      </w:r>
      <w:r w:rsidR="007434A8">
        <w:t xml:space="preserve">subject to evaluation, </w:t>
      </w:r>
      <w:r w:rsidR="000C7502">
        <w:t>the range and aggressiveness of the scheme will determine i</w:t>
      </w:r>
      <w:r w:rsidR="007434A8">
        <w:t>t</w:t>
      </w:r>
      <w:r w:rsidR="000C7502">
        <w:t xml:space="preserve">s </w:t>
      </w:r>
      <w:r w:rsidR="00B56B33">
        <w:t>‘</w:t>
      </w:r>
      <w:r w:rsidR="000C7502">
        <w:t>power</w:t>
      </w:r>
      <w:r w:rsidR="00B56B33">
        <w:t>’</w:t>
      </w:r>
      <w:r w:rsidR="000C7502">
        <w:t xml:space="preserve">.  As noted above, the </w:t>
      </w:r>
      <w:proofErr w:type="spellStart"/>
      <w:r w:rsidR="000C7502">
        <w:t>Gini</w:t>
      </w:r>
      <w:proofErr w:type="spellEnd"/>
      <w:r w:rsidR="000C7502">
        <w:t xml:space="preserve"> Coefficient can be used as an indicator </w:t>
      </w:r>
      <w:r w:rsidR="00400C78">
        <w:t>of t</w:t>
      </w:r>
      <w:r w:rsidR="000C7502">
        <w:t>he power of the scheme.  Her</w:t>
      </w:r>
      <w:r>
        <w:t>e</w:t>
      </w:r>
      <w:r w:rsidR="000C7502">
        <w:t xml:space="preserve"> we consider changes to the aggressiveness of the weights applied by the schemes studied using the following simple transformation of weights:</w:t>
      </w:r>
    </w:p>
    <w:p w:rsidR="000C7502" w:rsidRPr="000C7502" w:rsidRDefault="00023F59" w:rsidP="009F0ADE">
      <w:pPr>
        <w:jc w:val="both"/>
      </w:pPr>
      <m:oMathPara>
        <m:oMath>
          <m:sSub>
            <m:sSubPr>
              <m:ctrlPr>
                <w:rPr>
                  <w:rFonts w:ascii="Cambria Math" w:hAnsi="Cambria Math"/>
                  <w:i/>
                </w:rPr>
              </m:ctrlPr>
            </m:sSubPr>
            <m:e>
              <m:r>
                <w:rPr>
                  <w:rFonts w:ascii="Cambria Math" w:hAnsi="Cambria Math"/>
                </w:rPr>
                <m:t>nw</m:t>
              </m:r>
            </m:e>
            <m:sub>
              <m:r>
                <w:rPr>
                  <w:rFonts w:ascii="Cambria Math" w:hAnsi="Cambria Math"/>
                </w:rPr>
                <m:t>i</m:t>
              </m:r>
            </m:sub>
          </m:sSub>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ow</m:t>
                  </m:r>
                </m:e>
                <m:sub>
                  <m:r>
                    <w:rPr>
                      <w:rFonts w:ascii="Cambria Math" w:hAnsi="Cambria Math"/>
                    </w:rPr>
                    <m:t>i</m:t>
                  </m:r>
                </m:sub>
              </m:sSub>
            </m:e>
            <m:sup>
              <m:r>
                <w:rPr>
                  <w:rFonts w:ascii="Cambria Math" w:hAnsi="Cambria Math"/>
                </w:rPr>
                <m:t>a</m:t>
              </m:r>
            </m:sup>
          </m:sSup>
          <m:r>
            <w:rPr>
              <w:rFonts w:ascii="Cambria Math" w:hAnsi="Cambria Math"/>
            </w:rPr>
            <m:t>,</m:t>
          </m:r>
        </m:oMath>
      </m:oMathPara>
    </w:p>
    <w:p w:rsidR="007F559B" w:rsidRDefault="009F0ADE" w:rsidP="009F0ADE">
      <w:pPr>
        <w:jc w:val="both"/>
      </w:pPr>
      <w:r>
        <w:t>w</w:t>
      </w:r>
      <w:r w:rsidR="000C7502">
        <w:t xml:space="preserve">here </w:t>
      </w:r>
      <w:proofErr w:type="spellStart"/>
      <w:r w:rsidR="000C7502">
        <w:rPr>
          <w:i/>
          <w:iCs/>
        </w:rPr>
        <w:t>nw</w:t>
      </w:r>
      <w:r w:rsidR="00562843">
        <w:rPr>
          <w:i/>
          <w:iCs/>
          <w:vertAlign w:val="subscript"/>
        </w:rPr>
        <w:t>i</w:t>
      </w:r>
      <w:proofErr w:type="spellEnd"/>
      <w:r w:rsidR="00562843">
        <w:t xml:space="preserve"> and </w:t>
      </w:r>
      <w:proofErr w:type="spellStart"/>
      <w:r w:rsidR="00562843">
        <w:rPr>
          <w:i/>
          <w:iCs/>
        </w:rPr>
        <w:t>ow</w:t>
      </w:r>
      <w:r w:rsidR="00562843">
        <w:rPr>
          <w:i/>
          <w:iCs/>
          <w:vertAlign w:val="subscript"/>
        </w:rPr>
        <w:t>i</w:t>
      </w:r>
      <w:proofErr w:type="spellEnd"/>
      <w:r w:rsidR="00562843">
        <w:t xml:space="preserve"> are the new and old weights applied to journal </w:t>
      </w:r>
      <w:proofErr w:type="spellStart"/>
      <w:r w:rsidR="007434A8" w:rsidRPr="009F0ADE">
        <w:rPr>
          <w:i/>
          <w:iCs/>
        </w:rPr>
        <w:t>i</w:t>
      </w:r>
      <w:proofErr w:type="spellEnd"/>
      <w:r w:rsidR="00562843">
        <w:rPr>
          <w:i/>
          <w:iCs/>
        </w:rPr>
        <w:t xml:space="preserve"> </w:t>
      </w:r>
      <w:r w:rsidR="00562843">
        <w:t xml:space="preserve">and </w:t>
      </w:r>
      <w:r w:rsidR="00562843">
        <w:rPr>
          <w:i/>
          <w:iCs/>
        </w:rPr>
        <w:t>a</w:t>
      </w:r>
      <w:r w:rsidR="00562843">
        <w:t xml:space="preserve"> </w:t>
      </w:r>
      <w:proofErr w:type="spellStart"/>
      <w:r w:rsidR="00562843">
        <w:t>a</w:t>
      </w:r>
      <w:proofErr w:type="spellEnd"/>
      <w:r w:rsidR="00562843">
        <w:t xml:space="preserve"> parameter.  The parameter </w:t>
      </w:r>
      <w:r w:rsidR="00562843">
        <w:rPr>
          <w:i/>
          <w:iCs/>
        </w:rPr>
        <w:t>a</w:t>
      </w:r>
      <w:r w:rsidR="00562843">
        <w:t xml:space="preserve"> represents the elasticity of the new weights with respect to the old weights as weights vary across the journals evaluated.  Changing </w:t>
      </w:r>
      <w:r w:rsidR="00562843">
        <w:rPr>
          <w:i/>
          <w:iCs/>
        </w:rPr>
        <w:t>a</w:t>
      </w:r>
      <w:r w:rsidR="00562843">
        <w:t xml:space="preserve"> provides a simple way of varying the aggressiveness of journal weighting scheme.</w:t>
      </w:r>
      <w:r w:rsidR="00562843">
        <w:rPr>
          <w:rStyle w:val="FootnoteReference"/>
        </w:rPr>
        <w:footnoteReference w:id="12"/>
      </w:r>
      <w:r w:rsidR="00562843">
        <w:t xml:space="preserve">  Values of </w:t>
      </w:r>
      <w:r w:rsidR="00562843">
        <w:rPr>
          <w:i/>
          <w:iCs/>
        </w:rPr>
        <w:t>a</w:t>
      </w:r>
      <w:r w:rsidR="00562843">
        <w:t xml:space="preserve">&gt;1 will increase the aggressiveness of a weighting schemes while values of </w:t>
      </w:r>
      <w:r w:rsidR="00562843">
        <w:rPr>
          <w:i/>
          <w:iCs/>
        </w:rPr>
        <w:t>a</w:t>
      </w:r>
      <w:r w:rsidR="00562843">
        <w:t xml:space="preserve">&lt;1 reduce it.  A value of </w:t>
      </w:r>
      <w:r w:rsidR="00562843">
        <w:rPr>
          <w:i/>
          <w:iCs/>
        </w:rPr>
        <w:t>a</w:t>
      </w:r>
      <w:r w:rsidR="00562843">
        <w:t>=</w:t>
      </w:r>
      <w:r w:rsidR="009A5503">
        <w:t>0</w:t>
      </w:r>
      <w:r w:rsidR="00562843">
        <w:t xml:space="preserve"> would imply that all the journals evaluated by the scheme receive the same weight.  For example, the Gibson scheme implies that 20 standardised </w:t>
      </w:r>
      <w:r w:rsidR="00562843">
        <w:lastRenderedPageBreak/>
        <w:t xml:space="preserve">pages in the </w:t>
      </w:r>
      <w:r w:rsidR="00562843">
        <w:rPr>
          <w:i/>
          <w:iCs/>
        </w:rPr>
        <w:t>Economic Record</w:t>
      </w:r>
      <w:r w:rsidR="00562843">
        <w:t xml:space="preserve"> would receive the same weight as one page in the </w:t>
      </w:r>
      <w:r w:rsidR="00562843">
        <w:rPr>
          <w:i/>
          <w:iCs/>
        </w:rPr>
        <w:t>American Economic Review</w:t>
      </w:r>
      <w:r w:rsidR="00562843">
        <w:t xml:space="preserve">.  If these weights were transformed as above with </w:t>
      </w:r>
      <w:r w:rsidR="00562843">
        <w:rPr>
          <w:i/>
          <w:iCs/>
        </w:rPr>
        <w:t>a</w:t>
      </w:r>
      <w:r w:rsidR="00562843">
        <w:t xml:space="preserve">=2, </w:t>
      </w:r>
      <w:r w:rsidR="007F559B">
        <w:t xml:space="preserve">this trade-off between the two journals would be 400, or with </w:t>
      </w:r>
      <w:r w:rsidR="007F559B">
        <w:rPr>
          <w:i/>
          <w:iCs/>
        </w:rPr>
        <w:t>a</w:t>
      </w:r>
      <w:r w:rsidR="007F559B">
        <w:t>=0.5 it would be 4.5.</w:t>
      </w:r>
    </w:p>
    <w:p w:rsidR="000C7502" w:rsidRDefault="007F559B" w:rsidP="005E29D9">
      <w:pPr>
        <w:jc w:val="both"/>
      </w:pPr>
      <w:r>
        <w:t xml:space="preserve">We have chosen the following journal weighting schemes for further evaluation: KMS2010, LP94, MSF, ERA, ESA and Gibson.  For each of these schemes we used a grid based search to determine the value of </w:t>
      </w:r>
      <w:r>
        <w:rPr>
          <w:i/>
          <w:iCs/>
        </w:rPr>
        <w:t>a</w:t>
      </w:r>
      <w:r>
        <w:t xml:space="preserve"> that would result in the </w:t>
      </w:r>
      <w:r w:rsidR="009A5503">
        <w:t xml:space="preserve">highest </w:t>
      </w:r>
      <w:r>
        <w:t>correlation between the evaluations of the research of individuals by the journal weighting scheme and PBRF RO scores.</w:t>
      </w:r>
      <w:r w:rsidR="00562843">
        <w:rPr>
          <w:i/>
          <w:iCs/>
        </w:rPr>
        <w:t xml:space="preserve"> </w:t>
      </w:r>
      <w:r>
        <w:t xml:space="preserve"> Diagram </w:t>
      </w:r>
      <w:r w:rsidR="00EF4597">
        <w:t>1</w:t>
      </w:r>
      <w:r>
        <w:t xml:space="preserve"> describes the variation of the Pearson correlation coefficients with </w:t>
      </w:r>
      <w:r>
        <w:rPr>
          <w:i/>
          <w:iCs/>
        </w:rPr>
        <w:t>a</w:t>
      </w:r>
      <w:r>
        <w:t xml:space="preserve"> for each of the six schemes.  For KMS2010 and LP94 correlations</w:t>
      </w:r>
      <w:r w:rsidR="00A554DB">
        <w:t xml:space="preserve"> initially </w:t>
      </w:r>
      <w:r>
        <w:t xml:space="preserve">increase significantly as </w:t>
      </w:r>
      <w:r>
        <w:rPr>
          <w:i/>
          <w:iCs/>
        </w:rPr>
        <w:t>a</w:t>
      </w:r>
      <w:r w:rsidR="00A554DB">
        <w:t xml:space="preserve"> falls.  In contrast</w:t>
      </w:r>
      <w:r w:rsidR="007434A8">
        <w:t>,</w:t>
      </w:r>
      <w:r w:rsidR="00A554DB">
        <w:t xml:space="preserve"> correlations initially rise with </w:t>
      </w:r>
      <w:r w:rsidR="00A554DB">
        <w:rPr>
          <w:i/>
          <w:iCs/>
        </w:rPr>
        <w:t>a</w:t>
      </w:r>
      <w:r w:rsidR="00A554DB">
        <w:t xml:space="preserve"> for ERA and ESA.  Correlations for the MSF scheme, which has relatively low coverage of journals, do not change much with </w:t>
      </w:r>
      <w:r w:rsidR="00A554DB">
        <w:rPr>
          <w:i/>
          <w:iCs/>
        </w:rPr>
        <w:t>a</w:t>
      </w:r>
      <w:r w:rsidR="00A554DB">
        <w:t xml:space="preserve">.   </w:t>
      </w:r>
      <w:r w:rsidR="009F0ADE">
        <w:t xml:space="preserve">Correlations for the Gibson scheme that is based on labour market assessments reach a maximum at a value of </w:t>
      </w:r>
      <w:r w:rsidR="009F0ADE">
        <w:rPr>
          <w:i/>
          <w:iCs/>
        </w:rPr>
        <w:t>a</w:t>
      </w:r>
      <w:r w:rsidR="009F0ADE">
        <w:t xml:space="preserve"> close to one, i.e. the aggressiveness of the original schemes gives close to the highest </w:t>
      </w:r>
      <w:r w:rsidR="005E29D9">
        <w:t>associat</w:t>
      </w:r>
      <w:r w:rsidR="00DD033D">
        <w:t>i</w:t>
      </w:r>
      <w:r w:rsidR="005E29D9">
        <w:t>on</w:t>
      </w:r>
      <w:r w:rsidR="009F0ADE">
        <w:t>.</w:t>
      </w:r>
    </w:p>
    <w:p w:rsidR="005C61F9" w:rsidRDefault="005C61F9" w:rsidP="005E29D9">
      <w:pPr>
        <w:jc w:val="both"/>
      </w:pPr>
    </w:p>
    <w:p w:rsidR="006C5D17" w:rsidRDefault="006C5D17" w:rsidP="006C5D17">
      <w:pPr>
        <w:spacing w:after="0" w:line="240" w:lineRule="auto"/>
        <w:jc w:val="center"/>
        <w:rPr>
          <w:bCs/>
          <w:i/>
        </w:rPr>
      </w:pPr>
      <w:r>
        <w:rPr>
          <w:bCs/>
          <w:i/>
        </w:rPr>
        <w:t xml:space="preserve">Diagram </w:t>
      </w:r>
      <w:proofErr w:type="gramStart"/>
      <w:r>
        <w:rPr>
          <w:bCs/>
          <w:i/>
        </w:rPr>
        <w:t xml:space="preserve">1 </w:t>
      </w:r>
      <w:r w:rsidR="005C61F9">
        <w:rPr>
          <w:bCs/>
          <w:i/>
        </w:rPr>
        <w:t xml:space="preserve"> </w:t>
      </w:r>
      <w:r w:rsidRPr="006C5D17">
        <w:rPr>
          <w:bCs/>
          <w:i/>
        </w:rPr>
        <w:t>Pearson</w:t>
      </w:r>
      <w:proofErr w:type="gramEnd"/>
      <w:r w:rsidRPr="006C5D17">
        <w:rPr>
          <w:bCs/>
          <w:i/>
        </w:rPr>
        <w:t xml:space="preserve"> Correlations Coefficients between Journal Based Assessments</w:t>
      </w:r>
    </w:p>
    <w:p w:rsidR="006C5D17" w:rsidRPr="006C5D17" w:rsidRDefault="006C5D17" w:rsidP="006C5D17">
      <w:pPr>
        <w:spacing w:after="0" w:line="240" w:lineRule="auto"/>
        <w:jc w:val="center"/>
        <w:rPr>
          <w:i/>
        </w:rPr>
      </w:pPr>
      <w:proofErr w:type="gramStart"/>
      <w:r w:rsidRPr="006C5D17">
        <w:rPr>
          <w:bCs/>
          <w:i/>
        </w:rPr>
        <w:t>and</w:t>
      </w:r>
      <w:proofErr w:type="gramEnd"/>
      <w:r w:rsidRPr="006C5D17">
        <w:rPr>
          <w:bCs/>
          <w:i/>
        </w:rPr>
        <w:t xml:space="preserve"> PBRF RO Scores and the Power Parameter ‘</w:t>
      </w:r>
      <w:r w:rsidRPr="006C5D17">
        <w:rPr>
          <w:bCs/>
          <w:i/>
          <w:iCs/>
        </w:rPr>
        <w:t>a</w:t>
      </w:r>
      <w:r w:rsidRPr="006C5D17">
        <w:rPr>
          <w:bCs/>
          <w:i/>
        </w:rPr>
        <w:t>’</w:t>
      </w:r>
    </w:p>
    <w:p w:rsidR="005C61F9" w:rsidRDefault="006C5D17" w:rsidP="00DD033D">
      <w:pPr>
        <w:jc w:val="both"/>
      </w:pPr>
      <w:r w:rsidRPr="006C5D17">
        <w:drawing>
          <wp:inline distT="0" distB="0" distL="0" distR="0">
            <wp:extent cx="5731510" cy="3846195"/>
            <wp:effectExtent l="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921DF" w:rsidRDefault="005D33D7" w:rsidP="00DD033D">
      <w:pPr>
        <w:jc w:val="both"/>
      </w:pPr>
      <w:r>
        <w:t>For the six journal weighting schemes</w:t>
      </w:r>
      <w:r w:rsidR="000F2DEA">
        <w:t>,</w:t>
      </w:r>
      <w:r>
        <w:t xml:space="preserve"> the approximate values </w:t>
      </w:r>
      <w:r w:rsidR="000F2DEA">
        <w:t xml:space="preserve">of </w:t>
      </w:r>
      <w:proofErr w:type="gramStart"/>
      <w:r w:rsidRPr="005D33D7">
        <w:rPr>
          <w:i/>
          <w:iCs/>
        </w:rPr>
        <w:t>a</w:t>
      </w:r>
      <w:r>
        <w:t xml:space="preserve"> that</w:t>
      </w:r>
      <w:proofErr w:type="gramEnd"/>
      <w:r>
        <w:t xml:space="preserve"> give the highest correlation coefficients are shown in Table 3.    For the Australasian schemes</w:t>
      </w:r>
      <w:r w:rsidR="000F2DEA">
        <w:t>,</w:t>
      </w:r>
      <w:r>
        <w:t xml:space="preserve"> ERA and ESA</w:t>
      </w:r>
      <w:r w:rsidR="000F2DEA">
        <w:t>,</w:t>
      </w:r>
      <w:r>
        <w:t xml:space="preserve"> a value of </w:t>
      </w:r>
      <w:r w:rsidRPr="001F34B7">
        <w:rPr>
          <w:i/>
          <w:iCs/>
        </w:rPr>
        <w:t>a</w:t>
      </w:r>
      <w:r>
        <w:t xml:space="preserve"> equal to 3.75 and 4.25 respectively give the highest correlations.  </w:t>
      </w:r>
      <w:r w:rsidR="000F2DEA">
        <w:t xml:space="preserve">This suggests that the PBRF quality standards are significantly </w:t>
      </w:r>
      <w:r>
        <w:t>more aggressive than the numerical values used above.  In contrast</w:t>
      </w:r>
      <w:r w:rsidR="000F2DEA">
        <w:t>,</w:t>
      </w:r>
      <w:r>
        <w:t xml:space="preserve"> for KMS2010 and LP94</w:t>
      </w:r>
      <w:r w:rsidR="000F2DEA">
        <w:t>,</w:t>
      </w:r>
      <w:r>
        <w:t xml:space="preserve"> the values of </w:t>
      </w:r>
      <w:r>
        <w:rPr>
          <w:i/>
          <w:iCs/>
        </w:rPr>
        <w:t>a</w:t>
      </w:r>
      <w:r>
        <w:t xml:space="preserve"> are 0.4 and 0.2 respectively</w:t>
      </w:r>
      <w:r w:rsidR="000F2DEA">
        <w:t xml:space="preserve">.  This suggests </w:t>
      </w:r>
      <w:r>
        <w:t>that the quality standards implied by PBRF evaluations are sign</w:t>
      </w:r>
      <w:r w:rsidR="000F2DEA">
        <w:t>i</w:t>
      </w:r>
      <w:r>
        <w:t xml:space="preserve">ficantly less aggressive than </w:t>
      </w:r>
      <w:r w:rsidR="000F2DEA">
        <w:t xml:space="preserve">that associated with </w:t>
      </w:r>
      <w:r>
        <w:t>these two widely used journal based evaluation schemes.</w:t>
      </w:r>
      <w:r w:rsidR="003F357F">
        <w:t xml:space="preserve">  </w:t>
      </w:r>
      <w:r w:rsidR="000F2DEA">
        <w:t>In terms of aggressiveness, t</w:t>
      </w:r>
      <w:r w:rsidR="003F357F">
        <w:t xml:space="preserve">he Gibson </w:t>
      </w:r>
      <w:r w:rsidR="003F357F">
        <w:lastRenderedPageBreak/>
        <w:t xml:space="preserve">scheme is the most similar to the PBRF evaluations with </w:t>
      </w:r>
      <w:r w:rsidR="000F2DEA">
        <w:t xml:space="preserve">a </w:t>
      </w:r>
      <w:r w:rsidR="003F357F">
        <w:t xml:space="preserve">value of </w:t>
      </w:r>
      <w:r w:rsidR="003F357F">
        <w:rPr>
          <w:i/>
          <w:iCs/>
        </w:rPr>
        <w:t>a</w:t>
      </w:r>
      <w:r w:rsidR="003F357F">
        <w:t xml:space="preserve">=0.75. </w:t>
      </w:r>
      <w:r>
        <w:t xml:space="preserve">  </w:t>
      </w:r>
      <w:r w:rsidR="000F2DEA">
        <w:t>As shown in Diagram 1, a</w:t>
      </w:r>
      <w:r w:rsidRPr="005D33D7">
        <w:t>t</w:t>
      </w:r>
      <w:r>
        <w:t xml:space="preserve"> these values of </w:t>
      </w:r>
      <w:r>
        <w:rPr>
          <w:i/>
          <w:iCs/>
        </w:rPr>
        <w:t>a</w:t>
      </w:r>
      <w:r w:rsidR="000F2DEA">
        <w:rPr>
          <w:i/>
          <w:iCs/>
        </w:rPr>
        <w:t>,</w:t>
      </w:r>
      <w:r>
        <w:t xml:space="preserve"> the ESA scheme gives the closest ref</w:t>
      </w:r>
      <w:r w:rsidR="001F34B7">
        <w:t>l</w:t>
      </w:r>
      <w:r>
        <w:t xml:space="preserve">ection of PBRF RO evaluations.  </w:t>
      </w:r>
      <w:r w:rsidR="000F2DEA">
        <w:t>T</w:t>
      </w:r>
      <w:r>
        <w:t>his scheme is comprehensive, covering 93% of the journals in which New Zealand economists published between 2001 and 2005</w:t>
      </w:r>
      <w:r w:rsidR="003F357F">
        <w:t>.</w:t>
      </w:r>
      <w:r w:rsidR="006A5B59">
        <w:rPr>
          <w:rStyle w:val="FootnoteReference"/>
        </w:rPr>
        <w:footnoteReference w:id="13"/>
      </w:r>
    </w:p>
    <w:tbl>
      <w:tblPr>
        <w:tblStyle w:val="TableGrid"/>
        <w:tblW w:w="0" w:type="auto"/>
        <w:tblInd w:w="1526" w:type="dxa"/>
        <w:tblLook w:val="04A0"/>
      </w:tblPr>
      <w:tblGrid>
        <w:gridCol w:w="3685"/>
        <w:gridCol w:w="2268"/>
      </w:tblGrid>
      <w:tr w:rsidR="00B56B33" w:rsidTr="00181BD0">
        <w:tc>
          <w:tcPr>
            <w:tcW w:w="5953" w:type="dxa"/>
            <w:gridSpan w:val="2"/>
            <w:tcBorders>
              <w:top w:val="nil"/>
              <w:left w:val="nil"/>
              <w:bottom w:val="single" w:sz="4" w:space="0" w:color="auto"/>
              <w:right w:val="nil"/>
            </w:tcBorders>
          </w:tcPr>
          <w:p w:rsidR="00B56B33" w:rsidRPr="003F6406" w:rsidRDefault="00B56B33" w:rsidP="00181BD0">
            <w:pPr>
              <w:jc w:val="center"/>
            </w:pPr>
            <w:r w:rsidRPr="00455CEE">
              <w:rPr>
                <w:i/>
                <w:iCs/>
              </w:rPr>
              <w:t>Table 3    Approximate Values of a giving the Highest Values of the Pearson Correlation Coefficient</w:t>
            </w:r>
          </w:p>
        </w:tc>
      </w:tr>
      <w:tr w:rsidR="00B56B33" w:rsidTr="00181BD0">
        <w:tc>
          <w:tcPr>
            <w:tcW w:w="3685" w:type="dxa"/>
            <w:tcBorders>
              <w:left w:val="nil"/>
              <w:bottom w:val="single" w:sz="4" w:space="0" w:color="auto"/>
              <w:right w:val="nil"/>
            </w:tcBorders>
          </w:tcPr>
          <w:p w:rsidR="00B56B33" w:rsidRPr="003F6406" w:rsidRDefault="00B56B33" w:rsidP="00181BD0">
            <w:pPr>
              <w:jc w:val="center"/>
              <w:rPr>
                <w:i/>
                <w:iCs/>
              </w:rPr>
            </w:pPr>
            <w:r w:rsidRPr="003F6406">
              <w:rPr>
                <w:i/>
                <w:iCs/>
              </w:rPr>
              <w:t>Journal Weighting Scheme</w:t>
            </w:r>
          </w:p>
        </w:tc>
        <w:tc>
          <w:tcPr>
            <w:tcW w:w="2268" w:type="dxa"/>
            <w:tcBorders>
              <w:left w:val="nil"/>
              <w:bottom w:val="single" w:sz="4" w:space="0" w:color="auto"/>
              <w:right w:val="nil"/>
            </w:tcBorders>
          </w:tcPr>
          <w:p w:rsidR="00B56B33" w:rsidRPr="003F6406" w:rsidRDefault="00B56B33" w:rsidP="00181BD0">
            <w:pPr>
              <w:jc w:val="center"/>
              <w:rPr>
                <w:i/>
                <w:iCs/>
              </w:rPr>
            </w:pPr>
            <w:r w:rsidRPr="003F6406">
              <w:rPr>
                <w:i/>
                <w:iCs/>
              </w:rPr>
              <w:t>a Value</w:t>
            </w:r>
          </w:p>
        </w:tc>
      </w:tr>
      <w:tr w:rsidR="00B56B33" w:rsidTr="00181BD0">
        <w:tc>
          <w:tcPr>
            <w:tcW w:w="3685" w:type="dxa"/>
            <w:tcBorders>
              <w:top w:val="single" w:sz="4" w:space="0" w:color="auto"/>
              <w:left w:val="nil"/>
              <w:bottom w:val="nil"/>
              <w:right w:val="nil"/>
            </w:tcBorders>
          </w:tcPr>
          <w:p w:rsidR="00B56B33" w:rsidRDefault="00B56B33" w:rsidP="00181BD0">
            <w:r>
              <w:t>KMS2010</w:t>
            </w:r>
          </w:p>
        </w:tc>
        <w:tc>
          <w:tcPr>
            <w:tcW w:w="2268" w:type="dxa"/>
            <w:tcBorders>
              <w:top w:val="single" w:sz="4" w:space="0" w:color="auto"/>
              <w:left w:val="nil"/>
              <w:bottom w:val="nil"/>
              <w:right w:val="nil"/>
            </w:tcBorders>
          </w:tcPr>
          <w:p w:rsidR="00B56B33" w:rsidRDefault="00B56B33" w:rsidP="00181BD0">
            <w:pPr>
              <w:jc w:val="center"/>
            </w:pPr>
            <w:r>
              <w:t>0.4</w:t>
            </w:r>
          </w:p>
        </w:tc>
      </w:tr>
      <w:tr w:rsidR="00B56B33" w:rsidTr="00181BD0">
        <w:tc>
          <w:tcPr>
            <w:tcW w:w="3685" w:type="dxa"/>
            <w:tcBorders>
              <w:top w:val="nil"/>
              <w:left w:val="nil"/>
              <w:bottom w:val="nil"/>
              <w:right w:val="nil"/>
            </w:tcBorders>
          </w:tcPr>
          <w:p w:rsidR="00B56B33" w:rsidRDefault="00B56B33" w:rsidP="00181BD0">
            <w:r>
              <w:t>LP94</w:t>
            </w:r>
          </w:p>
        </w:tc>
        <w:tc>
          <w:tcPr>
            <w:tcW w:w="2268" w:type="dxa"/>
            <w:tcBorders>
              <w:top w:val="nil"/>
              <w:left w:val="nil"/>
              <w:bottom w:val="nil"/>
              <w:right w:val="nil"/>
            </w:tcBorders>
          </w:tcPr>
          <w:p w:rsidR="00B56B33" w:rsidRDefault="00B56B33" w:rsidP="00181BD0">
            <w:pPr>
              <w:jc w:val="center"/>
            </w:pPr>
            <w:r>
              <w:t>0.2</w:t>
            </w:r>
          </w:p>
        </w:tc>
      </w:tr>
      <w:tr w:rsidR="00B56B33" w:rsidTr="00181BD0">
        <w:tc>
          <w:tcPr>
            <w:tcW w:w="3685" w:type="dxa"/>
            <w:tcBorders>
              <w:top w:val="nil"/>
              <w:left w:val="nil"/>
              <w:bottom w:val="nil"/>
              <w:right w:val="nil"/>
            </w:tcBorders>
          </w:tcPr>
          <w:p w:rsidR="00B56B33" w:rsidRDefault="00B56B33" w:rsidP="00181BD0">
            <w:r>
              <w:t>MSF</w:t>
            </w:r>
          </w:p>
        </w:tc>
        <w:tc>
          <w:tcPr>
            <w:tcW w:w="2268" w:type="dxa"/>
            <w:tcBorders>
              <w:top w:val="nil"/>
              <w:left w:val="nil"/>
              <w:bottom w:val="nil"/>
              <w:right w:val="nil"/>
            </w:tcBorders>
          </w:tcPr>
          <w:p w:rsidR="00B56B33" w:rsidRDefault="00B56B33" w:rsidP="00181BD0">
            <w:pPr>
              <w:jc w:val="center"/>
            </w:pPr>
            <w:r>
              <w:t>0.2</w:t>
            </w:r>
          </w:p>
        </w:tc>
      </w:tr>
      <w:tr w:rsidR="00B56B33" w:rsidTr="00181BD0">
        <w:tc>
          <w:tcPr>
            <w:tcW w:w="3685" w:type="dxa"/>
            <w:tcBorders>
              <w:top w:val="nil"/>
              <w:left w:val="nil"/>
              <w:bottom w:val="nil"/>
              <w:right w:val="nil"/>
            </w:tcBorders>
          </w:tcPr>
          <w:p w:rsidR="00B56B33" w:rsidRDefault="00B56B33" w:rsidP="00181BD0">
            <w:r>
              <w:t>ERA</w:t>
            </w:r>
          </w:p>
        </w:tc>
        <w:tc>
          <w:tcPr>
            <w:tcW w:w="2268" w:type="dxa"/>
            <w:tcBorders>
              <w:top w:val="nil"/>
              <w:left w:val="nil"/>
              <w:bottom w:val="nil"/>
              <w:right w:val="nil"/>
            </w:tcBorders>
          </w:tcPr>
          <w:p w:rsidR="00B56B33" w:rsidRDefault="00B56B33" w:rsidP="00181BD0">
            <w:pPr>
              <w:jc w:val="center"/>
            </w:pPr>
            <w:r>
              <w:t>3.75</w:t>
            </w:r>
          </w:p>
        </w:tc>
      </w:tr>
      <w:tr w:rsidR="00B56B33" w:rsidTr="00181BD0">
        <w:tc>
          <w:tcPr>
            <w:tcW w:w="3685" w:type="dxa"/>
            <w:tcBorders>
              <w:top w:val="nil"/>
              <w:left w:val="nil"/>
              <w:bottom w:val="nil"/>
              <w:right w:val="nil"/>
            </w:tcBorders>
          </w:tcPr>
          <w:p w:rsidR="00B56B33" w:rsidRDefault="00B56B33" w:rsidP="00181BD0">
            <w:r>
              <w:t>ESA</w:t>
            </w:r>
          </w:p>
        </w:tc>
        <w:tc>
          <w:tcPr>
            <w:tcW w:w="2268" w:type="dxa"/>
            <w:tcBorders>
              <w:top w:val="nil"/>
              <w:left w:val="nil"/>
              <w:bottom w:val="nil"/>
              <w:right w:val="nil"/>
            </w:tcBorders>
          </w:tcPr>
          <w:p w:rsidR="00B56B33" w:rsidRDefault="00B56B33" w:rsidP="00181BD0">
            <w:pPr>
              <w:jc w:val="center"/>
            </w:pPr>
            <w:r>
              <w:t>4.25</w:t>
            </w:r>
          </w:p>
        </w:tc>
      </w:tr>
      <w:tr w:rsidR="00B56B33" w:rsidTr="00181BD0">
        <w:tc>
          <w:tcPr>
            <w:tcW w:w="3685" w:type="dxa"/>
            <w:tcBorders>
              <w:top w:val="nil"/>
              <w:left w:val="nil"/>
              <w:right w:val="nil"/>
            </w:tcBorders>
          </w:tcPr>
          <w:p w:rsidR="00B56B33" w:rsidRDefault="00B56B33" w:rsidP="00181BD0">
            <w:r>
              <w:t>Gibson</w:t>
            </w:r>
          </w:p>
        </w:tc>
        <w:tc>
          <w:tcPr>
            <w:tcW w:w="2268" w:type="dxa"/>
            <w:tcBorders>
              <w:top w:val="nil"/>
              <w:left w:val="nil"/>
              <w:right w:val="nil"/>
            </w:tcBorders>
          </w:tcPr>
          <w:p w:rsidR="00B56B33" w:rsidRDefault="00B56B33" w:rsidP="00181BD0">
            <w:pPr>
              <w:jc w:val="center"/>
            </w:pPr>
            <w:r>
              <w:t>0.75</w:t>
            </w:r>
          </w:p>
        </w:tc>
      </w:tr>
    </w:tbl>
    <w:p w:rsidR="00B56B33" w:rsidRDefault="00B56B33" w:rsidP="00455CEE">
      <w:pPr>
        <w:jc w:val="both"/>
      </w:pPr>
    </w:p>
    <w:p w:rsidR="00953B1E" w:rsidRDefault="00CA4471" w:rsidP="00455CEE">
      <w:pPr>
        <w:jc w:val="both"/>
      </w:pPr>
      <w:r>
        <w:t>I</w:t>
      </w:r>
      <w:r w:rsidR="0076398E">
        <w:t xml:space="preserve">n Table 4 </w:t>
      </w:r>
      <w:r>
        <w:t xml:space="preserve">we show, for both adjusted and unadjusted weighting schemes, the </w:t>
      </w:r>
      <w:r w:rsidR="00164369">
        <w:t xml:space="preserve">number of standardised pages that would equate with a page in the </w:t>
      </w:r>
      <w:r w:rsidR="00164369" w:rsidRPr="00164369">
        <w:rPr>
          <w:i/>
          <w:iCs/>
        </w:rPr>
        <w:t>American Economic Review</w:t>
      </w:r>
      <w:r w:rsidR="00164369">
        <w:rPr>
          <w:i/>
          <w:iCs/>
        </w:rPr>
        <w:t xml:space="preserve"> </w:t>
      </w:r>
      <w:r w:rsidR="00164369">
        <w:t>in a variety of journals in which New Zealand economists published over the period</w:t>
      </w:r>
      <w:r w:rsidR="00164369">
        <w:rPr>
          <w:i/>
          <w:iCs/>
        </w:rPr>
        <w:t>.</w:t>
      </w:r>
      <w:r w:rsidR="00164369">
        <w:t xml:space="preserve">  </w:t>
      </w:r>
      <w:r>
        <w:t xml:space="preserve">Note that </w:t>
      </w:r>
      <w:r w:rsidR="0076398E">
        <w:t xml:space="preserve">the adjusted weights are those transformed using the values of </w:t>
      </w:r>
      <w:r w:rsidR="0076398E">
        <w:rPr>
          <w:i/>
          <w:iCs/>
        </w:rPr>
        <w:t>a</w:t>
      </w:r>
      <w:r w:rsidR="0076398E">
        <w:t xml:space="preserve"> </w:t>
      </w:r>
      <w:r>
        <w:t xml:space="preserve">as shown </w:t>
      </w:r>
      <w:r w:rsidR="0076398E">
        <w:t>in Table 3.</w:t>
      </w:r>
    </w:p>
    <w:tbl>
      <w:tblPr>
        <w:tblW w:w="8193" w:type="dxa"/>
        <w:tblInd w:w="675" w:type="dxa"/>
        <w:tblLook w:val="04A0"/>
      </w:tblPr>
      <w:tblGrid>
        <w:gridCol w:w="2308"/>
        <w:gridCol w:w="1094"/>
        <w:gridCol w:w="963"/>
        <w:gridCol w:w="1022"/>
        <w:gridCol w:w="963"/>
        <w:gridCol w:w="851"/>
        <w:gridCol w:w="992"/>
      </w:tblGrid>
      <w:tr w:rsidR="00EC1CAD" w:rsidRPr="00455CEE" w:rsidTr="00181BD0">
        <w:trPr>
          <w:trHeight w:val="300"/>
        </w:trPr>
        <w:tc>
          <w:tcPr>
            <w:tcW w:w="8193" w:type="dxa"/>
            <w:gridSpan w:val="7"/>
            <w:tcBorders>
              <w:bottom w:val="single" w:sz="4" w:space="0" w:color="auto"/>
            </w:tcBorders>
            <w:shd w:val="clear" w:color="auto" w:fill="auto"/>
            <w:noWrap/>
            <w:vAlign w:val="bottom"/>
          </w:tcPr>
          <w:p w:rsidR="00EC1CAD" w:rsidRPr="00455CEE" w:rsidRDefault="00EC1CAD" w:rsidP="00181BD0">
            <w:pPr>
              <w:spacing w:after="0" w:line="240" w:lineRule="auto"/>
              <w:jc w:val="center"/>
              <w:rPr>
                <w:rFonts w:ascii="Calibri" w:eastAsia="Times New Roman" w:hAnsi="Calibri" w:cs="Calibri"/>
                <w:i/>
                <w:iCs/>
                <w:color w:val="000000"/>
              </w:rPr>
            </w:pPr>
            <w:r w:rsidRPr="00455CEE">
              <w:rPr>
                <w:rFonts w:ascii="Calibri" w:eastAsia="Times New Roman" w:hAnsi="Calibri" w:cs="Calibri"/>
                <w:i/>
                <w:iCs/>
                <w:color w:val="000000"/>
              </w:rPr>
              <w:t>Table 4    Journal Page Trade-Offs for Initial Weighting Schemes and Adjusted Weights</w:t>
            </w:r>
          </w:p>
        </w:tc>
      </w:tr>
      <w:tr w:rsidR="00EC1CAD" w:rsidRPr="00455CEE" w:rsidTr="00181BD0">
        <w:trPr>
          <w:trHeight w:val="300"/>
        </w:trPr>
        <w:tc>
          <w:tcPr>
            <w:tcW w:w="2308" w:type="dxa"/>
            <w:tcBorders>
              <w:top w:val="single" w:sz="4" w:space="0" w:color="auto"/>
              <w:bottom w:val="single" w:sz="4" w:space="0" w:color="auto"/>
            </w:tcBorders>
            <w:shd w:val="clear" w:color="auto" w:fill="auto"/>
            <w:noWrap/>
            <w:vAlign w:val="bottom"/>
          </w:tcPr>
          <w:p w:rsidR="00EC1CAD" w:rsidRPr="00455CEE" w:rsidRDefault="00EC1CAD" w:rsidP="00181BD0">
            <w:pPr>
              <w:spacing w:after="0" w:line="240" w:lineRule="auto"/>
              <w:rPr>
                <w:rFonts w:ascii="Calibri" w:eastAsia="Times New Roman" w:hAnsi="Calibri" w:cs="Calibri"/>
                <w:color w:val="000000"/>
              </w:rPr>
            </w:pPr>
          </w:p>
        </w:tc>
        <w:tc>
          <w:tcPr>
            <w:tcW w:w="5885" w:type="dxa"/>
            <w:gridSpan w:val="6"/>
            <w:tcBorders>
              <w:top w:val="single" w:sz="4" w:space="0" w:color="auto"/>
              <w:bottom w:val="single" w:sz="4" w:space="0" w:color="auto"/>
            </w:tcBorders>
            <w:shd w:val="clear" w:color="auto" w:fill="auto"/>
            <w:noWrap/>
            <w:vAlign w:val="bottom"/>
          </w:tcPr>
          <w:p w:rsidR="00EC1CAD" w:rsidRPr="00455CEE" w:rsidRDefault="00EC1CAD" w:rsidP="00181BD0">
            <w:pPr>
              <w:spacing w:after="0" w:line="240" w:lineRule="auto"/>
              <w:jc w:val="center"/>
              <w:rPr>
                <w:rFonts w:ascii="Calibri" w:eastAsia="Times New Roman" w:hAnsi="Calibri" w:cs="Calibri"/>
                <w:i/>
                <w:iCs/>
                <w:color w:val="000000"/>
              </w:rPr>
            </w:pPr>
            <w:r w:rsidRPr="00455CEE">
              <w:rPr>
                <w:rFonts w:ascii="Calibri" w:eastAsia="Times New Roman" w:hAnsi="Calibri" w:cs="Calibri"/>
                <w:i/>
                <w:iCs/>
                <w:color w:val="000000"/>
              </w:rPr>
              <w:t>Adjusted Weights</w:t>
            </w:r>
          </w:p>
          <w:p w:rsidR="00EC1CAD" w:rsidRPr="00455CEE" w:rsidRDefault="00EC1CAD" w:rsidP="00181BD0">
            <w:pPr>
              <w:spacing w:after="0" w:line="240" w:lineRule="auto"/>
              <w:jc w:val="center"/>
              <w:rPr>
                <w:rFonts w:ascii="Calibri" w:eastAsia="Times New Roman" w:hAnsi="Calibri" w:cs="Calibri"/>
                <w:i/>
                <w:iCs/>
                <w:color w:val="000000"/>
              </w:rPr>
            </w:pPr>
            <w:r w:rsidRPr="00455CEE">
              <w:rPr>
                <w:rFonts w:ascii="Calibri" w:eastAsia="Times New Roman" w:hAnsi="Calibri" w:cs="Calibri"/>
                <w:i/>
                <w:iCs/>
                <w:color w:val="000000"/>
              </w:rPr>
              <w:t>(Unadjusted Weights)</w:t>
            </w:r>
          </w:p>
        </w:tc>
      </w:tr>
      <w:tr w:rsidR="00EC1CAD" w:rsidRPr="002F36AF" w:rsidTr="00181BD0">
        <w:trPr>
          <w:trHeight w:val="300"/>
        </w:trPr>
        <w:tc>
          <w:tcPr>
            <w:tcW w:w="2308" w:type="dxa"/>
            <w:tcBorders>
              <w:top w:val="single" w:sz="4" w:space="0" w:color="auto"/>
              <w:bottom w:val="single" w:sz="4" w:space="0" w:color="auto"/>
            </w:tcBorders>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p>
        </w:tc>
        <w:tc>
          <w:tcPr>
            <w:tcW w:w="1094" w:type="dxa"/>
            <w:tcBorders>
              <w:top w:val="single" w:sz="4" w:space="0" w:color="auto"/>
              <w:bottom w:val="single" w:sz="4" w:space="0" w:color="auto"/>
            </w:tcBorders>
            <w:shd w:val="clear" w:color="auto" w:fill="auto"/>
            <w:noWrap/>
            <w:vAlign w:val="bottom"/>
            <w:hideMark/>
          </w:tcPr>
          <w:p w:rsidR="00EC1CAD" w:rsidRPr="00B128FA" w:rsidRDefault="00EC1CAD" w:rsidP="00181BD0">
            <w:pPr>
              <w:spacing w:after="0" w:line="240" w:lineRule="auto"/>
              <w:rPr>
                <w:rFonts w:ascii="Calibri" w:eastAsia="Times New Roman" w:hAnsi="Calibri" w:cs="Calibri"/>
                <w:b/>
                <w:bCs/>
                <w:i/>
                <w:iCs/>
                <w:color w:val="000000"/>
              </w:rPr>
            </w:pPr>
            <w:r w:rsidRPr="00B128FA">
              <w:rPr>
                <w:rFonts w:ascii="Calibri" w:eastAsia="Times New Roman" w:hAnsi="Calibri" w:cs="Calibri"/>
                <w:b/>
                <w:bCs/>
                <w:i/>
                <w:iCs/>
                <w:color w:val="000000"/>
              </w:rPr>
              <w:t>KMS2</w:t>
            </w:r>
          </w:p>
        </w:tc>
        <w:tc>
          <w:tcPr>
            <w:tcW w:w="963" w:type="dxa"/>
            <w:tcBorders>
              <w:top w:val="single" w:sz="4" w:space="0" w:color="auto"/>
              <w:bottom w:val="single" w:sz="4" w:space="0" w:color="auto"/>
            </w:tcBorders>
            <w:shd w:val="clear" w:color="auto" w:fill="auto"/>
            <w:noWrap/>
            <w:vAlign w:val="bottom"/>
            <w:hideMark/>
          </w:tcPr>
          <w:p w:rsidR="00EC1CAD" w:rsidRPr="00B128FA" w:rsidRDefault="00EC1CAD" w:rsidP="00181BD0">
            <w:pPr>
              <w:spacing w:after="0" w:line="240" w:lineRule="auto"/>
              <w:rPr>
                <w:rFonts w:ascii="Calibri" w:eastAsia="Times New Roman" w:hAnsi="Calibri" w:cs="Calibri"/>
                <w:b/>
                <w:bCs/>
                <w:i/>
                <w:iCs/>
                <w:color w:val="000000"/>
              </w:rPr>
            </w:pPr>
            <w:r w:rsidRPr="00B128FA">
              <w:rPr>
                <w:rFonts w:ascii="Calibri" w:eastAsia="Times New Roman" w:hAnsi="Calibri" w:cs="Calibri"/>
                <w:b/>
                <w:bCs/>
                <w:i/>
                <w:iCs/>
                <w:color w:val="000000"/>
              </w:rPr>
              <w:t>LP94</w:t>
            </w:r>
          </w:p>
        </w:tc>
        <w:tc>
          <w:tcPr>
            <w:tcW w:w="1022" w:type="dxa"/>
            <w:tcBorders>
              <w:top w:val="single" w:sz="4" w:space="0" w:color="auto"/>
              <w:bottom w:val="single" w:sz="4" w:space="0" w:color="auto"/>
            </w:tcBorders>
            <w:shd w:val="clear" w:color="auto" w:fill="auto"/>
            <w:noWrap/>
            <w:vAlign w:val="bottom"/>
            <w:hideMark/>
          </w:tcPr>
          <w:p w:rsidR="00EC1CAD" w:rsidRPr="00B128FA" w:rsidRDefault="00EC1CAD" w:rsidP="00181BD0">
            <w:pPr>
              <w:spacing w:after="0" w:line="240" w:lineRule="auto"/>
              <w:rPr>
                <w:rFonts w:ascii="Calibri" w:eastAsia="Times New Roman" w:hAnsi="Calibri" w:cs="Calibri"/>
                <w:b/>
                <w:bCs/>
                <w:i/>
                <w:iCs/>
                <w:color w:val="000000"/>
              </w:rPr>
            </w:pPr>
            <w:r w:rsidRPr="00B128FA">
              <w:rPr>
                <w:rFonts w:ascii="Calibri" w:eastAsia="Times New Roman" w:hAnsi="Calibri" w:cs="Calibri"/>
                <w:b/>
                <w:bCs/>
                <w:i/>
                <w:iCs/>
                <w:color w:val="000000"/>
              </w:rPr>
              <w:t>MSF</w:t>
            </w:r>
          </w:p>
        </w:tc>
        <w:tc>
          <w:tcPr>
            <w:tcW w:w="963" w:type="dxa"/>
            <w:tcBorders>
              <w:top w:val="single" w:sz="4" w:space="0" w:color="auto"/>
              <w:bottom w:val="single" w:sz="4" w:space="0" w:color="auto"/>
            </w:tcBorders>
            <w:shd w:val="clear" w:color="auto" w:fill="auto"/>
            <w:noWrap/>
            <w:vAlign w:val="bottom"/>
            <w:hideMark/>
          </w:tcPr>
          <w:p w:rsidR="00EC1CAD" w:rsidRPr="00B128FA" w:rsidRDefault="00EC1CAD" w:rsidP="00181BD0">
            <w:pPr>
              <w:spacing w:after="0" w:line="240" w:lineRule="auto"/>
              <w:rPr>
                <w:rFonts w:ascii="Calibri" w:eastAsia="Times New Roman" w:hAnsi="Calibri" w:cs="Calibri"/>
                <w:b/>
                <w:bCs/>
                <w:i/>
                <w:iCs/>
                <w:color w:val="000000"/>
              </w:rPr>
            </w:pPr>
            <w:r w:rsidRPr="00B128FA">
              <w:rPr>
                <w:rFonts w:ascii="Calibri" w:eastAsia="Times New Roman" w:hAnsi="Calibri" w:cs="Calibri"/>
                <w:b/>
                <w:bCs/>
                <w:i/>
                <w:iCs/>
                <w:color w:val="000000"/>
              </w:rPr>
              <w:t>Gibson</w:t>
            </w:r>
          </w:p>
        </w:tc>
        <w:tc>
          <w:tcPr>
            <w:tcW w:w="851" w:type="dxa"/>
            <w:tcBorders>
              <w:top w:val="single" w:sz="4" w:space="0" w:color="auto"/>
              <w:bottom w:val="single" w:sz="4" w:space="0" w:color="auto"/>
            </w:tcBorders>
            <w:shd w:val="clear" w:color="auto" w:fill="auto"/>
            <w:noWrap/>
            <w:vAlign w:val="bottom"/>
            <w:hideMark/>
          </w:tcPr>
          <w:p w:rsidR="00EC1CAD" w:rsidRPr="00B128FA" w:rsidRDefault="00EC1CAD" w:rsidP="00181BD0">
            <w:pPr>
              <w:spacing w:after="0" w:line="240" w:lineRule="auto"/>
              <w:rPr>
                <w:rFonts w:ascii="Calibri" w:eastAsia="Times New Roman" w:hAnsi="Calibri" w:cs="Calibri"/>
                <w:b/>
                <w:bCs/>
                <w:i/>
                <w:iCs/>
                <w:color w:val="000000"/>
              </w:rPr>
            </w:pPr>
            <w:r w:rsidRPr="00B128FA">
              <w:rPr>
                <w:rFonts w:ascii="Calibri" w:eastAsia="Times New Roman" w:hAnsi="Calibri" w:cs="Calibri"/>
                <w:b/>
                <w:bCs/>
                <w:i/>
                <w:iCs/>
                <w:color w:val="000000"/>
              </w:rPr>
              <w:t>ERA</w:t>
            </w:r>
          </w:p>
        </w:tc>
        <w:tc>
          <w:tcPr>
            <w:tcW w:w="992" w:type="dxa"/>
            <w:tcBorders>
              <w:top w:val="single" w:sz="4" w:space="0" w:color="auto"/>
              <w:bottom w:val="single" w:sz="4" w:space="0" w:color="auto"/>
            </w:tcBorders>
            <w:shd w:val="clear" w:color="auto" w:fill="auto"/>
            <w:noWrap/>
            <w:vAlign w:val="bottom"/>
            <w:hideMark/>
          </w:tcPr>
          <w:p w:rsidR="00EC1CAD" w:rsidRPr="00B128FA" w:rsidRDefault="00EC1CAD" w:rsidP="00181BD0">
            <w:pPr>
              <w:spacing w:after="0" w:line="240" w:lineRule="auto"/>
              <w:rPr>
                <w:rFonts w:ascii="Calibri" w:eastAsia="Times New Roman" w:hAnsi="Calibri" w:cs="Calibri"/>
                <w:b/>
                <w:bCs/>
                <w:i/>
                <w:iCs/>
                <w:color w:val="000000"/>
              </w:rPr>
            </w:pPr>
            <w:r w:rsidRPr="00B128FA">
              <w:rPr>
                <w:rFonts w:ascii="Calibri" w:eastAsia="Times New Roman" w:hAnsi="Calibri" w:cs="Calibri"/>
                <w:b/>
                <w:bCs/>
                <w:i/>
                <w:iCs/>
                <w:color w:val="000000"/>
              </w:rPr>
              <w:t>ESA</w:t>
            </w:r>
          </w:p>
        </w:tc>
      </w:tr>
      <w:tr w:rsidR="00EC1CAD" w:rsidRPr="002F36AF" w:rsidTr="00181BD0">
        <w:trPr>
          <w:trHeight w:val="300"/>
        </w:trPr>
        <w:tc>
          <w:tcPr>
            <w:tcW w:w="2308" w:type="dxa"/>
            <w:tcBorders>
              <w:top w:val="single" w:sz="4" w:space="0" w:color="auto"/>
            </w:tcBorders>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r w:rsidRPr="002F36AF">
              <w:rPr>
                <w:rFonts w:ascii="Calibri" w:eastAsia="Times New Roman" w:hAnsi="Calibri" w:cs="Calibri"/>
                <w:color w:val="000000"/>
              </w:rPr>
              <w:t>Economica</w:t>
            </w:r>
          </w:p>
        </w:tc>
        <w:tc>
          <w:tcPr>
            <w:tcW w:w="1094" w:type="dxa"/>
            <w:tcBorders>
              <w:top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4.60</w:t>
            </w:r>
            <w:r>
              <w:rPr>
                <w:rFonts w:ascii="Calibri" w:eastAsia="Times New Roman" w:hAnsi="Calibri" w:cs="Calibri"/>
                <w:color w:val="000000"/>
              </w:rPr>
              <w:t xml:space="preserve"> (</w:t>
            </w:r>
            <w:r w:rsidRPr="002F36AF">
              <w:rPr>
                <w:rFonts w:ascii="Calibri" w:eastAsia="Times New Roman" w:hAnsi="Calibri" w:cs="Calibri"/>
                <w:color w:val="000000"/>
              </w:rPr>
              <w:t>45.45</w:t>
            </w:r>
            <w:r>
              <w:rPr>
                <w:rFonts w:ascii="Calibri" w:eastAsia="Times New Roman" w:hAnsi="Calibri" w:cs="Calibri"/>
                <w:color w:val="000000"/>
              </w:rPr>
              <w:t>)</w:t>
            </w:r>
          </w:p>
        </w:tc>
        <w:tc>
          <w:tcPr>
            <w:tcW w:w="963" w:type="dxa"/>
            <w:tcBorders>
              <w:top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1.73</w:t>
            </w:r>
            <w:r>
              <w:rPr>
                <w:rFonts w:ascii="Calibri" w:eastAsia="Times New Roman" w:hAnsi="Calibri" w:cs="Calibri"/>
                <w:color w:val="000000"/>
              </w:rPr>
              <w:t xml:space="preserve"> (</w:t>
            </w:r>
            <w:r w:rsidRPr="002F36AF">
              <w:rPr>
                <w:rFonts w:ascii="Calibri" w:eastAsia="Times New Roman" w:hAnsi="Calibri" w:cs="Calibri"/>
                <w:color w:val="000000"/>
              </w:rPr>
              <w:t>15.46</w:t>
            </w:r>
            <w:r>
              <w:rPr>
                <w:rFonts w:ascii="Calibri" w:eastAsia="Times New Roman" w:hAnsi="Calibri" w:cs="Calibri"/>
                <w:color w:val="000000"/>
              </w:rPr>
              <w:t xml:space="preserve">) </w:t>
            </w:r>
          </w:p>
        </w:tc>
        <w:tc>
          <w:tcPr>
            <w:tcW w:w="1022" w:type="dxa"/>
            <w:tcBorders>
              <w:top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1.04</w:t>
            </w:r>
            <w:r>
              <w:rPr>
                <w:rFonts w:ascii="Calibri" w:eastAsia="Times New Roman" w:hAnsi="Calibri" w:cs="Calibri"/>
                <w:color w:val="000000"/>
              </w:rPr>
              <w:t xml:space="preserve"> (</w:t>
            </w:r>
            <w:r w:rsidRPr="002F36AF">
              <w:rPr>
                <w:rFonts w:ascii="Calibri" w:eastAsia="Times New Roman" w:hAnsi="Calibri" w:cs="Calibri"/>
                <w:color w:val="000000"/>
              </w:rPr>
              <w:t>1.21</w:t>
            </w:r>
            <w:r>
              <w:rPr>
                <w:rFonts w:ascii="Calibri" w:eastAsia="Times New Roman" w:hAnsi="Calibri" w:cs="Calibri"/>
                <w:color w:val="000000"/>
              </w:rPr>
              <w:t>)</w:t>
            </w:r>
          </w:p>
        </w:tc>
        <w:tc>
          <w:tcPr>
            <w:tcW w:w="963" w:type="dxa"/>
            <w:tcBorders>
              <w:top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1.40</w:t>
            </w:r>
            <w:r>
              <w:rPr>
                <w:rFonts w:ascii="Calibri" w:eastAsia="Times New Roman" w:hAnsi="Calibri" w:cs="Calibri"/>
                <w:color w:val="000000"/>
              </w:rPr>
              <w:t xml:space="preserve"> (</w:t>
            </w:r>
            <w:r w:rsidRPr="002F36AF">
              <w:rPr>
                <w:rFonts w:ascii="Calibri" w:eastAsia="Times New Roman" w:hAnsi="Calibri" w:cs="Calibri"/>
                <w:color w:val="000000"/>
              </w:rPr>
              <w:t>1.56</w:t>
            </w:r>
            <w:r>
              <w:rPr>
                <w:rFonts w:ascii="Calibri" w:eastAsia="Times New Roman" w:hAnsi="Calibri" w:cs="Calibri"/>
                <w:color w:val="000000"/>
              </w:rPr>
              <w:t>)</w:t>
            </w:r>
          </w:p>
        </w:tc>
        <w:tc>
          <w:tcPr>
            <w:tcW w:w="851" w:type="dxa"/>
            <w:tcBorders>
              <w:top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2.94</w:t>
            </w:r>
            <w:r>
              <w:rPr>
                <w:rFonts w:ascii="Calibri" w:eastAsia="Times New Roman" w:hAnsi="Calibri" w:cs="Calibri"/>
                <w:color w:val="000000"/>
              </w:rPr>
              <w:t xml:space="preserve"> (</w:t>
            </w:r>
            <w:r w:rsidRPr="002F36AF">
              <w:rPr>
                <w:rFonts w:ascii="Calibri" w:eastAsia="Times New Roman" w:hAnsi="Calibri" w:cs="Calibri"/>
                <w:color w:val="000000"/>
              </w:rPr>
              <w:t>1.33</w:t>
            </w:r>
            <w:r>
              <w:rPr>
                <w:rFonts w:ascii="Calibri" w:eastAsia="Times New Roman" w:hAnsi="Calibri" w:cs="Calibri"/>
                <w:color w:val="000000"/>
              </w:rPr>
              <w:t xml:space="preserve">) </w:t>
            </w:r>
          </w:p>
        </w:tc>
        <w:tc>
          <w:tcPr>
            <w:tcW w:w="992" w:type="dxa"/>
            <w:tcBorders>
              <w:top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3.40</w:t>
            </w:r>
            <w:r>
              <w:rPr>
                <w:rFonts w:ascii="Calibri" w:eastAsia="Times New Roman" w:hAnsi="Calibri" w:cs="Calibri"/>
                <w:color w:val="000000"/>
              </w:rPr>
              <w:t xml:space="preserve"> (1.33)</w:t>
            </w:r>
          </w:p>
        </w:tc>
      </w:tr>
      <w:tr w:rsidR="00EC1CAD" w:rsidRPr="002F36AF" w:rsidTr="00181BD0">
        <w:trPr>
          <w:trHeight w:val="300"/>
        </w:trPr>
        <w:tc>
          <w:tcPr>
            <w:tcW w:w="2308" w:type="dxa"/>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r w:rsidRPr="002F36AF">
              <w:rPr>
                <w:rFonts w:ascii="Calibri" w:eastAsia="Times New Roman" w:hAnsi="Calibri" w:cs="Calibri"/>
                <w:color w:val="000000"/>
              </w:rPr>
              <w:t>J. of Econ. Lit</w:t>
            </w:r>
            <w:r>
              <w:rPr>
                <w:rFonts w:ascii="Calibri" w:eastAsia="Times New Roman" w:hAnsi="Calibri" w:cs="Calibri"/>
                <w:color w:val="000000"/>
              </w:rPr>
              <w:t>erature</w:t>
            </w:r>
          </w:p>
        </w:tc>
        <w:tc>
          <w:tcPr>
            <w:tcW w:w="1094"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1.97</w:t>
            </w:r>
            <w:r>
              <w:rPr>
                <w:rFonts w:ascii="Calibri" w:eastAsia="Times New Roman" w:hAnsi="Calibri" w:cs="Calibri"/>
                <w:color w:val="000000"/>
              </w:rPr>
              <w:t xml:space="preserve"> (</w:t>
            </w:r>
            <w:r w:rsidRPr="002F36AF">
              <w:rPr>
                <w:rFonts w:ascii="Calibri" w:eastAsia="Times New Roman" w:hAnsi="Calibri" w:cs="Calibri"/>
                <w:color w:val="000000"/>
              </w:rPr>
              <w:t>5.45</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1.07</w:t>
            </w:r>
            <w:r>
              <w:rPr>
                <w:rFonts w:ascii="Calibri" w:eastAsia="Times New Roman" w:hAnsi="Calibri" w:cs="Calibri"/>
                <w:color w:val="000000"/>
              </w:rPr>
              <w:t xml:space="preserve"> (</w:t>
            </w:r>
            <w:r w:rsidRPr="002F36AF">
              <w:rPr>
                <w:rFonts w:ascii="Calibri" w:eastAsia="Times New Roman" w:hAnsi="Calibri" w:cs="Calibri"/>
                <w:color w:val="000000"/>
              </w:rPr>
              <w:t>1.40</w:t>
            </w:r>
            <w:r>
              <w:rPr>
                <w:rFonts w:ascii="Calibri" w:eastAsia="Times New Roman" w:hAnsi="Calibri" w:cs="Calibri"/>
                <w:color w:val="000000"/>
              </w:rPr>
              <w:t>)</w:t>
            </w:r>
          </w:p>
        </w:tc>
        <w:tc>
          <w:tcPr>
            <w:tcW w:w="102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1.02</w:t>
            </w:r>
            <w:r>
              <w:rPr>
                <w:rFonts w:ascii="Calibri" w:eastAsia="Times New Roman" w:hAnsi="Calibri" w:cs="Calibri"/>
                <w:color w:val="000000"/>
              </w:rPr>
              <w:t xml:space="preserve"> (</w:t>
            </w:r>
            <w:r w:rsidRPr="002F36AF">
              <w:rPr>
                <w:rFonts w:ascii="Calibri" w:eastAsia="Times New Roman" w:hAnsi="Calibri" w:cs="Calibri"/>
                <w:color w:val="000000"/>
              </w:rPr>
              <w:t>1.08</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1.40</w:t>
            </w:r>
            <w:r>
              <w:rPr>
                <w:rFonts w:ascii="Calibri" w:eastAsia="Times New Roman" w:hAnsi="Calibri" w:cs="Calibri"/>
                <w:color w:val="000000"/>
              </w:rPr>
              <w:t xml:space="preserve"> (</w:t>
            </w:r>
            <w:r w:rsidRPr="002F36AF">
              <w:rPr>
                <w:rFonts w:ascii="Calibri" w:eastAsia="Times New Roman" w:hAnsi="Calibri" w:cs="Calibri"/>
                <w:color w:val="000000"/>
              </w:rPr>
              <w:t>1.56</w:t>
            </w:r>
            <w:r>
              <w:rPr>
                <w:rFonts w:ascii="Calibri" w:eastAsia="Times New Roman" w:hAnsi="Calibri" w:cs="Calibri"/>
                <w:color w:val="000000"/>
              </w:rPr>
              <w:t>)</w:t>
            </w:r>
          </w:p>
        </w:tc>
        <w:tc>
          <w:tcPr>
            <w:tcW w:w="851"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1.00</w:t>
            </w:r>
            <w:r>
              <w:rPr>
                <w:rFonts w:ascii="Calibri" w:eastAsia="Times New Roman" w:hAnsi="Calibri" w:cs="Calibri"/>
                <w:color w:val="000000"/>
              </w:rPr>
              <w:t xml:space="preserve"> (1.00)</w:t>
            </w:r>
          </w:p>
        </w:tc>
        <w:tc>
          <w:tcPr>
            <w:tcW w:w="99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1.00</w:t>
            </w:r>
            <w:r>
              <w:rPr>
                <w:rFonts w:ascii="Calibri" w:eastAsia="Times New Roman" w:hAnsi="Calibri" w:cs="Calibri"/>
                <w:color w:val="000000"/>
              </w:rPr>
              <w:t xml:space="preserve"> (1.00)</w:t>
            </w:r>
          </w:p>
        </w:tc>
      </w:tr>
      <w:tr w:rsidR="00EC1CAD" w:rsidRPr="002F36AF" w:rsidTr="00181BD0">
        <w:trPr>
          <w:trHeight w:val="300"/>
        </w:trPr>
        <w:tc>
          <w:tcPr>
            <w:tcW w:w="2308" w:type="dxa"/>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r w:rsidRPr="002F36AF">
              <w:rPr>
                <w:rFonts w:ascii="Calibri" w:eastAsia="Times New Roman" w:hAnsi="Calibri" w:cs="Calibri"/>
                <w:color w:val="000000"/>
              </w:rPr>
              <w:t>Rand J. of Econ</w:t>
            </w:r>
            <w:r>
              <w:rPr>
                <w:rFonts w:ascii="Calibri" w:eastAsia="Times New Roman" w:hAnsi="Calibri" w:cs="Calibri"/>
                <w:color w:val="000000"/>
              </w:rPr>
              <w:t>omics</w:t>
            </w:r>
            <w:r w:rsidRPr="002F36AF">
              <w:rPr>
                <w:rFonts w:ascii="Calibri" w:eastAsia="Times New Roman" w:hAnsi="Calibri" w:cs="Calibri"/>
                <w:color w:val="000000"/>
              </w:rPr>
              <w:t>.</w:t>
            </w:r>
          </w:p>
        </w:tc>
        <w:tc>
          <w:tcPr>
            <w:tcW w:w="1094"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2.26</w:t>
            </w:r>
            <w:r>
              <w:rPr>
                <w:rFonts w:ascii="Calibri" w:eastAsia="Times New Roman" w:hAnsi="Calibri" w:cs="Calibri"/>
                <w:color w:val="000000"/>
              </w:rPr>
              <w:t xml:space="preserve"> (</w:t>
            </w:r>
            <w:r w:rsidRPr="002F36AF">
              <w:rPr>
                <w:rFonts w:ascii="Calibri" w:eastAsia="Times New Roman" w:hAnsi="Calibri" w:cs="Calibri"/>
                <w:color w:val="000000"/>
              </w:rPr>
              <w:t>7.70</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1.00</w:t>
            </w:r>
            <w:r>
              <w:rPr>
                <w:rFonts w:ascii="Calibri" w:eastAsia="Times New Roman" w:hAnsi="Calibri" w:cs="Calibri"/>
                <w:color w:val="000000"/>
              </w:rPr>
              <w:t xml:space="preserve"> (</w:t>
            </w:r>
            <w:r w:rsidRPr="002F36AF">
              <w:rPr>
                <w:rFonts w:ascii="Calibri" w:eastAsia="Times New Roman" w:hAnsi="Calibri" w:cs="Calibri"/>
                <w:color w:val="000000"/>
              </w:rPr>
              <w:t>1.00</w:t>
            </w:r>
            <w:r>
              <w:rPr>
                <w:rFonts w:ascii="Calibri" w:eastAsia="Times New Roman" w:hAnsi="Calibri" w:cs="Calibri"/>
                <w:color w:val="000000"/>
              </w:rPr>
              <w:t>)</w:t>
            </w:r>
          </w:p>
        </w:tc>
        <w:tc>
          <w:tcPr>
            <w:tcW w:w="102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1.04</w:t>
            </w:r>
            <w:r>
              <w:rPr>
                <w:rFonts w:ascii="Calibri" w:eastAsia="Times New Roman" w:hAnsi="Calibri" w:cs="Calibri"/>
                <w:color w:val="000000"/>
              </w:rPr>
              <w:t xml:space="preserve"> (</w:t>
            </w:r>
            <w:r w:rsidRPr="002F36AF">
              <w:rPr>
                <w:rFonts w:ascii="Calibri" w:eastAsia="Times New Roman" w:hAnsi="Calibri" w:cs="Calibri"/>
                <w:color w:val="000000"/>
              </w:rPr>
              <w:t>1.21</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1.00</w:t>
            </w:r>
            <w:r>
              <w:rPr>
                <w:rFonts w:ascii="Calibri" w:eastAsia="Times New Roman" w:hAnsi="Calibri" w:cs="Calibri"/>
                <w:color w:val="000000"/>
              </w:rPr>
              <w:t xml:space="preserve"> (</w:t>
            </w:r>
            <w:r w:rsidRPr="002F36AF">
              <w:rPr>
                <w:rFonts w:ascii="Calibri" w:eastAsia="Times New Roman" w:hAnsi="Calibri" w:cs="Calibri"/>
                <w:color w:val="000000"/>
              </w:rPr>
              <w:t>1.00</w:t>
            </w:r>
            <w:r>
              <w:rPr>
                <w:rFonts w:ascii="Calibri" w:eastAsia="Times New Roman" w:hAnsi="Calibri" w:cs="Calibri"/>
                <w:color w:val="000000"/>
              </w:rPr>
              <w:t>)</w:t>
            </w:r>
          </w:p>
        </w:tc>
        <w:tc>
          <w:tcPr>
            <w:tcW w:w="851"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1.00</w:t>
            </w:r>
            <w:r>
              <w:rPr>
                <w:rFonts w:ascii="Calibri" w:eastAsia="Times New Roman" w:hAnsi="Calibri" w:cs="Calibri"/>
                <w:color w:val="000000"/>
              </w:rPr>
              <w:t xml:space="preserve"> (1.00)</w:t>
            </w:r>
          </w:p>
        </w:tc>
        <w:tc>
          <w:tcPr>
            <w:tcW w:w="99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1.00</w:t>
            </w:r>
            <w:r>
              <w:rPr>
                <w:rFonts w:ascii="Calibri" w:eastAsia="Times New Roman" w:hAnsi="Calibri" w:cs="Calibri"/>
                <w:color w:val="000000"/>
              </w:rPr>
              <w:t xml:space="preserve"> (1.00)</w:t>
            </w:r>
          </w:p>
        </w:tc>
      </w:tr>
      <w:tr w:rsidR="00EC1CAD" w:rsidRPr="002F36AF" w:rsidTr="00181BD0">
        <w:trPr>
          <w:trHeight w:val="300"/>
        </w:trPr>
        <w:tc>
          <w:tcPr>
            <w:tcW w:w="2308" w:type="dxa"/>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r>
              <w:rPr>
                <w:rFonts w:ascii="Calibri" w:eastAsia="Times New Roman" w:hAnsi="Calibri" w:cs="Calibri"/>
                <w:color w:val="000000"/>
              </w:rPr>
              <w:t xml:space="preserve">J. of </w:t>
            </w:r>
            <w:r w:rsidRPr="002F36AF">
              <w:rPr>
                <w:rFonts w:ascii="Calibri" w:eastAsia="Times New Roman" w:hAnsi="Calibri" w:cs="Calibri"/>
                <w:color w:val="000000"/>
              </w:rPr>
              <w:t>Dev</w:t>
            </w:r>
            <w:r>
              <w:rPr>
                <w:rFonts w:ascii="Calibri" w:eastAsia="Times New Roman" w:hAnsi="Calibri" w:cs="Calibri"/>
                <w:color w:val="000000"/>
              </w:rPr>
              <w:t xml:space="preserve">. </w:t>
            </w:r>
            <w:r w:rsidRPr="002F36AF">
              <w:rPr>
                <w:rFonts w:ascii="Calibri" w:eastAsia="Times New Roman" w:hAnsi="Calibri" w:cs="Calibri"/>
                <w:color w:val="000000"/>
              </w:rPr>
              <w:t>Econ.</w:t>
            </w:r>
          </w:p>
        </w:tc>
        <w:tc>
          <w:tcPr>
            <w:tcW w:w="1094"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2.50</w:t>
            </w:r>
            <w:r>
              <w:rPr>
                <w:rFonts w:ascii="Calibri" w:eastAsia="Times New Roman" w:hAnsi="Calibri" w:cs="Calibri"/>
                <w:color w:val="000000"/>
              </w:rPr>
              <w:t xml:space="preserve"> (</w:t>
            </w:r>
            <w:r w:rsidRPr="002F36AF">
              <w:rPr>
                <w:rFonts w:ascii="Calibri" w:eastAsia="Times New Roman" w:hAnsi="Calibri" w:cs="Calibri"/>
                <w:color w:val="000000"/>
              </w:rPr>
              <w:t>9.91</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2.02</w:t>
            </w:r>
            <w:r>
              <w:rPr>
                <w:rFonts w:ascii="Calibri" w:eastAsia="Times New Roman" w:hAnsi="Calibri" w:cs="Calibri"/>
                <w:color w:val="000000"/>
              </w:rPr>
              <w:t xml:space="preserve"> (</w:t>
            </w:r>
            <w:r w:rsidRPr="002F36AF">
              <w:rPr>
                <w:rFonts w:ascii="Calibri" w:eastAsia="Times New Roman" w:hAnsi="Calibri" w:cs="Calibri"/>
                <w:color w:val="000000"/>
              </w:rPr>
              <w:t>33.50</w:t>
            </w:r>
            <w:r>
              <w:rPr>
                <w:rFonts w:ascii="Calibri" w:eastAsia="Times New Roman" w:hAnsi="Calibri" w:cs="Calibri"/>
                <w:color w:val="000000"/>
              </w:rPr>
              <w:t>)</w:t>
            </w:r>
          </w:p>
        </w:tc>
        <w:tc>
          <w:tcPr>
            <w:tcW w:w="102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1.07</w:t>
            </w:r>
            <w:r>
              <w:rPr>
                <w:rFonts w:ascii="Calibri" w:eastAsia="Times New Roman" w:hAnsi="Calibri" w:cs="Calibri"/>
                <w:color w:val="000000"/>
              </w:rPr>
              <w:t xml:space="preserve"> (</w:t>
            </w:r>
            <w:r w:rsidRPr="002F36AF">
              <w:rPr>
                <w:rFonts w:ascii="Calibri" w:eastAsia="Times New Roman" w:hAnsi="Calibri" w:cs="Calibri"/>
                <w:color w:val="000000"/>
              </w:rPr>
              <w:t>1.43</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1.40</w:t>
            </w:r>
            <w:r>
              <w:rPr>
                <w:rFonts w:ascii="Calibri" w:eastAsia="Times New Roman" w:hAnsi="Calibri" w:cs="Calibri"/>
                <w:color w:val="000000"/>
              </w:rPr>
              <w:t xml:space="preserve"> (</w:t>
            </w:r>
            <w:r w:rsidRPr="002F36AF">
              <w:rPr>
                <w:rFonts w:ascii="Calibri" w:eastAsia="Times New Roman" w:hAnsi="Calibri" w:cs="Calibri"/>
                <w:color w:val="000000"/>
              </w:rPr>
              <w:t>1.56</w:t>
            </w:r>
            <w:r>
              <w:rPr>
                <w:rFonts w:ascii="Calibri" w:eastAsia="Times New Roman" w:hAnsi="Calibri" w:cs="Calibri"/>
                <w:color w:val="000000"/>
              </w:rPr>
              <w:t>)</w:t>
            </w:r>
          </w:p>
        </w:tc>
        <w:tc>
          <w:tcPr>
            <w:tcW w:w="851"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1.00</w:t>
            </w:r>
            <w:r>
              <w:rPr>
                <w:rFonts w:ascii="Calibri" w:eastAsia="Times New Roman" w:hAnsi="Calibri" w:cs="Calibri"/>
                <w:color w:val="000000"/>
              </w:rPr>
              <w:t xml:space="preserve"> (1.00)</w:t>
            </w:r>
          </w:p>
        </w:tc>
        <w:tc>
          <w:tcPr>
            <w:tcW w:w="99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1.00</w:t>
            </w:r>
            <w:r>
              <w:rPr>
                <w:rFonts w:ascii="Calibri" w:eastAsia="Times New Roman" w:hAnsi="Calibri" w:cs="Calibri"/>
                <w:color w:val="000000"/>
              </w:rPr>
              <w:t xml:space="preserve"> (1.00)</w:t>
            </w:r>
          </w:p>
        </w:tc>
      </w:tr>
      <w:tr w:rsidR="00EC1CAD" w:rsidRPr="002F36AF" w:rsidTr="00181BD0">
        <w:trPr>
          <w:trHeight w:val="300"/>
        </w:trPr>
        <w:tc>
          <w:tcPr>
            <w:tcW w:w="2308" w:type="dxa"/>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r w:rsidRPr="002F36AF">
              <w:rPr>
                <w:rFonts w:ascii="Calibri" w:eastAsia="Times New Roman" w:hAnsi="Calibri" w:cs="Calibri"/>
                <w:color w:val="000000"/>
              </w:rPr>
              <w:t>J. of Urban Econ.</w:t>
            </w:r>
          </w:p>
        </w:tc>
        <w:tc>
          <w:tcPr>
            <w:tcW w:w="1094"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3.34</w:t>
            </w:r>
            <w:r>
              <w:rPr>
                <w:rFonts w:ascii="Calibri" w:eastAsia="Times New Roman" w:hAnsi="Calibri" w:cs="Calibri"/>
                <w:color w:val="000000"/>
              </w:rPr>
              <w:t xml:space="preserve"> (</w:t>
            </w:r>
            <w:r w:rsidRPr="002F36AF">
              <w:rPr>
                <w:rFonts w:ascii="Calibri" w:eastAsia="Times New Roman" w:hAnsi="Calibri" w:cs="Calibri"/>
                <w:color w:val="000000"/>
              </w:rPr>
              <w:t>20.33</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1.91</w:t>
            </w:r>
            <w:r>
              <w:rPr>
                <w:rFonts w:ascii="Calibri" w:eastAsia="Times New Roman" w:hAnsi="Calibri" w:cs="Calibri"/>
                <w:color w:val="000000"/>
              </w:rPr>
              <w:t xml:space="preserve"> (</w:t>
            </w:r>
            <w:r w:rsidRPr="002F36AF">
              <w:rPr>
                <w:rFonts w:ascii="Calibri" w:eastAsia="Times New Roman" w:hAnsi="Calibri" w:cs="Calibri"/>
                <w:color w:val="000000"/>
              </w:rPr>
              <w:t>25.13</w:t>
            </w:r>
            <w:r>
              <w:rPr>
                <w:rFonts w:ascii="Calibri" w:eastAsia="Times New Roman" w:hAnsi="Calibri" w:cs="Calibri"/>
                <w:color w:val="000000"/>
              </w:rPr>
              <w:t xml:space="preserve">) </w:t>
            </w:r>
          </w:p>
        </w:tc>
        <w:tc>
          <w:tcPr>
            <w:tcW w:w="102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1.07</w:t>
            </w:r>
            <w:r>
              <w:rPr>
                <w:rFonts w:ascii="Calibri" w:eastAsia="Times New Roman" w:hAnsi="Calibri" w:cs="Calibri"/>
                <w:color w:val="000000"/>
              </w:rPr>
              <w:t xml:space="preserve"> (</w:t>
            </w:r>
            <w:r w:rsidRPr="002F36AF">
              <w:rPr>
                <w:rFonts w:ascii="Calibri" w:eastAsia="Times New Roman" w:hAnsi="Calibri" w:cs="Calibri"/>
                <w:color w:val="000000"/>
              </w:rPr>
              <w:t>1.38</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2.25</w:t>
            </w:r>
            <w:r>
              <w:rPr>
                <w:rFonts w:ascii="Calibri" w:eastAsia="Times New Roman" w:hAnsi="Calibri" w:cs="Calibri"/>
                <w:color w:val="000000"/>
              </w:rPr>
              <w:t xml:space="preserve"> (</w:t>
            </w:r>
            <w:r w:rsidRPr="002F36AF">
              <w:rPr>
                <w:rFonts w:ascii="Calibri" w:eastAsia="Times New Roman" w:hAnsi="Calibri" w:cs="Calibri"/>
                <w:color w:val="000000"/>
              </w:rPr>
              <w:t>2.94</w:t>
            </w:r>
            <w:r>
              <w:rPr>
                <w:rFonts w:ascii="Calibri" w:eastAsia="Times New Roman" w:hAnsi="Calibri" w:cs="Calibri"/>
                <w:color w:val="000000"/>
              </w:rPr>
              <w:t>)</w:t>
            </w:r>
          </w:p>
        </w:tc>
        <w:tc>
          <w:tcPr>
            <w:tcW w:w="851"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1.00</w:t>
            </w:r>
            <w:r>
              <w:rPr>
                <w:rFonts w:ascii="Calibri" w:eastAsia="Times New Roman" w:hAnsi="Calibri" w:cs="Calibri"/>
                <w:color w:val="000000"/>
              </w:rPr>
              <w:t xml:space="preserve"> (1.00)</w:t>
            </w:r>
          </w:p>
        </w:tc>
        <w:tc>
          <w:tcPr>
            <w:tcW w:w="99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1.00</w:t>
            </w:r>
            <w:r>
              <w:rPr>
                <w:rFonts w:ascii="Calibri" w:eastAsia="Times New Roman" w:hAnsi="Calibri" w:cs="Calibri"/>
                <w:color w:val="000000"/>
              </w:rPr>
              <w:t xml:space="preserve"> (1.00)</w:t>
            </w:r>
          </w:p>
        </w:tc>
      </w:tr>
      <w:tr w:rsidR="00EC1CAD" w:rsidRPr="002F36AF" w:rsidTr="00181BD0">
        <w:trPr>
          <w:trHeight w:val="300"/>
        </w:trPr>
        <w:tc>
          <w:tcPr>
            <w:tcW w:w="2308" w:type="dxa"/>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r w:rsidRPr="002F36AF">
              <w:rPr>
                <w:rFonts w:ascii="Calibri" w:eastAsia="Times New Roman" w:hAnsi="Calibri" w:cs="Calibri"/>
                <w:color w:val="000000"/>
              </w:rPr>
              <w:t>Int. J. of Ind. Org.</w:t>
            </w:r>
          </w:p>
        </w:tc>
        <w:tc>
          <w:tcPr>
            <w:tcW w:w="1094"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3.77</w:t>
            </w:r>
            <w:r>
              <w:rPr>
                <w:rFonts w:ascii="Calibri" w:eastAsia="Times New Roman" w:hAnsi="Calibri" w:cs="Calibri"/>
                <w:color w:val="000000"/>
              </w:rPr>
              <w:t xml:space="preserve"> (</w:t>
            </w:r>
            <w:r w:rsidRPr="002F36AF">
              <w:rPr>
                <w:rFonts w:ascii="Calibri" w:eastAsia="Times New Roman" w:hAnsi="Calibri" w:cs="Calibri"/>
                <w:color w:val="000000"/>
              </w:rPr>
              <w:t>27.62</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1.51</w:t>
            </w:r>
            <w:r>
              <w:rPr>
                <w:rFonts w:ascii="Calibri" w:eastAsia="Times New Roman" w:hAnsi="Calibri" w:cs="Calibri"/>
                <w:color w:val="000000"/>
              </w:rPr>
              <w:t xml:space="preserve"> (</w:t>
            </w:r>
            <w:r w:rsidRPr="002F36AF">
              <w:rPr>
                <w:rFonts w:ascii="Calibri" w:eastAsia="Times New Roman" w:hAnsi="Calibri" w:cs="Calibri"/>
                <w:color w:val="000000"/>
              </w:rPr>
              <w:t>7.73</w:t>
            </w:r>
            <w:r>
              <w:rPr>
                <w:rFonts w:ascii="Calibri" w:eastAsia="Times New Roman" w:hAnsi="Calibri" w:cs="Calibri"/>
                <w:color w:val="000000"/>
              </w:rPr>
              <w:t>)</w:t>
            </w:r>
          </w:p>
        </w:tc>
        <w:tc>
          <w:tcPr>
            <w:tcW w:w="102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1.09</w:t>
            </w:r>
            <w:r>
              <w:rPr>
                <w:rFonts w:ascii="Calibri" w:eastAsia="Times New Roman" w:hAnsi="Calibri" w:cs="Calibri"/>
                <w:color w:val="000000"/>
              </w:rPr>
              <w:t xml:space="preserve"> (</w:t>
            </w:r>
            <w:r w:rsidRPr="002F36AF">
              <w:rPr>
                <w:rFonts w:ascii="Calibri" w:eastAsia="Times New Roman" w:hAnsi="Calibri" w:cs="Calibri"/>
                <w:color w:val="000000"/>
              </w:rPr>
              <w:t>1.56</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2.25</w:t>
            </w:r>
            <w:r>
              <w:rPr>
                <w:rFonts w:ascii="Calibri" w:eastAsia="Times New Roman" w:hAnsi="Calibri" w:cs="Calibri"/>
                <w:color w:val="000000"/>
              </w:rPr>
              <w:t xml:space="preserve"> (</w:t>
            </w:r>
            <w:r w:rsidRPr="002F36AF">
              <w:rPr>
                <w:rFonts w:ascii="Calibri" w:eastAsia="Times New Roman" w:hAnsi="Calibri" w:cs="Calibri"/>
                <w:color w:val="000000"/>
              </w:rPr>
              <w:t>2.94</w:t>
            </w:r>
            <w:r>
              <w:rPr>
                <w:rFonts w:ascii="Calibri" w:eastAsia="Times New Roman" w:hAnsi="Calibri" w:cs="Calibri"/>
                <w:color w:val="000000"/>
              </w:rPr>
              <w:t xml:space="preserve">) </w:t>
            </w:r>
          </w:p>
        </w:tc>
        <w:tc>
          <w:tcPr>
            <w:tcW w:w="851"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2.94</w:t>
            </w:r>
            <w:r>
              <w:rPr>
                <w:rFonts w:ascii="Calibri" w:eastAsia="Times New Roman" w:hAnsi="Calibri" w:cs="Calibri"/>
                <w:color w:val="000000"/>
              </w:rPr>
              <w:t xml:space="preserve"> (1.33)</w:t>
            </w:r>
          </w:p>
        </w:tc>
        <w:tc>
          <w:tcPr>
            <w:tcW w:w="99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3.40</w:t>
            </w:r>
            <w:r>
              <w:rPr>
                <w:rFonts w:ascii="Calibri" w:eastAsia="Times New Roman" w:hAnsi="Calibri" w:cs="Calibri"/>
                <w:color w:val="000000"/>
              </w:rPr>
              <w:t xml:space="preserve"> (</w:t>
            </w:r>
            <w:r w:rsidRPr="002F36AF">
              <w:rPr>
                <w:rFonts w:ascii="Calibri" w:eastAsia="Times New Roman" w:hAnsi="Calibri" w:cs="Calibri"/>
                <w:color w:val="000000"/>
              </w:rPr>
              <w:t>1.33</w:t>
            </w:r>
            <w:r>
              <w:rPr>
                <w:rFonts w:ascii="Calibri" w:eastAsia="Times New Roman" w:hAnsi="Calibri" w:cs="Calibri"/>
                <w:color w:val="000000"/>
              </w:rPr>
              <w:t>)</w:t>
            </w:r>
          </w:p>
        </w:tc>
      </w:tr>
      <w:tr w:rsidR="00EC1CAD" w:rsidRPr="002F36AF" w:rsidTr="00181BD0">
        <w:trPr>
          <w:trHeight w:val="300"/>
        </w:trPr>
        <w:tc>
          <w:tcPr>
            <w:tcW w:w="2308" w:type="dxa"/>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r w:rsidRPr="002F36AF">
              <w:rPr>
                <w:rFonts w:ascii="Calibri" w:eastAsia="Times New Roman" w:hAnsi="Calibri" w:cs="Calibri"/>
                <w:color w:val="000000"/>
              </w:rPr>
              <w:t>Economic Letters</w:t>
            </w:r>
          </w:p>
        </w:tc>
        <w:tc>
          <w:tcPr>
            <w:tcW w:w="1094"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2.48</w:t>
            </w:r>
            <w:r>
              <w:rPr>
                <w:rFonts w:ascii="Calibri" w:eastAsia="Times New Roman" w:hAnsi="Calibri" w:cs="Calibri"/>
                <w:color w:val="000000"/>
              </w:rPr>
              <w:t xml:space="preserve"> (</w:t>
            </w:r>
            <w:r w:rsidRPr="002F36AF">
              <w:rPr>
                <w:rFonts w:ascii="Calibri" w:eastAsia="Times New Roman" w:hAnsi="Calibri" w:cs="Calibri"/>
                <w:color w:val="000000"/>
              </w:rPr>
              <w:t>9.65</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1.68</w:t>
            </w:r>
            <w:r>
              <w:rPr>
                <w:rFonts w:ascii="Calibri" w:eastAsia="Times New Roman" w:hAnsi="Calibri" w:cs="Calibri"/>
                <w:color w:val="000000"/>
              </w:rPr>
              <w:t xml:space="preserve"> (</w:t>
            </w:r>
            <w:r w:rsidRPr="002F36AF">
              <w:rPr>
                <w:rFonts w:ascii="Calibri" w:eastAsia="Times New Roman" w:hAnsi="Calibri" w:cs="Calibri"/>
                <w:color w:val="000000"/>
              </w:rPr>
              <w:t>13.40</w:t>
            </w:r>
            <w:r>
              <w:rPr>
                <w:rFonts w:ascii="Calibri" w:eastAsia="Times New Roman" w:hAnsi="Calibri" w:cs="Calibri"/>
                <w:color w:val="000000"/>
              </w:rPr>
              <w:t xml:space="preserve">) </w:t>
            </w:r>
          </w:p>
        </w:tc>
        <w:tc>
          <w:tcPr>
            <w:tcW w:w="102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1.10</w:t>
            </w:r>
            <w:r>
              <w:rPr>
                <w:rFonts w:ascii="Calibri" w:eastAsia="Times New Roman" w:hAnsi="Calibri" w:cs="Calibri"/>
                <w:color w:val="000000"/>
              </w:rPr>
              <w:t xml:space="preserve"> (</w:t>
            </w:r>
            <w:r w:rsidRPr="002F36AF">
              <w:rPr>
                <w:rFonts w:ascii="Calibri" w:eastAsia="Times New Roman" w:hAnsi="Calibri" w:cs="Calibri"/>
                <w:color w:val="000000"/>
              </w:rPr>
              <w:t>1.62</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1.40</w:t>
            </w:r>
            <w:r>
              <w:rPr>
                <w:rFonts w:ascii="Calibri" w:eastAsia="Times New Roman" w:hAnsi="Calibri" w:cs="Calibri"/>
                <w:color w:val="000000"/>
              </w:rPr>
              <w:t xml:space="preserve"> (</w:t>
            </w:r>
            <w:r w:rsidRPr="002F36AF">
              <w:rPr>
                <w:rFonts w:ascii="Calibri" w:eastAsia="Times New Roman" w:hAnsi="Calibri" w:cs="Calibri"/>
                <w:color w:val="000000"/>
              </w:rPr>
              <w:t>1.56</w:t>
            </w:r>
            <w:r>
              <w:rPr>
                <w:rFonts w:ascii="Calibri" w:eastAsia="Times New Roman" w:hAnsi="Calibri" w:cs="Calibri"/>
                <w:color w:val="000000"/>
              </w:rPr>
              <w:t>)</w:t>
            </w:r>
          </w:p>
        </w:tc>
        <w:tc>
          <w:tcPr>
            <w:tcW w:w="851"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2.94</w:t>
            </w:r>
            <w:r>
              <w:rPr>
                <w:rFonts w:ascii="Calibri" w:eastAsia="Times New Roman" w:hAnsi="Calibri" w:cs="Calibri"/>
                <w:color w:val="000000"/>
              </w:rPr>
              <w:t xml:space="preserve"> (1.33)</w:t>
            </w:r>
          </w:p>
        </w:tc>
        <w:tc>
          <w:tcPr>
            <w:tcW w:w="99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3.40</w:t>
            </w:r>
            <w:r>
              <w:rPr>
                <w:rFonts w:ascii="Calibri" w:eastAsia="Times New Roman" w:hAnsi="Calibri" w:cs="Calibri"/>
                <w:color w:val="000000"/>
              </w:rPr>
              <w:t xml:space="preserve"> (1.33)</w:t>
            </w:r>
          </w:p>
        </w:tc>
      </w:tr>
      <w:tr w:rsidR="00EC1CAD" w:rsidRPr="002F36AF" w:rsidTr="00181BD0">
        <w:trPr>
          <w:trHeight w:val="300"/>
        </w:trPr>
        <w:tc>
          <w:tcPr>
            <w:tcW w:w="2308" w:type="dxa"/>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r w:rsidRPr="002F36AF">
              <w:rPr>
                <w:rFonts w:ascii="Calibri" w:eastAsia="Times New Roman" w:hAnsi="Calibri" w:cs="Calibri"/>
                <w:color w:val="000000"/>
              </w:rPr>
              <w:t>Applied Economics</w:t>
            </w:r>
          </w:p>
        </w:tc>
        <w:tc>
          <w:tcPr>
            <w:tcW w:w="1094"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4.93</w:t>
            </w:r>
            <w:r>
              <w:rPr>
                <w:rFonts w:ascii="Calibri" w:eastAsia="Times New Roman" w:hAnsi="Calibri" w:cs="Calibri"/>
                <w:color w:val="000000"/>
              </w:rPr>
              <w:t xml:space="preserve"> (</w:t>
            </w:r>
            <w:r w:rsidRPr="002F36AF">
              <w:rPr>
                <w:rFonts w:ascii="Calibri" w:eastAsia="Times New Roman" w:hAnsi="Calibri" w:cs="Calibri"/>
                <w:color w:val="000000"/>
              </w:rPr>
              <w:t>54.05</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2.51</w:t>
            </w:r>
            <w:r>
              <w:rPr>
                <w:rFonts w:ascii="Calibri" w:eastAsia="Times New Roman" w:hAnsi="Calibri" w:cs="Calibri"/>
                <w:color w:val="000000"/>
              </w:rPr>
              <w:t xml:space="preserve"> (</w:t>
            </w:r>
            <w:r w:rsidRPr="002F36AF">
              <w:rPr>
                <w:rFonts w:ascii="Calibri" w:eastAsia="Times New Roman" w:hAnsi="Calibri" w:cs="Calibri"/>
                <w:color w:val="000000"/>
              </w:rPr>
              <w:t>100.50</w:t>
            </w:r>
            <w:r>
              <w:rPr>
                <w:rFonts w:ascii="Calibri" w:eastAsia="Times New Roman" w:hAnsi="Calibri" w:cs="Calibri"/>
                <w:color w:val="000000"/>
              </w:rPr>
              <w:t>)</w:t>
            </w:r>
          </w:p>
        </w:tc>
        <w:tc>
          <w:tcPr>
            <w:tcW w:w="102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1.11</w:t>
            </w:r>
            <w:r>
              <w:rPr>
                <w:rFonts w:ascii="Calibri" w:eastAsia="Times New Roman" w:hAnsi="Calibri" w:cs="Calibri"/>
                <w:color w:val="000000"/>
              </w:rPr>
              <w:t xml:space="preserve"> (</w:t>
            </w:r>
            <w:r w:rsidRPr="002F36AF">
              <w:rPr>
                <w:rFonts w:ascii="Calibri" w:eastAsia="Times New Roman" w:hAnsi="Calibri" w:cs="Calibri"/>
                <w:color w:val="000000"/>
              </w:rPr>
              <w:t>1.67</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9.46</w:t>
            </w:r>
            <w:r>
              <w:rPr>
                <w:rFonts w:ascii="Calibri" w:eastAsia="Times New Roman" w:hAnsi="Calibri" w:cs="Calibri"/>
                <w:color w:val="000000"/>
              </w:rPr>
              <w:t xml:space="preserve"> (</w:t>
            </w:r>
            <w:r w:rsidRPr="002F36AF">
              <w:rPr>
                <w:rFonts w:ascii="Calibri" w:eastAsia="Times New Roman" w:hAnsi="Calibri" w:cs="Calibri"/>
                <w:color w:val="000000"/>
              </w:rPr>
              <w:t>20.00</w:t>
            </w:r>
            <w:r>
              <w:rPr>
                <w:rFonts w:ascii="Calibri" w:eastAsia="Times New Roman" w:hAnsi="Calibri" w:cs="Calibri"/>
                <w:color w:val="000000"/>
              </w:rPr>
              <w:t xml:space="preserve">) </w:t>
            </w:r>
          </w:p>
        </w:tc>
        <w:tc>
          <w:tcPr>
            <w:tcW w:w="851"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2.94</w:t>
            </w:r>
            <w:r>
              <w:rPr>
                <w:rFonts w:ascii="Calibri" w:eastAsia="Times New Roman" w:hAnsi="Calibri" w:cs="Calibri"/>
                <w:color w:val="000000"/>
              </w:rPr>
              <w:t xml:space="preserve"> (1.33)</w:t>
            </w:r>
          </w:p>
        </w:tc>
        <w:tc>
          <w:tcPr>
            <w:tcW w:w="99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3.40</w:t>
            </w:r>
            <w:r>
              <w:rPr>
                <w:rFonts w:ascii="Calibri" w:eastAsia="Times New Roman" w:hAnsi="Calibri" w:cs="Calibri"/>
                <w:color w:val="000000"/>
              </w:rPr>
              <w:t xml:space="preserve"> (1.33)</w:t>
            </w:r>
          </w:p>
        </w:tc>
      </w:tr>
      <w:tr w:rsidR="00EC1CAD" w:rsidRPr="002F36AF" w:rsidTr="00181BD0">
        <w:trPr>
          <w:trHeight w:val="300"/>
        </w:trPr>
        <w:tc>
          <w:tcPr>
            <w:tcW w:w="2308" w:type="dxa"/>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r w:rsidRPr="002F36AF">
              <w:rPr>
                <w:rFonts w:ascii="Calibri" w:eastAsia="Times New Roman" w:hAnsi="Calibri" w:cs="Calibri"/>
                <w:color w:val="000000"/>
              </w:rPr>
              <w:t>Economic Record</w:t>
            </w:r>
          </w:p>
        </w:tc>
        <w:tc>
          <w:tcPr>
            <w:tcW w:w="1094"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10.65</w:t>
            </w:r>
            <w:r>
              <w:rPr>
                <w:rFonts w:ascii="Calibri" w:eastAsia="Times New Roman" w:hAnsi="Calibri" w:cs="Calibri"/>
                <w:color w:val="000000"/>
              </w:rPr>
              <w:t xml:space="preserve"> (</w:t>
            </w:r>
            <w:r w:rsidRPr="002F36AF">
              <w:rPr>
                <w:rFonts w:ascii="Calibri" w:eastAsia="Times New Roman" w:hAnsi="Calibri" w:cs="Calibri"/>
                <w:color w:val="000000"/>
              </w:rPr>
              <w:t>370.37</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3.32</w:t>
            </w:r>
            <w:r>
              <w:rPr>
                <w:rFonts w:ascii="Calibri" w:eastAsia="Times New Roman" w:hAnsi="Calibri" w:cs="Calibri"/>
                <w:color w:val="000000"/>
              </w:rPr>
              <w:t xml:space="preserve"> (</w:t>
            </w:r>
            <w:r w:rsidRPr="002F36AF">
              <w:rPr>
                <w:rFonts w:ascii="Calibri" w:eastAsia="Times New Roman" w:hAnsi="Calibri" w:cs="Calibri"/>
                <w:color w:val="000000"/>
              </w:rPr>
              <w:t>402.00</w:t>
            </w:r>
            <w:r>
              <w:rPr>
                <w:rFonts w:ascii="Calibri" w:eastAsia="Times New Roman" w:hAnsi="Calibri" w:cs="Calibri"/>
                <w:color w:val="000000"/>
              </w:rPr>
              <w:t>)</w:t>
            </w:r>
          </w:p>
        </w:tc>
        <w:tc>
          <w:tcPr>
            <w:tcW w:w="102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1.12</w:t>
            </w:r>
            <w:r>
              <w:rPr>
                <w:rFonts w:ascii="Calibri" w:eastAsia="Times New Roman" w:hAnsi="Calibri" w:cs="Calibri"/>
                <w:color w:val="000000"/>
              </w:rPr>
              <w:t xml:space="preserve"> (</w:t>
            </w:r>
            <w:r w:rsidRPr="002F36AF">
              <w:rPr>
                <w:rFonts w:ascii="Calibri" w:eastAsia="Times New Roman" w:hAnsi="Calibri" w:cs="Calibri"/>
                <w:color w:val="000000"/>
              </w:rPr>
              <w:t>1.73</w:t>
            </w:r>
            <w:r>
              <w:rPr>
                <w:rFonts w:ascii="Calibri" w:eastAsia="Times New Roman" w:hAnsi="Calibri" w:cs="Calibri"/>
                <w:color w:val="000000"/>
              </w:rPr>
              <w:t>)</w:t>
            </w:r>
          </w:p>
        </w:tc>
        <w:tc>
          <w:tcPr>
            <w:tcW w:w="963"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2.25</w:t>
            </w:r>
            <w:r>
              <w:rPr>
                <w:rFonts w:ascii="Calibri" w:eastAsia="Times New Roman" w:hAnsi="Calibri" w:cs="Calibri"/>
                <w:color w:val="000000"/>
              </w:rPr>
              <w:t xml:space="preserve"> (</w:t>
            </w:r>
            <w:r w:rsidRPr="002F36AF">
              <w:rPr>
                <w:rFonts w:ascii="Calibri" w:eastAsia="Times New Roman" w:hAnsi="Calibri" w:cs="Calibri"/>
                <w:color w:val="000000"/>
              </w:rPr>
              <w:t>2.94</w:t>
            </w:r>
            <w:r>
              <w:rPr>
                <w:rFonts w:ascii="Calibri" w:eastAsia="Times New Roman" w:hAnsi="Calibri" w:cs="Calibri"/>
                <w:color w:val="000000"/>
              </w:rPr>
              <w:t>)</w:t>
            </w:r>
          </w:p>
        </w:tc>
        <w:tc>
          <w:tcPr>
            <w:tcW w:w="851"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2.94</w:t>
            </w:r>
            <w:r>
              <w:rPr>
                <w:rFonts w:ascii="Calibri" w:eastAsia="Times New Roman" w:hAnsi="Calibri" w:cs="Calibri"/>
                <w:color w:val="000000"/>
              </w:rPr>
              <w:t xml:space="preserve"> (1.33)</w:t>
            </w:r>
          </w:p>
        </w:tc>
        <w:tc>
          <w:tcPr>
            <w:tcW w:w="992" w:type="dxa"/>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3.40</w:t>
            </w:r>
            <w:r>
              <w:rPr>
                <w:rFonts w:ascii="Calibri" w:eastAsia="Times New Roman" w:hAnsi="Calibri" w:cs="Calibri"/>
                <w:color w:val="000000"/>
              </w:rPr>
              <w:t xml:space="preserve"> (1.33)</w:t>
            </w:r>
          </w:p>
        </w:tc>
      </w:tr>
      <w:tr w:rsidR="00EC1CAD" w:rsidRPr="002F36AF" w:rsidTr="00181BD0">
        <w:trPr>
          <w:trHeight w:val="300"/>
        </w:trPr>
        <w:tc>
          <w:tcPr>
            <w:tcW w:w="2308" w:type="dxa"/>
            <w:tcBorders>
              <w:bottom w:val="single" w:sz="4" w:space="0" w:color="auto"/>
            </w:tcBorders>
            <w:shd w:val="clear" w:color="auto" w:fill="auto"/>
            <w:noWrap/>
            <w:vAlign w:val="bottom"/>
            <w:hideMark/>
          </w:tcPr>
          <w:p w:rsidR="00EC1CAD" w:rsidRPr="002F36AF" w:rsidRDefault="00EC1CAD" w:rsidP="00181BD0">
            <w:pPr>
              <w:spacing w:after="0" w:line="240" w:lineRule="auto"/>
              <w:rPr>
                <w:rFonts w:ascii="Calibri" w:eastAsia="Times New Roman" w:hAnsi="Calibri" w:cs="Calibri"/>
                <w:color w:val="000000"/>
              </w:rPr>
            </w:pPr>
            <w:r w:rsidRPr="002F36AF">
              <w:rPr>
                <w:rFonts w:ascii="Calibri" w:eastAsia="Times New Roman" w:hAnsi="Calibri" w:cs="Calibri"/>
                <w:color w:val="000000"/>
              </w:rPr>
              <w:t>J. of Econ. Educ</w:t>
            </w:r>
            <w:r>
              <w:rPr>
                <w:rFonts w:ascii="Calibri" w:eastAsia="Times New Roman" w:hAnsi="Calibri" w:cs="Calibri"/>
                <w:color w:val="000000"/>
              </w:rPr>
              <w:t>ation</w:t>
            </w:r>
          </w:p>
        </w:tc>
        <w:tc>
          <w:tcPr>
            <w:tcW w:w="1094" w:type="dxa"/>
            <w:tcBorders>
              <w:bottom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11.17</w:t>
            </w:r>
            <w:r>
              <w:rPr>
                <w:rFonts w:ascii="Calibri" w:eastAsia="Times New Roman" w:hAnsi="Calibri" w:cs="Calibri"/>
                <w:color w:val="000000"/>
              </w:rPr>
              <w:t xml:space="preserve"> (</w:t>
            </w:r>
            <w:r w:rsidRPr="002F36AF">
              <w:rPr>
                <w:rFonts w:ascii="Calibri" w:eastAsia="Times New Roman" w:hAnsi="Calibri" w:cs="Calibri"/>
                <w:color w:val="000000"/>
              </w:rPr>
              <w:t>416.67</w:t>
            </w:r>
            <w:r>
              <w:rPr>
                <w:rFonts w:ascii="Calibri" w:eastAsia="Times New Roman" w:hAnsi="Calibri" w:cs="Calibri"/>
                <w:color w:val="000000"/>
              </w:rPr>
              <w:t>)</w:t>
            </w:r>
          </w:p>
        </w:tc>
        <w:tc>
          <w:tcPr>
            <w:tcW w:w="963" w:type="dxa"/>
            <w:tcBorders>
              <w:bottom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1.56</w:t>
            </w:r>
            <w:r>
              <w:rPr>
                <w:rFonts w:ascii="Calibri" w:eastAsia="Times New Roman" w:hAnsi="Calibri" w:cs="Calibri"/>
                <w:color w:val="000000"/>
              </w:rPr>
              <w:t xml:space="preserve"> (</w:t>
            </w:r>
            <w:r w:rsidRPr="002F36AF">
              <w:rPr>
                <w:rFonts w:ascii="Calibri" w:eastAsia="Times New Roman" w:hAnsi="Calibri" w:cs="Calibri"/>
                <w:color w:val="000000"/>
              </w:rPr>
              <w:t>9.35</w:t>
            </w:r>
            <w:r>
              <w:rPr>
                <w:rFonts w:ascii="Calibri" w:eastAsia="Times New Roman" w:hAnsi="Calibri" w:cs="Calibri"/>
                <w:color w:val="000000"/>
              </w:rPr>
              <w:t>)</w:t>
            </w:r>
          </w:p>
        </w:tc>
        <w:tc>
          <w:tcPr>
            <w:tcW w:w="1022" w:type="dxa"/>
            <w:tcBorders>
              <w:bottom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1.12</w:t>
            </w:r>
            <w:r>
              <w:rPr>
                <w:rFonts w:ascii="Calibri" w:eastAsia="Times New Roman" w:hAnsi="Calibri" w:cs="Calibri"/>
                <w:color w:val="000000"/>
              </w:rPr>
              <w:t xml:space="preserve"> (</w:t>
            </w:r>
            <w:r w:rsidRPr="002F36AF">
              <w:rPr>
                <w:rFonts w:ascii="Calibri" w:eastAsia="Times New Roman" w:hAnsi="Calibri" w:cs="Calibri"/>
                <w:color w:val="000000"/>
              </w:rPr>
              <w:t>1.73</w:t>
            </w:r>
            <w:r>
              <w:rPr>
                <w:rFonts w:ascii="Calibri" w:eastAsia="Times New Roman" w:hAnsi="Calibri" w:cs="Calibri"/>
                <w:color w:val="000000"/>
              </w:rPr>
              <w:t xml:space="preserve">) </w:t>
            </w:r>
          </w:p>
        </w:tc>
        <w:tc>
          <w:tcPr>
            <w:tcW w:w="963" w:type="dxa"/>
            <w:tcBorders>
              <w:bottom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9.46</w:t>
            </w:r>
            <w:r>
              <w:rPr>
                <w:rFonts w:ascii="Calibri" w:eastAsia="Times New Roman" w:hAnsi="Calibri" w:cs="Calibri"/>
                <w:color w:val="000000"/>
              </w:rPr>
              <w:t xml:space="preserve"> (</w:t>
            </w:r>
            <w:r w:rsidRPr="002F36AF">
              <w:rPr>
                <w:rFonts w:ascii="Calibri" w:eastAsia="Times New Roman" w:hAnsi="Calibri" w:cs="Calibri"/>
                <w:color w:val="000000"/>
              </w:rPr>
              <w:t>20.00</w:t>
            </w:r>
            <w:r>
              <w:rPr>
                <w:rFonts w:ascii="Calibri" w:eastAsia="Times New Roman" w:hAnsi="Calibri" w:cs="Calibri"/>
                <w:color w:val="000000"/>
              </w:rPr>
              <w:t>)</w:t>
            </w:r>
          </w:p>
        </w:tc>
        <w:tc>
          <w:tcPr>
            <w:tcW w:w="851" w:type="dxa"/>
            <w:tcBorders>
              <w:bottom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13.45</w:t>
            </w:r>
            <w:r>
              <w:rPr>
                <w:rFonts w:ascii="Calibri" w:eastAsia="Times New Roman" w:hAnsi="Calibri" w:cs="Calibri"/>
                <w:color w:val="000000"/>
              </w:rPr>
              <w:t xml:space="preserve"> (</w:t>
            </w:r>
            <w:r w:rsidRPr="002F36AF">
              <w:rPr>
                <w:rFonts w:ascii="Calibri" w:eastAsia="Times New Roman" w:hAnsi="Calibri" w:cs="Calibri"/>
                <w:color w:val="000000"/>
              </w:rPr>
              <w:t>2.00</w:t>
            </w:r>
            <w:r>
              <w:rPr>
                <w:rFonts w:ascii="Calibri" w:eastAsia="Times New Roman" w:hAnsi="Calibri" w:cs="Calibri"/>
                <w:color w:val="000000"/>
              </w:rPr>
              <w:t>)</w:t>
            </w:r>
          </w:p>
        </w:tc>
        <w:tc>
          <w:tcPr>
            <w:tcW w:w="992" w:type="dxa"/>
            <w:tcBorders>
              <w:bottom w:val="single" w:sz="4" w:space="0" w:color="auto"/>
            </w:tcBorders>
            <w:shd w:val="clear" w:color="auto" w:fill="auto"/>
            <w:noWrap/>
            <w:vAlign w:val="bottom"/>
            <w:hideMark/>
          </w:tcPr>
          <w:p w:rsidR="00EC1CAD" w:rsidRPr="002F36AF" w:rsidRDefault="00EC1CAD" w:rsidP="00181BD0">
            <w:pPr>
              <w:spacing w:after="0" w:line="240" w:lineRule="auto"/>
              <w:jc w:val="right"/>
              <w:rPr>
                <w:rFonts w:ascii="Calibri" w:eastAsia="Times New Roman" w:hAnsi="Calibri" w:cs="Calibri"/>
                <w:color w:val="000000"/>
              </w:rPr>
            </w:pPr>
            <w:r w:rsidRPr="002F36AF">
              <w:rPr>
                <w:rFonts w:ascii="Calibri" w:eastAsia="Times New Roman" w:hAnsi="Calibri" w:cs="Calibri"/>
                <w:color w:val="000000"/>
              </w:rPr>
              <w:t>19.03</w:t>
            </w:r>
            <w:r>
              <w:rPr>
                <w:rFonts w:ascii="Calibri" w:eastAsia="Times New Roman" w:hAnsi="Calibri" w:cs="Calibri"/>
                <w:color w:val="000000"/>
              </w:rPr>
              <w:t xml:space="preserve"> (2.00)</w:t>
            </w:r>
          </w:p>
        </w:tc>
      </w:tr>
    </w:tbl>
    <w:p w:rsidR="001B2663" w:rsidRDefault="00360323" w:rsidP="001C0DF8">
      <w:pPr>
        <w:jc w:val="both"/>
      </w:pPr>
      <w:r>
        <w:lastRenderedPageBreak/>
        <w:t>The results for the adjusted weighting schemes yield more modest trade</w:t>
      </w:r>
      <w:r w:rsidR="001F34B7">
        <w:t>-</w:t>
      </w:r>
      <w:r>
        <w:t xml:space="preserve">offs between journals than those generated by the unadjusted schemes.  </w:t>
      </w:r>
      <w:r w:rsidR="006E06F0">
        <w:t xml:space="preserve">For </w:t>
      </w:r>
      <w:r w:rsidR="0076398E">
        <w:t xml:space="preserve">major </w:t>
      </w:r>
      <w:r w:rsidR="006E06F0">
        <w:t>field journals</w:t>
      </w:r>
      <w:r>
        <w:t xml:space="preserve">, </w:t>
      </w:r>
      <w:r w:rsidR="006E06F0">
        <w:t xml:space="preserve">two to three standardised pages is equivalent to a page in the </w:t>
      </w:r>
      <w:r w:rsidR="006E06F0" w:rsidRPr="006E06F0">
        <w:rPr>
          <w:i/>
          <w:iCs/>
        </w:rPr>
        <w:t>American Economic Review</w:t>
      </w:r>
      <w:r>
        <w:rPr>
          <w:i/>
          <w:iCs/>
        </w:rPr>
        <w:t xml:space="preserve">. </w:t>
      </w:r>
      <w:r w:rsidR="006E06F0">
        <w:t xml:space="preserve"> </w:t>
      </w:r>
      <w:r w:rsidR="00F33DEA">
        <w:t>However</w:t>
      </w:r>
      <w:r w:rsidR="0076398E">
        <w:t xml:space="preserve">, very well-regarded field journals such as the </w:t>
      </w:r>
      <w:r w:rsidR="0076398E" w:rsidRPr="0076398E">
        <w:rPr>
          <w:i/>
          <w:iCs/>
        </w:rPr>
        <w:t>Rand Journal of Economics</w:t>
      </w:r>
      <w:r w:rsidR="0076398E">
        <w:t xml:space="preserve"> are </w:t>
      </w:r>
      <w:r w:rsidR="00F33DEA">
        <w:t>treated</w:t>
      </w:r>
      <w:r w:rsidR="0076398E">
        <w:t xml:space="preserve"> as equivalent to the </w:t>
      </w:r>
      <w:r w:rsidR="0076398E">
        <w:rPr>
          <w:i/>
          <w:iCs/>
        </w:rPr>
        <w:t xml:space="preserve">AER </w:t>
      </w:r>
      <w:r w:rsidR="0076398E">
        <w:t xml:space="preserve">by many schemes.  </w:t>
      </w:r>
      <w:r w:rsidR="00F33DEA">
        <w:t xml:space="preserve">The ERA and ESA schemes treat many internationally recognised field journals as equivalent to the </w:t>
      </w:r>
      <w:r w:rsidR="00F33DEA">
        <w:rPr>
          <w:i/>
          <w:iCs/>
        </w:rPr>
        <w:t xml:space="preserve">AER </w:t>
      </w:r>
      <w:r w:rsidR="00F33DEA">
        <w:t>as all receive the same A* rating.  E</w:t>
      </w:r>
      <w:r w:rsidR="006E06F0">
        <w:t>xcept for KMS2 and MS</w:t>
      </w:r>
      <w:r w:rsidR="0076398E">
        <w:t>F</w:t>
      </w:r>
      <w:r>
        <w:t>,</w:t>
      </w:r>
      <w:r w:rsidR="006E06F0">
        <w:t xml:space="preserve"> two to three pages in the </w:t>
      </w:r>
      <w:r w:rsidR="006E06F0" w:rsidRPr="006E06F0">
        <w:rPr>
          <w:i/>
          <w:iCs/>
        </w:rPr>
        <w:t>Economic Record</w:t>
      </w:r>
      <w:r w:rsidR="006E06F0">
        <w:t xml:space="preserve"> correspond to a page in the </w:t>
      </w:r>
      <w:r w:rsidR="006E06F0" w:rsidRPr="006E06F0">
        <w:rPr>
          <w:i/>
          <w:iCs/>
        </w:rPr>
        <w:t>American Economic Review</w:t>
      </w:r>
      <w:r w:rsidR="006E06F0">
        <w:t>.  Thus by international standards</w:t>
      </w:r>
      <w:r>
        <w:t>,</w:t>
      </w:r>
      <w:r w:rsidR="006E06F0">
        <w:t xml:space="preserve"> PBRF evaluations in economics do not appear to be</w:t>
      </w:r>
      <w:r w:rsidR="0076398E">
        <w:t xml:space="preserve"> </w:t>
      </w:r>
      <w:r w:rsidR="006E06F0">
        <w:t>aggressive in the emphasis placed on journal quality.</w:t>
      </w:r>
    </w:p>
    <w:p w:rsidR="002F1A5C" w:rsidRDefault="006E06F0" w:rsidP="001F34B7">
      <w:pPr>
        <w:jc w:val="both"/>
      </w:pPr>
      <w:r>
        <w:t>As noted above, the ERA and ESA evaluation schemes rate jour</w:t>
      </w:r>
      <w:r w:rsidR="002F1A5C">
        <w:t xml:space="preserve">nals </w:t>
      </w:r>
      <w:r>
        <w:t>as A*</w:t>
      </w:r>
      <w:r w:rsidR="002F1A5C">
        <w:t xml:space="preserve">, A, B or C.  In Section 2 numerical values of 4,3,2 and 1 were applied to these scores.  While recognising the numbers assigned to the scoring categories and the transformations applied above are arbitrary, the value of </w:t>
      </w:r>
      <w:r w:rsidR="002F1A5C">
        <w:rPr>
          <w:i/>
          <w:iCs/>
        </w:rPr>
        <w:t>a</w:t>
      </w:r>
      <w:r w:rsidR="002F1A5C">
        <w:t xml:space="preserve"> that </w:t>
      </w:r>
      <w:r w:rsidR="00F33DEA">
        <w:t xml:space="preserve">results in </w:t>
      </w:r>
      <w:r w:rsidR="002F1A5C">
        <w:t>the highest correlations with PBRF evaluations give</w:t>
      </w:r>
      <w:r w:rsidR="00F33DEA">
        <w:t>s</w:t>
      </w:r>
      <w:r w:rsidR="002F1A5C">
        <w:t xml:space="preserve"> some indication of the relative values of these scores.  Table 5 shows the implied numerical weights using a scale of 100 for A* journals.  </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tblPr>
      <w:tblGrid>
        <w:gridCol w:w="1848"/>
        <w:gridCol w:w="1304"/>
        <w:gridCol w:w="1304"/>
        <w:gridCol w:w="1304"/>
        <w:gridCol w:w="1304"/>
      </w:tblGrid>
      <w:tr w:rsidR="008B0D6D" w:rsidTr="00181BD0">
        <w:trPr>
          <w:jc w:val="center"/>
        </w:trPr>
        <w:tc>
          <w:tcPr>
            <w:tcW w:w="7064" w:type="dxa"/>
            <w:gridSpan w:val="5"/>
            <w:tcBorders>
              <w:bottom w:val="single" w:sz="4" w:space="0" w:color="auto"/>
            </w:tcBorders>
          </w:tcPr>
          <w:p w:rsidR="008B0D6D" w:rsidRDefault="008B0D6D" w:rsidP="00181BD0">
            <w:pPr>
              <w:jc w:val="center"/>
            </w:pPr>
            <w:r w:rsidRPr="00455CEE">
              <w:rPr>
                <w:i/>
                <w:iCs/>
              </w:rPr>
              <w:t>Table 5    Implied Weights for ERA and ESA Journal Evaluation Schemes A*=100</w:t>
            </w:r>
          </w:p>
        </w:tc>
      </w:tr>
      <w:tr w:rsidR="008B0D6D" w:rsidTr="00181BD0">
        <w:trPr>
          <w:jc w:val="center"/>
        </w:trPr>
        <w:tc>
          <w:tcPr>
            <w:tcW w:w="1848" w:type="dxa"/>
            <w:tcBorders>
              <w:top w:val="single" w:sz="4" w:space="0" w:color="auto"/>
              <w:bottom w:val="single" w:sz="4" w:space="0" w:color="auto"/>
            </w:tcBorders>
          </w:tcPr>
          <w:p w:rsidR="008B0D6D" w:rsidRDefault="008B0D6D" w:rsidP="00181BD0"/>
        </w:tc>
        <w:tc>
          <w:tcPr>
            <w:tcW w:w="1304" w:type="dxa"/>
            <w:tcBorders>
              <w:top w:val="single" w:sz="4" w:space="0" w:color="auto"/>
              <w:bottom w:val="single" w:sz="4" w:space="0" w:color="auto"/>
            </w:tcBorders>
          </w:tcPr>
          <w:p w:rsidR="008B0D6D" w:rsidRDefault="008B0D6D" w:rsidP="00181BD0">
            <w:pPr>
              <w:jc w:val="center"/>
            </w:pPr>
            <w:r>
              <w:t>A*</w:t>
            </w:r>
          </w:p>
        </w:tc>
        <w:tc>
          <w:tcPr>
            <w:tcW w:w="1304" w:type="dxa"/>
            <w:tcBorders>
              <w:top w:val="single" w:sz="4" w:space="0" w:color="auto"/>
              <w:bottom w:val="single" w:sz="4" w:space="0" w:color="auto"/>
            </w:tcBorders>
          </w:tcPr>
          <w:p w:rsidR="008B0D6D" w:rsidRDefault="008B0D6D" w:rsidP="00181BD0">
            <w:pPr>
              <w:jc w:val="center"/>
            </w:pPr>
            <w:r>
              <w:t>A</w:t>
            </w:r>
          </w:p>
        </w:tc>
        <w:tc>
          <w:tcPr>
            <w:tcW w:w="1304" w:type="dxa"/>
            <w:tcBorders>
              <w:top w:val="single" w:sz="4" w:space="0" w:color="auto"/>
              <w:bottom w:val="single" w:sz="4" w:space="0" w:color="auto"/>
            </w:tcBorders>
          </w:tcPr>
          <w:p w:rsidR="008B0D6D" w:rsidRDefault="008B0D6D" w:rsidP="00181BD0">
            <w:pPr>
              <w:jc w:val="center"/>
            </w:pPr>
            <w:r>
              <w:t>B</w:t>
            </w:r>
          </w:p>
        </w:tc>
        <w:tc>
          <w:tcPr>
            <w:tcW w:w="1304" w:type="dxa"/>
            <w:tcBorders>
              <w:top w:val="single" w:sz="4" w:space="0" w:color="auto"/>
              <w:bottom w:val="single" w:sz="4" w:space="0" w:color="auto"/>
            </w:tcBorders>
          </w:tcPr>
          <w:p w:rsidR="008B0D6D" w:rsidRDefault="008B0D6D" w:rsidP="00181BD0">
            <w:pPr>
              <w:jc w:val="center"/>
            </w:pPr>
            <w:r>
              <w:t>C</w:t>
            </w:r>
          </w:p>
        </w:tc>
      </w:tr>
      <w:tr w:rsidR="008B0D6D" w:rsidTr="00181BD0">
        <w:trPr>
          <w:jc w:val="center"/>
        </w:trPr>
        <w:tc>
          <w:tcPr>
            <w:tcW w:w="1848" w:type="dxa"/>
            <w:tcBorders>
              <w:top w:val="single" w:sz="4" w:space="0" w:color="auto"/>
            </w:tcBorders>
          </w:tcPr>
          <w:p w:rsidR="008B0D6D" w:rsidRDefault="008B0D6D" w:rsidP="00181BD0">
            <w:r>
              <w:t>ERA</w:t>
            </w:r>
          </w:p>
        </w:tc>
        <w:tc>
          <w:tcPr>
            <w:tcW w:w="1304" w:type="dxa"/>
            <w:tcBorders>
              <w:top w:val="single" w:sz="4" w:space="0" w:color="auto"/>
            </w:tcBorders>
          </w:tcPr>
          <w:p w:rsidR="008B0D6D" w:rsidRDefault="008B0D6D" w:rsidP="00181BD0">
            <w:pPr>
              <w:jc w:val="center"/>
            </w:pPr>
            <w:r>
              <w:t>100</w:t>
            </w:r>
          </w:p>
        </w:tc>
        <w:tc>
          <w:tcPr>
            <w:tcW w:w="1304" w:type="dxa"/>
            <w:tcBorders>
              <w:top w:val="single" w:sz="4" w:space="0" w:color="auto"/>
            </w:tcBorders>
          </w:tcPr>
          <w:p w:rsidR="008B0D6D" w:rsidRDefault="008B0D6D" w:rsidP="00181BD0">
            <w:pPr>
              <w:jc w:val="center"/>
            </w:pPr>
            <w:r>
              <w:t>34.25</w:t>
            </w:r>
          </w:p>
        </w:tc>
        <w:tc>
          <w:tcPr>
            <w:tcW w:w="1304" w:type="dxa"/>
            <w:tcBorders>
              <w:top w:val="single" w:sz="4" w:space="0" w:color="auto"/>
            </w:tcBorders>
          </w:tcPr>
          <w:p w:rsidR="008B0D6D" w:rsidRDefault="008B0D6D" w:rsidP="00181BD0">
            <w:pPr>
              <w:jc w:val="center"/>
            </w:pPr>
            <w:r>
              <w:t>7.18</w:t>
            </w:r>
          </w:p>
        </w:tc>
        <w:tc>
          <w:tcPr>
            <w:tcW w:w="1304" w:type="dxa"/>
            <w:tcBorders>
              <w:top w:val="single" w:sz="4" w:space="0" w:color="auto"/>
            </w:tcBorders>
          </w:tcPr>
          <w:p w:rsidR="008B0D6D" w:rsidRDefault="008B0D6D" w:rsidP="00181BD0">
            <w:pPr>
              <w:jc w:val="center"/>
            </w:pPr>
            <w:r>
              <w:t>0.55</w:t>
            </w:r>
          </w:p>
        </w:tc>
      </w:tr>
      <w:tr w:rsidR="008B0D6D" w:rsidTr="00181BD0">
        <w:trPr>
          <w:jc w:val="center"/>
        </w:trPr>
        <w:tc>
          <w:tcPr>
            <w:tcW w:w="1848" w:type="dxa"/>
          </w:tcPr>
          <w:p w:rsidR="008B0D6D" w:rsidRDefault="008B0D6D" w:rsidP="00181BD0">
            <w:r>
              <w:t>ESA</w:t>
            </w:r>
          </w:p>
        </w:tc>
        <w:tc>
          <w:tcPr>
            <w:tcW w:w="1304" w:type="dxa"/>
          </w:tcPr>
          <w:p w:rsidR="008B0D6D" w:rsidRDefault="008B0D6D" w:rsidP="00181BD0">
            <w:pPr>
              <w:jc w:val="center"/>
            </w:pPr>
            <w:r>
              <w:t>100</w:t>
            </w:r>
          </w:p>
        </w:tc>
        <w:tc>
          <w:tcPr>
            <w:tcW w:w="1304" w:type="dxa"/>
          </w:tcPr>
          <w:p w:rsidR="008B0D6D" w:rsidRDefault="008B0D6D" w:rsidP="00181BD0">
            <w:pPr>
              <w:jc w:val="center"/>
            </w:pPr>
            <w:r>
              <w:t>29.56</w:t>
            </w:r>
          </w:p>
        </w:tc>
        <w:tc>
          <w:tcPr>
            <w:tcW w:w="1304" w:type="dxa"/>
          </w:tcPr>
          <w:p w:rsidR="008B0D6D" w:rsidRDefault="008B0D6D" w:rsidP="00181BD0">
            <w:pPr>
              <w:jc w:val="center"/>
            </w:pPr>
            <w:r>
              <w:t>5.25</w:t>
            </w:r>
          </w:p>
        </w:tc>
        <w:tc>
          <w:tcPr>
            <w:tcW w:w="1304" w:type="dxa"/>
          </w:tcPr>
          <w:p w:rsidR="008B0D6D" w:rsidRDefault="008B0D6D" w:rsidP="00181BD0">
            <w:pPr>
              <w:jc w:val="center"/>
            </w:pPr>
            <w:r>
              <w:t>0.28</w:t>
            </w:r>
          </w:p>
        </w:tc>
      </w:tr>
    </w:tbl>
    <w:p w:rsidR="008B0D6D" w:rsidRDefault="008B0D6D" w:rsidP="001C0DF8">
      <w:pPr>
        <w:jc w:val="both"/>
      </w:pPr>
    </w:p>
    <w:p w:rsidR="002F1A5C" w:rsidRDefault="009B1C58" w:rsidP="001C0DF8">
      <w:pPr>
        <w:jc w:val="both"/>
      </w:pPr>
      <w:r>
        <w:t xml:space="preserve">Given these weights, approximately three pages in an A grade journal compares with one page in an A* journal.  </w:t>
      </w:r>
      <w:r w:rsidR="00B62D4A">
        <w:t xml:space="preserve">However, the trade-off increases as we move down the scale:  </w:t>
      </w:r>
      <w:r w:rsidR="009A6A75">
        <w:t>four to five pages in a B journal equate</w:t>
      </w:r>
      <w:r w:rsidR="00B62D4A">
        <w:t>s</w:t>
      </w:r>
      <w:r w:rsidR="009A6A75">
        <w:t xml:space="preserve"> to a level A page</w:t>
      </w:r>
      <w:r w:rsidR="00B62D4A">
        <w:t>,</w:t>
      </w:r>
      <w:r w:rsidR="009A6A75">
        <w:t xml:space="preserve"> and 10 to 20 </w:t>
      </w:r>
      <w:r w:rsidR="00B62D4A">
        <w:t xml:space="preserve">pages </w:t>
      </w:r>
      <w:r w:rsidR="009A6A75">
        <w:t>in a C journal equate</w:t>
      </w:r>
      <w:r w:rsidR="00B62D4A">
        <w:t>s</w:t>
      </w:r>
      <w:r w:rsidR="009A6A75">
        <w:t xml:space="preserve"> to a page in a B rated journal.  Since </w:t>
      </w:r>
      <w:r w:rsidR="00B62D4A">
        <w:t xml:space="preserve">these trade-offs are </w:t>
      </w:r>
      <w:r w:rsidR="009A6A75">
        <w:t>driven by the transformation function used here</w:t>
      </w:r>
      <w:r w:rsidR="00B62D4A">
        <w:t>in,</w:t>
      </w:r>
      <w:r w:rsidR="009A6A75">
        <w:t xml:space="preserve"> and the initial arbitrary numerical values</w:t>
      </w:r>
      <w:r w:rsidR="00B62D4A">
        <w:t xml:space="preserve">, </w:t>
      </w:r>
      <w:r w:rsidR="009A6A75">
        <w:t xml:space="preserve">these </w:t>
      </w:r>
      <w:r w:rsidR="00B62D4A">
        <w:t xml:space="preserve">results </w:t>
      </w:r>
      <w:r w:rsidR="009A6A75">
        <w:t xml:space="preserve">should be treated with </w:t>
      </w:r>
      <w:r w:rsidR="00E5314C">
        <w:t xml:space="preserve">some </w:t>
      </w:r>
      <w:r w:rsidR="009A6A75">
        <w:t>caution.</w:t>
      </w:r>
    </w:p>
    <w:p w:rsidR="005C61F9" w:rsidRDefault="005C61F9" w:rsidP="00D95F83">
      <w:pPr>
        <w:rPr>
          <w:b/>
          <w:bCs/>
        </w:rPr>
      </w:pPr>
    </w:p>
    <w:p w:rsidR="00D95F83" w:rsidRPr="00F33DEA" w:rsidRDefault="00FD5982" w:rsidP="00D95F83">
      <w:pPr>
        <w:rPr>
          <w:b/>
          <w:bCs/>
        </w:rPr>
      </w:pPr>
      <w:r w:rsidRPr="00F33DEA">
        <w:rPr>
          <w:b/>
          <w:bCs/>
        </w:rPr>
        <w:t>Other Issues in Research Evaluation and Evidence from PBRF Research Output Scores</w:t>
      </w:r>
    </w:p>
    <w:p w:rsidR="00FD5982" w:rsidRPr="00D024DD" w:rsidRDefault="00FD5982" w:rsidP="001C0DF8">
      <w:pPr>
        <w:jc w:val="both"/>
      </w:pPr>
      <w:r>
        <w:t xml:space="preserve">In evaluating research output on the basis of journal publications and comparing these with PBRF Research Output </w:t>
      </w:r>
      <w:r w:rsidR="001F34B7">
        <w:t xml:space="preserve">(RO) </w:t>
      </w:r>
      <w:r>
        <w:t>scores</w:t>
      </w:r>
      <w:r w:rsidR="00430387">
        <w:t>,</w:t>
      </w:r>
      <w:r>
        <w:t xml:space="preserve"> a number of other important issues arise.  </w:t>
      </w:r>
      <w:r w:rsidR="00625071">
        <w:t xml:space="preserve">One of the most contentious matters relates to the treatment of research with a domestic focus.  </w:t>
      </w:r>
      <w:r w:rsidR="008C61D5">
        <w:t>More explicitly, i</w:t>
      </w:r>
      <w:r>
        <w:t xml:space="preserve">t is </w:t>
      </w:r>
      <w:r w:rsidR="00430387">
        <w:t xml:space="preserve">to be </w:t>
      </w:r>
      <w:r>
        <w:t xml:space="preserve">expected that national research priorities would be reflected in </w:t>
      </w:r>
      <w:r w:rsidR="00430387">
        <w:t xml:space="preserve">government funded </w:t>
      </w:r>
      <w:r>
        <w:t xml:space="preserve">research evaluation schemes.  </w:t>
      </w:r>
      <w:r w:rsidR="008C61D5">
        <w:t xml:space="preserve">If this is the case, one might expect a </w:t>
      </w:r>
      <w:r>
        <w:t xml:space="preserve">higher weight </w:t>
      </w:r>
      <w:r w:rsidR="008C61D5">
        <w:t xml:space="preserve">to </w:t>
      </w:r>
      <w:r>
        <w:t xml:space="preserve">be given to publications in relevant national journals than </w:t>
      </w:r>
      <w:r w:rsidR="00430387">
        <w:t xml:space="preserve">would be the case if one employed </w:t>
      </w:r>
      <w:r>
        <w:t xml:space="preserve">international </w:t>
      </w:r>
      <w:r w:rsidR="00430387">
        <w:t xml:space="preserve">standards. </w:t>
      </w:r>
      <w:r>
        <w:t xml:space="preserve">For example, there is evidence to suggest that the Australian </w:t>
      </w:r>
      <w:r w:rsidR="008D2D9F">
        <w:t xml:space="preserve">ERA and ESA journal ranking systems give higher </w:t>
      </w:r>
      <w:r w:rsidR="00430387">
        <w:t xml:space="preserve">scores </w:t>
      </w:r>
      <w:r w:rsidR="008D2D9F">
        <w:t>to some Australian journals tha</w:t>
      </w:r>
      <w:r w:rsidR="00430387">
        <w:t>n</w:t>
      </w:r>
      <w:r w:rsidR="008D2D9F">
        <w:t xml:space="preserve"> those </w:t>
      </w:r>
      <w:r w:rsidR="00430387">
        <w:t xml:space="preserve">embodied in most </w:t>
      </w:r>
      <w:r w:rsidR="008D2D9F">
        <w:t>international journal ranking schemes.</w:t>
      </w:r>
      <w:r w:rsidR="008C61D5">
        <w:rPr>
          <w:rStyle w:val="FootnoteReference"/>
        </w:rPr>
        <w:footnoteReference w:id="14"/>
      </w:r>
      <w:r w:rsidR="008D2D9F">
        <w:t xml:space="preserve">  It could be argued that this reflects a preference </w:t>
      </w:r>
      <w:r w:rsidR="00430387">
        <w:t>for</w:t>
      </w:r>
      <w:r w:rsidR="008D2D9F">
        <w:t xml:space="preserve"> research relevant to the nation</w:t>
      </w:r>
      <w:r w:rsidR="00430387">
        <w:t xml:space="preserve"> state.  </w:t>
      </w:r>
      <w:r w:rsidR="008D2D9F">
        <w:t xml:space="preserve">  </w:t>
      </w:r>
      <w:r w:rsidR="008D2D9F" w:rsidRPr="00F33DEA">
        <w:rPr>
          <w:i/>
          <w:iCs/>
        </w:rPr>
        <w:t>New Zealand Economic Papers</w:t>
      </w:r>
      <w:r w:rsidR="008D2D9F">
        <w:t xml:space="preserve"> plays this role in New Zealand.  To </w:t>
      </w:r>
      <w:r w:rsidR="000E37B2">
        <w:t xml:space="preserve">study this issue </w:t>
      </w:r>
      <w:r w:rsidR="00693DFB">
        <w:t xml:space="preserve">we grant the </w:t>
      </w:r>
      <w:r w:rsidR="008D2D9F" w:rsidRPr="000E37B2">
        <w:rPr>
          <w:i/>
          <w:iCs/>
        </w:rPr>
        <w:t xml:space="preserve">New </w:t>
      </w:r>
      <w:r w:rsidR="008D2D9F" w:rsidRPr="000E37B2">
        <w:rPr>
          <w:i/>
          <w:iCs/>
        </w:rPr>
        <w:lastRenderedPageBreak/>
        <w:t>Zealand Economic Papers</w:t>
      </w:r>
      <w:r w:rsidR="008D2D9F">
        <w:t xml:space="preserve"> the same weight as the </w:t>
      </w:r>
      <w:r w:rsidR="008D2D9F" w:rsidRPr="000E37B2">
        <w:rPr>
          <w:i/>
          <w:iCs/>
        </w:rPr>
        <w:t>Economic Record</w:t>
      </w:r>
      <w:r w:rsidR="00693DFB" w:rsidRPr="00693DFB">
        <w:rPr>
          <w:iCs/>
        </w:rPr>
        <w:t xml:space="preserve"> in order to see</w:t>
      </w:r>
      <w:r w:rsidR="008D2D9F">
        <w:t xml:space="preserve"> </w:t>
      </w:r>
      <w:r w:rsidR="00693DFB">
        <w:t xml:space="preserve">if the </w:t>
      </w:r>
      <w:r w:rsidR="008D2D9F">
        <w:t xml:space="preserve">correlations with PBRF </w:t>
      </w:r>
      <w:r w:rsidR="000E37B2">
        <w:t>RO s</w:t>
      </w:r>
      <w:r w:rsidR="008D2D9F">
        <w:t>cores</w:t>
      </w:r>
      <w:r w:rsidR="00693DFB">
        <w:t xml:space="preserve"> increase in value</w:t>
      </w:r>
      <w:r w:rsidR="008D2D9F">
        <w:t>.</w:t>
      </w:r>
      <w:r w:rsidR="008D2D9F">
        <w:rPr>
          <w:rStyle w:val="FootnoteReference"/>
        </w:rPr>
        <w:footnoteReference w:id="15"/>
      </w:r>
      <w:r w:rsidR="000E37B2">
        <w:t xml:space="preserve"> </w:t>
      </w:r>
    </w:p>
    <w:p w:rsidR="000D7322" w:rsidRDefault="008D2D9F" w:rsidP="001C0DF8">
      <w:pPr>
        <w:jc w:val="both"/>
      </w:pPr>
      <w:r>
        <w:t xml:space="preserve">It is usual in assessing journal based research outputs to use standardised pages as the unit </w:t>
      </w:r>
      <w:r w:rsidR="00761407">
        <w:t xml:space="preserve">of output.  Thus long descriptive papers are judged as representing more research output than short mathematical papers or notes.  As an alternative, we </w:t>
      </w:r>
      <w:r w:rsidR="00693DFB">
        <w:t xml:space="preserve">explore the possibility that </w:t>
      </w:r>
      <w:r w:rsidR="00761407">
        <w:t>correlations with PBRF scores are higher with weighted papers rather than pages.</w:t>
      </w:r>
      <w:r>
        <w:t xml:space="preserve"> </w:t>
      </w:r>
      <w:r w:rsidR="000E37B2">
        <w:t xml:space="preserve">   That is, does the length of </w:t>
      </w:r>
      <w:r w:rsidR="00693DFB">
        <w:t xml:space="preserve">a </w:t>
      </w:r>
      <w:r w:rsidR="000E37B2">
        <w:t xml:space="preserve">paper </w:t>
      </w:r>
      <w:r w:rsidR="00693DFB">
        <w:t>matter</w:t>
      </w:r>
      <w:r w:rsidR="008C61D5">
        <w:t>?</w:t>
      </w:r>
      <w:r w:rsidR="00693DFB">
        <w:t xml:space="preserve"> </w:t>
      </w:r>
    </w:p>
    <w:p w:rsidR="00321E14" w:rsidRDefault="00761407" w:rsidP="001C0DF8">
      <w:pPr>
        <w:jc w:val="both"/>
      </w:pPr>
      <w:r>
        <w:t>The PBRF evaluation process requires researchers to identify up to four research outputs and gives them the opportunity to briefly explain the significance of the research chosen.</w:t>
      </w:r>
      <w:r>
        <w:rPr>
          <w:rStyle w:val="FootnoteReference"/>
        </w:rPr>
        <w:footnoteReference w:id="16"/>
      </w:r>
      <w:r>
        <w:t xml:space="preserve">  Up to </w:t>
      </w:r>
      <w:r w:rsidR="004371D9">
        <w:t xml:space="preserve">30 </w:t>
      </w:r>
      <w:r>
        <w:t>other research outputs can be listed.  In the analysis</w:t>
      </w:r>
      <w:r w:rsidR="000E37B2">
        <w:t xml:space="preserve"> above</w:t>
      </w:r>
      <w:r w:rsidR="0009516D">
        <w:t>,</w:t>
      </w:r>
      <w:r>
        <w:t xml:space="preserve"> all </w:t>
      </w:r>
      <w:r w:rsidR="0009516D">
        <w:t xml:space="preserve">of </w:t>
      </w:r>
      <w:r>
        <w:t xml:space="preserve">an individual researcher’s journal based research output </w:t>
      </w:r>
      <w:r w:rsidR="000E37B2">
        <w:t xml:space="preserve">is </w:t>
      </w:r>
      <w:r>
        <w:t xml:space="preserve">used in assessing the research undertaken over the period.  Here we consider the impact of considering only the four best publications, where best is judged on the basis of the journal based research assessment scheme being used.  We do this for both weighted pages and weighted </w:t>
      </w:r>
      <w:r w:rsidR="00321E14">
        <w:t>papers.</w:t>
      </w:r>
    </w:p>
    <w:p w:rsidR="00C61E5A" w:rsidRDefault="00321E14" w:rsidP="00C61E5A">
      <w:pPr>
        <w:jc w:val="both"/>
      </w:pPr>
      <w:r>
        <w:t>For co-authored papers</w:t>
      </w:r>
      <w:r w:rsidR="0009516D">
        <w:t xml:space="preserve">, we previously </w:t>
      </w:r>
      <w:r>
        <w:t xml:space="preserve">allocated the pages equally </w:t>
      </w:r>
      <w:r w:rsidR="0006031B">
        <w:t xml:space="preserve">amongst </w:t>
      </w:r>
      <w:r>
        <w:t xml:space="preserve">all authors of the paper – the </w:t>
      </w:r>
      <w:r w:rsidR="00B56B33">
        <w:t>‘</w:t>
      </w:r>
      <w:r>
        <w:t>1/n rule</w:t>
      </w:r>
      <w:r w:rsidR="00B56B33">
        <w:t>’</w:t>
      </w:r>
      <w:r>
        <w:t>.</w:t>
      </w:r>
      <w:r w:rsidR="00761407">
        <w:t xml:space="preserve"> </w:t>
      </w:r>
      <w:r>
        <w:t xml:space="preserve"> For some authors this will understate contributions</w:t>
      </w:r>
      <w:r w:rsidR="0009516D">
        <w:t>,</w:t>
      </w:r>
      <w:r>
        <w:t xml:space="preserve"> while for other</w:t>
      </w:r>
      <w:r w:rsidR="000E37B2">
        <w:t>s</w:t>
      </w:r>
      <w:r w:rsidR="0009516D">
        <w:t xml:space="preserve">, it </w:t>
      </w:r>
      <w:r>
        <w:t>will be overstated.</w:t>
      </w:r>
      <w:r w:rsidR="000E37B2">
        <w:rPr>
          <w:rStyle w:val="FootnoteReference"/>
        </w:rPr>
        <w:footnoteReference w:id="17"/>
      </w:r>
      <w:r>
        <w:t xml:space="preserve">  This rule also ignores a possible preference for team based research in evaluations.   </w:t>
      </w:r>
      <w:r w:rsidR="00C61E5A">
        <w:t>To provide alternatives we consider the implications of assigning 100% of the weight associated with a paper to all the co-authors; and, as an in between case, for papers with two or more authors, 1/nth of 150% of the normal weight associated with a paper is allocated to each co-author.</w:t>
      </w:r>
    </w:p>
    <w:p w:rsidR="00321E14" w:rsidRDefault="00321E14" w:rsidP="001C0DF8">
      <w:pPr>
        <w:jc w:val="both"/>
      </w:pPr>
      <w:r>
        <w:t xml:space="preserve">The impacts of these alternatives on the correlation coefficients for the six journal based schemes considered in the last section are shown in Table 6.  For the base case in this analysis we use the adjusted weighting schemes </w:t>
      </w:r>
      <w:r w:rsidR="00470B61">
        <w:t xml:space="preserve">with the values of the parameter </w:t>
      </w:r>
      <w:r w:rsidR="00470B61">
        <w:rPr>
          <w:i/>
          <w:iCs/>
        </w:rPr>
        <w:t>a</w:t>
      </w:r>
      <w:r w:rsidR="00470B61">
        <w:t xml:space="preserve"> shown in Table 3</w:t>
      </w:r>
      <w:r w:rsidR="00EF23EE">
        <w:t>,</w:t>
      </w:r>
      <w:r w:rsidR="000E37B2">
        <w:t xml:space="preserve"> and consider the narrow group of matching economists</w:t>
      </w:r>
      <w:r w:rsidR="00470B61">
        <w:t xml:space="preserve">.  In the base case </w:t>
      </w:r>
      <w:r w:rsidR="000E37B2">
        <w:t xml:space="preserve">the </w:t>
      </w:r>
      <w:r w:rsidR="00470B61" w:rsidRPr="000E37B2">
        <w:rPr>
          <w:i/>
          <w:iCs/>
        </w:rPr>
        <w:t>New Zealand Economic Papers</w:t>
      </w:r>
      <w:r w:rsidR="00470B61">
        <w:t xml:space="preserve"> </w:t>
      </w:r>
      <w:r w:rsidR="000E37B2">
        <w:t xml:space="preserve">receives </w:t>
      </w:r>
      <w:r w:rsidR="00470B61">
        <w:t>the weight it would receive in each evaluation scheme</w:t>
      </w:r>
      <w:r w:rsidR="0006031B">
        <w:t>;</w:t>
      </w:r>
      <w:r w:rsidR="00470B61">
        <w:t xml:space="preserve"> assessments are based on weighted pages</w:t>
      </w:r>
      <w:r w:rsidR="0006031B">
        <w:t>;</w:t>
      </w:r>
      <w:r w:rsidR="00470B61">
        <w:t xml:space="preserve"> all journal publications are evaluated</w:t>
      </w:r>
      <w:r w:rsidR="0006031B">
        <w:t>;</w:t>
      </w:r>
      <w:r w:rsidR="00470B61">
        <w:t xml:space="preserve"> and all co-authors are allocated an equal </w:t>
      </w:r>
      <w:r w:rsidR="00DB594A">
        <w:t xml:space="preserve">1/nth </w:t>
      </w:r>
      <w:r w:rsidR="00470B61">
        <w:t xml:space="preserve">share of the measured output of the article.  In considering each </w:t>
      </w:r>
      <w:r w:rsidR="000E37B2">
        <w:t xml:space="preserve">of the </w:t>
      </w:r>
      <w:r w:rsidR="00470B61">
        <w:t>alternative</w:t>
      </w:r>
      <w:r w:rsidR="000E37B2">
        <w:t xml:space="preserve"> assumptions outlined above</w:t>
      </w:r>
      <w:r w:rsidR="00470B61">
        <w:t>, all other aspects reflect the base case.</w:t>
      </w:r>
    </w:p>
    <w:p w:rsidR="00470B61" w:rsidRDefault="00470B61" w:rsidP="001308B0">
      <w:pPr>
        <w:jc w:val="both"/>
      </w:pPr>
      <w:r>
        <w:t xml:space="preserve">The results provide no evidence to support the suggestion that the </w:t>
      </w:r>
      <w:r w:rsidR="001308B0" w:rsidRPr="001308B0">
        <w:rPr>
          <w:i/>
          <w:iCs/>
        </w:rPr>
        <w:t>New Zealand Economic Papers</w:t>
      </w:r>
      <w:r w:rsidR="001308B0">
        <w:t xml:space="preserve"> </w:t>
      </w:r>
      <w:r>
        <w:t xml:space="preserve"> </w:t>
      </w:r>
      <w:r w:rsidR="00EF23EE">
        <w:t xml:space="preserve">receives the same weighting </w:t>
      </w:r>
      <w:r>
        <w:t xml:space="preserve">as the </w:t>
      </w:r>
      <w:r w:rsidRPr="00470B61">
        <w:rPr>
          <w:i/>
          <w:iCs/>
        </w:rPr>
        <w:t>Economic Record</w:t>
      </w:r>
      <w:r>
        <w:t>.  Although correlation differences are very small, for all measures the correlation is lower</w:t>
      </w:r>
      <w:r w:rsidR="00A21F98">
        <w:t xml:space="preserve"> when the </w:t>
      </w:r>
      <w:r w:rsidR="00A21F98" w:rsidRPr="00A21F98">
        <w:rPr>
          <w:i/>
          <w:iCs/>
        </w:rPr>
        <w:t>NZEP</w:t>
      </w:r>
      <w:r w:rsidR="00A21F98">
        <w:t xml:space="preserve"> is given the same weight as the </w:t>
      </w:r>
      <w:r w:rsidR="00A21F98">
        <w:rPr>
          <w:i/>
          <w:iCs/>
        </w:rPr>
        <w:t>Economic Record</w:t>
      </w:r>
      <w:r>
        <w:t xml:space="preserve">.  </w:t>
      </w:r>
      <w:r w:rsidR="00502489">
        <w:t xml:space="preserve">It is of course possible that while a preference for relevant research is reflected in the assessment of quality, increasing the weight of the </w:t>
      </w:r>
      <w:r w:rsidR="00502489" w:rsidRPr="00502489">
        <w:rPr>
          <w:i/>
          <w:iCs/>
        </w:rPr>
        <w:t>NZEP</w:t>
      </w:r>
      <w:r w:rsidR="00502489">
        <w:t xml:space="preserve"> to that of the </w:t>
      </w:r>
      <w:r w:rsidR="00502489" w:rsidRPr="00502489">
        <w:rPr>
          <w:i/>
          <w:iCs/>
        </w:rPr>
        <w:t>Economics Record</w:t>
      </w:r>
      <w:r w:rsidR="00502489">
        <w:t xml:space="preserve"> is to</w:t>
      </w:r>
      <w:r w:rsidR="00A21F98">
        <w:t>o</w:t>
      </w:r>
      <w:r w:rsidR="00502489">
        <w:t xml:space="preserve"> crude a way of reflecting this.</w:t>
      </w:r>
    </w:p>
    <w:p w:rsidR="00502489" w:rsidRDefault="00502489" w:rsidP="001308B0">
      <w:pPr>
        <w:jc w:val="both"/>
      </w:pPr>
      <w:r>
        <w:lastRenderedPageBreak/>
        <w:t>Across the six measures it is not clear whether pages or papers are the most relevant in assessing research in a way that is consistent with PBRF evaluations.  For weighting schemes that encompass most of the journals in which N</w:t>
      </w:r>
      <w:r w:rsidR="001308B0">
        <w:t xml:space="preserve">ew Zealand </w:t>
      </w:r>
      <w:r>
        <w:t>economist</w:t>
      </w:r>
      <w:r w:rsidR="000503E5">
        <w:t>s</w:t>
      </w:r>
      <w:r>
        <w:t xml:space="preserve"> publish</w:t>
      </w:r>
      <w:r w:rsidR="00EF23EE">
        <w:t xml:space="preserve"> (</w:t>
      </w:r>
      <w:r>
        <w:t>ERA, ESA and Gibson</w:t>
      </w:r>
      <w:r w:rsidR="00EF23EE">
        <w:t>)</w:t>
      </w:r>
      <w:r>
        <w:t xml:space="preserve">, weighted pages give slightly higher correlations.  For </w:t>
      </w:r>
      <w:r w:rsidR="00A21F98">
        <w:t>the relatively selective schemes</w:t>
      </w:r>
      <w:r w:rsidR="00EF23EE">
        <w:t xml:space="preserve"> (</w:t>
      </w:r>
      <w:r>
        <w:t>KMS2010, LP94 and MSF</w:t>
      </w:r>
      <w:r w:rsidR="00EF23EE">
        <w:t>)</w:t>
      </w:r>
      <w:r>
        <w:t>, papers are the most relevant.</w:t>
      </w:r>
    </w:p>
    <w:p w:rsidR="00BA3C3B" w:rsidRDefault="00A21F98" w:rsidP="001C0DF8">
      <w:pPr>
        <w:jc w:val="both"/>
      </w:pPr>
      <w:r>
        <w:t xml:space="preserve">In </w:t>
      </w:r>
      <w:r w:rsidR="00502489">
        <w:t xml:space="preserve">all </w:t>
      </w:r>
      <w:r>
        <w:t xml:space="preserve">but one </w:t>
      </w:r>
      <w:r w:rsidR="00502489">
        <w:t>case</w:t>
      </w:r>
      <w:r w:rsidR="00EF23EE">
        <w:t>,</w:t>
      </w:r>
      <w:r w:rsidR="00502489">
        <w:t xml:space="preserve"> research assessments based on the top four papers </w:t>
      </w:r>
      <w:r w:rsidR="00EF23EE">
        <w:t>generate</w:t>
      </w:r>
      <w:r w:rsidR="00502489">
        <w:t xml:space="preserve"> higher correlations with PBRF scores</w:t>
      </w:r>
      <w:r w:rsidR="00EF23EE">
        <w:t xml:space="preserve"> than the base case</w:t>
      </w:r>
      <w:r w:rsidR="00166360">
        <w:t>,</w:t>
      </w:r>
      <w:r w:rsidR="00BA3C3B">
        <w:t xml:space="preserve"> independent of our choice of weighted pages or papers as the appropriate output measure</w:t>
      </w:r>
      <w:r w:rsidR="00EF23EE">
        <w:t>.</w:t>
      </w:r>
      <w:r w:rsidR="00502489">
        <w:rPr>
          <w:rStyle w:val="FootnoteReference"/>
        </w:rPr>
        <w:footnoteReference w:id="18"/>
      </w:r>
      <w:r w:rsidR="00502489">
        <w:t xml:space="preserve">  </w:t>
      </w:r>
      <w:r w:rsidR="00BA3C3B">
        <w:t>However, for scenarios in which all</w:t>
      </w:r>
      <w:r w:rsidR="00502489">
        <w:t xml:space="preserve"> publications</w:t>
      </w:r>
      <w:r w:rsidR="00BA3C3B">
        <w:t xml:space="preserve"> are subject to evaluation, the results are mixed with respect the choice of weighted pages or papers.  </w:t>
      </w:r>
    </w:p>
    <w:p w:rsidR="00C61E5A" w:rsidRDefault="00C61E5A" w:rsidP="001308B0">
      <w:pPr>
        <w:jc w:val="both"/>
      </w:pPr>
      <w:r>
        <w:t>When all co-authors receive the full weight for the publication rather than a 1/nth share of the weighted pages, the correlation coefficients for all measures increase.  Moreover, when the co-authors receive 1/nth of 150% of the weight of the paper</w:t>
      </w:r>
      <w:r w:rsidR="001E2FF1">
        <w:t>,</w:t>
      </w:r>
      <w:r>
        <w:t xml:space="preserve"> the correlation coefficients are all lower than when each co-author receives the full weight.  While this may indicate preference for team based research in PBRF evaluations, it is hard to avoid the conclusion that there </w:t>
      </w:r>
      <w:r w:rsidR="001308B0">
        <w:t xml:space="preserve">is </w:t>
      </w:r>
      <w:r>
        <w:t>some double counting of research contributions in PBRF evaluations.</w:t>
      </w:r>
    </w:p>
    <w:tbl>
      <w:tblPr>
        <w:tblStyle w:val="TableGrid"/>
        <w:tblW w:w="0" w:type="auto"/>
        <w:tblCellMar>
          <w:top w:w="57" w:type="dxa"/>
          <w:bottom w:w="57" w:type="dxa"/>
        </w:tblCellMar>
        <w:tblLook w:val="04A0"/>
      </w:tblPr>
      <w:tblGrid>
        <w:gridCol w:w="2943"/>
        <w:gridCol w:w="1134"/>
        <w:gridCol w:w="1134"/>
        <w:gridCol w:w="1134"/>
        <w:gridCol w:w="993"/>
        <w:gridCol w:w="992"/>
        <w:gridCol w:w="912"/>
      </w:tblGrid>
      <w:tr w:rsidR="008B0D6D" w:rsidRPr="00D0199A" w:rsidTr="00181BD0">
        <w:tc>
          <w:tcPr>
            <w:tcW w:w="9242" w:type="dxa"/>
            <w:gridSpan w:val="7"/>
            <w:tcBorders>
              <w:top w:val="nil"/>
              <w:left w:val="nil"/>
              <w:bottom w:val="single" w:sz="4" w:space="0" w:color="auto"/>
              <w:right w:val="nil"/>
            </w:tcBorders>
          </w:tcPr>
          <w:p w:rsidR="008B0D6D" w:rsidRPr="00D0199A" w:rsidRDefault="008B0D6D" w:rsidP="00181BD0">
            <w:r w:rsidRPr="00455CEE">
              <w:rPr>
                <w:i/>
                <w:iCs/>
              </w:rPr>
              <w:t>Table 6     Impact of Variations in Research Assessment on Correlations with PBRF RO Evaluations</w:t>
            </w:r>
          </w:p>
        </w:tc>
      </w:tr>
      <w:tr w:rsidR="008B0D6D" w:rsidRPr="00D0199A" w:rsidTr="00181BD0">
        <w:tc>
          <w:tcPr>
            <w:tcW w:w="2943" w:type="dxa"/>
            <w:tcBorders>
              <w:top w:val="single" w:sz="4" w:space="0" w:color="auto"/>
              <w:left w:val="nil"/>
              <w:bottom w:val="single" w:sz="4" w:space="0" w:color="auto"/>
              <w:right w:val="nil"/>
            </w:tcBorders>
          </w:tcPr>
          <w:p w:rsidR="008B0D6D" w:rsidRPr="00D0199A" w:rsidRDefault="008B0D6D" w:rsidP="00181BD0"/>
        </w:tc>
        <w:tc>
          <w:tcPr>
            <w:tcW w:w="6299" w:type="dxa"/>
            <w:gridSpan w:val="6"/>
            <w:tcBorders>
              <w:top w:val="single" w:sz="4" w:space="0" w:color="auto"/>
              <w:left w:val="nil"/>
              <w:bottom w:val="single" w:sz="4" w:space="0" w:color="auto"/>
              <w:right w:val="nil"/>
            </w:tcBorders>
          </w:tcPr>
          <w:p w:rsidR="008B0D6D" w:rsidRPr="00D0199A" w:rsidRDefault="008B0D6D" w:rsidP="00181BD0">
            <w:pPr>
              <w:jc w:val="center"/>
              <w:rPr>
                <w:i/>
                <w:iCs/>
              </w:rPr>
            </w:pPr>
            <w:r w:rsidRPr="00D0199A">
              <w:rPr>
                <w:i/>
                <w:iCs/>
              </w:rPr>
              <w:t>Pearson Correlation Coefficients</w:t>
            </w:r>
          </w:p>
        </w:tc>
      </w:tr>
      <w:tr w:rsidR="008B0D6D" w:rsidRPr="00D0199A" w:rsidTr="00181BD0">
        <w:tc>
          <w:tcPr>
            <w:tcW w:w="2943" w:type="dxa"/>
            <w:tcBorders>
              <w:top w:val="single" w:sz="4" w:space="0" w:color="auto"/>
              <w:left w:val="nil"/>
              <w:bottom w:val="single" w:sz="4" w:space="0" w:color="auto"/>
              <w:right w:val="nil"/>
            </w:tcBorders>
          </w:tcPr>
          <w:p w:rsidR="008B0D6D" w:rsidRPr="00D0199A" w:rsidRDefault="008B0D6D" w:rsidP="00181BD0"/>
        </w:tc>
        <w:tc>
          <w:tcPr>
            <w:tcW w:w="1134" w:type="dxa"/>
            <w:tcBorders>
              <w:top w:val="single" w:sz="4" w:space="0" w:color="auto"/>
              <w:left w:val="nil"/>
              <w:bottom w:val="single" w:sz="4" w:space="0" w:color="auto"/>
              <w:right w:val="nil"/>
            </w:tcBorders>
          </w:tcPr>
          <w:p w:rsidR="008B0D6D" w:rsidRPr="00D0199A" w:rsidRDefault="008B0D6D" w:rsidP="00181BD0">
            <w:pPr>
              <w:jc w:val="center"/>
              <w:rPr>
                <w:i/>
                <w:iCs/>
              </w:rPr>
            </w:pPr>
            <w:r w:rsidRPr="00D0199A">
              <w:rPr>
                <w:i/>
                <w:iCs/>
              </w:rPr>
              <w:t>KMS2010</w:t>
            </w:r>
          </w:p>
        </w:tc>
        <w:tc>
          <w:tcPr>
            <w:tcW w:w="1134" w:type="dxa"/>
            <w:tcBorders>
              <w:top w:val="single" w:sz="4" w:space="0" w:color="auto"/>
              <w:left w:val="nil"/>
              <w:bottom w:val="single" w:sz="4" w:space="0" w:color="auto"/>
              <w:right w:val="nil"/>
            </w:tcBorders>
          </w:tcPr>
          <w:p w:rsidR="008B0D6D" w:rsidRPr="00D0199A" w:rsidRDefault="008B0D6D" w:rsidP="00181BD0">
            <w:pPr>
              <w:jc w:val="center"/>
              <w:rPr>
                <w:i/>
                <w:iCs/>
              </w:rPr>
            </w:pPr>
            <w:r w:rsidRPr="00D0199A">
              <w:rPr>
                <w:i/>
                <w:iCs/>
              </w:rPr>
              <w:t>LP94</w:t>
            </w:r>
          </w:p>
        </w:tc>
        <w:tc>
          <w:tcPr>
            <w:tcW w:w="1134" w:type="dxa"/>
            <w:tcBorders>
              <w:top w:val="single" w:sz="4" w:space="0" w:color="auto"/>
              <w:left w:val="nil"/>
              <w:bottom w:val="single" w:sz="4" w:space="0" w:color="auto"/>
              <w:right w:val="nil"/>
            </w:tcBorders>
          </w:tcPr>
          <w:p w:rsidR="008B0D6D" w:rsidRPr="00D0199A" w:rsidRDefault="008B0D6D" w:rsidP="00181BD0">
            <w:pPr>
              <w:jc w:val="center"/>
              <w:rPr>
                <w:i/>
                <w:iCs/>
              </w:rPr>
            </w:pPr>
            <w:r w:rsidRPr="00D0199A">
              <w:rPr>
                <w:i/>
                <w:iCs/>
              </w:rPr>
              <w:t>MSF</w:t>
            </w:r>
          </w:p>
        </w:tc>
        <w:tc>
          <w:tcPr>
            <w:tcW w:w="993" w:type="dxa"/>
            <w:tcBorders>
              <w:top w:val="single" w:sz="4" w:space="0" w:color="auto"/>
              <w:left w:val="nil"/>
              <w:bottom w:val="single" w:sz="4" w:space="0" w:color="auto"/>
              <w:right w:val="nil"/>
            </w:tcBorders>
          </w:tcPr>
          <w:p w:rsidR="008B0D6D" w:rsidRPr="00D0199A" w:rsidRDefault="008B0D6D" w:rsidP="00181BD0">
            <w:pPr>
              <w:jc w:val="center"/>
              <w:rPr>
                <w:i/>
                <w:iCs/>
              </w:rPr>
            </w:pPr>
            <w:r w:rsidRPr="00D0199A">
              <w:rPr>
                <w:i/>
                <w:iCs/>
              </w:rPr>
              <w:t>ERA</w:t>
            </w:r>
          </w:p>
        </w:tc>
        <w:tc>
          <w:tcPr>
            <w:tcW w:w="992" w:type="dxa"/>
            <w:tcBorders>
              <w:top w:val="single" w:sz="4" w:space="0" w:color="auto"/>
              <w:left w:val="nil"/>
              <w:bottom w:val="single" w:sz="4" w:space="0" w:color="auto"/>
              <w:right w:val="nil"/>
            </w:tcBorders>
          </w:tcPr>
          <w:p w:rsidR="008B0D6D" w:rsidRPr="00D0199A" w:rsidRDefault="008B0D6D" w:rsidP="00181BD0">
            <w:pPr>
              <w:jc w:val="center"/>
              <w:rPr>
                <w:i/>
                <w:iCs/>
              </w:rPr>
            </w:pPr>
            <w:r w:rsidRPr="00D0199A">
              <w:rPr>
                <w:i/>
                <w:iCs/>
              </w:rPr>
              <w:t>ESA</w:t>
            </w:r>
          </w:p>
        </w:tc>
        <w:tc>
          <w:tcPr>
            <w:tcW w:w="912" w:type="dxa"/>
            <w:tcBorders>
              <w:top w:val="single" w:sz="4" w:space="0" w:color="auto"/>
              <w:left w:val="nil"/>
              <w:bottom w:val="single" w:sz="4" w:space="0" w:color="auto"/>
              <w:right w:val="nil"/>
            </w:tcBorders>
          </w:tcPr>
          <w:p w:rsidR="008B0D6D" w:rsidRPr="00D0199A" w:rsidRDefault="008B0D6D" w:rsidP="00181BD0">
            <w:pPr>
              <w:jc w:val="center"/>
              <w:rPr>
                <w:i/>
                <w:iCs/>
              </w:rPr>
            </w:pPr>
            <w:r w:rsidRPr="00D0199A">
              <w:rPr>
                <w:i/>
                <w:iCs/>
              </w:rPr>
              <w:t>Gibson</w:t>
            </w:r>
          </w:p>
        </w:tc>
      </w:tr>
      <w:tr w:rsidR="008B0D6D" w:rsidRPr="00D0199A" w:rsidTr="00181BD0">
        <w:tc>
          <w:tcPr>
            <w:tcW w:w="2943" w:type="dxa"/>
            <w:tcBorders>
              <w:top w:val="single" w:sz="4" w:space="0" w:color="auto"/>
              <w:left w:val="nil"/>
              <w:bottom w:val="nil"/>
              <w:right w:val="nil"/>
            </w:tcBorders>
          </w:tcPr>
          <w:p w:rsidR="008B0D6D" w:rsidRPr="00D0199A" w:rsidRDefault="008B0D6D" w:rsidP="00181BD0">
            <w:pPr>
              <w:rPr>
                <w:b/>
                <w:bCs/>
                <w:vertAlign w:val="superscript"/>
              </w:rPr>
            </w:pPr>
            <w:r w:rsidRPr="00D0199A">
              <w:rPr>
                <w:b/>
                <w:bCs/>
              </w:rPr>
              <w:t>Base Case</w:t>
            </w:r>
            <w:r w:rsidRPr="00D0199A">
              <w:rPr>
                <w:b/>
                <w:bCs/>
                <w:vertAlign w:val="superscript"/>
              </w:rPr>
              <w:t>1</w:t>
            </w:r>
          </w:p>
        </w:tc>
        <w:tc>
          <w:tcPr>
            <w:tcW w:w="1134" w:type="dxa"/>
            <w:tcBorders>
              <w:top w:val="single" w:sz="4" w:space="0" w:color="auto"/>
              <w:left w:val="nil"/>
              <w:bottom w:val="nil"/>
              <w:right w:val="nil"/>
            </w:tcBorders>
          </w:tcPr>
          <w:p w:rsidR="008B0D6D" w:rsidRPr="00D0199A" w:rsidRDefault="008B0D6D" w:rsidP="00181BD0">
            <w:pPr>
              <w:jc w:val="center"/>
              <w:rPr>
                <w:b/>
                <w:bCs/>
              </w:rPr>
            </w:pPr>
            <w:r w:rsidRPr="00D0199A">
              <w:rPr>
                <w:b/>
                <w:bCs/>
              </w:rPr>
              <w:t>0.509</w:t>
            </w:r>
          </w:p>
        </w:tc>
        <w:tc>
          <w:tcPr>
            <w:tcW w:w="1134" w:type="dxa"/>
            <w:tcBorders>
              <w:top w:val="single" w:sz="4" w:space="0" w:color="auto"/>
              <w:left w:val="nil"/>
              <w:bottom w:val="nil"/>
              <w:right w:val="nil"/>
            </w:tcBorders>
          </w:tcPr>
          <w:p w:rsidR="008B0D6D" w:rsidRPr="00D0199A" w:rsidRDefault="008B0D6D" w:rsidP="00181BD0">
            <w:pPr>
              <w:jc w:val="center"/>
              <w:rPr>
                <w:b/>
                <w:bCs/>
              </w:rPr>
            </w:pPr>
            <w:r w:rsidRPr="00D0199A">
              <w:rPr>
                <w:b/>
                <w:bCs/>
              </w:rPr>
              <w:t>0.435</w:t>
            </w:r>
          </w:p>
        </w:tc>
        <w:tc>
          <w:tcPr>
            <w:tcW w:w="1134" w:type="dxa"/>
            <w:tcBorders>
              <w:top w:val="single" w:sz="4" w:space="0" w:color="auto"/>
              <w:left w:val="nil"/>
              <w:bottom w:val="nil"/>
              <w:right w:val="nil"/>
            </w:tcBorders>
          </w:tcPr>
          <w:p w:rsidR="008B0D6D" w:rsidRPr="00D0199A" w:rsidRDefault="008B0D6D" w:rsidP="00181BD0">
            <w:pPr>
              <w:jc w:val="center"/>
              <w:rPr>
                <w:b/>
                <w:bCs/>
              </w:rPr>
            </w:pPr>
            <w:r w:rsidRPr="00D0199A">
              <w:rPr>
                <w:b/>
                <w:bCs/>
              </w:rPr>
              <w:t>0.458</w:t>
            </w:r>
          </w:p>
        </w:tc>
        <w:tc>
          <w:tcPr>
            <w:tcW w:w="993" w:type="dxa"/>
            <w:tcBorders>
              <w:top w:val="single" w:sz="4" w:space="0" w:color="auto"/>
              <w:left w:val="nil"/>
              <w:bottom w:val="nil"/>
              <w:right w:val="nil"/>
            </w:tcBorders>
          </w:tcPr>
          <w:p w:rsidR="008B0D6D" w:rsidRPr="00D0199A" w:rsidRDefault="008B0D6D" w:rsidP="00181BD0">
            <w:pPr>
              <w:jc w:val="center"/>
              <w:rPr>
                <w:b/>
                <w:bCs/>
              </w:rPr>
            </w:pPr>
            <w:r w:rsidRPr="00D0199A">
              <w:rPr>
                <w:b/>
                <w:bCs/>
              </w:rPr>
              <w:t>0.542</w:t>
            </w:r>
          </w:p>
        </w:tc>
        <w:tc>
          <w:tcPr>
            <w:tcW w:w="992" w:type="dxa"/>
            <w:tcBorders>
              <w:top w:val="single" w:sz="4" w:space="0" w:color="auto"/>
              <w:left w:val="nil"/>
              <w:bottom w:val="nil"/>
              <w:right w:val="nil"/>
            </w:tcBorders>
          </w:tcPr>
          <w:p w:rsidR="008B0D6D" w:rsidRPr="00D0199A" w:rsidRDefault="008B0D6D" w:rsidP="00181BD0">
            <w:pPr>
              <w:jc w:val="center"/>
              <w:rPr>
                <w:b/>
                <w:bCs/>
              </w:rPr>
            </w:pPr>
            <w:r w:rsidRPr="00D0199A">
              <w:rPr>
                <w:b/>
                <w:bCs/>
              </w:rPr>
              <w:t>0.5</w:t>
            </w:r>
            <w:r>
              <w:rPr>
                <w:b/>
                <w:bCs/>
              </w:rPr>
              <w:t>71</w:t>
            </w:r>
          </w:p>
        </w:tc>
        <w:tc>
          <w:tcPr>
            <w:tcW w:w="912" w:type="dxa"/>
            <w:tcBorders>
              <w:top w:val="single" w:sz="4" w:space="0" w:color="auto"/>
              <w:left w:val="nil"/>
              <w:bottom w:val="nil"/>
              <w:right w:val="nil"/>
            </w:tcBorders>
          </w:tcPr>
          <w:p w:rsidR="008B0D6D" w:rsidRPr="00D0199A" w:rsidRDefault="008B0D6D" w:rsidP="00181BD0">
            <w:pPr>
              <w:jc w:val="center"/>
              <w:rPr>
                <w:b/>
                <w:bCs/>
              </w:rPr>
            </w:pPr>
            <w:r w:rsidRPr="00D0199A">
              <w:rPr>
                <w:b/>
                <w:bCs/>
              </w:rPr>
              <w:t>0.451</w:t>
            </w:r>
          </w:p>
        </w:tc>
      </w:tr>
      <w:tr w:rsidR="008B0D6D" w:rsidRPr="00D0199A" w:rsidTr="00181BD0">
        <w:tc>
          <w:tcPr>
            <w:tcW w:w="2943" w:type="dxa"/>
            <w:tcBorders>
              <w:top w:val="nil"/>
              <w:left w:val="nil"/>
              <w:bottom w:val="nil"/>
              <w:right w:val="nil"/>
            </w:tcBorders>
          </w:tcPr>
          <w:p w:rsidR="008B0D6D" w:rsidRPr="00D0199A" w:rsidRDefault="008B0D6D" w:rsidP="00181BD0">
            <w:r w:rsidRPr="00D0199A">
              <w:t>NZEP=Economic Record</w:t>
            </w:r>
          </w:p>
        </w:tc>
        <w:tc>
          <w:tcPr>
            <w:tcW w:w="1134" w:type="dxa"/>
            <w:tcBorders>
              <w:top w:val="nil"/>
              <w:left w:val="nil"/>
              <w:bottom w:val="nil"/>
              <w:right w:val="nil"/>
            </w:tcBorders>
          </w:tcPr>
          <w:p w:rsidR="008B0D6D" w:rsidRPr="00D0199A" w:rsidRDefault="008B0D6D" w:rsidP="00181BD0">
            <w:pPr>
              <w:jc w:val="center"/>
            </w:pPr>
            <w:r w:rsidRPr="00D0199A">
              <w:t>0.507</w:t>
            </w:r>
          </w:p>
        </w:tc>
        <w:tc>
          <w:tcPr>
            <w:tcW w:w="1134" w:type="dxa"/>
            <w:tcBorders>
              <w:top w:val="nil"/>
              <w:left w:val="nil"/>
              <w:bottom w:val="nil"/>
              <w:right w:val="nil"/>
            </w:tcBorders>
          </w:tcPr>
          <w:p w:rsidR="008B0D6D" w:rsidRPr="00D0199A" w:rsidRDefault="008B0D6D" w:rsidP="00181BD0">
            <w:pPr>
              <w:jc w:val="center"/>
            </w:pPr>
            <w:r w:rsidRPr="00D0199A">
              <w:t>0.427</w:t>
            </w:r>
          </w:p>
        </w:tc>
        <w:tc>
          <w:tcPr>
            <w:tcW w:w="1134" w:type="dxa"/>
            <w:tcBorders>
              <w:top w:val="nil"/>
              <w:left w:val="nil"/>
              <w:bottom w:val="nil"/>
              <w:right w:val="nil"/>
            </w:tcBorders>
          </w:tcPr>
          <w:p w:rsidR="008B0D6D" w:rsidRPr="00D0199A" w:rsidRDefault="008B0D6D" w:rsidP="00181BD0">
            <w:pPr>
              <w:jc w:val="center"/>
            </w:pPr>
            <w:r w:rsidRPr="00D0199A">
              <w:t>0.431</w:t>
            </w:r>
          </w:p>
        </w:tc>
        <w:tc>
          <w:tcPr>
            <w:tcW w:w="993" w:type="dxa"/>
            <w:tcBorders>
              <w:top w:val="nil"/>
              <w:left w:val="nil"/>
              <w:bottom w:val="nil"/>
              <w:right w:val="nil"/>
            </w:tcBorders>
          </w:tcPr>
          <w:p w:rsidR="008B0D6D" w:rsidRPr="00D0199A" w:rsidRDefault="008B0D6D" w:rsidP="00181BD0">
            <w:pPr>
              <w:jc w:val="center"/>
            </w:pPr>
            <w:r w:rsidRPr="00D0199A">
              <w:t>0.540</w:t>
            </w:r>
          </w:p>
        </w:tc>
        <w:tc>
          <w:tcPr>
            <w:tcW w:w="992" w:type="dxa"/>
            <w:tcBorders>
              <w:top w:val="nil"/>
              <w:left w:val="nil"/>
              <w:bottom w:val="nil"/>
              <w:right w:val="nil"/>
            </w:tcBorders>
          </w:tcPr>
          <w:p w:rsidR="008B0D6D" w:rsidRPr="00D0199A" w:rsidRDefault="008B0D6D" w:rsidP="00181BD0">
            <w:pPr>
              <w:jc w:val="center"/>
            </w:pPr>
            <w:r w:rsidRPr="00D0199A">
              <w:t>0.56</w:t>
            </w:r>
            <w:r>
              <w:t>9</w:t>
            </w:r>
          </w:p>
        </w:tc>
        <w:tc>
          <w:tcPr>
            <w:tcW w:w="912" w:type="dxa"/>
            <w:tcBorders>
              <w:top w:val="nil"/>
              <w:left w:val="nil"/>
              <w:bottom w:val="nil"/>
              <w:right w:val="nil"/>
            </w:tcBorders>
          </w:tcPr>
          <w:p w:rsidR="008B0D6D" w:rsidRPr="00D0199A" w:rsidRDefault="008B0D6D" w:rsidP="00181BD0">
            <w:pPr>
              <w:jc w:val="center"/>
            </w:pPr>
            <w:r w:rsidRPr="00D0199A">
              <w:t>0.440</w:t>
            </w:r>
          </w:p>
        </w:tc>
      </w:tr>
      <w:tr w:rsidR="008B0D6D" w:rsidRPr="00D0199A" w:rsidTr="00181BD0">
        <w:tc>
          <w:tcPr>
            <w:tcW w:w="2943" w:type="dxa"/>
            <w:tcBorders>
              <w:top w:val="nil"/>
              <w:left w:val="nil"/>
              <w:bottom w:val="nil"/>
              <w:right w:val="nil"/>
            </w:tcBorders>
          </w:tcPr>
          <w:p w:rsidR="008B0D6D" w:rsidRPr="00D0199A" w:rsidRDefault="008B0D6D" w:rsidP="00181BD0">
            <w:r w:rsidRPr="00D0199A">
              <w:t>Weighted Papers</w:t>
            </w:r>
          </w:p>
        </w:tc>
        <w:tc>
          <w:tcPr>
            <w:tcW w:w="1134" w:type="dxa"/>
            <w:tcBorders>
              <w:top w:val="nil"/>
              <w:left w:val="nil"/>
              <w:bottom w:val="nil"/>
              <w:right w:val="nil"/>
            </w:tcBorders>
          </w:tcPr>
          <w:p w:rsidR="008B0D6D" w:rsidRPr="00D0199A" w:rsidRDefault="008B0D6D" w:rsidP="00181BD0">
            <w:pPr>
              <w:jc w:val="center"/>
            </w:pPr>
            <w:r w:rsidRPr="00D0199A">
              <w:t>0.511</w:t>
            </w:r>
          </w:p>
        </w:tc>
        <w:tc>
          <w:tcPr>
            <w:tcW w:w="1134" w:type="dxa"/>
            <w:tcBorders>
              <w:top w:val="nil"/>
              <w:left w:val="nil"/>
              <w:bottom w:val="nil"/>
              <w:right w:val="nil"/>
            </w:tcBorders>
          </w:tcPr>
          <w:p w:rsidR="008B0D6D" w:rsidRPr="00D0199A" w:rsidRDefault="008B0D6D" w:rsidP="00181BD0">
            <w:pPr>
              <w:jc w:val="center"/>
            </w:pPr>
            <w:r w:rsidRPr="00D0199A">
              <w:t>0.462</w:t>
            </w:r>
          </w:p>
        </w:tc>
        <w:tc>
          <w:tcPr>
            <w:tcW w:w="1134" w:type="dxa"/>
            <w:tcBorders>
              <w:top w:val="nil"/>
              <w:left w:val="nil"/>
              <w:bottom w:val="nil"/>
              <w:right w:val="nil"/>
            </w:tcBorders>
          </w:tcPr>
          <w:p w:rsidR="008B0D6D" w:rsidRPr="00D0199A" w:rsidRDefault="008B0D6D" w:rsidP="00181BD0">
            <w:pPr>
              <w:jc w:val="center"/>
            </w:pPr>
            <w:r w:rsidRPr="00D0199A">
              <w:t>0.469</w:t>
            </w:r>
          </w:p>
        </w:tc>
        <w:tc>
          <w:tcPr>
            <w:tcW w:w="993" w:type="dxa"/>
            <w:tcBorders>
              <w:top w:val="nil"/>
              <w:left w:val="nil"/>
              <w:bottom w:val="nil"/>
              <w:right w:val="nil"/>
            </w:tcBorders>
          </w:tcPr>
          <w:p w:rsidR="008B0D6D" w:rsidRPr="00D0199A" w:rsidRDefault="008B0D6D" w:rsidP="00181BD0">
            <w:pPr>
              <w:jc w:val="center"/>
            </w:pPr>
            <w:r w:rsidRPr="00D0199A">
              <w:t>0.527</w:t>
            </w:r>
          </w:p>
        </w:tc>
        <w:tc>
          <w:tcPr>
            <w:tcW w:w="992" w:type="dxa"/>
            <w:tcBorders>
              <w:top w:val="nil"/>
              <w:left w:val="nil"/>
              <w:bottom w:val="nil"/>
              <w:right w:val="nil"/>
            </w:tcBorders>
          </w:tcPr>
          <w:p w:rsidR="008B0D6D" w:rsidRPr="00D0199A" w:rsidRDefault="008B0D6D" w:rsidP="00181BD0">
            <w:pPr>
              <w:jc w:val="center"/>
            </w:pPr>
            <w:r w:rsidRPr="00D0199A">
              <w:t>0.55</w:t>
            </w:r>
            <w:r>
              <w:t>9</w:t>
            </w:r>
          </w:p>
        </w:tc>
        <w:tc>
          <w:tcPr>
            <w:tcW w:w="912" w:type="dxa"/>
            <w:tcBorders>
              <w:top w:val="nil"/>
              <w:left w:val="nil"/>
              <w:bottom w:val="nil"/>
              <w:right w:val="nil"/>
            </w:tcBorders>
          </w:tcPr>
          <w:p w:rsidR="008B0D6D" w:rsidRPr="00D0199A" w:rsidRDefault="008B0D6D" w:rsidP="00181BD0">
            <w:pPr>
              <w:jc w:val="center"/>
            </w:pPr>
            <w:r w:rsidRPr="00D0199A">
              <w:t>0.437</w:t>
            </w:r>
          </w:p>
        </w:tc>
      </w:tr>
      <w:tr w:rsidR="008B0D6D" w:rsidRPr="00D0199A" w:rsidTr="00181BD0">
        <w:tc>
          <w:tcPr>
            <w:tcW w:w="2943" w:type="dxa"/>
            <w:tcBorders>
              <w:top w:val="nil"/>
              <w:left w:val="nil"/>
              <w:bottom w:val="nil"/>
              <w:right w:val="nil"/>
            </w:tcBorders>
          </w:tcPr>
          <w:p w:rsidR="008B0D6D" w:rsidRPr="00D0199A" w:rsidRDefault="008B0D6D" w:rsidP="00181BD0">
            <w:r w:rsidRPr="00D0199A">
              <w:t>Top 4 – Weighted Pages</w:t>
            </w:r>
          </w:p>
        </w:tc>
        <w:tc>
          <w:tcPr>
            <w:tcW w:w="1134" w:type="dxa"/>
            <w:tcBorders>
              <w:top w:val="nil"/>
              <w:left w:val="nil"/>
              <w:bottom w:val="nil"/>
              <w:right w:val="nil"/>
            </w:tcBorders>
          </w:tcPr>
          <w:p w:rsidR="008B0D6D" w:rsidRPr="00D0199A" w:rsidRDefault="008B0D6D" w:rsidP="00181BD0">
            <w:pPr>
              <w:jc w:val="center"/>
            </w:pPr>
            <w:r w:rsidRPr="00D0199A">
              <w:t>0.562</w:t>
            </w:r>
          </w:p>
        </w:tc>
        <w:tc>
          <w:tcPr>
            <w:tcW w:w="1134" w:type="dxa"/>
            <w:tcBorders>
              <w:top w:val="nil"/>
              <w:left w:val="nil"/>
              <w:bottom w:val="nil"/>
              <w:right w:val="nil"/>
            </w:tcBorders>
          </w:tcPr>
          <w:p w:rsidR="008B0D6D" w:rsidRPr="00D0199A" w:rsidRDefault="008B0D6D" w:rsidP="00181BD0">
            <w:pPr>
              <w:jc w:val="center"/>
            </w:pPr>
            <w:r w:rsidRPr="00D0199A">
              <w:t>0.482</w:t>
            </w:r>
          </w:p>
        </w:tc>
        <w:tc>
          <w:tcPr>
            <w:tcW w:w="1134" w:type="dxa"/>
            <w:tcBorders>
              <w:top w:val="nil"/>
              <w:left w:val="nil"/>
              <w:bottom w:val="nil"/>
              <w:right w:val="nil"/>
            </w:tcBorders>
          </w:tcPr>
          <w:p w:rsidR="008B0D6D" w:rsidRPr="00D0199A" w:rsidRDefault="008B0D6D" w:rsidP="00181BD0">
            <w:pPr>
              <w:jc w:val="center"/>
            </w:pPr>
            <w:r w:rsidRPr="00D0199A">
              <w:t>0.527</w:t>
            </w:r>
          </w:p>
        </w:tc>
        <w:tc>
          <w:tcPr>
            <w:tcW w:w="993" w:type="dxa"/>
            <w:tcBorders>
              <w:top w:val="nil"/>
              <w:left w:val="nil"/>
              <w:bottom w:val="nil"/>
              <w:right w:val="nil"/>
            </w:tcBorders>
          </w:tcPr>
          <w:p w:rsidR="008B0D6D" w:rsidRPr="00D0199A" w:rsidRDefault="008B0D6D" w:rsidP="00181BD0">
            <w:pPr>
              <w:jc w:val="center"/>
            </w:pPr>
            <w:r w:rsidRPr="00D0199A">
              <w:t>0.564</w:t>
            </w:r>
          </w:p>
        </w:tc>
        <w:tc>
          <w:tcPr>
            <w:tcW w:w="992" w:type="dxa"/>
            <w:tcBorders>
              <w:top w:val="nil"/>
              <w:left w:val="nil"/>
              <w:bottom w:val="nil"/>
              <w:right w:val="nil"/>
            </w:tcBorders>
          </w:tcPr>
          <w:p w:rsidR="008B0D6D" w:rsidRPr="00D0199A" w:rsidRDefault="008B0D6D" w:rsidP="00181BD0">
            <w:pPr>
              <w:jc w:val="center"/>
            </w:pPr>
            <w:r w:rsidRPr="00D0199A">
              <w:t>0.5</w:t>
            </w:r>
            <w:r>
              <w:t>82</w:t>
            </w:r>
          </w:p>
        </w:tc>
        <w:tc>
          <w:tcPr>
            <w:tcW w:w="912" w:type="dxa"/>
            <w:tcBorders>
              <w:top w:val="nil"/>
              <w:left w:val="nil"/>
              <w:bottom w:val="nil"/>
              <w:right w:val="nil"/>
            </w:tcBorders>
          </w:tcPr>
          <w:p w:rsidR="008B0D6D" w:rsidRPr="00D0199A" w:rsidRDefault="008B0D6D" w:rsidP="00181BD0">
            <w:pPr>
              <w:jc w:val="center"/>
            </w:pPr>
            <w:r w:rsidRPr="00D0199A">
              <w:t>0.500</w:t>
            </w:r>
          </w:p>
        </w:tc>
      </w:tr>
      <w:tr w:rsidR="008B0D6D" w:rsidRPr="00D0199A" w:rsidTr="00181BD0">
        <w:tc>
          <w:tcPr>
            <w:tcW w:w="2943" w:type="dxa"/>
            <w:tcBorders>
              <w:top w:val="nil"/>
              <w:left w:val="nil"/>
              <w:bottom w:val="nil"/>
              <w:right w:val="nil"/>
            </w:tcBorders>
          </w:tcPr>
          <w:p w:rsidR="008B0D6D" w:rsidRPr="00D0199A" w:rsidRDefault="008B0D6D" w:rsidP="00181BD0">
            <w:r w:rsidRPr="00D0199A">
              <w:t>Top 4 – Weighted Papers</w:t>
            </w:r>
          </w:p>
        </w:tc>
        <w:tc>
          <w:tcPr>
            <w:tcW w:w="1134" w:type="dxa"/>
            <w:tcBorders>
              <w:top w:val="nil"/>
              <w:left w:val="nil"/>
              <w:bottom w:val="nil"/>
              <w:right w:val="nil"/>
            </w:tcBorders>
          </w:tcPr>
          <w:p w:rsidR="008B0D6D" w:rsidRPr="00D0199A" w:rsidRDefault="008B0D6D" w:rsidP="00181BD0">
            <w:pPr>
              <w:jc w:val="center"/>
            </w:pPr>
            <w:r w:rsidRPr="00D0199A">
              <w:t>0.572</w:t>
            </w:r>
          </w:p>
        </w:tc>
        <w:tc>
          <w:tcPr>
            <w:tcW w:w="1134" w:type="dxa"/>
            <w:tcBorders>
              <w:top w:val="nil"/>
              <w:left w:val="nil"/>
              <w:bottom w:val="nil"/>
              <w:right w:val="nil"/>
            </w:tcBorders>
          </w:tcPr>
          <w:p w:rsidR="008B0D6D" w:rsidRPr="00D0199A" w:rsidRDefault="008B0D6D" w:rsidP="00181BD0">
            <w:pPr>
              <w:jc w:val="center"/>
            </w:pPr>
            <w:r w:rsidRPr="00D0199A">
              <w:t>0.524</w:t>
            </w:r>
          </w:p>
        </w:tc>
        <w:tc>
          <w:tcPr>
            <w:tcW w:w="1134" w:type="dxa"/>
            <w:tcBorders>
              <w:top w:val="nil"/>
              <w:left w:val="nil"/>
              <w:bottom w:val="nil"/>
              <w:right w:val="nil"/>
            </w:tcBorders>
          </w:tcPr>
          <w:p w:rsidR="008B0D6D" w:rsidRPr="00D0199A" w:rsidRDefault="008B0D6D" w:rsidP="00181BD0">
            <w:pPr>
              <w:jc w:val="center"/>
            </w:pPr>
            <w:r w:rsidRPr="00D0199A">
              <w:t>0.534</w:t>
            </w:r>
          </w:p>
        </w:tc>
        <w:tc>
          <w:tcPr>
            <w:tcW w:w="993" w:type="dxa"/>
            <w:tcBorders>
              <w:top w:val="nil"/>
              <w:left w:val="nil"/>
              <w:bottom w:val="nil"/>
              <w:right w:val="nil"/>
            </w:tcBorders>
          </w:tcPr>
          <w:p w:rsidR="008B0D6D" w:rsidRPr="00D0199A" w:rsidRDefault="008B0D6D" w:rsidP="00181BD0">
            <w:pPr>
              <w:jc w:val="center"/>
            </w:pPr>
            <w:r w:rsidRPr="00D0199A">
              <w:t>0.554</w:t>
            </w:r>
          </w:p>
        </w:tc>
        <w:tc>
          <w:tcPr>
            <w:tcW w:w="992" w:type="dxa"/>
            <w:tcBorders>
              <w:top w:val="nil"/>
              <w:left w:val="nil"/>
              <w:bottom w:val="nil"/>
              <w:right w:val="nil"/>
            </w:tcBorders>
          </w:tcPr>
          <w:p w:rsidR="008B0D6D" w:rsidRPr="00D0199A" w:rsidRDefault="008B0D6D" w:rsidP="00181BD0">
            <w:pPr>
              <w:jc w:val="center"/>
            </w:pPr>
            <w:r w:rsidRPr="00D0199A">
              <w:t>0.5</w:t>
            </w:r>
            <w:r>
              <w:t>59</w:t>
            </w:r>
          </w:p>
        </w:tc>
        <w:tc>
          <w:tcPr>
            <w:tcW w:w="912" w:type="dxa"/>
            <w:tcBorders>
              <w:top w:val="nil"/>
              <w:left w:val="nil"/>
              <w:bottom w:val="nil"/>
              <w:right w:val="nil"/>
            </w:tcBorders>
          </w:tcPr>
          <w:p w:rsidR="008B0D6D" w:rsidRPr="00D0199A" w:rsidRDefault="008B0D6D" w:rsidP="00181BD0">
            <w:pPr>
              <w:jc w:val="center"/>
            </w:pPr>
            <w:r w:rsidRPr="00D0199A">
              <w:t>0.527</w:t>
            </w:r>
          </w:p>
        </w:tc>
      </w:tr>
      <w:tr w:rsidR="008B0D6D" w:rsidRPr="00D0199A" w:rsidTr="00181BD0">
        <w:tc>
          <w:tcPr>
            <w:tcW w:w="2943" w:type="dxa"/>
            <w:tcBorders>
              <w:top w:val="nil"/>
              <w:left w:val="nil"/>
              <w:bottom w:val="nil"/>
              <w:right w:val="nil"/>
            </w:tcBorders>
          </w:tcPr>
          <w:p w:rsidR="008B0D6D" w:rsidRPr="00E76613" w:rsidRDefault="008B0D6D" w:rsidP="00181BD0">
            <w:pPr>
              <w:rPr>
                <w:vertAlign w:val="superscript"/>
              </w:rPr>
            </w:pPr>
            <w:r w:rsidRPr="00D0199A">
              <w:t xml:space="preserve">Co-Authors </w:t>
            </w:r>
            <w:r>
              <w:t xml:space="preserve">1/nth of </w:t>
            </w:r>
            <w:r w:rsidRPr="00D0199A">
              <w:t>150%</w:t>
            </w:r>
            <w:r>
              <w:rPr>
                <w:vertAlign w:val="superscript"/>
              </w:rPr>
              <w:t>2</w:t>
            </w:r>
          </w:p>
        </w:tc>
        <w:tc>
          <w:tcPr>
            <w:tcW w:w="1134" w:type="dxa"/>
            <w:tcBorders>
              <w:top w:val="nil"/>
              <w:left w:val="nil"/>
              <w:bottom w:val="nil"/>
              <w:right w:val="nil"/>
            </w:tcBorders>
          </w:tcPr>
          <w:p w:rsidR="008B0D6D" w:rsidRPr="00D0199A" w:rsidRDefault="008B0D6D" w:rsidP="00181BD0">
            <w:pPr>
              <w:jc w:val="center"/>
            </w:pPr>
            <w:r w:rsidRPr="00D0199A">
              <w:t>0.540</w:t>
            </w:r>
          </w:p>
        </w:tc>
        <w:tc>
          <w:tcPr>
            <w:tcW w:w="1134" w:type="dxa"/>
            <w:tcBorders>
              <w:top w:val="nil"/>
              <w:left w:val="nil"/>
              <w:bottom w:val="nil"/>
              <w:right w:val="nil"/>
            </w:tcBorders>
          </w:tcPr>
          <w:p w:rsidR="008B0D6D" w:rsidRPr="00D0199A" w:rsidRDefault="008B0D6D" w:rsidP="00181BD0">
            <w:pPr>
              <w:jc w:val="center"/>
            </w:pPr>
            <w:r w:rsidRPr="00D0199A">
              <w:t>0.458</w:t>
            </w:r>
          </w:p>
        </w:tc>
        <w:tc>
          <w:tcPr>
            <w:tcW w:w="1134" w:type="dxa"/>
            <w:tcBorders>
              <w:top w:val="nil"/>
              <w:left w:val="nil"/>
              <w:bottom w:val="nil"/>
              <w:right w:val="nil"/>
            </w:tcBorders>
          </w:tcPr>
          <w:p w:rsidR="008B0D6D" w:rsidRPr="00D0199A" w:rsidRDefault="008B0D6D" w:rsidP="00181BD0">
            <w:pPr>
              <w:jc w:val="center"/>
            </w:pPr>
            <w:r w:rsidRPr="00D0199A">
              <w:t>0.490</w:t>
            </w:r>
          </w:p>
        </w:tc>
        <w:tc>
          <w:tcPr>
            <w:tcW w:w="993" w:type="dxa"/>
            <w:tcBorders>
              <w:top w:val="nil"/>
              <w:left w:val="nil"/>
              <w:bottom w:val="nil"/>
              <w:right w:val="nil"/>
            </w:tcBorders>
          </w:tcPr>
          <w:p w:rsidR="008B0D6D" w:rsidRPr="00D0199A" w:rsidRDefault="008B0D6D" w:rsidP="00181BD0">
            <w:pPr>
              <w:jc w:val="center"/>
            </w:pPr>
            <w:r w:rsidRPr="00D0199A">
              <w:t>0.561</w:t>
            </w:r>
          </w:p>
        </w:tc>
        <w:tc>
          <w:tcPr>
            <w:tcW w:w="992" w:type="dxa"/>
            <w:tcBorders>
              <w:top w:val="nil"/>
              <w:left w:val="nil"/>
              <w:bottom w:val="nil"/>
              <w:right w:val="nil"/>
            </w:tcBorders>
          </w:tcPr>
          <w:p w:rsidR="008B0D6D" w:rsidRPr="00D0199A" w:rsidRDefault="008B0D6D" w:rsidP="00181BD0">
            <w:pPr>
              <w:jc w:val="center"/>
            </w:pPr>
            <w:r w:rsidRPr="00D0199A">
              <w:t>0.</w:t>
            </w:r>
            <w:r>
              <w:t>603</w:t>
            </w:r>
          </w:p>
        </w:tc>
        <w:tc>
          <w:tcPr>
            <w:tcW w:w="912" w:type="dxa"/>
            <w:tcBorders>
              <w:top w:val="nil"/>
              <w:left w:val="nil"/>
              <w:bottom w:val="nil"/>
              <w:right w:val="nil"/>
            </w:tcBorders>
          </w:tcPr>
          <w:p w:rsidR="008B0D6D" w:rsidRPr="00D0199A" w:rsidRDefault="008B0D6D" w:rsidP="00181BD0">
            <w:pPr>
              <w:jc w:val="center"/>
            </w:pPr>
            <w:r w:rsidRPr="00D0199A">
              <w:t>0.486</w:t>
            </w:r>
          </w:p>
        </w:tc>
      </w:tr>
      <w:tr w:rsidR="008B0D6D" w:rsidRPr="00D0199A" w:rsidTr="00181BD0">
        <w:tc>
          <w:tcPr>
            <w:tcW w:w="2943" w:type="dxa"/>
            <w:tcBorders>
              <w:top w:val="nil"/>
              <w:left w:val="nil"/>
              <w:bottom w:val="single" w:sz="4" w:space="0" w:color="auto"/>
              <w:right w:val="nil"/>
            </w:tcBorders>
          </w:tcPr>
          <w:p w:rsidR="008B0D6D" w:rsidRPr="00D0199A" w:rsidRDefault="008B0D6D" w:rsidP="00181BD0">
            <w:r w:rsidRPr="00D0199A">
              <w:t>All Co-Authors  100%</w:t>
            </w:r>
          </w:p>
        </w:tc>
        <w:tc>
          <w:tcPr>
            <w:tcW w:w="1134" w:type="dxa"/>
            <w:tcBorders>
              <w:top w:val="nil"/>
              <w:left w:val="nil"/>
              <w:bottom w:val="single" w:sz="4" w:space="0" w:color="auto"/>
              <w:right w:val="nil"/>
            </w:tcBorders>
          </w:tcPr>
          <w:p w:rsidR="008B0D6D" w:rsidRPr="00D0199A" w:rsidRDefault="008B0D6D" w:rsidP="00181BD0">
            <w:pPr>
              <w:jc w:val="center"/>
            </w:pPr>
            <w:r w:rsidRPr="00D0199A">
              <w:t>0.589</w:t>
            </w:r>
          </w:p>
        </w:tc>
        <w:tc>
          <w:tcPr>
            <w:tcW w:w="1134" w:type="dxa"/>
            <w:tcBorders>
              <w:top w:val="nil"/>
              <w:left w:val="nil"/>
              <w:bottom w:val="single" w:sz="4" w:space="0" w:color="auto"/>
              <w:right w:val="nil"/>
            </w:tcBorders>
          </w:tcPr>
          <w:p w:rsidR="008B0D6D" w:rsidRPr="00D0199A" w:rsidRDefault="008B0D6D" w:rsidP="00181BD0">
            <w:pPr>
              <w:jc w:val="center"/>
            </w:pPr>
            <w:r w:rsidRPr="00D0199A">
              <w:t>0.497</w:t>
            </w:r>
          </w:p>
        </w:tc>
        <w:tc>
          <w:tcPr>
            <w:tcW w:w="1134" w:type="dxa"/>
            <w:tcBorders>
              <w:top w:val="nil"/>
              <w:left w:val="nil"/>
              <w:bottom w:val="single" w:sz="4" w:space="0" w:color="auto"/>
              <w:right w:val="nil"/>
            </w:tcBorders>
          </w:tcPr>
          <w:p w:rsidR="008B0D6D" w:rsidRPr="00D0199A" w:rsidRDefault="008B0D6D" w:rsidP="00181BD0">
            <w:pPr>
              <w:jc w:val="center"/>
            </w:pPr>
            <w:r w:rsidRPr="00D0199A">
              <w:t>0.535</w:t>
            </w:r>
          </w:p>
        </w:tc>
        <w:tc>
          <w:tcPr>
            <w:tcW w:w="993" w:type="dxa"/>
            <w:tcBorders>
              <w:top w:val="nil"/>
              <w:left w:val="nil"/>
              <w:bottom w:val="single" w:sz="4" w:space="0" w:color="auto"/>
              <w:right w:val="nil"/>
            </w:tcBorders>
          </w:tcPr>
          <w:p w:rsidR="008B0D6D" w:rsidRPr="00D0199A" w:rsidRDefault="008B0D6D" w:rsidP="00181BD0">
            <w:pPr>
              <w:jc w:val="center"/>
            </w:pPr>
            <w:r w:rsidRPr="00D0199A">
              <w:t>0.609</w:t>
            </w:r>
          </w:p>
        </w:tc>
        <w:tc>
          <w:tcPr>
            <w:tcW w:w="992" w:type="dxa"/>
            <w:tcBorders>
              <w:top w:val="nil"/>
              <w:left w:val="nil"/>
              <w:bottom w:val="single" w:sz="4" w:space="0" w:color="auto"/>
              <w:right w:val="nil"/>
            </w:tcBorders>
          </w:tcPr>
          <w:p w:rsidR="008B0D6D" w:rsidRPr="00D0199A" w:rsidRDefault="008B0D6D" w:rsidP="00181BD0">
            <w:pPr>
              <w:jc w:val="center"/>
            </w:pPr>
            <w:r w:rsidRPr="00D0199A">
              <w:t>0.</w:t>
            </w:r>
            <w:r>
              <w:t>571</w:t>
            </w:r>
          </w:p>
        </w:tc>
        <w:tc>
          <w:tcPr>
            <w:tcW w:w="912" w:type="dxa"/>
            <w:tcBorders>
              <w:top w:val="nil"/>
              <w:left w:val="nil"/>
              <w:bottom w:val="single" w:sz="4" w:space="0" w:color="auto"/>
              <w:right w:val="nil"/>
            </w:tcBorders>
          </w:tcPr>
          <w:p w:rsidR="008B0D6D" w:rsidRPr="00D0199A" w:rsidRDefault="008B0D6D" w:rsidP="00181BD0">
            <w:pPr>
              <w:jc w:val="center"/>
            </w:pPr>
            <w:r w:rsidRPr="00D0199A">
              <w:t>0.532</w:t>
            </w:r>
          </w:p>
        </w:tc>
      </w:tr>
      <w:tr w:rsidR="008B0D6D" w:rsidRPr="00E76613" w:rsidTr="00181BD0">
        <w:tc>
          <w:tcPr>
            <w:tcW w:w="9242" w:type="dxa"/>
            <w:gridSpan w:val="7"/>
            <w:tcBorders>
              <w:top w:val="single" w:sz="4" w:space="0" w:color="auto"/>
              <w:left w:val="nil"/>
              <w:bottom w:val="nil"/>
              <w:right w:val="nil"/>
            </w:tcBorders>
          </w:tcPr>
          <w:p w:rsidR="008B0D6D" w:rsidRDefault="008B0D6D" w:rsidP="008B0D6D">
            <w:pPr>
              <w:ind w:left="284" w:hanging="284"/>
              <w:rPr>
                <w:sz w:val="18"/>
                <w:szCs w:val="18"/>
              </w:rPr>
            </w:pPr>
            <w:r w:rsidRPr="00D0199A">
              <w:rPr>
                <w:sz w:val="18"/>
                <w:szCs w:val="18"/>
                <w:vertAlign w:val="superscript"/>
              </w:rPr>
              <w:t>1</w:t>
            </w:r>
            <w:r>
              <w:rPr>
                <w:sz w:val="18"/>
                <w:szCs w:val="18"/>
                <w:vertAlign w:val="superscript"/>
              </w:rPr>
              <w:tab/>
            </w:r>
            <w:r w:rsidRPr="00D0199A">
              <w:rPr>
                <w:sz w:val="18"/>
                <w:szCs w:val="18"/>
              </w:rPr>
              <w:t xml:space="preserve">Base </w:t>
            </w:r>
            <w:r>
              <w:rPr>
                <w:sz w:val="18"/>
                <w:szCs w:val="18"/>
              </w:rPr>
              <w:t>c</w:t>
            </w:r>
            <w:r w:rsidRPr="00D0199A">
              <w:rPr>
                <w:sz w:val="18"/>
                <w:szCs w:val="18"/>
              </w:rPr>
              <w:t xml:space="preserve">ase: values of </w:t>
            </w:r>
            <w:proofErr w:type="gramStart"/>
            <w:r w:rsidRPr="00D0199A">
              <w:rPr>
                <w:i/>
                <w:iCs/>
                <w:sz w:val="18"/>
                <w:szCs w:val="18"/>
              </w:rPr>
              <w:t>a</w:t>
            </w:r>
            <w:r w:rsidRPr="00D0199A">
              <w:rPr>
                <w:sz w:val="18"/>
                <w:szCs w:val="18"/>
              </w:rPr>
              <w:t xml:space="preserve"> from</w:t>
            </w:r>
            <w:proofErr w:type="gramEnd"/>
            <w:r w:rsidRPr="00D0199A">
              <w:rPr>
                <w:sz w:val="18"/>
                <w:szCs w:val="18"/>
              </w:rPr>
              <w:t xml:space="preserve"> Table 3, NZEP=actual, weighted pages, all journal publications and co-author allocation 1/n.</w:t>
            </w:r>
          </w:p>
          <w:p w:rsidR="008B0D6D" w:rsidRPr="00E76613" w:rsidRDefault="008B0D6D" w:rsidP="008B0D6D">
            <w:pPr>
              <w:ind w:left="284" w:hanging="284"/>
              <w:rPr>
                <w:sz w:val="18"/>
                <w:szCs w:val="18"/>
              </w:rPr>
            </w:pPr>
            <w:r>
              <w:rPr>
                <w:sz w:val="18"/>
                <w:szCs w:val="18"/>
                <w:vertAlign w:val="superscript"/>
              </w:rPr>
              <w:t>2</w:t>
            </w:r>
            <w:r>
              <w:rPr>
                <w:sz w:val="18"/>
                <w:szCs w:val="18"/>
                <w:vertAlign w:val="superscript"/>
              </w:rPr>
              <w:tab/>
            </w:r>
            <w:r>
              <w:rPr>
                <w:sz w:val="18"/>
                <w:szCs w:val="18"/>
              </w:rPr>
              <w:t>A solo author receives 100% of the weight of the paper in this scenario not 150%.</w:t>
            </w:r>
          </w:p>
        </w:tc>
      </w:tr>
    </w:tbl>
    <w:p w:rsidR="008B0D6D" w:rsidRDefault="008B0D6D" w:rsidP="00321E14">
      <w:pPr>
        <w:rPr>
          <w:b/>
          <w:bCs/>
        </w:rPr>
      </w:pPr>
    </w:p>
    <w:p w:rsidR="00321E14" w:rsidRPr="00A21F98" w:rsidRDefault="00A21F98" w:rsidP="00321E14">
      <w:pPr>
        <w:rPr>
          <w:b/>
          <w:bCs/>
        </w:rPr>
      </w:pPr>
      <w:r w:rsidRPr="00A21F98">
        <w:rPr>
          <w:b/>
          <w:bCs/>
        </w:rPr>
        <w:t>Conclusions</w:t>
      </w:r>
    </w:p>
    <w:p w:rsidR="00313E21" w:rsidRDefault="00D26EE2" w:rsidP="00AC0150">
      <w:pPr>
        <w:jc w:val="both"/>
      </w:pPr>
      <w:r>
        <w:t>This p</w:t>
      </w:r>
      <w:r w:rsidR="00A21F98">
        <w:t xml:space="preserve">aper </w:t>
      </w:r>
      <w:r>
        <w:t xml:space="preserve">considers the relationship between the </w:t>
      </w:r>
      <w:r w:rsidR="009B1C58">
        <w:t>evaluations</w:t>
      </w:r>
      <w:r>
        <w:t xml:space="preserve"> of research by peer/expert panels with </w:t>
      </w:r>
      <w:r w:rsidR="00AC0150">
        <w:t xml:space="preserve">bibliographic </w:t>
      </w:r>
      <w:r>
        <w:t xml:space="preserve">assessments </w:t>
      </w:r>
      <w:r w:rsidR="00AC0150">
        <w:t>based on j</w:t>
      </w:r>
      <w:r>
        <w:t>ournal based weighting schemes using the research of New Zealand academic economists</w:t>
      </w:r>
      <w:r w:rsidR="00AC0150">
        <w:t xml:space="preserve"> between 200</w:t>
      </w:r>
      <w:r w:rsidR="001E5542">
        <w:t>0</w:t>
      </w:r>
      <w:r w:rsidR="00AC0150">
        <w:t xml:space="preserve"> and 2005 </w:t>
      </w:r>
      <w:r>
        <w:t xml:space="preserve">and </w:t>
      </w:r>
      <w:r w:rsidR="001E5542">
        <w:t xml:space="preserve">corresponding </w:t>
      </w:r>
      <w:r>
        <w:t xml:space="preserve">PBRF Research Output </w:t>
      </w:r>
      <w:r w:rsidR="009C3A48">
        <w:t xml:space="preserve">(RO) </w:t>
      </w:r>
      <w:r>
        <w:t>scores</w:t>
      </w:r>
      <w:r w:rsidR="001E5542">
        <w:t xml:space="preserve">. </w:t>
      </w:r>
      <w:r w:rsidR="00AC0150">
        <w:t xml:space="preserve">It also </w:t>
      </w:r>
      <w:r w:rsidR="00A21F98">
        <w:t xml:space="preserve">provides </w:t>
      </w:r>
      <w:r>
        <w:t xml:space="preserve">an </w:t>
      </w:r>
      <w:r w:rsidR="00AC0150">
        <w:t>indirect indication of the way in which the PBRF panel in economics has evaluated journal based research</w:t>
      </w:r>
      <w:r w:rsidR="00A21F98">
        <w:t xml:space="preserve">.  </w:t>
      </w:r>
      <w:r w:rsidR="001E5542">
        <w:t xml:space="preserve">However, with a relatively small </w:t>
      </w:r>
      <w:r w:rsidR="00A21F98">
        <w:t>sample, and noting the self-selection issues that arise from use of data from the partial 2006 assessments</w:t>
      </w:r>
      <w:r w:rsidR="00C62816">
        <w:t>,</w:t>
      </w:r>
      <w:r w:rsidR="0003610D">
        <w:t xml:space="preserve"> </w:t>
      </w:r>
      <w:r w:rsidR="00C62816">
        <w:t xml:space="preserve">only </w:t>
      </w:r>
      <w:r w:rsidR="0003610D">
        <w:t>tentative conclusions are possible.</w:t>
      </w:r>
    </w:p>
    <w:p w:rsidR="0003610D" w:rsidRDefault="0003610D" w:rsidP="001C0DF8">
      <w:pPr>
        <w:jc w:val="both"/>
      </w:pPr>
      <w:r>
        <w:lastRenderedPageBreak/>
        <w:t>It seems clear that bibliographic research assessment</w:t>
      </w:r>
      <w:r w:rsidR="00C62816">
        <w:t>s</w:t>
      </w:r>
      <w:r>
        <w:t xml:space="preserve"> based on journal weighting schemes do not produce results that can be regarded as close to PBRF RO evaluations.  This is not surprising given the much broader scope of research considered by PBRF processes and the additional quality related information available to panels.  </w:t>
      </w:r>
      <w:r w:rsidR="00C62816">
        <w:t xml:space="preserve">Citation analysis also suggests that there may be </w:t>
      </w:r>
      <w:r w:rsidR="00DB594A">
        <w:t xml:space="preserve">a </w:t>
      </w:r>
      <w:r w:rsidR="00C62816">
        <w:t>substantial difference in the quality of articles published in the same journals which might be picked up by the additional information available to PBRF panels.</w:t>
      </w:r>
      <w:r w:rsidR="00C62816">
        <w:rPr>
          <w:rStyle w:val="FootnoteReference"/>
        </w:rPr>
        <w:footnoteReference w:id="19"/>
      </w:r>
      <w:r w:rsidR="00C62816">
        <w:t xml:space="preserve">  </w:t>
      </w:r>
      <w:r>
        <w:t>This of course does not imply that the more systematic use of bibliographic methods and the standardisation of bibliographic information provided by researchers could not add to the PBRF evaluation process.</w:t>
      </w:r>
    </w:p>
    <w:p w:rsidR="00AC0150" w:rsidRDefault="00AC0150" w:rsidP="009C3A48">
      <w:pPr>
        <w:jc w:val="both"/>
      </w:pPr>
      <w:r>
        <w:t xml:space="preserve">The analysis does suggest that the most aggressive of the international journal based weighting schemes do not reflect PBRF practice in economics.  </w:t>
      </w:r>
      <w:r w:rsidR="009C3A48">
        <w:t xml:space="preserve">PBRF practice in assessing research in economics is not consistent with the quality standards implied by these schemes.  </w:t>
      </w:r>
      <w:r>
        <w:t>After the weighting schemes considered were adjusted</w:t>
      </w:r>
      <w:r w:rsidR="001E5542">
        <w:t>,</w:t>
      </w:r>
      <w:r>
        <w:t xml:space="preserve"> the resulting implied weights suggest a moderate degree of aggressiveness in assessing quality.   It is not the case that only publications in the profession</w:t>
      </w:r>
      <w:r w:rsidR="00867F29">
        <w:t>’</w:t>
      </w:r>
      <w:r>
        <w:t>s leading journals matter.</w:t>
      </w:r>
      <w:r w:rsidR="009C3A48">
        <w:t xml:space="preserve">   </w:t>
      </w:r>
    </w:p>
    <w:p w:rsidR="00403951" w:rsidRDefault="0003610D" w:rsidP="00AC0150">
      <w:pPr>
        <w:jc w:val="both"/>
      </w:pPr>
      <w:r w:rsidRPr="00BB46E2">
        <w:t>The results also indicate that</w:t>
      </w:r>
      <w:r w:rsidR="00BB46E2">
        <w:t xml:space="preserve"> none of our selected journal weighting schemes </w:t>
      </w:r>
      <w:r w:rsidR="001760A6">
        <w:t xml:space="preserve">generates </w:t>
      </w:r>
      <w:r w:rsidR="00BB46E2">
        <w:t xml:space="preserve">results that parallel those of the </w:t>
      </w:r>
      <w:r w:rsidRPr="00BB46E2">
        <w:t>PBRF evaluation</w:t>
      </w:r>
      <w:r w:rsidR="00BB46E2">
        <w:t xml:space="preserve">.  </w:t>
      </w:r>
      <w:r w:rsidR="001760A6">
        <w:t>However, t</w:t>
      </w:r>
      <w:r w:rsidRPr="00BB46E2">
        <w:t>here is some indication that schemes with a broader range</w:t>
      </w:r>
      <w:r w:rsidR="001E5542" w:rsidRPr="00BB46E2">
        <w:t xml:space="preserve"> of coverage</w:t>
      </w:r>
      <w:r w:rsidRPr="00BB46E2">
        <w:t xml:space="preserve"> are more closely related, but the differences are small.  </w:t>
      </w:r>
      <w:r w:rsidR="00AC0150" w:rsidRPr="00BB46E2">
        <w:t xml:space="preserve"> Overall</w:t>
      </w:r>
      <w:r w:rsidR="001E5542" w:rsidRPr="00BB46E2">
        <w:t>,</w:t>
      </w:r>
      <w:r w:rsidR="00AC0150" w:rsidRPr="00BB46E2">
        <w:t xml:space="preserve"> the </w:t>
      </w:r>
      <w:r w:rsidR="00C13D8E" w:rsidRPr="00BB46E2">
        <w:t xml:space="preserve">ERA and </w:t>
      </w:r>
      <w:r w:rsidR="00AC0150" w:rsidRPr="00BB46E2">
        <w:t>E</w:t>
      </w:r>
      <w:r w:rsidR="00C13D8E" w:rsidRPr="00BB46E2">
        <w:t>SA</w:t>
      </w:r>
      <w:r w:rsidR="00AC0150" w:rsidRPr="00BB46E2">
        <w:t xml:space="preserve"> journal evaluation scheme</w:t>
      </w:r>
      <w:r w:rsidR="00C13D8E" w:rsidRPr="00BB46E2">
        <w:t>s</w:t>
      </w:r>
      <w:r w:rsidR="00AC0150" w:rsidRPr="00BB46E2">
        <w:t xml:space="preserve"> </w:t>
      </w:r>
      <w:r w:rsidR="00C13D8E" w:rsidRPr="00BB46E2">
        <w:t xml:space="preserve">best mimic the PBRF RO scores.  This is especially the case if </w:t>
      </w:r>
      <w:r w:rsidR="00AC0150" w:rsidRPr="00BB46E2">
        <w:t>the numerical weights applied to journals in the differen</w:t>
      </w:r>
      <w:r w:rsidR="00C13D8E" w:rsidRPr="00BB46E2">
        <w:t>t</w:t>
      </w:r>
      <w:r w:rsidR="00AC0150" w:rsidRPr="00BB46E2">
        <w:t xml:space="preserve"> </w:t>
      </w:r>
      <w:r w:rsidR="003C4023" w:rsidRPr="00BB46E2">
        <w:t xml:space="preserve">schemes </w:t>
      </w:r>
      <w:r w:rsidR="00AC0150" w:rsidRPr="00BB46E2">
        <w:t xml:space="preserve">are moderately aggressive in their recognition of the five quality </w:t>
      </w:r>
      <w:r w:rsidR="003C4023" w:rsidRPr="00BB46E2">
        <w:t xml:space="preserve">classifications.  </w:t>
      </w:r>
    </w:p>
    <w:p w:rsidR="000E4847" w:rsidRDefault="00C62816" w:rsidP="001C0DF8">
      <w:pPr>
        <w:jc w:val="both"/>
      </w:pPr>
      <w:r>
        <w:t>Many of the aspects of research considered in this paper are relevant to the on</w:t>
      </w:r>
      <w:r w:rsidR="00152C73">
        <w:t>-</w:t>
      </w:r>
      <w:r>
        <w:t xml:space="preserve">going decisions that </w:t>
      </w:r>
      <w:r w:rsidR="001760A6">
        <w:t xml:space="preserve">academics </w:t>
      </w:r>
      <w:r>
        <w:t xml:space="preserve">must make about their </w:t>
      </w:r>
      <w:r w:rsidR="00D60601">
        <w:t xml:space="preserve">research </w:t>
      </w:r>
      <w:r>
        <w:t xml:space="preserve">programmes.  </w:t>
      </w:r>
      <w:r w:rsidR="00D60601">
        <w:t xml:space="preserve">How much emphasis should be placed on publications in the top journals?  Are there costs </w:t>
      </w:r>
      <w:r w:rsidR="00152C73">
        <w:t xml:space="preserve">associated with </w:t>
      </w:r>
      <w:r w:rsidR="00D60601">
        <w:t>undertaking research relevant to policy issues in New Zealand?  How important is research quantity relative to quality?  How is team</w:t>
      </w:r>
      <w:r w:rsidR="00E759BF">
        <w:t>-</w:t>
      </w:r>
      <w:r w:rsidR="00D60601">
        <w:t xml:space="preserve">based research viewed?  </w:t>
      </w:r>
      <w:r w:rsidR="00152C73">
        <w:t>More information that can be used in considering these questions could increase the efficiency of the resulting decisions.  The use of known bibliographic methods as part of research evaluation exercise</w:t>
      </w:r>
      <w:r w:rsidR="003C4023">
        <w:t>s</w:t>
      </w:r>
      <w:r w:rsidR="00152C73">
        <w:t xml:space="preserve"> such as PBRF is one way of adding transparency and provid</w:t>
      </w:r>
      <w:r w:rsidR="001C0DF8">
        <w:t>ing</w:t>
      </w:r>
      <w:r w:rsidR="00152C73">
        <w:t xml:space="preserve"> information relevant to th</w:t>
      </w:r>
      <w:r w:rsidR="001C0DF8">
        <w:t>e</w:t>
      </w:r>
      <w:r w:rsidR="00152C73">
        <w:t>se decisions.</w:t>
      </w:r>
      <w:r w:rsidR="00D60601">
        <w:t xml:space="preserve"> </w:t>
      </w:r>
    </w:p>
    <w:p w:rsidR="009962B7" w:rsidRPr="000C3651" w:rsidRDefault="009962B7" w:rsidP="009962B7">
      <w:pPr>
        <w:jc w:val="both"/>
        <w:rPr>
          <w:b/>
          <w:bCs/>
        </w:rPr>
      </w:pPr>
      <w:r w:rsidRPr="000C3651">
        <w:rPr>
          <w:b/>
          <w:bCs/>
        </w:rPr>
        <w:t>References</w:t>
      </w:r>
    </w:p>
    <w:p w:rsidR="009962B7" w:rsidRPr="00D628CD" w:rsidRDefault="009962B7" w:rsidP="006A19F7">
      <w:pPr>
        <w:spacing w:after="100" w:line="240" w:lineRule="auto"/>
        <w:ind w:left="426" w:hanging="426"/>
        <w:jc w:val="both"/>
      </w:pPr>
      <w:r>
        <w:t xml:space="preserve">Abelson P. (2009). The Ranking of Economics Journals by the Economic Society of Australia. </w:t>
      </w:r>
      <w:r>
        <w:rPr>
          <w:i/>
          <w:iCs/>
        </w:rPr>
        <w:t>Economic Papers</w:t>
      </w:r>
      <w:r>
        <w:t>. 28(2)</w:t>
      </w:r>
      <w:r w:rsidR="006C2CC8">
        <w:t>,</w:t>
      </w:r>
      <w:r>
        <w:t xml:space="preserve"> 176-180.</w:t>
      </w:r>
    </w:p>
    <w:p w:rsidR="005218DD" w:rsidRDefault="009962B7" w:rsidP="006A19F7">
      <w:pPr>
        <w:spacing w:after="100" w:line="240" w:lineRule="auto"/>
        <w:ind w:left="426" w:hanging="426"/>
        <w:jc w:val="both"/>
      </w:pPr>
      <w:r w:rsidRPr="007F4DA6">
        <w:t xml:space="preserve">Adams J. (2008).  Strategic Review of the Performance-Based Research Fund: The Assessment Process. </w:t>
      </w:r>
      <w:r>
        <w:t xml:space="preserve"> Report Prepared for the TEC by Evidence Ltd. </w:t>
      </w:r>
    </w:p>
    <w:p w:rsidR="005218DD" w:rsidRDefault="005218DD" w:rsidP="006A19F7">
      <w:pPr>
        <w:spacing w:after="100" w:line="240" w:lineRule="auto"/>
        <w:ind w:left="426" w:hanging="426"/>
        <w:jc w:val="both"/>
      </w:pPr>
      <w:r>
        <w:t xml:space="preserve">Anderson, D. L and </w:t>
      </w:r>
      <w:r w:rsidR="006C2CC8">
        <w:t>T</w:t>
      </w:r>
      <w:r>
        <w:t>ressler</w:t>
      </w:r>
      <w:r w:rsidR="006C2CC8">
        <w:t>, J.</w:t>
      </w:r>
      <w:r>
        <w:t xml:space="preserve"> (2011).  Ranking Economics Departments in Terms of Residual Productivity: New Zealand Economics Departments, 200-2006.  </w:t>
      </w:r>
      <w:r w:rsidRPr="005218DD">
        <w:rPr>
          <w:i/>
        </w:rPr>
        <w:t>Australian Economic Papers</w:t>
      </w:r>
      <w:r w:rsidR="00CC0110">
        <w:rPr>
          <w:i/>
        </w:rPr>
        <w:t xml:space="preserve">.  </w:t>
      </w:r>
      <w:r w:rsidR="00CC0110">
        <w:t>50(4)</w:t>
      </w:r>
      <w:r w:rsidR="006C2CC8">
        <w:t>,</w:t>
      </w:r>
      <w:r w:rsidR="00CC0110">
        <w:t xml:space="preserve"> 157-168.</w:t>
      </w:r>
      <w:r>
        <w:t xml:space="preserve"> </w:t>
      </w:r>
    </w:p>
    <w:p w:rsidR="009962B7" w:rsidRDefault="009962B7" w:rsidP="006A19F7">
      <w:pPr>
        <w:spacing w:after="100" w:line="240" w:lineRule="auto"/>
        <w:ind w:left="426" w:hanging="426"/>
        <w:jc w:val="both"/>
      </w:pPr>
      <w:r>
        <w:t>Anderson, D.L. and Tressler</w:t>
      </w:r>
      <w:r w:rsidR="006C2CC8">
        <w:t>, J.</w:t>
      </w:r>
      <w:r>
        <w:t xml:space="preserve"> (2010).  The Merits of Using Citation-Based Journal Weighting Schemes to Measure Research Performance in Economics:  The Case of New Zealand.  Working Papers in Economics, 10/03, University of Waikato, Department of Economics, </w:t>
      </w:r>
      <w:hyperlink r:id="rId12" w:history="1">
        <w:r w:rsidRPr="005332D8">
          <w:rPr>
            <w:rStyle w:val="Hyperlink"/>
          </w:rPr>
          <w:t>www.repec.org</w:t>
        </w:r>
      </w:hyperlink>
      <w:r>
        <w:t>.</w:t>
      </w:r>
    </w:p>
    <w:p w:rsidR="008F1F4B" w:rsidRPr="00516094" w:rsidRDefault="008F1F4B" w:rsidP="006A19F7">
      <w:pPr>
        <w:spacing w:after="100" w:line="240" w:lineRule="auto"/>
        <w:ind w:left="426" w:hanging="426"/>
        <w:jc w:val="both"/>
      </w:pPr>
      <w:r>
        <w:lastRenderedPageBreak/>
        <w:t>Anderson, D.L. and Tressler</w:t>
      </w:r>
      <w:r w:rsidR="006C2CC8">
        <w:t>, J.</w:t>
      </w:r>
      <w:r>
        <w:t xml:space="preserve"> (2009).  </w:t>
      </w:r>
      <w:r w:rsidR="00516094">
        <w:t xml:space="preserve">The ‘Excellence in Research for Australia’ Scheme: A Test Drive of Draft Journal Weights with New Zealand Data.  </w:t>
      </w:r>
      <w:r w:rsidR="00516094" w:rsidRPr="00516094">
        <w:rPr>
          <w:i/>
        </w:rPr>
        <w:t>Agenda</w:t>
      </w:r>
      <w:r w:rsidR="00516094">
        <w:rPr>
          <w:i/>
        </w:rPr>
        <w:t xml:space="preserve">, </w:t>
      </w:r>
      <w:r w:rsidR="00516094" w:rsidRPr="00516094">
        <w:t>16(4)</w:t>
      </w:r>
      <w:r w:rsidR="006C2CC8">
        <w:t>,</w:t>
      </w:r>
      <w:r w:rsidR="00516094">
        <w:t xml:space="preserve"> 7-25.</w:t>
      </w:r>
    </w:p>
    <w:p w:rsidR="009962B7" w:rsidRDefault="009962B7" w:rsidP="006A19F7">
      <w:pPr>
        <w:spacing w:after="100" w:line="240" w:lineRule="auto"/>
        <w:ind w:left="426" w:hanging="426"/>
        <w:jc w:val="both"/>
      </w:pPr>
      <w:r>
        <w:t>Anderson, D.L. and Tressler</w:t>
      </w:r>
      <w:r w:rsidR="006C2CC8">
        <w:t>, J.</w:t>
      </w:r>
      <w:r>
        <w:t xml:space="preserve"> (2008).  Research Output in New Zealand Economics Departments 2000-2006.  </w:t>
      </w:r>
      <w:r w:rsidRPr="00230B23">
        <w:rPr>
          <w:i/>
          <w:iCs/>
        </w:rPr>
        <w:t>New Zealand Economic Papers</w:t>
      </w:r>
      <w:r>
        <w:rPr>
          <w:i/>
          <w:iCs/>
        </w:rPr>
        <w:t>,</w:t>
      </w:r>
      <w:r>
        <w:t xml:space="preserve"> 42</w:t>
      </w:r>
      <w:r w:rsidR="00516094">
        <w:t>(2)</w:t>
      </w:r>
      <w:r>
        <w:rPr>
          <w:b/>
        </w:rPr>
        <w:t>,</w:t>
      </w:r>
      <w:r>
        <w:t xml:space="preserve"> 155-189 </w:t>
      </w:r>
    </w:p>
    <w:p w:rsidR="009962B7" w:rsidRPr="0004070A" w:rsidRDefault="009962B7" w:rsidP="006A19F7">
      <w:pPr>
        <w:spacing w:after="100" w:line="240" w:lineRule="auto"/>
        <w:ind w:left="426" w:hanging="426"/>
        <w:rPr>
          <w:lang w:val="fr-FR"/>
        </w:rPr>
      </w:pPr>
      <w:proofErr w:type="spellStart"/>
      <w:r w:rsidRPr="00E85EAF">
        <w:t>Bauwens</w:t>
      </w:r>
      <w:proofErr w:type="spellEnd"/>
      <w:r w:rsidRPr="00E85EAF">
        <w:t>, L</w:t>
      </w:r>
      <w:r w:rsidR="006C2CC8">
        <w:t>.</w:t>
      </w:r>
      <w:r w:rsidRPr="00E85EAF">
        <w:t xml:space="preserve"> (1998)</w:t>
      </w:r>
      <w:r w:rsidR="006C2CC8">
        <w:t xml:space="preserve">.  </w:t>
      </w:r>
      <w:r w:rsidRPr="00E85EAF">
        <w:t>A New Method to Rank University Research and Researchers in Economics in Belgium</w:t>
      </w:r>
      <w:r w:rsidR="006C2CC8">
        <w:t>.</w:t>
      </w:r>
      <w:r w:rsidRPr="00E85EAF">
        <w:t xml:space="preserve"> </w:t>
      </w:r>
      <w:proofErr w:type="spellStart"/>
      <w:r w:rsidR="006C2CC8" w:rsidRPr="0004070A">
        <w:rPr>
          <w:lang w:val="fr-FR"/>
        </w:rPr>
        <w:t>U</w:t>
      </w:r>
      <w:r w:rsidRPr="0004070A">
        <w:rPr>
          <w:lang w:val="fr-FR"/>
        </w:rPr>
        <w:t>npublished</w:t>
      </w:r>
      <w:proofErr w:type="spellEnd"/>
      <w:r w:rsidRPr="0004070A">
        <w:rPr>
          <w:lang w:val="fr-FR"/>
        </w:rPr>
        <w:t xml:space="preserve"> </w:t>
      </w:r>
      <w:proofErr w:type="spellStart"/>
      <w:r w:rsidRPr="0004070A">
        <w:rPr>
          <w:lang w:val="fr-FR"/>
        </w:rPr>
        <w:t>paper</w:t>
      </w:r>
      <w:proofErr w:type="spellEnd"/>
      <w:r w:rsidRPr="0004070A">
        <w:rPr>
          <w:lang w:val="fr-FR"/>
        </w:rPr>
        <w:t xml:space="preserve">, CORE, </w:t>
      </w:r>
      <w:proofErr w:type="spellStart"/>
      <w:r w:rsidRPr="0004070A">
        <w:rPr>
          <w:lang w:val="fr-FR"/>
        </w:rPr>
        <w:t>Universite</w:t>
      </w:r>
      <w:proofErr w:type="spellEnd"/>
      <w:r w:rsidRPr="0004070A">
        <w:rPr>
          <w:lang w:val="fr-FR"/>
        </w:rPr>
        <w:t xml:space="preserve"> Catholique de Louvain, Louvain, </w:t>
      </w:r>
      <w:proofErr w:type="spellStart"/>
      <w:r w:rsidRPr="0004070A">
        <w:rPr>
          <w:lang w:val="fr-FR"/>
        </w:rPr>
        <w:t>Belgium</w:t>
      </w:r>
      <w:proofErr w:type="spellEnd"/>
      <w:r w:rsidRPr="0004070A">
        <w:rPr>
          <w:lang w:val="fr-FR"/>
        </w:rPr>
        <w:t>. (www.core.ucl.ac.be/econometrics/bauwens/rankings/method.doc)</w:t>
      </w:r>
    </w:p>
    <w:p w:rsidR="009962B7" w:rsidRDefault="009962B7" w:rsidP="006A19F7">
      <w:pPr>
        <w:spacing w:after="100" w:line="240" w:lineRule="auto"/>
        <w:ind w:left="426" w:hanging="426"/>
      </w:pPr>
      <w:r>
        <w:t xml:space="preserve">Chang, C.L., McAleer, </w:t>
      </w:r>
      <w:r w:rsidR="006C2CC8">
        <w:t xml:space="preserve">M. </w:t>
      </w:r>
      <w:r>
        <w:t>and</w:t>
      </w:r>
      <w:r w:rsidRPr="00301C3F">
        <w:t xml:space="preserve"> </w:t>
      </w:r>
      <w:r>
        <w:t>Oxley</w:t>
      </w:r>
      <w:r w:rsidR="006C2CC8">
        <w:t>, L.</w:t>
      </w:r>
      <w:r>
        <w:t xml:space="preserve"> (201</w:t>
      </w:r>
      <w:r w:rsidR="005218DD">
        <w:t>1</w:t>
      </w:r>
      <w:r>
        <w:t xml:space="preserve">).  What Makes a Great Journal Great in economics?  The Singer not the Song.  </w:t>
      </w:r>
      <w:r w:rsidRPr="005D6C2C">
        <w:rPr>
          <w:i/>
        </w:rPr>
        <w:t>Journal of Economic Surveys</w:t>
      </w:r>
      <w:r>
        <w:t>. 25(2)</w:t>
      </w:r>
      <w:r w:rsidR="006C2CC8">
        <w:t>,</w:t>
      </w:r>
      <w:r>
        <w:t xml:space="preserve"> 326-361.</w:t>
      </w:r>
    </w:p>
    <w:p w:rsidR="009962B7" w:rsidRDefault="009962B7" w:rsidP="006A19F7">
      <w:pPr>
        <w:spacing w:after="100" w:line="240" w:lineRule="auto"/>
        <w:ind w:left="426" w:hanging="426"/>
        <w:jc w:val="both"/>
      </w:pPr>
      <w:proofErr w:type="spellStart"/>
      <w:r w:rsidRPr="007F4DA6">
        <w:t>Franceschet</w:t>
      </w:r>
      <w:proofErr w:type="spellEnd"/>
      <w:r w:rsidRPr="007F4DA6">
        <w:t xml:space="preserve">, M. and </w:t>
      </w:r>
      <w:proofErr w:type="spellStart"/>
      <w:r w:rsidRPr="007F4DA6">
        <w:t>Costantino</w:t>
      </w:r>
      <w:proofErr w:type="spellEnd"/>
      <w:r w:rsidR="008400E2">
        <w:t xml:space="preserve">, A. </w:t>
      </w:r>
      <w:r w:rsidRPr="007F4DA6">
        <w:t xml:space="preserve">(2011). </w:t>
      </w:r>
      <w:r>
        <w:t xml:space="preserve">The First Italian Research Assessment Exercise: A </w:t>
      </w:r>
      <w:proofErr w:type="spellStart"/>
      <w:r>
        <w:t>Bibliometric</w:t>
      </w:r>
      <w:proofErr w:type="spellEnd"/>
      <w:r>
        <w:t xml:space="preserve"> Perspective. </w:t>
      </w:r>
      <w:r>
        <w:rPr>
          <w:i/>
          <w:iCs/>
        </w:rPr>
        <w:t xml:space="preserve">Journal of </w:t>
      </w:r>
      <w:proofErr w:type="spellStart"/>
      <w:r>
        <w:rPr>
          <w:i/>
          <w:iCs/>
        </w:rPr>
        <w:t>Informetrics</w:t>
      </w:r>
      <w:proofErr w:type="spellEnd"/>
      <w:r w:rsidR="002C3AFD">
        <w:rPr>
          <w:i/>
          <w:iCs/>
        </w:rPr>
        <w:t xml:space="preserve">. </w:t>
      </w:r>
      <w:r>
        <w:t xml:space="preserve"> 5</w:t>
      </w:r>
      <w:r w:rsidR="008400E2">
        <w:t>(</w:t>
      </w:r>
      <w:r w:rsidR="005E2242">
        <w:t>2</w:t>
      </w:r>
      <w:r w:rsidR="008400E2">
        <w:t xml:space="preserve">), </w:t>
      </w:r>
      <w:r>
        <w:t>275-291.</w:t>
      </w:r>
    </w:p>
    <w:p w:rsidR="009962B7" w:rsidRDefault="009962B7" w:rsidP="006A19F7">
      <w:pPr>
        <w:spacing w:after="100" w:line="240" w:lineRule="auto"/>
        <w:ind w:left="426" w:hanging="426"/>
        <w:jc w:val="both"/>
      </w:pPr>
      <w:r>
        <w:t>Geary J., Marriott</w:t>
      </w:r>
      <w:r w:rsidR="008400E2">
        <w:t>, L.</w:t>
      </w:r>
      <w:r>
        <w:t xml:space="preserve"> and </w:t>
      </w:r>
      <w:proofErr w:type="spellStart"/>
      <w:r>
        <w:t>Rowlinson</w:t>
      </w:r>
      <w:proofErr w:type="spellEnd"/>
      <w:r w:rsidR="008400E2">
        <w:t>, M.</w:t>
      </w:r>
      <w:r>
        <w:t xml:space="preserve"> (2004).  Journal Rankings in Business and Management and the 2001 Research Assessment Exercise in the UK. </w:t>
      </w:r>
      <w:r w:rsidR="008400E2">
        <w:t xml:space="preserve"> </w:t>
      </w:r>
      <w:r>
        <w:rPr>
          <w:i/>
          <w:iCs/>
        </w:rPr>
        <w:t>British Journal of Management</w:t>
      </w:r>
      <w:r>
        <w:t>. 15</w:t>
      </w:r>
      <w:r w:rsidR="008400E2">
        <w:t>(</w:t>
      </w:r>
      <w:r w:rsidR="005E2242">
        <w:t>2</w:t>
      </w:r>
      <w:r w:rsidR="008400E2">
        <w:t>),</w:t>
      </w:r>
      <w:r>
        <w:t xml:space="preserve"> 95-141.</w:t>
      </w:r>
    </w:p>
    <w:p w:rsidR="009962B7" w:rsidRPr="00E85EAF" w:rsidRDefault="009962B7" w:rsidP="006A19F7">
      <w:pPr>
        <w:spacing w:after="100" w:line="240" w:lineRule="auto"/>
        <w:ind w:left="426" w:hanging="426"/>
      </w:pPr>
      <w:r>
        <w:t>Gibson, J</w:t>
      </w:r>
      <w:r w:rsidR="008400E2">
        <w:t>.</w:t>
      </w:r>
      <w:r>
        <w:t xml:space="preserve"> (2000)</w:t>
      </w:r>
      <w:r w:rsidR="008400E2">
        <w:t xml:space="preserve">.  </w:t>
      </w:r>
      <w:r>
        <w:t>Research Productivity in New Zealand University Economics Departments: Comments and Update</w:t>
      </w:r>
      <w:r w:rsidR="008400E2">
        <w:t xml:space="preserve">. </w:t>
      </w:r>
      <w:r>
        <w:t xml:space="preserve"> </w:t>
      </w:r>
      <w:r w:rsidRPr="008B17C9">
        <w:rPr>
          <w:i/>
        </w:rPr>
        <w:t>New Zealand Economic Papers</w:t>
      </w:r>
      <w:r>
        <w:t>, 34(1), 73-87.</w:t>
      </w:r>
    </w:p>
    <w:p w:rsidR="009962B7" w:rsidRDefault="009962B7" w:rsidP="006A19F7">
      <w:pPr>
        <w:spacing w:after="100" w:line="240" w:lineRule="auto"/>
        <w:ind w:left="426" w:hanging="426"/>
      </w:pPr>
      <w:proofErr w:type="spellStart"/>
      <w:r w:rsidRPr="00E85EAF">
        <w:t>Kalaitzidakis</w:t>
      </w:r>
      <w:proofErr w:type="spellEnd"/>
      <w:r w:rsidRPr="00E85EAF">
        <w:t>, P</w:t>
      </w:r>
      <w:r>
        <w:t xml:space="preserve">., </w:t>
      </w:r>
      <w:proofErr w:type="spellStart"/>
      <w:r w:rsidRPr="00E85EAF">
        <w:t>Mamuneas</w:t>
      </w:r>
      <w:proofErr w:type="spellEnd"/>
      <w:r w:rsidRPr="00E85EAF">
        <w:t xml:space="preserve">, </w:t>
      </w:r>
      <w:r w:rsidR="008400E2">
        <w:t xml:space="preserve">T. </w:t>
      </w:r>
      <w:r w:rsidRPr="00E85EAF">
        <w:t xml:space="preserve">and </w:t>
      </w:r>
      <w:proofErr w:type="spellStart"/>
      <w:r w:rsidRPr="00E85EAF">
        <w:t>Stengos</w:t>
      </w:r>
      <w:proofErr w:type="spellEnd"/>
      <w:r w:rsidR="008400E2">
        <w:t>, T.</w:t>
      </w:r>
      <w:r w:rsidRPr="00E85EAF">
        <w:t xml:space="preserve"> (2003)</w:t>
      </w:r>
      <w:r>
        <w:t xml:space="preserve">.   </w:t>
      </w:r>
      <w:r w:rsidRPr="00E85EAF">
        <w:t>Rankings of Academic Journals and Institutions in Economics</w:t>
      </w:r>
      <w:r>
        <w:t xml:space="preserve">.  </w:t>
      </w:r>
      <w:r w:rsidRPr="00E85EAF">
        <w:rPr>
          <w:i/>
        </w:rPr>
        <w:t>Journal of the European Economic Association</w:t>
      </w:r>
      <w:r w:rsidRPr="00E85EAF">
        <w:t xml:space="preserve"> 1(6)</w:t>
      </w:r>
      <w:r w:rsidR="008400E2">
        <w:t>,</w:t>
      </w:r>
      <w:r>
        <w:t xml:space="preserve"> </w:t>
      </w:r>
      <w:r w:rsidRPr="00E85EAF">
        <w:t>1346-1366.</w:t>
      </w:r>
    </w:p>
    <w:p w:rsidR="009962B7" w:rsidRDefault="009962B7" w:rsidP="006A19F7">
      <w:pPr>
        <w:spacing w:after="100" w:line="240" w:lineRule="auto"/>
        <w:ind w:left="426" w:hanging="426"/>
      </w:pPr>
      <w:proofErr w:type="spellStart"/>
      <w:r>
        <w:t>Kalaitzidakis</w:t>
      </w:r>
      <w:proofErr w:type="spellEnd"/>
      <w:r>
        <w:t xml:space="preserve">, P., </w:t>
      </w:r>
      <w:proofErr w:type="spellStart"/>
      <w:r>
        <w:t>Mamuneas</w:t>
      </w:r>
      <w:proofErr w:type="spellEnd"/>
      <w:r>
        <w:t xml:space="preserve">, </w:t>
      </w:r>
      <w:r w:rsidR="008400E2">
        <w:t xml:space="preserve">T. </w:t>
      </w:r>
      <w:r>
        <w:t xml:space="preserve">and </w:t>
      </w:r>
      <w:proofErr w:type="spellStart"/>
      <w:r>
        <w:t>Stengos</w:t>
      </w:r>
      <w:proofErr w:type="spellEnd"/>
      <w:r w:rsidR="008400E2">
        <w:t>, T.</w:t>
      </w:r>
      <w:r>
        <w:t xml:space="preserve"> (2010).  An Updated Ranking of Academic Journals in Economics.  Working Paper 9/2010, Economics Department, University of Guelph, Guelph, Canada.</w:t>
      </w:r>
    </w:p>
    <w:p w:rsidR="009962B7" w:rsidRDefault="009962B7" w:rsidP="006A19F7">
      <w:pPr>
        <w:spacing w:after="100" w:line="240" w:lineRule="auto"/>
        <w:ind w:left="426" w:hanging="426"/>
      </w:pPr>
      <w:proofErr w:type="spellStart"/>
      <w:r w:rsidRPr="008476A7">
        <w:t>Kodrzycki</w:t>
      </w:r>
      <w:proofErr w:type="spellEnd"/>
      <w:r w:rsidRPr="008476A7">
        <w:t>, Y</w:t>
      </w:r>
      <w:r>
        <w:t xml:space="preserve">.K. </w:t>
      </w:r>
      <w:r w:rsidRPr="008476A7">
        <w:t>and Yu</w:t>
      </w:r>
      <w:r w:rsidR="008400E2">
        <w:t>, P.</w:t>
      </w:r>
      <w:r w:rsidRPr="008476A7">
        <w:t xml:space="preserve"> (2006)</w:t>
      </w:r>
      <w:r w:rsidR="00CC0110">
        <w:t>.</w:t>
      </w:r>
      <w:r w:rsidRPr="008476A7">
        <w:t xml:space="preserve"> </w:t>
      </w:r>
      <w:r>
        <w:t xml:space="preserve">  </w:t>
      </w:r>
      <w:r w:rsidRPr="008476A7">
        <w:t>New Approaches to Ranking economics Journals</w:t>
      </w:r>
      <w:r>
        <w:t xml:space="preserve">.  </w:t>
      </w:r>
      <w:r w:rsidRPr="008476A7">
        <w:rPr>
          <w:i/>
        </w:rPr>
        <w:t>B.E. Journal of Economic Analysis and Policy: Contributions to Economic Analysis and Policy</w:t>
      </w:r>
      <w:r>
        <w:rPr>
          <w:i/>
        </w:rPr>
        <w:t xml:space="preserve"> </w:t>
      </w:r>
      <w:r w:rsidRPr="008476A7">
        <w:t xml:space="preserve"> 5(1), Article 24.  </w:t>
      </w:r>
    </w:p>
    <w:p w:rsidR="009962B7" w:rsidRPr="008476A7" w:rsidRDefault="009962B7" w:rsidP="006A19F7">
      <w:pPr>
        <w:spacing w:after="100" w:line="240" w:lineRule="auto"/>
        <w:ind w:left="426" w:hanging="426"/>
      </w:pPr>
      <w:proofErr w:type="spellStart"/>
      <w:r w:rsidRPr="008476A7">
        <w:t>Laband</w:t>
      </w:r>
      <w:proofErr w:type="spellEnd"/>
      <w:r w:rsidRPr="008476A7">
        <w:t>, D</w:t>
      </w:r>
      <w:r>
        <w:t>.</w:t>
      </w:r>
      <w:r w:rsidRPr="008476A7">
        <w:t xml:space="preserve"> and </w:t>
      </w:r>
      <w:proofErr w:type="spellStart"/>
      <w:r w:rsidRPr="008476A7">
        <w:t>Piette</w:t>
      </w:r>
      <w:proofErr w:type="spellEnd"/>
      <w:r w:rsidR="008400E2">
        <w:t>, M.</w:t>
      </w:r>
      <w:r w:rsidRPr="008476A7">
        <w:t xml:space="preserve"> (1994)</w:t>
      </w:r>
      <w:r w:rsidR="00CC0110">
        <w:t>.</w:t>
      </w:r>
      <w:r>
        <w:t xml:space="preserve"> </w:t>
      </w:r>
      <w:r w:rsidRPr="008476A7">
        <w:t xml:space="preserve"> The Relative Impact of Economics Journals</w:t>
      </w:r>
      <w:r>
        <w:t>.</w:t>
      </w:r>
      <w:r w:rsidRPr="008476A7">
        <w:t xml:space="preserve"> </w:t>
      </w:r>
      <w:r w:rsidR="008400E2">
        <w:t xml:space="preserve"> </w:t>
      </w:r>
      <w:r w:rsidRPr="008476A7">
        <w:rPr>
          <w:i/>
          <w:iCs/>
        </w:rPr>
        <w:t>Journal of</w:t>
      </w:r>
      <w:r w:rsidRPr="00E85EAF">
        <w:rPr>
          <w:i/>
          <w:iCs/>
        </w:rPr>
        <w:t xml:space="preserve"> Economic Literature</w:t>
      </w:r>
      <w:r>
        <w:rPr>
          <w:i/>
          <w:iCs/>
        </w:rPr>
        <w:t>,</w:t>
      </w:r>
      <w:r w:rsidRPr="00E85EAF">
        <w:t xml:space="preserve"> </w:t>
      </w:r>
      <w:r>
        <w:t>32</w:t>
      </w:r>
      <w:r w:rsidR="00435DD7">
        <w:t>(</w:t>
      </w:r>
      <w:r w:rsidR="005E2242">
        <w:t>2</w:t>
      </w:r>
      <w:r w:rsidR="00435DD7">
        <w:t>)</w:t>
      </w:r>
      <w:r>
        <w:rPr>
          <w:b/>
        </w:rPr>
        <w:t xml:space="preserve">, </w:t>
      </w:r>
      <w:r w:rsidRPr="00E85EAF">
        <w:t>640-666.</w:t>
      </w:r>
    </w:p>
    <w:p w:rsidR="009962B7" w:rsidRDefault="009962B7" w:rsidP="006A19F7">
      <w:pPr>
        <w:spacing w:after="100" w:line="240" w:lineRule="auto"/>
        <w:ind w:left="426" w:hanging="426"/>
      </w:pPr>
      <w:proofErr w:type="spellStart"/>
      <w:r w:rsidRPr="00E85EAF">
        <w:t>Liebowitz</w:t>
      </w:r>
      <w:proofErr w:type="spellEnd"/>
      <w:r w:rsidRPr="00E85EAF">
        <w:t>, S.J. and Palmer</w:t>
      </w:r>
      <w:r w:rsidR="00435DD7">
        <w:t>, J.P.</w:t>
      </w:r>
      <w:r w:rsidRPr="00E85EAF">
        <w:t xml:space="preserve"> (1984)</w:t>
      </w:r>
      <w:r w:rsidR="00CC0110">
        <w:t>.</w:t>
      </w:r>
      <w:r>
        <w:t xml:space="preserve">   </w:t>
      </w:r>
      <w:r w:rsidRPr="00E85EAF">
        <w:t>Assessing the Relative Impact of Economics Journals</w:t>
      </w:r>
      <w:r>
        <w:t xml:space="preserve">.  </w:t>
      </w:r>
      <w:r w:rsidRPr="00E85EAF">
        <w:rPr>
          <w:i/>
        </w:rPr>
        <w:t>Journal of Economic Literature</w:t>
      </w:r>
      <w:r w:rsidRPr="00E85EAF">
        <w:t xml:space="preserve"> 22</w:t>
      </w:r>
      <w:r>
        <w:t>(1)</w:t>
      </w:r>
      <w:r w:rsidR="00435DD7">
        <w:t>,</w:t>
      </w:r>
      <w:r>
        <w:t xml:space="preserve"> </w:t>
      </w:r>
      <w:r w:rsidRPr="00E85EAF">
        <w:t xml:space="preserve">77-88. </w:t>
      </w:r>
    </w:p>
    <w:p w:rsidR="009962B7" w:rsidRDefault="009962B7" w:rsidP="006A19F7">
      <w:pPr>
        <w:spacing w:after="100" w:line="240" w:lineRule="auto"/>
        <w:ind w:left="426" w:hanging="426"/>
      </w:pPr>
      <w:proofErr w:type="spellStart"/>
      <w:r>
        <w:t>Macri</w:t>
      </w:r>
      <w:proofErr w:type="spellEnd"/>
      <w:r>
        <w:t>, J. and Sinha</w:t>
      </w:r>
      <w:r w:rsidR="00435DD7">
        <w:t>, D.</w:t>
      </w:r>
      <w:r>
        <w:t xml:space="preserve"> (2006).  Rankings Methodology for International Comparisons of Institutions and Individuals: An Application Economics in Australia and New Zealand.  </w:t>
      </w:r>
      <w:r w:rsidRPr="00126361">
        <w:rPr>
          <w:i/>
        </w:rPr>
        <w:t>Journal of Economic Surveys</w:t>
      </w:r>
      <w:r>
        <w:t>.  20(1)</w:t>
      </w:r>
      <w:r w:rsidR="00435DD7">
        <w:t>,</w:t>
      </w:r>
      <w:r>
        <w:t xml:space="preserve"> 111-156.</w:t>
      </w:r>
    </w:p>
    <w:p w:rsidR="009962B7" w:rsidRDefault="009962B7" w:rsidP="006A19F7">
      <w:pPr>
        <w:spacing w:after="100" w:line="240" w:lineRule="auto"/>
        <w:ind w:left="426" w:hanging="426"/>
      </w:pPr>
      <w:r w:rsidRPr="00E85EAF">
        <w:t>Mason, P</w:t>
      </w:r>
      <w:r w:rsidR="00435DD7">
        <w:t>.</w:t>
      </w:r>
      <w:r w:rsidRPr="00E85EAF">
        <w:t xml:space="preserve">, </w:t>
      </w:r>
      <w:proofErr w:type="spellStart"/>
      <w:r w:rsidRPr="00E85EAF">
        <w:t>Steagal</w:t>
      </w:r>
      <w:r>
        <w:t>l</w:t>
      </w:r>
      <w:proofErr w:type="spellEnd"/>
      <w:r w:rsidR="00435DD7">
        <w:t>, J.</w:t>
      </w:r>
      <w:r>
        <w:t xml:space="preserve"> and </w:t>
      </w:r>
      <w:proofErr w:type="spellStart"/>
      <w:r>
        <w:t>Fabritius</w:t>
      </w:r>
      <w:proofErr w:type="spellEnd"/>
      <w:r w:rsidR="00435DD7">
        <w:t>, M.</w:t>
      </w:r>
      <w:r>
        <w:t xml:space="preserve"> (1997)</w:t>
      </w:r>
      <w:r w:rsidR="00CC0110">
        <w:t xml:space="preserve">. </w:t>
      </w:r>
      <w:r w:rsidRPr="00E85EAF">
        <w:t xml:space="preserve"> Economics Journal Rankings by Type of School: Perceptions Versus Citations, </w:t>
      </w:r>
      <w:r w:rsidRPr="00E85EAF">
        <w:rPr>
          <w:i/>
        </w:rPr>
        <w:t>Quarterly Journal of Business and Economics</w:t>
      </w:r>
      <w:r w:rsidRPr="00E85EAF">
        <w:t>, 36(1), 69-79.</w:t>
      </w:r>
    </w:p>
    <w:p w:rsidR="009962B7" w:rsidRDefault="009962B7" w:rsidP="006A19F7">
      <w:pPr>
        <w:spacing w:after="100" w:line="240" w:lineRule="auto"/>
        <w:ind w:left="426" w:hanging="426"/>
        <w:jc w:val="both"/>
      </w:pPr>
      <w:r>
        <w:t>Mingers, J., Watson</w:t>
      </w:r>
      <w:r w:rsidR="00435DD7">
        <w:t>, K.</w:t>
      </w:r>
      <w:r>
        <w:t xml:space="preserve"> and </w:t>
      </w:r>
      <w:proofErr w:type="spellStart"/>
      <w:r>
        <w:t>Scaparra</w:t>
      </w:r>
      <w:proofErr w:type="spellEnd"/>
      <w:r w:rsidR="00435DD7">
        <w:t>, P.</w:t>
      </w:r>
      <w:r>
        <w:t xml:space="preserve"> (2009). Estimating Business and Management Journal Quality from the 2008 Research Assessment Exercise in the UK. Working Paper No. 205, Kent Business School, United </w:t>
      </w:r>
      <w:proofErr w:type="spellStart"/>
      <w:r>
        <w:t>Kingdon</w:t>
      </w:r>
      <w:proofErr w:type="spellEnd"/>
      <w:r>
        <w:t>.</w:t>
      </w:r>
    </w:p>
    <w:p w:rsidR="009962B7" w:rsidRPr="000E4847" w:rsidRDefault="009962B7" w:rsidP="006A19F7">
      <w:pPr>
        <w:spacing w:after="100" w:line="240" w:lineRule="auto"/>
        <w:ind w:left="426" w:hanging="426"/>
        <w:jc w:val="both"/>
      </w:pPr>
      <w:r>
        <w:t>Norris, M. and Oppenheim</w:t>
      </w:r>
      <w:r w:rsidR="00435DD7">
        <w:t>, C.</w:t>
      </w:r>
      <w:r>
        <w:t xml:space="preserve"> (2003).  Citation Counts and the Research Assessment Exercise V: Archaeology and the 2001 RAE.  </w:t>
      </w:r>
      <w:r w:rsidRPr="000C3651">
        <w:rPr>
          <w:i/>
          <w:iCs/>
        </w:rPr>
        <w:t xml:space="preserve">Journal of </w:t>
      </w:r>
      <w:r w:rsidR="00CC0110" w:rsidRPr="000C3651">
        <w:rPr>
          <w:i/>
          <w:iCs/>
        </w:rPr>
        <w:t>Document</w:t>
      </w:r>
      <w:r w:rsidR="00CC0110">
        <w:rPr>
          <w:i/>
          <w:iCs/>
        </w:rPr>
        <w:t>ation</w:t>
      </w:r>
      <w:r>
        <w:t>, 59(6)</w:t>
      </w:r>
      <w:r w:rsidR="00435DD7">
        <w:t>,</w:t>
      </w:r>
      <w:r>
        <w:t xml:space="preserve"> 709-730</w:t>
      </w:r>
    </w:p>
    <w:p w:rsidR="009962B7" w:rsidRDefault="009962B7" w:rsidP="006A19F7">
      <w:pPr>
        <w:spacing w:after="100" w:line="240" w:lineRule="auto"/>
        <w:ind w:left="426" w:hanging="426"/>
        <w:jc w:val="both"/>
      </w:pPr>
      <w:r>
        <w:t xml:space="preserve">OECD (2010). Performance-based Funding for Public Research in Tertiary Education Institutions. Workshop </w:t>
      </w:r>
      <w:r w:rsidR="00CC0110">
        <w:t>Proceedings</w:t>
      </w:r>
      <w:r>
        <w:t xml:space="preserve">, OECD Publishing, </w:t>
      </w:r>
      <w:hyperlink r:id="rId13" w:history="1">
        <w:r w:rsidRPr="005332D8">
          <w:rPr>
            <w:rStyle w:val="Hyperlink"/>
          </w:rPr>
          <w:t>http://dx.doi.org/10.1787/9789264094611-en</w:t>
        </w:r>
      </w:hyperlink>
      <w:r>
        <w:t xml:space="preserve"> </w:t>
      </w:r>
    </w:p>
    <w:p w:rsidR="009962B7" w:rsidRDefault="009962B7" w:rsidP="006A19F7">
      <w:pPr>
        <w:spacing w:after="100" w:line="240" w:lineRule="auto"/>
        <w:ind w:left="426" w:hanging="426"/>
      </w:pPr>
      <w:r w:rsidRPr="00E85EAF">
        <w:t>Sinha, D</w:t>
      </w:r>
      <w:r w:rsidR="00435DD7">
        <w:t>.</w:t>
      </w:r>
      <w:r>
        <w:t xml:space="preserve"> and </w:t>
      </w:r>
      <w:proofErr w:type="spellStart"/>
      <w:r>
        <w:t>Macri</w:t>
      </w:r>
      <w:proofErr w:type="spellEnd"/>
      <w:r w:rsidR="00435DD7">
        <w:t>, J.</w:t>
      </w:r>
      <w:r>
        <w:t xml:space="preserve"> (2002)</w:t>
      </w:r>
      <w:r w:rsidR="00CC0110">
        <w:t>.</w:t>
      </w:r>
      <w:r w:rsidRPr="00E85EAF">
        <w:t xml:space="preserve"> Rankings of Australian Economics Departments, 1988-2000, </w:t>
      </w:r>
      <w:r w:rsidRPr="00E85EAF">
        <w:rPr>
          <w:i/>
        </w:rPr>
        <w:t>Economic Record</w:t>
      </w:r>
      <w:r w:rsidRPr="00E85EAF">
        <w:t>, 78</w:t>
      </w:r>
      <w:r>
        <w:t>(241)</w:t>
      </w:r>
      <w:r w:rsidRPr="00E85EAF">
        <w:t>, 136-146.</w:t>
      </w:r>
    </w:p>
    <w:p w:rsidR="00257243" w:rsidRDefault="005972F7" w:rsidP="008B0D6D">
      <w:pPr>
        <w:spacing w:after="100" w:line="240" w:lineRule="auto"/>
        <w:ind w:left="426" w:hanging="426"/>
      </w:pPr>
      <w:r>
        <w:t xml:space="preserve">Smart, W. (2007). Quality </w:t>
      </w:r>
      <w:proofErr w:type="spellStart"/>
      <w:r>
        <w:t>vs</w:t>
      </w:r>
      <w:proofErr w:type="spellEnd"/>
      <w:r>
        <w:t xml:space="preserve"> impact: A comparison of Performance-Based Research Fund quality scores with citations, Ministry of Education, Wellington.</w:t>
      </w:r>
    </w:p>
    <w:sectPr w:rsidR="00257243" w:rsidSect="006A19F7">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5C0" w:rsidRDefault="007055C0" w:rsidP="00631861">
      <w:pPr>
        <w:spacing w:after="0" w:line="240" w:lineRule="auto"/>
      </w:pPr>
      <w:r>
        <w:separator/>
      </w:r>
    </w:p>
  </w:endnote>
  <w:endnote w:type="continuationSeparator" w:id="0">
    <w:p w:rsidR="007055C0" w:rsidRDefault="007055C0" w:rsidP="00631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547"/>
      <w:docPartObj>
        <w:docPartGallery w:val="Page Numbers (Bottom of Page)"/>
        <w:docPartUnique/>
      </w:docPartObj>
    </w:sdtPr>
    <w:sdtContent>
      <w:p w:rsidR="00AF47B4" w:rsidRDefault="00AF47B4">
        <w:pPr>
          <w:pStyle w:val="Footer"/>
          <w:jc w:val="center"/>
        </w:pPr>
        <w:fldSimple w:instr=" PAGE   \* MERGEFORMAT ">
          <w:r w:rsidR="005C61F9">
            <w:rPr>
              <w:noProof/>
            </w:rPr>
            <w:t>18</w:t>
          </w:r>
        </w:fldSimple>
      </w:p>
    </w:sdtContent>
  </w:sdt>
  <w:p w:rsidR="00AF47B4" w:rsidRDefault="00AF47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5C0" w:rsidRDefault="007055C0" w:rsidP="00631861">
      <w:pPr>
        <w:spacing w:after="0" w:line="240" w:lineRule="auto"/>
      </w:pPr>
      <w:r>
        <w:separator/>
      </w:r>
    </w:p>
  </w:footnote>
  <w:footnote w:type="continuationSeparator" w:id="0">
    <w:p w:rsidR="007055C0" w:rsidRDefault="007055C0" w:rsidP="00631861">
      <w:pPr>
        <w:spacing w:after="0" w:line="240" w:lineRule="auto"/>
      </w:pPr>
      <w:r>
        <w:continuationSeparator/>
      </w:r>
    </w:p>
  </w:footnote>
  <w:footnote w:id="1">
    <w:p w:rsidR="00AF47B4" w:rsidRDefault="00AF47B4" w:rsidP="006A19F7">
      <w:pPr>
        <w:pStyle w:val="FootnoteText"/>
        <w:ind w:left="284" w:hanging="284"/>
      </w:pPr>
      <w:r>
        <w:rPr>
          <w:rStyle w:val="FootnoteReference"/>
        </w:rPr>
        <w:footnoteRef/>
      </w:r>
      <w:r>
        <w:t xml:space="preserve"> </w:t>
      </w:r>
      <w:r w:rsidR="006A19F7">
        <w:tab/>
      </w:r>
      <w:r>
        <w:t>For an international review see OECD (2010).  For review of PBRF see Evidence (2008)</w:t>
      </w:r>
    </w:p>
  </w:footnote>
  <w:footnote w:id="2">
    <w:p w:rsidR="00AF47B4" w:rsidRDefault="00AF47B4" w:rsidP="006A19F7">
      <w:pPr>
        <w:pStyle w:val="FootnoteText"/>
        <w:ind w:left="284" w:hanging="284"/>
      </w:pPr>
      <w:r>
        <w:rPr>
          <w:rStyle w:val="FootnoteReference"/>
        </w:rPr>
        <w:footnoteRef/>
      </w:r>
      <w:r>
        <w:t xml:space="preserve"> </w:t>
      </w:r>
      <w:r w:rsidR="006A19F7">
        <w:tab/>
      </w:r>
      <w:r>
        <w:t xml:space="preserve">There are also a number of studies of the relationship between citations and RAE outcomes, see e.g. Norris and Oppenheim (2003).  </w:t>
      </w:r>
      <w:proofErr w:type="spellStart"/>
      <w:r>
        <w:t>Franceschet</w:t>
      </w:r>
      <w:proofErr w:type="spellEnd"/>
      <w:r>
        <w:t xml:space="preserve"> and </w:t>
      </w:r>
      <w:proofErr w:type="spellStart"/>
      <w:r>
        <w:t>Costantini</w:t>
      </w:r>
      <w:proofErr w:type="spellEnd"/>
      <w:r>
        <w:t xml:space="preserve"> (2011) look at the relationship between various citation based research quality measures and outcomes from the first Italian research assessment exercise.</w:t>
      </w:r>
    </w:p>
  </w:footnote>
  <w:footnote w:id="3">
    <w:p w:rsidR="00AF47B4" w:rsidRDefault="00AF47B4" w:rsidP="005C61F9">
      <w:pPr>
        <w:pStyle w:val="FootnoteText"/>
        <w:ind w:left="284" w:hanging="284"/>
        <w:jc w:val="both"/>
      </w:pPr>
      <w:r>
        <w:rPr>
          <w:rStyle w:val="FootnoteReference"/>
        </w:rPr>
        <w:footnoteRef/>
      </w:r>
      <w:r>
        <w:t xml:space="preserve"> </w:t>
      </w:r>
      <w:r w:rsidR="006A19F7">
        <w:tab/>
      </w:r>
      <w:r>
        <w:t>The maximum number of journal articles published by an individual in our sample is 32.  Thus the limit of 34 research contributions should not have significantly limited the ability of researchers to list relevant journal based research outputs.</w:t>
      </w:r>
    </w:p>
  </w:footnote>
  <w:footnote w:id="4">
    <w:p w:rsidR="00AF47B4" w:rsidRDefault="00AF47B4" w:rsidP="005C61F9">
      <w:pPr>
        <w:pStyle w:val="FootnoteText"/>
        <w:ind w:left="284" w:hanging="284"/>
        <w:jc w:val="both"/>
      </w:pPr>
      <w:r>
        <w:rPr>
          <w:rStyle w:val="FootnoteReference"/>
        </w:rPr>
        <w:footnoteRef/>
      </w:r>
      <w:r>
        <w:t xml:space="preserve"> </w:t>
      </w:r>
      <w:r w:rsidR="006A19F7">
        <w:tab/>
      </w:r>
      <w:r>
        <w:t>Since only integer scores were recorded it could be argued that the scores only represented ordinal assessments.  However, PBRF procedures weight individual scores and manipulate them using standard arithmetic operations implying that they are treated as cardinal assessments.</w:t>
      </w:r>
    </w:p>
  </w:footnote>
  <w:footnote w:id="5">
    <w:p w:rsidR="00AF47B4" w:rsidRDefault="00AF47B4" w:rsidP="005C61F9">
      <w:pPr>
        <w:pStyle w:val="FootnoteText"/>
        <w:ind w:left="284" w:hanging="284"/>
        <w:jc w:val="both"/>
      </w:pPr>
      <w:r>
        <w:rPr>
          <w:rStyle w:val="FootnoteReference"/>
        </w:rPr>
        <w:footnoteRef/>
      </w:r>
      <w:r>
        <w:t xml:space="preserve"> </w:t>
      </w:r>
      <w:r w:rsidR="006A19F7">
        <w:tab/>
      </w:r>
      <w:r>
        <w:t>Performance Based Research Fund: Quality Evaluation guidelines, June 2011, Tertiary Education Commission, p. 104.</w:t>
      </w:r>
    </w:p>
  </w:footnote>
  <w:footnote w:id="6">
    <w:p w:rsidR="00AF47B4" w:rsidRDefault="00AF47B4" w:rsidP="005C61F9">
      <w:pPr>
        <w:pStyle w:val="FootnoteText"/>
        <w:ind w:left="284" w:hanging="284"/>
        <w:jc w:val="both"/>
      </w:pPr>
      <w:r>
        <w:rPr>
          <w:rStyle w:val="FootnoteReference"/>
        </w:rPr>
        <w:footnoteRef/>
      </w:r>
      <w:r>
        <w:t xml:space="preserve"> </w:t>
      </w:r>
      <w:r w:rsidR="006A19F7">
        <w:tab/>
      </w:r>
      <w:r>
        <w:t xml:space="preserve">For further details on PBRF see </w:t>
      </w:r>
      <w:hyperlink r:id="rId1" w:history="1">
        <w:r w:rsidRPr="005903AE">
          <w:rPr>
            <w:rStyle w:val="Hyperlink"/>
          </w:rPr>
          <w:t>www.tec.govt.nz/Funding/Fund-finder/Performance-Based-Research-Fund-PBRF-/Resources/</w:t>
        </w:r>
      </w:hyperlink>
      <w:r>
        <w:t xml:space="preserve"> .  An application was made to the Tertiary Education Commission for access to PBRF data.  Only Warren Smart had access to this data.</w:t>
      </w:r>
    </w:p>
  </w:footnote>
  <w:footnote w:id="7">
    <w:p w:rsidR="00AF47B4" w:rsidRDefault="00AF47B4" w:rsidP="005C61F9">
      <w:pPr>
        <w:pStyle w:val="FootnoteText"/>
        <w:ind w:left="284" w:hanging="284"/>
        <w:jc w:val="both"/>
      </w:pPr>
      <w:r>
        <w:rPr>
          <w:rStyle w:val="FootnoteReference"/>
        </w:rPr>
        <w:footnoteRef/>
      </w:r>
      <w:r>
        <w:t xml:space="preserve"> </w:t>
      </w:r>
      <w:r w:rsidR="006A19F7">
        <w:tab/>
      </w:r>
      <w:r>
        <w:t>If all academic staff is included, there were 139 in the April 2007 census, 122 matched PBRF data, including 81 who submitted a new portfolio in 2006 and 41 who carried over portfolios from 2003.</w:t>
      </w:r>
    </w:p>
  </w:footnote>
  <w:footnote w:id="8">
    <w:p w:rsidR="00AF47B4" w:rsidRDefault="00AF47B4" w:rsidP="005C61F9">
      <w:pPr>
        <w:pStyle w:val="FootnoteText"/>
        <w:ind w:left="284" w:hanging="284"/>
        <w:jc w:val="both"/>
      </w:pPr>
      <w:r>
        <w:rPr>
          <w:rStyle w:val="FootnoteReference"/>
        </w:rPr>
        <w:footnoteRef/>
      </w:r>
      <w:r>
        <w:t xml:space="preserve"> </w:t>
      </w:r>
      <w:r w:rsidR="006A19F7">
        <w:tab/>
      </w:r>
      <w:r>
        <w:t xml:space="preserve">This conversion is made using page correction factors for over 500 journals provided by J. </w:t>
      </w:r>
      <w:proofErr w:type="spellStart"/>
      <w:r>
        <w:t>Macri</w:t>
      </w:r>
      <w:proofErr w:type="spellEnd"/>
      <w:r>
        <w:t xml:space="preserve"> and D. Sinha.  For journals not covered we use a conversion factor of 0.72 as suggested by Gibson (2000).  For details of the page conversion procedure use see Sinha and </w:t>
      </w:r>
      <w:proofErr w:type="spellStart"/>
      <w:r>
        <w:t>Macri</w:t>
      </w:r>
      <w:proofErr w:type="spellEnd"/>
      <w:r>
        <w:t xml:space="preserve"> (2002).  </w:t>
      </w:r>
    </w:p>
  </w:footnote>
  <w:footnote w:id="9">
    <w:p w:rsidR="00AF47B4" w:rsidRDefault="00AF47B4" w:rsidP="006A19F7">
      <w:pPr>
        <w:pStyle w:val="FootnoteText"/>
        <w:ind w:left="284" w:hanging="284"/>
      </w:pPr>
      <w:r>
        <w:rPr>
          <w:rStyle w:val="FootnoteReference"/>
        </w:rPr>
        <w:footnoteRef/>
      </w:r>
      <w:r>
        <w:t xml:space="preserve"> </w:t>
      </w:r>
      <w:r w:rsidR="006A19F7">
        <w:tab/>
      </w:r>
      <w:r>
        <w:t xml:space="preserve">We use the </w:t>
      </w:r>
      <w:r w:rsidRPr="00C56DF5">
        <w:rPr>
          <w:i/>
          <w:iCs/>
        </w:rPr>
        <w:t>Economic Record</w:t>
      </w:r>
      <w:r>
        <w:t xml:space="preserve"> as a number of these schemes did not rank the </w:t>
      </w:r>
      <w:r w:rsidRPr="009D4FDB">
        <w:rPr>
          <w:i/>
          <w:iCs/>
        </w:rPr>
        <w:t>New Zealand Economic Papers</w:t>
      </w:r>
      <w:r>
        <w:t>.</w:t>
      </w:r>
    </w:p>
  </w:footnote>
  <w:footnote w:id="10">
    <w:p w:rsidR="00AF47B4" w:rsidRDefault="00AF47B4" w:rsidP="005C61F9">
      <w:pPr>
        <w:pStyle w:val="FootnoteText"/>
        <w:ind w:left="284" w:hanging="284"/>
        <w:jc w:val="both"/>
      </w:pPr>
      <w:r>
        <w:rPr>
          <w:rStyle w:val="FootnoteReference"/>
        </w:rPr>
        <w:footnoteRef/>
      </w:r>
      <w:r>
        <w:t xml:space="preserve"> </w:t>
      </w:r>
      <w:r w:rsidR="006C5D17">
        <w:tab/>
      </w:r>
      <w:r>
        <w:t>Copies of these nominated research outputs are also available to peer-review teams.</w:t>
      </w:r>
    </w:p>
  </w:footnote>
  <w:footnote w:id="11">
    <w:p w:rsidR="00AF47B4" w:rsidRDefault="00AF47B4" w:rsidP="005C61F9">
      <w:pPr>
        <w:pStyle w:val="FootnoteText"/>
        <w:ind w:left="284" w:hanging="284"/>
        <w:jc w:val="both"/>
      </w:pPr>
      <w:r>
        <w:rPr>
          <w:rStyle w:val="FootnoteReference"/>
        </w:rPr>
        <w:footnoteRef/>
      </w:r>
      <w:r>
        <w:t xml:space="preserve"> </w:t>
      </w:r>
      <w:r w:rsidR="006C5D17">
        <w:tab/>
      </w:r>
      <w:r>
        <w:t>Since we have compared research assessment only for those judged to be research active on the basis of journal publications, the impact of this difference is reduced.</w:t>
      </w:r>
    </w:p>
  </w:footnote>
  <w:footnote w:id="12">
    <w:p w:rsidR="00AF47B4" w:rsidRDefault="00AF47B4" w:rsidP="005C61F9">
      <w:pPr>
        <w:pStyle w:val="FootnoteText"/>
        <w:ind w:left="284" w:hanging="284"/>
        <w:jc w:val="both"/>
      </w:pPr>
      <w:r>
        <w:rPr>
          <w:rStyle w:val="FootnoteReference"/>
        </w:rPr>
        <w:footnoteRef/>
      </w:r>
      <w:r>
        <w:t xml:space="preserve"> </w:t>
      </w:r>
      <w:r w:rsidR="00B56B33">
        <w:tab/>
      </w:r>
      <w:r>
        <w:t>This transformation of weights is of course arbitrary.  Any positive monotone increasing transformation of the weights would maintain the same ranking, and would in general change the aggressiveness of the scheme.</w:t>
      </w:r>
    </w:p>
  </w:footnote>
  <w:footnote w:id="13">
    <w:p w:rsidR="00AF47B4" w:rsidRPr="006A5B59" w:rsidRDefault="00AF47B4" w:rsidP="008B0D6D">
      <w:pPr>
        <w:pStyle w:val="FootnoteText"/>
        <w:ind w:left="284" w:hanging="284"/>
        <w:jc w:val="both"/>
      </w:pPr>
      <w:r>
        <w:rPr>
          <w:rStyle w:val="FootnoteReference"/>
        </w:rPr>
        <w:footnoteRef/>
      </w:r>
      <w:r>
        <w:t xml:space="preserve"> </w:t>
      </w:r>
      <w:r w:rsidR="00EC1CAD">
        <w:tab/>
      </w:r>
      <w:r>
        <w:t xml:space="preserve">As an alternative to the grid search for </w:t>
      </w:r>
      <w:proofErr w:type="gramStart"/>
      <w:r>
        <w:t xml:space="preserve">the </w:t>
      </w:r>
      <w:r w:rsidRPr="006A5B59">
        <w:rPr>
          <w:i/>
          <w:iCs/>
        </w:rPr>
        <w:t>a</w:t>
      </w:r>
      <w:proofErr w:type="gramEnd"/>
      <w:r>
        <w:t xml:space="preserve"> that maximizes the correlation coefficients, we estimated </w:t>
      </w:r>
      <w:r>
        <w:rPr>
          <w:i/>
          <w:iCs/>
        </w:rPr>
        <w:t xml:space="preserve">a </w:t>
      </w:r>
      <w:r>
        <w:t xml:space="preserve">using maximum likelihood methods.  The values of </w:t>
      </w:r>
      <w:proofErr w:type="gramStart"/>
      <w:r>
        <w:rPr>
          <w:i/>
          <w:iCs/>
        </w:rPr>
        <w:t>a</w:t>
      </w:r>
      <w:proofErr w:type="gramEnd"/>
      <w:r>
        <w:t xml:space="preserve"> obtained were KMS2010 0.25, LP94 0.1, ERA 1.72, ESA 3.95 and Gibson 0.27.  For MSF the maximisation did not converge.   For KMS2010, LP94 and ESA, the magnitudes of the estimates are similar.  We have reported the correlation based estimates as we sought to find the best linear relationship.</w:t>
      </w:r>
    </w:p>
  </w:footnote>
  <w:footnote w:id="14">
    <w:p w:rsidR="00AF47B4" w:rsidRDefault="00AF47B4" w:rsidP="008B0D6D">
      <w:pPr>
        <w:pStyle w:val="FootnoteText"/>
        <w:tabs>
          <w:tab w:val="left" w:pos="284"/>
        </w:tabs>
      </w:pPr>
      <w:r>
        <w:rPr>
          <w:rStyle w:val="FootnoteReference"/>
        </w:rPr>
        <w:footnoteRef/>
      </w:r>
      <w:r>
        <w:t xml:space="preserve"> </w:t>
      </w:r>
      <w:r w:rsidR="008B0D6D">
        <w:tab/>
      </w:r>
      <w:r>
        <w:t>For a discussion of this issue, see Anderson and Tressler (2009).</w:t>
      </w:r>
    </w:p>
  </w:footnote>
  <w:footnote w:id="15">
    <w:p w:rsidR="00AF47B4" w:rsidRDefault="00AF47B4" w:rsidP="005C61F9">
      <w:pPr>
        <w:pStyle w:val="FootnoteText"/>
        <w:ind w:left="284" w:hanging="284"/>
        <w:jc w:val="both"/>
      </w:pPr>
      <w:r>
        <w:rPr>
          <w:rStyle w:val="FootnoteReference"/>
        </w:rPr>
        <w:footnoteRef/>
      </w:r>
      <w:r>
        <w:t xml:space="preserve"> </w:t>
      </w:r>
      <w:r w:rsidR="008B0D6D">
        <w:tab/>
      </w:r>
      <w:r>
        <w:t xml:space="preserve">Clearly this test is arbitrary, i.e. the weight given to the </w:t>
      </w:r>
      <w:r w:rsidRPr="001308B0">
        <w:rPr>
          <w:i/>
          <w:iCs/>
        </w:rPr>
        <w:t>Economic Record</w:t>
      </w:r>
      <w:r>
        <w:t xml:space="preserve"> might be more or less than the appropriate weight, but this adjustment has been used in other assessments, see for example Anderson and Tressler (2008).</w:t>
      </w:r>
    </w:p>
  </w:footnote>
  <w:footnote w:id="16">
    <w:p w:rsidR="00AF47B4" w:rsidRDefault="00AF47B4" w:rsidP="005C61F9">
      <w:pPr>
        <w:pStyle w:val="FootnoteText"/>
        <w:ind w:left="284" w:hanging="284"/>
        <w:jc w:val="both"/>
      </w:pPr>
      <w:r>
        <w:rPr>
          <w:rStyle w:val="FootnoteReference"/>
        </w:rPr>
        <w:footnoteRef/>
      </w:r>
      <w:r>
        <w:t xml:space="preserve"> </w:t>
      </w:r>
      <w:r w:rsidR="008B0D6D">
        <w:tab/>
      </w:r>
      <w:r>
        <w:t>For co-authored papers, researchers are also expected to explain their contribution to the research.</w:t>
      </w:r>
    </w:p>
  </w:footnote>
  <w:footnote w:id="17">
    <w:p w:rsidR="00AF47B4" w:rsidRDefault="00AF47B4" w:rsidP="005C61F9">
      <w:pPr>
        <w:pStyle w:val="FootnoteText"/>
        <w:ind w:left="284" w:hanging="284"/>
        <w:jc w:val="both"/>
      </w:pPr>
      <w:r>
        <w:rPr>
          <w:rStyle w:val="FootnoteReference"/>
        </w:rPr>
        <w:footnoteRef/>
      </w:r>
      <w:r>
        <w:t xml:space="preserve"> </w:t>
      </w:r>
      <w:r w:rsidR="008B0D6D">
        <w:tab/>
      </w:r>
      <w:r>
        <w:t>PBRF panels have information provided by researchers on their contributions to the four research outputs nominated.  If accurate this should increase the research contribution for some researchers and decrease it for others.</w:t>
      </w:r>
    </w:p>
  </w:footnote>
  <w:footnote w:id="18">
    <w:p w:rsidR="00AF47B4" w:rsidRDefault="00AF47B4" w:rsidP="008B0D6D">
      <w:pPr>
        <w:pStyle w:val="FootnoteText"/>
        <w:tabs>
          <w:tab w:val="left" w:pos="284"/>
        </w:tabs>
      </w:pPr>
      <w:r>
        <w:rPr>
          <w:rStyle w:val="FootnoteReference"/>
        </w:rPr>
        <w:footnoteRef/>
      </w:r>
      <w:r>
        <w:t xml:space="preserve"> </w:t>
      </w:r>
      <w:r w:rsidR="008B0D6D">
        <w:tab/>
      </w:r>
      <w:r>
        <w:t>ESA, with weighted papers, is the exception here.</w:t>
      </w:r>
    </w:p>
  </w:footnote>
  <w:footnote w:id="19">
    <w:p w:rsidR="00AF47B4" w:rsidRDefault="00AF47B4" w:rsidP="008B0D6D">
      <w:pPr>
        <w:pStyle w:val="FootnoteText"/>
        <w:tabs>
          <w:tab w:val="left" w:pos="284"/>
        </w:tabs>
      </w:pPr>
      <w:r>
        <w:rPr>
          <w:rStyle w:val="FootnoteReference"/>
        </w:rPr>
        <w:footnoteRef/>
      </w:r>
      <w:r w:rsidR="008B0D6D">
        <w:tab/>
      </w:r>
      <w:r>
        <w:t xml:space="preserve"> See for example Chang, McAleer and Oxley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0BA0"/>
    <w:multiLevelType w:val="hybridMultilevel"/>
    <w:tmpl w:val="34B095EA"/>
    <w:lvl w:ilvl="0" w:tplc="86980A3E">
      <w:numFmt w:val="bullet"/>
      <w:lvlText w:val=""/>
      <w:lvlJc w:val="left"/>
      <w:pPr>
        <w:ind w:left="720" w:hanging="360"/>
      </w:pPr>
      <w:rPr>
        <w:rFonts w:ascii="Symbol" w:eastAsiaTheme="minorEastAsia" w:hAnsi="Symbol" w:cstheme="minorBidi"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E6330E1"/>
    <w:multiLevelType w:val="hybridMultilevel"/>
    <w:tmpl w:val="3C3E770E"/>
    <w:lvl w:ilvl="0" w:tplc="820468AE">
      <w:numFmt w:val="bullet"/>
      <w:lvlText w:val=""/>
      <w:lvlJc w:val="left"/>
      <w:pPr>
        <w:ind w:left="720" w:hanging="360"/>
      </w:pPr>
      <w:rPr>
        <w:rFonts w:ascii="Symbol" w:eastAsiaTheme="minorEastAsia" w:hAnsi="Symbol" w:cstheme="minorBidi"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2946818"/>
    <w:multiLevelType w:val="hybridMultilevel"/>
    <w:tmpl w:val="3C5E45F2"/>
    <w:lvl w:ilvl="0" w:tplc="247E4F94">
      <w:numFmt w:val="bullet"/>
      <w:lvlText w:val=""/>
      <w:lvlJc w:val="left"/>
      <w:pPr>
        <w:ind w:left="720" w:hanging="360"/>
      </w:pPr>
      <w:rPr>
        <w:rFonts w:ascii="Symbol" w:eastAsiaTheme="minorEastAsia" w:hAnsi="Symbol" w:cstheme="minorBidi"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1"/>
    <w:footnote w:id="0"/>
  </w:footnotePr>
  <w:endnotePr>
    <w:endnote w:id="-1"/>
    <w:endnote w:id="0"/>
  </w:endnotePr>
  <w:compat>
    <w:applyBreakingRules/>
    <w:useFELayout/>
  </w:compat>
  <w:rsids>
    <w:rsidRoot w:val="006550AA"/>
    <w:rsid w:val="00022BA0"/>
    <w:rsid w:val="00023F59"/>
    <w:rsid w:val="0003610D"/>
    <w:rsid w:val="0004070A"/>
    <w:rsid w:val="000452A5"/>
    <w:rsid w:val="000503E5"/>
    <w:rsid w:val="0006031B"/>
    <w:rsid w:val="0009516D"/>
    <w:rsid w:val="000C3651"/>
    <w:rsid w:val="000C59F4"/>
    <w:rsid w:val="000C7502"/>
    <w:rsid w:val="000D7322"/>
    <w:rsid w:val="000E37B2"/>
    <w:rsid w:val="000E429C"/>
    <w:rsid w:val="000E4847"/>
    <w:rsid w:val="000F2DEA"/>
    <w:rsid w:val="000F65BB"/>
    <w:rsid w:val="000F77CC"/>
    <w:rsid w:val="001308B0"/>
    <w:rsid w:val="0013174C"/>
    <w:rsid w:val="00152C73"/>
    <w:rsid w:val="00164369"/>
    <w:rsid w:val="00166360"/>
    <w:rsid w:val="00166AF9"/>
    <w:rsid w:val="0017125F"/>
    <w:rsid w:val="001760A6"/>
    <w:rsid w:val="00183FA9"/>
    <w:rsid w:val="001852B9"/>
    <w:rsid w:val="001A0733"/>
    <w:rsid w:val="001B1D20"/>
    <w:rsid w:val="001B2663"/>
    <w:rsid w:val="001B3E53"/>
    <w:rsid w:val="001B67A1"/>
    <w:rsid w:val="001C0DF8"/>
    <w:rsid w:val="001E1271"/>
    <w:rsid w:val="001E2FF1"/>
    <w:rsid w:val="001E5542"/>
    <w:rsid w:val="001E6048"/>
    <w:rsid w:val="001F0EEF"/>
    <w:rsid w:val="001F1D2A"/>
    <w:rsid w:val="001F2C25"/>
    <w:rsid w:val="001F34B7"/>
    <w:rsid w:val="001F3805"/>
    <w:rsid w:val="001F3AB6"/>
    <w:rsid w:val="002235A7"/>
    <w:rsid w:val="00231F6D"/>
    <w:rsid w:val="00235C4D"/>
    <w:rsid w:val="00247953"/>
    <w:rsid w:val="0025635E"/>
    <w:rsid w:val="00257243"/>
    <w:rsid w:val="0025757A"/>
    <w:rsid w:val="00281917"/>
    <w:rsid w:val="002A1254"/>
    <w:rsid w:val="002B7279"/>
    <w:rsid w:val="002B7376"/>
    <w:rsid w:val="002C3AFD"/>
    <w:rsid w:val="002C3EC8"/>
    <w:rsid w:val="002D7906"/>
    <w:rsid w:val="002E2859"/>
    <w:rsid w:val="002F1A5C"/>
    <w:rsid w:val="00300B1D"/>
    <w:rsid w:val="00306460"/>
    <w:rsid w:val="0030779F"/>
    <w:rsid w:val="00313E21"/>
    <w:rsid w:val="00314327"/>
    <w:rsid w:val="00321E14"/>
    <w:rsid w:val="00331FBC"/>
    <w:rsid w:val="00342DD7"/>
    <w:rsid w:val="00360323"/>
    <w:rsid w:val="00390829"/>
    <w:rsid w:val="003C340D"/>
    <w:rsid w:val="003C4023"/>
    <w:rsid w:val="003E54C9"/>
    <w:rsid w:val="003F357F"/>
    <w:rsid w:val="00400C78"/>
    <w:rsid w:val="00403951"/>
    <w:rsid w:val="00404652"/>
    <w:rsid w:val="00411C77"/>
    <w:rsid w:val="00426F2C"/>
    <w:rsid w:val="00430387"/>
    <w:rsid w:val="00435DD7"/>
    <w:rsid w:val="004371D9"/>
    <w:rsid w:val="00447FC9"/>
    <w:rsid w:val="00450164"/>
    <w:rsid w:val="00455CEE"/>
    <w:rsid w:val="00470B61"/>
    <w:rsid w:val="004735C6"/>
    <w:rsid w:val="004A3840"/>
    <w:rsid w:val="004B51E5"/>
    <w:rsid w:val="004C6DD9"/>
    <w:rsid w:val="004D0150"/>
    <w:rsid w:val="004D6FA2"/>
    <w:rsid w:val="00502489"/>
    <w:rsid w:val="00502EC1"/>
    <w:rsid w:val="00516094"/>
    <w:rsid w:val="005218DD"/>
    <w:rsid w:val="00557065"/>
    <w:rsid w:val="00562843"/>
    <w:rsid w:val="00577504"/>
    <w:rsid w:val="005972F7"/>
    <w:rsid w:val="005C61F9"/>
    <w:rsid w:val="005D2229"/>
    <w:rsid w:val="005D33D7"/>
    <w:rsid w:val="005D7640"/>
    <w:rsid w:val="005E2242"/>
    <w:rsid w:val="005E29D9"/>
    <w:rsid w:val="00603133"/>
    <w:rsid w:val="00625071"/>
    <w:rsid w:val="00627025"/>
    <w:rsid w:val="00631861"/>
    <w:rsid w:val="00641456"/>
    <w:rsid w:val="00647BA8"/>
    <w:rsid w:val="006550AA"/>
    <w:rsid w:val="0066277D"/>
    <w:rsid w:val="00665B4F"/>
    <w:rsid w:val="00674F28"/>
    <w:rsid w:val="00676137"/>
    <w:rsid w:val="00683FA5"/>
    <w:rsid w:val="00690184"/>
    <w:rsid w:val="006923F0"/>
    <w:rsid w:val="00693DFB"/>
    <w:rsid w:val="006A19F7"/>
    <w:rsid w:val="006A5B59"/>
    <w:rsid w:val="006B0B31"/>
    <w:rsid w:val="006C2CC8"/>
    <w:rsid w:val="006C5D17"/>
    <w:rsid w:val="006D254E"/>
    <w:rsid w:val="006E06F0"/>
    <w:rsid w:val="006E1460"/>
    <w:rsid w:val="006E4F9F"/>
    <w:rsid w:val="006F0F5C"/>
    <w:rsid w:val="00700F21"/>
    <w:rsid w:val="007055C0"/>
    <w:rsid w:val="00723BB6"/>
    <w:rsid w:val="007434A8"/>
    <w:rsid w:val="00752AE2"/>
    <w:rsid w:val="00760374"/>
    <w:rsid w:val="00761407"/>
    <w:rsid w:val="0076398E"/>
    <w:rsid w:val="00785651"/>
    <w:rsid w:val="007A25A4"/>
    <w:rsid w:val="007A4D09"/>
    <w:rsid w:val="007D4E9A"/>
    <w:rsid w:val="007E62D9"/>
    <w:rsid w:val="007F559B"/>
    <w:rsid w:val="008100EB"/>
    <w:rsid w:val="008200EE"/>
    <w:rsid w:val="008400E2"/>
    <w:rsid w:val="00850149"/>
    <w:rsid w:val="00863B43"/>
    <w:rsid w:val="00867F29"/>
    <w:rsid w:val="00872DF0"/>
    <w:rsid w:val="008847FC"/>
    <w:rsid w:val="00891A20"/>
    <w:rsid w:val="008B0D6D"/>
    <w:rsid w:val="008B1011"/>
    <w:rsid w:val="008C61D5"/>
    <w:rsid w:val="008D2D9F"/>
    <w:rsid w:val="008E0EB8"/>
    <w:rsid w:val="008E73C7"/>
    <w:rsid w:val="008F1F4B"/>
    <w:rsid w:val="009100B5"/>
    <w:rsid w:val="00925949"/>
    <w:rsid w:val="0094576C"/>
    <w:rsid w:val="00953B1E"/>
    <w:rsid w:val="00983711"/>
    <w:rsid w:val="009962B7"/>
    <w:rsid w:val="0099778D"/>
    <w:rsid w:val="009A478C"/>
    <w:rsid w:val="009A5503"/>
    <w:rsid w:val="009A6A75"/>
    <w:rsid w:val="009B1C58"/>
    <w:rsid w:val="009B45FA"/>
    <w:rsid w:val="009C0417"/>
    <w:rsid w:val="009C3A48"/>
    <w:rsid w:val="009D4FDB"/>
    <w:rsid w:val="009E465E"/>
    <w:rsid w:val="009F0ADE"/>
    <w:rsid w:val="009F5404"/>
    <w:rsid w:val="009F6A32"/>
    <w:rsid w:val="00A21F98"/>
    <w:rsid w:val="00A2568F"/>
    <w:rsid w:val="00A43EBD"/>
    <w:rsid w:val="00A44DC7"/>
    <w:rsid w:val="00A554DB"/>
    <w:rsid w:val="00A610CB"/>
    <w:rsid w:val="00A76B7D"/>
    <w:rsid w:val="00A921DF"/>
    <w:rsid w:val="00A97068"/>
    <w:rsid w:val="00AC0150"/>
    <w:rsid w:val="00AE1DC8"/>
    <w:rsid w:val="00AF47B4"/>
    <w:rsid w:val="00AF53AE"/>
    <w:rsid w:val="00B11DF0"/>
    <w:rsid w:val="00B16BBC"/>
    <w:rsid w:val="00B53A1C"/>
    <w:rsid w:val="00B56B33"/>
    <w:rsid w:val="00B606C9"/>
    <w:rsid w:val="00B62D4A"/>
    <w:rsid w:val="00B745A8"/>
    <w:rsid w:val="00B9540E"/>
    <w:rsid w:val="00BA3C3B"/>
    <w:rsid w:val="00BB46E2"/>
    <w:rsid w:val="00BF3097"/>
    <w:rsid w:val="00C13D8E"/>
    <w:rsid w:val="00C15294"/>
    <w:rsid w:val="00C21B30"/>
    <w:rsid w:val="00C50C3F"/>
    <w:rsid w:val="00C56DF5"/>
    <w:rsid w:val="00C56F52"/>
    <w:rsid w:val="00C61E5A"/>
    <w:rsid w:val="00C62816"/>
    <w:rsid w:val="00C82E04"/>
    <w:rsid w:val="00C86168"/>
    <w:rsid w:val="00C9415C"/>
    <w:rsid w:val="00CA4471"/>
    <w:rsid w:val="00CA7B9F"/>
    <w:rsid w:val="00CC0110"/>
    <w:rsid w:val="00CC68B0"/>
    <w:rsid w:val="00CC7241"/>
    <w:rsid w:val="00CD089F"/>
    <w:rsid w:val="00CD16C6"/>
    <w:rsid w:val="00CD1CF1"/>
    <w:rsid w:val="00CD2FF0"/>
    <w:rsid w:val="00CD774C"/>
    <w:rsid w:val="00CE6FB5"/>
    <w:rsid w:val="00CF43A1"/>
    <w:rsid w:val="00D01B4E"/>
    <w:rsid w:val="00D13054"/>
    <w:rsid w:val="00D2351E"/>
    <w:rsid w:val="00D26EE2"/>
    <w:rsid w:val="00D3031C"/>
    <w:rsid w:val="00D357C2"/>
    <w:rsid w:val="00D60601"/>
    <w:rsid w:val="00D866E2"/>
    <w:rsid w:val="00D91F69"/>
    <w:rsid w:val="00D95F83"/>
    <w:rsid w:val="00DA760F"/>
    <w:rsid w:val="00DB594A"/>
    <w:rsid w:val="00DC3E69"/>
    <w:rsid w:val="00DC43AF"/>
    <w:rsid w:val="00DD033D"/>
    <w:rsid w:val="00DE2312"/>
    <w:rsid w:val="00E0253F"/>
    <w:rsid w:val="00E055C3"/>
    <w:rsid w:val="00E07312"/>
    <w:rsid w:val="00E12216"/>
    <w:rsid w:val="00E25E7A"/>
    <w:rsid w:val="00E5314C"/>
    <w:rsid w:val="00E66611"/>
    <w:rsid w:val="00E759BF"/>
    <w:rsid w:val="00E9083B"/>
    <w:rsid w:val="00EB79F7"/>
    <w:rsid w:val="00EC1CAD"/>
    <w:rsid w:val="00ED5477"/>
    <w:rsid w:val="00EF06BE"/>
    <w:rsid w:val="00EF23EE"/>
    <w:rsid w:val="00EF4597"/>
    <w:rsid w:val="00F06F06"/>
    <w:rsid w:val="00F16B12"/>
    <w:rsid w:val="00F33DEA"/>
    <w:rsid w:val="00F47CA8"/>
    <w:rsid w:val="00F54955"/>
    <w:rsid w:val="00F61B0F"/>
    <w:rsid w:val="00F648BE"/>
    <w:rsid w:val="00F96237"/>
    <w:rsid w:val="00FC1345"/>
    <w:rsid w:val="00FD598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8F"/>
  </w:style>
  <w:style w:type="paragraph" w:styleId="Heading4">
    <w:name w:val="heading 4"/>
    <w:basedOn w:val="Normal"/>
    <w:next w:val="Normal"/>
    <w:link w:val="Heading4Char"/>
    <w:qFormat/>
    <w:rsid w:val="006E1460"/>
    <w:pPr>
      <w:keepNext/>
      <w:spacing w:before="240" w:after="60" w:line="240" w:lineRule="auto"/>
      <w:outlineLvl w:val="3"/>
    </w:pPr>
    <w:rPr>
      <w:rFonts w:ascii="Times New Roman" w:eastAsia="Batang" w:hAnsi="Times New Roman" w:cs="Times New Roman"/>
      <w:b/>
      <w:bCs/>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318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1861"/>
    <w:rPr>
      <w:sz w:val="20"/>
      <w:szCs w:val="20"/>
    </w:rPr>
  </w:style>
  <w:style w:type="character" w:styleId="EndnoteReference">
    <w:name w:val="endnote reference"/>
    <w:basedOn w:val="DefaultParagraphFont"/>
    <w:uiPriority w:val="99"/>
    <w:semiHidden/>
    <w:unhideWhenUsed/>
    <w:rsid w:val="00631861"/>
    <w:rPr>
      <w:vertAlign w:val="superscript"/>
    </w:rPr>
  </w:style>
  <w:style w:type="paragraph" w:styleId="FootnoteText">
    <w:name w:val="footnote text"/>
    <w:basedOn w:val="Normal"/>
    <w:link w:val="FootnoteTextChar"/>
    <w:uiPriority w:val="99"/>
    <w:semiHidden/>
    <w:unhideWhenUsed/>
    <w:rsid w:val="006318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861"/>
    <w:rPr>
      <w:sz w:val="20"/>
      <w:szCs w:val="20"/>
    </w:rPr>
  </w:style>
  <w:style w:type="character" w:styleId="FootnoteReference">
    <w:name w:val="footnote reference"/>
    <w:basedOn w:val="DefaultParagraphFont"/>
    <w:uiPriority w:val="99"/>
    <w:semiHidden/>
    <w:unhideWhenUsed/>
    <w:rsid w:val="00631861"/>
    <w:rPr>
      <w:vertAlign w:val="superscript"/>
    </w:rPr>
  </w:style>
  <w:style w:type="character" w:styleId="Hyperlink">
    <w:name w:val="Hyperlink"/>
    <w:basedOn w:val="DefaultParagraphFont"/>
    <w:uiPriority w:val="99"/>
    <w:unhideWhenUsed/>
    <w:rsid w:val="00404652"/>
    <w:rPr>
      <w:color w:val="0000FF" w:themeColor="hyperlink"/>
      <w:u w:val="single"/>
    </w:rPr>
  </w:style>
  <w:style w:type="character" w:styleId="FollowedHyperlink">
    <w:name w:val="FollowedHyperlink"/>
    <w:basedOn w:val="DefaultParagraphFont"/>
    <w:uiPriority w:val="99"/>
    <w:semiHidden/>
    <w:unhideWhenUsed/>
    <w:rsid w:val="00404652"/>
    <w:rPr>
      <w:color w:val="800080" w:themeColor="followedHyperlink"/>
      <w:u w:val="single"/>
    </w:rPr>
  </w:style>
  <w:style w:type="table" w:styleId="TableGrid">
    <w:name w:val="Table Grid"/>
    <w:basedOn w:val="TableNormal"/>
    <w:uiPriority w:val="59"/>
    <w:rsid w:val="000D7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7502"/>
    <w:rPr>
      <w:color w:val="808080"/>
    </w:rPr>
  </w:style>
  <w:style w:type="paragraph" w:styleId="BalloonText">
    <w:name w:val="Balloon Text"/>
    <w:basedOn w:val="Normal"/>
    <w:link w:val="BalloonTextChar"/>
    <w:uiPriority w:val="99"/>
    <w:semiHidden/>
    <w:unhideWhenUsed/>
    <w:rsid w:val="000C7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02"/>
    <w:rPr>
      <w:rFonts w:ascii="Tahoma" w:hAnsi="Tahoma" w:cs="Tahoma"/>
      <w:sz w:val="16"/>
      <w:szCs w:val="16"/>
    </w:rPr>
  </w:style>
  <w:style w:type="character" w:customStyle="1" w:styleId="Heading4Char">
    <w:name w:val="Heading 4 Char"/>
    <w:basedOn w:val="DefaultParagraphFont"/>
    <w:link w:val="Heading4"/>
    <w:rsid w:val="006E1460"/>
    <w:rPr>
      <w:rFonts w:ascii="Times New Roman" w:eastAsia="Batang" w:hAnsi="Times New Roman" w:cs="Times New Roman"/>
      <w:b/>
      <w:bCs/>
      <w:sz w:val="28"/>
      <w:szCs w:val="28"/>
      <w:lang w:val="en-US" w:eastAsia="ko-KR"/>
    </w:rPr>
  </w:style>
  <w:style w:type="paragraph" w:styleId="NoSpacing">
    <w:name w:val="No Spacing"/>
    <w:uiPriority w:val="1"/>
    <w:qFormat/>
    <w:rsid w:val="006E1460"/>
    <w:pPr>
      <w:spacing w:after="0" w:line="240" w:lineRule="auto"/>
    </w:pPr>
    <w:rPr>
      <w:rFonts w:ascii="Calibri" w:eastAsia="Calibri" w:hAnsi="Calibri" w:cs="Calibri"/>
      <w:lang w:eastAsia="en-US"/>
    </w:rPr>
  </w:style>
  <w:style w:type="paragraph" w:styleId="BodyText">
    <w:name w:val="Body Text"/>
    <w:basedOn w:val="Normal"/>
    <w:link w:val="BodyTextChar"/>
    <w:rsid w:val="006E1460"/>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6E1460"/>
    <w:rPr>
      <w:rFonts w:ascii="Times New Roman" w:eastAsia="Batang" w:hAnsi="Times New Roman" w:cs="Times New Roman"/>
      <w:sz w:val="24"/>
      <w:szCs w:val="24"/>
      <w:lang w:val="en-US" w:eastAsia="ko-KR"/>
    </w:rPr>
  </w:style>
  <w:style w:type="paragraph" w:styleId="PlainText">
    <w:name w:val="Plain Text"/>
    <w:basedOn w:val="Normal"/>
    <w:link w:val="PlainTextChar"/>
    <w:rsid w:val="006E1460"/>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6E1460"/>
    <w:rPr>
      <w:rFonts w:ascii="Courier New" w:eastAsia="Times New Roman" w:hAnsi="Courier New" w:cs="Courier New"/>
      <w:sz w:val="20"/>
      <w:szCs w:val="20"/>
      <w:lang w:val="en-GB" w:eastAsia="en-GB"/>
    </w:rPr>
  </w:style>
  <w:style w:type="paragraph" w:customStyle="1" w:styleId="TitlePage">
    <w:name w:val="Title Page"/>
    <w:basedOn w:val="Normal"/>
    <w:rsid w:val="006E1460"/>
    <w:pPr>
      <w:widowControl w:val="0"/>
      <w:spacing w:after="0" w:line="240" w:lineRule="auto"/>
      <w:ind w:firstLine="432"/>
      <w:jc w:val="center"/>
    </w:pPr>
    <w:rPr>
      <w:rFonts w:ascii="Times New Roman" w:eastAsia="Times New Roman" w:hAnsi="Times New Roman" w:cs="Times New Roman"/>
      <w:sz w:val="24"/>
      <w:szCs w:val="24"/>
      <w:lang w:val="en-US" w:eastAsia="en-US"/>
    </w:rPr>
  </w:style>
  <w:style w:type="paragraph" w:styleId="Date">
    <w:name w:val="Date"/>
    <w:basedOn w:val="Normal"/>
    <w:next w:val="Normal"/>
    <w:link w:val="DateChar"/>
    <w:uiPriority w:val="99"/>
    <w:semiHidden/>
    <w:unhideWhenUsed/>
    <w:rsid w:val="006E1460"/>
  </w:style>
  <w:style w:type="character" w:customStyle="1" w:styleId="DateChar">
    <w:name w:val="Date Char"/>
    <w:basedOn w:val="DefaultParagraphFont"/>
    <w:link w:val="Date"/>
    <w:uiPriority w:val="99"/>
    <w:semiHidden/>
    <w:rsid w:val="006E1460"/>
  </w:style>
  <w:style w:type="paragraph" w:styleId="Header">
    <w:name w:val="header"/>
    <w:basedOn w:val="Normal"/>
    <w:link w:val="HeaderChar"/>
    <w:uiPriority w:val="99"/>
    <w:semiHidden/>
    <w:unhideWhenUsed/>
    <w:rsid w:val="00723B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3BB6"/>
  </w:style>
  <w:style w:type="paragraph" w:styleId="Footer">
    <w:name w:val="footer"/>
    <w:basedOn w:val="Normal"/>
    <w:link w:val="FooterChar"/>
    <w:uiPriority w:val="99"/>
    <w:unhideWhenUsed/>
    <w:rsid w:val="00723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BB6"/>
  </w:style>
  <w:style w:type="character" w:styleId="CommentReference">
    <w:name w:val="annotation reference"/>
    <w:basedOn w:val="DefaultParagraphFont"/>
    <w:uiPriority w:val="99"/>
    <w:semiHidden/>
    <w:unhideWhenUsed/>
    <w:rsid w:val="00FC1345"/>
    <w:rPr>
      <w:sz w:val="16"/>
      <w:szCs w:val="16"/>
    </w:rPr>
  </w:style>
  <w:style w:type="paragraph" w:styleId="CommentText">
    <w:name w:val="annotation text"/>
    <w:basedOn w:val="Normal"/>
    <w:link w:val="CommentTextChar"/>
    <w:uiPriority w:val="99"/>
    <w:semiHidden/>
    <w:unhideWhenUsed/>
    <w:rsid w:val="00FC1345"/>
    <w:pPr>
      <w:spacing w:line="240" w:lineRule="auto"/>
    </w:pPr>
    <w:rPr>
      <w:sz w:val="20"/>
      <w:szCs w:val="20"/>
    </w:rPr>
  </w:style>
  <w:style w:type="character" w:customStyle="1" w:styleId="CommentTextChar">
    <w:name w:val="Comment Text Char"/>
    <w:basedOn w:val="DefaultParagraphFont"/>
    <w:link w:val="CommentText"/>
    <w:uiPriority w:val="99"/>
    <w:semiHidden/>
    <w:rsid w:val="00FC1345"/>
    <w:rPr>
      <w:sz w:val="20"/>
      <w:szCs w:val="20"/>
    </w:rPr>
  </w:style>
  <w:style w:type="paragraph" w:styleId="CommentSubject">
    <w:name w:val="annotation subject"/>
    <w:basedOn w:val="CommentText"/>
    <w:next w:val="CommentText"/>
    <w:link w:val="CommentSubjectChar"/>
    <w:uiPriority w:val="99"/>
    <w:semiHidden/>
    <w:unhideWhenUsed/>
    <w:rsid w:val="00FC1345"/>
    <w:rPr>
      <w:b/>
      <w:bCs/>
    </w:rPr>
  </w:style>
  <w:style w:type="character" w:customStyle="1" w:styleId="CommentSubjectChar">
    <w:name w:val="Comment Subject Char"/>
    <w:basedOn w:val="CommentTextChar"/>
    <w:link w:val="CommentSubject"/>
    <w:uiPriority w:val="99"/>
    <w:semiHidden/>
    <w:rsid w:val="00FC1345"/>
    <w:rPr>
      <w:b/>
      <w:bCs/>
      <w:sz w:val="20"/>
      <w:szCs w:val="20"/>
    </w:rPr>
  </w:style>
  <w:style w:type="paragraph" w:styleId="ListParagraph">
    <w:name w:val="List Paragraph"/>
    <w:basedOn w:val="Normal"/>
    <w:uiPriority w:val="34"/>
    <w:qFormat/>
    <w:rsid w:val="004735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6E1460"/>
    <w:pPr>
      <w:keepNext/>
      <w:spacing w:before="240" w:after="60" w:line="240" w:lineRule="auto"/>
      <w:outlineLvl w:val="3"/>
    </w:pPr>
    <w:rPr>
      <w:rFonts w:ascii="Times New Roman" w:eastAsia="Batang" w:hAnsi="Times New Roman" w:cs="Times New Roman"/>
      <w:b/>
      <w:bCs/>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318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1861"/>
    <w:rPr>
      <w:sz w:val="20"/>
      <w:szCs w:val="20"/>
    </w:rPr>
  </w:style>
  <w:style w:type="character" w:styleId="EndnoteReference">
    <w:name w:val="endnote reference"/>
    <w:basedOn w:val="DefaultParagraphFont"/>
    <w:uiPriority w:val="99"/>
    <w:semiHidden/>
    <w:unhideWhenUsed/>
    <w:rsid w:val="00631861"/>
    <w:rPr>
      <w:vertAlign w:val="superscript"/>
    </w:rPr>
  </w:style>
  <w:style w:type="paragraph" w:styleId="FootnoteText">
    <w:name w:val="footnote text"/>
    <w:basedOn w:val="Normal"/>
    <w:link w:val="FootnoteTextChar"/>
    <w:uiPriority w:val="99"/>
    <w:semiHidden/>
    <w:unhideWhenUsed/>
    <w:rsid w:val="006318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861"/>
    <w:rPr>
      <w:sz w:val="20"/>
      <w:szCs w:val="20"/>
    </w:rPr>
  </w:style>
  <w:style w:type="character" w:styleId="FootnoteReference">
    <w:name w:val="footnote reference"/>
    <w:basedOn w:val="DefaultParagraphFont"/>
    <w:uiPriority w:val="99"/>
    <w:semiHidden/>
    <w:unhideWhenUsed/>
    <w:rsid w:val="00631861"/>
    <w:rPr>
      <w:vertAlign w:val="superscript"/>
    </w:rPr>
  </w:style>
  <w:style w:type="character" w:styleId="Hyperlink">
    <w:name w:val="Hyperlink"/>
    <w:basedOn w:val="DefaultParagraphFont"/>
    <w:uiPriority w:val="99"/>
    <w:unhideWhenUsed/>
    <w:rsid w:val="00404652"/>
    <w:rPr>
      <w:color w:val="0000FF" w:themeColor="hyperlink"/>
      <w:u w:val="single"/>
    </w:rPr>
  </w:style>
  <w:style w:type="character" w:styleId="FollowedHyperlink">
    <w:name w:val="FollowedHyperlink"/>
    <w:basedOn w:val="DefaultParagraphFont"/>
    <w:uiPriority w:val="99"/>
    <w:semiHidden/>
    <w:unhideWhenUsed/>
    <w:rsid w:val="00404652"/>
    <w:rPr>
      <w:color w:val="800080" w:themeColor="followedHyperlink"/>
      <w:u w:val="single"/>
    </w:rPr>
  </w:style>
  <w:style w:type="table" w:styleId="TableGrid">
    <w:name w:val="Table Grid"/>
    <w:basedOn w:val="TableNormal"/>
    <w:uiPriority w:val="59"/>
    <w:rsid w:val="000D7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7502"/>
    <w:rPr>
      <w:color w:val="808080"/>
    </w:rPr>
  </w:style>
  <w:style w:type="paragraph" w:styleId="BalloonText">
    <w:name w:val="Balloon Text"/>
    <w:basedOn w:val="Normal"/>
    <w:link w:val="BalloonTextChar"/>
    <w:uiPriority w:val="99"/>
    <w:semiHidden/>
    <w:unhideWhenUsed/>
    <w:rsid w:val="000C7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02"/>
    <w:rPr>
      <w:rFonts w:ascii="Tahoma" w:hAnsi="Tahoma" w:cs="Tahoma"/>
      <w:sz w:val="16"/>
      <w:szCs w:val="16"/>
    </w:rPr>
  </w:style>
  <w:style w:type="character" w:customStyle="1" w:styleId="Heading4Char">
    <w:name w:val="Heading 4 Char"/>
    <w:basedOn w:val="DefaultParagraphFont"/>
    <w:link w:val="Heading4"/>
    <w:rsid w:val="006E1460"/>
    <w:rPr>
      <w:rFonts w:ascii="Times New Roman" w:eastAsia="Batang" w:hAnsi="Times New Roman" w:cs="Times New Roman"/>
      <w:b/>
      <w:bCs/>
      <w:sz w:val="28"/>
      <w:szCs w:val="28"/>
      <w:lang w:val="en-US" w:eastAsia="ko-KR"/>
    </w:rPr>
  </w:style>
  <w:style w:type="paragraph" w:styleId="NoSpacing">
    <w:name w:val="No Spacing"/>
    <w:uiPriority w:val="1"/>
    <w:qFormat/>
    <w:rsid w:val="006E1460"/>
    <w:pPr>
      <w:spacing w:after="0" w:line="240" w:lineRule="auto"/>
    </w:pPr>
    <w:rPr>
      <w:rFonts w:ascii="Calibri" w:eastAsia="Calibri" w:hAnsi="Calibri" w:cs="Calibri"/>
      <w:lang w:eastAsia="en-US"/>
    </w:rPr>
  </w:style>
  <w:style w:type="paragraph" w:styleId="BodyText">
    <w:name w:val="Body Text"/>
    <w:basedOn w:val="Normal"/>
    <w:link w:val="BodyTextChar"/>
    <w:rsid w:val="006E1460"/>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6E1460"/>
    <w:rPr>
      <w:rFonts w:ascii="Times New Roman" w:eastAsia="Batang" w:hAnsi="Times New Roman" w:cs="Times New Roman"/>
      <w:sz w:val="24"/>
      <w:szCs w:val="24"/>
      <w:lang w:val="en-US" w:eastAsia="ko-KR"/>
    </w:rPr>
  </w:style>
  <w:style w:type="paragraph" w:styleId="PlainText">
    <w:name w:val="Plain Text"/>
    <w:basedOn w:val="Normal"/>
    <w:link w:val="PlainTextChar"/>
    <w:rsid w:val="006E1460"/>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6E1460"/>
    <w:rPr>
      <w:rFonts w:ascii="Courier New" w:eastAsia="Times New Roman" w:hAnsi="Courier New" w:cs="Courier New"/>
      <w:sz w:val="20"/>
      <w:szCs w:val="20"/>
      <w:lang w:val="en-GB" w:eastAsia="en-GB"/>
    </w:rPr>
  </w:style>
  <w:style w:type="paragraph" w:customStyle="1" w:styleId="TitlePage">
    <w:name w:val="Title Page"/>
    <w:basedOn w:val="Normal"/>
    <w:rsid w:val="006E1460"/>
    <w:pPr>
      <w:widowControl w:val="0"/>
      <w:spacing w:after="0" w:line="240" w:lineRule="auto"/>
      <w:ind w:firstLine="432"/>
      <w:jc w:val="center"/>
    </w:pPr>
    <w:rPr>
      <w:rFonts w:ascii="Times New Roman" w:eastAsia="Times New Roman" w:hAnsi="Times New Roman" w:cs="Times New Roman"/>
      <w:sz w:val="24"/>
      <w:szCs w:val="24"/>
      <w:lang w:val="en-US" w:eastAsia="en-US"/>
    </w:rPr>
  </w:style>
  <w:style w:type="paragraph" w:styleId="Date">
    <w:name w:val="Date"/>
    <w:basedOn w:val="Normal"/>
    <w:next w:val="Normal"/>
    <w:link w:val="DateChar"/>
    <w:uiPriority w:val="99"/>
    <w:semiHidden/>
    <w:unhideWhenUsed/>
    <w:rsid w:val="006E1460"/>
  </w:style>
  <w:style w:type="character" w:customStyle="1" w:styleId="DateChar">
    <w:name w:val="Date Char"/>
    <w:basedOn w:val="DefaultParagraphFont"/>
    <w:link w:val="Date"/>
    <w:uiPriority w:val="99"/>
    <w:semiHidden/>
    <w:rsid w:val="006E1460"/>
  </w:style>
</w:styles>
</file>

<file path=word/webSettings.xml><?xml version="1.0" encoding="utf-8"?>
<w:webSettings xmlns:r="http://schemas.openxmlformats.org/officeDocument/2006/relationships" xmlns:w="http://schemas.openxmlformats.org/wordprocessingml/2006/main">
  <w:divs>
    <w:div w:id="1780444303">
      <w:bodyDiv w:val="1"/>
      <w:marLeft w:val="0"/>
      <w:marRight w:val="0"/>
      <w:marTop w:val="0"/>
      <w:marBottom w:val="0"/>
      <w:divBdr>
        <w:top w:val="none" w:sz="0" w:space="0" w:color="auto"/>
        <w:left w:val="none" w:sz="0" w:space="0" w:color="auto"/>
        <w:bottom w:val="none" w:sz="0" w:space="0" w:color="auto"/>
        <w:right w:val="none" w:sz="0" w:space="0" w:color="auto"/>
      </w:divBdr>
    </w:div>
    <w:div w:id="179170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a@queensu.ca" TargetMode="External"/><Relationship Id="rId13" Type="http://schemas.openxmlformats.org/officeDocument/2006/relationships/hyperlink" Target="http://dx.doi.org/10.1787/9789264094611-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pec.org"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rren.smart@minedu.govt.nz" TargetMode="External"/><Relationship Id="rId4" Type="http://schemas.openxmlformats.org/officeDocument/2006/relationships/settings" Target="settings.xml"/><Relationship Id="rId9" Type="http://schemas.openxmlformats.org/officeDocument/2006/relationships/hyperlink" Target="mailto:anderson@waikato.ac.nz"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ec.govt.nz/Funding/Fund-finder/Performance-Based-Research-Fund-PBRF-/Resourc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ressler\AppData\Local\Microsoft\Windows\Temporary%20Internet%20Files\Low\Content.IE5\7X64KBXH\comparing_correlations_corrected_ESA%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NZ"/>
  <c:chart>
    <c:autoTitleDeleted val="1"/>
    <c:plotArea>
      <c:layout/>
      <c:scatterChart>
        <c:scatterStyle val="smoothMarker"/>
        <c:ser>
          <c:idx val="0"/>
          <c:order val="0"/>
          <c:tx>
            <c:v>ERA</c:v>
          </c:tx>
          <c:spPr>
            <a:ln w="19050">
              <a:solidFill>
                <a:schemeClr val="tx1"/>
              </a:solidFill>
              <a:prstDash val="lgDash"/>
            </a:ln>
          </c:spPr>
          <c:marker>
            <c:symbol val="none"/>
          </c:marker>
          <c:xVal>
            <c:numRef>
              <c:f>'[comparing_correlations_corrected_ESA(1).xlsx]Graphs'!$A$8:$A$28</c:f>
              <c:numCache>
                <c:formatCode>General</c:formatCode>
                <c:ptCount val="21"/>
                <c:pt idx="0">
                  <c:v>0.25</c:v>
                </c:pt>
                <c:pt idx="1">
                  <c:v>0.5</c:v>
                </c:pt>
                <c:pt idx="2">
                  <c:v>0.75000000000000078</c:v>
                </c:pt>
                <c:pt idx="3">
                  <c:v>1</c:v>
                </c:pt>
                <c:pt idx="4">
                  <c:v>1.25</c:v>
                </c:pt>
                <c:pt idx="5">
                  <c:v>1.5</c:v>
                </c:pt>
                <c:pt idx="6">
                  <c:v>1.7500000000000002</c:v>
                </c:pt>
                <c:pt idx="7">
                  <c:v>2</c:v>
                </c:pt>
                <c:pt idx="8">
                  <c:v>2.25</c:v>
                </c:pt>
                <c:pt idx="9">
                  <c:v>2.5</c:v>
                </c:pt>
                <c:pt idx="10">
                  <c:v>2.75</c:v>
                </c:pt>
                <c:pt idx="11">
                  <c:v>3</c:v>
                </c:pt>
                <c:pt idx="12">
                  <c:v>3.25</c:v>
                </c:pt>
                <c:pt idx="13">
                  <c:v>3.5</c:v>
                </c:pt>
                <c:pt idx="14">
                  <c:v>3.75</c:v>
                </c:pt>
                <c:pt idx="15">
                  <c:v>4</c:v>
                </c:pt>
                <c:pt idx="16">
                  <c:v>4.25</c:v>
                </c:pt>
                <c:pt idx="17">
                  <c:v>4.5</c:v>
                </c:pt>
                <c:pt idx="18">
                  <c:v>5</c:v>
                </c:pt>
                <c:pt idx="19">
                  <c:v>5.5</c:v>
                </c:pt>
                <c:pt idx="20">
                  <c:v>6</c:v>
                </c:pt>
              </c:numCache>
            </c:numRef>
          </c:xVal>
          <c:yVal>
            <c:numRef>
              <c:f>'[comparing_correlations_corrected_ESA(1).xlsx]Graphs'!$B$8:$B$28</c:f>
              <c:numCache>
                <c:formatCode>0.000</c:formatCode>
                <c:ptCount val="21"/>
                <c:pt idx="0">
                  <c:v>0.37264000000000008</c:v>
                </c:pt>
                <c:pt idx="1">
                  <c:v>0.4053200000000004</c:v>
                </c:pt>
                <c:pt idx="2">
                  <c:v>0.43363000000000002</c:v>
                </c:pt>
                <c:pt idx="3">
                  <c:v>0.45750000000000002</c:v>
                </c:pt>
                <c:pt idx="4">
                  <c:v>0.47721000000000002</c:v>
                </c:pt>
                <c:pt idx="5">
                  <c:v>0.49322000000000032</c:v>
                </c:pt>
                <c:pt idx="6">
                  <c:v>0.50607000000000002</c:v>
                </c:pt>
                <c:pt idx="7">
                  <c:v>0.51624000000000003</c:v>
                </c:pt>
                <c:pt idx="8">
                  <c:v>0.52417999999999998</c:v>
                </c:pt>
                <c:pt idx="9">
                  <c:v>0.53025999999999951</c:v>
                </c:pt>
                <c:pt idx="10">
                  <c:v>0.53480000000000005</c:v>
                </c:pt>
                <c:pt idx="11">
                  <c:v>0.53802000000000005</c:v>
                </c:pt>
                <c:pt idx="12">
                  <c:v>0.54013999999999951</c:v>
                </c:pt>
                <c:pt idx="13">
                  <c:v>0.54132000000000002</c:v>
                </c:pt>
                <c:pt idx="14">
                  <c:v>0.54168000000000005</c:v>
                </c:pt>
                <c:pt idx="15">
                  <c:v>0.54134000000000004</c:v>
                </c:pt>
                <c:pt idx="16">
                  <c:v>0.54039999999999999</c:v>
                </c:pt>
                <c:pt idx="17">
                  <c:v>0.53893999999999997</c:v>
                </c:pt>
                <c:pt idx="18">
                  <c:v>0.53476000000000001</c:v>
                </c:pt>
                <c:pt idx="19">
                  <c:v>0.52934000000000003</c:v>
                </c:pt>
                <c:pt idx="20">
                  <c:v>0.52309000000000005</c:v>
                </c:pt>
              </c:numCache>
            </c:numRef>
          </c:yVal>
          <c:smooth val="1"/>
        </c:ser>
        <c:ser>
          <c:idx val="1"/>
          <c:order val="1"/>
          <c:tx>
            <c:v>KMS2010</c:v>
          </c:tx>
          <c:spPr>
            <a:ln w="19050">
              <a:solidFill>
                <a:schemeClr val="tx1"/>
              </a:solidFill>
              <a:prstDash val="sysDash"/>
            </a:ln>
          </c:spPr>
          <c:marker>
            <c:symbol val="none"/>
          </c:marker>
          <c:xVal>
            <c:numRef>
              <c:f>'[comparing_correlations_corrected_ESA(1).xlsx]Graphs'!$A$7:$A$14</c:f>
              <c:numCache>
                <c:formatCode>General</c:formatCode>
                <c:ptCount val="8"/>
                <c:pt idx="0">
                  <c:v>0.2</c:v>
                </c:pt>
                <c:pt idx="1">
                  <c:v>0.25</c:v>
                </c:pt>
                <c:pt idx="2">
                  <c:v>0.5</c:v>
                </c:pt>
                <c:pt idx="3">
                  <c:v>0.75000000000000078</c:v>
                </c:pt>
                <c:pt idx="4">
                  <c:v>1</c:v>
                </c:pt>
                <c:pt idx="5">
                  <c:v>1.25</c:v>
                </c:pt>
                <c:pt idx="6">
                  <c:v>1.5</c:v>
                </c:pt>
                <c:pt idx="7">
                  <c:v>1.7500000000000002</c:v>
                </c:pt>
              </c:numCache>
            </c:numRef>
          </c:xVal>
          <c:yVal>
            <c:numRef>
              <c:f>'[comparing_correlations_corrected_ESA(1).xlsx]Graphs'!$C$7:$C$14</c:f>
              <c:numCache>
                <c:formatCode>0.000</c:formatCode>
                <c:ptCount val="8"/>
                <c:pt idx="0">
                  <c:v>0.50034999999999996</c:v>
                </c:pt>
                <c:pt idx="1">
                  <c:v>0.50399000000000005</c:v>
                </c:pt>
                <c:pt idx="2">
                  <c:v>0.50704000000000005</c:v>
                </c:pt>
                <c:pt idx="3">
                  <c:v>0.47243000000000002</c:v>
                </c:pt>
                <c:pt idx="4">
                  <c:v>0.3896100000000004</c:v>
                </c:pt>
                <c:pt idx="5">
                  <c:v>0.29264000000000001</c:v>
                </c:pt>
                <c:pt idx="6">
                  <c:v>0.21891000000000027</c:v>
                </c:pt>
                <c:pt idx="7">
                  <c:v>0.17222999999999999</c:v>
                </c:pt>
              </c:numCache>
            </c:numRef>
          </c:yVal>
          <c:smooth val="1"/>
        </c:ser>
        <c:ser>
          <c:idx val="2"/>
          <c:order val="2"/>
          <c:tx>
            <c:v>LP94</c:v>
          </c:tx>
          <c:spPr>
            <a:ln cmpd="dbl">
              <a:solidFill>
                <a:schemeClr val="tx1"/>
              </a:solidFill>
            </a:ln>
          </c:spPr>
          <c:marker>
            <c:symbol val="none"/>
          </c:marker>
          <c:xVal>
            <c:numRef>
              <c:f>'[comparing_correlations_corrected_ESA(1).xlsx]Graphs'!$A$5:$A$15</c:f>
              <c:numCache>
                <c:formatCode>General</c:formatCode>
                <c:ptCount val="11"/>
                <c:pt idx="0">
                  <c:v>0.1</c:v>
                </c:pt>
                <c:pt idx="1">
                  <c:v>0.15000000000000016</c:v>
                </c:pt>
                <c:pt idx="2">
                  <c:v>0.2</c:v>
                </c:pt>
                <c:pt idx="3">
                  <c:v>0.25</c:v>
                </c:pt>
                <c:pt idx="4">
                  <c:v>0.5</c:v>
                </c:pt>
                <c:pt idx="5">
                  <c:v>0.75000000000000078</c:v>
                </c:pt>
                <c:pt idx="6">
                  <c:v>1</c:v>
                </c:pt>
                <c:pt idx="7">
                  <c:v>1.25</c:v>
                </c:pt>
                <c:pt idx="8">
                  <c:v>1.5</c:v>
                </c:pt>
                <c:pt idx="9">
                  <c:v>1.7500000000000002</c:v>
                </c:pt>
                <c:pt idx="10">
                  <c:v>2</c:v>
                </c:pt>
              </c:numCache>
            </c:numRef>
          </c:xVal>
          <c:yVal>
            <c:numRef>
              <c:f>'[comparing_correlations_corrected_ESA(1).xlsx]Graphs'!$D$5:$D$15</c:f>
              <c:numCache>
                <c:formatCode>0.000</c:formatCode>
                <c:ptCount val="11"/>
                <c:pt idx="0">
                  <c:v>0.42968000000000039</c:v>
                </c:pt>
                <c:pt idx="1">
                  <c:v>0.43332000000000054</c:v>
                </c:pt>
                <c:pt idx="2">
                  <c:v>0.4345100000000004</c:v>
                </c:pt>
                <c:pt idx="3">
                  <c:v>0.43282000000000054</c:v>
                </c:pt>
                <c:pt idx="4">
                  <c:v>0.37825000000000031</c:v>
                </c:pt>
                <c:pt idx="5">
                  <c:v>0.28893000000000002</c:v>
                </c:pt>
                <c:pt idx="6">
                  <c:v>0.22221000000000016</c:v>
                </c:pt>
                <c:pt idx="7">
                  <c:v>0.18402000000000004</c:v>
                </c:pt>
                <c:pt idx="8">
                  <c:v>0.16398000000000001</c:v>
                </c:pt>
                <c:pt idx="9">
                  <c:v>0.15400000000000016</c:v>
                </c:pt>
                <c:pt idx="10">
                  <c:v>0.14943000000000023</c:v>
                </c:pt>
              </c:numCache>
            </c:numRef>
          </c:yVal>
          <c:smooth val="1"/>
        </c:ser>
        <c:ser>
          <c:idx val="3"/>
          <c:order val="3"/>
          <c:tx>
            <c:v>Gibson</c:v>
          </c:tx>
          <c:spPr>
            <a:ln>
              <a:solidFill>
                <a:schemeClr val="tx1"/>
              </a:solidFill>
              <a:prstDash val="sysDot"/>
            </a:ln>
          </c:spPr>
          <c:marker>
            <c:symbol val="none"/>
          </c:marker>
          <c:xVal>
            <c:numRef>
              <c:f>'[comparing_correlations_corrected_ESA(1).xlsx]Graphs'!$A$8:$A$15</c:f>
              <c:numCache>
                <c:formatCode>General</c:formatCode>
                <c:ptCount val="8"/>
                <c:pt idx="0">
                  <c:v>0.25</c:v>
                </c:pt>
                <c:pt idx="1">
                  <c:v>0.5</c:v>
                </c:pt>
                <c:pt idx="2">
                  <c:v>0.75000000000000078</c:v>
                </c:pt>
                <c:pt idx="3">
                  <c:v>1</c:v>
                </c:pt>
                <c:pt idx="4">
                  <c:v>1.25</c:v>
                </c:pt>
                <c:pt idx="5">
                  <c:v>1.5</c:v>
                </c:pt>
                <c:pt idx="6">
                  <c:v>1.7500000000000002</c:v>
                </c:pt>
                <c:pt idx="7">
                  <c:v>2</c:v>
                </c:pt>
              </c:numCache>
            </c:numRef>
          </c:xVal>
          <c:yVal>
            <c:numRef>
              <c:f>'[comparing_correlations_corrected_ESA(1).xlsx]Graphs'!$E$8:$E$15</c:f>
              <c:numCache>
                <c:formatCode>0.000</c:formatCode>
                <c:ptCount val="8"/>
                <c:pt idx="0">
                  <c:v>0.39515000000000033</c:v>
                </c:pt>
                <c:pt idx="1">
                  <c:v>0.43933000000000033</c:v>
                </c:pt>
                <c:pt idx="2">
                  <c:v>0.45127</c:v>
                </c:pt>
                <c:pt idx="3">
                  <c:v>0.44458000000000031</c:v>
                </c:pt>
                <c:pt idx="4">
                  <c:v>0.43225000000000002</c:v>
                </c:pt>
                <c:pt idx="5">
                  <c:v>0.41950000000000032</c:v>
                </c:pt>
                <c:pt idx="6">
                  <c:v>0.40751000000000032</c:v>
                </c:pt>
                <c:pt idx="7">
                  <c:v>0.39626000000000033</c:v>
                </c:pt>
              </c:numCache>
            </c:numRef>
          </c:yVal>
          <c:smooth val="1"/>
        </c:ser>
        <c:ser>
          <c:idx val="4"/>
          <c:order val="4"/>
          <c:tx>
            <c:v>ESA</c:v>
          </c:tx>
          <c:spPr>
            <a:ln>
              <a:solidFill>
                <a:schemeClr val="tx1"/>
              </a:solidFill>
            </a:ln>
          </c:spPr>
          <c:marker>
            <c:symbol val="none"/>
          </c:marker>
          <c:xVal>
            <c:numRef>
              <c:f>'[comparing_correlations_corrected_ESA(1).xlsx]Graphs'!$A$8:$A$28</c:f>
              <c:numCache>
                <c:formatCode>General</c:formatCode>
                <c:ptCount val="21"/>
                <c:pt idx="0">
                  <c:v>0.25</c:v>
                </c:pt>
                <c:pt idx="1">
                  <c:v>0.5</c:v>
                </c:pt>
                <c:pt idx="2">
                  <c:v>0.75000000000000078</c:v>
                </c:pt>
                <c:pt idx="3">
                  <c:v>1</c:v>
                </c:pt>
                <c:pt idx="4">
                  <c:v>1.25</c:v>
                </c:pt>
                <c:pt idx="5">
                  <c:v>1.5</c:v>
                </c:pt>
                <c:pt idx="6">
                  <c:v>1.7500000000000002</c:v>
                </c:pt>
                <c:pt idx="7">
                  <c:v>2</c:v>
                </c:pt>
                <c:pt idx="8">
                  <c:v>2.25</c:v>
                </c:pt>
                <c:pt idx="9">
                  <c:v>2.5</c:v>
                </c:pt>
                <c:pt idx="10">
                  <c:v>2.75</c:v>
                </c:pt>
                <c:pt idx="11">
                  <c:v>3</c:v>
                </c:pt>
                <c:pt idx="12">
                  <c:v>3.25</c:v>
                </c:pt>
                <c:pt idx="13">
                  <c:v>3.5</c:v>
                </c:pt>
                <c:pt idx="14">
                  <c:v>3.75</c:v>
                </c:pt>
                <c:pt idx="15">
                  <c:v>4</c:v>
                </c:pt>
                <c:pt idx="16">
                  <c:v>4.25</c:v>
                </c:pt>
                <c:pt idx="17">
                  <c:v>4.5</c:v>
                </c:pt>
                <c:pt idx="18">
                  <c:v>5</c:v>
                </c:pt>
                <c:pt idx="19">
                  <c:v>5.5</c:v>
                </c:pt>
                <c:pt idx="20">
                  <c:v>6</c:v>
                </c:pt>
              </c:numCache>
            </c:numRef>
          </c:xVal>
          <c:yVal>
            <c:numRef>
              <c:f>'[comparing_correlations_corrected_ESA(1).xlsx]Graphs'!$F$8:$F$28</c:f>
              <c:numCache>
                <c:formatCode>0.000</c:formatCode>
                <c:ptCount val="21"/>
                <c:pt idx="0">
                  <c:v>0.37729000000000001</c:v>
                </c:pt>
                <c:pt idx="1">
                  <c:v>0.41469</c:v>
                </c:pt>
                <c:pt idx="2">
                  <c:v>0.44636000000000031</c:v>
                </c:pt>
                <c:pt idx="3">
                  <c:v>0.47253000000000001</c:v>
                </c:pt>
                <c:pt idx="4">
                  <c:v>0.49382000000000054</c:v>
                </c:pt>
                <c:pt idx="5">
                  <c:v>0.51100000000000001</c:v>
                </c:pt>
                <c:pt idx="6">
                  <c:v>0.52481</c:v>
                </c:pt>
                <c:pt idx="7">
                  <c:v>0.53591</c:v>
                </c:pt>
                <c:pt idx="8">
                  <c:v>0.54483000000000004</c:v>
                </c:pt>
                <c:pt idx="9">
                  <c:v>0.55198000000000003</c:v>
                </c:pt>
                <c:pt idx="10">
                  <c:v>0.55765000000000065</c:v>
                </c:pt>
                <c:pt idx="11">
                  <c:v>0.56208999999999998</c:v>
                </c:pt>
                <c:pt idx="12">
                  <c:v>0.56547000000000003</c:v>
                </c:pt>
                <c:pt idx="13">
                  <c:v>0.56791999999999998</c:v>
                </c:pt>
                <c:pt idx="14">
                  <c:v>0.56955999999999996</c:v>
                </c:pt>
                <c:pt idx="15">
                  <c:v>0.57045999999999997</c:v>
                </c:pt>
                <c:pt idx="16">
                  <c:v>0.57071000000000005</c:v>
                </c:pt>
                <c:pt idx="17">
                  <c:v>0.57038</c:v>
                </c:pt>
                <c:pt idx="18">
                  <c:v>0.5682199999999995</c:v>
                </c:pt>
                <c:pt idx="19">
                  <c:v>0.56447000000000003</c:v>
                </c:pt>
                <c:pt idx="20">
                  <c:v>0.55957000000000001</c:v>
                </c:pt>
              </c:numCache>
            </c:numRef>
          </c:yVal>
          <c:smooth val="1"/>
        </c:ser>
        <c:ser>
          <c:idx val="5"/>
          <c:order val="5"/>
          <c:tx>
            <c:v>MSF</c:v>
          </c:tx>
          <c:spPr>
            <a:ln w="19050">
              <a:solidFill>
                <a:schemeClr val="tx1"/>
              </a:solidFill>
              <a:prstDash val="lgDashDot"/>
            </a:ln>
          </c:spPr>
          <c:marker>
            <c:symbol val="none"/>
          </c:marker>
          <c:xVal>
            <c:numRef>
              <c:f>'[comparing_correlations_corrected_ESA(1).xlsx]Graphs'!$A$3:$A$19</c:f>
              <c:numCache>
                <c:formatCode>General</c:formatCode>
                <c:ptCount val="17"/>
                <c:pt idx="0">
                  <c:v>0</c:v>
                </c:pt>
                <c:pt idx="1">
                  <c:v>5.0000000000000024E-2</c:v>
                </c:pt>
                <c:pt idx="2">
                  <c:v>0.1</c:v>
                </c:pt>
                <c:pt idx="3">
                  <c:v>0.15000000000000016</c:v>
                </c:pt>
                <c:pt idx="4">
                  <c:v>0.2</c:v>
                </c:pt>
                <c:pt idx="5">
                  <c:v>0.25</c:v>
                </c:pt>
                <c:pt idx="6">
                  <c:v>0.5</c:v>
                </c:pt>
                <c:pt idx="7">
                  <c:v>0.75000000000000078</c:v>
                </c:pt>
                <c:pt idx="8">
                  <c:v>1</c:v>
                </c:pt>
                <c:pt idx="9">
                  <c:v>1.25</c:v>
                </c:pt>
                <c:pt idx="10">
                  <c:v>1.5</c:v>
                </c:pt>
                <c:pt idx="11">
                  <c:v>1.7500000000000002</c:v>
                </c:pt>
                <c:pt idx="12">
                  <c:v>2</c:v>
                </c:pt>
                <c:pt idx="13">
                  <c:v>2.25</c:v>
                </c:pt>
                <c:pt idx="14">
                  <c:v>2.5</c:v>
                </c:pt>
                <c:pt idx="15">
                  <c:v>2.75</c:v>
                </c:pt>
                <c:pt idx="16">
                  <c:v>3</c:v>
                </c:pt>
              </c:numCache>
            </c:numRef>
          </c:xVal>
          <c:yVal>
            <c:numRef>
              <c:f>'[comparing_correlations_corrected_ESA(1).xlsx]Graphs'!$G$3:$G$19</c:f>
              <c:numCache>
                <c:formatCode>0.000</c:formatCode>
                <c:ptCount val="17"/>
                <c:pt idx="0">
                  <c:v>0.45785000000000031</c:v>
                </c:pt>
                <c:pt idx="1">
                  <c:v>0.45798000000000033</c:v>
                </c:pt>
                <c:pt idx="2">
                  <c:v>0.45808000000000032</c:v>
                </c:pt>
                <c:pt idx="3">
                  <c:v>0.45814000000000005</c:v>
                </c:pt>
                <c:pt idx="4">
                  <c:v>0.45817000000000002</c:v>
                </c:pt>
                <c:pt idx="5">
                  <c:v>0.45816000000000001</c:v>
                </c:pt>
                <c:pt idx="6">
                  <c:v>0.45767000000000002</c:v>
                </c:pt>
                <c:pt idx="7">
                  <c:v>0.45652000000000031</c:v>
                </c:pt>
                <c:pt idx="8">
                  <c:v>0.45479999999999998</c:v>
                </c:pt>
                <c:pt idx="9">
                  <c:v>0.4526</c:v>
                </c:pt>
                <c:pt idx="10">
                  <c:v>0.45001000000000002</c:v>
                </c:pt>
                <c:pt idx="11">
                  <c:v>0.44707000000000008</c:v>
                </c:pt>
                <c:pt idx="12">
                  <c:v>0.44384000000000007</c:v>
                </c:pt>
                <c:pt idx="13">
                  <c:v>0.44035000000000007</c:v>
                </c:pt>
                <c:pt idx="14">
                  <c:v>0.43665000000000032</c:v>
                </c:pt>
                <c:pt idx="15">
                  <c:v>0.43275000000000002</c:v>
                </c:pt>
                <c:pt idx="16">
                  <c:v>0.42868000000000039</c:v>
                </c:pt>
              </c:numCache>
            </c:numRef>
          </c:yVal>
          <c:smooth val="1"/>
        </c:ser>
        <c:axId val="88777088"/>
        <c:axId val="88798336"/>
      </c:scatterChart>
      <c:valAx>
        <c:axId val="88777088"/>
        <c:scaling>
          <c:orientation val="minMax"/>
          <c:max val="6"/>
        </c:scaling>
        <c:axPos val="b"/>
        <c:title>
          <c:tx>
            <c:rich>
              <a:bodyPr/>
              <a:lstStyle/>
              <a:p>
                <a:pPr>
                  <a:defRPr/>
                </a:pPr>
                <a:r>
                  <a:rPr lang="en-US" sz="1100" i="1"/>
                  <a:t>a</a:t>
                </a:r>
                <a:endParaRPr lang="en-US" sz="1100"/>
              </a:p>
            </c:rich>
          </c:tx>
        </c:title>
        <c:numFmt formatCode="General" sourceLinked="1"/>
        <c:tickLblPos val="nextTo"/>
        <c:crossAx val="88798336"/>
        <c:crosses val="autoZero"/>
        <c:crossBetween val="midCat"/>
      </c:valAx>
      <c:valAx>
        <c:axId val="88798336"/>
        <c:scaling>
          <c:orientation val="minMax"/>
        </c:scaling>
        <c:axPos val="l"/>
        <c:majorGridlines>
          <c:spPr>
            <a:ln>
              <a:prstDash val="dash"/>
            </a:ln>
          </c:spPr>
        </c:majorGridlines>
        <c:title>
          <c:tx>
            <c:rich>
              <a:bodyPr rot="-5400000" vert="horz"/>
              <a:lstStyle/>
              <a:p>
                <a:pPr>
                  <a:defRPr/>
                </a:pPr>
                <a:r>
                  <a:rPr lang="en-US"/>
                  <a:t>Pearson correlation coefficient</a:t>
                </a:r>
              </a:p>
            </c:rich>
          </c:tx>
        </c:title>
        <c:numFmt formatCode="0.0" sourceLinked="0"/>
        <c:tickLblPos val="nextTo"/>
        <c:crossAx val="88777088"/>
        <c:crosses val="autoZero"/>
        <c:crossBetween val="midCat"/>
      </c:valAx>
    </c:plotArea>
    <c:legend>
      <c:legendPos val="b"/>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C726E-6851-460C-B1AF-51E47507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7311</Words>
  <Characters>41674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48888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Tressler</dc:creator>
  <cp:lastModifiedBy>Brian Silverstone</cp:lastModifiedBy>
  <cp:revision>8</cp:revision>
  <cp:lastPrinted>2012-03-23T00:13:00Z</cp:lastPrinted>
  <dcterms:created xsi:type="dcterms:W3CDTF">2012-04-04T05:55:00Z</dcterms:created>
  <dcterms:modified xsi:type="dcterms:W3CDTF">2012-04-04T21:53:00Z</dcterms:modified>
</cp:coreProperties>
</file>